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5647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BE8E4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ACC6FB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13.220.20</w:t>
            </w:r>
            <w:r>
              <w:rPr>
                <w:rFonts w:ascii="黑体" w:hAnsi="黑体" w:eastAsia="黑体"/>
                <w:sz w:val="21"/>
                <w:szCs w:val="21"/>
              </w:rPr>
              <w:fldChar w:fldCharType="end"/>
            </w:r>
            <w:bookmarkEnd w:id="0"/>
          </w:p>
        </w:tc>
      </w:tr>
      <w:tr w14:paraId="1C3D0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52A01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3C57740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C 82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499890C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14:paraId="24CC8F3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36D5C9C">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0C1A2D0">
      <w:pPr>
        <w:pStyle w:val="195"/>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t>34/T</w:t>
      </w:r>
      <w:r>
        <w:rPr>
          <w:rFonts w:hint="eastAsia"/>
          <w:lang w:val="en-US" w:eastAsia="zh-CN"/>
        </w:rPr>
        <w:t xml:space="preserve"> </w:t>
      </w:r>
      <w:r>
        <w:fldChar w:fldCharType="end"/>
      </w:r>
      <w:bookmarkEnd w:id="5"/>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BDC37A6">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FFDE698">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04C8A920">
      <w:pPr>
        <w:pStyle w:val="50"/>
        <w:framePr w:w="9639" w:h="6976" w:hRule="exact" w:hSpace="0" w:vSpace="0" w:wrap="around" w:hAnchor="page" w:y="6408"/>
        <w:jc w:val="center"/>
        <w:rPr>
          <w:rFonts w:ascii="黑体" w:hAnsi="黑体" w:eastAsia="黑体"/>
          <w:b w:val="0"/>
          <w:bCs w:val="0"/>
          <w:w w:val="100"/>
        </w:rPr>
      </w:pPr>
    </w:p>
    <w:p w14:paraId="52FFA1F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电动汽车充电设施消防安全管理规</w:t>
      </w:r>
      <w:r>
        <w:t>范</w:t>
      </w:r>
      <w:r>
        <w:fldChar w:fldCharType="end"/>
      </w:r>
      <w:bookmarkEnd w:id="9"/>
    </w:p>
    <w:p w14:paraId="3A32110C">
      <w:pPr>
        <w:framePr w:w="9639" w:h="6974" w:hRule="exact" w:wrap="around" w:vAnchor="page" w:hAnchor="page" w:x="1419" w:y="6408" w:anchorLock="1"/>
        <w:ind w:left="-1418"/>
      </w:pPr>
    </w:p>
    <w:p w14:paraId="26D8BB5F">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F</w:t>
      </w:r>
      <w:r>
        <w:rPr>
          <w:rFonts w:hint="eastAsia" w:eastAsia="黑体"/>
          <w:szCs w:val="28"/>
          <w:lang w:eastAsia="zh-CN"/>
        </w:rPr>
        <w:t xml:space="preserve">ire safety management </w:t>
      </w:r>
      <w:r>
        <w:rPr>
          <w:rFonts w:hint="eastAsia" w:eastAsia="黑体"/>
          <w:szCs w:val="28"/>
          <w:lang w:val="en-US" w:eastAsia="zh-CN"/>
        </w:rPr>
        <w:t xml:space="preserve">specification for </w:t>
      </w:r>
      <w:r>
        <w:rPr>
          <w:rFonts w:hint="eastAsia" w:eastAsia="黑体"/>
          <w:szCs w:val="28"/>
          <w:lang w:eastAsia="zh-CN"/>
        </w:rPr>
        <w:t>electric vehicle charging facilities</w:t>
      </w:r>
      <w:r>
        <w:rPr>
          <w:rFonts w:eastAsia="黑体"/>
          <w:szCs w:val="28"/>
        </w:rPr>
        <w:fldChar w:fldCharType="end"/>
      </w:r>
      <w:bookmarkEnd w:id="10"/>
    </w:p>
    <w:p w14:paraId="32E74A3B">
      <w:pPr>
        <w:framePr w:w="9639" w:h="6974" w:hRule="exact" w:wrap="around" w:vAnchor="page" w:hAnchor="page" w:x="1419" w:y="6408" w:anchorLock="1"/>
        <w:spacing w:line="760" w:lineRule="exact"/>
        <w:ind w:left="-1418"/>
      </w:pPr>
    </w:p>
    <w:p w14:paraId="710A001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1"/>
    </w:p>
    <w:p w14:paraId="3221A78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588CB56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30BD5D2B">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280ECC67">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74BC2E62">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rPr>
          <w:rFonts w:ascii="黑体"/>
        </w:rPr>
        <w:t>-</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ascii="黑体"/>
        </w:rPr>
        <w:t>-</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2BE1120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346306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00BA6B74">
      <w:pPr>
        <w:pStyle w:val="91"/>
        <w:spacing w:after="468"/>
        <w:rPr>
          <w:rFonts w:hint="eastAsia"/>
        </w:rPr>
      </w:pPr>
      <w:bookmarkStart w:id="22" w:name="BookMark1"/>
      <w:bookmarkStart w:id="23" w:name="_Toc56171382"/>
      <w:bookmarkStart w:id="24" w:name="_Toc56168513"/>
      <w:bookmarkStart w:id="25" w:name="_Toc31246"/>
      <w:r>
        <w:rPr>
          <w:rFonts w:hint="eastAsia"/>
          <w:spacing w:val="320"/>
        </w:rPr>
        <w:t>目</w:t>
      </w:r>
      <w:r>
        <w:rPr>
          <w:rFonts w:hint="eastAsia"/>
        </w:rPr>
        <w:t>次</w:t>
      </w:r>
    </w:p>
    <w:p w14:paraId="65FFF187">
      <w:pPr>
        <w:pStyle w:val="19"/>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w:instrText>
      </w:r>
      <w:r>
        <w:instrText xml:space="preserve"> </w:instrText>
      </w:r>
      <w:r>
        <w:fldChar w:fldCharType="separate"/>
      </w:r>
      <w:r>
        <w:fldChar w:fldCharType="begin"/>
      </w:r>
      <w:r>
        <w:instrText xml:space="preserve"> HYPERLINK \l "_Toc155858166" </w:instrText>
      </w:r>
      <w:r>
        <w:fldChar w:fldCharType="separate"/>
      </w:r>
      <w:r>
        <w:rPr>
          <w:rStyle w:val="32"/>
          <w:rFonts w:hint="eastAsia"/>
        </w:rPr>
        <w:t>前言</w:t>
      </w:r>
      <w:r>
        <w:tab/>
      </w:r>
      <w:r>
        <w:fldChar w:fldCharType="begin"/>
      </w:r>
      <w:r>
        <w:instrText xml:space="preserve"> PAGEREF _Toc155858166 \h </w:instrText>
      </w:r>
      <w:r>
        <w:fldChar w:fldCharType="separate"/>
      </w:r>
      <w:r>
        <w:t>II</w:t>
      </w:r>
      <w:r>
        <w:fldChar w:fldCharType="end"/>
      </w:r>
      <w:r>
        <w:fldChar w:fldCharType="end"/>
      </w:r>
    </w:p>
    <w:p w14:paraId="1AE890D5">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"_Toc155858167" </w:instrText>
      </w:r>
      <w:r>
        <w:fldChar w:fldCharType="separate"/>
      </w:r>
      <w:r>
        <w:rPr>
          <w:rStyle w:val="32"/>
        </w:rPr>
        <w:t>1</w:t>
      </w:r>
      <w:r>
        <w:rPr>
          <w:rStyle w:val="32"/>
          <w:rFonts w:hint="eastAsia"/>
        </w:rPr>
        <w:t>范围</w:t>
      </w:r>
      <w:r>
        <w:tab/>
      </w:r>
      <w:r>
        <w:fldChar w:fldCharType="begin"/>
      </w:r>
      <w:r>
        <w:instrText xml:space="preserve"> PAGEREF _Toc155858167 \h </w:instrText>
      </w:r>
      <w:r>
        <w:fldChar w:fldCharType="separate"/>
      </w:r>
      <w:r>
        <w:t>1</w:t>
      </w:r>
      <w:r>
        <w:fldChar w:fldCharType="end"/>
      </w:r>
      <w:r>
        <w:fldChar w:fldCharType="end"/>
      </w:r>
    </w:p>
    <w:p w14:paraId="46F17D5D">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"_Toc155858168" </w:instrText>
      </w:r>
      <w:r>
        <w:fldChar w:fldCharType="separate"/>
      </w:r>
      <w:r>
        <w:rPr>
          <w:rStyle w:val="32"/>
        </w:rPr>
        <w:t>2</w:t>
      </w:r>
      <w:r>
        <w:rPr>
          <w:rStyle w:val="32"/>
          <w:rFonts w:hint="eastAsia"/>
        </w:rPr>
        <w:t>规范性引用文件</w:t>
      </w:r>
      <w:r>
        <w:tab/>
      </w:r>
      <w:r>
        <w:fldChar w:fldCharType="begin"/>
      </w:r>
      <w:r>
        <w:instrText xml:space="preserve"> PAGEREF _Toc155858168 \h </w:instrText>
      </w:r>
      <w:r>
        <w:fldChar w:fldCharType="separate"/>
      </w:r>
      <w:r>
        <w:t>1</w:t>
      </w:r>
      <w:r>
        <w:fldChar w:fldCharType="end"/>
      </w:r>
      <w:r>
        <w:fldChar w:fldCharType="end"/>
      </w:r>
    </w:p>
    <w:p w14:paraId="00A36CA6">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"_Toc155858169" </w:instrText>
      </w:r>
      <w:r>
        <w:fldChar w:fldCharType="separate"/>
      </w:r>
      <w:r>
        <w:rPr>
          <w:rStyle w:val="32"/>
        </w:rPr>
        <w:t>3</w:t>
      </w:r>
      <w:r>
        <w:rPr>
          <w:rStyle w:val="32"/>
          <w:rFonts w:hint="eastAsia"/>
        </w:rPr>
        <w:t>术语和定义</w:t>
      </w:r>
      <w:r>
        <w:tab/>
      </w:r>
      <w:r>
        <w:fldChar w:fldCharType="begin"/>
      </w:r>
      <w:r>
        <w:instrText xml:space="preserve"> PAGEREF _Toc155858169 \h </w:instrText>
      </w:r>
      <w:r>
        <w:fldChar w:fldCharType="separate"/>
      </w:r>
      <w:r>
        <w:t>1</w:t>
      </w:r>
      <w:r>
        <w:fldChar w:fldCharType="end"/>
      </w:r>
      <w:r>
        <w:fldChar w:fldCharType="end"/>
      </w:r>
    </w:p>
    <w:p w14:paraId="4FC5B2D1">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"_Toc155858171" </w:instrText>
      </w:r>
      <w:r>
        <w:fldChar w:fldCharType="separate"/>
      </w:r>
      <w:r>
        <w:rPr>
          <w:rStyle w:val="32"/>
        </w:rPr>
        <w:t>4</w:t>
      </w:r>
      <w:r>
        <w:rPr>
          <w:rStyle w:val="32"/>
          <w:rFonts w:hint="eastAsia"/>
        </w:rPr>
        <w:t>基础要求</w:t>
      </w:r>
      <w:r>
        <w:tab/>
      </w:r>
      <w:r>
        <w:fldChar w:fldCharType="begin"/>
      </w:r>
      <w:r>
        <w:instrText xml:space="preserve"> PAGEREF _Toc155858171 \h </w:instrText>
      </w:r>
      <w:r>
        <w:fldChar w:fldCharType="separate"/>
      </w:r>
      <w:r>
        <w:t>2</w:t>
      </w:r>
      <w:r>
        <w:fldChar w:fldCharType="end"/>
      </w:r>
      <w:r>
        <w:fldChar w:fldCharType="end"/>
      </w:r>
    </w:p>
    <w:p w14:paraId="7EB368A5">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"_Toc155858172" </w:instrText>
      </w:r>
      <w:r>
        <w:fldChar w:fldCharType="separate"/>
      </w:r>
      <w:r>
        <w:rPr>
          <w:rStyle w:val="32"/>
        </w:rPr>
        <w:t>5</w:t>
      </w:r>
      <w:r>
        <w:rPr>
          <w:rStyle w:val="32"/>
          <w:rFonts w:hint="eastAsia"/>
        </w:rPr>
        <w:t>充电设施消防安全管理</w:t>
      </w:r>
      <w:r>
        <w:tab/>
      </w:r>
      <w:r>
        <w:fldChar w:fldCharType="begin"/>
      </w:r>
      <w:r>
        <w:instrText xml:space="preserve"> PAGEREF _Toc155858172 \h </w:instrText>
      </w:r>
      <w:r>
        <w:fldChar w:fldCharType="separate"/>
      </w:r>
      <w:r>
        <w:t>5</w:t>
      </w:r>
      <w:r>
        <w:fldChar w:fldCharType="end"/>
      </w:r>
      <w:r>
        <w:fldChar w:fldCharType="end"/>
      </w:r>
    </w:p>
    <w:p w14:paraId="585492C8">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"_Toc155858173" </w:instrText>
      </w:r>
      <w:r>
        <w:fldChar w:fldCharType="separate"/>
      </w:r>
      <w:r>
        <w:rPr>
          <w:rStyle w:val="32"/>
        </w:rPr>
        <w:t>6</w:t>
      </w:r>
      <w:r>
        <w:rPr>
          <w:rStyle w:val="32"/>
          <w:rFonts w:hint="eastAsia"/>
        </w:rPr>
        <w:t>充电信息监控与数据应用</w:t>
      </w:r>
      <w:r>
        <w:tab/>
      </w:r>
      <w:r>
        <w:fldChar w:fldCharType="begin"/>
      </w:r>
      <w:r>
        <w:instrText xml:space="preserve"> PAGEREF _Toc155858173 \h </w:instrText>
      </w:r>
      <w:r>
        <w:fldChar w:fldCharType="separate"/>
      </w:r>
      <w:r>
        <w:t>7</w:t>
      </w:r>
      <w:r>
        <w:fldChar w:fldCharType="end"/>
      </w:r>
      <w:r>
        <w:fldChar w:fldCharType="end"/>
      </w:r>
    </w:p>
    <w:p w14:paraId="626E6B04">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"_Toc155858174" </w:instrText>
      </w:r>
      <w:r>
        <w:fldChar w:fldCharType="separate"/>
      </w:r>
      <w:r>
        <w:rPr>
          <w:rStyle w:val="32"/>
        </w:rPr>
        <w:t>7</w:t>
      </w:r>
      <w:r>
        <w:rPr>
          <w:rStyle w:val="32"/>
          <w:rFonts w:hint="eastAsia"/>
        </w:rPr>
        <w:t>危险源管理</w:t>
      </w:r>
      <w:r>
        <w:tab/>
      </w:r>
      <w:r>
        <w:fldChar w:fldCharType="begin"/>
      </w:r>
      <w:r>
        <w:instrText xml:space="preserve"> PAGEREF _Toc155858174 \h </w:instrText>
      </w:r>
      <w:r>
        <w:fldChar w:fldCharType="separate"/>
      </w:r>
      <w:r>
        <w:t>8</w:t>
      </w:r>
      <w:r>
        <w:fldChar w:fldCharType="end"/>
      </w:r>
      <w:r>
        <w:fldChar w:fldCharType="end"/>
      </w:r>
    </w:p>
    <w:p w14:paraId="6986961C">
      <w:pPr>
        <w:pStyle w:val="19"/>
        <w:tabs>
          <w:tab w:val="right" w:leader="dot" w:pos="9344"/>
        </w:tabs>
        <w:rPr>
          <w:rFonts w:asciiTheme="minorHAnsi" w:hAnsiTheme="minorHAnsi" w:eastAsiaTheme="minorEastAsia" w:cstheme="minorBidi"/>
          <w:szCs w:val="22"/>
        </w:rPr>
      </w:pPr>
      <w:r>
        <w:fldChar w:fldCharType="begin"/>
      </w:r>
      <w:r>
        <w:instrText xml:space="preserve"> HYPERLINK \l "_Toc155858175" </w:instrText>
      </w:r>
      <w:r>
        <w:fldChar w:fldCharType="separate"/>
      </w:r>
      <w:r>
        <w:rPr>
          <w:rStyle w:val="32"/>
        </w:rPr>
        <w:t>8</w:t>
      </w:r>
      <w:r>
        <w:rPr>
          <w:rStyle w:val="32"/>
          <w:rFonts w:hint="eastAsia"/>
        </w:rPr>
        <w:t>消防应急处置</w:t>
      </w:r>
      <w:r>
        <w:tab/>
      </w:r>
      <w:r>
        <w:fldChar w:fldCharType="begin"/>
      </w:r>
      <w:r>
        <w:instrText xml:space="preserve"> PAGEREF _Toc155858175 \h </w:instrText>
      </w:r>
      <w:r>
        <w:fldChar w:fldCharType="separate"/>
      </w:r>
      <w:r>
        <w:t>8</w:t>
      </w:r>
      <w:r>
        <w:fldChar w:fldCharType="end"/>
      </w:r>
      <w:r>
        <w:fldChar w:fldCharType="end"/>
      </w:r>
    </w:p>
    <w:p w14:paraId="79D08823">
      <w:pPr>
        <w:pStyle w:val="91"/>
        <w:spacing w:after="468"/>
        <w:sectPr>
          <w:headerReference r:id="rId11" w:type="default"/>
          <w:footerReference r:id="rId12" w:type="default"/>
          <w:pgSz w:w="11906" w:h="16838"/>
          <w:pgMar w:top="1871" w:right="1134" w:bottom="1134" w:left="1134" w:header="1418" w:footer="1134" w:gutter="284"/>
          <w:pgNumType w:fmt="upperRoman" w:start="1"/>
          <w:cols w:space="425" w:num="1"/>
          <w:formProt w:val="0"/>
          <w:docGrid w:type="lines" w:linePitch="312" w:charSpace="0"/>
        </w:sectPr>
      </w:pPr>
      <w:r>
        <w:fldChar w:fldCharType="end"/>
      </w:r>
    </w:p>
    <w:bookmarkEnd w:id="22"/>
    <w:p w14:paraId="7C75A892">
      <w:pPr>
        <w:pStyle w:val="89"/>
        <w:spacing w:after="468"/>
      </w:pPr>
      <w:bookmarkStart w:id="26" w:name="_Toc155858166"/>
      <w:bookmarkStart w:id="27" w:name="BookMark2"/>
      <w:r>
        <w:rPr>
          <w:spacing w:val="320"/>
        </w:rPr>
        <w:t>前</w:t>
      </w:r>
      <w:r>
        <w:t>言</w:t>
      </w:r>
      <w:bookmarkEnd w:id="23"/>
      <w:bookmarkEnd w:id="24"/>
      <w:bookmarkEnd w:id="25"/>
      <w:bookmarkEnd w:id="26"/>
    </w:p>
    <w:p w14:paraId="62604E94">
      <w:pPr>
        <w:pStyle w:val="56"/>
        <w:ind w:firstLine="420"/>
        <w:rPr>
          <w:rFonts w:hint="eastAsia" w:ascii="宋体" w:eastAsia="宋体"/>
        </w:rPr>
      </w:pPr>
      <w:r>
        <w:rPr>
          <w:rFonts w:hint="eastAsia" w:ascii="宋体" w:eastAsia="宋体"/>
        </w:rPr>
        <w:t>本文件按照GB/T1.1—2020《标准化工作导则第1部分：标准化文件的结构和起草规则》的规定起草。</w:t>
      </w:r>
    </w:p>
    <w:p w14:paraId="7073A7FE">
      <w:pPr>
        <w:pStyle w:val="56"/>
        <w:ind w:firstLine="420"/>
      </w:pPr>
      <w:r>
        <w:rPr>
          <w:rFonts w:hint="eastAsia" w:ascii="宋体" w:eastAsia="宋体"/>
          <w:lang w:val="en-US" w:eastAsia="zh-CN"/>
        </w:rPr>
        <w:t>请注意本文件的某些内容可能涉及专利。本文件的发布机构不承担识别专利的责任</w:t>
      </w:r>
      <w:r>
        <w:t>。</w:t>
      </w:r>
    </w:p>
    <w:p w14:paraId="41C648A3">
      <w:pPr>
        <w:pStyle w:val="56"/>
        <w:ind w:firstLine="420"/>
        <w:rPr>
          <w:rFonts w:hint="eastAsia" w:ascii="宋体" w:hAnsi="Times New Roman" w:eastAsia="宋体" w:cs="Times New Roman"/>
        </w:rPr>
      </w:pPr>
      <w:r>
        <w:rPr>
          <w:rFonts w:hint="eastAsia" w:ascii="宋体" w:hAnsi="Times New Roman" w:eastAsia="宋体" w:cs="Times New Roman"/>
        </w:rPr>
        <w:t>本文件由安徽省消防救援</w:t>
      </w:r>
      <w:r>
        <w:rPr>
          <w:rFonts w:hint="eastAsia" w:cs="Times New Roman"/>
          <w:lang w:val="en-US" w:eastAsia="zh-CN"/>
        </w:rPr>
        <w:t>局</w:t>
      </w:r>
      <w:r>
        <w:rPr>
          <w:rFonts w:hint="eastAsia" w:ascii="宋体" w:hAnsi="Times New Roman" w:eastAsia="宋体" w:cs="Times New Roman"/>
        </w:rPr>
        <w:t>归口。</w:t>
      </w:r>
    </w:p>
    <w:p w14:paraId="2869FD91">
      <w:pPr>
        <w:pStyle w:val="56"/>
        <w:ind w:firstLine="420"/>
        <w:rPr>
          <w:rFonts w:hint="eastAsia" w:ascii="宋体" w:eastAsia="宋体"/>
          <w:lang w:val="en-US" w:eastAsia="zh-CN"/>
        </w:rPr>
      </w:pPr>
      <w:r>
        <w:rPr>
          <w:rFonts w:hint="eastAsia" w:ascii="宋体" w:hAnsi="Times New Roman" w:eastAsia="宋体" w:cs="Times New Roman"/>
        </w:rPr>
        <w:t>本文件起草</w:t>
      </w:r>
      <w:r>
        <w:rPr>
          <w:rFonts w:hint="eastAsia" w:ascii="宋体" w:eastAsia="宋体"/>
          <w:lang w:val="en-US" w:eastAsia="zh-CN"/>
        </w:rPr>
        <w:t>单位：</w:t>
      </w:r>
      <w:r>
        <w:rPr>
          <w:rFonts w:hint="eastAsia" w:ascii="宋体" w:hAnsi="Times New Roman" w:eastAsia="宋体" w:cs="Times New Roman"/>
        </w:rPr>
        <w:t>安徽省消防救援</w:t>
      </w:r>
      <w:r>
        <w:rPr>
          <w:rFonts w:hint="eastAsia" w:cs="Times New Roman"/>
          <w:lang w:val="en-US" w:eastAsia="zh-CN"/>
        </w:rPr>
        <w:t>局、</w:t>
      </w:r>
      <w:bookmarkStart w:id="58" w:name="_GoBack"/>
      <w:bookmarkEnd w:id="58"/>
      <w:r>
        <w:rPr>
          <w:rFonts w:hint="eastAsia" w:ascii="宋体" w:eastAsia="宋体"/>
          <w:lang w:val="en-US" w:eastAsia="zh-CN"/>
        </w:rPr>
        <w:t>安徽省鹏徽市场管理服务集团有限公司、中保恒杰保安服务集团有限公司、安徽同建物业管理有限责任公司、安徽创源智慧后勤服务集团有限公司</w:t>
      </w:r>
    </w:p>
    <w:p w14:paraId="4227E1E9">
      <w:pPr>
        <w:pStyle w:val="56"/>
        <w:ind w:firstLine="420"/>
        <w:rPr>
          <w:rFonts w:hint="eastAsia" w:ascii="宋体" w:hAnsi="Times New Roman" w:eastAsia="宋体" w:cs="Times New Roman"/>
        </w:rPr>
      </w:pPr>
      <w:r>
        <w:rPr>
          <w:rFonts w:hint="eastAsia" w:ascii="宋体" w:hAnsi="Times New Roman" w:eastAsia="宋体" w:cs="Times New Roman"/>
        </w:rPr>
        <w:t>本文件主要起草人：</w:t>
      </w:r>
    </w:p>
    <w:p w14:paraId="4FED3F2D">
      <w:pPr>
        <w:pStyle w:val="56"/>
        <w:ind w:firstLine="420"/>
      </w:pPr>
    </w:p>
    <w:p w14:paraId="0951B08E">
      <w:pPr>
        <w:pStyle w:val="56"/>
        <w:ind w:firstLine="420"/>
        <w:sectPr>
          <w:pgSz w:w="11906" w:h="16838"/>
          <w:pgMar w:top="1871" w:right="1134" w:bottom="1134" w:left="1134" w:header="1418" w:footer="1134" w:gutter="284"/>
          <w:pgNumType w:fmt="upperRoman"/>
          <w:cols w:space="425" w:num="1"/>
          <w:formProt w:val="0"/>
          <w:docGrid w:type="lines" w:linePitch="312" w:charSpace="0"/>
        </w:sectPr>
      </w:pPr>
    </w:p>
    <w:bookmarkEnd w:id="27"/>
    <w:p w14:paraId="4D24FAC1">
      <w:pPr>
        <w:spacing w:line="20" w:lineRule="exact"/>
        <w:jc w:val="center"/>
        <w:rPr>
          <w:rFonts w:ascii="黑体" w:hAnsi="黑体" w:eastAsia="黑体"/>
          <w:sz w:val="32"/>
          <w:szCs w:val="32"/>
        </w:rPr>
      </w:pPr>
      <w:bookmarkStart w:id="28" w:name="BookMark4"/>
    </w:p>
    <w:p w14:paraId="1C5D3736">
      <w:pPr>
        <w:spacing w:line="20" w:lineRule="exact"/>
        <w:jc w:val="center"/>
        <w:rPr>
          <w:rFonts w:ascii="黑体" w:hAnsi="黑体" w:eastAsia="黑体"/>
          <w:sz w:val="32"/>
          <w:szCs w:val="32"/>
        </w:rPr>
      </w:pPr>
    </w:p>
    <w:sdt>
      <w:sdtPr>
        <w:tag w:val="NEW_STAND_NAME"/>
        <w:id w:val="595910757"/>
        <w:lock w:val="sdtLocked"/>
        <w:placeholder>
          <w:docPart w:val="ACBB82E11D3E4A229CC18D84EEA8964C"/>
        </w:placeholder>
      </w:sdtPr>
      <w:sdtContent>
        <w:p w14:paraId="71C80427">
          <w:pPr>
            <w:pStyle w:val="177"/>
            <w:spacing w:beforeLines="100" w:afterLines="220"/>
          </w:pPr>
          <w:bookmarkStart w:id="29" w:name="NEW_STAND_NAME"/>
          <w:r>
            <w:rPr>
              <w:rFonts w:hint="eastAsia"/>
            </w:rPr>
            <w:t>电动汽车充电设施消防安全管理规范</w:t>
          </w:r>
        </w:p>
      </w:sdtContent>
    </w:sdt>
    <w:bookmarkEnd w:id="28"/>
    <w:bookmarkEnd w:id="29"/>
    <w:p w14:paraId="273D1371">
      <w:pPr>
        <w:pStyle w:val="104"/>
        <w:spacing w:before="312" w:after="312"/>
      </w:pPr>
      <w:bookmarkStart w:id="30" w:name="_Toc56168514"/>
      <w:bookmarkStart w:id="31" w:name="_Toc26986530"/>
      <w:bookmarkStart w:id="32" w:name="_Toc17233333"/>
      <w:bookmarkStart w:id="33" w:name="_Toc26986771"/>
      <w:bookmarkStart w:id="34" w:name="_Toc26648465"/>
      <w:bookmarkStart w:id="35" w:name="_Toc56171383"/>
      <w:bookmarkStart w:id="36" w:name="_Toc26718930"/>
      <w:bookmarkStart w:id="37" w:name="_Toc24884218"/>
      <w:bookmarkStart w:id="38" w:name="_Toc17233325"/>
      <w:bookmarkStart w:id="39" w:name="_Toc24884211"/>
      <w:bookmarkStart w:id="40" w:name="_Toc28485"/>
      <w:r>
        <w:rPr>
          <w:rFonts w:hint="eastAsia"/>
        </w:rPr>
        <w:t>范围</w:t>
      </w:r>
      <w:bookmarkEnd w:id="30"/>
      <w:bookmarkEnd w:id="31"/>
      <w:bookmarkEnd w:id="32"/>
      <w:bookmarkEnd w:id="33"/>
      <w:bookmarkEnd w:id="34"/>
      <w:bookmarkEnd w:id="35"/>
      <w:bookmarkEnd w:id="36"/>
      <w:bookmarkEnd w:id="37"/>
      <w:bookmarkEnd w:id="38"/>
      <w:bookmarkEnd w:id="39"/>
      <w:bookmarkEnd w:id="40"/>
    </w:p>
    <w:p w14:paraId="0555DBF0">
      <w:pPr>
        <w:pStyle w:val="231"/>
        <w:spacing w:beforeLines="0" w:afterLines="0"/>
        <w:rPr>
          <w:rFonts w:hint="eastAsia"/>
        </w:rPr>
      </w:pPr>
      <w:bookmarkStart w:id="41" w:name="_Toc17233334"/>
      <w:bookmarkStart w:id="42" w:name="_Toc24884212"/>
      <w:bookmarkStart w:id="43" w:name="_Toc26648466"/>
      <w:bookmarkStart w:id="44" w:name="_Toc17233326"/>
      <w:bookmarkStart w:id="45" w:name="_Toc24884219"/>
      <w:r>
        <w:rPr>
          <w:rFonts w:hint="eastAsia"/>
        </w:rPr>
        <w:t>本文件规定了电动汽车充电设施的消防安全</w:t>
      </w:r>
      <w:r>
        <w:rPr>
          <w:rFonts w:hint="eastAsia"/>
          <w:lang w:eastAsia="zh-CN"/>
        </w:rPr>
        <w:t>管理基础要求</w:t>
      </w:r>
      <w:r>
        <w:rPr>
          <w:rFonts w:hint="eastAsia"/>
        </w:rPr>
        <w:t>、</w:t>
      </w:r>
      <w:r>
        <w:rPr>
          <w:rStyle w:val="32"/>
          <w:rFonts w:hint="eastAsia"/>
        </w:rPr>
        <w:t>充电设施消防安全管理</w:t>
      </w:r>
      <w:r>
        <w:rPr>
          <w:rStyle w:val="32"/>
          <w:rFonts w:hint="eastAsia" w:eastAsia="宋体"/>
          <w:lang w:eastAsia="zh-CN"/>
        </w:rPr>
        <w:t>、</w:t>
      </w:r>
      <w:r>
        <w:rPr>
          <w:rStyle w:val="32"/>
          <w:rFonts w:hint="eastAsia"/>
        </w:rPr>
        <w:t>充电信息监控与数据应用</w:t>
      </w:r>
      <w:r>
        <w:rPr>
          <w:rStyle w:val="32"/>
          <w:rFonts w:hint="eastAsia" w:eastAsia="宋体"/>
          <w:lang w:eastAsia="zh-CN"/>
        </w:rPr>
        <w:t>、</w:t>
      </w:r>
      <w:r>
        <w:rPr>
          <w:rStyle w:val="32"/>
          <w:rFonts w:hint="eastAsia"/>
        </w:rPr>
        <w:t>危险源管理</w:t>
      </w:r>
      <w:r>
        <w:rPr>
          <w:rStyle w:val="32"/>
          <w:rFonts w:hint="eastAsia" w:eastAsia="宋体"/>
          <w:lang w:eastAsia="zh-CN"/>
        </w:rPr>
        <w:t>、</w:t>
      </w:r>
      <w:r>
        <w:rPr>
          <w:rStyle w:val="32"/>
          <w:rFonts w:hint="eastAsia"/>
        </w:rPr>
        <w:t>消防应急处置</w:t>
      </w:r>
      <w:r>
        <w:rPr>
          <w:rFonts w:hint="eastAsia"/>
        </w:rPr>
        <w:t>。</w:t>
      </w:r>
    </w:p>
    <w:p w14:paraId="552825AE">
      <w:pPr>
        <w:pStyle w:val="231"/>
        <w:spacing w:beforeLines="0" w:afterLines="0"/>
        <w:rPr>
          <w:rFonts w:hint="eastAsia"/>
          <w:lang w:eastAsia="zh-CN"/>
        </w:rPr>
      </w:pPr>
      <w:r>
        <w:rPr>
          <w:rFonts w:hint="eastAsia"/>
        </w:rPr>
        <w:t>本文件适用于安徽省电动汽车充电设施</w:t>
      </w:r>
      <w:r>
        <w:rPr>
          <w:rFonts w:hint="eastAsia"/>
          <w:lang w:eastAsia="zh-CN"/>
        </w:rPr>
        <w:t>（</w:t>
      </w:r>
      <w:r>
        <w:rPr>
          <w:rFonts w:hint="eastAsia"/>
        </w:rPr>
        <w:t>以下简称“充电设施”</w:t>
      </w:r>
      <w:r>
        <w:rPr>
          <w:rFonts w:hint="eastAsia"/>
          <w:lang w:eastAsia="zh-CN"/>
        </w:rPr>
        <w:t>）</w:t>
      </w:r>
      <w:r>
        <w:rPr>
          <w:rFonts w:hint="eastAsia"/>
        </w:rPr>
        <w:t>的消防安全管理</w:t>
      </w:r>
      <w:r>
        <w:rPr>
          <w:rFonts w:hint="eastAsia"/>
          <w:lang w:eastAsia="zh-CN"/>
        </w:rPr>
        <w:t>，包括集中充电设施与分散充电设施。</w:t>
      </w:r>
    </w:p>
    <w:p w14:paraId="78C41D77">
      <w:pPr>
        <w:pStyle w:val="104"/>
        <w:spacing w:before="312" w:after="312"/>
        <w:rPr>
          <w:rFonts w:hint="eastAsia" w:hAnsi="Times New Roman" w:cs="Times New Roman"/>
        </w:rPr>
      </w:pPr>
      <w:bookmarkStart w:id="46" w:name="_Toc56171384"/>
      <w:bookmarkStart w:id="47" w:name="_Toc26718931"/>
      <w:bookmarkStart w:id="48" w:name="_Toc56168515"/>
      <w:bookmarkStart w:id="49" w:name="_Toc26986772"/>
      <w:bookmarkStart w:id="50" w:name="_Toc15480"/>
      <w:bookmarkStart w:id="51" w:name="_Toc26986531"/>
      <w:r>
        <w:rPr>
          <w:rFonts w:hint="eastAsia" w:hAnsi="Times New Roman" w:cs="Times New Roman"/>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37c1d82b-6a44-4ef3-a618-e29bfdc495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0AA7DA9">
          <w:pPr>
            <w:pStyle w:val="56"/>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5CA467">
      <w:pPr>
        <w:pStyle w:val="56"/>
        <w:ind w:firstLine="420"/>
        <w:rPr>
          <w:rFonts w:hint="eastAsia"/>
        </w:rPr>
      </w:pPr>
      <w:bookmarkStart w:id="52" w:name="_Toc56168516"/>
      <w:bookmarkStart w:id="53" w:name="_Toc56171385"/>
      <w:bookmarkStart w:id="54" w:name="_Toc27212"/>
      <w:r>
        <w:rPr>
          <w:rFonts w:hint="eastAsia"/>
        </w:rPr>
        <w:t>GB13495.1消防安全标志第1部分：标志</w:t>
      </w:r>
    </w:p>
    <w:p w14:paraId="6D9AE975">
      <w:pPr>
        <w:pStyle w:val="56"/>
        <w:ind w:firstLine="420"/>
        <w:rPr>
          <w:rFonts w:hint="eastAsia"/>
        </w:rPr>
      </w:pPr>
      <w:r>
        <w:rPr>
          <w:rFonts w:hint="eastAsia"/>
        </w:rPr>
        <w:t>GB/T18487.1电动汽车传导充电系统第1部分：通用要求</w:t>
      </w:r>
    </w:p>
    <w:p w14:paraId="2E00FB5F">
      <w:pPr>
        <w:pStyle w:val="56"/>
        <w:ind w:firstLine="420"/>
        <w:rPr>
          <w:rFonts w:hint="eastAsia"/>
        </w:rPr>
      </w:pPr>
      <w:r>
        <w:rPr>
          <w:rFonts w:hint="eastAsia"/>
        </w:rPr>
        <w:t>GB/T20234.1电动汽车传导充电用连接装置第1部分：通用要求</w:t>
      </w:r>
    </w:p>
    <w:p w14:paraId="6FB7F615">
      <w:pPr>
        <w:pStyle w:val="56"/>
        <w:ind w:firstLine="420"/>
        <w:rPr>
          <w:rFonts w:hint="eastAsia"/>
        </w:rPr>
      </w:pPr>
      <w:r>
        <w:rPr>
          <w:rFonts w:hint="eastAsia"/>
        </w:rPr>
        <w:t>GB/T29317电动汽车充换电设施术语</w:t>
      </w:r>
    </w:p>
    <w:p w14:paraId="71795B0C">
      <w:pPr>
        <w:pStyle w:val="56"/>
        <w:ind w:firstLine="420"/>
        <w:rPr>
          <w:rFonts w:hint="eastAsia"/>
        </w:rPr>
      </w:pPr>
      <w:r>
        <w:rPr>
          <w:rFonts w:hint="eastAsia"/>
        </w:rPr>
        <w:t>GB/T29781电动汽车充电站通用要求</w:t>
      </w:r>
    </w:p>
    <w:p w14:paraId="0D2BDE2E">
      <w:pPr>
        <w:pStyle w:val="56"/>
        <w:ind w:firstLine="420"/>
        <w:rPr>
          <w:rFonts w:hint="eastAsia"/>
          <w:lang w:val="en-US" w:eastAsia="zh-CN"/>
        </w:rPr>
      </w:pPr>
      <w:r>
        <w:rPr>
          <w:rFonts w:hint="eastAsia"/>
        </w:rPr>
        <w:t>GB/T31525</w:t>
      </w:r>
      <w:r>
        <w:rPr>
          <w:rFonts w:hint="eastAsia"/>
          <w:lang w:val="en-US" w:eastAsia="zh-CN"/>
        </w:rPr>
        <w:t>图形标志电动汽车充换电设施标志</w:t>
      </w:r>
    </w:p>
    <w:p w14:paraId="53386C6F">
      <w:pPr>
        <w:pStyle w:val="56"/>
        <w:ind w:firstLine="420"/>
        <w:rPr>
          <w:rFonts w:hint="eastAsia"/>
        </w:rPr>
      </w:pPr>
      <w:r>
        <w:rPr>
          <w:rFonts w:hint="eastAsia"/>
        </w:rPr>
        <w:t>GB/T38283电动汽车灾害事故应急救援指南</w:t>
      </w:r>
    </w:p>
    <w:p w14:paraId="109D1BAC">
      <w:pPr>
        <w:pStyle w:val="56"/>
        <w:ind w:firstLine="420"/>
        <w:rPr>
          <w:rFonts w:hint="eastAsia"/>
        </w:rPr>
      </w:pPr>
      <w:r>
        <w:rPr>
          <w:rFonts w:hint="eastAsia"/>
        </w:rPr>
        <w:t>GB/T39710电动汽车充电桩壳体用聚碳酸酯/丙烯腈-丁二烯-苯乙烯（PC/ABS）专用料</w:t>
      </w:r>
    </w:p>
    <w:p w14:paraId="0926B442">
      <w:pPr>
        <w:pStyle w:val="56"/>
        <w:ind w:firstLine="420"/>
        <w:rPr>
          <w:rFonts w:hint="eastAsia"/>
        </w:rPr>
      </w:pPr>
      <w:r>
        <w:rPr>
          <w:rFonts w:hint="eastAsia"/>
        </w:rPr>
        <w:t>GB50016建筑设计防火规范</w:t>
      </w:r>
    </w:p>
    <w:p w14:paraId="19F54464">
      <w:pPr>
        <w:pStyle w:val="56"/>
        <w:ind w:firstLine="420"/>
        <w:rPr>
          <w:rFonts w:hint="eastAsia"/>
        </w:rPr>
      </w:pPr>
      <w:r>
        <w:rPr>
          <w:rFonts w:hint="eastAsia"/>
        </w:rPr>
        <w:t>GB50057建筑物防雷设计规范</w:t>
      </w:r>
    </w:p>
    <w:p w14:paraId="5B172C5C">
      <w:pPr>
        <w:pStyle w:val="56"/>
        <w:ind w:firstLine="420"/>
        <w:rPr>
          <w:rFonts w:hint="eastAsia"/>
          <w:lang w:val="en-US" w:eastAsia="zh-CN"/>
        </w:rPr>
      </w:pPr>
      <w:r>
        <w:rPr>
          <w:rFonts w:hint="eastAsia"/>
        </w:rPr>
        <w:t>GB50058</w:t>
      </w:r>
      <w:r>
        <w:rPr>
          <w:rFonts w:hint="eastAsia"/>
          <w:lang w:val="en-US" w:eastAsia="zh-CN"/>
        </w:rPr>
        <w:t>爆炸和火灾危险环境电力装置设计规范</w:t>
      </w:r>
    </w:p>
    <w:p w14:paraId="2B013F78">
      <w:pPr>
        <w:pStyle w:val="56"/>
        <w:ind w:firstLine="420"/>
        <w:rPr>
          <w:rFonts w:hint="eastAsia"/>
        </w:rPr>
      </w:pPr>
      <w:r>
        <w:rPr>
          <w:rFonts w:hint="eastAsia"/>
        </w:rPr>
        <w:t>GB50067汽车库、修车库、停车场设计防火规范</w:t>
      </w:r>
    </w:p>
    <w:p w14:paraId="4E967E98">
      <w:pPr>
        <w:pStyle w:val="56"/>
        <w:ind w:firstLine="420"/>
        <w:rPr>
          <w:rFonts w:hint="eastAsia"/>
        </w:rPr>
      </w:pPr>
      <w:r>
        <w:rPr>
          <w:rFonts w:hint="eastAsia"/>
        </w:rPr>
        <w:t>GB50084自动喷水灭火系统规范</w:t>
      </w:r>
    </w:p>
    <w:p w14:paraId="7AA88ADE">
      <w:pPr>
        <w:pStyle w:val="56"/>
        <w:ind w:firstLine="420"/>
        <w:rPr>
          <w:rFonts w:hint="eastAsia"/>
        </w:rPr>
      </w:pPr>
      <w:r>
        <w:rPr>
          <w:rFonts w:hint="eastAsia"/>
        </w:rPr>
        <w:t>GB50140建筑灭火器配置设计规范</w:t>
      </w:r>
    </w:p>
    <w:p w14:paraId="151F1CE7">
      <w:pPr>
        <w:pStyle w:val="56"/>
        <w:ind w:firstLine="420"/>
        <w:rPr>
          <w:rFonts w:hint="eastAsia"/>
        </w:rPr>
      </w:pPr>
      <w:r>
        <w:rPr>
          <w:rFonts w:hint="eastAsia"/>
        </w:rPr>
        <w:t>GB50171电气装置安装工程盘、柜及二次回路接线施工及验收规范</w:t>
      </w:r>
    </w:p>
    <w:p w14:paraId="0050A07A">
      <w:pPr>
        <w:pStyle w:val="56"/>
        <w:ind w:firstLine="420"/>
        <w:rPr>
          <w:rFonts w:hint="eastAsia"/>
        </w:rPr>
      </w:pPr>
      <w:r>
        <w:rPr>
          <w:rFonts w:hint="eastAsia"/>
        </w:rPr>
        <w:t>GB50217电力工程电缆设计标准</w:t>
      </w:r>
    </w:p>
    <w:p w14:paraId="52CD4DEB">
      <w:pPr>
        <w:pStyle w:val="56"/>
        <w:ind w:firstLine="420"/>
        <w:rPr>
          <w:rFonts w:hint="eastAsia"/>
        </w:rPr>
      </w:pPr>
      <w:r>
        <w:rPr>
          <w:rFonts w:hint="eastAsia"/>
        </w:rPr>
        <w:t>GB50974消防给水及消火栓系统技术规范</w:t>
      </w:r>
    </w:p>
    <w:p w14:paraId="0B0F219D">
      <w:pPr>
        <w:pStyle w:val="56"/>
        <w:ind w:firstLine="420"/>
        <w:rPr>
          <w:rFonts w:hint="eastAsia"/>
        </w:rPr>
      </w:pPr>
      <w:r>
        <w:rPr>
          <w:rFonts w:hint="eastAsia"/>
        </w:rPr>
        <w:t>GB51309消防应急照明和疏散指示系统技术标准</w:t>
      </w:r>
    </w:p>
    <w:p w14:paraId="5A69AB81">
      <w:pPr>
        <w:pStyle w:val="56"/>
        <w:ind w:firstLine="420"/>
        <w:rPr>
          <w:rFonts w:hint="eastAsia"/>
        </w:rPr>
      </w:pPr>
      <w:r>
        <w:rPr>
          <w:rFonts w:hint="eastAsia"/>
        </w:rPr>
        <w:t>NB-T33005电动汽车充电站及电池更换站监控系统技术规范</w:t>
      </w:r>
    </w:p>
    <w:p w14:paraId="748F1688">
      <w:pPr>
        <w:pStyle w:val="56"/>
        <w:ind w:firstLine="420"/>
        <w:rPr>
          <w:rFonts w:hint="eastAsia"/>
        </w:rPr>
      </w:pPr>
      <w:r>
        <w:rPr>
          <w:rFonts w:hint="eastAsia"/>
        </w:rPr>
        <w:t>NB/T33018电动汽车充换电设施供电系统技术规范</w:t>
      </w:r>
    </w:p>
    <w:p w14:paraId="7A3C83FD">
      <w:pPr>
        <w:pStyle w:val="56"/>
        <w:ind w:firstLine="420"/>
        <w:rPr>
          <w:rFonts w:hint="eastAsia"/>
        </w:rPr>
      </w:pPr>
      <w:r>
        <w:rPr>
          <w:rFonts w:hint="eastAsia"/>
        </w:rPr>
        <w:t>DB34/T2437公共区域充电设备与电动汽车连接通信规范</w:t>
      </w:r>
    </w:p>
    <w:p w14:paraId="02C0D833">
      <w:pPr>
        <w:pStyle w:val="56"/>
        <w:ind w:firstLine="420"/>
        <w:rPr>
          <w:rFonts w:hint="eastAsia"/>
          <w:lang w:val="en-US" w:eastAsia="zh-CN"/>
        </w:rPr>
      </w:pPr>
      <w:r>
        <w:rPr>
          <w:rFonts w:hint="eastAsia"/>
        </w:rPr>
        <w:t>DB34/T3221</w:t>
      </w:r>
      <w:r>
        <w:rPr>
          <w:rFonts w:hint="eastAsia"/>
          <w:lang w:val="en-US" w:eastAsia="zh-CN"/>
        </w:rPr>
        <w:t>火灾高危单位消防安全评估规程</w:t>
      </w:r>
    </w:p>
    <w:p w14:paraId="0BE49218">
      <w:pPr>
        <w:pStyle w:val="56"/>
        <w:ind w:firstLine="420"/>
        <w:rPr>
          <w:rFonts w:hint="eastAsia"/>
        </w:rPr>
      </w:pPr>
      <w:r>
        <w:rPr>
          <w:rFonts w:hint="eastAsia"/>
        </w:rPr>
        <w:t>DB34/T4527新能源电动汽车换电站验收规范</w:t>
      </w:r>
    </w:p>
    <w:bookmarkEnd w:id="52"/>
    <w:bookmarkEnd w:id="53"/>
    <w:bookmarkEnd w:id="54"/>
    <w:p w14:paraId="794D9768">
      <w:pPr>
        <w:pStyle w:val="104"/>
        <w:spacing w:before="312" w:after="312"/>
        <w:rPr>
          <w:rFonts w:hint="eastAsia" w:hAnsi="Times New Roman" w:cs="Times New Roman"/>
          <w:lang w:eastAsia="zh-CN"/>
        </w:rPr>
      </w:pPr>
      <w:bookmarkStart w:id="55" w:name="_Toc521924223"/>
      <w:bookmarkStart w:id="56" w:name="_Toc521924270"/>
      <w:r>
        <w:rPr>
          <w:rFonts w:hint="eastAsia" w:hAnsi="Times New Roman" w:cs="Times New Roman"/>
          <w:lang w:eastAsia="zh-CN"/>
        </w:rPr>
        <w:t>术语和定义</w:t>
      </w:r>
    </w:p>
    <w:p w14:paraId="453005FA">
      <w:pPr>
        <w:pStyle w:val="104"/>
        <w:numPr>
          <w:ilvl w:val="1"/>
          <w:numId w:val="0"/>
        </w:numPr>
        <w:spacing w:before="312" w:after="312"/>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GB/T29317、GB/T29781和NB/T33005界定的以及下列术语和定义适用于本文件。</w:t>
      </w:r>
    </w:p>
    <w:p w14:paraId="1B99A1F5">
      <w:pPr>
        <w:pStyle w:val="105"/>
        <w:bidi w:val="0"/>
        <w:ind w:left="0" w:leftChars="0" w:firstLine="0" w:firstLineChars="0"/>
      </w:pPr>
    </w:p>
    <w:p w14:paraId="555E145D">
      <w:pPr>
        <w:numPr>
          <w:ilvl w:val="2"/>
          <w:numId w:val="0"/>
        </w:numPr>
        <w:spacing w:before="156" w:beforeLines="50" w:after="156" w:afterLines="50"/>
        <w:ind w:firstLine="420" w:firstLineChars="200"/>
        <w:outlineLvl w:val="1"/>
        <w:rPr>
          <w:rFonts w:hint="eastAsia"/>
          <w:color w:val="000000" w:themeColor="text1"/>
          <w:lang w:eastAsia="zh-CN"/>
        </w:rPr>
      </w:pPr>
      <w:r>
        <w:rPr>
          <w:rFonts w:hint="eastAsia" w:ascii="黑体" w:hAnsi="Times New Roman" w:eastAsia="黑体" w:cs="Times New Roman"/>
          <w:sz w:val="21"/>
          <w:szCs w:val="21"/>
          <w:lang w:eastAsia="zh-CN"/>
        </w:rPr>
        <w:t>充电设施运营单位charginginfrastructureoperator</w:t>
      </w:r>
      <w:r>
        <w:rPr>
          <w:rFonts w:hint="eastAsia" w:ascii="黑体" w:hAnsi="Times New Roman" w:eastAsia="黑体"/>
          <w:sz w:val="21"/>
          <w:szCs w:val="21"/>
        </w:rPr>
        <w:t>e</w:t>
      </w:r>
    </w:p>
    <w:p w14:paraId="5E630031">
      <w:pPr>
        <w:autoSpaceDE w:val="0"/>
        <w:autoSpaceDN w:val="0"/>
        <w:spacing w:beforeLines="0" w:afterLines="0"/>
        <w:ind w:firstLine="409" w:firstLineChars="195"/>
        <w:rPr>
          <w:rFonts w:hint="eastAsia"/>
          <w:color w:val="000000" w:themeColor="text1"/>
          <w:lang w:eastAsia="zh-CN"/>
        </w:rPr>
      </w:pPr>
      <w:r>
        <w:rPr>
          <w:rFonts w:hint="eastAsia"/>
          <w:color w:val="000000" w:themeColor="text1"/>
          <w:lang w:val="en-US" w:eastAsia="zh-CN"/>
        </w:rPr>
        <w:t>满足一定条件、具备履行经营责任能力，利用自有充电设施或接受他人委托，从事充电设施经营服务的法人企业</w:t>
      </w:r>
      <w:r>
        <w:rPr>
          <w:rFonts w:hint="eastAsia" w:ascii="宋体" w:hAnsi="Times New Roman"/>
          <w:sz w:val="21"/>
          <w:szCs w:val="21"/>
        </w:rPr>
        <w:t>。</w:t>
      </w:r>
    </w:p>
    <w:p w14:paraId="5C9E7131">
      <w:pPr>
        <w:pStyle w:val="105"/>
        <w:bidi w:val="0"/>
        <w:ind w:left="0" w:leftChars="0" w:firstLine="0" w:firstLineChars="0"/>
        <w:rPr>
          <w:spacing w:val="2"/>
          <w:sz w:val="20"/>
          <w:szCs w:val="20"/>
        </w:rPr>
      </w:pPr>
    </w:p>
    <w:p w14:paraId="29B8464F">
      <w:pPr>
        <w:numPr>
          <w:ilvl w:val="2"/>
          <w:numId w:val="0"/>
        </w:numPr>
        <w:spacing w:before="156" w:beforeLines="50" w:after="156" w:afterLines="50"/>
        <w:ind w:firstLine="420" w:firstLineChars="200"/>
        <w:outlineLvl w:val="1"/>
        <w:rPr>
          <w:rFonts w:hint="eastAsia" w:ascii="黑体" w:hAnsi="Times New Roman" w:eastAsia="黑体" w:cs="Times New Roman"/>
          <w:sz w:val="21"/>
          <w:szCs w:val="21"/>
          <w:lang w:eastAsia="zh-CN"/>
        </w:rPr>
      </w:pPr>
      <w:r>
        <w:rPr>
          <w:rFonts w:hint="eastAsia" w:ascii="黑体" w:hAnsi="Times New Roman" w:eastAsia="黑体" w:cs="Times New Roman"/>
          <w:sz w:val="21"/>
          <w:szCs w:val="21"/>
          <w:lang w:eastAsia="zh-CN"/>
        </w:rPr>
        <w:t>充电设施平台运营单位charginginfrastructureplatformoperator</w:t>
      </w:r>
    </w:p>
    <w:p w14:paraId="7F0267E0">
      <w:pPr>
        <w:pStyle w:val="132"/>
        <w:numPr>
          <w:ilvl w:val="0"/>
          <w:numId w:val="0"/>
        </w:numPr>
        <w:ind w:left="425" w:leftChars="0"/>
        <w:rPr>
          <w:rFonts w:ascii="Arial"/>
          <w:sz w:val="21"/>
        </w:rPr>
      </w:pPr>
      <w:r>
        <w:rPr>
          <w:rFonts w:hint="eastAsia"/>
          <w:color w:val="000000" w:themeColor="text1"/>
          <w:lang w:val="en-US" w:eastAsia="zh-CN"/>
        </w:rPr>
        <w:t>满足一定条件、具备履行经营责任能力，利用自有充电运营管理平台或接受他人委托，对平台内经营者充电设施的信息进行监管，从事平台经营服务的法人企业。</w:t>
      </w:r>
    </w:p>
    <w:p w14:paraId="638205F4">
      <w:pPr>
        <w:pStyle w:val="105"/>
        <w:bidi w:val="0"/>
        <w:ind w:left="0" w:leftChars="0" w:firstLine="0" w:firstLineChars="0"/>
        <w:rPr>
          <w:sz w:val="20"/>
          <w:szCs w:val="20"/>
        </w:rPr>
      </w:pPr>
    </w:p>
    <w:p w14:paraId="4E9EB9A4">
      <w:pPr>
        <w:numPr>
          <w:ilvl w:val="2"/>
          <w:numId w:val="0"/>
        </w:numPr>
        <w:spacing w:before="156" w:beforeLines="50" w:after="156" w:afterLines="50"/>
        <w:ind w:firstLine="420" w:firstLineChars="200"/>
        <w:outlineLvl w:val="1"/>
        <w:rPr>
          <w:rFonts w:hint="eastAsia" w:ascii="黑体" w:hAnsi="Times New Roman" w:eastAsia="黑体" w:cs="Times New Roman"/>
          <w:sz w:val="21"/>
          <w:szCs w:val="21"/>
          <w:lang w:eastAsia="zh-CN"/>
        </w:rPr>
      </w:pPr>
      <w:r>
        <w:rPr>
          <w:rFonts w:hint="eastAsia" w:ascii="黑体" w:hAnsi="Times New Roman" w:eastAsia="黑体" w:cs="Times New Roman"/>
          <w:sz w:val="21"/>
          <w:szCs w:val="21"/>
          <w:lang w:eastAsia="zh-CN"/>
        </w:rPr>
        <w:t>充电设施消防管理人charginginfrastructuremaintainer</w:t>
      </w:r>
    </w:p>
    <w:p w14:paraId="73A645E9">
      <w:pPr>
        <w:pStyle w:val="132"/>
        <w:numPr>
          <w:ilvl w:val="0"/>
          <w:numId w:val="0"/>
        </w:numPr>
        <w:ind w:left="425" w:leftChars="0"/>
        <w:rPr>
          <w:rFonts w:hint="eastAsia" w:ascii="宋体" w:hAnsi="Times New Roman" w:eastAsia="宋体" w:cs="Times New Roman"/>
          <w:color w:val="000000" w:themeColor="text1"/>
          <w:lang w:val="en-US" w:eastAsia="zh-CN"/>
        </w:rPr>
      </w:pPr>
      <w:r>
        <w:rPr>
          <w:rFonts w:hint="eastAsia" w:ascii="宋体" w:hAnsi="Times New Roman" w:eastAsia="宋体" w:cs="Times New Roman"/>
          <w:color w:val="000000" w:themeColor="text1"/>
          <w:lang w:val="en-US" w:eastAsia="zh-CN"/>
        </w:rPr>
        <w:t>受充电设施运营单位消防安全责任人委托落实充电站或管辖区域内分散充电设施消防安全管理的人员。</w:t>
      </w:r>
    </w:p>
    <w:p w14:paraId="7D40515C">
      <w:pPr>
        <w:pStyle w:val="105"/>
        <w:bidi w:val="0"/>
        <w:ind w:left="0" w:leftChars="0" w:firstLine="0" w:firstLineChars="0"/>
        <w:rPr>
          <w:rFonts w:hint="eastAsia" w:eastAsia="黑体"/>
          <w:sz w:val="20"/>
          <w:szCs w:val="20"/>
          <w:lang w:eastAsia="zh-CN"/>
        </w:rPr>
      </w:pPr>
    </w:p>
    <w:p w14:paraId="342ED7D9">
      <w:pPr>
        <w:numPr>
          <w:ilvl w:val="2"/>
          <w:numId w:val="0"/>
        </w:numPr>
        <w:spacing w:before="156" w:beforeLines="50" w:after="156" w:afterLines="50"/>
        <w:ind w:firstLine="420" w:firstLineChars="200"/>
        <w:outlineLvl w:val="1"/>
        <w:rPr>
          <w:rFonts w:hint="eastAsia" w:ascii="黑体" w:hAnsi="Times New Roman" w:eastAsia="黑体" w:cs="Times New Roman"/>
          <w:sz w:val="21"/>
          <w:szCs w:val="21"/>
          <w:lang w:eastAsia="zh-CN"/>
        </w:rPr>
      </w:pPr>
      <w:r>
        <w:rPr>
          <w:rFonts w:hint="eastAsia" w:ascii="黑体" w:hAnsi="Times New Roman" w:eastAsia="黑体" w:cs="Times New Roman"/>
          <w:sz w:val="21"/>
          <w:szCs w:val="21"/>
          <w:lang w:eastAsia="zh-CN"/>
        </w:rPr>
        <w:t>临时停车区temporaryparkingarea</w:t>
      </w:r>
    </w:p>
    <w:p w14:paraId="0FED370E">
      <w:pPr>
        <w:pStyle w:val="132"/>
        <w:numPr>
          <w:ilvl w:val="0"/>
          <w:numId w:val="0"/>
        </w:numPr>
        <w:ind w:left="425" w:leftChars="0"/>
        <w:rPr>
          <w:rFonts w:hint="eastAsia" w:ascii="宋体" w:hAnsi="Times New Roman" w:eastAsia="宋体" w:cs="Times New Roman"/>
          <w:color w:val="000000" w:themeColor="text1"/>
          <w:lang w:val="en-US" w:eastAsia="zh-CN"/>
        </w:rPr>
      </w:pPr>
      <w:r>
        <w:rPr>
          <w:rFonts w:hint="eastAsia" w:ascii="宋体" w:hAnsi="Times New Roman" w:eastAsia="宋体" w:cs="Times New Roman"/>
          <w:color w:val="000000" w:themeColor="text1"/>
          <w:lang w:val="en-US" w:eastAsia="zh-CN"/>
        </w:rPr>
        <w:t>充电站内为电动汽车充电前或充电后临时停放的区域，该区域不设置充电设施。</w:t>
      </w:r>
    </w:p>
    <w:p w14:paraId="438FBBB6">
      <w:pPr>
        <w:pStyle w:val="104"/>
        <w:spacing w:before="312" w:after="312"/>
        <w:rPr>
          <w:rFonts w:hint="eastAsia" w:hAnsi="Times New Roman" w:cs="Times New Roman"/>
          <w:lang w:eastAsia="zh-CN"/>
        </w:rPr>
      </w:pPr>
      <w:r>
        <w:rPr>
          <w:rFonts w:hint="eastAsia" w:hAnsi="Times New Roman" w:cs="Times New Roman"/>
          <w:lang w:eastAsia="zh-CN"/>
        </w:rPr>
        <w:t>基础要求</w:t>
      </w:r>
    </w:p>
    <w:p w14:paraId="50520CAB">
      <w:pPr>
        <w:pStyle w:val="105"/>
        <w:spacing w:before="156" w:after="156"/>
        <w:rPr>
          <w:rFonts w:hint="eastAsia" w:hAnsi="Times New Roman" w:cs="Times New Roman"/>
          <w:lang w:val="en-US" w:eastAsia="zh-CN"/>
        </w:rPr>
      </w:pPr>
      <w:r>
        <w:rPr>
          <w:rFonts w:hint="eastAsia" w:hAnsi="Times New Roman" w:cs="Times New Roman"/>
          <w:lang w:val="en-US" w:eastAsia="zh-CN"/>
        </w:rPr>
        <w:t>安装环境</w:t>
      </w:r>
    </w:p>
    <w:p w14:paraId="0CF51DF9">
      <w:pPr>
        <w:pStyle w:val="165"/>
        <w:rPr>
          <w:rFonts w:hint="eastAsia"/>
          <w:lang w:eastAsia="zh-CN"/>
        </w:rPr>
      </w:pPr>
      <w:r>
        <w:rPr>
          <w:rFonts w:hint="eastAsia"/>
          <w:lang w:eastAsia="zh-CN"/>
        </w:rPr>
        <w:t>充电设施的选址应充分利用就近的供电、消防等各类公用设施，应在可监控范围内</w:t>
      </w:r>
      <w:r>
        <w:rPr>
          <w:rFonts w:hint="default"/>
          <w:sz w:val="21"/>
          <w:szCs w:val="24"/>
        </w:rPr>
        <w:t>。</w:t>
      </w:r>
    </w:p>
    <w:p w14:paraId="3BA00B2D">
      <w:pPr>
        <w:pStyle w:val="165"/>
        <w:rPr>
          <w:rFonts w:hint="eastAsia" w:ascii="宋体" w:hAnsi="Times New Roman" w:eastAsia="宋体" w:cs="Times New Roman"/>
          <w:lang w:eastAsia="zh-CN"/>
        </w:rPr>
      </w:pPr>
      <w:r>
        <w:rPr>
          <w:rFonts w:hint="eastAsia" w:ascii="宋体" w:hAnsi="Times New Roman" w:eastAsia="宋体" w:cs="Times New Roman"/>
          <w:lang w:eastAsia="zh-CN"/>
        </w:rPr>
        <w:t>避免设置在各类易燃、易爆、有毒、有害场所或通风不良的地方，保障选址的安全性和便利性。</w:t>
      </w:r>
    </w:p>
    <w:p w14:paraId="2C18E2FD">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充电设施安装在室内应采取防水、防火等措施，在室外安装时应符合防水、防雷、防晒等要求，确保充电设施的安全性能。</w:t>
      </w:r>
    </w:p>
    <w:p w14:paraId="473E069D">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充电设施的选址应选取消防救援力量便于到达及不应影响逃生通道疏散的场所.</w:t>
      </w:r>
    </w:p>
    <w:p w14:paraId="6B43C7A9">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充电设施的选址应避免在管道铺设密集区下方建设。</w:t>
      </w:r>
    </w:p>
    <w:p w14:paraId="6D59FE6F">
      <w:pPr>
        <w:pStyle w:val="165"/>
        <w:rPr>
          <w:rFonts w:hint="eastAsia" w:ascii="宋体" w:hAnsi="Times New Roman" w:eastAsia="宋体" w:cs="Times New Roman"/>
          <w:lang w:eastAsia="zh-CN"/>
        </w:rPr>
      </w:pPr>
      <w:r>
        <w:rPr>
          <w:rFonts w:hint="eastAsia" w:ascii="宋体" w:hAnsi="Times New Roman" w:eastAsia="宋体" w:cs="Times New Roman"/>
          <w:lang w:eastAsia="zh-CN"/>
        </w:rPr>
        <w:t>当与有爆炸或火灾危险的建筑物毗连时，应符合GB50058的规定。</w:t>
      </w:r>
    </w:p>
    <w:p w14:paraId="366B743B">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充电设施不宜设在多尘或有腐蚀性气体的场所，当无法远离时，不应设在污染源盛行风向的下风侧。</w:t>
      </w:r>
    </w:p>
    <w:p w14:paraId="31A2E269">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充电设备周边不应放置可燃物品，并做好防撞措施；</w:t>
      </w:r>
    </w:p>
    <w:p w14:paraId="707D98D5">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充电设备安装前，应核对电路荷载、地线接驳等技术参数，并加装有漏电保护的控制装置；</w:t>
      </w:r>
    </w:p>
    <w:p w14:paraId="52DE0F72">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充电设备应有相应防潮措施，避开地势低洼及易积水处。</w:t>
      </w:r>
    </w:p>
    <w:p w14:paraId="4B404323">
      <w:pPr>
        <w:pStyle w:val="165"/>
        <w:rPr>
          <w:rFonts w:hint="eastAsia" w:ascii="宋体" w:hAnsi="Times New Roman" w:eastAsia="宋体" w:cs="Times New Roman"/>
          <w:lang w:eastAsia="zh-CN"/>
        </w:rPr>
      </w:pPr>
      <w:r>
        <w:rPr>
          <w:rFonts w:hint="eastAsia" w:ascii="宋体" w:hAnsi="Times New Roman" w:eastAsia="宋体" w:cs="Times New Roman"/>
          <w:lang w:eastAsia="zh-CN"/>
        </w:rPr>
        <w:t>宜设置专用车辆等候区域，便于换电车辆。</w:t>
      </w:r>
    </w:p>
    <w:p w14:paraId="2E2EB82F">
      <w:pPr>
        <w:pStyle w:val="105"/>
        <w:spacing w:before="156" w:after="156"/>
        <w:rPr>
          <w:rFonts w:hint="eastAsia"/>
          <w:lang w:eastAsia="zh-CN"/>
        </w:rPr>
      </w:pPr>
      <w:r>
        <w:rPr>
          <w:rFonts w:hint="eastAsia"/>
          <w:lang w:eastAsia="zh-CN"/>
        </w:rPr>
        <w:t>设施设备消防要求</w:t>
      </w:r>
    </w:p>
    <w:p w14:paraId="4003C194">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充电站应配置消防设施，换电站操作间及电池存放区域宜配备自动灭火系统，并不得移作他用。自动喷水灭火系统的设计应符合GB50084的要求，充电站的火灾危险等级应按照严重危险级I级设置。</w:t>
      </w:r>
    </w:p>
    <w:p w14:paraId="77F55157">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充电站应设置火灾自动报警联动系统，当发生火灾时，应立即切断充电电源。</w:t>
      </w:r>
    </w:p>
    <w:p w14:paraId="17B76FFB">
      <w:pPr>
        <w:pStyle w:val="165"/>
        <w:rPr>
          <w:rFonts w:hint="eastAsia"/>
          <w:lang w:eastAsia="zh-CN"/>
        </w:rPr>
      </w:pPr>
      <w:r>
        <w:rPr>
          <w:rFonts w:hint="eastAsia" w:ascii="宋体" w:hAnsi="Times New Roman" w:eastAsia="宋体" w:cs="Times New Roman"/>
          <w:lang w:eastAsia="zh-CN"/>
        </w:rPr>
        <w:t>充电站应配备电池灭火水箱或室外消火栓供水系统，设置应符合GB50974的有关规定，具备</w:t>
      </w:r>
      <w:r>
        <w:rPr>
          <w:rFonts w:hint="eastAsia"/>
          <w:lang w:eastAsia="zh-CN"/>
        </w:rPr>
        <w:t>快速输送转运电池能力。</w:t>
      </w:r>
    </w:p>
    <w:p w14:paraId="7E29ABFC">
      <w:pPr>
        <w:pStyle w:val="165"/>
        <w:rPr>
          <w:rFonts w:hint="eastAsia" w:ascii="宋体" w:hAnsi="Times New Roman" w:eastAsia="宋体" w:cs="Times New Roman"/>
          <w:lang w:eastAsia="zh-CN"/>
        </w:rPr>
      </w:pPr>
      <w:r>
        <w:rPr>
          <w:rFonts w:hint="eastAsia" w:ascii="宋体" w:hAnsi="Times New Roman" w:eastAsia="宋体" w:cs="Times New Roman"/>
          <w:lang w:eastAsia="zh-CN"/>
        </w:rPr>
        <w:t>集中设置的且有运营单位管理的分散充电设施场所为建筑物内部时，应设置室内消火栓系统，用水量不应小于10L/s，系统管道内的压力应保证相邻两个消火栓的水枪充实水柱同时到达室内任何部位，并应符合GB50974的有关规定。</w:t>
      </w:r>
    </w:p>
    <w:p w14:paraId="6D6EAD62">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充电设施应视为“明火地点”或“散发火花地点”，与其它设施的防火间距应参照GB50016相关规定执行。</w:t>
      </w:r>
    </w:p>
    <w:p w14:paraId="1DC4BAC9">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充电站内需要存储电池时，电池应存储在单独建筑内，防火设计应按照甲类仓库的有关要求确定。</w:t>
      </w:r>
    </w:p>
    <w:p w14:paraId="1E992FD6">
      <w:pPr>
        <w:pStyle w:val="165"/>
        <w:rPr>
          <w:rFonts w:hint="eastAsia" w:ascii="宋体" w:hAnsi="Times New Roman" w:eastAsia="宋体" w:cs="Times New Roman"/>
          <w:lang w:eastAsia="zh-CN"/>
        </w:rPr>
      </w:pPr>
      <w:r>
        <w:rPr>
          <w:rFonts w:hint="eastAsia" w:ascii="宋体" w:hAnsi="Times New Roman" w:eastAsia="宋体" w:cs="Times New Roman"/>
          <w:lang w:eastAsia="zh-CN"/>
        </w:rPr>
        <w:t>电动汽车充电桩壳体符合GB/T39710的要求；</w:t>
      </w:r>
    </w:p>
    <w:p w14:paraId="2331DBE2">
      <w:pPr>
        <w:pStyle w:val="165"/>
        <w:rPr>
          <w:rFonts w:hint="eastAsia" w:ascii="宋体" w:hAnsi="Times New Roman" w:eastAsia="宋体" w:cs="Times New Roman"/>
          <w:lang w:eastAsia="zh-CN"/>
        </w:rPr>
      </w:pPr>
      <w:r>
        <w:rPr>
          <w:rFonts w:hint="eastAsia" w:ascii="宋体" w:hAnsi="Times New Roman" w:eastAsia="宋体" w:cs="Times New Roman"/>
          <w:lang w:eastAsia="zh-CN"/>
        </w:rPr>
        <w:t>汽车库、停车场其分类、耐火等级、安全疏散和消防设施等要求应符合GB50016-2014和GB50067的相关规定。</w:t>
      </w:r>
    </w:p>
    <w:p w14:paraId="2C3D516D">
      <w:pPr>
        <w:pStyle w:val="165"/>
        <w:rPr>
          <w:rFonts w:hint="eastAsia" w:ascii="宋体" w:hAnsi="Times New Roman" w:eastAsia="宋体" w:cs="Times New Roman"/>
          <w:lang w:eastAsia="zh-CN"/>
        </w:rPr>
      </w:pPr>
      <w:r>
        <w:rPr>
          <w:rFonts w:hint="eastAsia" w:ascii="宋体" w:hAnsi="Times New Roman" w:eastAsia="宋体" w:cs="Times New Roman"/>
          <w:lang w:eastAsia="zh-CN"/>
        </w:rPr>
        <w:t>电缆防火与阻止延燃应符合GB50217第7章的相关规定。</w:t>
      </w:r>
    </w:p>
    <w:p w14:paraId="6DEE20E0">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充电设施供电系统的消防安全应符合NB/T33018的相关规定。</w:t>
      </w:r>
    </w:p>
    <w:p w14:paraId="25F552E1">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充电和故障报文按照DB34/T2437的相关要求。</w:t>
      </w:r>
    </w:p>
    <w:p w14:paraId="3F4A0CA7">
      <w:pPr>
        <w:pStyle w:val="165"/>
        <w:rPr>
          <w:rFonts w:hint="eastAsia" w:ascii="宋体" w:hAnsi="Times New Roman" w:eastAsia="宋体" w:cs="Times New Roman"/>
          <w:lang w:eastAsia="zh-CN"/>
        </w:rPr>
      </w:pPr>
      <w:r>
        <w:rPr>
          <w:rFonts w:hint="eastAsia" w:ascii="宋体" w:hAnsi="Times New Roman" w:eastAsia="宋体" w:cs="Times New Roman"/>
          <w:lang w:eastAsia="zh-CN"/>
        </w:rPr>
        <w:t>定期对现场进行消防安全评估，评估标准符合DB34/T3221的相关规定。</w:t>
      </w:r>
    </w:p>
    <w:p w14:paraId="30FBFEC6">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充电设施技术要求符合DB34/T4527的相关规定。</w:t>
      </w:r>
    </w:p>
    <w:p w14:paraId="4CF44D59">
      <w:pPr>
        <w:pStyle w:val="165"/>
        <w:rPr>
          <w:rFonts w:hint="eastAsia" w:ascii="宋体" w:hAnsi="Times New Roman" w:eastAsia="宋体" w:cs="Times New Roman"/>
          <w:lang w:eastAsia="zh-CN"/>
        </w:rPr>
      </w:pPr>
      <w:r>
        <w:rPr>
          <w:rFonts w:hint="eastAsia" w:ascii="宋体" w:hAnsi="Times New Roman" w:eastAsia="宋体" w:cs="Times New Roman"/>
          <w:lang w:eastAsia="zh-CN"/>
        </w:rPr>
        <w:t>新建汽车库内配建的充电设施在同一防火分区内应集中布置，且应符合以下规定：</w:t>
      </w:r>
    </w:p>
    <w:p w14:paraId="7BD94FD7">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布置在一、二级耐火等级的汽车库的首层、二层或三层；</w:t>
      </w:r>
    </w:p>
    <w:p w14:paraId="55AD6420">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设置在地下或半地下时，宜布置在地下车库的首层，不应布置在地下建筑四层及以下；</w:t>
      </w:r>
    </w:p>
    <w:p w14:paraId="5B0CF2C0">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设置独立的防火分区，每个防火分区的最大允许建筑面积应符合表1的规定；</w:t>
      </w:r>
    </w:p>
    <w:p w14:paraId="7E3FA468">
      <w:pPr>
        <w:pStyle w:val="244"/>
        <w:rPr>
          <w:rFonts w:hint="eastAsia"/>
          <w:lang w:eastAsia="zh-CN"/>
        </w:rPr>
      </w:pPr>
      <w:r>
        <w:rPr>
          <w:rFonts w:hint="eastAsia"/>
          <w:lang w:eastAsia="zh-CN"/>
        </w:rPr>
        <w:t>集中布置的充电设施区防火分区最大允许建筑面积</w:t>
      </w:r>
    </w:p>
    <w:p w14:paraId="067784D2">
      <w:pPr>
        <w:pStyle w:val="56"/>
        <w:jc w:val="right"/>
        <w:rPr>
          <w:rFonts w:hint="eastAsia"/>
          <w:sz w:val="18"/>
          <w:szCs w:val="18"/>
          <w:lang w:eastAsia="zh-CN"/>
        </w:rPr>
      </w:pPr>
      <w:r>
        <w:rPr>
          <w:rFonts w:hint="eastAsia"/>
          <w:sz w:val="18"/>
          <w:szCs w:val="18"/>
          <w:lang w:eastAsia="zh-CN"/>
        </w:rPr>
        <w:t>单位平方米</w:t>
      </w:r>
    </w:p>
    <w:tbl>
      <w:tblPr>
        <w:tblStyle w:val="242"/>
        <w:tblW w:w="95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4"/>
        <w:gridCol w:w="2069"/>
        <w:gridCol w:w="2069"/>
        <w:gridCol w:w="3620"/>
      </w:tblGrid>
      <w:tr w14:paraId="3D2E0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814" w:type="dxa"/>
            <w:vAlign w:val="top"/>
          </w:tcPr>
          <w:p w14:paraId="296505B7">
            <w:pPr>
              <w:spacing w:before="57" w:line="228" w:lineRule="auto"/>
              <w:ind w:left="538"/>
              <w:rPr>
                <w:rFonts w:ascii="宋体" w:hAnsi="宋体" w:eastAsia="宋体" w:cs="宋体"/>
                <w:sz w:val="18"/>
                <w:szCs w:val="18"/>
              </w:rPr>
            </w:pPr>
            <w:r>
              <w:rPr>
                <w:rFonts w:ascii="宋体" w:hAnsi="宋体" w:eastAsia="宋体" w:cs="宋体"/>
                <w:spacing w:val="6"/>
                <w:sz w:val="18"/>
                <w:szCs w:val="18"/>
              </w:rPr>
              <w:t>耐火等级</w:t>
            </w:r>
          </w:p>
        </w:tc>
        <w:tc>
          <w:tcPr>
            <w:tcW w:w="2069" w:type="dxa"/>
            <w:vAlign w:val="top"/>
          </w:tcPr>
          <w:p w14:paraId="47681C03">
            <w:pPr>
              <w:spacing w:before="57" w:line="228" w:lineRule="auto"/>
              <w:ind w:left="113"/>
              <w:rPr>
                <w:rFonts w:ascii="宋体" w:hAnsi="宋体" w:eastAsia="宋体" w:cs="宋体"/>
                <w:sz w:val="18"/>
                <w:szCs w:val="18"/>
              </w:rPr>
            </w:pPr>
            <w:r>
              <w:rPr>
                <w:rFonts w:ascii="宋体" w:hAnsi="宋体" w:eastAsia="宋体" w:cs="宋体"/>
                <w:spacing w:val="8"/>
                <w:sz w:val="18"/>
                <w:szCs w:val="18"/>
              </w:rPr>
              <w:t>单层汽车库面积</w:t>
            </w:r>
          </w:p>
        </w:tc>
        <w:tc>
          <w:tcPr>
            <w:tcW w:w="2069" w:type="dxa"/>
            <w:vAlign w:val="top"/>
          </w:tcPr>
          <w:p w14:paraId="0C948DFE">
            <w:pPr>
              <w:spacing w:before="57" w:line="228" w:lineRule="auto"/>
              <w:ind w:left="123"/>
              <w:rPr>
                <w:rFonts w:ascii="宋体" w:hAnsi="宋体" w:eastAsia="宋体" w:cs="宋体"/>
                <w:sz w:val="18"/>
                <w:szCs w:val="18"/>
              </w:rPr>
            </w:pPr>
            <w:r>
              <w:rPr>
                <w:rFonts w:ascii="宋体" w:hAnsi="宋体" w:eastAsia="宋体" w:cs="宋体"/>
                <w:spacing w:val="7"/>
                <w:sz w:val="18"/>
                <w:szCs w:val="18"/>
              </w:rPr>
              <w:t>多层汽车库面积</w:t>
            </w:r>
          </w:p>
        </w:tc>
        <w:tc>
          <w:tcPr>
            <w:tcW w:w="3620" w:type="dxa"/>
            <w:vAlign w:val="top"/>
          </w:tcPr>
          <w:p w14:paraId="49D90C9F">
            <w:pPr>
              <w:spacing w:before="57" w:line="228" w:lineRule="auto"/>
              <w:ind w:left="113"/>
              <w:jc w:val="center"/>
              <w:rPr>
                <w:rFonts w:ascii="宋体" w:hAnsi="宋体" w:eastAsia="宋体" w:cs="宋体"/>
                <w:sz w:val="18"/>
                <w:szCs w:val="18"/>
              </w:rPr>
            </w:pPr>
            <w:r>
              <w:rPr>
                <w:rFonts w:ascii="宋体" w:hAnsi="宋体" w:eastAsia="宋体" w:cs="宋体"/>
                <w:spacing w:val="9"/>
                <w:sz w:val="18"/>
                <w:szCs w:val="18"/>
              </w:rPr>
              <w:t>地下汽车库或高层汽车库面积</w:t>
            </w:r>
          </w:p>
        </w:tc>
      </w:tr>
      <w:tr w14:paraId="20C5A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814" w:type="dxa"/>
            <w:vAlign w:val="top"/>
          </w:tcPr>
          <w:p w14:paraId="4212D50B">
            <w:pPr>
              <w:spacing w:before="57" w:line="230" w:lineRule="auto"/>
              <w:jc w:val="center"/>
              <w:rPr>
                <w:rFonts w:ascii="宋体" w:hAnsi="宋体" w:eastAsia="宋体" w:cs="宋体"/>
                <w:spacing w:val="6"/>
                <w:sz w:val="18"/>
                <w:szCs w:val="18"/>
              </w:rPr>
            </w:pPr>
            <w:r>
              <w:rPr>
                <w:rFonts w:ascii="宋体" w:hAnsi="宋体" w:eastAsia="宋体" w:cs="宋体"/>
                <w:spacing w:val="6"/>
                <w:sz w:val="18"/>
                <w:szCs w:val="18"/>
              </w:rPr>
              <w:t>一、二级</w:t>
            </w:r>
          </w:p>
        </w:tc>
        <w:tc>
          <w:tcPr>
            <w:tcW w:w="2069" w:type="dxa"/>
            <w:vAlign w:val="top"/>
          </w:tcPr>
          <w:p w14:paraId="541010DB">
            <w:pPr>
              <w:spacing w:before="89" w:line="190" w:lineRule="auto"/>
              <w:jc w:val="center"/>
              <w:rPr>
                <w:rFonts w:ascii="宋体" w:hAnsi="宋体" w:eastAsia="宋体" w:cs="宋体"/>
                <w:spacing w:val="8"/>
                <w:sz w:val="18"/>
                <w:szCs w:val="18"/>
              </w:rPr>
            </w:pPr>
            <w:r>
              <w:rPr>
                <w:rFonts w:ascii="宋体" w:hAnsi="宋体" w:eastAsia="宋体" w:cs="宋体"/>
                <w:spacing w:val="-1"/>
                <w:sz w:val="18"/>
                <w:szCs w:val="18"/>
              </w:rPr>
              <w:t>1500</w:t>
            </w:r>
          </w:p>
        </w:tc>
        <w:tc>
          <w:tcPr>
            <w:tcW w:w="2069" w:type="dxa"/>
            <w:vAlign w:val="top"/>
          </w:tcPr>
          <w:p w14:paraId="5372AB4A">
            <w:pPr>
              <w:spacing w:before="89" w:line="190" w:lineRule="auto"/>
              <w:jc w:val="center"/>
              <w:rPr>
                <w:rFonts w:ascii="宋体" w:hAnsi="宋体" w:eastAsia="宋体" w:cs="宋体"/>
                <w:spacing w:val="7"/>
                <w:sz w:val="18"/>
                <w:szCs w:val="18"/>
              </w:rPr>
            </w:pPr>
            <w:r>
              <w:rPr>
                <w:rFonts w:ascii="宋体" w:hAnsi="宋体" w:eastAsia="宋体" w:cs="宋体"/>
                <w:spacing w:val="-1"/>
                <w:sz w:val="18"/>
                <w:szCs w:val="18"/>
              </w:rPr>
              <w:t>1250</w:t>
            </w:r>
          </w:p>
        </w:tc>
        <w:tc>
          <w:tcPr>
            <w:tcW w:w="3620" w:type="dxa"/>
            <w:vAlign w:val="top"/>
          </w:tcPr>
          <w:p w14:paraId="1B792105">
            <w:pPr>
              <w:spacing w:before="89" w:line="190" w:lineRule="auto"/>
              <w:jc w:val="center"/>
              <w:rPr>
                <w:rFonts w:ascii="宋体" w:hAnsi="宋体" w:eastAsia="宋体" w:cs="宋体"/>
                <w:spacing w:val="9"/>
                <w:sz w:val="18"/>
                <w:szCs w:val="18"/>
              </w:rPr>
            </w:pPr>
            <w:r>
              <w:rPr>
                <w:rFonts w:ascii="宋体" w:hAnsi="宋体" w:eastAsia="宋体" w:cs="宋体"/>
                <w:spacing w:val="-1"/>
                <w:sz w:val="18"/>
                <w:szCs w:val="18"/>
              </w:rPr>
              <w:t>1000</w:t>
            </w:r>
          </w:p>
        </w:tc>
      </w:tr>
    </w:tbl>
    <w:p w14:paraId="3111082A">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每个防火分区采用耐火极限不小于2.00h的防火隔墙或防火卷帘、防火分隔水幕与其它防火单元和汽车库其他部位分隔。采用防火分隔水幕时，应符合GB50084的相关规定；</w:t>
      </w:r>
    </w:p>
    <w:p w14:paraId="067C5B42">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防火隔墙上需开设相互连通的门时，应采用不低于耐火等级为乙级的防火门。</w:t>
      </w:r>
    </w:p>
    <w:p w14:paraId="5751DF01">
      <w:pPr>
        <w:pStyle w:val="165"/>
        <w:rPr>
          <w:rFonts w:hint="eastAsia" w:ascii="宋体" w:hAnsi="Times New Roman" w:eastAsia="宋体" w:cs="Times New Roman"/>
          <w:lang w:eastAsia="zh-CN"/>
        </w:rPr>
      </w:pPr>
      <w:r>
        <w:rPr>
          <w:rFonts w:hint="eastAsia" w:ascii="宋体" w:hAnsi="Times New Roman" w:eastAsia="宋体" w:cs="Times New Roman"/>
          <w:lang w:eastAsia="zh-CN"/>
        </w:rPr>
        <w:t>地下、半地下和高层汽车库内配建分散充电设施时，应设置火灾自动报警系统、排烟设施、自动喷水灭火系统、消防应急照明和疏散指示标志。</w:t>
      </w:r>
    </w:p>
    <w:p w14:paraId="40DAA02D">
      <w:pPr>
        <w:pStyle w:val="165"/>
        <w:rPr>
          <w:rFonts w:hint="eastAsia" w:ascii="宋体" w:hAnsi="Times New Roman" w:eastAsia="宋体" w:cs="Times New Roman"/>
          <w:lang w:eastAsia="zh-CN"/>
        </w:rPr>
      </w:pPr>
      <w:r>
        <w:rPr>
          <w:rFonts w:hint="eastAsia" w:ascii="宋体" w:hAnsi="Times New Roman" w:eastAsia="宋体" w:cs="Times New Roman"/>
          <w:lang w:eastAsia="zh-CN"/>
        </w:rPr>
        <w:t>既有建筑内配建充电设施宜符合本规范条4.2.12的规定。未符合的不得配建分散充电设施。</w:t>
      </w:r>
    </w:p>
    <w:p w14:paraId="41110115">
      <w:pPr>
        <w:pStyle w:val="165"/>
        <w:rPr>
          <w:rFonts w:hint="eastAsia"/>
          <w:lang w:eastAsia="zh-CN"/>
        </w:rPr>
      </w:pPr>
      <w:r>
        <w:rPr>
          <w:rFonts w:hint="eastAsia" w:ascii="宋体" w:hAnsi="Times New Roman" w:eastAsia="宋体" w:cs="Times New Roman"/>
          <w:lang w:eastAsia="zh-CN"/>
        </w:rPr>
        <w:t>集中布置的充电设施区域应依据GB50140的规定，按照“严重危险级”配置灭火器，并符合下列规定</w:t>
      </w:r>
      <w:r>
        <w:rPr>
          <w:rFonts w:hint="eastAsia"/>
          <w:lang w:eastAsia="zh-CN"/>
        </w:rPr>
        <w:t>：</w:t>
      </w:r>
    </w:p>
    <w:p w14:paraId="7C2CC864">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灭火器宜采用水基型手提式灭火器；</w:t>
      </w:r>
    </w:p>
    <w:p w14:paraId="0FFCABDB">
      <w:pPr>
        <w:pStyle w:val="132"/>
        <w:rPr>
          <w:rFonts w:hint="eastAsia" w:ascii="宋体" w:hAnsi="Times New Roman" w:eastAsia="宋体" w:cs="Times New Roman"/>
          <w:color w:val="000000" w:themeColor="text1"/>
          <w:lang w:eastAsia="zh-CN"/>
        </w:rPr>
      </w:pPr>
      <w:r>
        <w:rPr>
          <w:rFonts w:hint="eastAsia" w:ascii="宋体" w:hAnsi="Times New Roman" w:eastAsia="宋体" w:cs="Times New Roman"/>
          <w:color w:val="000000" w:themeColor="text1"/>
          <w:lang w:eastAsia="zh-CN"/>
        </w:rPr>
        <w:t>在充电基础设施附近，宜增加配置灭火剂充装量不小于60L的推车式水基型灭火器或推车式水喷雾灭火器，推车式灭火器最大保护距离应为15m。</w:t>
      </w:r>
    </w:p>
    <w:p w14:paraId="78A65ADB">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充电站内应设置灭火毯，I、Ⅱ类充电站灭火毯不少于5块；Ⅲ类充电站灭火毯不少于2块，在确保人员安全的情况下用灭火毯来覆盖起火点周边车辆。</w:t>
      </w:r>
    </w:p>
    <w:p w14:paraId="11258D09">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充电站内应设置消防沙坑（库），消防沙不少于2㎥,消防沙应设置在方便取用的位置，应保持充足和干燥，且可作为事故电池紧急掩埋坑使用。</w:t>
      </w:r>
    </w:p>
    <w:p w14:paraId="2035B861">
      <w:pPr>
        <w:pStyle w:val="165"/>
        <w:rPr>
          <w:rFonts w:hint="eastAsia" w:ascii="宋体" w:hAnsi="Times New Roman" w:eastAsia="宋体" w:cs="Times New Roman"/>
          <w:lang w:eastAsia="zh-CN"/>
        </w:rPr>
      </w:pPr>
      <w:r>
        <w:rPr>
          <w:rFonts w:hint="eastAsia" w:ascii="宋体" w:hAnsi="Times New Roman" w:eastAsia="宋体" w:cs="Times New Roman"/>
          <w:lang w:eastAsia="zh-CN"/>
        </w:rPr>
        <w:t>室外充电设施宜与就近建筑物或汽车库、停车场共用消防设施。</w:t>
      </w:r>
    </w:p>
    <w:p w14:paraId="0A3D104D">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充电设施安装完毕后应进行全面测试，排除可能存在的安全隐患。</w:t>
      </w:r>
    </w:p>
    <w:p w14:paraId="6EEF77E7">
      <w:pPr>
        <w:pStyle w:val="105"/>
        <w:spacing w:before="156" w:after="156"/>
        <w:rPr>
          <w:rFonts w:hint="eastAsia"/>
          <w:lang w:eastAsia="zh-CN"/>
        </w:rPr>
      </w:pPr>
      <w:r>
        <w:rPr>
          <w:rFonts w:hint="eastAsia"/>
          <w:lang w:eastAsia="zh-CN"/>
        </w:rPr>
        <w:t>标识管理</w:t>
      </w:r>
    </w:p>
    <w:p w14:paraId="7496C354">
      <w:pPr>
        <w:pStyle w:val="165"/>
        <w:rPr>
          <w:rFonts w:hint="eastAsia" w:ascii="宋体" w:hAnsi="Times New Roman" w:eastAsia="宋体" w:cs="Times New Roman"/>
          <w:lang w:eastAsia="zh-CN"/>
        </w:rPr>
      </w:pPr>
      <w:r>
        <w:rPr>
          <w:rFonts w:hint="eastAsia" w:ascii="宋体" w:hAnsi="Times New Roman" w:eastAsia="宋体" w:cs="Times New Roman"/>
          <w:lang w:eastAsia="zh-CN"/>
        </w:rPr>
        <w:t>消防安全标志，应符合GB13495.1的要求，标识应清晰、醒目、易识别，颜色应鲜明，字体应明确，应具有良好的防水、防晒和耐候性能。</w:t>
      </w:r>
    </w:p>
    <w:p w14:paraId="7A265A7E">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充电站内设施应在进出口、充电桩、充电插头等显著位置设置消防安全管理标识，提示用户注意设施环境、电气安全、安全操作等信息，标志应符合GB/T31525中的要求。</w:t>
      </w:r>
    </w:p>
    <w:p w14:paraId="66F4E4BB">
      <w:pPr>
        <w:pStyle w:val="165"/>
        <w:rPr>
          <w:rFonts w:hint="eastAsia" w:ascii="宋体" w:hAnsi="Times New Roman" w:eastAsia="宋体" w:cs="Times New Roman"/>
          <w:lang w:eastAsia="zh-CN"/>
        </w:rPr>
      </w:pPr>
      <w:r>
        <w:rPr>
          <w:rFonts w:hint="eastAsia" w:ascii="宋体" w:hAnsi="Times New Roman" w:eastAsia="宋体" w:cs="Times New Roman"/>
          <w:lang w:eastAsia="zh-CN"/>
        </w:rPr>
        <w:t>应在明显位置设置公示牌，应包括充电站的名称、运营时间、服务项目、服务热线、用途、站点地图指示、</w:t>
      </w:r>
      <w:r>
        <w:rPr>
          <w:rFonts w:hint="eastAsia" w:cs="Times New Roman"/>
          <w:lang w:eastAsia="zh-CN"/>
        </w:rPr>
        <w:t>求助</w:t>
      </w:r>
      <w:r>
        <w:rPr>
          <w:rFonts w:hint="eastAsia" w:ascii="宋体" w:hAnsi="Times New Roman" w:eastAsia="宋体" w:cs="Times New Roman"/>
          <w:lang w:eastAsia="zh-CN"/>
        </w:rPr>
        <w:t>电话、监督举报电话以及当前站内充电设备可供使用情况等。</w:t>
      </w:r>
    </w:p>
    <w:p w14:paraId="4836D4CA">
      <w:pPr>
        <w:pStyle w:val="165"/>
        <w:rPr>
          <w:rFonts w:hint="eastAsia" w:ascii="宋体" w:hAnsi="Times New Roman" w:eastAsia="宋体" w:cs="Times New Roman"/>
          <w:lang w:eastAsia="zh-CN"/>
        </w:rPr>
      </w:pPr>
      <w:r>
        <w:rPr>
          <w:rFonts w:hint="eastAsia" w:ascii="宋体" w:hAnsi="Times New Roman" w:eastAsia="宋体" w:cs="Times New Roman"/>
          <w:lang w:eastAsia="zh-CN"/>
        </w:rPr>
        <w:t>应设置安全警示标志应设置进出场相应提示、引导标识以及车辆限速标识。</w:t>
      </w:r>
    </w:p>
    <w:p w14:paraId="4158AF65">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充电车位应有明显的标识，且应在明显位置标示“充电时禁止人员停留在车内”的警告。</w:t>
      </w:r>
    </w:p>
    <w:p w14:paraId="5C0D99E8">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充电设施区域应公示运营单位名称及消防安全责任人、充电设施消防安全管理人、紧急联系人、消防安全管理制度等信息。</w:t>
      </w:r>
    </w:p>
    <w:p w14:paraId="3F965810">
      <w:pPr>
        <w:pStyle w:val="105"/>
        <w:spacing w:before="156" w:after="156"/>
        <w:rPr>
          <w:rFonts w:hint="eastAsia"/>
          <w:lang w:eastAsia="zh-CN"/>
        </w:rPr>
      </w:pPr>
      <w:r>
        <w:rPr>
          <w:rFonts w:hint="eastAsia"/>
          <w:lang w:eastAsia="zh-CN"/>
        </w:rPr>
        <w:t>相关方人员要求</w:t>
      </w:r>
    </w:p>
    <w:p w14:paraId="6BA63D89">
      <w:pPr>
        <w:pStyle w:val="165"/>
        <w:rPr>
          <w:rFonts w:hint="eastAsia" w:ascii="宋体" w:hAnsi="Times New Roman" w:eastAsia="宋体" w:cs="Times New Roman"/>
          <w:lang w:eastAsia="zh-CN"/>
        </w:rPr>
      </w:pPr>
      <w:r>
        <w:rPr>
          <w:rFonts w:hint="eastAsia" w:ascii="宋体" w:hAnsi="Times New Roman" w:eastAsia="宋体" w:cs="Times New Roman"/>
          <w:lang w:eastAsia="zh-CN"/>
        </w:rPr>
        <w:t>建立完善各级安全管理机制，加强充电设施运营安全监管.</w:t>
      </w:r>
    </w:p>
    <w:p w14:paraId="3D655657">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充电设施的安全生产责任主体为其权属人（包括自用充电设备）。权属人可以委托第三方包括但不限于运营企业、物业企业。对充电设施进行运营管理并签订安全生产管理协议。</w:t>
      </w:r>
    </w:p>
    <w:p w14:paraId="2FEF9400">
      <w:pPr>
        <w:pStyle w:val="165"/>
        <w:rPr>
          <w:rFonts w:hint="eastAsia" w:ascii="宋体" w:hAnsi="Times New Roman" w:eastAsia="宋体" w:cs="Times New Roman"/>
          <w:lang w:eastAsia="zh-CN"/>
        </w:rPr>
      </w:pPr>
      <w:r>
        <w:rPr>
          <w:rFonts w:hint="eastAsia" w:ascii="宋体" w:hAnsi="Times New Roman" w:eastAsia="宋体" w:cs="Times New Roman"/>
          <w:lang w:eastAsia="zh-CN"/>
        </w:rPr>
        <w:t>责任主体应建立健全相关消防安全管理制度以及制定科学的行为规范及操作规程，设置安全管理组织或配备专职或兼职安全员，运营各环节应明确安全责任人，将运营服务安全管理贯穿于运营服务全过程。</w:t>
      </w:r>
    </w:p>
    <w:p w14:paraId="5B9B13B7">
      <w:pPr>
        <w:pStyle w:val="165"/>
        <w:rPr>
          <w:rFonts w:hint="eastAsia" w:ascii="宋体" w:hAnsi="Times New Roman" w:eastAsia="宋体" w:cs="Times New Roman"/>
          <w:lang w:eastAsia="zh-CN"/>
        </w:rPr>
      </w:pPr>
      <w:r>
        <w:rPr>
          <w:rFonts w:hint="eastAsia" w:ascii="宋体" w:hAnsi="Times New Roman" w:eastAsia="宋体" w:cs="Times New Roman"/>
          <w:lang w:eastAsia="zh-CN"/>
        </w:rPr>
        <w:t>权属人应与设备厂家签订相关维保协议，根据协议内容明确权责，定期维保并协调排除安全隐患。</w:t>
      </w:r>
    </w:p>
    <w:p w14:paraId="7CC67541">
      <w:pPr>
        <w:pStyle w:val="165"/>
        <w:rPr>
          <w:rFonts w:hint="eastAsia" w:ascii="宋体" w:hAnsi="Times New Roman" w:eastAsia="宋体" w:cs="Times New Roman"/>
          <w:lang w:eastAsia="zh-CN"/>
        </w:rPr>
      </w:pPr>
      <w:r>
        <w:rPr>
          <w:rFonts w:hint="eastAsia" w:ascii="宋体" w:hAnsi="Times New Roman" w:eastAsia="宋体" w:cs="Times New Roman"/>
          <w:lang w:eastAsia="zh-CN"/>
        </w:rPr>
        <w:t>设备维保单位定期对充电设施及充电桩定期进行维护保养，保证其正常使用，并将设备情况形成书面文件交由权属人。</w:t>
      </w:r>
    </w:p>
    <w:p w14:paraId="72E9645D">
      <w:pPr>
        <w:pStyle w:val="165"/>
        <w:rPr>
          <w:rFonts w:hint="eastAsia" w:ascii="宋体" w:hAnsi="Times New Roman" w:eastAsia="宋体" w:cs="Times New Roman"/>
          <w:lang w:eastAsia="zh-CN"/>
        </w:rPr>
      </w:pPr>
      <w:r>
        <w:rPr>
          <w:rFonts w:hint="eastAsia" w:ascii="宋体" w:hAnsi="Times New Roman" w:eastAsia="宋体" w:cs="Times New Roman"/>
          <w:lang w:eastAsia="zh-CN"/>
        </w:rPr>
        <w:t>管理人员和作业人员应接受安全生产教育和岗位技能培训，掌握电动汽车安全知识、用电安全规范、电动汽车发生紧急情况的处理方法和触电急救法，考核合格后上岗。</w:t>
      </w:r>
    </w:p>
    <w:p w14:paraId="4AA55EE5">
      <w:pPr>
        <w:pStyle w:val="165"/>
        <w:rPr>
          <w:rFonts w:hint="eastAsia" w:ascii="宋体" w:hAnsi="Times New Roman" w:eastAsia="宋体" w:cs="Times New Roman"/>
          <w:lang w:eastAsia="zh-CN"/>
        </w:rPr>
      </w:pPr>
      <w:r>
        <w:rPr>
          <w:rFonts w:hint="eastAsia" w:ascii="宋体" w:hAnsi="Times New Roman" w:eastAsia="宋体" w:cs="Times New Roman"/>
          <w:lang w:eastAsia="zh-CN"/>
        </w:rPr>
        <w:t>经培训后的在岗工作人员应能现场演示正确的充电全过程并口头说明注意事项、触电急救方法、日常巡检时间及内容等。</w:t>
      </w:r>
    </w:p>
    <w:p w14:paraId="3C329A32">
      <w:pPr>
        <w:pStyle w:val="165"/>
        <w:rPr>
          <w:rFonts w:hint="eastAsia" w:ascii="宋体" w:hAnsi="Times New Roman" w:eastAsia="宋体" w:cs="Times New Roman"/>
          <w:lang w:eastAsia="zh-CN"/>
        </w:rPr>
      </w:pPr>
      <w:r>
        <w:rPr>
          <w:rFonts w:hint="eastAsia" w:ascii="宋体" w:hAnsi="Times New Roman" w:eastAsia="宋体" w:cs="Times New Roman"/>
          <w:lang w:eastAsia="zh-CN"/>
        </w:rPr>
        <w:t>员工应积极配合各项消防安全管理工作。</w:t>
      </w:r>
    </w:p>
    <w:p w14:paraId="12EFC1D6">
      <w:pPr>
        <w:pStyle w:val="105"/>
        <w:spacing w:before="156" w:after="156"/>
        <w:rPr>
          <w:rFonts w:hint="eastAsia"/>
          <w:lang w:eastAsia="zh-CN"/>
        </w:rPr>
      </w:pPr>
      <w:r>
        <w:rPr>
          <w:rFonts w:hint="eastAsia"/>
          <w:lang w:eastAsia="zh-CN"/>
        </w:rPr>
        <w:t>档案管理</w:t>
      </w:r>
    </w:p>
    <w:p w14:paraId="5593A708">
      <w:pPr>
        <w:pStyle w:val="165"/>
        <w:rPr>
          <w:rFonts w:hint="eastAsia" w:ascii="宋体" w:hAnsi="Times New Roman" w:eastAsia="宋体" w:cs="Times New Roman"/>
          <w:lang w:eastAsia="zh-CN"/>
        </w:rPr>
      </w:pPr>
      <w:r>
        <w:rPr>
          <w:rFonts w:hint="eastAsia" w:ascii="宋体" w:hAnsi="Times New Roman" w:eastAsia="宋体" w:cs="Times New Roman"/>
          <w:lang w:eastAsia="zh-CN"/>
        </w:rPr>
        <w:t>应有完整的充电设施档案记录，包括设备名称、型号、生产厂家、安装时间、维修记录、巡检记录等。</w:t>
      </w:r>
    </w:p>
    <w:p w14:paraId="4EA0A9FE">
      <w:pPr>
        <w:pStyle w:val="165"/>
        <w:rPr>
          <w:rFonts w:hint="eastAsia" w:ascii="宋体" w:hAnsi="Times New Roman" w:eastAsia="宋体" w:cs="Times New Roman"/>
          <w:lang w:eastAsia="zh-CN"/>
        </w:rPr>
      </w:pPr>
      <w:r>
        <w:rPr>
          <w:rFonts w:hint="eastAsia" w:ascii="宋体" w:hAnsi="Times New Roman" w:eastAsia="宋体" w:cs="Times New Roman"/>
          <w:lang w:eastAsia="zh-CN"/>
        </w:rPr>
        <w:t>应建立充电设施的档案管理制度，对档案进行归档、备份、保密等措施，确保档案的可靠性、完整性和安全性。</w:t>
      </w:r>
    </w:p>
    <w:p w14:paraId="524CC35C">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充电设施的档案应按照规定的时间进行更新和维护，确保其数据的准确性和及时性。</w:t>
      </w:r>
    </w:p>
    <w:p w14:paraId="197BF743">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运营机构应根据制定的客户投诉处理管理制度，公示投诉流程，明确投诉处理时限，及时处理客户投诉，定期或不定期收集各方反馈意见和建议，并建立反馈意见档案。</w:t>
      </w:r>
    </w:p>
    <w:p w14:paraId="217C2A0D">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运营机构应编制科学、合理的突发事件应急预案，建立应急队伍，配备应急所需设备，具备提供应急救援服务能力。</w:t>
      </w:r>
    </w:p>
    <w:p w14:paraId="304A405C">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运营机构宜通过多种形式创新服务内容，完善服务流程，提升服务质量，提高用户体验。</w:t>
      </w:r>
    </w:p>
    <w:p w14:paraId="46C72E87">
      <w:pPr>
        <w:pStyle w:val="165"/>
        <w:rPr>
          <w:rFonts w:hint="eastAsia"/>
          <w:lang w:eastAsia="zh-CN"/>
        </w:rPr>
      </w:pPr>
      <w:r>
        <w:rPr>
          <w:rFonts w:hint="eastAsia" w:ascii="宋体" w:hAnsi="Times New Roman" w:eastAsia="宋体" w:cs="Times New Roman"/>
          <w:lang w:eastAsia="zh-CN"/>
        </w:rPr>
        <w:t>自用充电设备使用者在安装前应向物业管理单位提供充电桩产品质量报告，安装线缆型号说明，安装人员资质，并在投入使用前与物业管理单位签订安全责任书，保障公共场所内自用充电桩的安全。</w:t>
      </w:r>
    </w:p>
    <w:p w14:paraId="11B56A82">
      <w:pPr>
        <w:pStyle w:val="104"/>
        <w:spacing w:before="312" w:after="312"/>
        <w:rPr>
          <w:rFonts w:hint="eastAsia" w:hAnsi="Times New Roman" w:cs="Times New Roman"/>
          <w:lang w:eastAsia="zh-CN"/>
        </w:rPr>
      </w:pPr>
      <w:r>
        <w:rPr>
          <w:rFonts w:hint="eastAsia" w:hAnsi="Times New Roman" w:cs="Times New Roman"/>
          <w:lang w:eastAsia="zh-CN"/>
        </w:rPr>
        <w:t>充电设施消防安全管理</w:t>
      </w:r>
    </w:p>
    <w:p w14:paraId="7CA9CDF6">
      <w:pPr>
        <w:pStyle w:val="105"/>
        <w:spacing w:before="156" w:after="156"/>
        <w:rPr>
          <w:rFonts w:hint="eastAsia"/>
          <w:lang w:eastAsia="zh-CN"/>
        </w:rPr>
      </w:pPr>
      <w:r>
        <w:rPr>
          <w:rFonts w:hint="eastAsia"/>
          <w:lang w:eastAsia="zh-CN"/>
        </w:rPr>
        <w:t>消防安全职责</w:t>
      </w:r>
    </w:p>
    <w:p w14:paraId="1DE8483F">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充电设施涉及相关单位，对其消防职责要求负责，具体职责见表2。</w:t>
      </w:r>
    </w:p>
    <w:p w14:paraId="06B271A0">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运营单位应明确消防安全责任人，对于分散充电设施的消防安全管理，运营单位消防安全责任人应明确充电设施消防安全管理人。</w:t>
      </w:r>
    </w:p>
    <w:p w14:paraId="206849C4">
      <w:pPr>
        <w:pStyle w:val="244"/>
        <w:rPr>
          <w:rFonts w:hint="eastAsia" w:hAnsi="Times New Roman" w:cs="Times New Roman"/>
          <w:lang w:eastAsia="zh-CN"/>
        </w:rPr>
      </w:pPr>
      <w:r>
        <w:rPr>
          <w:rFonts w:hint="eastAsia" w:hAnsi="Times New Roman" w:cs="Times New Roman"/>
          <w:lang w:eastAsia="zh-CN"/>
        </w:rPr>
        <w:t>各单位消防安全职责分工</w:t>
      </w:r>
    </w:p>
    <w:p w14:paraId="62019E52">
      <w:pPr>
        <w:spacing w:line="15" w:lineRule="exact"/>
      </w:pPr>
    </w:p>
    <w:tbl>
      <w:tblPr>
        <w:tblStyle w:val="242"/>
        <w:tblW w:w="95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9"/>
        <w:gridCol w:w="8415"/>
      </w:tblGrid>
      <w:tr w14:paraId="56643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149" w:type="dxa"/>
            <w:vAlign w:val="top"/>
          </w:tcPr>
          <w:p w14:paraId="3B2A225D">
            <w:pPr>
              <w:pStyle w:val="243"/>
              <w:spacing w:before="57" w:line="228" w:lineRule="auto"/>
              <w:ind w:left="123"/>
              <w:rPr>
                <w:sz w:val="18"/>
                <w:szCs w:val="18"/>
              </w:rPr>
            </w:pPr>
            <w:r>
              <w:rPr>
                <w:spacing w:val="5"/>
                <w:sz w:val="18"/>
                <w:szCs w:val="18"/>
              </w:rPr>
              <w:t>责任单位</w:t>
            </w:r>
          </w:p>
        </w:tc>
        <w:tc>
          <w:tcPr>
            <w:tcW w:w="8415" w:type="dxa"/>
            <w:vAlign w:val="top"/>
          </w:tcPr>
          <w:p w14:paraId="25AEE0CD">
            <w:pPr>
              <w:pStyle w:val="243"/>
              <w:spacing w:before="57" w:line="228" w:lineRule="auto"/>
              <w:ind w:left="3375"/>
              <w:rPr>
                <w:sz w:val="18"/>
                <w:szCs w:val="18"/>
              </w:rPr>
            </w:pPr>
            <w:r>
              <w:rPr>
                <w:spacing w:val="8"/>
                <w:sz w:val="18"/>
                <w:szCs w:val="18"/>
              </w:rPr>
              <w:t>消防安全职责要求</w:t>
            </w:r>
          </w:p>
        </w:tc>
      </w:tr>
      <w:tr w14:paraId="693AA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49" w:type="dxa"/>
            <w:vAlign w:val="top"/>
          </w:tcPr>
          <w:p w14:paraId="3632DB4D">
            <w:pPr>
              <w:pStyle w:val="243"/>
              <w:spacing w:before="53" w:line="258" w:lineRule="auto"/>
              <w:ind w:left="116" w:right="106" w:firstLine="2"/>
              <w:rPr>
                <w:sz w:val="18"/>
                <w:szCs w:val="18"/>
              </w:rPr>
            </w:pPr>
            <w:r>
              <w:rPr>
                <w:spacing w:val="29"/>
                <w:sz w:val="18"/>
                <w:szCs w:val="18"/>
              </w:rPr>
              <w:t>充电设施</w:t>
            </w:r>
            <w:r>
              <w:rPr>
                <w:spacing w:val="6"/>
                <w:sz w:val="18"/>
                <w:szCs w:val="18"/>
              </w:rPr>
              <w:t>产权人</w:t>
            </w:r>
          </w:p>
        </w:tc>
        <w:tc>
          <w:tcPr>
            <w:tcW w:w="8415" w:type="dxa"/>
            <w:vAlign w:val="top"/>
          </w:tcPr>
          <w:p w14:paraId="1855BCF6">
            <w:pPr>
              <w:pStyle w:val="243"/>
              <w:numPr>
                <w:ilvl w:val="0"/>
                <w:numId w:val="33"/>
              </w:numPr>
              <w:spacing w:before="53" w:line="258" w:lineRule="auto"/>
              <w:ind w:left="0" w:leftChars="0" w:right="136" w:firstLine="400" w:firstLineChars="0"/>
              <w:rPr>
                <w:spacing w:val="7"/>
                <w:sz w:val="18"/>
                <w:szCs w:val="18"/>
              </w:rPr>
            </w:pPr>
            <w:r>
              <w:rPr>
                <w:spacing w:val="9"/>
                <w:sz w:val="18"/>
                <w:szCs w:val="18"/>
              </w:rPr>
              <w:t>产权人应确保使用的充电设施应符合国家标准，确保充电设施安装环</w:t>
            </w:r>
            <w:r>
              <w:rPr>
                <w:spacing w:val="8"/>
                <w:sz w:val="18"/>
                <w:szCs w:val="18"/>
              </w:rPr>
              <w:t>境及施工工</w:t>
            </w:r>
            <w:r>
              <w:rPr>
                <w:spacing w:val="7"/>
                <w:sz w:val="18"/>
                <w:szCs w:val="18"/>
              </w:rPr>
              <w:t>艺符合国家标准要求；</w:t>
            </w:r>
          </w:p>
          <w:p w14:paraId="1D48DE1D">
            <w:pPr>
              <w:pStyle w:val="243"/>
              <w:numPr>
                <w:ilvl w:val="0"/>
                <w:numId w:val="33"/>
              </w:numPr>
              <w:spacing w:before="58" w:line="257" w:lineRule="auto"/>
              <w:ind w:left="0" w:leftChars="0" w:right="136" w:firstLine="400" w:firstLineChars="0"/>
              <w:rPr>
                <w:sz w:val="18"/>
                <w:szCs w:val="18"/>
              </w:rPr>
            </w:pPr>
            <w:r>
              <w:rPr>
                <w:spacing w:val="9"/>
                <w:sz w:val="18"/>
                <w:szCs w:val="18"/>
              </w:rPr>
              <w:t>当充电设施运营区域内存在两个及以上产权单位时</w:t>
            </w:r>
            <w:r>
              <w:rPr>
                <w:spacing w:val="8"/>
                <w:sz w:val="18"/>
                <w:szCs w:val="18"/>
              </w:rPr>
              <w:t>，应在承包、租赁、委托合同中应依照有关规定明确各方的消防安全责任；</w:t>
            </w:r>
          </w:p>
          <w:p w14:paraId="5A9348AF">
            <w:pPr>
              <w:pStyle w:val="243"/>
              <w:numPr>
                <w:ilvl w:val="0"/>
                <w:numId w:val="33"/>
              </w:numPr>
              <w:spacing w:before="53" w:line="258" w:lineRule="auto"/>
              <w:ind w:left="0" w:leftChars="0" w:right="136" w:firstLine="400" w:firstLineChars="0"/>
              <w:rPr>
                <w:spacing w:val="7"/>
                <w:sz w:val="18"/>
                <w:szCs w:val="18"/>
              </w:rPr>
            </w:pPr>
            <w:r>
              <w:rPr>
                <w:spacing w:val="8"/>
                <w:sz w:val="18"/>
                <w:szCs w:val="18"/>
              </w:rPr>
              <w:t>对于居民小区等分散充电设施，宜采取统一建设、统一管</w:t>
            </w:r>
            <w:r>
              <w:rPr>
                <w:spacing w:val="7"/>
                <w:sz w:val="18"/>
                <w:szCs w:val="18"/>
              </w:rPr>
              <w:t>理的方式建设、运行，</w:t>
            </w:r>
            <w:r>
              <w:rPr>
                <w:spacing w:val="9"/>
                <w:sz w:val="18"/>
                <w:szCs w:val="18"/>
              </w:rPr>
              <w:t>产权人应委托物业服务机构或专业充电设施运营单位管理维护充电设施。</w:t>
            </w:r>
          </w:p>
        </w:tc>
      </w:tr>
      <w:tr w14:paraId="12DBF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49" w:type="dxa"/>
            <w:vAlign w:val="top"/>
          </w:tcPr>
          <w:p w14:paraId="2CC3808E">
            <w:pPr>
              <w:pStyle w:val="243"/>
              <w:spacing w:before="53" w:line="258" w:lineRule="auto"/>
              <w:ind w:left="116" w:leftChars="0" w:right="106" w:rightChars="0" w:firstLine="2" w:firstLineChars="0"/>
              <w:rPr>
                <w:rFonts w:ascii="宋体" w:hAnsi="宋体" w:eastAsia="宋体" w:cs="宋体"/>
                <w:kern w:val="2"/>
                <w:sz w:val="18"/>
                <w:szCs w:val="18"/>
                <w:lang w:val="en-US" w:eastAsia="en-US" w:bidi="ar-SA"/>
              </w:rPr>
            </w:pPr>
            <w:r>
              <w:rPr>
                <w:spacing w:val="29"/>
                <w:sz w:val="18"/>
                <w:szCs w:val="18"/>
              </w:rPr>
              <w:t>充电设施</w:t>
            </w:r>
            <w:r>
              <w:rPr>
                <w:spacing w:val="7"/>
                <w:sz w:val="18"/>
                <w:szCs w:val="18"/>
              </w:rPr>
              <w:t>运营单位</w:t>
            </w:r>
          </w:p>
        </w:tc>
        <w:tc>
          <w:tcPr>
            <w:tcW w:w="8415" w:type="dxa"/>
            <w:vAlign w:val="top"/>
          </w:tcPr>
          <w:p w14:paraId="742E7048">
            <w:pPr>
              <w:pStyle w:val="243"/>
              <w:numPr>
                <w:ilvl w:val="0"/>
                <w:numId w:val="34"/>
              </w:numPr>
              <w:spacing w:before="53" w:line="258" w:lineRule="auto"/>
              <w:ind w:left="0" w:leftChars="0" w:right="136" w:firstLine="400" w:firstLineChars="0"/>
              <w:rPr>
                <w:spacing w:val="9"/>
                <w:sz w:val="18"/>
                <w:szCs w:val="18"/>
              </w:rPr>
            </w:pPr>
            <w:r>
              <w:rPr>
                <w:spacing w:val="9"/>
                <w:sz w:val="18"/>
                <w:szCs w:val="18"/>
              </w:rPr>
              <w:t>贯彻执行消防法规，保障单位消防安全符合规定，掌握本单位的消防安全情况；</w:t>
            </w:r>
          </w:p>
          <w:p w14:paraId="4472B67B">
            <w:pPr>
              <w:pStyle w:val="243"/>
              <w:numPr>
                <w:ilvl w:val="0"/>
                <w:numId w:val="34"/>
              </w:numPr>
              <w:spacing w:before="53" w:line="258" w:lineRule="auto"/>
              <w:ind w:left="0" w:leftChars="0" w:right="136" w:firstLine="400" w:firstLineChars="0"/>
              <w:rPr>
                <w:spacing w:val="9"/>
                <w:sz w:val="18"/>
                <w:szCs w:val="18"/>
              </w:rPr>
            </w:pPr>
            <w:r>
              <w:rPr>
                <w:spacing w:val="9"/>
                <w:sz w:val="18"/>
                <w:szCs w:val="18"/>
              </w:rPr>
              <w:t>确定逐级消防安全责任，批准实施消防安全制度和保障消防安全的操作规程；</w:t>
            </w:r>
          </w:p>
          <w:p w14:paraId="63EEED3D">
            <w:pPr>
              <w:pStyle w:val="243"/>
              <w:numPr>
                <w:ilvl w:val="0"/>
                <w:numId w:val="34"/>
              </w:numPr>
              <w:spacing w:before="53" w:line="258" w:lineRule="auto"/>
              <w:ind w:left="0" w:leftChars="0" w:right="136" w:firstLine="400" w:firstLineChars="0"/>
              <w:rPr>
                <w:spacing w:val="9"/>
                <w:sz w:val="18"/>
                <w:szCs w:val="18"/>
              </w:rPr>
            </w:pPr>
            <w:r>
              <w:rPr>
                <w:spacing w:val="9"/>
                <w:sz w:val="18"/>
                <w:szCs w:val="18"/>
              </w:rPr>
              <w:t>批准实施年度消防工作计划，工作计划中应统筹规划自有、委托运营等各种类型充电设施；</w:t>
            </w:r>
          </w:p>
          <w:p w14:paraId="1E4FE18C">
            <w:pPr>
              <w:pStyle w:val="243"/>
              <w:numPr>
                <w:ilvl w:val="0"/>
                <w:numId w:val="34"/>
              </w:numPr>
              <w:spacing w:before="53" w:line="258" w:lineRule="auto"/>
              <w:ind w:left="0" w:leftChars="0" w:right="136" w:firstLine="400" w:firstLineChars="0"/>
              <w:rPr>
                <w:spacing w:val="9"/>
                <w:sz w:val="18"/>
                <w:szCs w:val="18"/>
              </w:rPr>
            </w:pPr>
            <w:r>
              <w:rPr>
                <w:spacing w:val="9"/>
                <w:sz w:val="18"/>
                <w:szCs w:val="18"/>
              </w:rPr>
              <w:t>为本单位的消防安全提供必要的经费和组织保障；</w:t>
            </w:r>
          </w:p>
          <w:p w14:paraId="0F462D66">
            <w:pPr>
              <w:pStyle w:val="243"/>
              <w:numPr>
                <w:ilvl w:val="0"/>
                <w:numId w:val="34"/>
              </w:numPr>
              <w:spacing w:before="53" w:line="258" w:lineRule="auto"/>
              <w:ind w:left="0" w:leftChars="0" w:right="136" w:firstLine="400" w:firstLineChars="0"/>
              <w:rPr>
                <w:spacing w:val="9"/>
                <w:sz w:val="18"/>
                <w:szCs w:val="18"/>
              </w:rPr>
            </w:pPr>
            <w:r>
              <w:rPr>
                <w:spacing w:val="9"/>
                <w:sz w:val="18"/>
                <w:szCs w:val="18"/>
              </w:rPr>
              <w:t>通过智能化和数字化手段，提升设备可用率和故障处理能力；</w:t>
            </w:r>
          </w:p>
          <w:p w14:paraId="6901D36F">
            <w:pPr>
              <w:pStyle w:val="243"/>
              <w:numPr>
                <w:ilvl w:val="0"/>
                <w:numId w:val="34"/>
              </w:numPr>
              <w:spacing w:before="53" w:line="258" w:lineRule="auto"/>
              <w:ind w:left="0" w:leftChars="0" w:right="136" w:firstLine="400" w:firstLineChars="0"/>
              <w:rPr>
                <w:rFonts w:ascii="宋体" w:hAnsi="宋体" w:eastAsia="宋体" w:cs="宋体"/>
                <w:kern w:val="2"/>
                <w:sz w:val="18"/>
                <w:szCs w:val="18"/>
                <w:lang w:val="en-US" w:eastAsia="en-US" w:bidi="ar-SA"/>
              </w:rPr>
            </w:pPr>
            <w:r>
              <w:rPr>
                <w:spacing w:val="9"/>
                <w:sz w:val="18"/>
                <w:szCs w:val="18"/>
              </w:rPr>
              <w:t>组织开展防火检查，督促落实火灾隐患整改及时处理涉及消防安全的重大问题。</w:t>
            </w:r>
          </w:p>
        </w:tc>
      </w:tr>
      <w:tr w14:paraId="59D0A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49" w:type="dxa"/>
            <w:vAlign w:val="top"/>
          </w:tcPr>
          <w:p w14:paraId="0E90A6ED">
            <w:pPr>
              <w:pStyle w:val="243"/>
              <w:spacing w:before="54" w:line="273" w:lineRule="auto"/>
              <w:ind w:left="120" w:leftChars="0" w:right="106" w:rightChars="0"/>
              <w:jc w:val="both"/>
              <w:rPr>
                <w:rFonts w:ascii="宋体" w:hAnsi="宋体" w:eastAsia="宋体" w:cs="宋体"/>
                <w:kern w:val="2"/>
                <w:sz w:val="18"/>
                <w:szCs w:val="18"/>
                <w:lang w:val="en-US" w:eastAsia="en-US" w:bidi="ar-SA"/>
              </w:rPr>
            </w:pPr>
            <w:r>
              <w:rPr>
                <w:spacing w:val="29"/>
                <w:sz w:val="18"/>
                <w:szCs w:val="18"/>
              </w:rPr>
              <w:t>消防安全</w:t>
            </w:r>
            <w:r>
              <w:rPr>
                <w:spacing w:val="-3"/>
                <w:sz w:val="18"/>
                <w:szCs w:val="18"/>
              </w:rPr>
              <w:t>管理人</w:t>
            </w:r>
            <w:r>
              <w:rPr>
                <w:spacing w:val="28"/>
                <w:sz w:val="18"/>
                <w:szCs w:val="18"/>
              </w:rPr>
              <w:t>（分散充</w:t>
            </w:r>
            <w:r>
              <w:rPr>
                <w:spacing w:val="3"/>
                <w:sz w:val="18"/>
                <w:szCs w:val="18"/>
              </w:rPr>
              <w:t>电设施）</w:t>
            </w:r>
          </w:p>
        </w:tc>
        <w:tc>
          <w:tcPr>
            <w:tcW w:w="8415" w:type="dxa"/>
            <w:vAlign w:val="top"/>
          </w:tcPr>
          <w:p w14:paraId="61B1414D">
            <w:pPr>
              <w:pStyle w:val="243"/>
              <w:numPr>
                <w:ilvl w:val="0"/>
                <w:numId w:val="35"/>
              </w:numPr>
              <w:spacing w:before="53" w:line="312" w:lineRule="exact"/>
              <w:ind w:left="0" w:leftChars="0" w:firstLine="400" w:firstLineChars="0"/>
              <w:rPr>
                <w:sz w:val="18"/>
                <w:szCs w:val="18"/>
              </w:rPr>
            </w:pPr>
            <w:r>
              <w:rPr>
                <w:spacing w:val="7"/>
                <w:position w:val="7"/>
                <w:sz w:val="18"/>
                <w:szCs w:val="18"/>
              </w:rPr>
              <w:t>组织实施管理范围内日常消防安全管理工作；</w:t>
            </w:r>
          </w:p>
          <w:p w14:paraId="183619EE">
            <w:pPr>
              <w:pStyle w:val="243"/>
              <w:numPr>
                <w:ilvl w:val="0"/>
                <w:numId w:val="35"/>
              </w:numPr>
              <w:spacing w:line="227" w:lineRule="auto"/>
              <w:ind w:left="0" w:leftChars="0" w:firstLine="400" w:firstLineChars="0"/>
              <w:rPr>
                <w:sz w:val="18"/>
                <w:szCs w:val="18"/>
              </w:rPr>
            </w:pPr>
            <w:r>
              <w:rPr>
                <w:spacing w:val="7"/>
                <w:sz w:val="18"/>
                <w:szCs w:val="18"/>
              </w:rPr>
              <w:t>落实消防安全制度和消防安全的操作规程；</w:t>
            </w:r>
          </w:p>
          <w:p w14:paraId="25F8FF9E">
            <w:pPr>
              <w:pStyle w:val="243"/>
              <w:numPr>
                <w:ilvl w:val="0"/>
                <w:numId w:val="35"/>
              </w:numPr>
              <w:spacing w:before="65" w:line="228" w:lineRule="auto"/>
              <w:ind w:left="0" w:leftChars="0" w:firstLine="400" w:firstLineChars="0"/>
              <w:rPr>
                <w:sz w:val="18"/>
                <w:szCs w:val="18"/>
              </w:rPr>
            </w:pPr>
            <w:r>
              <w:rPr>
                <w:spacing w:val="7"/>
                <w:sz w:val="18"/>
                <w:szCs w:val="18"/>
              </w:rPr>
              <w:t>落实消防安全工作的资金投入和组织保障；</w:t>
            </w:r>
          </w:p>
          <w:p w14:paraId="25C709F2">
            <w:pPr>
              <w:pStyle w:val="243"/>
              <w:numPr>
                <w:ilvl w:val="0"/>
                <w:numId w:val="35"/>
              </w:numPr>
              <w:spacing w:before="65" w:line="258" w:lineRule="auto"/>
              <w:ind w:left="0" w:leftChars="0" w:right="136" w:firstLine="400" w:firstLineChars="0"/>
              <w:rPr>
                <w:sz w:val="18"/>
                <w:szCs w:val="18"/>
              </w:rPr>
            </w:pPr>
            <w:r>
              <w:rPr>
                <w:spacing w:val="9"/>
                <w:sz w:val="18"/>
                <w:szCs w:val="18"/>
              </w:rPr>
              <w:t>按照国家标准、行业标准配置消防设施器材，设置消防安全标志，并定期组织检</w:t>
            </w:r>
            <w:r>
              <w:rPr>
                <w:spacing w:val="8"/>
                <w:sz w:val="18"/>
                <w:szCs w:val="18"/>
              </w:rPr>
              <w:t>验维修，确保完好有效；</w:t>
            </w:r>
          </w:p>
          <w:p w14:paraId="3627F700">
            <w:pPr>
              <w:pStyle w:val="243"/>
              <w:numPr>
                <w:ilvl w:val="0"/>
                <w:numId w:val="35"/>
              </w:numPr>
              <w:spacing w:before="65" w:line="228" w:lineRule="auto"/>
              <w:ind w:left="0" w:leftChars="0" w:firstLine="400" w:firstLineChars="0"/>
              <w:rPr>
                <w:spacing w:val="7"/>
                <w:sz w:val="18"/>
                <w:szCs w:val="18"/>
              </w:rPr>
            </w:pPr>
            <w:r>
              <w:rPr>
                <w:spacing w:val="7"/>
                <w:sz w:val="18"/>
                <w:szCs w:val="18"/>
              </w:rPr>
              <w:t>组织实施设备防火检查和隐患整改工作；</w:t>
            </w:r>
          </w:p>
          <w:p w14:paraId="7510E812">
            <w:pPr>
              <w:pStyle w:val="243"/>
              <w:numPr>
                <w:ilvl w:val="0"/>
                <w:numId w:val="35"/>
              </w:numPr>
              <w:spacing w:before="65" w:line="228" w:lineRule="auto"/>
              <w:ind w:left="0" w:leftChars="0" w:firstLine="400" w:firstLineChars="0"/>
              <w:rPr>
                <w:rFonts w:ascii="宋体" w:hAnsi="宋体" w:eastAsia="宋体" w:cs="宋体"/>
                <w:kern w:val="2"/>
                <w:sz w:val="18"/>
                <w:szCs w:val="18"/>
                <w:lang w:val="en-US" w:eastAsia="en-US" w:bidi="ar-SA"/>
              </w:rPr>
            </w:pPr>
            <w:r>
              <w:rPr>
                <w:spacing w:val="9"/>
                <w:sz w:val="18"/>
                <w:szCs w:val="18"/>
              </w:rPr>
              <w:t>组织开展消防知识、技能的宣传教育和培训，组织灭火和应急疏</w:t>
            </w:r>
            <w:r>
              <w:rPr>
                <w:spacing w:val="8"/>
                <w:sz w:val="18"/>
                <w:szCs w:val="18"/>
              </w:rPr>
              <w:t>散预案的实施。</w:t>
            </w:r>
          </w:p>
        </w:tc>
      </w:tr>
      <w:tr w14:paraId="6AD30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49" w:type="dxa"/>
            <w:vAlign w:val="top"/>
          </w:tcPr>
          <w:p w14:paraId="72A58D3B">
            <w:pPr>
              <w:pStyle w:val="243"/>
              <w:spacing w:before="54" w:line="258" w:lineRule="auto"/>
              <w:ind w:left="117" w:leftChars="0" w:right="106" w:rightChars="0" w:hanging="1" w:firstLineChars="0"/>
              <w:rPr>
                <w:rFonts w:ascii="宋体" w:hAnsi="宋体" w:eastAsia="宋体" w:cs="宋体"/>
                <w:kern w:val="2"/>
                <w:sz w:val="18"/>
                <w:szCs w:val="18"/>
                <w:lang w:val="en-US" w:eastAsia="en-US" w:bidi="ar-SA"/>
              </w:rPr>
            </w:pPr>
            <w:r>
              <w:rPr>
                <w:spacing w:val="30"/>
                <w:sz w:val="18"/>
                <w:szCs w:val="18"/>
              </w:rPr>
              <w:t>物业管理</w:t>
            </w:r>
            <w:r>
              <w:rPr>
                <w:spacing w:val="3"/>
                <w:sz w:val="18"/>
                <w:szCs w:val="18"/>
              </w:rPr>
              <w:t>单位</w:t>
            </w:r>
          </w:p>
        </w:tc>
        <w:tc>
          <w:tcPr>
            <w:tcW w:w="8415" w:type="dxa"/>
            <w:vAlign w:val="top"/>
          </w:tcPr>
          <w:p w14:paraId="6C5653AD">
            <w:pPr>
              <w:pStyle w:val="243"/>
              <w:numPr>
                <w:ilvl w:val="0"/>
                <w:numId w:val="36"/>
              </w:numPr>
              <w:spacing w:before="53" w:line="258" w:lineRule="auto"/>
              <w:ind w:left="0" w:leftChars="0" w:right="107" w:firstLine="400" w:firstLineChars="0"/>
              <w:rPr>
                <w:sz w:val="18"/>
                <w:szCs w:val="18"/>
              </w:rPr>
            </w:pPr>
            <w:r>
              <w:rPr>
                <w:spacing w:val="10"/>
                <w:sz w:val="18"/>
                <w:szCs w:val="18"/>
              </w:rPr>
              <w:t>相关消防安全职责应包括对于管理范围内未进行委托管理的分散充电设施，物业管理</w:t>
            </w:r>
            <w:r>
              <w:rPr>
                <w:spacing w:val="8"/>
                <w:sz w:val="18"/>
                <w:szCs w:val="18"/>
              </w:rPr>
              <w:t>单位应将充电设施消防安全管理纳入管理范围。</w:t>
            </w:r>
          </w:p>
          <w:p w14:paraId="6BA85B50">
            <w:pPr>
              <w:pStyle w:val="243"/>
              <w:numPr>
                <w:ilvl w:val="0"/>
                <w:numId w:val="36"/>
              </w:numPr>
              <w:spacing w:before="64" w:line="268" w:lineRule="auto"/>
              <w:ind w:left="0" w:leftChars="0" w:right="107" w:rightChars="0" w:firstLine="400" w:firstLineChars="0"/>
              <w:rPr>
                <w:rFonts w:ascii="宋体" w:hAnsi="宋体" w:eastAsia="宋体" w:cs="宋体"/>
                <w:kern w:val="2"/>
                <w:sz w:val="18"/>
                <w:szCs w:val="18"/>
                <w:lang w:val="en-US" w:eastAsia="en-US" w:bidi="ar-SA"/>
              </w:rPr>
            </w:pPr>
            <w:r>
              <w:rPr>
                <w:spacing w:val="16"/>
                <w:sz w:val="18"/>
                <w:szCs w:val="18"/>
              </w:rPr>
              <w:t>对管理范围内的充电设施组织实施防火巡查并督促相关责任方完成火</w:t>
            </w:r>
            <w:r>
              <w:rPr>
                <w:spacing w:val="15"/>
                <w:sz w:val="18"/>
                <w:szCs w:val="18"/>
              </w:rPr>
              <w:t>灾隐患整改工</w:t>
            </w:r>
            <w:r>
              <w:rPr>
                <w:spacing w:val="10"/>
                <w:sz w:val="18"/>
                <w:szCs w:val="18"/>
              </w:rPr>
              <w:t>作，开展日常消防安全宣传，出现火灾事故时进行有效地应急处置，向当地消防救援</w:t>
            </w:r>
            <w:r>
              <w:rPr>
                <w:spacing w:val="9"/>
                <w:sz w:val="18"/>
                <w:szCs w:val="18"/>
              </w:rPr>
              <w:t>机构</w:t>
            </w:r>
            <w:r>
              <w:rPr>
                <w:spacing w:val="8"/>
                <w:sz w:val="18"/>
                <w:szCs w:val="18"/>
              </w:rPr>
              <w:t>提供火灾调查所需信息。</w:t>
            </w:r>
          </w:p>
        </w:tc>
      </w:tr>
      <w:tr w14:paraId="2D85B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49" w:type="dxa"/>
            <w:vAlign w:val="top"/>
          </w:tcPr>
          <w:p w14:paraId="23ECC885">
            <w:pPr>
              <w:pStyle w:val="243"/>
              <w:spacing w:before="54" w:line="258" w:lineRule="auto"/>
              <w:ind w:left="117" w:leftChars="0" w:right="106" w:rightChars="0" w:firstLine="1" w:firstLineChars="0"/>
              <w:rPr>
                <w:rFonts w:ascii="宋体" w:hAnsi="宋体" w:eastAsia="宋体" w:cs="宋体"/>
                <w:kern w:val="2"/>
                <w:sz w:val="18"/>
                <w:szCs w:val="18"/>
                <w:lang w:val="en-US" w:eastAsia="en-US" w:bidi="ar-SA"/>
              </w:rPr>
            </w:pPr>
            <w:r>
              <w:rPr>
                <w:spacing w:val="29"/>
                <w:sz w:val="18"/>
                <w:szCs w:val="18"/>
              </w:rPr>
              <w:t>充电设施</w:t>
            </w:r>
            <w:r>
              <w:rPr>
                <w:spacing w:val="6"/>
                <w:sz w:val="18"/>
                <w:szCs w:val="18"/>
              </w:rPr>
              <w:t>使用人</w:t>
            </w:r>
          </w:p>
        </w:tc>
        <w:tc>
          <w:tcPr>
            <w:tcW w:w="8415" w:type="dxa"/>
            <w:vAlign w:val="top"/>
          </w:tcPr>
          <w:p w14:paraId="62600DBD">
            <w:pPr>
              <w:pStyle w:val="243"/>
              <w:spacing w:before="53" w:line="268" w:lineRule="auto"/>
              <w:ind w:right="107" w:rightChars="0"/>
              <w:jc w:val="both"/>
              <w:rPr>
                <w:rFonts w:ascii="宋体" w:hAnsi="宋体" w:eastAsia="宋体" w:cs="宋体"/>
                <w:kern w:val="2"/>
                <w:sz w:val="18"/>
                <w:szCs w:val="18"/>
                <w:lang w:val="en-US" w:eastAsia="en-US" w:bidi="ar-SA"/>
              </w:rPr>
            </w:pPr>
            <w:r>
              <w:rPr>
                <w:spacing w:val="10"/>
                <w:sz w:val="18"/>
                <w:szCs w:val="18"/>
              </w:rPr>
              <w:t>消防安全职责应包括充电设施使用人应确保车辆使用状态符合安全要求</w:t>
            </w:r>
            <w:r>
              <w:rPr>
                <w:spacing w:val="9"/>
                <w:sz w:val="18"/>
                <w:szCs w:val="18"/>
              </w:rPr>
              <w:t>，对车辆故障</w:t>
            </w:r>
            <w:r>
              <w:rPr>
                <w:spacing w:val="10"/>
                <w:sz w:val="18"/>
                <w:szCs w:val="18"/>
              </w:rPr>
              <w:t>状态及时进行消除，按照充电设施使用说明操作充电设施，当出现火灾事故时应进行有效</w:t>
            </w:r>
            <w:r>
              <w:rPr>
                <w:spacing w:val="9"/>
                <w:sz w:val="18"/>
                <w:szCs w:val="18"/>
              </w:rPr>
              <w:t>地应急处置并向当地消防救援机构提供火灾调查所需信息。</w:t>
            </w:r>
          </w:p>
        </w:tc>
      </w:tr>
      <w:tr w14:paraId="7D3F1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49" w:type="dxa"/>
            <w:vAlign w:val="top"/>
          </w:tcPr>
          <w:p w14:paraId="4E75C049">
            <w:pPr>
              <w:pStyle w:val="243"/>
              <w:spacing w:before="55" w:line="268" w:lineRule="auto"/>
              <w:ind w:left="115" w:leftChars="0" w:right="106" w:rightChars="0" w:firstLine="3" w:firstLineChars="0"/>
              <w:jc w:val="both"/>
              <w:rPr>
                <w:rFonts w:ascii="宋体" w:hAnsi="宋体" w:eastAsia="宋体" w:cs="宋体"/>
                <w:kern w:val="2"/>
                <w:sz w:val="18"/>
                <w:szCs w:val="18"/>
                <w:lang w:val="en-US" w:eastAsia="en-US" w:bidi="ar-SA"/>
              </w:rPr>
            </w:pPr>
            <w:r>
              <w:rPr>
                <w:spacing w:val="29"/>
                <w:sz w:val="18"/>
                <w:szCs w:val="18"/>
              </w:rPr>
              <w:t>充电设施</w:t>
            </w:r>
            <w:r>
              <w:rPr>
                <w:spacing w:val="30"/>
                <w:sz w:val="18"/>
                <w:szCs w:val="18"/>
              </w:rPr>
              <w:t>平台运营</w:t>
            </w:r>
            <w:r>
              <w:rPr>
                <w:spacing w:val="5"/>
                <w:sz w:val="18"/>
                <w:szCs w:val="18"/>
              </w:rPr>
              <w:t>单位</w:t>
            </w:r>
          </w:p>
        </w:tc>
        <w:tc>
          <w:tcPr>
            <w:tcW w:w="8415" w:type="dxa"/>
            <w:vAlign w:val="top"/>
          </w:tcPr>
          <w:p w14:paraId="2F76CF68">
            <w:pPr>
              <w:pStyle w:val="243"/>
              <w:numPr>
                <w:ilvl w:val="0"/>
                <w:numId w:val="37"/>
              </w:numPr>
              <w:spacing w:before="55" w:line="268" w:lineRule="auto"/>
              <w:ind w:left="0" w:leftChars="0" w:right="117" w:firstLine="400" w:firstLineChars="0"/>
              <w:rPr>
                <w:rFonts w:hint="eastAsia" w:eastAsia="宋体"/>
                <w:sz w:val="18"/>
                <w:szCs w:val="18"/>
                <w:lang w:eastAsia="zh-CN"/>
              </w:rPr>
            </w:pPr>
            <w:r>
              <w:rPr>
                <w:spacing w:val="9"/>
                <w:sz w:val="18"/>
                <w:szCs w:val="18"/>
              </w:rPr>
              <w:t>充电设施平台运营单位必须对平台运营充电业务依法承担消防</w:t>
            </w:r>
            <w:r>
              <w:rPr>
                <w:spacing w:val="8"/>
                <w:sz w:val="18"/>
                <w:szCs w:val="18"/>
              </w:rPr>
              <w:t>安全责任，加强火</w:t>
            </w:r>
            <w:r>
              <w:rPr>
                <w:spacing w:val="10"/>
                <w:sz w:val="18"/>
                <w:szCs w:val="18"/>
              </w:rPr>
              <w:t>灾风险分析研判、早期识别和监测预警，对平台内经营者</w:t>
            </w:r>
            <w:r>
              <w:rPr>
                <w:spacing w:val="9"/>
                <w:sz w:val="18"/>
                <w:szCs w:val="18"/>
              </w:rPr>
              <w:t>充电设施故障及充电过程异常进</w:t>
            </w:r>
            <w:r>
              <w:rPr>
                <w:spacing w:val="4"/>
                <w:sz w:val="18"/>
                <w:szCs w:val="18"/>
              </w:rPr>
              <w:t>行预警</w:t>
            </w:r>
            <w:r>
              <w:rPr>
                <w:rFonts w:hint="eastAsia"/>
                <w:spacing w:val="4"/>
                <w:sz w:val="18"/>
                <w:szCs w:val="18"/>
                <w:lang w:eastAsia="zh-CN"/>
              </w:rPr>
              <w:t>；</w:t>
            </w:r>
          </w:p>
          <w:p w14:paraId="030BAE50">
            <w:pPr>
              <w:pStyle w:val="243"/>
              <w:numPr>
                <w:ilvl w:val="0"/>
                <w:numId w:val="37"/>
              </w:numPr>
              <w:spacing w:before="64" w:line="258" w:lineRule="auto"/>
              <w:ind w:left="0" w:leftChars="0" w:right="136" w:firstLine="400" w:firstLineChars="0"/>
              <w:rPr>
                <w:rFonts w:hint="eastAsia" w:eastAsia="宋体"/>
                <w:sz w:val="18"/>
                <w:szCs w:val="18"/>
                <w:lang w:eastAsia="zh-CN"/>
              </w:rPr>
            </w:pPr>
            <w:r>
              <w:rPr>
                <w:spacing w:val="9"/>
                <w:sz w:val="18"/>
                <w:szCs w:val="18"/>
              </w:rPr>
              <w:t>充电设施平台运营单位应充分运用物联网、现代信息技术等手段实现远程火灾防控、应急处置，履行对平台内经营者消防安全监管职责</w:t>
            </w:r>
            <w:r>
              <w:rPr>
                <w:rFonts w:hint="eastAsia"/>
                <w:spacing w:val="9"/>
                <w:sz w:val="18"/>
                <w:szCs w:val="18"/>
                <w:lang w:eastAsia="zh-CN"/>
              </w:rPr>
              <w:t>；</w:t>
            </w:r>
          </w:p>
          <w:p w14:paraId="137952B1">
            <w:pPr>
              <w:pStyle w:val="243"/>
              <w:numPr>
                <w:ilvl w:val="0"/>
                <w:numId w:val="37"/>
              </w:numPr>
              <w:spacing w:before="65" w:line="227" w:lineRule="auto"/>
              <w:ind w:left="0" w:leftChars="0" w:firstLine="400" w:firstLineChars="0"/>
              <w:rPr>
                <w:rFonts w:ascii="宋体" w:hAnsi="宋体" w:eastAsia="宋体" w:cs="宋体"/>
                <w:kern w:val="2"/>
                <w:sz w:val="18"/>
                <w:szCs w:val="18"/>
                <w:lang w:val="en-US" w:eastAsia="en-US" w:bidi="ar-SA"/>
              </w:rPr>
            </w:pPr>
            <w:r>
              <w:rPr>
                <w:spacing w:val="8"/>
                <w:sz w:val="18"/>
                <w:szCs w:val="18"/>
              </w:rPr>
              <w:t>出现火灾事故时，向当地消防救援机构提供火灾调查所需信息。</w:t>
            </w:r>
          </w:p>
        </w:tc>
      </w:tr>
    </w:tbl>
    <w:p w14:paraId="1E7D1CE0">
      <w:pPr>
        <w:pStyle w:val="56"/>
        <w:rPr>
          <w:rFonts w:hint="eastAsia"/>
          <w:lang w:eastAsia="zh-CN"/>
        </w:rPr>
      </w:pPr>
    </w:p>
    <w:p w14:paraId="5B151901">
      <w:pPr>
        <w:pStyle w:val="105"/>
        <w:spacing w:before="156" w:after="156"/>
        <w:rPr>
          <w:rFonts w:hint="eastAsia"/>
          <w:lang w:eastAsia="zh-CN"/>
        </w:rPr>
      </w:pPr>
      <w:r>
        <w:rPr>
          <w:rFonts w:hint="eastAsia"/>
          <w:lang w:eastAsia="zh-CN"/>
        </w:rPr>
        <w:t>消防安全日常管理</w:t>
      </w:r>
    </w:p>
    <w:p w14:paraId="107C2747">
      <w:pPr>
        <w:pStyle w:val="165"/>
        <w:rPr>
          <w:rFonts w:hint="eastAsia"/>
          <w:lang w:eastAsia="zh-CN"/>
        </w:rPr>
      </w:pPr>
      <w:r>
        <w:rPr>
          <w:rFonts w:hint="eastAsia"/>
          <w:lang w:eastAsia="zh-CN"/>
        </w:rPr>
        <w:t>充电设施应有专门单位运营管理，应严格按照现行消防法律法规和规定进行消防安全管理，落实社会单位消防安全“四个能力”。</w:t>
      </w:r>
    </w:p>
    <w:p w14:paraId="204A900E">
      <w:pPr>
        <w:pStyle w:val="165"/>
        <w:rPr>
          <w:rFonts w:hint="eastAsia"/>
          <w:lang w:eastAsia="zh-CN"/>
        </w:rPr>
      </w:pPr>
      <w:r>
        <w:rPr>
          <w:rFonts w:hint="eastAsia"/>
          <w:lang w:eastAsia="zh-CN"/>
        </w:rPr>
        <w:t>消防设施和监控器材应由专人定期进行维护和保养。</w:t>
      </w:r>
    </w:p>
    <w:p w14:paraId="2FAED4E5">
      <w:pPr>
        <w:pStyle w:val="165"/>
        <w:rPr>
          <w:rFonts w:hint="eastAsia"/>
          <w:lang w:eastAsia="zh-CN"/>
        </w:rPr>
      </w:pPr>
      <w:r>
        <w:rPr>
          <w:rFonts w:hint="eastAsia"/>
          <w:lang w:eastAsia="zh-CN"/>
        </w:rPr>
        <w:t>充电设施运营单位应完善充换电基础设施运维体系，建立消防安全管理制度，应包括用电安全管理制度、消防安全培训制度、防火巡查检查及隐患整改制度、充电设施运行维护制度、消防设施和器材管理制度、事故应急预案及疏散演练制度等。</w:t>
      </w:r>
    </w:p>
    <w:p w14:paraId="0908CC2F">
      <w:pPr>
        <w:pStyle w:val="165"/>
        <w:rPr>
          <w:rFonts w:hint="eastAsia"/>
          <w:lang w:eastAsia="zh-CN"/>
        </w:rPr>
      </w:pPr>
      <w:r>
        <w:rPr>
          <w:rFonts w:hint="eastAsia"/>
          <w:lang w:eastAsia="zh-CN"/>
        </w:rPr>
        <w:t>充电设施应符合相关国家标准的技术要求或检测报告。</w:t>
      </w:r>
    </w:p>
    <w:p w14:paraId="54D50F79">
      <w:pPr>
        <w:pStyle w:val="165"/>
        <w:rPr>
          <w:rFonts w:hint="eastAsia"/>
          <w:lang w:eastAsia="zh-CN"/>
        </w:rPr>
      </w:pPr>
      <w:r>
        <w:rPr>
          <w:rFonts w:hint="eastAsia"/>
          <w:lang w:eastAsia="zh-CN"/>
        </w:rPr>
        <w:t>不应使用正在维护或者检修的故障设备提供充电服务。</w:t>
      </w:r>
    </w:p>
    <w:p w14:paraId="11F7F379">
      <w:pPr>
        <w:pStyle w:val="165"/>
        <w:rPr>
          <w:rFonts w:hint="eastAsia"/>
          <w:lang w:eastAsia="zh-CN"/>
        </w:rPr>
      </w:pPr>
      <w:r>
        <w:rPr>
          <w:rFonts w:hint="eastAsia"/>
          <w:lang w:eastAsia="zh-CN"/>
        </w:rPr>
        <w:t>保障安全生产投入。应保障日常安全生产管理所需的费用和投入，包含但不限于消防设备设施维保、应急物资、消防宣传及培训、按规定配齐安全生产基础设施设备以及消防隐患整改等的费用。</w:t>
      </w:r>
    </w:p>
    <w:p w14:paraId="5DEAF96B">
      <w:pPr>
        <w:pStyle w:val="165"/>
        <w:rPr>
          <w:rFonts w:hint="eastAsia"/>
          <w:lang w:eastAsia="zh-CN"/>
        </w:rPr>
      </w:pPr>
      <w:r>
        <w:rPr>
          <w:rFonts w:hint="eastAsia"/>
          <w:lang w:eastAsia="zh-CN"/>
        </w:rPr>
        <w:t>充电设施运营单位应定期组织充电设施隐患排查治理，应制定隐患排查治理制度。应根据充电设施不同设备类型制定对应的巡检频次，巡检频率应不低于每月一次，巡检内容应包含充电设施区域环境、设备外观检查、保护功能性检查，积极落实整改责任并及时纠正违法违规行为，消除火灾隐患，做好消防检查相应台账。</w:t>
      </w:r>
    </w:p>
    <w:p w14:paraId="1391836F">
      <w:pPr>
        <w:pStyle w:val="165"/>
        <w:rPr>
          <w:rFonts w:hint="eastAsia"/>
          <w:lang w:eastAsia="zh-CN"/>
        </w:rPr>
      </w:pPr>
      <w:r>
        <w:rPr>
          <w:rFonts w:hint="eastAsia"/>
          <w:lang w:eastAsia="zh-CN"/>
        </w:rPr>
        <w:t>物业管理单位应将管理范围内充电设施防火巡查纳入日常消防安全管理工作进行组织。</w:t>
      </w:r>
    </w:p>
    <w:p w14:paraId="683326EC">
      <w:pPr>
        <w:pStyle w:val="165"/>
        <w:rPr>
          <w:rFonts w:hint="eastAsia"/>
          <w:lang w:eastAsia="zh-CN"/>
        </w:rPr>
      </w:pPr>
      <w:r>
        <w:rPr>
          <w:rFonts w:hint="eastAsia"/>
          <w:lang w:eastAsia="zh-CN"/>
        </w:rPr>
        <w:t>消防救援机构应对充电设施的运营加强执法监管，对违反国家工程建设消防技术标准、充电设施区域无消防设施或消防设施损坏、使用不合格充电设施及改装车充电、未建立消防应急响应机制、未落实消防安全管理等火灾隐患问题，适时开展集中整治。</w:t>
      </w:r>
    </w:p>
    <w:p w14:paraId="7A71BF0C">
      <w:pPr>
        <w:pStyle w:val="165"/>
        <w:rPr>
          <w:rFonts w:hint="eastAsia"/>
          <w:lang w:eastAsia="zh-CN"/>
        </w:rPr>
      </w:pPr>
      <w:r>
        <w:rPr>
          <w:rFonts w:hint="eastAsia"/>
          <w:lang w:eastAsia="zh-CN"/>
        </w:rPr>
        <w:t>充电设施运营单位应设置应急组织，建立突发事件应急预案，包括恶劣天气应急、火灾、车辆故障、电池破损燃烧爆炸、供电系统故障、人员触电、电池故障、设备故障等。</w:t>
      </w:r>
    </w:p>
    <w:p w14:paraId="6BF26082">
      <w:pPr>
        <w:pStyle w:val="165"/>
        <w:rPr>
          <w:rFonts w:hint="eastAsia"/>
          <w:lang w:eastAsia="zh-CN"/>
        </w:rPr>
      </w:pPr>
      <w:r>
        <w:rPr>
          <w:rFonts w:hint="eastAsia"/>
          <w:lang w:eastAsia="zh-CN"/>
        </w:rPr>
        <w:t>充电运营单位应定期组织消防应急演练，应设置24小时有人值守的服务电话，对于分散式充电设施，充电设施运营商宜与物业管理单位协同组成联合应急组织机构并公示。</w:t>
      </w:r>
    </w:p>
    <w:p w14:paraId="02EF1E28">
      <w:pPr>
        <w:pStyle w:val="165"/>
        <w:rPr>
          <w:rFonts w:hint="eastAsia"/>
          <w:lang w:eastAsia="zh-CN"/>
        </w:rPr>
      </w:pPr>
      <w:r>
        <w:rPr>
          <w:rFonts w:hint="eastAsia"/>
          <w:lang w:eastAsia="zh-CN"/>
        </w:rPr>
        <w:t>对于未受委托管理的分散充电设施，充电设施产权人应开展充电设施的用电安全管理、设备巡检及防火巡查、消防设施管理、火灾隐患整改、事故应急处置等相关消防安全管理工作。</w:t>
      </w:r>
    </w:p>
    <w:p w14:paraId="210B3732">
      <w:pPr>
        <w:pStyle w:val="165"/>
        <w:rPr>
          <w:rFonts w:hint="eastAsia"/>
          <w:lang w:eastAsia="zh-CN"/>
        </w:rPr>
      </w:pPr>
      <w:r>
        <w:rPr>
          <w:rFonts w:hint="eastAsia"/>
          <w:lang w:eastAsia="zh-CN"/>
        </w:rPr>
        <w:t>临时停车区内电动汽车充电前后停放时间不宜超过1.0h。</w:t>
      </w:r>
    </w:p>
    <w:p w14:paraId="0486C8ED">
      <w:pPr>
        <w:pStyle w:val="165"/>
        <w:rPr>
          <w:rFonts w:hint="eastAsia"/>
          <w:lang w:eastAsia="zh-CN"/>
        </w:rPr>
      </w:pPr>
      <w:r>
        <w:rPr>
          <w:rFonts w:hint="eastAsia"/>
          <w:lang w:eastAsia="zh-CN"/>
        </w:rPr>
        <w:t>充电站内电动汽车发生火灾、碰撞、泡水等事故时，应按照GB38283进行事故处置</w:t>
      </w:r>
    </w:p>
    <w:p w14:paraId="56373388">
      <w:pPr>
        <w:pStyle w:val="105"/>
        <w:spacing w:before="156" w:after="156"/>
        <w:rPr>
          <w:rFonts w:hint="eastAsia"/>
          <w:lang w:eastAsia="zh-CN"/>
        </w:rPr>
      </w:pPr>
      <w:r>
        <w:rPr>
          <w:rFonts w:hint="eastAsia"/>
          <w:lang w:eastAsia="zh-CN"/>
        </w:rPr>
        <w:t>消防安全风险评估</w:t>
      </w:r>
    </w:p>
    <w:p w14:paraId="111561BF">
      <w:pPr>
        <w:pStyle w:val="165"/>
        <w:rPr>
          <w:rFonts w:hint="eastAsia"/>
          <w:lang w:eastAsia="zh-CN"/>
        </w:rPr>
      </w:pPr>
      <w:r>
        <w:rPr>
          <w:rFonts w:hint="eastAsia"/>
          <w:lang w:eastAsia="zh-CN"/>
        </w:rPr>
        <w:t>充电站竣工消防验收，按照本文件要求进行安装环境、消防设施、器材、标识、制度等消防专项检查验收合格。</w:t>
      </w:r>
    </w:p>
    <w:p w14:paraId="0F4028B5">
      <w:pPr>
        <w:pStyle w:val="165"/>
        <w:rPr>
          <w:rFonts w:hint="eastAsia"/>
          <w:color w:val="000000" w:themeColor="text1"/>
          <w:lang w:eastAsia="zh-CN"/>
        </w:rPr>
      </w:pPr>
      <w:r>
        <w:rPr>
          <w:rFonts w:hint="eastAsia"/>
          <w:lang w:eastAsia="zh-CN"/>
        </w:rPr>
        <w:t>各单位应采取日常检查、定期检查、不定期抽查、普查、专项检查等方式进行自我评价，最终以季度或半年度为单位，形成自查报告或委托第三方检测机构检测并出具检测报告留存。</w:t>
      </w:r>
    </w:p>
    <w:p w14:paraId="65EEBA43">
      <w:pPr>
        <w:pStyle w:val="165"/>
        <w:rPr>
          <w:rFonts w:hint="eastAsia"/>
          <w:color w:val="000000" w:themeColor="text1"/>
          <w:lang w:eastAsia="zh-CN"/>
        </w:rPr>
      </w:pPr>
      <w:r>
        <w:rPr>
          <w:rFonts w:hint="eastAsia"/>
          <w:lang w:eastAsia="zh-CN"/>
        </w:rPr>
        <w:t>发生下列情况时，应对充电设施增加巡查频次：</w:t>
      </w:r>
    </w:p>
    <w:p w14:paraId="320F9BA2">
      <w:pPr>
        <w:pStyle w:val="132"/>
        <w:rPr>
          <w:rFonts w:hint="eastAsia"/>
          <w:color w:val="000000" w:themeColor="text1"/>
          <w:lang w:eastAsia="zh-CN"/>
        </w:rPr>
      </w:pPr>
      <w:r>
        <w:rPr>
          <w:rFonts w:hint="eastAsia"/>
          <w:color w:val="000000" w:themeColor="text1"/>
          <w:lang w:eastAsia="zh-CN"/>
        </w:rPr>
        <w:t>台风、暴雨、冰雪等特殊天气时；</w:t>
      </w:r>
    </w:p>
    <w:p w14:paraId="6BDFACB2">
      <w:pPr>
        <w:pStyle w:val="132"/>
        <w:rPr>
          <w:rFonts w:hint="eastAsia"/>
          <w:color w:val="000000" w:themeColor="text1"/>
          <w:lang w:eastAsia="zh-CN"/>
        </w:rPr>
      </w:pPr>
      <w:r>
        <w:rPr>
          <w:rFonts w:hint="eastAsia"/>
          <w:color w:val="000000" w:themeColor="text1"/>
          <w:lang w:eastAsia="zh-CN"/>
        </w:rPr>
        <w:t>设备新投运或经过检修、改造、长期停运后重新投入运行时。</w:t>
      </w:r>
    </w:p>
    <w:p w14:paraId="662F95D9">
      <w:pPr>
        <w:pStyle w:val="165"/>
        <w:rPr>
          <w:rFonts w:hint="eastAsia"/>
          <w:lang w:eastAsia="zh-CN"/>
        </w:rPr>
      </w:pPr>
      <w:r>
        <w:rPr>
          <w:rFonts w:hint="eastAsia"/>
          <w:lang w:eastAsia="zh-CN"/>
        </w:rPr>
        <w:t>日常消防安全评估中，运营单位应做到定期巡检、物业管理单位做好防火巡查、消防救援机构负责监督检查，其各自检查内容应包括但不限于附录1内容。</w:t>
      </w:r>
    </w:p>
    <w:p w14:paraId="0C873AC9">
      <w:pPr>
        <w:pStyle w:val="104"/>
        <w:spacing w:before="312" w:after="312"/>
        <w:rPr>
          <w:rFonts w:hint="eastAsia" w:hAnsi="Times New Roman" w:cs="Times New Roman"/>
          <w:lang w:eastAsia="zh-CN"/>
        </w:rPr>
      </w:pPr>
      <w:r>
        <w:rPr>
          <w:rFonts w:hint="eastAsia" w:hAnsi="Times New Roman" w:cs="Times New Roman"/>
          <w:lang w:eastAsia="zh-CN"/>
        </w:rPr>
        <w:t>充电信息监控与数据应用</w:t>
      </w:r>
    </w:p>
    <w:p w14:paraId="0D6370A2">
      <w:pPr>
        <w:pStyle w:val="162"/>
        <w:rPr>
          <w:rFonts w:hint="eastAsia"/>
          <w:sz w:val="21"/>
          <w:szCs w:val="24"/>
        </w:rPr>
      </w:pPr>
      <w:r>
        <w:rPr>
          <w:rFonts w:hint="eastAsia"/>
          <w:lang w:eastAsia="zh-CN"/>
        </w:rPr>
        <w:t>充电运营单位应构建“互联网+监管+服务”模式，建立企业级充电设施监控平台或接入充电设施运营平台，并接入全省统一的充换电基础设施综合监管服务平台，做到各单位数据信息互联互通、跨平台信息共享，确保充换电基础设施运行管理、安全监测、故障预警、停车充电的一体化</w:t>
      </w:r>
      <w:r>
        <w:rPr>
          <w:rFonts w:hint="eastAsia"/>
          <w:sz w:val="21"/>
          <w:szCs w:val="24"/>
        </w:rPr>
        <w:t>。</w:t>
      </w:r>
    </w:p>
    <w:p w14:paraId="23B2ED7D">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充电设施应建立企业级数据监控体系，并预留上传数据接口以备接入上级数据监控平台。</w:t>
      </w:r>
    </w:p>
    <w:p w14:paraId="6FCE4A37">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充电监控系统宜具备数据采集、控制调节、数据处理与存储、事件记录、报警处理、设备运行管理、用户管理与权限管理、报表管理与打印、可扩展、对时等功能。</w:t>
      </w:r>
    </w:p>
    <w:p w14:paraId="73194E48">
      <w:pPr>
        <w:pStyle w:val="162"/>
        <w:rPr>
          <w:rFonts w:hint="eastAsia" w:ascii="宋体" w:hAnsi="Times New Roman" w:eastAsia="宋体" w:cs="Times New Roman"/>
          <w:lang w:eastAsia="zh-CN"/>
        </w:rPr>
      </w:pPr>
      <w:r>
        <w:rPr>
          <w:rFonts w:hint="eastAsia" w:ascii="宋体" w:hAnsi="Times New Roman" w:eastAsia="宋体" w:cs="Times New Roman"/>
          <w:lang w:eastAsia="zh-CN"/>
        </w:rPr>
        <w:t>监控平台可监控充电设施核心部件的运行信息，应具备大数据故障分析功能并预留统一规范的数据出口。</w:t>
      </w:r>
    </w:p>
    <w:p w14:paraId="10235FA9">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充电监控数据应全面可靠显示充电设施运行过程，采集非车载充电机工作状态、温度、故障信号、功率、电压、电流和电能量等信息。采集交流充电桩的工作状态、故障信号、电压、电流和电能量等信息。</w:t>
      </w:r>
    </w:p>
    <w:p w14:paraId="2B013B68">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充电监控系统应具备下列数据采集功能：采集充电设备的状态、温度、故障信号、功率、电压、电流、电能量和电池状态等信息。</w:t>
      </w:r>
    </w:p>
    <w:p w14:paraId="1DD34160">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监控平台应对充电过程进行监控，监视充电设施运行状况、回路状态、充电过程中输入电压、输出电压、输出电流等信息以及各保护信号是否正常，异常情况下监控平台或充电设施应停止充电，触发预警信息，并及时处理。</w:t>
      </w:r>
    </w:p>
    <w:p w14:paraId="0F755278">
      <w:pPr>
        <w:pStyle w:val="162"/>
        <w:rPr>
          <w:rFonts w:hint="eastAsia" w:ascii="宋体" w:hAnsi="Times New Roman" w:eastAsia="宋体" w:cs="Times New Roman"/>
          <w:lang w:eastAsia="zh-CN"/>
        </w:rPr>
      </w:pPr>
      <w:r>
        <w:rPr>
          <w:rFonts w:hint="eastAsia" w:ascii="宋体" w:hAnsi="Times New Roman" w:eastAsia="宋体" w:cs="Times New Roman"/>
          <w:lang w:eastAsia="zh-CN"/>
        </w:rPr>
        <w:t>直流充电时，监控平台应具备收集并分析充电设施上传的车辆动力电池相关数据，当设定的预警信号有下列情况时充电设施应停止充电并触发预警信息报警。包括但不限于：</w:t>
      </w:r>
    </w:p>
    <w:p w14:paraId="1A25A723">
      <w:pPr>
        <w:pStyle w:val="132"/>
        <w:rPr>
          <w:rFonts w:hint="eastAsia"/>
          <w:color w:val="000000" w:themeColor="text1"/>
          <w:lang w:eastAsia="zh-CN"/>
        </w:rPr>
      </w:pPr>
      <w:r>
        <w:rPr>
          <w:rFonts w:hint="eastAsia"/>
          <w:color w:val="000000" w:themeColor="text1"/>
          <w:lang w:eastAsia="zh-CN"/>
        </w:rPr>
        <w:t>输出电压大于车辆电池最高允许总电压；</w:t>
      </w:r>
    </w:p>
    <w:p w14:paraId="69BCE209">
      <w:pPr>
        <w:pStyle w:val="132"/>
        <w:rPr>
          <w:rFonts w:hint="eastAsia"/>
          <w:color w:val="000000" w:themeColor="text1"/>
          <w:lang w:eastAsia="zh-CN"/>
        </w:rPr>
      </w:pPr>
      <w:r>
        <w:rPr>
          <w:rFonts w:hint="eastAsia"/>
          <w:color w:val="000000" w:themeColor="text1"/>
          <w:lang w:eastAsia="zh-CN"/>
        </w:rPr>
        <w:t>电池最高温度大于电池最高允许温度；</w:t>
      </w:r>
    </w:p>
    <w:p w14:paraId="73A8B16E">
      <w:pPr>
        <w:pStyle w:val="132"/>
        <w:rPr>
          <w:rFonts w:hint="eastAsia"/>
          <w:color w:val="000000" w:themeColor="text1"/>
          <w:lang w:eastAsia="zh-CN"/>
        </w:rPr>
      </w:pPr>
      <w:r>
        <w:rPr>
          <w:rFonts w:hint="eastAsia"/>
          <w:color w:val="000000" w:themeColor="text1"/>
          <w:lang w:eastAsia="zh-CN"/>
        </w:rPr>
        <w:t>电池短时间温升过快；</w:t>
      </w:r>
    </w:p>
    <w:p w14:paraId="422868D3">
      <w:pPr>
        <w:pStyle w:val="132"/>
        <w:rPr>
          <w:rFonts w:hint="eastAsia"/>
          <w:color w:val="000000" w:themeColor="text1"/>
          <w:lang w:eastAsia="zh-CN"/>
        </w:rPr>
      </w:pPr>
      <w:r>
        <w:rPr>
          <w:rFonts w:hint="eastAsia"/>
          <w:color w:val="000000" w:themeColor="text1"/>
          <w:lang w:eastAsia="zh-CN"/>
        </w:rPr>
        <w:t>同一时刻电池不同部位温差过大；</w:t>
      </w:r>
    </w:p>
    <w:p w14:paraId="4D493F3A">
      <w:pPr>
        <w:pStyle w:val="132"/>
        <w:rPr>
          <w:rFonts w:hint="eastAsia"/>
          <w:color w:val="000000" w:themeColor="text1"/>
          <w:lang w:eastAsia="zh-CN"/>
        </w:rPr>
      </w:pPr>
      <w:r>
        <w:rPr>
          <w:rFonts w:hint="eastAsia"/>
          <w:color w:val="000000" w:themeColor="text1"/>
          <w:lang w:eastAsia="zh-CN"/>
        </w:rPr>
        <w:t>电池单体电压超过最高允许电压；</w:t>
      </w:r>
    </w:p>
    <w:p w14:paraId="7AF7D5DC">
      <w:pPr>
        <w:pStyle w:val="132"/>
        <w:rPr>
          <w:rFonts w:hint="eastAsia"/>
          <w:color w:val="000000" w:themeColor="text1"/>
          <w:lang w:eastAsia="zh-CN"/>
        </w:rPr>
      </w:pPr>
      <w:r>
        <w:rPr>
          <w:rFonts w:hint="eastAsia"/>
          <w:color w:val="000000" w:themeColor="text1"/>
          <w:lang w:eastAsia="zh-CN"/>
        </w:rPr>
        <w:t>电池压差超过允许值。</w:t>
      </w:r>
    </w:p>
    <w:p w14:paraId="6F42801F">
      <w:pPr>
        <w:pStyle w:val="162"/>
        <w:rPr>
          <w:rFonts w:hint="eastAsia" w:ascii="宋体" w:hAnsi="Times New Roman" w:eastAsia="宋体" w:cs="Times New Roman"/>
          <w:lang w:eastAsia="zh-CN"/>
        </w:rPr>
      </w:pPr>
      <w:r>
        <w:rPr>
          <w:rFonts w:hint="eastAsia" w:ascii="宋体" w:hAnsi="Times New Roman" w:eastAsia="宋体" w:cs="Times New Roman"/>
          <w:lang w:eastAsia="zh-CN"/>
        </w:rPr>
        <w:t>监控平台宜具备车辆动力电池故障诊断分析功能，根据收集的车辆动力电池数据对火灾风险进行分析研判及监测预警，对识别到的故障车辆采取预警和限制充电等火灾防控措施。</w:t>
      </w:r>
    </w:p>
    <w:p w14:paraId="27E53578">
      <w:pPr>
        <w:pStyle w:val="162"/>
        <w:rPr>
          <w:rFonts w:hint="eastAsia" w:ascii="宋体" w:hAnsi="Times New Roman" w:eastAsia="宋体" w:cs="Times New Roman"/>
          <w:lang w:eastAsia="zh-CN"/>
        </w:rPr>
      </w:pPr>
      <w:r>
        <w:rPr>
          <w:rFonts w:hint="eastAsia" w:ascii="宋体" w:hAnsi="Times New Roman" w:eastAsia="宋体" w:cs="Times New Roman"/>
          <w:lang w:eastAsia="zh-CN"/>
        </w:rPr>
        <w:t>居民小区宜使用小功率直流充电设施，保证车辆动力电池实时数据上传监控平台，满足平台对动力电池的安全监控条件。</w:t>
      </w:r>
    </w:p>
    <w:p w14:paraId="2AD7AC36">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充电设施应在关键部件设置信号采集装置，当设备发生故障时，监控平台能够及时预警，并派送维修工单，智能运维、快速响应。</w:t>
      </w:r>
    </w:p>
    <w:p w14:paraId="34DE14DC">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充电设施运营单位应对设备设施进行规范化管理，对关键设备进行登记、管理，并可进行查询、变更、导出和分析。</w:t>
      </w:r>
    </w:p>
    <w:p w14:paraId="11F83DB2">
      <w:pPr>
        <w:pStyle w:val="162"/>
        <w:rPr>
          <w:rFonts w:hint="eastAsia" w:ascii="宋体" w:hAnsi="Times New Roman" w:eastAsia="宋体" w:cs="Times New Roman"/>
          <w:lang w:eastAsia="zh-CN"/>
        </w:rPr>
      </w:pPr>
      <w:r>
        <w:rPr>
          <w:rFonts w:hint="eastAsia" w:ascii="宋体" w:hAnsi="Times New Roman" w:eastAsia="宋体" w:cs="Times New Roman"/>
          <w:lang w:eastAsia="zh-CN"/>
        </w:rPr>
        <w:t>视频监控系统应具备火灾识别功能，并及时将火灾信号在平台进行预警。</w:t>
      </w:r>
    </w:p>
    <w:p w14:paraId="65EB51C4">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充电监控系统可根据需要规定操作人员对各种业务活动的使用范围和操作权限，实现用户管理和权限管理功能。</w:t>
      </w:r>
    </w:p>
    <w:p w14:paraId="6C5E52DF">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充电监控系统应具备下列数据处理与存储功能：</w:t>
      </w:r>
    </w:p>
    <w:p w14:paraId="59A3024C">
      <w:pPr>
        <w:pStyle w:val="132"/>
        <w:rPr>
          <w:rFonts w:hint="eastAsia"/>
          <w:color w:val="000000" w:themeColor="text1"/>
          <w:lang w:eastAsia="zh-CN"/>
        </w:rPr>
      </w:pPr>
      <w:r>
        <w:rPr>
          <w:rFonts w:hint="eastAsia"/>
          <w:color w:val="000000" w:themeColor="text1"/>
          <w:lang w:eastAsia="zh-CN"/>
        </w:rPr>
        <w:t>充电设备的越限报警、故障统计等数据处理功能；</w:t>
      </w:r>
    </w:p>
    <w:p w14:paraId="3D000236">
      <w:pPr>
        <w:pStyle w:val="132"/>
        <w:rPr>
          <w:rFonts w:hint="eastAsia"/>
          <w:color w:val="000000" w:themeColor="text1"/>
          <w:lang w:eastAsia="zh-CN"/>
        </w:rPr>
      </w:pPr>
      <w:r>
        <w:rPr>
          <w:rFonts w:hint="eastAsia"/>
          <w:color w:val="000000" w:themeColor="text1"/>
          <w:lang w:eastAsia="zh-CN"/>
        </w:rPr>
        <w:t>充电过程数据统计等数据处理功能；</w:t>
      </w:r>
    </w:p>
    <w:p w14:paraId="113735D8">
      <w:pPr>
        <w:pStyle w:val="132"/>
        <w:rPr>
          <w:rFonts w:hint="eastAsia"/>
          <w:color w:val="000000" w:themeColor="text1"/>
          <w:lang w:eastAsia="zh-CN"/>
        </w:rPr>
      </w:pPr>
      <w:r>
        <w:rPr>
          <w:rFonts w:hint="eastAsia"/>
          <w:color w:val="000000" w:themeColor="text1"/>
          <w:lang w:eastAsia="zh-CN"/>
        </w:rPr>
        <w:t>对充电设备的遥测、遥信、遥控、报警事件等实时数据和历史数据的集中存储和查询功能。</w:t>
      </w:r>
    </w:p>
    <w:p w14:paraId="67E494AD">
      <w:pPr>
        <w:pStyle w:val="132"/>
        <w:rPr>
          <w:rFonts w:hint="eastAsia"/>
          <w:color w:val="000000" w:themeColor="text1"/>
          <w:lang w:eastAsia="zh-CN"/>
        </w:rPr>
      </w:pPr>
      <w:r>
        <w:rPr>
          <w:rFonts w:hint="eastAsia"/>
          <w:color w:val="000000" w:themeColor="text1"/>
          <w:lang w:eastAsia="zh-CN"/>
        </w:rPr>
        <w:t>充电监控系统宜具备操作、系统故障、充电运行参数异常、动力蓄电池参数异常等事件记录能力；</w:t>
      </w:r>
    </w:p>
    <w:p w14:paraId="5B05F82E">
      <w:pPr>
        <w:pStyle w:val="132"/>
        <w:rPr>
          <w:rFonts w:hint="eastAsia"/>
          <w:color w:val="000000" w:themeColor="text1"/>
          <w:lang w:eastAsia="zh-CN"/>
        </w:rPr>
      </w:pPr>
      <w:r>
        <w:rPr>
          <w:rFonts w:hint="eastAsia"/>
          <w:color w:val="000000" w:themeColor="text1"/>
          <w:lang w:eastAsia="zh-CN"/>
        </w:rPr>
        <w:t>充电监控系统应提供图形、文字、语音等一种或几种报警方式，并具备相应的报警处理功能；</w:t>
      </w:r>
    </w:p>
    <w:p w14:paraId="368AC382">
      <w:pPr>
        <w:pStyle w:val="132"/>
        <w:rPr>
          <w:rFonts w:hint="eastAsia"/>
          <w:lang w:eastAsia="zh-CN"/>
        </w:rPr>
      </w:pPr>
      <w:r>
        <w:rPr>
          <w:rFonts w:hint="eastAsia"/>
          <w:color w:val="000000" w:themeColor="text1"/>
          <w:lang w:eastAsia="zh-CN"/>
        </w:rPr>
        <w:t>充电监控系统宜根据用户需要定义各类日报、月报及年报，实现报表管理功能，并实现定时或召唤打印功能。</w:t>
      </w:r>
    </w:p>
    <w:p w14:paraId="4620E0A0">
      <w:pPr>
        <w:pStyle w:val="104"/>
        <w:spacing w:before="312" w:after="312"/>
        <w:rPr>
          <w:rFonts w:hint="eastAsia" w:hAnsi="Times New Roman" w:cs="Times New Roman"/>
          <w:lang w:eastAsia="zh-CN"/>
        </w:rPr>
      </w:pPr>
      <w:r>
        <w:rPr>
          <w:rFonts w:hint="eastAsia" w:hAnsi="Times New Roman" w:cs="Times New Roman"/>
          <w:lang w:eastAsia="zh-CN"/>
        </w:rPr>
        <w:t>危险源管理</w:t>
      </w:r>
    </w:p>
    <w:p w14:paraId="3E97224E">
      <w:pPr>
        <w:pStyle w:val="162"/>
        <w:rPr>
          <w:rFonts w:hint="eastAsia" w:ascii="宋体" w:hAnsi="Times New Roman" w:eastAsia="宋体" w:cs="Times New Roman"/>
          <w:lang w:eastAsia="zh-CN"/>
        </w:rPr>
      </w:pPr>
      <w:r>
        <w:rPr>
          <w:rFonts w:hint="eastAsia" w:ascii="宋体" w:hAnsi="Times New Roman" w:eastAsia="宋体" w:cs="Times New Roman"/>
          <w:lang w:eastAsia="zh-CN"/>
        </w:rPr>
        <w:t>禁止易燃、易爆或易燃材料、化学品、易燃蒸汽等危险物品靠近充电站。</w:t>
      </w:r>
    </w:p>
    <w:p w14:paraId="65A64C81">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充电使用前检查充电枪，禁止使用充电电缆有缺陷、裂纹、磨损、破裂、充电电缆等。</w:t>
      </w:r>
    </w:p>
    <w:p w14:paraId="1A816FB4">
      <w:pPr>
        <w:pStyle w:val="162"/>
        <w:rPr>
          <w:rFonts w:hint="eastAsia" w:ascii="宋体" w:hAnsi="Times New Roman" w:eastAsia="宋体" w:cs="Times New Roman"/>
          <w:lang w:eastAsia="zh-CN"/>
        </w:rPr>
      </w:pPr>
      <w:r>
        <w:rPr>
          <w:rFonts w:hint="eastAsia" w:ascii="宋体" w:hAnsi="Times New Roman" w:eastAsia="宋体" w:cs="Times New Roman"/>
          <w:lang w:eastAsia="zh-CN"/>
        </w:rPr>
        <w:t>任何人不得在充电区域内吸烟，不得在充电区域内点燃明火。</w:t>
      </w:r>
    </w:p>
    <w:p w14:paraId="45DC3C35">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充电时不要拔枪头，带电时不要用手触摸充电枪的芯。</w:t>
      </w:r>
    </w:p>
    <w:p w14:paraId="316FCB4A">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充电过程中请勿让孩子靠近或使用充电站。</w:t>
      </w:r>
    </w:p>
    <w:p w14:paraId="532C83FC">
      <w:pPr>
        <w:pStyle w:val="162"/>
        <w:rPr>
          <w:rFonts w:hint="eastAsia" w:ascii="宋体" w:hAnsi="Times New Roman" w:eastAsia="宋体" w:cs="Times New Roman"/>
          <w:lang w:eastAsia="zh-CN"/>
        </w:rPr>
      </w:pPr>
      <w:r>
        <w:rPr>
          <w:rFonts w:hint="eastAsia" w:ascii="宋体" w:hAnsi="Times New Roman" w:eastAsia="宋体" w:cs="Times New Roman"/>
          <w:lang w:eastAsia="zh-CN"/>
        </w:rPr>
        <w:t>充电过程中，车辆不行驶，只能在静止时充电，混合动力车应灭火后充电。</w:t>
      </w:r>
    </w:p>
    <w:p w14:paraId="7F458AD7">
      <w:pPr>
        <w:pStyle w:val="162"/>
        <w:rPr>
          <w:rFonts w:hint="eastAsia" w:ascii="宋体" w:hAnsi="Times New Roman" w:eastAsia="宋体" w:cs="Times New Roman"/>
          <w:lang w:eastAsia="zh-CN"/>
        </w:rPr>
      </w:pPr>
      <w:r>
        <w:rPr>
          <w:rFonts w:hint="eastAsia" w:ascii="宋体" w:hAnsi="Times New Roman" w:eastAsia="宋体" w:cs="Times New Roman"/>
          <w:lang w:eastAsia="zh-CN"/>
        </w:rPr>
        <w:t>雨天，尽量不要在露天充电，以免发生漏电危险，车身充电口内侧有一个流水口，插入充电枪后密封连接，符合国标的充电站可有效保护其不受正常雨量的影响，但不推荐冒雨充电，当积水逼近车牌高度时，禁止充电，如遇雷暴天气，请勿露天充电。</w:t>
      </w:r>
    </w:p>
    <w:p w14:paraId="75B96D9D">
      <w:pPr>
        <w:pStyle w:val="162"/>
        <w:rPr>
          <w:rFonts w:hint="eastAsia" w:ascii="宋体" w:hAnsi="Times New Roman" w:eastAsia="宋体" w:cs="Times New Roman"/>
          <w:lang w:eastAsia="zh-CN"/>
        </w:rPr>
      </w:pPr>
      <w:r>
        <w:rPr>
          <w:rFonts w:hint="eastAsia" w:ascii="宋体" w:hAnsi="Times New Roman" w:eastAsia="宋体" w:cs="Times New Roman"/>
          <w:lang w:eastAsia="zh-CN"/>
        </w:rPr>
        <w:t>现场操作人员必须穿戴防静电的服饰或者佩戴防静电片。</w:t>
      </w:r>
    </w:p>
    <w:p w14:paraId="0D1E4654">
      <w:pPr>
        <w:pStyle w:val="104"/>
        <w:spacing w:before="312" w:after="312"/>
        <w:rPr>
          <w:rFonts w:hint="eastAsia" w:hAnsi="Times New Roman" w:cs="Times New Roman"/>
          <w:lang w:eastAsia="zh-CN"/>
        </w:rPr>
      </w:pPr>
      <w:r>
        <w:rPr>
          <w:rFonts w:hint="eastAsia" w:hAnsi="Times New Roman" w:cs="Times New Roman"/>
          <w:lang w:eastAsia="zh-CN"/>
        </w:rPr>
        <w:t>消防应急处置</w:t>
      </w:r>
    </w:p>
    <w:p w14:paraId="3A3B3193">
      <w:pPr>
        <w:pStyle w:val="105"/>
        <w:spacing w:before="156" w:after="156"/>
        <w:rPr>
          <w:rFonts w:hint="eastAsia" w:hAnsi="Times New Roman" w:cs="Times New Roman"/>
          <w:lang w:eastAsia="zh-CN"/>
        </w:rPr>
      </w:pPr>
      <w:r>
        <w:rPr>
          <w:rFonts w:hint="eastAsia" w:hAnsi="Times New Roman" w:cs="Times New Roman"/>
          <w:lang w:eastAsia="zh-CN"/>
        </w:rPr>
        <w:t>消防培训宣传及预案演练</w:t>
      </w:r>
    </w:p>
    <w:p w14:paraId="42AC4BEB">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充电设施运营单位应建立消防安全培训计划，至少每半年组织消防安全责任人、充电设施消防管理人、设备维护人员开展消防安全专项培训。</w:t>
      </w:r>
    </w:p>
    <w:p w14:paraId="216C1F6D">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运营单位的消防安全责任人、充电设施消防安全管理人、设备维护人员应了解充电设施的电气火灾风险、电动汽车火灾风险及其管控措施，应熟悉充电设施结构和运行原理、动力电池热失控原理、设备火灾和电动汽车火灾的应急处置方法。</w:t>
      </w:r>
    </w:p>
    <w:p w14:paraId="0B0B7B33">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充电设施运营单位应对充电设施使用要求、消防风险提示、应急灭火处置措施等内容在充电设施区域进行告知。</w:t>
      </w:r>
    </w:p>
    <w:p w14:paraId="0FE60137">
      <w:pPr>
        <w:pStyle w:val="165"/>
        <w:rPr>
          <w:rFonts w:hint="eastAsia" w:ascii="宋体" w:hAnsi="Times New Roman" w:eastAsia="宋体" w:cs="Times New Roman"/>
          <w:lang w:eastAsia="zh-CN"/>
        </w:rPr>
      </w:pPr>
      <w:r>
        <w:rPr>
          <w:rFonts w:hint="eastAsia" w:ascii="宋体" w:hAnsi="Times New Roman" w:eastAsia="宋体" w:cs="Times New Roman"/>
          <w:lang w:eastAsia="zh-CN"/>
        </w:rPr>
        <w:t>物业管理单位应在管理范围内不定期开展电动汽车及充电设施消防安全宣传教育。</w:t>
      </w:r>
    </w:p>
    <w:p w14:paraId="6696554D">
      <w:pPr>
        <w:pStyle w:val="165"/>
        <w:rPr>
          <w:rFonts w:hint="eastAsia" w:ascii="宋体" w:hAnsi="Times New Roman" w:eastAsia="宋体" w:cs="Times New Roman"/>
          <w:lang w:eastAsia="zh-CN"/>
        </w:rPr>
      </w:pPr>
      <w:r>
        <w:rPr>
          <w:rFonts w:hint="eastAsia" w:ascii="宋体" w:hAnsi="Times New Roman" w:eastAsia="宋体" w:cs="Times New Roman"/>
          <w:lang w:eastAsia="zh-CN"/>
        </w:rPr>
        <w:t>充电运营单位应每年至少组织一次充电站火灾的消防应急预案演练。</w:t>
      </w:r>
    </w:p>
    <w:p w14:paraId="222867B3">
      <w:pPr>
        <w:pStyle w:val="105"/>
        <w:spacing w:before="156" w:after="156"/>
        <w:rPr>
          <w:rFonts w:hint="eastAsia" w:hAnsi="Times New Roman" w:cs="Times New Roman"/>
          <w:lang w:eastAsia="zh-CN"/>
        </w:rPr>
      </w:pPr>
      <w:r>
        <w:rPr>
          <w:rFonts w:hint="eastAsia" w:hAnsi="Times New Roman" w:cs="Times New Roman"/>
          <w:lang w:eastAsia="zh-CN"/>
        </w:rPr>
        <w:t>应急预案</w:t>
      </w:r>
    </w:p>
    <w:p w14:paraId="5E6C0527">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运营单位应制订应对火灾和触电等突发事件的应急预案，应急预案应包括处置措施、主要流程和步骤，在保障安全的前提下，确保突发事件处置能够快速反应。</w:t>
      </w:r>
    </w:p>
    <w:p w14:paraId="3F041716">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运营单位应设立应急队伍，及时应对应急事件的发生和处理。</w:t>
      </w:r>
    </w:p>
    <w:p w14:paraId="79A0ECE4">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运营单位应结合实际，定期组织相关人员进行应急预案演练，并做好演练评估工作。</w:t>
      </w:r>
    </w:p>
    <w:p w14:paraId="299ACB7B">
      <w:pPr>
        <w:pStyle w:val="165"/>
        <w:rPr>
          <w:rFonts w:hint="eastAsia" w:ascii="宋体" w:hAnsi="Times New Roman" w:eastAsia="宋体" w:cs="Times New Roman"/>
          <w:lang w:eastAsia="zh-CN"/>
        </w:rPr>
      </w:pPr>
      <w:r>
        <w:rPr>
          <w:rFonts w:hint="eastAsia" w:ascii="宋体" w:hAnsi="Times New Roman" w:eastAsia="宋体" w:cs="Times New Roman"/>
          <w:lang w:eastAsia="zh-CN"/>
        </w:rPr>
        <w:t>运营单位应配备必要的应急设备，立档建案加强维护保证设备随时可用。</w:t>
      </w:r>
    </w:p>
    <w:p w14:paraId="07FC3878">
      <w:pPr>
        <w:pStyle w:val="105"/>
        <w:spacing w:before="156" w:after="156"/>
        <w:rPr>
          <w:rFonts w:hint="eastAsia"/>
          <w:lang w:eastAsia="zh-CN"/>
        </w:rPr>
      </w:pPr>
      <w:r>
        <w:rPr>
          <w:rFonts w:hint="eastAsia"/>
          <w:lang w:eastAsia="zh-CN"/>
        </w:rPr>
        <w:t>火灾预警/报警</w:t>
      </w:r>
    </w:p>
    <w:p w14:paraId="68D9F4F3">
      <w:pPr>
        <w:pStyle w:val="165"/>
        <w:rPr>
          <w:rFonts w:hint="eastAsia" w:ascii="宋体" w:hAnsi="Times New Roman" w:eastAsia="宋体" w:cs="Times New Roman"/>
          <w:lang w:eastAsia="zh-CN"/>
        </w:rPr>
      </w:pPr>
      <w:r>
        <w:rPr>
          <w:rFonts w:hint="eastAsia" w:ascii="宋体" w:hAnsi="Times New Roman" w:eastAsia="宋体" w:cs="Times New Roman"/>
          <w:lang w:eastAsia="zh-CN"/>
        </w:rPr>
        <w:t>发生火灾事故时，发现人应立即报警，并通知场站公示的充电设施消防管理人和紧急联系人，针对电动汽车火灾事故起因进行初步排查，避免盲目灭火救援。</w:t>
      </w:r>
    </w:p>
    <w:p w14:paraId="35AA5A70">
      <w:pPr>
        <w:pStyle w:val="165"/>
        <w:rPr>
          <w:rFonts w:hint="eastAsia" w:ascii="宋体" w:hAnsi="Times New Roman" w:eastAsia="宋体" w:cs="Times New Roman"/>
          <w:lang w:eastAsia="zh-CN"/>
        </w:rPr>
      </w:pPr>
      <w:r>
        <w:rPr>
          <w:rFonts w:hint="eastAsia" w:ascii="宋体" w:hAnsi="Times New Roman" w:eastAsia="宋体" w:cs="Times New Roman"/>
          <w:lang w:eastAsia="zh-CN"/>
        </w:rPr>
        <w:t>当充电设施消防管理人员接到平台运营单位火灾预警信号，应第一时间现场确认是否发生火灾事故，若发生火灾事故应立即报警。</w:t>
      </w:r>
    </w:p>
    <w:p w14:paraId="72807610">
      <w:pPr>
        <w:pStyle w:val="165"/>
        <w:rPr>
          <w:rFonts w:hint="eastAsia" w:ascii="宋体" w:hAnsi="Times New Roman" w:eastAsia="宋体" w:cs="Times New Roman"/>
          <w:lang w:eastAsia="zh-CN"/>
        </w:rPr>
      </w:pPr>
      <w:r>
        <w:rPr>
          <w:rFonts w:hint="eastAsia" w:ascii="宋体" w:hAnsi="Times New Roman" w:eastAsia="宋体" w:cs="Times New Roman"/>
          <w:lang w:eastAsia="zh-CN"/>
        </w:rPr>
        <w:t>当接到桩端充电中断反馈时，应立即排查充电设施故障，若无故障应及时提醒车主进行车辆故障排查，避免火灾发生。</w:t>
      </w:r>
    </w:p>
    <w:p w14:paraId="489699C8">
      <w:pPr>
        <w:pStyle w:val="105"/>
        <w:spacing w:before="156" w:after="156"/>
        <w:rPr>
          <w:rFonts w:hint="eastAsia"/>
          <w:lang w:eastAsia="zh-CN"/>
        </w:rPr>
      </w:pPr>
      <w:r>
        <w:rPr>
          <w:rFonts w:hint="eastAsia"/>
          <w:lang w:eastAsia="zh-CN"/>
        </w:rPr>
        <w:t>灭火救援</w:t>
      </w:r>
    </w:p>
    <w:p w14:paraId="1E9FDBAC">
      <w:pPr>
        <w:pStyle w:val="165"/>
        <w:rPr>
          <w:rFonts w:hint="eastAsia" w:ascii="宋体" w:hAnsi="Times New Roman" w:eastAsia="宋体" w:cs="Times New Roman"/>
          <w:lang w:eastAsia="zh-CN"/>
        </w:rPr>
      </w:pPr>
      <w:r>
        <w:rPr>
          <w:rFonts w:hint="eastAsia" w:ascii="宋体" w:hAnsi="Times New Roman" w:eastAsia="宋体" w:cs="Times New Roman"/>
          <w:lang w:eastAsia="zh-CN"/>
        </w:rPr>
        <w:t>发生火灾事故时充电消防设施管理人应辨识发生火灾类型并启动消防应急预案，组织灭火救援：</w:t>
      </w:r>
    </w:p>
    <w:p w14:paraId="315DCA18">
      <w:pPr>
        <w:pStyle w:val="132"/>
        <w:rPr>
          <w:rFonts w:hint="eastAsia"/>
          <w:color w:val="000000" w:themeColor="text1"/>
          <w:lang w:eastAsia="zh-CN"/>
        </w:rPr>
      </w:pPr>
      <w:r>
        <w:rPr>
          <w:rFonts w:hint="eastAsia"/>
          <w:color w:val="000000" w:themeColor="text1"/>
          <w:lang w:eastAsia="zh-CN"/>
        </w:rPr>
        <w:t>发生充电设施起火时，应按照电气火灾进行初起火灾的扑救；</w:t>
      </w:r>
    </w:p>
    <w:p w14:paraId="351421EF">
      <w:pPr>
        <w:pStyle w:val="132"/>
        <w:rPr>
          <w:rFonts w:hint="eastAsia"/>
          <w:color w:val="000000" w:themeColor="text1"/>
          <w:lang w:eastAsia="zh-CN"/>
        </w:rPr>
      </w:pPr>
      <w:r>
        <w:rPr>
          <w:rFonts w:hint="eastAsia"/>
          <w:color w:val="000000" w:themeColor="text1"/>
          <w:lang w:eastAsia="zh-CN"/>
        </w:rPr>
        <w:t>发生电动汽车电池起火时，应立即疏散人员，并频繁使用泡沫灭火器进行初起火灾扑救；</w:t>
      </w:r>
    </w:p>
    <w:p w14:paraId="3AD1F1EC">
      <w:pPr>
        <w:pStyle w:val="132"/>
        <w:rPr>
          <w:rFonts w:hint="eastAsia"/>
          <w:color w:val="000000" w:themeColor="text1"/>
          <w:lang w:eastAsia="zh-CN"/>
        </w:rPr>
      </w:pPr>
      <w:r>
        <w:rPr>
          <w:rFonts w:hint="eastAsia"/>
          <w:color w:val="000000" w:themeColor="text1"/>
          <w:lang w:eastAsia="zh-CN"/>
        </w:rPr>
        <w:t>充电情况下发生火情，应第一时间确定充电站电源位置并切断；</w:t>
      </w:r>
    </w:p>
    <w:p w14:paraId="3DE05023">
      <w:pPr>
        <w:pStyle w:val="132"/>
        <w:rPr>
          <w:rFonts w:hint="eastAsia"/>
          <w:color w:val="000000" w:themeColor="text1"/>
          <w:lang w:eastAsia="zh-CN"/>
        </w:rPr>
      </w:pPr>
      <w:r>
        <w:rPr>
          <w:rFonts w:hint="eastAsia"/>
          <w:color w:val="000000" w:themeColor="text1"/>
          <w:lang w:eastAsia="zh-CN"/>
        </w:rPr>
        <w:t>在确保人身安全的前提下，采用拔出充电枪或剪断电线等手段，断开充电设备与车辆的连接，再按照以上程序进行灭火和应急救援。</w:t>
      </w:r>
    </w:p>
    <w:p w14:paraId="2DB03FFF">
      <w:pPr>
        <w:pStyle w:val="165"/>
        <w:rPr>
          <w:rFonts w:hint="eastAsia"/>
          <w:lang w:eastAsia="zh-CN"/>
        </w:rPr>
      </w:pPr>
      <w:r>
        <w:rPr>
          <w:rFonts w:hint="eastAsia"/>
          <w:lang w:eastAsia="zh-CN"/>
        </w:rPr>
        <w:t>消防救援机构灭火救援时应注意电池爆炸、电池高压触电、燃烧产生有毒气体及电池复燃等风险，须按照消防灭火战斗规程进行处置。</w:t>
      </w:r>
    </w:p>
    <w:p w14:paraId="27BCA439">
      <w:pPr>
        <w:pStyle w:val="105"/>
        <w:spacing w:before="156" w:after="156"/>
        <w:rPr>
          <w:rFonts w:hint="eastAsia"/>
          <w:lang w:eastAsia="zh-CN"/>
        </w:rPr>
      </w:pPr>
      <w:r>
        <w:rPr>
          <w:rFonts w:hint="eastAsia"/>
          <w:lang w:eastAsia="zh-CN"/>
        </w:rPr>
        <w:t>现场处置</w:t>
      </w:r>
    </w:p>
    <w:p w14:paraId="51F2122E">
      <w:pPr>
        <w:pStyle w:val="165"/>
        <w:rPr>
          <w:rFonts w:hint="eastAsia" w:ascii="宋体" w:hAnsi="Times New Roman" w:eastAsia="宋体" w:cs="Times New Roman"/>
          <w:lang w:eastAsia="zh-CN"/>
        </w:rPr>
      </w:pPr>
      <w:r>
        <w:rPr>
          <w:rFonts w:hint="eastAsia" w:ascii="宋体" w:hAnsi="Times New Roman" w:eastAsia="宋体" w:cs="Times New Roman"/>
          <w:lang w:eastAsia="zh-CN"/>
        </w:rPr>
        <w:t>火灾发生现场应设置隔离区域，确保周围资产和人员安全。</w:t>
      </w:r>
    </w:p>
    <w:p w14:paraId="02E31AC1">
      <w:pPr>
        <w:pStyle w:val="165"/>
        <w:rPr>
          <w:rFonts w:hint="eastAsia" w:ascii="宋体" w:hAnsi="Times New Roman" w:eastAsia="宋体" w:cs="Times New Roman"/>
          <w:lang w:eastAsia="zh-CN"/>
        </w:rPr>
      </w:pPr>
      <w:r>
        <w:rPr>
          <w:rFonts w:hint="eastAsia" w:ascii="宋体" w:hAnsi="Times New Roman" w:eastAsia="宋体" w:cs="Times New Roman"/>
          <w:lang w:eastAsia="zh-CN"/>
        </w:rPr>
        <w:t>火灾扑灭后，固定车辆并断电。</w:t>
      </w:r>
    </w:p>
    <w:p w14:paraId="59EE7837">
      <w:pPr>
        <w:pStyle w:val="165"/>
        <w:rPr>
          <w:rFonts w:hint="eastAsia" w:ascii="宋体" w:hAnsi="Times New Roman" w:eastAsia="宋体" w:cs="Times New Roman"/>
          <w:lang w:eastAsia="zh-CN"/>
        </w:rPr>
      </w:pPr>
      <w:r>
        <w:rPr>
          <w:rFonts w:hint="eastAsia" w:ascii="宋体" w:hAnsi="Times New Roman" w:eastAsia="宋体" w:cs="Times New Roman"/>
          <w:lang w:eastAsia="zh-CN"/>
        </w:rPr>
        <w:t>检查清理现场，并向有关部门移交现场。</w:t>
      </w:r>
    </w:p>
    <w:p w14:paraId="48B485C5">
      <w:pPr>
        <w:pStyle w:val="165"/>
        <w:rPr>
          <w:rFonts w:hint="eastAsia" w:ascii="宋体" w:hAnsi="Times New Roman" w:eastAsia="宋体" w:cs="Times New Roman"/>
          <w:lang w:eastAsia="zh-CN"/>
        </w:rPr>
      </w:pPr>
      <w:r>
        <w:rPr>
          <w:rFonts w:hint="eastAsia" w:ascii="宋体" w:hAnsi="Times New Roman" w:eastAsia="宋体" w:cs="Times New Roman"/>
          <w:lang w:eastAsia="zh-CN"/>
        </w:rPr>
        <w:t>提醒车主和有关部门妥善处理受损电池，合理采取转运方式，防止事故车辆在转运及后期静置过程中起火。</w:t>
      </w:r>
    </w:p>
    <w:p w14:paraId="3FA5A328">
      <w:pPr>
        <w:pStyle w:val="165"/>
        <w:rPr>
          <w:rFonts w:hint="eastAsia" w:ascii="宋体" w:hAnsi="Times New Roman" w:eastAsia="宋体" w:cs="Times New Roman"/>
          <w:lang w:eastAsia="zh-CN"/>
        </w:rPr>
      </w:pPr>
      <w:r>
        <w:rPr>
          <w:rFonts w:hint="eastAsia" w:ascii="宋体" w:hAnsi="Times New Roman" w:eastAsia="宋体" w:cs="Times New Roman"/>
          <w:lang w:eastAsia="zh-CN"/>
        </w:rPr>
        <w:t>在高压电池电量完全放出之前，应将事故车辆置于距离建筑物或其它车辆15米之外的地方。</w:t>
      </w:r>
    </w:p>
    <w:p w14:paraId="5FD132FA">
      <w:pPr>
        <w:pStyle w:val="165"/>
        <w:rPr>
          <w:rFonts w:hint="eastAsia" w:ascii="宋体" w:hAnsi="Times New Roman" w:eastAsia="宋体" w:cs="Times New Roman"/>
          <w:lang w:eastAsia="zh-CN"/>
        </w:rPr>
      </w:pPr>
      <w:r>
        <w:rPr>
          <w:rFonts w:hint="eastAsia" w:ascii="宋体" w:hAnsi="Times New Roman" w:eastAsia="宋体" w:cs="Times New Roman"/>
          <w:lang w:eastAsia="zh-CN"/>
        </w:rPr>
        <w:t>在转移车辆时，不能直接进行拖挂，应根据相关要求进行转移。</w:t>
      </w:r>
    </w:p>
    <w:p w14:paraId="415EE7F9">
      <w:pPr>
        <w:pStyle w:val="165"/>
        <w:rPr>
          <w:rFonts w:hint="eastAsia" w:ascii="宋体" w:hAnsi="Times New Roman" w:eastAsia="宋体" w:cs="Times New Roman"/>
          <w:lang w:eastAsia="zh-CN"/>
        </w:rPr>
      </w:pPr>
      <w:r>
        <w:rPr>
          <w:rFonts w:hint="eastAsia" w:ascii="宋体" w:hAnsi="Times New Roman" w:eastAsia="宋体" w:cs="Times New Roman"/>
          <w:lang w:eastAsia="zh-CN"/>
        </w:rPr>
        <w:t>现场发生无明火有浓烟情况，应立即通知充电设施消防管理人和紧急联系人，同时初步排查浓烟来源，有必要时应采取压制措施。</w:t>
      </w:r>
    </w:p>
    <w:p w14:paraId="5730B3DE">
      <w:pPr>
        <w:pStyle w:val="165"/>
        <w:rPr>
          <w:rFonts w:hint="eastAsia" w:ascii="宋体" w:hAnsi="Times New Roman" w:eastAsia="宋体" w:cs="Times New Roman"/>
          <w:lang w:eastAsia="zh-CN"/>
        </w:rPr>
      </w:pPr>
      <w:r>
        <w:rPr>
          <w:rFonts w:hint="eastAsia" w:ascii="宋体" w:hAnsi="Times New Roman" w:eastAsia="宋体" w:cs="Times New Roman"/>
          <w:lang w:eastAsia="zh-CN"/>
        </w:rPr>
        <w:t>火灾现场对其它车辆造成影响的情形处置方式</w:t>
      </w:r>
    </w:p>
    <w:p w14:paraId="01F355F3">
      <w:pPr>
        <w:pStyle w:val="165"/>
        <w:rPr>
          <w:rFonts w:hint="eastAsia" w:ascii="宋体" w:hAnsi="Times New Roman" w:eastAsia="宋体" w:cs="Times New Roman"/>
          <w:lang w:eastAsia="zh-CN"/>
        </w:rPr>
      </w:pPr>
      <w:r>
        <w:rPr>
          <w:rFonts w:hint="eastAsia" w:ascii="宋体" w:hAnsi="Times New Roman" w:eastAsia="宋体" w:cs="Times New Roman"/>
          <w:lang w:eastAsia="zh-CN"/>
        </w:rPr>
        <w:t>火灾现场对过往人群造成伤害的情形处置方式</w:t>
      </w:r>
    </w:p>
    <w:p w14:paraId="53F41C8B">
      <w:pPr>
        <w:pStyle w:val="105"/>
        <w:spacing w:before="156" w:after="156"/>
        <w:rPr>
          <w:rFonts w:hint="eastAsia"/>
          <w:lang w:eastAsia="zh-CN"/>
        </w:rPr>
      </w:pPr>
      <w:r>
        <w:rPr>
          <w:rFonts w:hint="eastAsia"/>
          <w:lang w:eastAsia="zh-CN"/>
        </w:rPr>
        <w:t>火灾事故调查</w:t>
      </w:r>
    </w:p>
    <w:p w14:paraId="691CF3D2">
      <w:pPr>
        <w:pStyle w:val="165"/>
        <w:rPr>
          <w:rFonts w:hint="eastAsia" w:ascii="宋体" w:hAnsi="Times New Roman" w:eastAsia="宋体" w:cs="Times New Roman"/>
          <w:lang w:eastAsia="zh-CN"/>
        </w:rPr>
      </w:pPr>
      <w:r>
        <w:rPr>
          <w:rFonts w:hint="eastAsia" w:ascii="宋体" w:hAnsi="Times New Roman" w:eastAsia="宋体" w:cs="Times New Roman"/>
          <w:lang w:eastAsia="zh-CN"/>
        </w:rPr>
        <w:t>发生火灾的充电设施区域应按照消防救援机构的要求保护现场，接受事故调查，如实提供与火灾有关的情况，调查需提供的信息包含但不限于：</w:t>
      </w:r>
    </w:p>
    <w:p w14:paraId="53C071DA">
      <w:pPr>
        <w:pStyle w:val="132"/>
        <w:rPr>
          <w:rFonts w:hint="eastAsia"/>
          <w:color w:val="000000" w:themeColor="text1"/>
          <w:lang w:eastAsia="zh-CN"/>
        </w:rPr>
      </w:pPr>
      <w:r>
        <w:rPr>
          <w:rFonts w:hint="eastAsia"/>
          <w:color w:val="000000" w:themeColor="text1"/>
          <w:lang w:eastAsia="zh-CN"/>
        </w:rPr>
        <w:t>充电设施的制造、安装质量证明文件；</w:t>
      </w:r>
    </w:p>
    <w:p w14:paraId="12BA76B1">
      <w:pPr>
        <w:pStyle w:val="132"/>
        <w:rPr>
          <w:rFonts w:hint="eastAsia"/>
          <w:color w:val="000000" w:themeColor="text1"/>
          <w:lang w:eastAsia="zh-CN"/>
        </w:rPr>
      </w:pPr>
      <w:r>
        <w:rPr>
          <w:rFonts w:hint="eastAsia"/>
          <w:color w:val="000000" w:themeColor="text1"/>
          <w:lang w:eastAsia="zh-CN"/>
        </w:rPr>
        <w:t>充电设施消防安全管理记录；</w:t>
      </w:r>
    </w:p>
    <w:p w14:paraId="1DC07619">
      <w:pPr>
        <w:pStyle w:val="132"/>
        <w:rPr>
          <w:rFonts w:hint="eastAsia"/>
          <w:color w:val="000000" w:themeColor="text1"/>
          <w:lang w:eastAsia="zh-CN"/>
        </w:rPr>
      </w:pPr>
      <w:r>
        <w:rPr>
          <w:rFonts w:hint="eastAsia"/>
          <w:color w:val="000000" w:themeColor="text1"/>
          <w:lang w:eastAsia="zh-CN"/>
        </w:rPr>
        <w:t>充电过程数据，包含车辆电池数据、充电设施数据、视频监控数据。</w:t>
      </w:r>
    </w:p>
    <w:p w14:paraId="7703EA5D">
      <w:pPr>
        <w:pStyle w:val="165"/>
        <w:rPr>
          <w:rFonts w:hint="eastAsia" w:ascii="宋体" w:hAnsi="Times New Roman" w:eastAsia="宋体" w:cs="Times New Roman"/>
          <w:lang w:eastAsia="zh-CN"/>
        </w:rPr>
      </w:pPr>
      <w:r>
        <w:rPr>
          <w:rFonts w:hint="eastAsia" w:ascii="宋体" w:hAnsi="Times New Roman" w:eastAsia="宋体" w:cs="Times New Roman"/>
          <w:lang w:eastAsia="zh-CN"/>
        </w:rPr>
        <w:t>消防救援机构应依据火灾现场勘验、调查情况和有关的检验、鉴定意见，及时制作火灾事故认定书，作为处理火灾事故的证据。</w:t>
      </w:r>
    </w:p>
    <w:bookmarkEnd w:id="55"/>
    <w:bookmarkEnd w:id="56"/>
    <w:p w14:paraId="1F2B54C3">
      <w:pPr>
        <w:pStyle w:val="56"/>
        <w:ind w:firstLine="0" w:firstLineChars="0"/>
        <w:jc w:val="center"/>
      </w:pPr>
    </w:p>
    <w:p w14:paraId="7DD2329E">
      <w:r>
        <w:br w:type="page"/>
      </w:r>
    </w:p>
    <w:p w14:paraId="44BD8201">
      <w:pPr>
        <w:pStyle w:val="76"/>
        <w:spacing w:before="78" w:after="156"/>
        <w:rPr>
          <w:rFonts w:hint="eastAsia"/>
          <w:sz w:val="21"/>
          <w:szCs w:val="24"/>
        </w:rPr>
      </w:pPr>
      <w:r>
        <w:rPr>
          <w:rFonts w:hint="eastAsia"/>
          <w:sz w:val="21"/>
          <w:szCs w:val="24"/>
        </w:rPr>
        <w:br w:type="textWrapping"/>
      </w:r>
      <w:r>
        <w:rPr>
          <w:rFonts w:hint="eastAsia"/>
          <w:sz w:val="21"/>
          <w:szCs w:val="24"/>
        </w:rPr>
        <w:t>（规范性）</w:t>
      </w:r>
      <w:r>
        <w:rPr>
          <w:rFonts w:hint="eastAsia"/>
          <w:sz w:val="21"/>
          <w:szCs w:val="24"/>
        </w:rPr>
        <w:br w:type="textWrapping"/>
      </w:r>
      <w:r>
        <w:rPr>
          <w:rFonts w:hint="eastAsia"/>
          <w:sz w:val="21"/>
          <w:szCs w:val="24"/>
          <w:lang w:eastAsia="zh-CN"/>
        </w:rPr>
        <w:t>检查细则</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5688"/>
        <w:gridCol w:w="3190"/>
      </w:tblGrid>
      <w:tr w14:paraId="22F4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06DB0F5C">
            <w:pPr>
              <w:spacing w:before="65" w:line="228" w:lineRule="auto"/>
              <w:jc w:val="center"/>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lang w:eastAsia="zh-CN"/>
              </w:rPr>
              <w:t>序号</w:t>
            </w:r>
          </w:p>
        </w:tc>
        <w:tc>
          <w:tcPr>
            <w:tcW w:w="5688" w:type="dxa"/>
          </w:tcPr>
          <w:p w14:paraId="126F70BC">
            <w:pPr>
              <w:spacing w:before="65" w:line="228" w:lineRule="auto"/>
              <w:jc w:val="center"/>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lang w:eastAsia="zh-CN"/>
              </w:rPr>
              <w:t>检查内容</w:t>
            </w:r>
          </w:p>
        </w:tc>
        <w:tc>
          <w:tcPr>
            <w:tcW w:w="3190" w:type="dxa"/>
            <w:vAlign w:val="center"/>
          </w:tcPr>
          <w:p w14:paraId="523D7D99">
            <w:pPr>
              <w:spacing w:before="65" w:line="228" w:lineRule="auto"/>
              <w:jc w:val="center"/>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lang w:eastAsia="zh-CN"/>
              </w:rPr>
              <w:t>检查单位</w:t>
            </w:r>
          </w:p>
        </w:tc>
      </w:tr>
      <w:tr w14:paraId="47D6C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692" w:type="dxa"/>
            <w:vAlign w:val="center"/>
          </w:tcPr>
          <w:p w14:paraId="168CAD91">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w:t>
            </w:r>
          </w:p>
        </w:tc>
        <w:tc>
          <w:tcPr>
            <w:tcW w:w="5688" w:type="dxa"/>
            <w:vAlign w:val="center"/>
          </w:tcPr>
          <w:p w14:paraId="179BC947">
            <w:pPr>
              <w:spacing w:before="65" w:line="228" w:lineRule="auto"/>
              <w:jc w:val="both"/>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充电设施外观、功能、安全防护等正常，无破损锈蚀，无漏水痕迹，运行声音无异常</w:t>
            </w:r>
            <w:r>
              <w:rPr>
                <w:rFonts w:hint="eastAsia" w:ascii="宋体" w:hAnsi="宋体" w:eastAsia="宋体" w:cs="宋体"/>
                <w:spacing w:val="5"/>
                <w:sz w:val="18"/>
                <w:szCs w:val="18"/>
                <w:vertAlign w:val="baseline"/>
                <w:lang w:eastAsia="zh-CN"/>
              </w:rPr>
              <w:t>。</w:t>
            </w:r>
          </w:p>
        </w:tc>
        <w:tc>
          <w:tcPr>
            <w:tcW w:w="3190" w:type="dxa"/>
            <w:vAlign w:val="center"/>
          </w:tcPr>
          <w:p w14:paraId="53EEBC58">
            <w:pPr>
              <w:spacing w:before="65" w:line="228" w:lineRule="auto"/>
              <w:jc w:val="center"/>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lang w:eastAsia="zh-CN"/>
              </w:rPr>
              <w:t>运营单位</w:t>
            </w:r>
          </w:p>
        </w:tc>
      </w:tr>
      <w:tr w14:paraId="79D4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7BE04079">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w:t>
            </w:r>
          </w:p>
        </w:tc>
        <w:tc>
          <w:tcPr>
            <w:tcW w:w="5688" w:type="dxa"/>
          </w:tcPr>
          <w:p w14:paraId="452EA65F">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充电设施区域排水良好，设备无水浸痕迹</w:t>
            </w:r>
            <w:r>
              <w:rPr>
                <w:rFonts w:hint="eastAsia" w:ascii="宋体" w:hAnsi="宋体" w:eastAsia="宋体" w:cs="宋体"/>
                <w:spacing w:val="5"/>
                <w:sz w:val="18"/>
                <w:szCs w:val="18"/>
                <w:vertAlign w:val="baseline"/>
                <w:lang w:eastAsia="zh-CN"/>
              </w:rPr>
              <w:t>。</w:t>
            </w:r>
          </w:p>
        </w:tc>
        <w:tc>
          <w:tcPr>
            <w:tcW w:w="3190" w:type="dxa"/>
            <w:vAlign w:val="center"/>
          </w:tcPr>
          <w:p w14:paraId="399EB26B">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78F9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5A22AEC">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3</w:t>
            </w:r>
          </w:p>
        </w:tc>
        <w:tc>
          <w:tcPr>
            <w:tcW w:w="5688" w:type="dxa"/>
          </w:tcPr>
          <w:p w14:paraId="1C70581A">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控制柜内元器件、接线端子无短路烧灼痕迹，车辆插头触头无烧灼痕迹</w:t>
            </w:r>
            <w:r>
              <w:rPr>
                <w:rFonts w:hint="eastAsia" w:ascii="宋体" w:hAnsi="宋体" w:eastAsia="宋体" w:cs="宋体"/>
                <w:spacing w:val="5"/>
                <w:sz w:val="18"/>
                <w:szCs w:val="18"/>
                <w:vertAlign w:val="baseline"/>
                <w:lang w:eastAsia="zh-CN"/>
              </w:rPr>
              <w:t>。</w:t>
            </w:r>
          </w:p>
        </w:tc>
        <w:tc>
          <w:tcPr>
            <w:tcW w:w="3190" w:type="dxa"/>
            <w:vAlign w:val="center"/>
          </w:tcPr>
          <w:p w14:paraId="67B97FB1">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4266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7A7DFB08">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4</w:t>
            </w:r>
          </w:p>
        </w:tc>
        <w:tc>
          <w:tcPr>
            <w:tcW w:w="5688" w:type="dxa"/>
          </w:tcPr>
          <w:p w14:paraId="25AF7A76">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充电设施电缆绝缘无破损，安装接线紧固，进出线孔洞封堵严密</w:t>
            </w:r>
            <w:r>
              <w:rPr>
                <w:rFonts w:hint="eastAsia" w:ascii="宋体" w:hAnsi="宋体" w:eastAsia="宋体" w:cs="宋体"/>
                <w:spacing w:val="5"/>
                <w:sz w:val="18"/>
                <w:szCs w:val="18"/>
                <w:vertAlign w:val="baseline"/>
                <w:lang w:eastAsia="zh-CN"/>
              </w:rPr>
              <w:t>。</w:t>
            </w:r>
          </w:p>
        </w:tc>
        <w:tc>
          <w:tcPr>
            <w:tcW w:w="3190" w:type="dxa"/>
            <w:vAlign w:val="center"/>
          </w:tcPr>
          <w:p w14:paraId="6794BF5A">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2FF41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9A137E2">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5</w:t>
            </w:r>
          </w:p>
        </w:tc>
        <w:tc>
          <w:tcPr>
            <w:tcW w:w="5688" w:type="dxa"/>
          </w:tcPr>
          <w:p w14:paraId="7D80D9BF">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充电设施保护功能完好，设备过温保护、漏电保护、绝缘监测、过流保护、过压保护、过负荷保护等功能正常</w:t>
            </w:r>
            <w:r>
              <w:rPr>
                <w:rFonts w:hint="eastAsia" w:ascii="宋体" w:hAnsi="宋体" w:eastAsia="宋体" w:cs="宋体"/>
                <w:spacing w:val="5"/>
                <w:sz w:val="18"/>
                <w:szCs w:val="18"/>
                <w:vertAlign w:val="baseline"/>
                <w:lang w:eastAsia="zh-CN"/>
              </w:rPr>
              <w:t>。</w:t>
            </w:r>
          </w:p>
        </w:tc>
        <w:tc>
          <w:tcPr>
            <w:tcW w:w="3190" w:type="dxa"/>
            <w:vAlign w:val="center"/>
          </w:tcPr>
          <w:p w14:paraId="0B339083">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670E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69E31AD">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6</w:t>
            </w:r>
          </w:p>
        </w:tc>
        <w:tc>
          <w:tcPr>
            <w:tcW w:w="5688" w:type="dxa"/>
          </w:tcPr>
          <w:p w14:paraId="03565364">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充电设施防雷接地电阻应符合GB50057要求</w:t>
            </w:r>
            <w:r>
              <w:rPr>
                <w:rFonts w:hint="eastAsia" w:ascii="宋体" w:hAnsi="宋体" w:eastAsia="宋体" w:cs="宋体"/>
                <w:spacing w:val="5"/>
                <w:sz w:val="18"/>
                <w:szCs w:val="18"/>
                <w:vertAlign w:val="baseline"/>
                <w:lang w:eastAsia="zh-CN"/>
              </w:rPr>
              <w:t>。</w:t>
            </w:r>
          </w:p>
        </w:tc>
        <w:tc>
          <w:tcPr>
            <w:tcW w:w="3190" w:type="dxa"/>
            <w:vAlign w:val="center"/>
          </w:tcPr>
          <w:p w14:paraId="1CD0AE4C">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7D7E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72498C5E">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7</w:t>
            </w:r>
          </w:p>
        </w:tc>
        <w:tc>
          <w:tcPr>
            <w:tcW w:w="5688" w:type="dxa"/>
          </w:tcPr>
          <w:p w14:paraId="03C0BBDB">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9"/>
                <w:sz w:val="18"/>
                <w:szCs w:val="18"/>
              </w:rPr>
              <w:t>充电设施电缆绝缘无破损，安装接线紧固，进出线孔洞封堵严密</w:t>
            </w:r>
            <w:r>
              <w:rPr>
                <w:rFonts w:hint="eastAsia" w:ascii="宋体" w:hAnsi="宋体" w:eastAsia="宋体" w:cs="宋体"/>
                <w:spacing w:val="9"/>
                <w:sz w:val="18"/>
                <w:szCs w:val="18"/>
                <w:lang w:eastAsia="zh-CN"/>
              </w:rPr>
              <w:t>。</w:t>
            </w:r>
          </w:p>
        </w:tc>
        <w:tc>
          <w:tcPr>
            <w:tcW w:w="3190" w:type="dxa"/>
            <w:vAlign w:val="center"/>
          </w:tcPr>
          <w:p w14:paraId="45F5F3CD">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6AAC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1187B974">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8</w:t>
            </w:r>
          </w:p>
        </w:tc>
        <w:tc>
          <w:tcPr>
            <w:tcW w:w="5688" w:type="dxa"/>
          </w:tcPr>
          <w:p w14:paraId="3A92E539">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充电车型应与充电设施匹配，不存在改装车、使用转接头等违规充电行为</w:t>
            </w:r>
            <w:r>
              <w:rPr>
                <w:rFonts w:hint="eastAsia" w:ascii="宋体" w:hAnsi="宋体" w:eastAsia="宋体" w:cs="宋体"/>
                <w:spacing w:val="5"/>
                <w:sz w:val="18"/>
                <w:szCs w:val="18"/>
                <w:vertAlign w:val="baseline"/>
                <w:lang w:eastAsia="zh-CN"/>
              </w:rPr>
              <w:t>。</w:t>
            </w:r>
          </w:p>
        </w:tc>
        <w:tc>
          <w:tcPr>
            <w:tcW w:w="3190" w:type="dxa"/>
            <w:vAlign w:val="center"/>
          </w:tcPr>
          <w:p w14:paraId="36D0B0A3">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34344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2E02F372">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9</w:t>
            </w:r>
          </w:p>
        </w:tc>
        <w:tc>
          <w:tcPr>
            <w:tcW w:w="5688" w:type="dxa"/>
          </w:tcPr>
          <w:p w14:paraId="313C9955">
            <w:pPr>
              <w:spacing w:before="65" w:line="228" w:lineRule="auto"/>
              <w:rPr>
                <w:rFonts w:hint="eastAsia" w:ascii="宋体" w:hAnsi="宋体" w:eastAsia="宋体" w:cs="宋体"/>
                <w:spacing w:val="5"/>
                <w:sz w:val="18"/>
                <w:szCs w:val="18"/>
                <w:vertAlign w:val="baseline"/>
                <w:lang w:eastAsia="zh-CN"/>
              </w:rPr>
            </w:pPr>
            <w:r>
              <w:rPr>
                <w:rFonts w:hint="eastAsia" w:ascii="宋体" w:hAnsi="宋体" w:eastAsia="宋体" w:cs="宋体"/>
                <w:spacing w:val="5"/>
                <w:sz w:val="18"/>
                <w:szCs w:val="18"/>
                <w:vertAlign w:val="baseline"/>
              </w:rPr>
              <w:t>监控系统显示正常，计算机等硬件运行正常，通信通道正常</w:t>
            </w:r>
            <w:r>
              <w:rPr>
                <w:rFonts w:hint="eastAsia" w:ascii="宋体" w:hAnsi="宋体" w:eastAsia="宋体" w:cs="宋体"/>
                <w:spacing w:val="5"/>
                <w:sz w:val="18"/>
                <w:szCs w:val="18"/>
                <w:vertAlign w:val="baseline"/>
                <w:lang w:eastAsia="zh-CN"/>
              </w:rPr>
              <w:t>。</w:t>
            </w:r>
          </w:p>
        </w:tc>
        <w:tc>
          <w:tcPr>
            <w:tcW w:w="3190" w:type="dxa"/>
            <w:vAlign w:val="center"/>
          </w:tcPr>
          <w:p w14:paraId="28A516E5">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46AD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2CBA7138">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10</w:t>
            </w:r>
          </w:p>
        </w:tc>
        <w:tc>
          <w:tcPr>
            <w:tcW w:w="5688" w:type="dxa"/>
          </w:tcPr>
          <w:p w14:paraId="3B894B5F">
            <w:pPr>
              <w:spacing w:before="65" w:line="228" w:lineRule="auto"/>
              <w:rPr>
                <w:rFonts w:hint="eastAsia" w:ascii="宋体" w:hAnsi="宋体" w:eastAsia="宋体" w:cs="宋体"/>
                <w:spacing w:val="5"/>
                <w:sz w:val="18"/>
                <w:szCs w:val="18"/>
                <w:vertAlign w:val="baseline"/>
              </w:rPr>
            </w:pPr>
            <w:r>
              <w:rPr>
                <w:rFonts w:hint="eastAsia" w:ascii="宋体" w:hAnsi="宋体" w:eastAsia="宋体" w:cs="宋体"/>
                <w:spacing w:val="13"/>
                <w:sz w:val="18"/>
                <w:szCs w:val="18"/>
              </w:rPr>
              <w:t>灭火器、消防器材配备完好，充电区域宜选用干粉灭火器或其他适</w:t>
            </w:r>
            <w:r>
              <w:rPr>
                <w:rFonts w:hint="eastAsia" w:ascii="宋体" w:hAnsi="宋体" w:eastAsia="宋体" w:cs="宋体"/>
                <w:spacing w:val="7"/>
                <w:sz w:val="18"/>
                <w:szCs w:val="18"/>
              </w:rPr>
              <w:t>宜的新型灭火器并按照</w:t>
            </w:r>
            <w:r>
              <w:rPr>
                <w:rFonts w:hint="eastAsia" w:ascii="宋体" w:hAnsi="宋体" w:eastAsia="宋体" w:cs="宋体"/>
                <w:sz w:val="18"/>
                <w:szCs w:val="18"/>
              </w:rPr>
              <w:t>GB</w:t>
            </w:r>
            <w:r>
              <w:rPr>
                <w:rFonts w:hint="eastAsia" w:ascii="宋体" w:hAnsi="宋体" w:eastAsia="宋体" w:cs="宋体"/>
                <w:spacing w:val="7"/>
                <w:sz w:val="18"/>
                <w:szCs w:val="18"/>
              </w:rPr>
              <w:t>50140严重危险级配备。</w:t>
            </w:r>
          </w:p>
        </w:tc>
        <w:tc>
          <w:tcPr>
            <w:tcW w:w="3190" w:type="dxa"/>
            <w:vAlign w:val="center"/>
          </w:tcPr>
          <w:p w14:paraId="79AA2922">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6282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6997198">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11</w:t>
            </w:r>
          </w:p>
        </w:tc>
        <w:tc>
          <w:tcPr>
            <w:tcW w:w="5688" w:type="dxa"/>
          </w:tcPr>
          <w:p w14:paraId="1BA8BE31">
            <w:pPr>
              <w:spacing w:before="65" w:line="228" w:lineRule="auto"/>
              <w:rPr>
                <w:rFonts w:hint="eastAsia" w:ascii="宋体" w:hAnsi="宋体" w:eastAsia="宋体" w:cs="宋体"/>
                <w:spacing w:val="5"/>
                <w:sz w:val="18"/>
                <w:szCs w:val="18"/>
                <w:vertAlign w:val="baseline"/>
              </w:rPr>
            </w:pPr>
            <w:r>
              <w:rPr>
                <w:rFonts w:hint="eastAsia" w:ascii="宋体" w:hAnsi="宋体" w:eastAsia="宋体" w:cs="宋体"/>
                <w:spacing w:val="12"/>
                <w:sz w:val="18"/>
                <w:szCs w:val="18"/>
              </w:rPr>
              <w:t>无插电式混合动力汽车进入的充电设施区域宜放置不少于2</w:t>
            </w:r>
            <w:r>
              <w:rPr>
                <w:rFonts w:hint="eastAsia" w:ascii="宋体" w:hAnsi="宋体" w:eastAsia="宋体" w:cs="宋体"/>
                <w:sz w:val="18"/>
                <w:szCs w:val="18"/>
              </w:rPr>
              <w:t>kg</w:t>
            </w:r>
            <w:r>
              <w:rPr>
                <w:rFonts w:hint="eastAsia" w:ascii="宋体" w:hAnsi="宋体" w:eastAsia="宋体" w:cs="宋体"/>
                <w:spacing w:val="12"/>
                <w:sz w:val="18"/>
                <w:szCs w:val="18"/>
              </w:rPr>
              <w:t>的手</w:t>
            </w:r>
            <w:r>
              <w:rPr>
                <w:rFonts w:hint="eastAsia" w:ascii="宋体" w:hAnsi="宋体" w:eastAsia="宋体" w:cs="宋体"/>
                <w:spacing w:val="10"/>
                <w:sz w:val="18"/>
                <w:szCs w:val="18"/>
              </w:rPr>
              <w:t>提式干粉灭火器，放置距离为15米一个，不足15米取整放</w:t>
            </w:r>
            <w:r>
              <w:rPr>
                <w:rFonts w:hint="eastAsia" w:ascii="宋体" w:hAnsi="宋体" w:eastAsia="宋体" w:cs="宋体"/>
                <w:spacing w:val="9"/>
                <w:sz w:val="18"/>
                <w:szCs w:val="18"/>
              </w:rPr>
              <w:t>置且一</w:t>
            </w:r>
            <w:r>
              <w:rPr>
                <w:rFonts w:hint="eastAsia" w:ascii="宋体" w:hAnsi="宋体" w:eastAsia="宋体" w:cs="宋体"/>
                <w:spacing w:val="12"/>
                <w:sz w:val="18"/>
                <w:szCs w:val="18"/>
              </w:rPr>
              <w:t>个配置点不应少于2具，有插电式混合动力汽车的充电设施区域宜</w:t>
            </w:r>
            <w:r>
              <w:rPr>
                <w:rFonts w:hint="eastAsia" w:ascii="宋体" w:hAnsi="宋体" w:eastAsia="宋体" w:cs="宋体"/>
                <w:spacing w:val="6"/>
                <w:sz w:val="18"/>
                <w:szCs w:val="18"/>
              </w:rPr>
              <w:t>放置不少于6</w:t>
            </w:r>
            <w:r>
              <w:rPr>
                <w:rFonts w:hint="eastAsia" w:ascii="宋体" w:hAnsi="宋体" w:eastAsia="宋体" w:cs="宋体"/>
                <w:sz w:val="18"/>
                <w:szCs w:val="18"/>
              </w:rPr>
              <w:t>kg</w:t>
            </w:r>
            <w:r>
              <w:rPr>
                <w:rFonts w:hint="eastAsia" w:ascii="宋体" w:hAnsi="宋体" w:eastAsia="宋体" w:cs="宋体"/>
                <w:spacing w:val="6"/>
                <w:sz w:val="18"/>
                <w:szCs w:val="18"/>
              </w:rPr>
              <w:t>的手提式干粉灭火器，放置距离为9米一个，不足9</w:t>
            </w:r>
            <w:r>
              <w:rPr>
                <w:rFonts w:hint="eastAsia" w:ascii="宋体" w:hAnsi="宋体" w:eastAsia="宋体" w:cs="宋体"/>
                <w:spacing w:val="7"/>
                <w:sz w:val="18"/>
                <w:szCs w:val="18"/>
              </w:rPr>
              <w:t>米取整放置且一个配置点不应少于2具。</w:t>
            </w:r>
          </w:p>
        </w:tc>
        <w:tc>
          <w:tcPr>
            <w:tcW w:w="3190" w:type="dxa"/>
            <w:vAlign w:val="center"/>
          </w:tcPr>
          <w:p w14:paraId="271DB9C7">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lang w:eastAsia="zh-CN"/>
              </w:rPr>
              <w:t>运营单位</w:t>
            </w:r>
          </w:p>
        </w:tc>
      </w:tr>
      <w:tr w14:paraId="5446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0FDCADD2">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12</w:t>
            </w:r>
          </w:p>
        </w:tc>
        <w:tc>
          <w:tcPr>
            <w:tcW w:w="5688" w:type="dxa"/>
          </w:tcPr>
          <w:p w14:paraId="573CBA3B">
            <w:pPr>
              <w:spacing w:before="65" w:line="228" w:lineRule="auto"/>
              <w:rPr>
                <w:rFonts w:hint="eastAsia" w:ascii="宋体" w:hAnsi="宋体" w:eastAsia="宋体" w:cs="宋体"/>
                <w:spacing w:val="5"/>
                <w:sz w:val="18"/>
                <w:szCs w:val="18"/>
                <w:vertAlign w:val="baseline"/>
              </w:rPr>
            </w:pPr>
            <w:r>
              <w:rPr>
                <w:rFonts w:hint="eastAsia" w:ascii="宋体" w:hAnsi="宋体" w:eastAsia="宋体" w:cs="宋体"/>
                <w:spacing w:val="13"/>
                <w:sz w:val="18"/>
                <w:szCs w:val="18"/>
              </w:rPr>
              <w:t>可移动的充电接口在不充电时，应安全稳定地放置于充电桩指定的</w:t>
            </w:r>
            <w:r>
              <w:rPr>
                <w:rFonts w:hint="eastAsia" w:ascii="宋体" w:hAnsi="宋体" w:eastAsia="宋体" w:cs="宋体"/>
                <w:spacing w:val="8"/>
                <w:sz w:val="18"/>
                <w:szCs w:val="18"/>
              </w:rPr>
              <w:t>接口处，并采取防水、防尘措施。</w:t>
            </w:r>
          </w:p>
        </w:tc>
        <w:tc>
          <w:tcPr>
            <w:tcW w:w="3190" w:type="dxa"/>
            <w:vAlign w:val="center"/>
          </w:tcPr>
          <w:p w14:paraId="68795ABB">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rPr>
              <w:t>运营单位、物业管理单位、使用人</w:t>
            </w:r>
          </w:p>
        </w:tc>
      </w:tr>
      <w:tr w14:paraId="2F3A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228A7347">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13</w:t>
            </w:r>
          </w:p>
        </w:tc>
        <w:tc>
          <w:tcPr>
            <w:tcW w:w="5688" w:type="dxa"/>
          </w:tcPr>
          <w:p w14:paraId="28CCDB1A">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充电设施及车位周围无易燃易爆危险物品及场所，保持消防通道畅通</w:t>
            </w:r>
            <w:r>
              <w:rPr>
                <w:rFonts w:hint="eastAsia" w:ascii="宋体" w:hAnsi="宋体" w:eastAsia="宋体" w:cs="宋体"/>
                <w:spacing w:val="13"/>
                <w:sz w:val="18"/>
                <w:szCs w:val="18"/>
                <w:lang w:eastAsia="zh-CN"/>
              </w:rPr>
              <w:t>。</w:t>
            </w:r>
          </w:p>
        </w:tc>
        <w:tc>
          <w:tcPr>
            <w:tcW w:w="3190" w:type="dxa"/>
            <w:vAlign w:val="center"/>
          </w:tcPr>
          <w:p w14:paraId="04F5A2EE">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pacing w:val="5"/>
                <w:sz w:val="18"/>
                <w:szCs w:val="18"/>
                <w:vertAlign w:val="baseline"/>
              </w:rPr>
              <w:t>运营单位、物业管理单位</w:t>
            </w:r>
          </w:p>
        </w:tc>
      </w:tr>
      <w:tr w14:paraId="096D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45CD75C2">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14</w:t>
            </w:r>
          </w:p>
        </w:tc>
        <w:tc>
          <w:tcPr>
            <w:tcW w:w="5688" w:type="dxa"/>
          </w:tcPr>
          <w:p w14:paraId="71D319D5">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消防器材按规定摆放稳固，设置在明显位置且便于取用，其铭牌应朝外</w:t>
            </w:r>
            <w:r>
              <w:rPr>
                <w:rFonts w:hint="eastAsia" w:ascii="宋体" w:hAnsi="宋体" w:eastAsia="宋体" w:cs="宋体"/>
                <w:spacing w:val="13"/>
                <w:sz w:val="18"/>
                <w:szCs w:val="18"/>
                <w:lang w:eastAsia="zh-CN"/>
              </w:rPr>
              <w:t>。</w:t>
            </w:r>
          </w:p>
        </w:tc>
        <w:tc>
          <w:tcPr>
            <w:tcW w:w="3190" w:type="dxa"/>
            <w:vAlign w:val="center"/>
          </w:tcPr>
          <w:p w14:paraId="39F54E29">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77D3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259F1129">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15</w:t>
            </w:r>
          </w:p>
        </w:tc>
        <w:tc>
          <w:tcPr>
            <w:tcW w:w="5688" w:type="dxa"/>
          </w:tcPr>
          <w:p w14:paraId="3A03B5BF">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分散充电设施与原有建筑物间距离应符合GB50016、GB50067防火间距的规定</w:t>
            </w:r>
            <w:r>
              <w:rPr>
                <w:rFonts w:hint="eastAsia" w:ascii="宋体" w:hAnsi="宋体" w:eastAsia="宋体" w:cs="宋体"/>
                <w:spacing w:val="13"/>
                <w:sz w:val="18"/>
                <w:szCs w:val="18"/>
                <w:lang w:eastAsia="zh-CN"/>
              </w:rPr>
              <w:t>。</w:t>
            </w:r>
          </w:p>
        </w:tc>
        <w:tc>
          <w:tcPr>
            <w:tcW w:w="3190" w:type="dxa"/>
            <w:vAlign w:val="center"/>
          </w:tcPr>
          <w:p w14:paraId="48C4D2A4">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230A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69373385">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16</w:t>
            </w:r>
          </w:p>
        </w:tc>
        <w:tc>
          <w:tcPr>
            <w:tcW w:w="5688" w:type="dxa"/>
          </w:tcPr>
          <w:p w14:paraId="39020BAF">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充电及附属设施不影响建筑物场所原有消防分区功能和消防设施的使用，特别是消防车道、消防车登高操作面、消火栓、自动喷水灭火系统等，设置防火分隔不得影响消防设备灭火及安全疏散等功能</w:t>
            </w:r>
            <w:r>
              <w:rPr>
                <w:rFonts w:hint="eastAsia" w:ascii="宋体" w:hAnsi="宋体" w:eastAsia="宋体" w:cs="宋体"/>
                <w:spacing w:val="13"/>
                <w:sz w:val="18"/>
                <w:szCs w:val="18"/>
                <w:lang w:eastAsia="zh-CN"/>
              </w:rPr>
              <w:t>。</w:t>
            </w:r>
          </w:p>
        </w:tc>
        <w:tc>
          <w:tcPr>
            <w:tcW w:w="3190" w:type="dxa"/>
            <w:vAlign w:val="center"/>
          </w:tcPr>
          <w:p w14:paraId="2B38D73F">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17F2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34A66601">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17</w:t>
            </w:r>
          </w:p>
        </w:tc>
        <w:tc>
          <w:tcPr>
            <w:tcW w:w="5688" w:type="dxa"/>
          </w:tcPr>
          <w:p w14:paraId="59073FD7">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消防应急照明、疏散指示标志完好，应符合GB51309有关规定，消防安全标志完好清晰</w:t>
            </w:r>
            <w:r>
              <w:rPr>
                <w:rFonts w:hint="eastAsia" w:ascii="宋体" w:hAnsi="宋体" w:eastAsia="宋体" w:cs="宋体"/>
                <w:spacing w:val="13"/>
                <w:sz w:val="18"/>
                <w:szCs w:val="18"/>
                <w:lang w:eastAsia="zh-CN"/>
              </w:rPr>
              <w:t>。</w:t>
            </w:r>
          </w:p>
        </w:tc>
        <w:tc>
          <w:tcPr>
            <w:tcW w:w="3190" w:type="dxa"/>
            <w:vAlign w:val="center"/>
          </w:tcPr>
          <w:p w14:paraId="209525CD">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5E37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1A3E1283">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18</w:t>
            </w:r>
          </w:p>
        </w:tc>
        <w:tc>
          <w:tcPr>
            <w:tcW w:w="5688" w:type="dxa"/>
          </w:tcPr>
          <w:p w14:paraId="31F065AD">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应定期检查各种标识，发现有变形、破损或褪色，应进行整修或更换。</w:t>
            </w:r>
          </w:p>
        </w:tc>
        <w:tc>
          <w:tcPr>
            <w:tcW w:w="3190" w:type="dxa"/>
            <w:vAlign w:val="center"/>
          </w:tcPr>
          <w:p w14:paraId="6E915391">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2ED1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FEAAF59">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19</w:t>
            </w:r>
          </w:p>
        </w:tc>
        <w:tc>
          <w:tcPr>
            <w:tcW w:w="5688" w:type="dxa"/>
          </w:tcPr>
          <w:p w14:paraId="40A7DA9F">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充电区域内应照明良好，不存在私拉乱接等违规用电行为，充电设施安装应符合GB50171的规定；</w:t>
            </w:r>
          </w:p>
        </w:tc>
        <w:tc>
          <w:tcPr>
            <w:tcW w:w="3190" w:type="dxa"/>
            <w:vAlign w:val="center"/>
          </w:tcPr>
          <w:p w14:paraId="73C65866">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04AF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9FEA206">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20</w:t>
            </w:r>
          </w:p>
        </w:tc>
        <w:tc>
          <w:tcPr>
            <w:tcW w:w="5688" w:type="dxa"/>
          </w:tcPr>
          <w:p w14:paraId="57A3DD26">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不存在改装车、使用转接头等违规充电行为。</w:t>
            </w:r>
          </w:p>
        </w:tc>
        <w:tc>
          <w:tcPr>
            <w:tcW w:w="3190" w:type="dxa"/>
            <w:vAlign w:val="center"/>
          </w:tcPr>
          <w:p w14:paraId="6B5FF06D">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4FCF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3D7BE7AE">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21</w:t>
            </w:r>
          </w:p>
        </w:tc>
        <w:tc>
          <w:tcPr>
            <w:tcW w:w="5688" w:type="dxa"/>
          </w:tcPr>
          <w:p w14:paraId="459B5862">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不应使用正在维护或者检修的故障设备提供充电服务。</w:t>
            </w:r>
          </w:p>
        </w:tc>
        <w:tc>
          <w:tcPr>
            <w:tcW w:w="3190" w:type="dxa"/>
            <w:vAlign w:val="center"/>
          </w:tcPr>
          <w:p w14:paraId="161D3C99">
            <w:pPr>
              <w:spacing w:before="65" w:line="228" w:lineRule="auto"/>
              <w:jc w:val="center"/>
              <w:rPr>
                <w:rFonts w:hint="eastAsia" w:ascii="宋体" w:hAnsi="宋体" w:eastAsia="宋体" w:cs="宋体"/>
                <w:spacing w:val="5"/>
                <w:sz w:val="18"/>
                <w:szCs w:val="18"/>
                <w:vertAlign w:val="baseline"/>
              </w:rPr>
            </w:pPr>
            <w:r>
              <w:rPr>
                <w:rFonts w:hint="eastAsia" w:ascii="宋体" w:hAnsi="宋体" w:eastAsia="宋体" w:cs="宋体"/>
                <w:sz w:val="18"/>
                <w:szCs w:val="18"/>
              </w:rPr>
              <w:t>物业管理单位</w:t>
            </w:r>
          </w:p>
        </w:tc>
      </w:tr>
      <w:tr w14:paraId="6288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640ECD0C">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22</w:t>
            </w:r>
          </w:p>
        </w:tc>
        <w:tc>
          <w:tcPr>
            <w:tcW w:w="5688" w:type="dxa"/>
          </w:tcPr>
          <w:p w14:paraId="1BC711B4">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充电设施内各紧急出口通道应保持畅通</w:t>
            </w:r>
            <w:r>
              <w:rPr>
                <w:rFonts w:hint="eastAsia" w:ascii="宋体" w:hAnsi="宋体" w:eastAsia="宋体" w:cs="宋体"/>
                <w:spacing w:val="13"/>
                <w:sz w:val="18"/>
                <w:szCs w:val="18"/>
                <w:lang w:eastAsia="zh-CN"/>
              </w:rPr>
              <w:t>。</w:t>
            </w:r>
          </w:p>
        </w:tc>
        <w:tc>
          <w:tcPr>
            <w:tcW w:w="3190" w:type="dxa"/>
            <w:vAlign w:val="center"/>
          </w:tcPr>
          <w:p w14:paraId="26502B77">
            <w:pPr>
              <w:spacing w:before="65" w:line="228" w:lineRule="auto"/>
              <w:jc w:val="center"/>
              <w:rPr>
                <w:rFonts w:hint="eastAsia" w:ascii="宋体" w:hAnsi="宋体" w:eastAsia="宋体" w:cs="宋体"/>
                <w:spacing w:val="5"/>
                <w:sz w:val="18"/>
                <w:szCs w:val="18"/>
                <w:vertAlign w:val="baseline"/>
                <w:lang w:eastAsia="zh-CN"/>
              </w:rPr>
            </w:pPr>
            <w:r>
              <w:rPr>
                <w:rFonts w:hint="eastAsia" w:ascii="宋体" w:hAnsi="宋体" w:eastAsia="宋体" w:cs="宋体"/>
                <w:sz w:val="18"/>
                <w:szCs w:val="18"/>
              </w:rPr>
              <w:t>物业管理单位</w:t>
            </w:r>
            <w:r>
              <w:rPr>
                <w:rFonts w:hint="eastAsia" w:ascii="宋体" w:hAnsi="宋体" w:cs="宋体"/>
                <w:sz w:val="18"/>
                <w:szCs w:val="18"/>
                <w:lang w:eastAsia="zh-CN"/>
              </w:rPr>
              <w:t>、</w:t>
            </w:r>
            <w:r>
              <w:rPr>
                <w:rFonts w:hint="eastAsia" w:ascii="宋体" w:hAnsi="宋体" w:eastAsia="宋体" w:cs="宋体"/>
                <w:sz w:val="18"/>
                <w:szCs w:val="18"/>
              </w:rPr>
              <w:t>消防救援机构</w:t>
            </w:r>
            <w:r>
              <w:rPr>
                <w:rFonts w:hint="eastAsia" w:ascii="宋体" w:hAnsi="宋体" w:cs="宋体"/>
                <w:sz w:val="18"/>
                <w:szCs w:val="18"/>
                <w:lang w:eastAsia="zh-CN"/>
              </w:rPr>
              <w:t>部门</w:t>
            </w:r>
          </w:p>
        </w:tc>
      </w:tr>
      <w:tr w14:paraId="3535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199B68B9">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23</w:t>
            </w:r>
          </w:p>
        </w:tc>
        <w:tc>
          <w:tcPr>
            <w:tcW w:w="5688" w:type="dxa"/>
          </w:tcPr>
          <w:p w14:paraId="125D48C5">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充电设施区域消防设施、器材配置及完好有效情况，自动消防设施联动运行情况</w:t>
            </w:r>
            <w:r>
              <w:rPr>
                <w:rFonts w:hint="eastAsia" w:ascii="宋体" w:hAnsi="宋体" w:eastAsia="宋体" w:cs="宋体"/>
                <w:spacing w:val="13"/>
                <w:sz w:val="18"/>
                <w:szCs w:val="18"/>
                <w:lang w:eastAsia="zh-CN"/>
              </w:rPr>
              <w:t>。</w:t>
            </w:r>
          </w:p>
        </w:tc>
        <w:tc>
          <w:tcPr>
            <w:tcW w:w="3190" w:type="dxa"/>
            <w:vAlign w:val="center"/>
          </w:tcPr>
          <w:p w14:paraId="2092F531">
            <w:pPr>
              <w:spacing w:before="65" w:line="228" w:lineRule="auto"/>
              <w:jc w:val="center"/>
              <w:rPr>
                <w:rFonts w:hint="eastAsia" w:ascii="宋体" w:hAnsi="宋体" w:eastAsia="宋体" w:cs="宋体"/>
                <w:spacing w:val="5"/>
                <w:sz w:val="18"/>
                <w:szCs w:val="18"/>
                <w:vertAlign w:val="baseline"/>
                <w:lang w:eastAsia="zh-CN"/>
              </w:rPr>
            </w:pPr>
            <w:r>
              <w:rPr>
                <w:rFonts w:hint="eastAsia" w:ascii="宋体" w:hAnsi="宋体" w:eastAsia="宋体" w:cs="宋体"/>
                <w:sz w:val="18"/>
                <w:szCs w:val="18"/>
              </w:rPr>
              <w:t>物业管理单位、消防救援机构</w:t>
            </w:r>
            <w:r>
              <w:rPr>
                <w:rFonts w:hint="eastAsia" w:ascii="宋体" w:hAnsi="宋体" w:cs="宋体"/>
                <w:sz w:val="18"/>
                <w:szCs w:val="18"/>
                <w:lang w:eastAsia="zh-CN"/>
              </w:rPr>
              <w:t>部门</w:t>
            </w:r>
          </w:p>
        </w:tc>
      </w:tr>
      <w:tr w14:paraId="2629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02E577B4">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24</w:t>
            </w:r>
          </w:p>
        </w:tc>
        <w:tc>
          <w:tcPr>
            <w:tcW w:w="5688" w:type="dxa"/>
          </w:tcPr>
          <w:p w14:paraId="58CDC5A5">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消防安全制度健全，落实到位</w:t>
            </w:r>
            <w:r>
              <w:rPr>
                <w:rFonts w:hint="eastAsia" w:ascii="宋体" w:hAnsi="宋体" w:eastAsia="宋体" w:cs="宋体"/>
                <w:spacing w:val="13"/>
                <w:sz w:val="18"/>
                <w:szCs w:val="18"/>
                <w:lang w:eastAsia="zh-CN"/>
              </w:rPr>
              <w:t>。</w:t>
            </w:r>
          </w:p>
        </w:tc>
        <w:tc>
          <w:tcPr>
            <w:tcW w:w="3190" w:type="dxa"/>
            <w:vAlign w:val="center"/>
          </w:tcPr>
          <w:p w14:paraId="492A07F1">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消防救援机构</w:t>
            </w:r>
            <w:r>
              <w:rPr>
                <w:rFonts w:hint="eastAsia" w:ascii="宋体" w:hAnsi="宋体" w:cs="宋体"/>
                <w:sz w:val="18"/>
                <w:szCs w:val="18"/>
                <w:lang w:eastAsia="zh-CN"/>
              </w:rPr>
              <w:t>部门</w:t>
            </w:r>
          </w:p>
        </w:tc>
      </w:tr>
      <w:tr w14:paraId="1181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61DC065A">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25</w:t>
            </w:r>
          </w:p>
        </w:tc>
        <w:tc>
          <w:tcPr>
            <w:tcW w:w="5688" w:type="dxa"/>
          </w:tcPr>
          <w:p w14:paraId="27A6879D">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防火巡查落实及记录情况，火灾隐患整改及防范措施情况</w:t>
            </w:r>
            <w:r>
              <w:rPr>
                <w:rFonts w:hint="eastAsia" w:ascii="宋体" w:hAnsi="宋体" w:eastAsia="宋体" w:cs="宋体"/>
                <w:spacing w:val="13"/>
                <w:sz w:val="18"/>
                <w:szCs w:val="18"/>
                <w:lang w:eastAsia="zh-CN"/>
              </w:rPr>
              <w:t>。</w:t>
            </w:r>
          </w:p>
        </w:tc>
        <w:tc>
          <w:tcPr>
            <w:tcW w:w="3190" w:type="dxa"/>
            <w:vAlign w:val="center"/>
          </w:tcPr>
          <w:p w14:paraId="754F0677">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消防救援机构</w:t>
            </w:r>
            <w:r>
              <w:rPr>
                <w:rFonts w:hint="eastAsia" w:ascii="宋体" w:hAnsi="宋体" w:cs="宋体"/>
                <w:sz w:val="18"/>
                <w:szCs w:val="18"/>
                <w:lang w:eastAsia="zh-CN"/>
              </w:rPr>
              <w:t>部门</w:t>
            </w:r>
          </w:p>
        </w:tc>
      </w:tr>
      <w:tr w14:paraId="6BA8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0D84B5FF">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26</w:t>
            </w:r>
          </w:p>
        </w:tc>
        <w:tc>
          <w:tcPr>
            <w:tcW w:w="5688" w:type="dxa"/>
          </w:tcPr>
          <w:p w14:paraId="6D8934B8">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消防预案制定及培训演练情况</w:t>
            </w:r>
            <w:r>
              <w:rPr>
                <w:rFonts w:hint="eastAsia" w:ascii="宋体" w:hAnsi="宋体" w:eastAsia="宋体" w:cs="宋体"/>
                <w:spacing w:val="13"/>
                <w:sz w:val="18"/>
                <w:szCs w:val="18"/>
                <w:lang w:eastAsia="zh-CN"/>
              </w:rPr>
              <w:t>。</w:t>
            </w:r>
          </w:p>
        </w:tc>
        <w:tc>
          <w:tcPr>
            <w:tcW w:w="3190" w:type="dxa"/>
            <w:vAlign w:val="center"/>
          </w:tcPr>
          <w:p w14:paraId="45E889E9">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消防救援机构</w:t>
            </w:r>
            <w:r>
              <w:rPr>
                <w:rFonts w:hint="eastAsia" w:ascii="宋体" w:hAnsi="宋体" w:cs="宋体"/>
                <w:sz w:val="18"/>
                <w:szCs w:val="18"/>
                <w:lang w:eastAsia="zh-CN"/>
              </w:rPr>
              <w:t>部门</w:t>
            </w:r>
          </w:p>
        </w:tc>
      </w:tr>
      <w:tr w14:paraId="3EEE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53A6C450">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27</w:t>
            </w:r>
          </w:p>
        </w:tc>
        <w:tc>
          <w:tcPr>
            <w:tcW w:w="5688" w:type="dxa"/>
          </w:tcPr>
          <w:p w14:paraId="64278963">
            <w:pPr>
              <w:spacing w:before="65" w:line="228" w:lineRule="auto"/>
              <w:rPr>
                <w:rFonts w:hint="eastAsia" w:ascii="宋体" w:hAnsi="宋体" w:eastAsia="宋体" w:cs="宋体"/>
                <w:spacing w:val="13"/>
                <w:sz w:val="18"/>
                <w:szCs w:val="18"/>
                <w:lang w:eastAsia="zh-CN"/>
              </w:rPr>
            </w:pPr>
            <w:r>
              <w:rPr>
                <w:rFonts w:hint="eastAsia" w:ascii="宋体" w:hAnsi="宋体" w:eastAsia="宋体" w:cs="宋体"/>
                <w:spacing w:val="13"/>
                <w:sz w:val="18"/>
                <w:szCs w:val="18"/>
              </w:rPr>
              <w:t>充电设施是否能提供型式试验报告、产品合格证等质量证明文件，充电设施应符合GB/T18487.1、GB/T20234.1的规定</w:t>
            </w:r>
            <w:r>
              <w:rPr>
                <w:rFonts w:hint="eastAsia" w:ascii="宋体" w:hAnsi="宋体" w:eastAsia="宋体" w:cs="宋体"/>
                <w:spacing w:val="13"/>
                <w:sz w:val="18"/>
                <w:szCs w:val="18"/>
                <w:lang w:eastAsia="zh-CN"/>
              </w:rPr>
              <w:t>。</w:t>
            </w:r>
          </w:p>
        </w:tc>
        <w:tc>
          <w:tcPr>
            <w:tcW w:w="3190" w:type="dxa"/>
            <w:vAlign w:val="center"/>
          </w:tcPr>
          <w:p w14:paraId="694C19C7">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消防救援机构</w:t>
            </w:r>
            <w:r>
              <w:rPr>
                <w:rFonts w:hint="eastAsia" w:ascii="宋体" w:hAnsi="宋体" w:cs="宋体"/>
                <w:sz w:val="18"/>
                <w:szCs w:val="18"/>
                <w:lang w:eastAsia="zh-CN"/>
              </w:rPr>
              <w:t>部门</w:t>
            </w:r>
          </w:p>
        </w:tc>
      </w:tr>
      <w:tr w14:paraId="70D5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29FE2D2F">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28</w:t>
            </w:r>
          </w:p>
        </w:tc>
        <w:tc>
          <w:tcPr>
            <w:tcW w:w="5688" w:type="dxa"/>
          </w:tcPr>
          <w:p w14:paraId="7D890E1C">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有无违反国家工程建设消防技术标准、违规充电等违法行为。</w:t>
            </w:r>
          </w:p>
        </w:tc>
        <w:tc>
          <w:tcPr>
            <w:tcW w:w="3190" w:type="dxa"/>
            <w:vAlign w:val="center"/>
          </w:tcPr>
          <w:p w14:paraId="6DE64027">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消防救援机构、平台运营单位</w:t>
            </w:r>
          </w:p>
        </w:tc>
      </w:tr>
      <w:tr w14:paraId="0223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7F6668A2">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29</w:t>
            </w:r>
          </w:p>
        </w:tc>
        <w:tc>
          <w:tcPr>
            <w:tcW w:w="5688" w:type="dxa"/>
          </w:tcPr>
          <w:p w14:paraId="1C3C5993">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充电设施应有故障和事故记录。以及充电过程中的各种信息数据的监测、分析</w:t>
            </w:r>
          </w:p>
        </w:tc>
        <w:tc>
          <w:tcPr>
            <w:tcW w:w="3190" w:type="dxa"/>
            <w:vAlign w:val="center"/>
          </w:tcPr>
          <w:p w14:paraId="0A15926D">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平台运营单位</w:t>
            </w:r>
          </w:p>
        </w:tc>
      </w:tr>
      <w:tr w14:paraId="2212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652B991C">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30</w:t>
            </w:r>
          </w:p>
        </w:tc>
        <w:tc>
          <w:tcPr>
            <w:tcW w:w="5688" w:type="dxa"/>
          </w:tcPr>
          <w:p w14:paraId="355D841A">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充电监控应对充电设施出现的故障进行分级划分，并对不同等级的故障进行相应记录和处理。</w:t>
            </w:r>
          </w:p>
        </w:tc>
        <w:tc>
          <w:tcPr>
            <w:tcW w:w="3190" w:type="dxa"/>
            <w:vAlign w:val="center"/>
          </w:tcPr>
          <w:p w14:paraId="0C20C292">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平台运营单位</w:t>
            </w:r>
          </w:p>
        </w:tc>
      </w:tr>
      <w:tr w14:paraId="2B0B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tcPr>
          <w:p w14:paraId="4511126D">
            <w:pPr>
              <w:spacing w:before="65" w:line="228" w:lineRule="auto"/>
              <w:jc w:val="center"/>
              <w:rPr>
                <w:rFonts w:hint="eastAsia" w:ascii="宋体" w:hAnsi="宋体" w:eastAsia="宋体" w:cs="宋体"/>
                <w:spacing w:val="5"/>
                <w:sz w:val="18"/>
                <w:szCs w:val="18"/>
                <w:vertAlign w:val="baseline"/>
                <w:lang w:val="en-US" w:eastAsia="zh-CN"/>
              </w:rPr>
            </w:pPr>
            <w:r>
              <w:rPr>
                <w:rFonts w:hint="eastAsia" w:ascii="宋体" w:hAnsi="宋体" w:eastAsia="宋体" w:cs="宋体"/>
                <w:spacing w:val="5"/>
                <w:sz w:val="18"/>
                <w:szCs w:val="18"/>
                <w:vertAlign w:val="baseline"/>
                <w:lang w:val="en-US" w:eastAsia="zh-CN"/>
              </w:rPr>
              <w:t>31</w:t>
            </w:r>
          </w:p>
        </w:tc>
        <w:tc>
          <w:tcPr>
            <w:tcW w:w="5688" w:type="dxa"/>
          </w:tcPr>
          <w:p w14:paraId="0907FC6F">
            <w:pPr>
              <w:spacing w:before="65" w:line="228" w:lineRule="auto"/>
              <w:rPr>
                <w:rFonts w:hint="eastAsia" w:ascii="宋体" w:hAnsi="宋体" w:eastAsia="宋体" w:cs="宋体"/>
                <w:spacing w:val="13"/>
                <w:sz w:val="18"/>
                <w:szCs w:val="18"/>
              </w:rPr>
            </w:pPr>
            <w:r>
              <w:rPr>
                <w:rFonts w:hint="eastAsia" w:ascii="宋体" w:hAnsi="宋体" w:eastAsia="宋体" w:cs="宋体"/>
                <w:spacing w:val="13"/>
                <w:sz w:val="18"/>
                <w:szCs w:val="18"/>
              </w:rPr>
              <w:t>所有充电设施应在视频监控范围之内辖区内管理的充电设施应有故障和事故记录。</w:t>
            </w:r>
          </w:p>
        </w:tc>
        <w:tc>
          <w:tcPr>
            <w:tcW w:w="3190" w:type="dxa"/>
            <w:vAlign w:val="center"/>
          </w:tcPr>
          <w:p w14:paraId="08ACC41E">
            <w:pPr>
              <w:spacing w:before="65" w:line="228" w:lineRule="auto"/>
              <w:jc w:val="center"/>
              <w:rPr>
                <w:rFonts w:hint="eastAsia" w:ascii="宋体" w:hAnsi="宋体" w:eastAsia="宋体" w:cs="宋体"/>
                <w:sz w:val="18"/>
                <w:szCs w:val="18"/>
              </w:rPr>
            </w:pPr>
            <w:r>
              <w:rPr>
                <w:rFonts w:hint="eastAsia" w:ascii="宋体" w:hAnsi="宋体" w:eastAsia="宋体" w:cs="宋体"/>
                <w:sz w:val="18"/>
                <w:szCs w:val="18"/>
              </w:rPr>
              <w:t>平台运营单位</w:t>
            </w:r>
          </w:p>
        </w:tc>
      </w:tr>
    </w:tbl>
    <w:p w14:paraId="3DB80B77">
      <w:pPr>
        <w:pStyle w:val="56"/>
        <w:ind w:firstLine="0" w:firstLineChars="0"/>
        <w:jc w:val="both"/>
      </w:pPr>
    </w:p>
    <w:p w14:paraId="025198C2">
      <w:pPr>
        <w:pStyle w:val="56"/>
        <w:ind w:firstLine="0" w:firstLineChars="0"/>
        <w:jc w:val="center"/>
      </w:pPr>
      <w:bookmarkStart w:id="57" w:name="BookMark8"/>
      <w:r>
        <w:drawing>
          <wp:inline distT="0" distB="0" distL="0" distR="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pgSz w:w="11906" w:h="16838"/>
      <w:pgMar w:top="1871" w:right="1134" w:bottom="1134" w:left="1134" w:header="1418" w:footer="1134" w:gutter="284"/>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D85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14D0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8E4F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2502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9F2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D854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CDD7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C8172">
    <w:pPr>
      <w:pStyle w:val="61"/>
    </w:pPr>
    <w:r>
      <w:fldChar w:fldCharType="begin"/>
    </w:r>
    <w:r>
      <w:instrText xml:space="preserve"> STYLEREF  标准文件_文件编号  \* MERGEFORMAT </w:instrText>
    </w:r>
    <w:r>
      <w:fldChar w:fldCharType="separate"/>
    </w:r>
    <w:r>
      <w:t>DB34/T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B488E5"/>
    <w:multiLevelType w:val="singleLevel"/>
    <w:tmpl w:val="DFB488E5"/>
    <w:lvl w:ilvl="0" w:tentative="0">
      <w:start w:val="1"/>
      <w:numFmt w:val="decimalEnclosedCircleChinese"/>
      <w:suff w:val="nothing"/>
      <w:lvlText w:val="%1　"/>
      <w:lvlJc w:val="left"/>
      <w:pPr>
        <w:ind w:left="0" w:firstLine="400"/>
      </w:pPr>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5F92AF"/>
    <w:multiLevelType w:val="singleLevel"/>
    <w:tmpl w:val="0B5F92AF"/>
    <w:lvl w:ilvl="0" w:tentative="0">
      <w:start w:val="1"/>
      <w:numFmt w:val="decimalEnclosedCircleChinese"/>
      <w:suff w:val="nothing"/>
      <w:lvlText w:val="%1　"/>
      <w:lvlJc w:val="left"/>
      <w:pPr>
        <w:ind w:left="0" w:firstLine="400"/>
      </w:pPr>
      <w:rPr>
        <w:rFonts w:hint="eastAsia"/>
      </w:rPr>
    </w:lvl>
  </w:abstractNum>
  <w:abstractNum w:abstractNumId="7">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pStyle w:val="240"/>
      <w:lvlText w:val="%3."/>
      <w:lvlJc w:val="right"/>
      <w:pPr>
        <w:tabs>
          <w:tab w:val="left" w:pos="1963"/>
        </w:tabs>
        <w:ind w:left="1963" w:hanging="420"/>
      </w:pPr>
      <w:rPr>
        <w:rFonts w:hint="eastAsia"/>
      </w:rPr>
    </w:lvl>
    <w:lvl w:ilvl="3" w:tentative="0">
      <w:start w:val="1"/>
      <w:numFmt w:val="decimal"/>
      <w:pStyle w:val="241"/>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3"/>
      <w:suff w:val="nothing"/>
      <w:lvlText w:val="%1.%2.%3　"/>
      <w:lvlJc w:val="left"/>
      <w:pPr>
        <w:ind w:left="0" w:firstLine="0"/>
      </w:pPr>
      <w:rPr>
        <w:rFonts w:hint="eastAsia" w:ascii="黑体" w:hAnsi="Times New Roman" w:eastAsia="黑体"/>
        <w:b w:val="0"/>
        <w:i w:val="0"/>
        <w:sz w:val="21"/>
      </w:rPr>
    </w:lvl>
    <w:lvl w:ilvl="3" w:tentative="0">
      <w:start w:val="1"/>
      <w:numFmt w:val="decimal"/>
      <w:pStyle w:val="234"/>
      <w:suff w:val="nothing"/>
      <w:lvlText w:val="%1.%2.%3.%4　"/>
      <w:lvlJc w:val="left"/>
      <w:pPr>
        <w:ind w:left="0" w:firstLine="0"/>
      </w:pPr>
      <w:rPr>
        <w:rFonts w:hint="eastAsia" w:ascii="黑体" w:hAnsi="Times New Roman" w:eastAsia="黑体"/>
        <w:b w:val="0"/>
        <w:i w:val="0"/>
        <w:sz w:val="21"/>
      </w:rPr>
    </w:lvl>
    <w:lvl w:ilvl="4" w:tentative="0">
      <w:start w:val="1"/>
      <w:numFmt w:val="decimal"/>
      <w:pStyle w:val="235"/>
      <w:suff w:val="nothing"/>
      <w:lvlText w:val="%1.%2.%3.%4.%5　"/>
      <w:lvlJc w:val="left"/>
      <w:pPr>
        <w:ind w:left="0" w:firstLine="0"/>
      </w:pPr>
      <w:rPr>
        <w:rFonts w:hint="eastAsia" w:ascii="黑体" w:hAnsi="Times New Roman" w:eastAsia="黑体"/>
        <w:b w:val="0"/>
        <w:i w:val="0"/>
        <w:sz w:val="21"/>
      </w:rPr>
    </w:lvl>
    <w:lvl w:ilvl="5" w:tentative="0">
      <w:start w:val="1"/>
      <w:numFmt w:val="decimal"/>
      <w:pStyle w:val="23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2F0B0E56"/>
    <w:multiLevelType w:val="singleLevel"/>
    <w:tmpl w:val="2F0B0E56"/>
    <w:lvl w:ilvl="0" w:tentative="0">
      <w:start w:val="1"/>
      <w:numFmt w:val="decimalEnclosedCircleChinese"/>
      <w:suff w:val="nothing"/>
      <w:lvlText w:val="%1　"/>
      <w:lvlJc w:val="left"/>
      <w:pPr>
        <w:ind w:left="0" w:firstLine="400"/>
      </w:pPr>
      <w:rPr>
        <w:rFonts w:hint="eastAsia"/>
      </w:rPr>
    </w:lvl>
  </w:abstractNum>
  <w:abstractNum w:abstractNumId="15">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BAD4F0"/>
    <w:multiLevelType w:val="singleLevel"/>
    <w:tmpl w:val="48BAD4F0"/>
    <w:lvl w:ilvl="0" w:tentative="0">
      <w:start w:val="1"/>
      <w:numFmt w:val="decimalEnclosedCircleChinese"/>
      <w:suff w:val="nothing"/>
      <w:lvlText w:val="%1　"/>
      <w:lvlJc w:val="left"/>
      <w:pPr>
        <w:ind w:left="0" w:firstLine="400"/>
      </w:pPr>
      <w:rPr>
        <w:rFonts w:hint="eastAsia"/>
      </w:rPr>
    </w:lvl>
  </w:abstractNum>
  <w:abstractNum w:abstractNumId="19">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4ED25945"/>
    <w:multiLevelType w:val="singleLevel"/>
    <w:tmpl w:val="4ED25945"/>
    <w:lvl w:ilvl="0" w:tentative="0">
      <w:start w:val="1"/>
      <w:numFmt w:val="decimalEnclosedCircleChinese"/>
      <w:suff w:val="nothing"/>
      <w:lvlText w:val="%1　"/>
      <w:lvlJc w:val="left"/>
      <w:pPr>
        <w:ind w:left="0" w:firstLine="400"/>
      </w:pPr>
      <w:rPr>
        <w:rFonts w:hint="eastAsia"/>
      </w:rPr>
    </w:lvl>
  </w:abstractNum>
  <w:abstractNum w:abstractNumId="22">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24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3"/>
  </w:num>
  <w:num w:numId="3">
    <w:abstractNumId w:val="7"/>
  </w:num>
  <w:num w:numId="4">
    <w:abstractNumId w:val="29"/>
  </w:num>
  <w:num w:numId="5">
    <w:abstractNumId w:val="24"/>
  </w:num>
  <w:num w:numId="6">
    <w:abstractNumId w:val="17"/>
  </w:num>
  <w:num w:numId="7">
    <w:abstractNumId w:val="10"/>
  </w:num>
  <w:num w:numId="8">
    <w:abstractNumId w:val="4"/>
  </w:num>
  <w:num w:numId="9">
    <w:abstractNumId w:val="11"/>
  </w:num>
  <w:num w:numId="10">
    <w:abstractNumId w:val="22"/>
  </w:num>
  <w:num w:numId="11">
    <w:abstractNumId w:val="31"/>
  </w:num>
  <w:num w:numId="12">
    <w:abstractNumId w:val="15"/>
  </w:num>
  <w:num w:numId="13">
    <w:abstractNumId w:val="16"/>
  </w:num>
  <w:num w:numId="14">
    <w:abstractNumId w:val="9"/>
  </w:num>
  <w:num w:numId="15">
    <w:abstractNumId w:val="25"/>
  </w:num>
  <w:num w:numId="16">
    <w:abstractNumId w:val="27"/>
  </w:num>
  <w:num w:numId="17">
    <w:abstractNumId w:val="23"/>
  </w:num>
  <w:num w:numId="18">
    <w:abstractNumId w:val="35"/>
  </w:num>
  <w:num w:numId="19">
    <w:abstractNumId w:val="20"/>
  </w:num>
  <w:num w:numId="20">
    <w:abstractNumId w:val="2"/>
  </w:num>
  <w:num w:numId="21">
    <w:abstractNumId w:val="13"/>
  </w:num>
  <w:num w:numId="22">
    <w:abstractNumId w:val="36"/>
  </w:num>
  <w:num w:numId="23">
    <w:abstractNumId w:val="26"/>
  </w:num>
  <w:num w:numId="24">
    <w:abstractNumId w:val="8"/>
  </w:num>
  <w:num w:numId="25">
    <w:abstractNumId w:val="32"/>
  </w:num>
  <w:num w:numId="26">
    <w:abstractNumId w:val="34"/>
  </w:num>
  <w:num w:numId="27">
    <w:abstractNumId w:val="3"/>
  </w:num>
  <w:num w:numId="28">
    <w:abstractNumId w:val="5"/>
  </w:num>
  <w:num w:numId="29">
    <w:abstractNumId w:val="19"/>
  </w:num>
  <w:num w:numId="30">
    <w:abstractNumId w:val="30"/>
  </w:num>
  <w:num w:numId="31">
    <w:abstractNumId w:val="28"/>
  </w:num>
  <w:num w:numId="32">
    <w:abstractNumId w:val="12"/>
  </w:num>
  <w:num w:numId="33">
    <w:abstractNumId w:val="18"/>
  </w:num>
  <w:num w:numId="34">
    <w:abstractNumId w:val="14"/>
  </w:num>
  <w:num w:numId="35">
    <w:abstractNumId w:val="21"/>
  </w:num>
  <w:num w:numId="36">
    <w:abstractNumId w:val="6"/>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1" w:cryptProviderType="rsaFull" w:cryptAlgorithmClass="hash" w:cryptAlgorithmType="typeAny" w:cryptAlgorithmSid="4" w:cryptSpinCount="50000" w:hash="iM+wuRsvfM5UQGVDr137A2Tbz1g=" w:salt="oXdSDYnHw4/2UbfmrKfJb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A3ZDQwMmNiOWFlYzZjYTcwOWJiZGQ0YTA5ODBmZGUifQ=="/>
  </w:docVars>
  <w:rsids>
    <w:rsidRoot w:val="00172A27"/>
    <w:rsid w:val="0000040A"/>
    <w:rsid w:val="00000A94"/>
    <w:rsid w:val="00001972"/>
    <w:rsid w:val="00001D9A"/>
    <w:rsid w:val="00007B3A"/>
    <w:rsid w:val="000107E0"/>
    <w:rsid w:val="00011FDE"/>
    <w:rsid w:val="00012FFD"/>
    <w:rsid w:val="00013654"/>
    <w:rsid w:val="00013F6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04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83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CD6"/>
    <w:rsid w:val="000D1795"/>
    <w:rsid w:val="000D329A"/>
    <w:rsid w:val="000D492C"/>
    <w:rsid w:val="000D4B9C"/>
    <w:rsid w:val="000D4EB6"/>
    <w:rsid w:val="000D753B"/>
    <w:rsid w:val="000E4C9E"/>
    <w:rsid w:val="000E6ACC"/>
    <w:rsid w:val="000E6FD7"/>
    <w:rsid w:val="000F06E1"/>
    <w:rsid w:val="000F0E3C"/>
    <w:rsid w:val="000F1642"/>
    <w:rsid w:val="000F19D5"/>
    <w:rsid w:val="000F4AEA"/>
    <w:rsid w:val="000F67E9"/>
    <w:rsid w:val="00104926"/>
    <w:rsid w:val="00113B1E"/>
    <w:rsid w:val="0011711C"/>
    <w:rsid w:val="00124E4F"/>
    <w:rsid w:val="001260B7"/>
    <w:rsid w:val="001265CB"/>
    <w:rsid w:val="001305C1"/>
    <w:rsid w:val="001321C6"/>
    <w:rsid w:val="001325C4"/>
    <w:rsid w:val="00133010"/>
    <w:rsid w:val="001338EE"/>
    <w:rsid w:val="00133AAE"/>
    <w:rsid w:val="00134BE5"/>
    <w:rsid w:val="00135085"/>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485"/>
    <w:rsid w:val="00166B88"/>
    <w:rsid w:val="0016770A"/>
    <w:rsid w:val="00170804"/>
    <w:rsid w:val="001708E9"/>
    <w:rsid w:val="00172A27"/>
    <w:rsid w:val="00172BDE"/>
    <w:rsid w:val="0017340B"/>
    <w:rsid w:val="00173FB1"/>
    <w:rsid w:val="00176DFD"/>
    <w:rsid w:val="001852C9"/>
    <w:rsid w:val="00190087"/>
    <w:rsid w:val="001913C4"/>
    <w:rsid w:val="00191AEA"/>
    <w:rsid w:val="0019348F"/>
    <w:rsid w:val="00193A07"/>
    <w:rsid w:val="00194C95"/>
    <w:rsid w:val="00195C34"/>
    <w:rsid w:val="0019694B"/>
    <w:rsid w:val="00196EF5"/>
    <w:rsid w:val="001A1A53"/>
    <w:rsid w:val="001A234A"/>
    <w:rsid w:val="001A31A4"/>
    <w:rsid w:val="001A4CF3"/>
    <w:rsid w:val="001B06E8"/>
    <w:rsid w:val="001B71D0"/>
    <w:rsid w:val="001B71EE"/>
    <w:rsid w:val="001C04A8"/>
    <w:rsid w:val="001C2C03"/>
    <w:rsid w:val="001C42F7"/>
    <w:rsid w:val="001C49E5"/>
    <w:rsid w:val="001C680C"/>
    <w:rsid w:val="001C7FEA"/>
    <w:rsid w:val="001D0499"/>
    <w:rsid w:val="001D0BBE"/>
    <w:rsid w:val="001D0ED4"/>
    <w:rsid w:val="001D1328"/>
    <w:rsid w:val="001D212F"/>
    <w:rsid w:val="001D29D7"/>
    <w:rsid w:val="001D2DE7"/>
    <w:rsid w:val="001D411C"/>
    <w:rsid w:val="001E1B6A"/>
    <w:rsid w:val="001E2484"/>
    <w:rsid w:val="001E3CC4"/>
    <w:rsid w:val="001E4882"/>
    <w:rsid w:val="001E50A9"/>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4B7"/>
    <w:rsid w:val="002253A1"/>
    <w:rsid w:val="00225CF8"/>
    <w:rsid w:val="0022794E"/>
    <w:rsid w:val="0023017C"/>
    <w:rsid w:val="00233D64"/>
    <w:rsid w:val="0023482A"/>
    <w:rsid w:val="002359CB"/>
    <w:rsid w:val="00243540"/>
    <w:rsid w:val="0024497B"/>
    <w:rsid w:val="0024515B"/>
    <w:rsid w:val="00246021"/>
    <w:rsid w:val="0024666E"/>
    <w:rsid w:val="002466CA"/>
    <w:rsid w:val="00247F52"/>
    <w:rsid w:val="00250B25"/>
    <w:rsid w:val="00250BBE"/>
    <w:rsid w:val="002515C2"/>
    <w:rsid w:val="0025194F"/>
    <w:rsid w:val="0026148A"/>
    <w:rsid w:val="00262696"/>
    <w:rsid w:val="00263D25"/>
    <w:rsid w:val="002643C3"/>
    <w:rsid w:val="00264A0C"/>
    <w:rsid w:val="00266EEB"/>
    <w:rsid w:val="002675FC"/>
    <w:rsid w:val="00267EF4"/>
    <w:rsid w:val="00270CB8"/>
    <w:rsid w:val="00272B08"/>
    <w:rsid w:val="00276E33"/>
    <w:rsid w:val="00281BB8"/>
    <w:rsid w:val="00281E9E"/>
    <w:rsid w:val="00282405"/>
    <w:rsid w:val="00284DC2"/>
    <w:rsid w:val="00285170"/>
    <w:rsid w:val="00285361"/>
    <w:rsid w:val="00287C8A"/>
    <w:rsid w:val="00292D60"/>
    <w:rsid w:val="00293B30"/>
    <w:rsid w:val="00294D34"/>
    <w:rsid w:val="00294E3B"/>
    <w:rsid w:val="00296193"/>
    <w:rsid w:val="00296C66"/>
    <w:rsid w:val="00296EBE"/>
    <w:rsid w:val="002974E3"/>
    <w:rsid w:val="00297EDC"/>
    <w:rsid w:val="002A084B"/>
    <w:rsid w:val="002A1260"/>
    <w:rsid w:val="002A1589"/>
    <w:rsid w:val="002A1608"/>
    <w:rsid w:val="002A25DC"/>
    <w:rsid w:val="002A28A0"/>
    <w:rsid w:val="002A3AAB"/>
    <w:rsid w:val="002A4CEA"/>
    <w:rsid w:val="002A5977"/>
    <w:rsid w:val="002A5A13"/>
    <w:rsid w:val="002A757F"/>
    <w:rsid w:val="002A7F44"/>
    <w:rsid w:val="002B0C40"/>
    <w:rsid w:val="002B1966"/>
    <w:rsid w:val="002B2D1A"/>
    <w:rsid w:val="002B4508"/>
    <w:rsid w:val="002B5779"/>
    <w:rsid w:val="002B7332"/>
    <w:rsid w:val="002B7F51"/>
    <w:rsid w:val="002C09E7"/>
    <w:rsid w:val="002C1E06"/>
    <w:rsid w:val="002C3EE7"/>
    <w:rsid w:val="002C3F07"/>
    <w:rsid w:val="002C5278"/>
    <w:rsid w:val="002C7EBB"/>
    <w:rsid w:val="002C7F76"/>
    <w:rsid w:val="002D06C1"/>
    <w:rsid w:val="002D42B5"/>
    <w:rsid w:val="002D4F1A"/>
    <w:rsid w:val="002D5C44"/>
    <w:rsid w:val="002D6EC6"/>
    <w:rsid w:val="002D760B"/>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34C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3F0"/>
    <w:rsid w:val="00382DE7"/>
    <w:rsid w:val="00384FFC"/>
    <w:rsid w:val="003872FC"/>
    <w:rsid w:val="00387ADC"/>
    <w:rsid w:val="00390020"/>
    <w:rsid w:val="003903D6"/>
    <w:rsid w:val="00390EE6"/>
    <w:rsid w:val="0039118F"/>
    <w:rsid w:val="00392AD7"/>
    <w:rsid w:val="003938D9"/>
    <w:rsid w:val="00394376"/>
    <w:rsid w:val="003943FF"/>
    <w:rsid w:val="003967BA"/>
    <w:rsid w:val="003974EB"/>
    <w:rsid w:val="00397CC5"/>
    <w:rsid w:val="003A1582"/>
    <w:rsid w:val="003A4077"/>
    <w:rsid w:val="003B09AD"/>
    <w:rsid w:val="003B1F18"/>
    <w:rsid w:val="003B2295"/>
    <w:rsid w:val="003B5BF0"/>
    <w:rsid w:val="003B60BF"/>
    <w:rsid w:val="003B6BE3"/>
    <w:rsid w:val="003C010C"/>
    <w:rsid w:val="003C0A6C"/>
    <w:rsid w:val="003C14F8"/>
    <w:rsid w:val="003C5A43"/>
    <w:rsid w:val="003D0519"/>
    <w:rsid w:val="003D0FF6"/>
    <w:rsid w:val="003D262C"/>
    <w:rsid w:val="003D6D61"/>
    <w:rsid w:val="003E078F"/>
    <w:rsid w:val="003E091D"/>
    <w:rsid w:val="003E1C53"/>
    <w:rsid w:val="003E2A69"/>
    <w:rsid w:val="003E2D49"/>
    <w:rsid w:val="003E2FD4"/>
    <w:rsid w:val="003E49F6"/>
    <w:rsid w:val="003E660F"/>
    <w:rsid w:val="003E6D60"/>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1E2"/>
    <w:rsid w:val="004417C4"/>
    <w:rsid w:val="00441AE7"/>
    <w:rsid w:val="00445574"/>
    <w:rsid w:val="004467FB"/>
    <w:rsid w:val="00452D6B"/>
    <w:rsid w:val="00454484"/>
    <w:rsid w:val="0045517B"/>
    <w:rsid w:val="00460D72"/>
    <w:rsid w:val="00463B77"/>
    <w:rsid w:val="00463C7B"/>
    <w:rsid w:val="004644A6"/>
    <w:rsid w:val="004659BD"/>
    <w:rsid w:val="00470775"/>
    <w:rsid w:val="00472215"/>
    <w:rsid w:val="004746B1"/>
    <w:rsid w:val="00474747"/>
    <w:rsid w:val="0047583F"/>
    <w:rsid w:val="00475DE8"/>
    <w:rsid w:val="00480464"/>
    <w:rsid w:val="00481C44"/>
    <w:rsid w:val="00484936"/>
    <w:rsid w:val="00485C89"/>
    <w:rsid w:val="00486BE3"/>
    <w:rsid w:val="004905E4"/>
    <w:rsid w:val="00490A89"/>
    <w:rsid w:val="00490AB4"/>
    <w:rsid w:val="004927AD"/>
    <w:rsid w:val="00492F02"/>
    <w:rsid w:val="004939AE"/>
    <w:rsid w:val="004A12DF"/>
    <w:rsid w:val="004A1BA8"/>
    <w:rsid w:val="004A4B57"/>
    <w:rsid w:val="004A63FA"/>
    <w:rsid w:val="004A6FB9"/>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703"/>
    <w:rsid w:val="004D2253"/>
    <w:rsid w:val="004D4406"/>
    <w:rsid w:val="004D4AA3"/>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2F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3C1"/>
    <w:rsid w:val="0057611F"/>
    <w:rsid w:val="005801E3"/>
    <w:rsid w:val="00581802"/>
    <w:rsid w:val="005836A8"/>
    <w:rsid w:val="0058409C"/>
    <w:rsid w:val="00584262"/>
    <w:rsid w:val="00586630"/>
    <w:rsid w:val="00587585"/>
    <w:rsid w:val="00587ADD"/>
    <w:rsid w:val="00596160"/>
    <w:rsid w:val="005966E2"/>
    <w:rsid w:val="00597007"/>
    <w:rsid w:val="005A0966"/>
    <w:rsid w:val="005A11B7"/>
    <w:rsid w:val="005A260B"/>
    <w:rsid w:val="005A4A1B"/>
    <w:rsid w:val="005A7830"/>
    <w:rsid w:val="005A7FCE"/>
    <w:rsid w:val="005B0F3F"/>
    <w:rsid w:val="005B1821"/>
    <w:rsid w:val="005B4903"/>
    <w:rsid w:val="005B51CE"/>
    <w:rsid w:val="005B5885"/>
    <w:rsid w:val="005B5CD7"/>
    <w:rsid w:val="005B6CF6"/>
    <w:rsid w:val="005B7422"/>
    <w:rsid w:val="005C29B8"/>
    <w:rsid w:val="005C5F21"/>
    <w:rsid w:val="005C7156"/>
    <w:rsid w:val="005D0C75"/>
    <w:rsid w:val="005D291A"/>
    <w:rsid w:val="005D4171"/>
    <w:rsid w:val="005D6A95"/>
    <w:rsid w:val="005D6B2C"/>
    <w:rsid w:val="005D6D9C"/>
    <w:rsid w:val="005E2335"/>
    <w:rsid w:val="005E34CA"/>
    <w:rsid w:val="005E3C18"/>
    <w:rsid w:val="005E6812"/>
    <w:rsid w:val="005E7881"/>
    <w:rsid w:val="005E78E0"/>
    <w:rsid w:val="005F0D9C"/>
    <w:rsid w:val="005F284E"/>
    <w:rsid w:val="005F2C57"/>
    <w:rsid w:val="006015CE"/>
    <w:rsid w:val="0060210D"/>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AD5"/>
    <w:rsid w:val="00634D9E"/>
    <w:rsid w:val="00636E3E"/>
    <w:rsid w:val="006379F7"/>
    <w:rsid w:val="00637E4D"/>
    <w:rsid w:val="00640620"/>
    <w:rsid w:val="006416B9"/>
    <w:rsid w:val="00641A1F"/>
    <w:rsid w:val="0064474B"/>
    <w:rsid w:val="00645904"/>
    <w:rsid w:val="00651ACB"/>
    <w:rsid w:val="00651C47"/>
    <w:rsid w:val="00652AB2"/>
    <w:rsid w:val="00653FED"/>
    <w:rsid w:val="00654EC0"/>
    <w:rsid w:val="0065525B"/>
    <w:rsid w:val="00655D4F"/>
    <w:rsid w:val="00656D29"/>
    <w:rsid w:val="006640E5"/>
    <w:rsid w:val="0066428F"/>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3DEC"/>
    <w:rsid w:val="006B2672"/>
    <w:rsid w:val="006B4C3D"/>
    <w:rsid w:val="006B54BF"/>
    <w:rsid w:val="006B5F44"/>
    <w:rsid w:val="006B5F90"/>
    <w:rsid w:val="006B62E4"/>
    <w:rsid w:val="006C030B"/>
    <w:rsid w:val="006C1BBA"/>
    <w:rsid w:val="006C2079"/>
    <w:rsid w:val="006C5971"/>
    <w:rsid w:val="006C5A62"/>
    <w:rsid w:val="006C5D68"/>
    <w:rsid w:val="006C6976"/>
    <w:rsid w:val="006C6DD0"/>
    <w:rsid w:val="006D04EA"/>
    <w:rsid w:val="006D16C4"/>
    <w:rsid w:val="006D37FA"/>
    <w:rsid w:val="006D3E96"/>
    <w:rsid w:val="006D4515"/>
    <w:rsid w:val="006D4BB1"/>
    <w:rsid w:val="006D6593"/>
    <w:rsid w:val="006E0B79"/>
    <w:rsid w:val="006F03A8"/>
    <w:rsid w:val="006F2ACA"/>
    <w:rsid w:val="006F2ADC"/>
    <w:rsid w:val="006F2BFE"/>
    <w:rsid w:val="006F2EAD"/>
    <w:rsid w:val="006F31E9"/>
    <w:rsid w:val="006F331D"/>
    <w:rsid w:val="006F3A46"/>
    <w:rsid w:val="006F6284"/>
    <w:rsid w:val="007002C5"/>
    <w:rsid w:val="00704387"/>
    <w:rsid w:val="00707669"/>
    <w:rsid w:val="00711CBA"/>
    <w:rsid w:val="00711FB5"/>
    <w:rsid w:val="00712A01"/>
    <w:rsid w:val="00714F58"/>
    <w:rsid w:val="00721EEA"/>
    <w:rsid w:val="00722FBF"/>
    <w:rsid w:val="00722FC2"/>
    <w:rsid w:val="0072476A"/>
    <w:rsid w:val="00724E1B"/>
    <w:rsid w:val="00725949"/>
    <w:rsid w:val="00727FA2"/>
    <w:rsid w:val="007322D9"/>
    <w:rsid w:val="00732BC0"/>
    <w:rsid w:val="0073391B"/>
    <w:rsid w:val="007345E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7B6"/>
    <w:rsid w:val="007637F6"/>
    <w:rsid w:val="00765C43"/>
    <w:rsid w:val="00765EFB"/>
    <w:rsid w:val="007671CA"/>
    <w:rsid w:val="00767C61"/>
    <w:rsid w:val="0077008A"/>
    <w:rsid w:val="00773C1F"/>
    <w:rsid w:val="00774DA4"/>
    <w:rsid w:val="00776599"/>
    <w:rsid w:val="0078114B"/>
    <w:rsid w:val="00781DD2"/>
    <w:rsid w:val="007827F4"/>
    <w:rsid w:val="00783ECF"/>
    <w:rsid w:val="0078413A"/>
    <w:rsid w:val="00794872"/>
    <w:rsid w:val="007959E8"/>
    <w:rsid w:val="00795E9C"/>
    <w:rsid w:val="007A0521"/>
    <w:rsid w:val="007A0D6F"/>
    <w:rsid w:val="007A2E12"/>
    <w:rsid w:val="007A3475"/>
    <w:rsid w:val="007A41C8"/>
    <w:rsid w:val="007A54CE"/>
    <w:rsid w:val="007A6FD9"/>
    <w:rsid w:val="007A7FFA"/>
    <w:rsid w:val="007B04EB"/>
    <w:rsid w:val="007B0D4F"/>
    <w:rsid w:val="007B5A3D"/>
    <w:rsid w:val="007B5B95"/>
    <w:rsid w:val="007B68EA"/>
    <w:rsid w:val="007B7453"/>
    <w:rsid w:val="007C2D89"/>
    <w:rsid w:val="007C3846"/>
    <w:rsid w:val="007C4593"/>
    <w:rsid w:val="007C5309"/>
    <w:rsid w:val="007C6069"/>
    <w:rsid w:val="007D06C4"/>
    <w:rsid w:val="007D1352"/>
    <w:rsid w:val="007D2508"/>
    <w:rsid w:val="007D346A"/>
    <w:rsid w:val="007D6518"/>
    <w:rsid w:val="007D76BD"/>
    <w:rsid w:val="007E0BF1"/>
    <w:rsid w:val="007F0ED8"/>
    <w:rsid w:val="007F0F63"/>
    <w:rsid w:val="007F1A84"/>
    <w:rsid w:val="007F226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D7A"/>
    <w:rsid w:val="00830621"/>
    <w:rsid w:val="0083348C"/>
    <w:rsid w:val="0083499B"/>
    <w:rsid w:val="008373D3"/>
    <w:rsid w:val="00840617"/>
    <w:rsid w:val="00840F84"/>
    <w:rsid w:val="0084262E"/>
    <w:rsid w:val="00842A47"/>
    <w:rsid w:val="0084308B"/>
    <w:rsid w:val="00843C13"/>
    <w:rsid w:val="00844A46"/>
    <w:rsid w:val="008454F8"/>
    <w:rsid w:val="00845D0E"/>
    <w:rsid w:val="0085173A"/>
    <w:rsid w:val="00857B94"/>
    <w:rsid w:val="008603CE"/>
    <w:rsid w:val="008620FC"/>
    <w:rsid w:val="008627A5"/>
    <w:rsid w:val="00863E05"/>
    <w:rsid w:val="00865ACA"/>
    <w:rsid w:val="00865D28"/>
    <w:rsid w:val="00865F85"/>
    <w:rsid w:val="00867C10"/>
    <w:rsid w:val="0087000E"/>
    <w:rsid w:val="00870439"/>
    <w:rsid w:val="00870DA1"/>
    <w:rsid w:val="00883F93"/>
    <w:rsid w:val="00884DB3"/>
    <w:rsid w:val="00885A9D"/>
    <w:rsid w:val="008864F6"/>
    <w:rsid w:val="0089049D"/>
    <w:rsid w:val="008911A2"/>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B75"/>
    <w:rsid w:val="008D7B54"/>
    <w:rsid w:val="008E0C9D"/>
    <w:rsid w:val="008E1648"/>
    <w:rsid w:val="008E1B3E"/>
    <w:rsid w:val="008E2319"/>
    <w:rsid w:val="008E4BB6"/>
    <w:rsid w:val="008E5518"/>
    <w:rsid w:val="008E6656"/>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58A"/>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B98"/>
    <w:rsid w:val="009D112C"/>
    <w:rsid w:val="009D47FA"/>
    <w:rsid w:val="009D4C5B"/>
    <w:rsid w:val="009D50D2"/>
    <w:rsid w:val="009D6BCA"/>
    <w:rsid w:val="009E0F62"/>
    <w:rsid w:val="009E4A58"/>
    <w:rsid w:val="009E5A2D"/>
    <w:rsid w:val="009E5AB2"/>
    <w:rsid w:val="009E6219"/>
    <w:rsid w:val="009F03B3"/>
    <w:rsid w:val="009F27D7"/>
    <w:rsid w:val="009F39E1"/>
    <w:rsid w:val="00A0096C"/>
    <w:rsid w:val="00A01757"/>
    <w:rsid w:val="00A028C0"/>
    <w:rsid w:val="00A02BAE"/>
    <w:rsid w:val="00A049E8"/>
    <w:rsid w:val="00A06A6B"/>
    <w:rsid w:val="00A07E47"/>
    <w:rsid w:val="00A10741"/>
    <w:rsid w:val="00A129D0"/>
    <w:rsid w:val="00A12A31"/>
    <w:rsid w:val="00A12C33"/>
    <w:rsid w:val="00A138BA"/>
    <w:rsid w:val="00A14C8E"/>
    <w:rsid w:val="00A153D9"/>
    <w:rsid w:val="00A15F09"/>
    <w:rsid w:val="00A169B6"/>
    <w:rsid w:val="00A2271D"/>
    <w:rsid w:val="00A237D5"/>
    <w:rsid w:val="00A309F1"/>
    <w:rsid w:val="00A30EFC"/>
    <w:rsid w:val="00A31984"/>
    <w:rsid w:val="00A32D73"/>
    <w:rsid w:val="00A3367B"/>
    <w:rsid w:val="00A3597D"/>
    <w:rsid w:val="00A36DD1"/>
    <w:rsid w:val="00A4006C"/>
    <w:rsid w:val="00A40091"/>
    <w:rsid w:val="00A4030F"/>
    <w:rsid w:val="00A40A09"/>
    <w:rsid w:val="00A41C79"/>
    <w:rsid w:val="00A41CB5"/>
    <w:rsid w:val="00A42CDF"/>
    <w:rsid w:val="00A4452E"/>
    <w:rsid w:val="00A4472C"/>
    <w:rsid w:val="00A44E69"/>
    <w:rsid w:val="00A4661E"/>
    <w:rsid w:val="00A51E70"/>
    <w:rsid w:val="00A55BD6"/>
    <w:rsid w:val="00A55D50"/>
    <w:rsid w:val="00A57142"/>
    <w:rsid w:val="00A60675"/>
    <w:rsid w:val="00A64783"/>
    <w:rsid w:val="00A648CD"/>
    <w:rsid w:val="00A6537A"/>
    <w:rsid w:val="00A66B5B"/>
    <w:rsid w:val="00A67866"/>
    <w:rsid w:val="00A70B07"/>
    <w:rsid w:val="00A723F8"/>
    <w:rsid w:val="00A727C3"/>
    <w:rsid w:val="00A77CCB"/>
    <w:rsid w:val="00A8192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51C"/>
    <w:rsid w:val="00AD0AEF"/>
    <w:rsid w:val="00AD11B7"/>
    <w:rsid w:val="00AD1A94"/>
    <w:rsid w:val="00AD1C05"/>
    <w:rsid w:val="00AD4126"/>
    <w:rsid w:val="00AD421C"/>
    <w:rsid w:val="00AD44FA"/>
    <w:rsid w:val="00AD6F8E"/>
    <w:rsid w:val="00AE070A"/>
    <w:rsid w:val="00AE101C"/>
    <w:rsid w:val="00AE37E5"/>
    <w:rsid w:val="00AE5EB4"/>
    <w:rsid w:val="00AF0C18"/>
    <w:rsid w:val="00AF47C5"/>
    <w:rsid w:val="00AF5398"/>
    <w:rsid w:val="00B049AF"/>
    <w:rsid w:val="00B07242"/>
    <w:rsid w:val="00B10534"/>
    <w:rsid w:val="00B113DB"/>
    <w:rsid w:val="00B11D8A"/>
    <w:rsid w:val="00B12981"/>
    <w:rsid w:val="00B133B9"/>
    <w:rsid w:val="00B147DD"/>
    <w:rsid w:val="00B156FD"/>
    <w:rsid w:val="00B20D8B"/>
    <w:rsid w:val="00B21F61"/>
    <w:rsid w:val="00B261F1"/>
    <w:rsid w:val="00B265BC"/>
    <w:rsid w:val="00B31B97"/>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954"/>
    <w:rsid w:val="00BA42B2"/>
    <w:rsid w:val="00BA58D4"/>
    <w:rsid w:val="00BA5B9E"/>
    <w:rsid w:val="00BA7C9A"/>
    <w:rsid w:val="00BB5F8F"/>
    <w:rsid w:val="00BB657A"/>
    <w:rsid w:val="00BC1A4E"/>
    <w:rsid w:val="00BC5DC7"/>
    <w:rsid w:val="00BC6B8B"/>
    <w:rsid w:val="00BC73D8"/>
    <w:rsid w:val="00BD52D7"/>
    <w:rsid w:val="00BD5AD2"/>
    <w:rsid w:val="00BE09D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F47"/>
    <w:rsid w:val="00C72410"/>
    <w:rsid w:val="00C7287F"/>
    <w:rsid w:val="00C80CB8"/>
    <w:rsid w:val="00C819F8"/>
    <w:rsid w:val="00C8248C"/>
    <w:rsid w:val="00C839E2"/>
    <w:rsid w:val="00C84E33"/>
    <w:rsid w:val="00C86D6F"/>
    <w:rsid w:val="00C905FC"/>
    <w:rsid w:val="00C92D03"/>
    <w:rsid w:val="00C9319C"/>
    <w:rsid w:val="00C9435D"/>
    <w:rsid w:val="00C94DF2"/>
    <w:rsid w:val="00C95AE9"/>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5EA"/>
    <w:rsid w:val="00CD2808"/>
    <w:rsid w:val="00CD28BF"/>
    <w:rsid w:val="00CD4092"/>
    <w:rsid w:val="00CD4A20"/>
    <w:rsid w:val="00CD50A1"/>
    <w:rsid w:val="00CD519E"/>
    <w:rsid w:val="00CE0C4F"/>
    <w:rsid w:val="00CE30EA"/>
    <w:rsid w:val="00CF048A"/>
    <w:rsid w:val="00CF155A"/>
    <w:rsid w:val="00CF2947"/>
    <w:rsid w:val="00CF3EF5"/>
    <w:rsid w:val="00CF486B"/>
    <w:rsid w:val="00CF495D"/>
    <w:rsid w:val="00CF6776"/>
    <w:rsid w:val="00CF686F"/>
    <w:rsid w:val="00CF6E60"/>
    <w:rsid w:val="00CF7BCA"/>
    <w:rsid w:val="00D008FD"/>
    <w:rsid w:val="00D0321C"/>
    <w:rsid w:val="00D035EC"/>
    <w:rsid w:val="00D06AB1"/>
    <w:rsid w:val="00D072ED"/>
    <w:rsid w:val="00D07A16"/>
    <w:rsid w:val="00D07F7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210"/>
    <w:rsid w:val="00D57C8B"/>
    <w:rsid w:val="00D66846"/>
    <w:rsid w:val="00D675FB"/>
    <w:rsid w:val="00D71F25"/>
    <w:rsid w:val="00D72A9C"/>
    <w:rsid w:val="00D73805"/>
    <w:rsid w:val="00D77031"/>
    <w:rsid w:val="00D84941"/>
    <w:rsid w:val="00D84FA1"/>
    <w:rsid w:val="00D851F0"/>
    <w:rsid w:val="00D86DB7"/>
    <w:rsid w:val="00D926D0"/>
    <w:rsid w:val="00D93030"/>
    <w:rsid w:val="00D9483C"/>
    <w:rsid w:val="00D950E1"/>
    <w:rsid w:val="00D952A6"/>
    <w:rsid w:val="00D95CF2"/>
    <w:rsid w:val="00D97F99"/>
    <w:rsid w:val="00DA1E08"/>
    <w:rsid w:val="00DA24F8"/>
    <w:rsid w:val="00DA28E8"/>
    <w:rsid w:val="00DA38D3"/>
    <w:rsid w:val="00DA3932"/>
    <w:rsid w:val="00DA3AFC"/>
    <w:rsid w:val="00DA64F8"/>
    <w:rsid w:val="00DA6C15"/>
    <w:rsid w:val="00DB0258"/>
    <w:rsid w:val="00DB2BC1"/>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6D2C"/>
    <w:rsid w:val="00DE0A4B"/>
    <w:rsid w:val="00DE2410"/>
    <w:rsid w:val="00DE2939"/>
    <w:rsid w:val="00DE6E81"/>
    <w:rsid w:val="00DE703F"/>
    <w:rsid w:val="00DE7595"/>
    <w:rsid w:val="00DF1961"/>
    <w:rsid w:val="00DF44DE"/>
    <w:rsid w:val="00E00FBC"/>
    <w:rsid w:val="00E01138"/>
    <w:rsid w:val="00E02DFB"/>
    <w:rsid w:val="00E030F9"/>
    <w:rsid w:val="00E0311A"/>
    <w:rsid w:val="00E03138"/>
    <w:rsid w:val="00E06404"/>
    <w:rsid w:val="00E11A85"/>
    <w:rsid w:val="00E12495"/>
    <w:rsid w:val="00E15CCD"/>
    <w:rsid w:val="00E1788D"/>
    <w:rsid w:val="00E202EF"/>
    <w:rsid w:val="00E210B5"/>
    <w:rsid w:val="00E23D99"/>
    <w:rsid w:val="00E24499"/>
    <w:rsid w:val="00E2552F"/>
    <w:rsid w:val="00E3137A"/>
    <w:rsid w:val="00E32CCF"/>
    <w:rsid w:val="00E34A98"/>
    <w:rsid w:val="00E35D1E"/>
    <w:rsid w:val="00E364F9"/>
    <w:rsid w:val="00E365FA"/>
    <w:rsid w:val="00E36789"/>
    <w:rsid w:val="00E44A83"/>
    <w:rsid w:val="00E46F1D"/>
    <w:rsid w:val="00E502C1"/>
    <w:rsid w:val="00E502DD"/>
    <w:rsid w:val="00E50D3A"/>
    <w:rsid w:val="00E51387"/>
    <w:rsid w:val="00E51E68"/>
    <w:rsid w:val="00E52EFD"/>
    <w:rsid w:val="00E5408A"/>
    <w:rsid w:val="00E56072"/>
    <w:rsid w:val="00E56800"/>
    <w:rsid w:val="00E60C63"/>
    <w:rsid w:val="00E62FF9"/>
    <w:rsid w:val="00E635D6"/>
    <w:rsid w:val="00E639BC"/>
    <w:rsid w:val="00E664CC"/>
    <w:rsid w:val="00E70388"/>
    <w:rsid w:val="00E70F92"/>
    <w:rsid w:val="00E73AB7"/>
    <w:rsid w:val="00E74C54"/>
    <w:rsid w:val="00E77A03"/>
    <w:rsid w:val="00E822E8"/>
    <w:rsid w:val="00E82554"/>
    <w:rsid w:val="00E82606"/>
    <w:rsid w:val="00E846C8"/>
    <w:rsid w:val="00E84957"/>
    <w:rsid w:val="00E84A55"/>
    <w:rsid w:val="00E85BFF"/>
    <w:rsid w:val="00E87C6A"/>
    <w:rsid w:val="00E90391"/>
    <w:rsid w:val="00E906C2"/>
    <w:rsid w:val="00E9311F"/>
    <w:rsid w:val="00E934D1"/>
    <w:rsid w:val="00E94AF0"/>
    <w:rsid w:val="00E95D13"/>
    <w:rsid w:val="00E95DD3"/>
    <w:rsid w:val="00E969D5"/>
    <w:rsid w:val="00EA1BF0"/>
    <w:rsid w:val="00EA58D1"/>
    <w:rsid w:val="00EA61BC"/>
    <w:rsid w:val="00EA681A"/>
    <w:rsid w:val="00EA735B"/>
    <w:rsid w:val="00EB1E69"/>
    <w:rsid w:val="00EB2086"/>
    <w:rsid w:val="00EB4F6D"/>
    <w:rsid w:val="00EB5EDF"/>
    <w:rsid w:val="00EB60FE"/>
    <w:rsid w:val="00EB74DB"/>
    <w:rsid w:val="00EC0D1C"/>
    <w:rsid w:val="00EC5359"/>
    <w:rsid w:val="00EC562A"/>
    <w:rsid w:val="00ED067A"/>
    <w:rsid w:val="00ED2B50"/>
    <w:rsid w:val="00EE0350"/>
    <w:rsid w:val="00EE0719"/>
    <w:rsid w:val="00EE0E80"/>
    <w:rsid w:val="00EE1800"/>
    <w:rsid w:val="00EE613F"/>
    <w:rsid w:val="00EE7295"/>
    <w:rsid w:val="00EE7869"/>
    <w:rsid w:val="00EF054A"/>
    <w:rsid w:val="00EF3235"/>
    <w:rsid w:val="00EF7E72"/>
    <w:rsid w:val="00F06D37"/>
    <w:rsid w:val="00F07B9D"/>
    <w:rsid w:val="00F11586"/>
    <w:rsid w:val="00F1183B"/>
    <w:rsid w:val="00F11C9F"/>
    <w:rsid w:val="00F11DE2"/>
    <w:rsid w:val="00F12263"/>
    <w:rsid w:val="00F1409D"/>
    <w:rsid w:val="00F14214"/>
    <w:rsid w:val="00F157A9"/>
    <w:rsid w:val="00F16730"/>
    <w:rsid w:val="00F25BB6"/>
    <w:rsid w:val="00F26B7E"/>
    <w:rsid w:val="00F27434"/>
    <w:rsid w:val="00F27A3B"/>
    <w:rsid w:val="00F33817"/>
    <w:rsid w:val="00F420D5"/>
    <w:rsid w:val="00F4317C"/>
    <w:rsid w:val="00F451EA"/>
    <w:rsid w:val="00F45447"/>
    <w:rsid w:val="00F456C6"/>
    <w:rsid w:val="00F4577B"/>
    <w:rsid w:val="00F46496"/>
    <w:rsid w:val="00F474D0"/>
    <w:rsid w:val="00F50179"/>
    <w:rsid w:val="00F501F4"/>
    <w:rsid w:val="00F515EE"/>
    <w:rsid w:val="00F52C31"/>
    <w:rsid w:val="00F56511"/>
    <w:rsid w:val="00F6194E"/>
    <w:rsid w:val="00F623AC"/>
    <w:rsid w:val="00F63BCA"/>
    <w:rsid w:val="00F6412A"/>
    <w:rsid w:val="00F65893"/>
    <w:rsid w:val="00F66A4A"/>
    <w:rsid w:val="00F71E22"/>
    <w:rsid w:val="00F72142"/>
    <w:rsid w:val="00F72AE7"/>
    <w:rsid w:val="00F75CC0"/>
    <w:rsid w:val="00F833BA"/>
    <w:rsid w:val="00F84FD0"/>
    <w:rsid w:val="00F859A8"/>
    <w:rsid w:val="00F86D87"/>
    <w:rsid w:val="00F9108B"/>
    <w:rsid w:val="00F91349"/>
    <w:rsid w:val="00F93A8A"/>
    <w:rsid w:val="00F95248"/>
    <w:rsid w:val="00F956A9"/>
    <w:rsid w:val="00F963ED"/>
    <w:rsid w:val="00F966CF"/>
    <w:rsid w:val="00F96CAE"/>
    <w:rsid w:val="00F97C99"/>
    <w:rsid w:val="00FA5791"/>
    <w:rsid w:val="00FA662D"/>
    <w:rsid w:val="00FA73B1"/>
    <w:rsid w:val="00FB0CB9"/>
    <w:rsid w:val="00FB1A72"/>
    <w:rsid w:val="00FB231D"/>
    <w:rsid w:val="00FB45F1"/>
    <w:rsid w:val="00FB4A72"/>
    <w:rsid w:val="00FB4F9D"/>
    <w:rsid w:val="00FB54E8"/>
    <w:rsid w:val="00FB7054"/>
    <w:rsid w:val="00FC17B7"/>
    <w:rsid w:val="00FC2CB7"/>
    <w:rsid w:val="00FC4090"/>
    <w:rsid w:val="00FC55B4"/>
    <w:rsid w:val="00FD00E6"/>
    <w:rsid w:val="00FD09A1"/>
    <w:rsid w:val="00FD28F2"/>
    <w:rsid w:val="00FD2A7C"/>
    <w:rsid w:val="00FD59EB"/>
    <w:rsid w:val="00FD7299"/>
    <w:rsid w:val="00FE1FBE"/>
    <w:rsid w:val="00FE3901"/>
    <w:rsid w:val="00FE39D3"/>
    <w:rsid w:val="00FE4BCE"/>
    <w:rsid w:val="00FE54AE"/>
    <w:rsid w:val="00FE576A"/>
    <w:rsid w:val="00FE7E79"/>
    <w:rsid w:val="00FF34E8"/>
    <w:rsid w:val="00FF3E7D"/>
    <w:rsid w:val="00FF5B99"/>
    <w:rsid w:val="00FF730C"/>
    <w:rsid w:val="00FF73F4"/>
    <w:rsid w:val="00FF7CE4"/>
    <w:rsid w:val="00FF7E39"/>
    <w:rsid w:val="01046B36"/>
    <w:rsid w:val="011F36F7"/>
    <w:rsid w:val="013E4EE7"/>
    <w:rsid w:val="01AD2135"/>
    <w:rsid w:val="025D0D35"/>
    <w:rsid w:val="02D87377"/>
    <w:rsid w:val="035F4AE4"/>
    <w:rsid w:val="03935010"/>
    <w:rsid w:val="03FB2A2B"/>
    <w:rsid w:val="0421786C"/>
    <w:rsid w:val="045A2BFD"/>
    <w:rsid w:val="045E72C9"/>
    <w:rsid w:val="0466617C"/>
    <w:rsid w:val="049814B9"/>
    <w:rsid w:val="04B74A42"/>
    <w:rsid w:val="052952DF"/>
    <w:rsid w:val="056B7B88"/>
    <w:rsid w:val="05823160"/>
    <w:rsid w:val="0599233A"/>
    <w:rsid w:val="05AA0F6D"/>
    <w:rsid w:val="05BB24F7"/>
    <w:rsid w:val="067E3970"/>
    <w:rsid w:val="069F5A6C"/>
    <w:rsid w:val="06A13311"/>
    <w:rsid w:val="06DF3FC3"/>
    <w:rsid w:val="07013F3A"/>
    <w:rsid w:val="073E1554"/>
    <w:rsid w:val="07A64AE1"/>
    <w:rsid w:val="07A66895"/>
    <w:rsid w:val="08007A98"/>
    <w:rsid w:val="082A74C0"/>
    <w:rsid w:val="091677C9"/>
    <w:rsid w:val="09357480"/>
    <w:rsid w:val="09657E30"/>
    <w:rsid w:val="09862E1C"/>
    <w:rsid w:val="0A876E4C"/>
    <w:rsid w:val="0B0E4E77"/>
    <w:rsid w:val="0B111932"/>
    <w:rsid w:val="0B1411F9"/>
    <w:rsid w:val="0B24469B"/>
    <w:rsid w:val="0B514D19"/>
    <w:rsid w:val="0B9427CF"/>
    <w:rsid w:val="0BBC626F"/>
    <w:rsid w:val="0BC47C2C"/>
    <w:rsid w:val="0C3A0F9E"/>
    <w:rsid w:val="0D4F4AE4"/>
    <w:rsid w:val="0D785154"/>
    <w:rsid w:val="0D7D0092"/>
    <w:rsid w:val="0DDF0D4D"/>
    <w:rsid w:val="0E0F1632"/>
    <w:rsid w:val="0F5F58B5"/>
    <w:rsid w:val="0FD42CD5"/>
    <w:rsid w:val="104263AF"/>
    <w:rsid w:val="104F1C16"/>
    <w:rsid w:val="114A5D19"/>
    <w:rsid w:val="11584D21"/>
    <w:rsid w:val="119528E2"/>
    <w:rsid w:val="11F203C2"/>
    <w:rsid w:val="122D253E"/>
    <w:rsid w:val="123553DF"/>
    <w:rsid w:val="12722393"/>
    <w:rsid w:val="130B75A6"/>
    <w:rsid w:val="13476B3C"/>
    <w:rsid w:val="134F2994"/>
    <w:rsid w:val="137A6F5F"/>
    <w:rsid w:val="137F25A8"/>
    <w:rsid w:val="139D0F0C"/>
    <w:rsid w:val="13CC7BD3"/>
    <w:rsid w:val="14D30DC6"/>
    <w:rsid w:val="15025623"/>
    <w:rsid w:val="15DF7B3C"/>
    <w:rsid w:val="160B0A7C"/>
    <w:rsid w:val="165F6ECF"/>
    <w:rsid w:val="166F55EB"/>
    <w:rsid w:val="16875772"/>
    <w:rsid w:val="16A32E03"/>
    <w:rsid w:val="16CA7F8A"/>
    <w:rsid w:val="171B605C"/>
    <w:rsid w:val="17D97C46"/>
    <w:rsid w:val="18621B68"/>
    <w:rsid w:val="18627B26"/>
    <w:rsid w:val="186C06A3"/>
    <w:rsid w:val="18E60774"/>
    <w:rsid w:val="1975500F"/>
    <w:rsid w:val="19842C70"/>
    <w:rsid w:val="1987237F"/>
    <w:rsid w:val="199E24F7"/>
    <w:rsid w:val="199E386A"/>
    <w:rsid w:val="19AE0964"/>
    <w:rsid w:val="19CF72C1"/>
    <w:rsid w:val="1A2755AD"/>
    <w:rsid w:val="1A7B3BAB"/>
    <w:rsid w:val="1A9A38D7"/>
    <w:rsid w:val="1ABE325E"/>
    <w:rsid w:val="1B016EF7"/>
    <w:rsid w:val="1B0911B7"/>
    <w:rsid w:val="1B636B19"/>
    <w:rsid w:val="1BB11F7A"/>
    <w:rsid w:val="1BCD48DA"/>
    <w:rsid w:val="1C1A3D35"/>
    <w:rsid w:val="1C850B06"/>
    <w:rsid w:val="1CCD43EF"/>
    <w:rsid w:val="1D1A02EF"/>
    <w:rsid w:val="1DE702CC"/>
    <w:rsid w:val="1E311151"/>
    <w:rsid w:val="1E365A33"/>
    <w:rsid w:val="1E686C52"/>
    <w:rsid w:val="1E9D67E6"/>
    <w:rsid w:val="1ECC2C27"/>
    <w:rsid w:val="1FE30DAA"/>
    <w:rsid w:val="1FED1167"/>
    <w:rsid w:val="1FF81B8E"/>
    <w:rsid w:val="201E7859"/>
    <w:rsid w:val="218E68BA"/>
    <w:rsid w:val="21923888"/>
    <w:rsid w:val="21BA145D"/>
    <w:rsid w:val="21DA565B"/>
    <w:rsid w:val="21E32623"/>
    <w:rsid w:val="22445970"/>
    <w:rsid w:val="228C5F60"/>
    <w:rsid w:val="22E75F90"/>
    <w:rsid w:val="23160915"/>
    <w:rsid w:val="23982480"/>
    <w:rsid w:val="24244F5F"/>
    <w:rsid w:val="26630315"/>
    <w:rsid w:val="26993D37"/>
    <w:rsid w:val="26FC5FF1"/>
    <w:rsid w:val="278E3170"/>
    <w:rsid w:val="28C77B6A"/>
    <w:rsid w:val="28ED3BA7"/>
    <w:rsid w:val="2944569E"/>
    <w:rsid w:val="29557225"/>
    <w:rsid w:val="296D15DA"/>
    <w:rsid w:val="296F6784"/>
    <w:rsid w:val="297168A5"/>
    <w:rsid w:val="298C7B83"/>
    <w:rsid w:val="29F2753F"/>
    <w:rsid w:val="2AA74CE4"/>
    <w:rsid w:val="2AD15AA5"/>
    <w:rsid w:val="2AF6740B"/>
    <w:rsid w:val="2B1725DE"/>
    <w:rsid w:val="2B1C53C2"/>
    <w:rsid w:val="2B782A2F"/>
    <w:rsid w:val="2B9351A8"/>
    <w:rsid w:val="2BA514F4"/>
    <w:rsid w:val="2BB86A0D"/>
    <w:rsid w:val="2C5B55EB"/>
    <w:rsid w:val="2C7C3EDF"/>
    <w:rsid w:val="2D4B38B1"/>
    <w:rsid w:val="2D7B5F44"/>
    <w:rsid w:val="2DB80F46"/>
    <w:rsid w:val="2E9D638E"/>
    <w:rsid w:val="2ED2428A"/>
    <w:rsid w:val="2EFC79F2"/>
    <w:rsid w:val="2F7F4647"/>
    <w:rsid w:val="2F9A414A"/>
    <w:rsid w:val="2FB614B6"/>
    <w:rsid w:val="2FF947FF"/>
    <w:rsid w:val="304C4E71"/>
    <w:rsid w:val="30625608"/>
    <w:rsid w:val="30B17ECF"/>
    <w:rsid w:val="31400E6A"/>
    <w:rsid w:val="31A713B0"/>
    <w:rsid w:val="32BF68D3"/>
    <w:rsid w:val="33C64DE7"/>
    <w:rsid w:val="348079F5"/>
    <w:rsid w:val="34977F25"/>
    <w:rsid w:val="35143A1A"/>
    <w:rsid w:val="369D517D"/>
    <w:rsid w:val="36A31DF8"/>
    <w:rsid w:val="36B85830"/>
    <w:rsid w:val="374A3780"/>
    <w:rsid w:val="37912350"/>
    <w:rsid w:val="37A23B2A"/>
    <w:rsid w:val="37BD09EA"/>
    <w:rsid w:val="38080D1C"/>
    <w:rsid w:val="384B6868"/>
    <w:rsid w:val="386B24FE"/>
    <w:rsid w:val="38CF53D7"/>
    <w:rsid w:val="393D1DF2"/>
    <w:rsid w:val="395B167F"/>
    <w:rsid w:val="39903B2D"/>
    <w:rsid w:val="39A04EA6"/>
    <w:rsid w:val="3A5B4EC0"/>
    <w:rsid w:val="3A9E4A4E"/>
    <w:rsid w:val="3B470989"/>
    <w:rsid w:val="3BF0541B"/>
    <w:rsid w:val="3BF50000"/>
    <w:rsid w:val="3C371BD0"/>
    <w:rsid w:val="3C4A342B"/>
    <w:rsid w:val="3D71187B"/>
    <w:rsid w:val="3E1D0A2D"/>
    <w:rsid w:val="3E273E13"/>
    <w:rsid w:val="3E597D6C"/>
    <w:rsid w:val="3E6F245B"/>
    <w:rsid w:val="3E775DF1"/>
    <w:rsid w:val="3E862A00"/>
    <w:rsid w:val="3F3724B0"/>
    <w:rsid w:val="3F836EDA"/>
    <w:rsid w:val="3F8B117A"/>
    <w:rsid w:val="404973BD"/>
    <w:rsid w:val="40600F4E"/>
    <w:rsid w:val="406E0785"/>
    <w:rsid w:val="40D62BE7"/>
    <w:rsid w:val="41764F49"/>
    <w:rsid w:val="4212359F"/>
    <w:rsid w:val="4257309D"/>
    <w:rsid w:val="43233340"/>
    <w:rsid w:val="438E11E5"/>
    <w:rsid w:val="43B600AD"/>
    <w:rsid w:val="43B6787E"/>
    <w:rsid w:val="43BD084E"/>
    <w:rsid w:val="43DB0043"/>
    <w:rsid w:val="43E42643"/>
    <w:rsid w:val="44184095"/>
    <w:rsid w:val="44285F9C"/>
    <w:rsid w:val="446C7220"/>
    <w:rsid w:val="44A656B7"/>
    <w:rsid w:val="44C916FB"/>
    <w:rsid w:val="44D0671E"/>
    <w:rsid w:val="450F3213"/>
    <w:rsid w:val="45A02594"/>
    <w:rsid w:val="46230DFA"/>
    <w:rsid w:val="468A14B3"/>
    <w:rsid w:val="472B0B07"/>
    <w:rsid w:val="4734568A"/>
    <w:rsid w:val="479854D6"/>
    <w:rsid w:val="479C6D8B"/>
    <w:rsid w:val="47D05012"/>
    <w:rsid w:val="47F22E4F"/>
    <w:rsid w:val="48052B82"/>
    <w:rsid w:val="487E7EF5"/>
    <w:rsid w:val="48AA3949"/>
    <w:rsid w:val="490162C2"/>
    <w:rsid w:val="490633F6"/>
    <w:rsid w:val="4917597A"/>
    <w:rsid w:val="49A94307"/>
    <w:rsid w:val="49EB5D1F"/>
    <w:rsid w:val="4A3C30D5"/>
    <w:rsid w:val="4A600544"/>
    <w:rsid w:val="4B646B7F"/>
    <w:rsid w:val="4B692A55"/>
    <w:rsid w:val="4BE85488"/>
    <w:rsid w:val="4C143394"/>
    <w:rsid w:val="4C15074C"/>
    <w:rsid w:val="4C397122"/>
    <w:rsid w:val="4CC065F7"/>
    <w:rsid w:val="4CE1479C"/>
    <w:rsid w:val="4D453A21"/>
    <w:rsid w:val="4D77621C"/>
    <w:rsid w:val="4D9F75D5"/>
    <w:rsid w:val="4DA9228F"/>
    <w:rsid w:val="4E0631B0"/>
    <w:rsid w:val="4E4610A1"/>
    <w:rsid w:val="4F11005F"/>
    <w:rsid w:val="4F1E6324"/>
    <w:rsid w:val="4F6D68D9"/>
    <w:rsid w:val="5025119E"/>
    <w:rsid w:val="50423B16"/>
    <w:rsid w:val="50666C7A"/>
    <w:rsid w:val="50741D80"/>
    <w:rsid w:val="510D4E75"/>
    <w:rsid w:val="51356A2E"/>
    <w:rsid w:val="515E305D"/>
    <w:rsid w:val="516A038E"/>
    <w:rsid w:val="519758C5"/>
    <w:rsid w:val="52BF0352"/>
    <w:rsid w:val="52F17409"/>
    <w:rsid w:val="53503DC1"/>
    <w:rsid w:val="538C2DD7"/>
    <w:rsid w:val="5442187D"/>
    <w:rsid w:val="54581B7B"/>
    <w:rsid w:val="550A78EC"/>
    <w:rsid w:val="553D637D"/>
    <w:rsid w:val="553E740F"/>
    <w:rsid w:val="557F5CF3"/>
    <w:rsid w:val="55946257"/>
    <w:rsid w:val="56244555"/>
    <w:rsid w:val="567163F2"/>
    <w:rsid w:val="56F7412D"/>
    <w:rsid w:val="571F1F15"/>
    <w:rsid w:val="572E74D9"/>
    <w:rsid w:val="58967469"/>
    <w:rsid w:val="5983615C"/>
    <w:rsid w:val="59B10C37"/>
    <w:rsid w:val="59B904DA"/>
    <w:rsid w:val="5AE82F62"/>
    <w:rsid w:val="5AF902A9"/>
    <w:rsid w:val="5B765E19"/>
    <w:rsid w:val="5B8E2C3A"/>
    <w:rsid w:val="5BA04C44"/>
    <w:rsid w:val="5BE024AC"/>
    <w:rsid w:val="5C0410D3"/>
    <w:rsid w:val="5D323FC2"/>
    <w:rsid w:val="5D961626"/>
    <w:rsid w:val="5DB00E47"/>
    <w:rsid w:val="5E122B27"/>
    <w:rsid w:val="5E203E1A"/>
    <w:rsid w:val="5EDA71F1"/>
    <w:rsid w:val="5F2E5A88"/>
    <w:rsid w:val="5FBC7B73"/>
    <w:rsid w:val="5FFE000E"/>
    <w:rsid w:val="602F6597"/>
    <w:rsid w:val="60B43F99"/>
    <w:rsid w:val="60D1764E"/>
    <w:rsid w:val="61E37639"/>
    <w:rsid w:val="61E70D16"/>
    <w:rsid w:val="62F95F66"/>
    <w:rsid w:val="630A26C8"/>
    <w:rsid w:val="63572933"/>
    <w:rsid w:val="637B1AF3"/>
    <w:rsid w:val="638E3519"/>
    <w:rsid w:val="63BB2B83"/>
    <w:rsid w:val="63EB6C79"/>
    <w:rsid w:val="646E78FA"/>
    <w:rsid w:val="647B64F1"/>
    <w:rsid w:val="64955489"/>
    <w:rsid w:val="64D70FAB"/>
    <w:rsid w:val="65A01E7E"/>
    <w:rsid w:val="662145D6"/>
    <w:rsid w:val="669727D3"/>
    <w:rsid w:val="669B5C9B"/>
    <w:rsid w:val="66C670E6"/>
    <w:rsid w:val="66DC518B"/>
    <w:rsid w:val="66E16382"/>
    <w:rsid w:val="66FB79F5"/>
    <w:rsid w:val="677117DE"/>
    <w:rsid w:val="679C3017"/>
    <w:rsid w:val="690A7BA1"/>
    <w:rsid w:val="69324EAF"/>
    <w:rsid w:val="695B21AB"/>
    <w:rsid w:val="699302EC"/>
    <w:rsid w:val="69D74D25"/>
    <w:rsid w:val="69F95A68"/>
    <w:rsid w:val="6A692C02"/>
    <w:rsid w:val="6A99680B"/>
    <w:rsid w:val="6BA26D62"/>
    <w:rsid w:val="6BD9476B"/>
    <w:rsid w:val="6BFB1A23"/>
    <w:rsid w:val="6C11621C"/>
    <w:rsid w:val="6C5D71F1"/>
    <w:rsid w:val="6C8B724B"/>
    <w:rsid w:val="6C9A123C"/>
    <w:rsid w:val="6D6A3304"/>
    <w:rsid w:val="6DBA61F5"/>
    <w:rsid w:val="6DC24EEE"/>
    <w:rsid w:val="6DEC3919"/>
    <w:rsid w:val="6E186FE1"/>
    <w:rsid w:val="6E9645E1"/>
    <w:rsid w:val="6EA63EC8"/>
    <w:rsid w:val="6EEE55DC"/>
    <w:rsid w:val="6FA63BE8"/>
    <w:rsid w:val="6FDB4045"/>
    <w:rsid w:val="700C0951"/>
    <w:rsid w:val="703C7D79"/>
    <w:rsid w:val="70720608"/>
    <w:rsid w:val="70871AD7"/>
    <w:rsid w:val="70E367B6"/>
    <w:rsid w:val="70E379E1"/>
    <w:rsid w:val="71102D8C"/>
    <w:rsid w:val="71152CAD"/>
    <w:rsid w:val="715B040C"/>
    <w:rsid w:val="718A129A"/>
    <w:rsid w:val="73591E51"/>
    <w:rsid w:val="735B0FA9"/>
    <w:rsid w:val="73CF2590"/>
    <w:rsid w:val="751034A8"/>
    <w:rsid w:val="75AD1C8E"/>
    <w:rsid w:val="760179A1"/>
    <w:rsid w:val="768E562A"/>
    <w:rsid w:val="76E23F0B"/>
    <w:rsid w:val="76FB4FCD"/>
    <w:rsid w:val="7716239F"/>
    <w:rsid w:val="775007C6"/>
    <w:rsid w:val="77792DBE"/>
    <w:rsid w:val="77A318EC"/>
    <w:rsid w:val="77DE1F89"/>
    <w:rsid w:val="77FA73B0"/>
    <w:rsid w:val="783668A9"/>
    <w:rsid w:val="785C7CED"/>
    <w:rsid w:val="78B43685"/>
    <w:rsid w:val="78BE4504"/>
    <w:rsid w:val="795F1383"/>
    <w:rsid w:val="79AB1F74"/>
    <w:rsid w:val="79DA47E2"/>
    <w:rsid w:val="79E63D12"/>
    <w:rsid w:val="7A0B19CB"/>
    <w:rsid w:val="7A141107"/>
    <w:rsid w:val="7AB826F4"/>
    <w:rsid w:val="7AD16DCD"/>
    <w:rsid w:val="7AEC0AFE"/>
    <w:rsid w:val="7BD36DF3"/>
    <w:rsid w:val="7C083317"/>
    <w:rsid w:val="7C6D0FC6"/>
    <w:rsid w:val="7CAB0B35"/>
    <w:rsid w:val="7CB400F8"/>
    <w:rsid w:val="7D5B16A9"/>
    <w:rsid w:val="7D9D3AA7"/>
    <w:rsid w:val="7E062BD5"/>
    <w:rsid w:val="7E0740D3"/>
    <w:rsid w:val="7E27258E"/>
    <w:rsid w:val="7E6572F9"/>
    <w:rsid w:val="7FAD4506"/>
    <w:rsid w:val="7FD034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23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1">
    <w:name w:val="段"/>
    <w:unhideWhenUsed/>
    <w:qFormat/>
    <w:uiPriority w:val="0"/>
    <w:pPr>
      <w:tabs>
        <w:tab w:val="center" w:pos="4201"/>
        <w:tab w:val="right" w:leader="dot" w:pos="9298"/>
      </w:tabs>
      <w:autoSpaceDE w:val="0"/>
      <w:autoSpaceDN w:val="0"/>
      <w:spacing w:beforeLines="0" w:afterLines="0"/>
      <w:ind w:firstLine="420" w:firstLineChars="200"/>
      <w:jc w:val="both"/>
    </w:pPr>
    <w:rPr>
      <w:rFonts w:hint="eastAsia" w:ascii="宋体" w:hAnsi="Times New Roman" w:eastAsia="宋体" w:cs="Times New Roman"/>
      <w:sz w:val="21"/>
      <w:szCs w:val="24"/>
      <w:lang w:val="en-US" w:eastAsia="zh-CN" w:bidi="ar-SA"/>
    </w:rPr>
  </w:style>
  <w:style w:type="paragraph" w:customStyle="1" w:styleId="232">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3">
    <w:name w:val="二级条标题"/>
    <w:basedOn w:val="230"/>
    <w:next w:val="1"/>
    <w:qFormat/>
    <w:uiPriority w:val="0"/>
    <w:pPr>
      <w:numPr>
        <w:ilvl w:val="2"/>
      </w:numPr>
      <w:spacing w:before="50" w:after="50"/>
      <w:outlineLvl w:val="3"/>
    </w:pPr>
  </w:style>
  <w:style w:type="paragraph" w:customStyle="1" w:styleId="234">
    <w:name w:val="三级条标题"/>
    <w:basedOn w:val="233"/>
    <w:next w:val="1"/>
    <w:qFormat/>
    <w:uiPriority w:val="0"/>
    <w:pPr>
      <w:numPr>
        <w:ilvl w:val="3"/>
      </w:numPr>
      <w:outlineLvl w:val="4"/>
    </w:pPr>
  </w:style>
  <w:style w:type="paragraph" w:customStyle="1" w:styleId="235">
    <w:name w:val="四级条标题"/>
    <w:basedOn w:val="234"/>
    <w:next w:val="1"/>
    <w:qFormat/>
    <w:uiPriority w:val="0"/>
    <w:pPr>
      <w:numPr>
        <w:ilvl w:val="4"/>
      </w:numPr>
      <w:outlineLvl w:val="5"/>
    </w:pPr>
  </w:style>
  <w:style w:type="paragraph" w:customStyle="1" w:styleId="236">
    <w:name w:val="五级条标题"/>
    <w:basedOn w:val="235"/>
    <w:next w:val="1"/>
    <w:qFormat/>
    <w:uiPriority w:val="0"/>
    <w:pPr>
      <w:numPr>
        <w:ilvl w:val="5"/>
      </w:numPr>
      <w:outlineLvl w:val="6"/>
    </w:pPr>
  </w:style>
  <w:style w:type="paragraph" w:customStyle="1" w:styleId="237">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38">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39">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40">
    <w:name w:val="二级无"/>
    <w:basedOn w:val="233"/>
    <w:qFormat/>
    <w:uiPriority w:val="0"/>
    <w:pPr>
      <w:numPr>
        <w:numId w:val="24"/>
      </w:numPr>
      <w:tabs>
        <w:tab w:val="left" w:pos="1963"/>
      </w:tabs>
      <w:spacing w:beforeLines="0" w:afterLines="0"/>
    </w:pPr>
    <w:rPr>
      <w:rFonts w:ascii="宋体" w:eastAsia="宋体"/>
    </w:rPr>
  </w:style>
  <w:style w:type="paragraph" w:customStyle="1" w:styleId="241">
    <w:name w:val="三级无"/>
    <w:basedOn w:val="234"/>
    <w:qFormat/>
    <w:uiPriority w:val="0"/>
    <w:pPr>
      <w:numPr>
        <w:numId w:val="24"/>
      </w:numPr>
      <w:tabs>
        <w:tab w:val="left" w:pos="2383"/>
      </w:tabs>
      <w:spacing w:beforeLines="0" w:afterLines="0"/>
    </w:pPr>
    <w:rPr>
      <w:rFonts w:ascii="宋体" w:eastAsia="宋体"/>
    </w:rPr>
  </w:style>
  <w:style w:type="table" w:customStyle="1" w:styleId="242">
    <w:name w:val="Table Normal"/>
    <w:semiHidden/>
    <w:unhideWhenUsed/>
    <w:qFormat/>
    <w:uiPriority w:val="0"/>
    <w:tblPr>
      <w:tblCellMar>
        <w:top w:w="0" w:type="dxa"/>
        <w:left w:w="0" w:type="dxa"/>
        <w:bottom w:w="0" w:type="dxa"/>
        <w:right w:w="0" w:type="dxa"/>
      </w:tblCellMar>
    </w:tblPr>
  </w:style>
  <w:style w:type="paragraph" w:customStyle="1" w:styleId="243">
    <w:name w:val="Table Text"/>
    <w:basedOn w:val="1"/>
    <w:semiHidden/>
    <w:qFormat/>
    <w:uiPriority w:val="0"/>
    <w:rPr>
      <w:rFonts w:ascii="宋体" w:hAnsi="宋体" w:cs="宋体"/>
      <w:sz w:val="20"/>
      <w:szCs w:val="20"/>
      <w:lang w:eastAsia="en-US"/>
    </w:rPr>
  </w:style>
  <w:style w:type="paragraph" w:customStyle="1" w:styleId="244">
    <w:name w:val="正文表标题"/>
    <w:next w:val="231"/>
    <w:unhideWhenUsed/>
    <w:qFormat/>
    <w:uiPriority w:val="0"/>
    <w:pPr>
      <w:numPr>
        <w:ilvl w:val="0"/>
        <w:numId w:val="16"/>
      </w:numPr>
      <w:tabs>
        <w:tab w:val="left" w:pos="360"/>
      </w:tabs>
      <w:spacing w:before="156" w:beforeLines="50" w:after="156" w:afterLines="50"/>
      <w:jc w:val="center"/>
    </w:pPr>
    <w:rPr>
      <w:rFonts w:hint="eastAsia" w:ascii="黑体" w:hAnsi="Times New Roman" w:eastAsia="黑体" w:cs="Times New Roman"/>
      <w:sz w:val="21"/>
      <w:szCs w:val="24"/>
      <w:lang w:val="en-US" w:eastAsia="zh-CN" w:bidi="ar-SA"/>
    </w:rPr>
  </w:style>
  <w:style w:type="paragraph" w:customStyle="1" w:styleId="245">
    <w:name w:val="一级无"/>
    <w:basedOn w:val="230"/>
    <w:unhideWhenUsed/>
    <w:qFormat/>
    <w:uiPriority w:val="0"/>
    <w:pPr>
      <w:spacing w:before="0" w:beforeLines="0" w:after="0" w:afterLines="0"/>
    </w:pPr>
    <w:rPr>
      <w:rFonts w:hint="eastAsia" w:ascii="宋体" w:eastAsia="宋体"/>
      <w:sz w:val="21"/>
      <w:szCs w:val="24"/>
    </w:rPr>
  </w:style>
  <w:style w:type="paragraph" w:customStyle="1" w:styleId="246">
    <w:name w:val="标准书脚_奇数页"/>
    <w:unhideWhenUsed/>
    <w:uiPriority w:val="0"/>
    <w:pPr>
      <w:spacing w:before="120" w:beforeLines="0" w:afterLines="0"/>
      <w:ind w:right="198"/>
      <w:jc w:val="right"/>
    </w:pPr>
    <w:rPr>
      <w:rFonts w:hint="eastAsia" w:ascii="宋体" w:hAnsi="Times New Roman" w:eastAsia="宋体" w:cs="Times New Roman"/>
      <w:sz w:val="18"/>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CBB82E11D3E4A229CC18D84EEA8964C"/>
        <w:style w:val=""/>
        <w:category>
          <w:name w:val="常规"/>
          <w:gallery w:val="placeholder"/>
        </w:category>
        <w:types>
          <w:type w:val="bbPlcHdr"/>
        </w:types>
        <w:behaviors>
          <w:behavior w:val="content"/>
        </w:behaviors>
        <w:description w:val=""/>
        <w:guid w:val="{2595F6B8-8573-4B14-9BE4-3D52BD0B9DA4}"/>
      </w:docPartPr>
      <w:docPartBody>
        <w:p w14:paraId="0B7EE976">
          <w:pPr>
            <w:pStyle w:val="5"/>
          </w:pPr>
          <w:r>
            <w:rPr>
              <w:rStyle w:val="4"/>
              <w:rFonts w:hint="eastAsia"/>
            </w:rPr>
            <w:t>单击或点击此处输入文字。</w:t>
          </w:r>
        </w:p>
      </w:docPartBody>
    </w:docPart>
    <w:docPart>
      <w:docPartPr>
        <w:name w:val="{37c1d82b-6a44-4ef3-a618-e29bfdc4954b}"/>
        <w:style w:val=""/>
        <w:category>
          <w:name w:val="常规"/>
          <w:gallery w:val="placeholder"/>
        </w:category>
        <w:types>
          <w:type w:val="bbPlcHdr"/>
        </w:types>
        <w:behaviors>
          <w:behavior w:val="content"/>
        </w:behaviors>
        <w:description w:val=""/>
        <w:guid w:val="{37c1d82b-6a44-4ef3-a618-e29bfdc4954b}"/>
      </w:docPartPr>
      <w:docPartBody>
        <w:p w14:paraId="7F2191CE">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2639"/>
    <w:rsid w:val="00042639"/>
    <w:rsid w:val="00192EA6"/>
    <w:rsid w:val="002F3A02"/>
    <w:rsid w:val="0032576F"/>
    <w:rsid w:val="003526D2"/>
    <w:rsid w:val="003622CF"/>
    <w:rsid w:val="00464531"/>
    <w:rsid w:val="00514C9B"/>
    <w:rsid w:val="006175BD"/>
    <w:rsid w:val="007171F1"/>
    <w:rsid w:val="008278AF"/>
    <w:rsid w:val="00897659"/>
    <w:rsid w:val="008C47D1"/>
    <w:rsid w:val="00B96F45"/>
    <w:rsid w:val="00E94627"/>
    <w:rsid w:val="00EA22E6"/>
    <w:rsid w:val="00EA358A"/>
    <w:rsid w:val="00F23D0F"/>
    <w:rsid w:val="00F403F3"/>
    <w:rsid w:val="00FA5E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CBB82E11D3E4A229CC18D84EEA896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1B173F8D4064393B4F1A15D5A4C72E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A487386193643218EDBEF749E7429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E10B4D7A0304DBD89F17BA726D2DC0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3715F-064F-4569-83F8-EEC3415CDE6D}">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14</Pages>
  <Words>10560</Words>
  <Characters>11249</Characters>
  <Lines>1</Lines>
  <Paragraphs>1</Paragraphs>
  <TotalTime>0</TotalTime>
  <ScaleCrop>false</ScaleCrop>
  <LinksUpToDate>false</LinksUpToDate>
  <CharactersWithSpaces>11270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2020-11-10T08:29:00Z</dcterms:created>
  <dc:creator>Pc</dc:creator>
  <dc:description>&lt;config cover="true" show_menu="true" version="1.0.0" doctype="SDKXY"&gt;_x000d_
&lt;/config&gt;</dc:description>
  <cp:lastModifiedBy>王树炜</cp:lastModifiedBy>
  <cp:lastPrinted>2023-01-09T04:27:00Z</cp:lastPrinted>
  <dcterms:modified xsi:type="dcterms:W3CDTF">2024-08-06T09:40:10Z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FF039AA0878449B0B3B9C35EE0C67CD5_13</vt:lpwstr>
  </property>
</Properties>
</file>