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pPr>
    </w:p>
    <w:p>
      <w:pPr>
        <w:spacing w:line="360" w:lineRule="auto"/>
        <w:jc w:val="center"/>
        <w:rPr>
          <w:rFonts w:ascii="华文中宋" w:hAnsi="华文中宋" w:eastAsia="华文中宋"/>
          <w:color w:val="000000"/>
          <w:sz w:val="36"/>
          <w:szCs w:val="36"/>
        </w:rPr>
      </w:pPr>
      <w:r>
        <w:rPr>
          <w:rFonts w:hint="eastAsia" w:ascii="华文中宋" w:hAnsi="华文中宋" w:eastAsia="华文中宋"/>
          <w:color w:val="000000"/>
          <w:sz w:val="36"/>
          <w:szCs w:val="36"/>
        </w:rPr>
        <w:t>安徽省地方标准编制说明</w:t>
      </w:r>
    </w:p>
    <w:tbl>
      <w:tblPr>
        <w:tblStyle w:val="7"/>
        <w:tblW w:w="9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00"/>
        <w:gridCol w:w="379"/>
        <w:gridCol w:w="2984"/>
        <w:gridCol w:w="1650"/>
        <w:gridCol w:w="1134"/>
        <w:gridCol w:w="1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140" w:type="dxa"/>
            <w:gridSpan w:val="3"/>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line="360" w:lineRule="auto"/>
              <w:ind w:left="420" w:right="0" w:firstLine="0" w:firstLineChars="0"/>
              <w:rPr>
                <w:rFonts w:hint="default" w:hAnsi="宋体" w:cs="Times New Roman"/>
                <w:color w:val="000000"/>
                <w:sz w:val="24"/>
                <w:szCs w:val="24"/>
              </w:rPr>
            </w:pPr>
            <w:r>
              <w:rPr>
                <w:rFonts w:hint="eastAsia" w:hAnsi="宋体" w:cs="Times New Roman"/>
                <w:color w:val="000000"/>
                <w:sz w:val="24"/>
                <w:szCs w:val="24"/>
              </w:rPr>
              <w:t>标准名称</w:t>
            </w:r>
          </w:p>
        </w:tc>
        <w:tc>
          <w:tcPr>
            <w:tcW w:w="752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宋体" w:hAnsi="宋体" w:cs="Times New Roman"/>
                <w:color w:val="000000"/>
                <w:sz w:val="24"/>
              </w:rPr>
            </w:pPr>
            <w:r>
              <w:rPr>
                <w:rFonts w:hint="eastAsia" w:ascii="宋体" w:hAnsi="宋体" w:eastAsia="宋体" w:cs="Calibri"/>
                <w:color w:val="000000"/>
                <w:kern w:val="0"/>
                <w:sz w:val="24"/>
                <w:szCs w:val="24"/>
                <w:lang w:val="en-US" w:eastAsia="zh-CN" w:bidi="ar-SA"/>
              </w:rPr>
              <w:t>安徽省高速公路服务区服务规范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2140" w:type="dxa"/>
            <w:gridSpan w:val="3"/>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line="360" w:lineRule="auto"/>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任务来源（项目计划号）</w:t>
            </w:r>
          </w:p>
        </w:tc>
        <w:tc>
          <w:tcPr>
            <w:tcW w:w="7521" w:type="dxa"/>
            <w:gridSpan w:val="4"/>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line="360" w:lineRule="auto"/>
              <w:ind w:left="-1" w:leftChars="-8" w:right="0" w:hanging="16" w:hangingChars="7"/>
              <w:rPr>
                <w:rFonts w:hint="default" w:hAnsi="宋体" w:cs="Times New Roman"/>
                <w:color w:val="000000"/>
                <w:sz w:val="24"/>
                <w:szCs w:val="24"/>
              </w:rPr>
            </w:pPr>
            <w:r>
              <w:rPr>
                <w:rFonts w:hint="eastAsia" w:hAnsi="宋体" w:cs="Times New Roman"/>
                <w:color w:val="000000"/>
                <w:sz w:val="24"/>
                <w:szCs w:val="24"/>
                <w:lang w:val="en-US" w:eastAsia="zh-CN"/>
              </w:rPr>
              <w:t>安徽省市场监督管理局关于下达2023年第一批安徽省地方标准制修订计划的通知（皖市监函〔2023〕414号）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2140" w:type="dxa"/>
            <w:gridSpan w:val="3"/>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adjustRightInd w:val="0"/>
              <w:spacing w:before="0" w:beforeAutospacing="0" w:after="0" w:afterAutospacing="0" w:line="360" w:lineRule="auto"/>
              <w:ind w:left="0" w:right="0" w:firstLine="0" w:firstLineChars="0"/>
              <w:contextualSpacing/>
              <w:jc w:val="center"/>
              <w:rPr>
                <w:rFonts w:hint="default" w:hAnsi="宋体" w:cs="Times New Roman"/>
                <w:szCs w:val="21"/>
              </w:rPr>
            </w:pPr>
            <w:r>
              <w:rPr>
                <w:rFonts w:hint="eastAsia" w:hAnsi="宋体" w:cs="Times New Roman"/>
                <w:szCs w:val="21"/>
              </w:rPr>
              <w:t>第一起草单位</w:t>
            </w:r>
          </w:p>
          <w:p>
            <w:pPr>
              <w:pStyle w:val="17"/>
              <w:keepNext w:val="0"/>
              <w:keepLines w:val="0"/>
              <w:widowControl/>
              <w:suppressLineNumbers w:val="0"/>
              <w:spacing w:before="0" w:beforeAutospacing="0" w:after="0" w:afterAutospacing="0" w:line="360" w:lineRule="auto"/>
              <w:ind w:left="420" w:right="0" w:firstLine="0" w:firstLineChars="0"/>
              <w:rPr>
                <w:rFonts w:hint="default" w:hAnsi="宋体" w:cs="Times New Roman"/>
                <w:color w:val="000000"/>
                <w:sz w:val="24"/>
                <w:szCs w:val="24"/>
              </w:rPr>
            </w:pPr>
            <w:r>
              <w:rPr>
                <w:rFonts w:hint="eastAsia" w:hAnsi="宋体" w:cs="Times New Roman"/>
                <w:szCs w:val="21"/>
              </w:rPr>
              <w:t>（盖章）</w:t>
            </w:r>
          </w:p>
        </w:tc>
        <w:tc>
          <w:tcPr>
            <w:tcW w:w="7521" w:type="dxa"/>
            <w:gridSpan w:val="4"/>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10" w:right="0" w:firstLine="9" w:firstLineChars="4"/>
              <w:rPr>
                <w:rFonts w:hint="default" w:hAnsi="宋体" w:cs="Times New Roman"/>
                <w:sz w:val="24"/>
                <w:szCs w:val="24"/>
              </w:rPr>
            </w:pPr>
            <w:r>
              <w:rPr>
                <w:rFonts w:hint="eastAsia" w:hAnsi="宋体" w:cs="Times New Roman"/>
                <w:sz w:val="24"/>
                <w:szCs w:val="24"/>
              </w:rPr>
              <w:t>安徽省交通运输综合执法监督局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2140" w:type="dxa"/>
            <w:gridSpan w:val="3"/>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line="360" w:lineRule="auto"/>
              <w:ind w:left="420" w:right="0" w:firstLine="0" w:firstLineChars="0"/>
              <w:rPr>
                <w:rFonts w:hint="default" w:hAnsi="宋体" w:cs="Times New Roman"/>
                <w:color w:val="000000"/>
                <w:sz w:val="24"/>
                <w:szCs w:val="24"/>
              </w:rPr>
            </w:pPr>
            <w:r>
              <w:rPr>
                <w:rFonts w:hint="eastAsia" w:hAnsi="宋体" w:cs="Times New Roman"/>
                <w:color w:val="000000"/>
                <w:sz w:val="24"/>
                <w:szCs w:val="24"/>
              </w:rPr>
              <w:t>单位地址</w:t>
            </w:r>
          </w:p>
        </w:tc>
        <w:tc>
          <w:tcPr>
            <w:tcW w:w="7521" w:type="dxa"/>
            <w:gridSpan w:val="4"/>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10" w:right="0" w:firstLine="9" w:firstLineChars="4"/>
              <w:rPr>
                <w:rFonts w:hint="default" w:hAnsi="宋体" w:eastAsia="宋体" w:cs="Times New Roman"/>
                <w:sz w:val="24"/>
                <w:szCs w:val="24"/>
                <w:lang w:val="en-US" w:eastAsia="zh-CN"/>
              </w:rPr>
            </w:pPr>
            <w:r>
              <w:rPr>
                <w:rFonts w:hint="eastAsia" w:hAnsi="宋体" w:cs="Times New Roman"/>
                <w:sz w:val="24"/>
                <w:szCs w:val="24"/>
              </w:rPr>
              <w:t>安徽省合肥市包河区</w:t>
            </w:r>
            <w:r>
              <w:rPr>
                <w:rFonts w:hint="eastAsia" w:hAnsi="宋体" w:cs="Times New Roman"/>
                <w:sz w:val="24"/>
                <w:szCs w:val="24"/>
                <w:lang w:eastAsia="zh-CN"/>
              </w:rPr>
              <w:t>太平湖路</w:t>
            </w:r>
            <w:r>
              <w:rPr>
                <w:rFonts w:hint="eastAsia" w:hAnsi="宋体" w:cs="Times New Roman"/>
                <w:sz w:val="24"/>
                <w:szCs w:val="24"/>
                <w:lang w:val="en-US" w:eastAsia="zh-CN"/>
              </w:rPr>
              <w:t>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2140" w:type="dxa"/>
            <w:gridSpan w:val="3"/>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line="360" w:lineRule="auto"/>
              <w:ind w:left="420" w:right="0" w:firstLine="0" w:firstLineChars="0"/>
              <w:rPr>
                <w:rFonts w:hint="default" w:hAnsi="宋体" w:cs="Times New Roman"/>
                <w:color w:val="000000"/>
                <w:sz w:val="24"/>
                <w:szCs w:val="24"/>
              </w:rPr>
            </w:pPr>
            <w:r>
              <w:rPr>
                <w:rFonts w:hint="eastAsia" w:hAnsi="宋体" w:cs="Times New Roman"/>
                <w:color w:val="000000"/>
                <w:sz w:val="24"/>
                <w:szCs w:val="24"/>
              </w:rPr>
              <w:t>参与起草单位</w:t>
            </w:r>
          </w:p>
        </w:tc>
        <w:tc>
          <w:tcPr>
            <w:tcW w:w="752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Times New Roman"/>
                <w:sz w:val="24"/>
                <w:lang w:val="en-US" w:eastAsia="zh-CN"/>
              </w:rPr>
            </w:pPr>
            <w:r>
              <w:rPr>
                <w:rFonts w:hint="eastAsia" w:ascii="宋体" w:hAnsi="宋体" w:eastAsia="宋体" w:cs="Times New Roman"/>
                <w:sz w:val="24"/>
                <w:lang w:val="en-US" w:eastAsia="zh-CN"/>
              </w:rPr>
              <w:t>安徽省道路运输管理服务中心、合肥大学、安徽省驿达高速公路服务区经营管理有限公司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firstLine="480" w:firstLineChars="200"/>
              <w:jc w:val="center"/>
              <w:rPr>
                <w:rFonts w:hint="default" w:ascii="宋体" w:hAnsi="宋体" w:cs="Times New Roman"/>
                <w:color w:val="000000"/>
                <w:sz w:val="24"/>
              </w:rPr>
            </w:pPr>
            <w:r>
              <w:rPr>
                <w:rFonts w:hint="eastAsia" w:ascii="宋体" w:hAnsi="宋体" w:cs="Times New Roman"/>
                <w:color w:val="000000"/>
                <w:sz w:val="24"/>
              </w:rPr>
              <w:t>标准起草人（全部起草人）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序号</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姓名</w:t>
            </w: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单位</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职务</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职称</w:t>
            </w: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1</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r>
              <w:rPr>
                <w:rFonts w:hint="eastAsia" w:hAnsi="宋体" w:cs="Times New Roman"/>
                <w:color w:val="000000"/>
                <w:sz w:val="24"/>
                <w:szCs w:val="24"/>
              </w:rPr>
              <w:t>2</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0"/>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3</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4</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5</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6</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7</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8</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9</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10</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11</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12</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r>
              <w:rPr>
                <w:rFonts w:hint="eastAsia" w:hAnsi="宋体" w:cs="Times New Roman"/>
                <w:color w:val="000000"/>
                <w:sz w:val="24"/>
                <w:szCs w:val="24"/>
              </w:rPr>
              <w:t>13</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eastAsia="宋体" w:cs="Times New Roman"/>
                <w:color w:val="000000"/>
                <w:sz w:val="24"/>
                <w:szCs w:val="24"/>
                <w:lang w:val="en-US" w:eastAsia="zh-CN"/>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r>
              <w:rPr>
                <w:rFonts w:hint="eastAsia" w:hAnsi="宋体" w:cs="Times New Roman"/>
                <w:color w:val="000000"/>
                <w:sz w:val="24"/>
                <w:szCs w:val="24"/>
              </w:rPr>
              <w:t>14</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eastAsia="宋体" w:cs="Times New Roman"/>
                <w:color w:val="000000"/>
                <w:sz w:val="24"/>
                <w:szCs w:val="24"/>
                <w:lang w:val="en-US" w:eastAsia="zh-CN"/>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r>
              <w:rPr>
                <w:rFonts w:hint="eastAsia" w:hAnsi="宋体" w:cs="Times New Roman"/>
                <w:color w:val="000000"/>
                <w:sz w:val="24"/>
                <w:szCs w:val="24"/>
              </w:rPr>
              <w:t>1</w:t>
            </w:r>
            <w:r>
              <w:rPr>
                <w:rFonts w:hint="default" w:hAnsi="宋体" w:cs="Times New Roman"/>
                <w:color w:val="000000"/>
                <w:sz w:val="24"/>
                <w:szCs w:val="24"/>
              </w:rPr>
              <w:t>5</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eastAsia="宋体" w:cs="Times New Roman"/>
                <w:color w:val="000000"/>
                <w:sz w:val="24"/>
                <w:szCs w:val="24"/>
                <w:lang w:val="en-US" w:eastAsia="zh-CN"/>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r>
              <w:rPr>
                <w:rFonts w:hint="eastAsia" w:hAnsi="宋体" w:cs="Times New Roman"/>
                <w:color w:val="000000"/>
                <w:sz w:val="24"/>
                <w:szCs w:val="24"/>
              </w:rPr>
              <w:t>1</w:t>
            </w:r>
            <w:r>
              <w:rPr>
                <w:rFonts w:hint="default" w:hAnsi="宋体" w:cs="Times New Roman"/>
                <w:color w:val="000000"/>
                <w:sz w:val="24"/>
                <w:szCs w:val="24"/>
              </w:rPr>
              <w:t>6</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eastAsia="宋体" w:cs="Times New Roman"/>
                <w:color w:val="000000"/>
                <w:sz w:val="24"/>
                <w:szCs w:val="24"/>
                <w:lang w:val="en-US" w:eastAsia="zh-CN"/>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ascii="宋体" w:hAnsi="宋体" w:cs="Times New Roman"/>
                <w:color w:val="000000"/>
                <w:sz w:val="24"/>
                <w:szCs w:val="24"/>
                <w:lang w:val="en-US" w:eastAsia="zh-CN" w:bidi="ar-SA"/>
              </w:rPr>
            </w:pPr>
            <w:r>
              <w:rPr>
                <w:rFonts w:hint="default" w:hAnsi="宋体" w:cs="Times New Roman"/>
                <w:color w:val="000000"/>
                <w:sz w:val="24"/>
                <w:szCs w:val="24"/>
              </w:rPr>
              <w:t>17</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ascii="宋体" w:hAnsi="宋体" w:eastAsia="宋体" w:cs="Times New Roman"/>
                <w:color w:val="000000"/>
                <w:sz w:val="24"/>
                <w:szCs w:val="24"/>
                <w:lang w:val="en-US" w:eastAsia="zh-CN" w:bidi="ar-SA"/>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Times New Roman" w:hAnsi="宋体" w:cs="Times New Roman"/>
                <w:color w:val="000000"/>
                <w:kern w:val="2"/>
                <w:sz w:val="24"/>
                <w:szCs w:val="24"/>
                <w:lang w:val="en-US" w:eastAsia="zh-CN" w:bidi="ar-SA"/>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ascii="宋体" w:hAnsi="宋体" w:cs="Times New Roman"/>
                <w:color w:val="000000"/>
                <w:sz w:val="24"/>
                <w:szCs w:val="24"/>
                <w:lang w:val="en-US"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ascii="宋体" w:hAnsi="宋体" w:cs="Times New Roman"/>
                <w:color w:val="000000"/>
                <w:sz w:val="24"/>
                <w:szCs w:val="24"/>
                <w:lang w:val="en-US" w:eastAsia="zh-CN" w:bidi="ar-SA"/>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ascii="宋体" w:hAnsi="宋体" w:cs="Times New Roman"/>
                <w:color w:val="00000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ascii="宋体" w:hAnsi="宋体" w:eastAsia="宋体" w:cs="Times New Roman"/>
                <w:color w:val="000000"/>
                <w:sz w:val="24"/>
                <w:szCs w:val="24"/>
                <w:lang w:val="en-US" w:eastAsia="zh-CN" w:bidi="ar-SA"/>
              </w:rPr>
            </w:pPr>
            <w:r>
              <w:rPr>
                <w:rFonts w:hint="default" w:hAnsi="宋体" w:cs="Times New Roman"/>
                <w:color w:val="000000"/>
                <w:sz w:val="24"/>
                <w:szCs w:val="24"/>
              </w:rPr>
              <w:t>1</w:t>
            </w:r>
            <w:r>
              <w:rPr>
                <w:rFonts w:hint="eastAsia" w:hAnsi="宋体" w:cs="Times New Roman"/>
                <w:color w:val="000000"/>
                <w:sz w:val="24"/>
                <w:szCs w:val="24"/>
                <w:lang w:val="en-US" w:eastAsia="zh-CN"/>
              </w:rPr>
              <w:t>8</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ascii="宋体" w:hAnsi="宋体" w:cs="Times New Roman"/>
                <w:color w:val="000000"/>
                <w:sz w:val="24"/>
                <w:szCs w:val="24"/>
                <w:lang w:val="en-US" w:eastAsia="zh-CN" w:bidi="ar-SA"/>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Times New Roman" w:hAnsi="宋体" w:cs="Times New Roman"/>
                <w:color w:val="000000"/>
                <w:kern w:val="2"/>
                <w:sz w:val="24"/>
                <w:szCs w:val="24"/>
                <w:lang w:val="en-US" w:eastAsia="zh-CN" w:bidi="ar-SA"/>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ascii="宋体" w:hAnsi="宋体" w:cs="Times New Roman"/>
                <w:color w:val="000000"/>
                <w:sz w:val="24"/>
                <w:szCs w:val="24"/>
                <w:lang w:val="en-US"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ascii="宋体" w:hAnsi="宋体" w:cs="Times New Roman"/>
                <w:color w:val="000000"/>
                <w:sz w:val="24"/>
                <w:szCs w:val="24"/>
                <w:lang w:val="en-US" w:eastAsia="zh-CN" w:bidi="ar-SA"/>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eastAsia" w:ascii="宋体" w:hAnsi="宋体" w:cs="Times New Roman"/>
                <w:color w:val="00000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1"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eastAsia="宋体" w:cs="Times New Roman"/>
                <w:color w:val="000000"/>
                <w:sz w:val="24"/>
                <w:szCs w:val="24"/>
                <w:lang w:val="en-US" w:eastAsia="zh-CN"/>
              </w:rPr>
            </w:pPr>
            <w:r>
              <w:rPr>
                <w:rFonts w:hint="eastAsia" w:hAnsi="宋体" w:cs="Times New Roman"/>
                <w:color w:val="000000"/>
                <w:sz w:val="24"/>
                <w:szCs w:val="24"/>
                <w:lang w:val="en-US" w:eastAsia="zh-CN"/>
              </w:rPr>
              <w:t>19</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eastAsia="宋体" w:cs="Times New Roman"/>
                <w:color w:val="000000"/>
                <w:sz w:val="24"/>
                <w:szCs w:val="24"/>
                <w:lang w:val="en-US" w:eastAsia="zh-CN"/>
              </w:rPr>
            </w:pPr>
          </w:p>
        </w:tc>
        <w:tc>
          <w:tcPr>
            <w:tcW w:w="33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Times New Roman"/>
                <w:color w:val="000000"/>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c>
          <w:tcPr>
            <w:tcW w:w="1753" w:type="dxa"/>
            <w:tcBorders>
              <w:top w:val="single" w:color="auto" w:sz="4" w:space="0"/>
              <w:left w:val="single" w:color="auto" w:sz="4" w:space="0"/>
              <w:bottom w:val="single" w:color="auto" w:sz="4" w:space="0"/>
              <w:right w:val="single" w:color="auto" w:sz="4" w:space="0"/>
            </w:tcBorders>
            <w:noWrap w:val="0"/>
            <w:vAlign w:val="center"/>
          </w:tcPr>
          <w:p>
            <w:pPr>
              <w:pStyle w:val="17"/>
              <w:keepNext w:val="0"/>
              <w:keepLines w:val="0"/>
              <w:widowControl/>
              <w:suppressLineNumbers w:val="0"/>
              <w:spacing w:before="0" w:beforeAutospacing="0" w:after="0" w:afterAutospacing="0"/>
              <w:ind w:left="0" w:right="0" w:firstLine="0" w:firstLineChars="0"/>
              <w:jc w:val="center"/>
              <w:rPr>
                <w:rFonts w:hint="default" w:hAnsi="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420" w:right="0" w:firstLine="0" w:firstLineChars="0"/>
              <w:jc w:val="center"/>
              <w:rPr>
                <w:rFonts w:hint="default" w:hAnsi="宋体" w:cs="Times New Roman"/>
                <w:color w:val="000000"/>
                <w:sz w:val="24"/>
                <w:szCs w:val="24"/>
              </w:rPr>
            </w:pPr>
            <w:r>
              <w:rPr>
                <w:rFonts w:hint="eastAsia" w:hAnsi="宋体" w:cs="Times New Roman"/>
                <w:color w:val="000000"/>
                <w:sz w:val="24"/>
                <w:szCs w:val="24"/>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0" w:right="0" w:firstLine="0" w:firstLineChars="0"/>
              <w:rPr>
                <w:rFonts w:hint="default" w:hAnsi="宋体" w:cs="Times New Roman"/>
                <w:color w:val="000000"/>
                <w:sz w:val="24"/>
                <w:szCs w:val="24"/>
              </w:rPr>
            </w:pPr>
            <w:r>
              <w:rPr>
                <w:rFonts w:hint="eastAsia" w:hAnsi="宋体" w:cs="Times New Roman"/>
                <w:color w:val="000000"/>
                <w:sz w:val="24"/>
                <w:szCs w:val="24"/>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000000"/>
                <w:sz w:val="24"/>
                <w:szCs w:val="24"/>
              </w:rPr>
            </w:pPr>
            <w:r>
              <w:rPr>
                <w:rFonts w:hint="eastAsia" w:ascii="宋体" w:hAnsi="宋体" w:cs="宋体"/>
                <w:color w:val="000000"/>
                <w:sz w:val="24"/>
                <w:szCs w:val="24"/>
              </w:rPr>
              <w:t>（1）成立标准编制小组</w:t>
            </w:r>
          </w:p>
          <w:p>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根据《</w:t>
            </w:r>
            <w:r>
              <w:rPr>
                <w:rFonts w:hint="eastAsia" w:ascii="宋体" w:hAnsi="宋体" w:cs="宋体"/>
                <w:color w:val="000000"/>
                <w:sz w:val="24"/>
                <w:szCs w:val="24"/>
                <w:lang w:eastAsia="zh-CN"/>
              </w:rPr>
              <w:t>安徽省市场监督管理局关于下达2023年第一批安徽省地方标准制修订计划的通知</w:t>
            </w:r>
            <w:r>
              <w:rPr>
                <w:rFonts w:hint="eastAsia" w:ascii="宋体" w:hAnsi="宋体" w:cs="宋体"/>
                <w:color w:val="000000"/>
                <w:sz w:val="24"/>
                <w:szCs w:val="24"/>
                <w:lang w:val="en-US" w:eastAsia="zh-CN"/>
              </w:rPr>
              <w:t>》</w:t>
            </w:r>
            <w:r>
              <w:rPr>
                <w:rFonts w:hint="eastAsia" w:ascii="宋体" w:hAnsi="宋体" w:cs="宋体"/>
                <w:color w:val="000000"/>
                <w:sz w:val="24"/>
                <w:szCs w:val="24"/>
                <w:lang w:eastAsia="zh-CN"/>
              </w:rPr>
              <w:t>（皖市监函〔2023〕414号），</w:t>
            </w:r>
            <w:r>
              <w:rPr>
                <w:rFonts w:hint="eastAsia" w:ascii="宋体" w:hAnsi="宋体" w:cs="宋体"/>
                <w:color w:val="000000"/>
                <w:sz w:val="24"/>
                <w:szCs w:val="24"/>
              </w:rPr>
              <w:t>202</w:t>
            </w:r>
            <w:r>
              <w:rPr>
                <w:rFonts w:hint="eastAsia" w:ascii="宋体" w:hAnsi="宋体" w:cs="宋体"/>
                <w:color w:val="000000"/>
                <w:sz w:val="24"/>
                <w:szCs w:val="24"/>
                <w:lang w:val="en-US" w:eastAsia="zh-CN"/>
              </w:rPr>
              <w:t>3</w:t>
            </w:r>
            <w:r>
              <w:rPr>
                <w:rFonts w:hint="eastAsia" w:ascii="宋体" w:hAnsi="宋体" w:cs="宋体"/>
                <w:color w:val="000000"/>
                <w:sz w:val="24"/>
                <w:szCs w:val="24"/>
              </w:rPr>
              <w:t>年</w:t>
            </w:r>
            <w:r>
              <w:rPr>
                <w:rFonts w:hint="eastAsia" w:ascii="宋体" w:hAnsi="宋体" w:cs="宋体"/>
                <w:color w:val="000000"/>
                <w:sz w:val="24"/>
                <w:szCs w:val="24"/>
                <w:lang w:val="en-US" w:eastAsia="zh-CN"/>
              </w:rPr>
              <w:t>9</w:t>
            </w:r>
            <w:r>
              <w:rPr>
                <w:rFonts w:hint="eastAsia" w:ascii="宋体" w:hAnsi="宋体" w:cs="宋体"/>
                <w:color w:val="000000"/>
                <w:sz w:val="24"/>
                <w:szCs w:val="24"/>
              </w:rPr>
              <w:t>月，</w:t>
            </w:r>
            <w:r>
              <w:rPr>
                <w:rFonts w:hint="eastAsia" w:ascii="宋体" w:hAnsi="宋体" w:cs="宋体"/>
                <w:color w:val="000000"/>
                <w:sz w:val="24"/>
                <w:szCs w:val="24"/>
                <w:lang w:val="en-US" w:eastAsia="zh-CN"/>
              </w:rPr>
              <w:t>由</w:t>
            </w:r>
            <w:r>
              <w:rPr>
                <w:rFonts w:hint="eastAsia" w:hAnsi="宋体" w:cs="Times New Roman"/>
                <w:sz w:val="24"/>
                <w:szCs w:val="24"/>
              </w:rPr>
              <w:t>安徽省交通运输综合执法监督局</w:t>
            </w:r>
            <w:r>
              <w:rPr>
                <w:rFonts w:hint="eastAsia" w:ascii="宋体" w:hAnsi="宋体" w:cs="宋体"/>
                <w:color w:val="000000"/>
                <w:sz w:val="24"/>
                <w:szCs w:val="24"/>
                <w:lang w:val="en-US" w:eastAsia="zh-CN"/>
              </w:rPr>
              <w:t>承担主持起草</w:t>
            </w:r>
            <w:r>
              <w:rPr>
                <w:rFonts w:hint="eastAsia" w:ascii="宋体" w:hAnsi="宋体" w:cs="宋体"/>
                <w:color w:val="000000"/>
                <w:sz w:val="24"/>
                <w:szCs w:val="24"/>
              </w:rPr>
              <w:t>安徽省地方标准《安徽省高速公路服务区服务规范》（DB34/T1038—2009）</w:t>
            </w:r>
            <w:r>
              <w:rPr>
                <w:rFonts w:hint="eastAsia" w:ascii="宋体" w:hAnsi="宋体" w:cs="宋体"/>
                <w:color w:val="000000"/>
                <w:sz w:val="24"/>
                <w:szCs w:val="24"/>
                <w:lang w:val="en-US" w:eastAsia="zh-CN"/>
              </w:rPr>
              <w:t>的修订工作</w:t>
            </w:r>
            <w:r>
              <w:rPr>
                <w:rFonts w:hint="eastAsia" w:ascii="宋体" w:hAnsi="宋体" w:cs="宋体"/>
                <w:color w:val="000000"/>
                <w:sz w:val="24"/>
                <w:szCs w:val="24"/>
              </w:rPr>
              <w:t>。任务下达后，起草单位成立了标准编制小组，明确了参与单位及人员的工作任务和职责分工。</w:t>
            </w:r>
          </w:p>
          <w:p>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（2）形成工作组内部讨论稿</w:t>
            </w:r>
          </w:p>
          <w:p>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2023年10月-2024年7月，</w:t>
            </w:r>
            <w:r>
              <w:rPr>
                <w:rFonts w:hint="eastAsia" w:ascii="宋体" w:hAnsi="宋体" w:cs="宋体"/>
                <w:color w:val="000000"/>
                <w:sz w:val="24"/>
                <w:szCs w:val="24"/>
              </w:rPr>
              <w:t>标准编制小组</w:t>
            </w:r>
            <w:r>
              <w:rPr>
                <w:rFonts w:hint="eastAsia" w:ascii="宋体" w:hAnsi="宋体" w:cs="宋体"/>
                <w:color w:val="000000"/>
                <w:sz w:val="24"/>
                <w:szCs w:val="24"/>
                <w:lang w:val="en-US" w:eastAsia="zh-CN"/>
              </w:rPr>
              <w:t>通过线上和线下多次会议，</w:t>
            </w:r>
            <w:r>
              <w:rPr>
                <w:rFonts w:hint="eastAsia" w:ascii="宋体" w:hAnsi="宋体" w:cs="宋体"/>
                <w:color w:val="000000"/>
                <w:sz w:val="24"/>
                <w:szCs w:val="24"/>
              </w:rPr>
              <w:t>讨论了标准制定的总体思路</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确定了标准的基本框架和内容</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形成工作组内部讨论稿。</w:t>
            </w:r>
          </w:p>
          <w:p>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000000"/>
                <w:sz w:val="24"/>
                <w:szCs w:val="24"/>
              </w:rPr>
            </w:pPr>
            <w:r>
              <w:rPr>
                <w:rFonts w:hint="eastAsia" w:ascii="宋体" w:hAnsi="宋体" w:cs="宋体"/>
                <w:color w:val="000000"/>
                <w:sz w:val="24"/>
                <w:szCs w:val="24"/>
              </w:rPr>
              <w:t>（</w:t>
            </w:r>
            <w:r>
              <w:rPr>
                <w:rFonts w:hint="eastAsia" w:ascii="宋体" w:hAnsi="宋体" w:cs="宋体"/>
                <w:color w:val="000000"/>
                <w:sz w:val="24"/>
                <w:szCs w:val="24"/>
                <w:lang w:val="en-US" w:eastAsia="zh-CN"/>
              </w:rPr>
              <w:t>3</w:t>
            </w:r>
            <w:r>
              <w:rPr>
                <w:rFonts w:hint="eastAsia" w:ascii="宋体" w:hAnsi="宋体" w:cs="宋体"/>
                <w:color w:val="000000"/>
                <w:sz w:val="24"/>
                <w:szCs w:val="24"/>
              </w:rPr>
              <w:t>）形成标准征求意见稿</w:t>
            </w:r>
          </w:p>
          <w:p>
            <w:pPr>
              <w:keepNext w:val="0"/>
              <w:keepLines w:val="0"/>
              <w:suppressLineNumbers w:val="0"/>
              <w:spacing w:before="0" w:beforeAutospacing="0" w:after="0" w:afterAutospacing="0" w:line="360" w:lineRule="auto"/>
              <w:ind w:left="0" w:right="0" w:firstLine="480" w:firstLineChars="200"/>
              <w:rPr>
                <w:rFonts w:hint="eastAsia" w:ascii="宋体" w:hAnsi="宋体" w:cs="Times New Roman"/>
                <w:color w:val="000000"/>
                <w:sz w:val="24"/>
              </w:rPr>
            </w:pPr>
            <w:r>
              <w:rPr>
                <w:rFonts w:hint="eastAsia" w:ascii="宋体" w:hAnsi="宋体" w:cs="宋体"/>
                <w:color w:val="000000"/>
                <w:sz w:val="24"/>
                <w:szCs w:val="24"/>
                <w:lang w:val="en-US" w:eastAsia="zh-CN"/>
              </w:rPr>
              <w:t>2024年7月，为了确保标准的实用性、科学性和可操作性，安徽省交通运输综合执法监督局组织</w:t>
            </w:r>
            <w:r>
              <w:rPr>
                <w:rFonts w:hint="eastAsia" w:ascii="宋体" w:hAnsi="宋体" w:cs="Times New Roman"/>
                <w:color w:val="000000"/>
                <w:sz w:val="24"/>
              </w:rPr>
              <w:t>召开</w:t>
            </w:r>
            <w:r>
              <w:rPr>
                <w:rFonts w:hint="eastAsia" w:ascii="宋体" w:hAnsi="宋体" w:cs="Times New Roman"/>
                <w:color w:val="000000"/>
                <w:sz w:val="24"/>
                <w:lang w:eastAsia="zh-CN"/>
              </w:rPr>
              <w:t>了</w:t>
            </w:r>
            <w:r>
              <w:rPr>
                <w:rFonts w:hint="eastAsia" w:ascii="宋体" w:hAnsi="宋体" w:cs="Times New Roman"/>
                <w:color w:val="000000"/>
                <w:sz w:val="24"/>
              </w:rPr>
              <w:t>讨论稿内部审查会</w:t>
            </w:r>
            <w:r>
              <w:rPr>
                <w:rFonts w:hint="eastAsia" w:ascii="宋体" w:hAnsi="宋体" w:cs="Times New Roman"/>
                <w:color w:val="000000"/>
                <w:sz w:val="24"/>
                <w:lang w:eastAsia="zh-CN"/>
              </w:rPr>
              <w:t>，</w:t>
            </w:r>
            <w:r>
              <w:rPr>
                <w:rFonts w:hint="eastAsia" w:ascii="宋体" w:hAnsi="宋体" w:cs="宋体"/>
                <w:color w:val="000000"/>
                <w:sz w:val="24"/>
                <w:szCs w:val="24"/>
                <w:lang w:val="en-US" w:eastAsia="zh-CN"/>
              </w:rPr>
              <w:t>邀请了安徽省交通运输厅等单位专家给与指导，</w:t>
            </w:r>
            <w:r>
              <w:rPr>
                <w:rFonts w:hint="eastAsia" w:ascii="宋体" w:hAnsi="宋体" w:cs="Times New Roman"/>
                <w:color w:val="000000"/>
                <w:sz w:val="24"/>
              </w:rPr>
              <w:t>对讨论稿逐条进行了讨论，修改完善后形成了</w:t>
            </w:r>
            <w:r>
              <w:rPr>
                <w:rFonts w:hint="eastAsia" w:ascii="宋体" w:hAnsi="宋体" w:cs="Times New Roman"/>
                <w:color w:val="000000"/>
                <w:sz w:val="24"/>
                <w:lang w:eastAsia="zh-CN"/>
              </w:rPr>
              <w:t>规范</w:t>
            </w:r>
            <w:r>
              <w:rPr>
                <w:rFonts w:hint="eastAsia" w:ascii="宋体" w:hAnsi="宋体" w:cs="Times New Roman"/>
                <w:color w:val="000000"/>
                <w:sz w:val="24"/>
              </w:rPr>
              <w:t>的征求意见稿。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0" w:right="0" w:firstLine="0" w:firstLineChars="0"/>
              <w:rPr>
                <w:rFonts w:hint="default" w:hAnsi="宋体" w:cs="Times New Roman"/>
                <w:color w:val="000000"/>
                <w:sz w:val="24"/>
                <w:szCs w:val="24"/>
              </w:rPr>
            </w:pPr>
            <w:r>
              <w:rPr>
                <w:rFonts w:hint="eastAsia" w:hAnsi="宋体" w:cs="Times New Roman"/>
                <w:color w:val="000000"/>
                <w:sz w:val="24"/>
                <w:szCs w:val="24"/>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40"/>
              <w:widowControl/>
              <w:numPr>
                <w:ilvl w:val="0"/>
                <w:numId w:val="8"/>
              </w:numPr>
              <w:spacing w:line="360" w:lineRule="auto"/>
              <w:ind w:leftChars="0" w:right="0" w:rightChars="0" w:firstLine="480" w:firstLineChars="200"/>
              <w:rPr>
                <w:rFonts w:hint="eastAsia" w:hAnsi="宋体"/>
                <w:bCs/>
                <w:color w:val="000000"/>
                <w:sz w:val="24"/>
                <w:highlight w:val="none"/>
                <w:lang w:val="en-US" w:eastAsia="zh-CN"/>
              </w:rPr>
            </w:pPr>
            <w:r>
              <w:rPr>
                <w:rFonts w:hint="eastAsia" w:hAnsi="宋体"/>
                <w:bCs/>
                <w:color w:val="000000"/>
                <w:sz w:val="24"/>
                <w:highlight w:val="none"/>
                <w:lang w:val="en-US" w:eastAsia="zh-CN"/>
              </w:rPr>
              <w:t>必要性</w:t>
            </w:r>
          </w:p>
          <w:p>
            <w:pPr>
              <w:pStyle w:val="4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hint="eastAsia" w:hAnsi="宋体"/>
                <w:bCs/>
                <w:color w:val="000000"/>
                <w:sz w:val="24"/>
                <w:highlight w:val="none"/>
                <w:lang w:val="en-US" w:eastAsia="zh-CN"/>
              </w:rPr>
            </w:pPr>
            <w:r>
              <w:rPr>
                <w:rFonts w:hint="eastAsia" w:hAnsi="宋体"/>
                <w:bCs/>
                <w:color w:val="000000"/>
                <w:sz w:val="24"/>
                <w:highlight w:val="none"/>
                <w:lang w:val="en-US" w:eastAsia="zh-CN"/>
              </w:rPr>
              <w:t>目前已颁布的《安徽省高速公路服务区服务规范》（DB34/T1038—2009）在提高我省高速公路服务区的管理水平和服务质量，为高速公路使用者提供良好的休息、餐饮、车辆加油、车辆维修等基本服务方面发挥了积极作用。</w:t>
            </w:r>
          </w:p>
          <w:p>
            <w:pPr>
              <w:pStyle w:val="4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hint="eastAsia" w:hAnsi="宋体"/>
                <w:bCs/>
                <w:color w:val="000000"/>
                <w:sz w:val="24"/>
                <w:highlight w:val="none"/>
                <w:lang w:val="en-US" w:eastAsia="zh-CN"/>
              </w:rPr>
            </w:pPr>
            <w:r>
              <w:rPr>
                <w:rFonts w:hint="eastAsia" w:hAnsi="宋体"/>
                <w:bCs/>
                <w:color w:val="000000"/>
                <w:sz w:val="24"/>
                <w:highlight w:val="none"/>
                <w:lang w:val="en-US" w:eastAsia="zh-CN"/>
              </w:rPr>
              <w:t>随着社会经济的快速发展，社会公众对服务区服务能力提出了更高的要求和期待，目前颁布的《安徽省高速公路服务区服务规范》在潮汐停车服务、汽车充电服务、危险货物运输车辆停放和安全应急等方面的要求还不全面。</w:t>
            </w:r>
          </w:p>
          <w:p>
            <w:pPr>
              <w:pStyle w:val="4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hint="eastAsia" w:hAnsi="宋体"/>
                <w:bCs/>
                <w:color w:val="000000"/>
                <w:sz w:val="24"/>
                <w:highlight w:val="none"/>
                <w:lang w:val="en-US" w:eastAsia="zh-CN"/>
              </w:rPr>
            </w:pPr>
            <w:r>
              <w:rPr>
                <w:rFonts w:hint="eastAsia" w:hAnsi="宋体"/>
                <w:bCs/>
                <w:color w:val="000000"/>
                <w:sz w:val="24"/>
                <w:highlight w:val="none"/>
                <w:lang w:val="en-US" w:eastAsia="zh-CN"/>
              </w:rPr>
              <w:t>因此，需要修订《安徽省高速公路服务区服务规范》，以满足社会公众对高速公路服务区服务的需要。</w:t>
            </w:r>
          </w:p>
          <w:p>
            <w:pPr>
              <w:pStyle w:val="40"/>
              <w:widowControl/>
              <w:numPr>
                <w:ilvl w:val="0"/>
                <w:numId w:val="8"/>
              </w:numPr>
              <w:spacing w:line="360" w:lineRule="auto"/>
              <w:ind w:left="0" w:leftChars="0" w:right="0" w:rightChars="0" w:firstLine="480" w:firstLineChars="200"/>
              <w:rPr>
                <w:rFonts w:hint="eastAsia" w:hAnsi="宋体"/>
                <w:bCs/>
                <w:color w:val="000000"/>
                <w:sz w:val="24"/>
                <w:highlight w:val="none"/>
                <w:lang w:val="en-US" w:eastAsia="zh-CN"/>
              </w:rPr>
            </w:pPr>
            <w:r>
              <w:rPr>
                <w:rFonts w:hint="eastAsia" w:hAnsi="宋体"/>
                <w:bCs/>
                <w:color w:val="000000"/>
                <w:sz w:val="24"/>
                <w:highlight w:val="none"/>
                <w:lang w:val="en-US" w:eastAsia="zh-CN"/>
              </w:rPr>
              <w:t>意义</w:t>
            </w:r>
          </w:p>
          <w:p>
            <w:pPr>
              <w:pStyle w:val="4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hint="default" w:hAnsi="宋体"/>
                <w:bCs/>
                <w:color w:val="000000"/>
                <w:sz w:val="24"/>
                <w:highlight w:val="none"/>
                <w:lang w:val="en-US" w:eastAsia="zh-CN"/>
              </w:rPr>
            </w:pPr>
            <w:r>
              <w:rPr>
                <w:rFonts w:hint="eastAsia" w:hAnsi="宋体"/>
                <w:bCs/>
                <w:color w:val="000000"/>
                <w:sz w:val="24"/>
                <w:highlight w:val="none"/>
                <w:lang w:val="en-US" w:eastAsia="zh-CN"/>
              </w:rPr>
              <w:t>本次标准修订，对服务礼仪、餐饮、零售、停车、车辆加油、车辆维修等服务方面进行了完善，同时结合目前经济社会发展形势新增了潮汐停车、汽车充（换）电、安全应急、其他个性化服务等方面的内容。通过本标准的实施，将为安徽省高速公路服务区的服务管理提供标准化指导，使服务区面向社会公众提供更高水平、更多元化的服务，从而整体提升安徽省服务区服务水平和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0" w:right="0" w:firstLine="0" w:firstLineChars="0"/>
              <w:rPr>
                <w:rFonts w:hint="default" w:hAnsi="宋体" w:cs="Times New Roman"/>
                <w:color w:val="000000"/>
                <w:sz w:val="24"/>
                <w:szCs w:val="24"/>
              </w:rPr>
            </w:pPr>
            <w:r>
              <w:rPr>
                <w:rFonts w:hint="eastAsia" w:hAnsi="宋体" w:cs="Times New Roman"/>
                <w:color w:val="000000"/>
                <w:sz w:val="24"/>
                <w:szCs w:val="24"/>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40"/>
              <w:widowControl/>
              <w:numPr>
                <w:ilvl w:val="3"/>
                <w:numId w:val="0"/>
              </w:numPr>
              <w:spacing w:line="360" w:lineRule="auto"/>
              <w:ind w:leftChars="0" w:right="0" w:rightChars="0" w:firstLine="480" w:firstLineChars="200"/>
              <w:rPr>
                <w:rFonts w:hint="default"/>
                <w:sz w:val="24"/>
                <w:szCs w:val="24"/>
                <w:lang w:val="en-US" w:eastAsia="zh-CN"/>
              </w:rPr>
            </w:pP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sz w:val="24"/>
                <w:szCs w:val="24"/>
                <w:lang w:val="en-US" w:eastAsia="zh-CN"/>
              </w:rPr>
              <w:t>制定标准的原则</w:t>
            </w:r>
          </w:p>
          <w:p>
            <w:pPr>
              <w:pStyle w:val="40"/>
              <w:widowControl/>
              <w:numPr>
                <w:ilvl w:val="3"/>
                <w:numId w:val="0"/>
              </w:numPr>
              <w:spacing w:line="360" w:lineRule="auto"/>
              <w:ind w:leftChars="0" w:right="0" w:rightChars="0" w:firstLine="480" w:firstLineChars="200"/>
              <w:rPr>
                <w:sz w:val="24"/>
                <w:szCs w:val="24"/>
                <w:lang w:eastAsia="zh-CN"/>
              </w:rPr>
            </w:pPr>
            <w:r>
              <w:rPr>
                <w:sz w:val="24"/>
                <w:szCs w:val="24"/>
                <w:lang w:eastAsia="zh-CN"/>
              </w:rPr>
              <w:t>标准编制遵循“</w:t>
            </w:r>
            <w:r>
              <w:rPr>
                <w:rFonts w:hint="eastAsia"/>
                <w:sz w:val="24"/>
                <w:szCs w:val="24"/>
                <w:lang w:val="en-US" w:eastAsia="zh-CN"/>
              </w:rPr>
              <w:t>系统性、规范性、协调性、适用性、一致性</w:t>
            </w:r>
            <w:r>
              <w:rPr>
                <w:sz w:val="24"/>
                <w:szCs w:val="24"/>
                <w:lang w:eastAsia="zh-CN"/>
              </w:rPr>
              <w:t>”的原则，尽可能与其他相关规范、标准相协调，注重标准的可操作性。</w:t>
            </w:r>
          </w:p>
          <w:p>
            <w:pPr>
              <w:pStyle w:val="40"/>
              <w:widowControl/>
              <w:numPr>
                <w:ilvl w:val="3"/>
                <w:numId w:val="0"/>
              </w:numPr>
              <w:spacing w:line="360" w:lineRule="auto"/>
              <w:ind w:leftChars="0" w:right="0" w:rightChars="0" w:firstLine="480" w:firstLineChars="200"/>
              <w:rPr>
                <w:rFonts w:hint="default"/>
                <w:sz w:val="24"/>
                <w:szCs w:val="24"/>
                <w:lang w:val="en-US"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rFonts w:hint="eastAsia"/>
                <w:sz w:val="24"/>
                <w:szCs w:val="24"/>
                <w:lang w:val="en-US" w:eastAsia="zh-CN"/>
              </w:rPr>
              <w:t>制定标准的依据</w:t>
            </w:r>
          </w:p>
          <w:p>
            <w:pPr>
              <w:pStyle w:val="40"/>
              <w:widowControl/>
              <w:numPr>
                <w:ilvl w:val="3"/>
                <w:numId w:val="0"/>
              </w:numPr>
              <w:spacing w:line="360" w:lineRule="auto"/>
              <w:ind w:leftChars="0" w:right="0" w:rightChars="0" w:firstLine="480" w:firstLineChars="200"/>
              <w:rPr>
                <w:sz w:val="24"/>
                <w:szCs w:val="24"/>
                <w:lang w:eastAsia="zh-CN"/>
              </w:rPr>
            </w:pPr>
            <w:r>
              <w:rPr>
                <w:sz w:val="24"/>
                <w:szCs w:val="24"/>
                <w:lang w:eastAsia="zh-CN"/>
              </w:rPr>
              <w:t>本标准依据GB/T1.1</w:t>
            </w:r>
            <w:r>
              <w:rPr>
                <w:rFonts w:hint="eastAsia"/>
                <w:sz w:val="24"/>
                <w:szCs w:val="24"/>
                <w:lang w:eastAsia="zh-CN"/>
              </w:rPr>
              <w:t>-</w:t>
            </w:r>
            <w:r>
              <w:rPr>
                <w:sz w:val="24"/>
                <w:szCs w:val="24"/>
                <w:lang w:eastAsia="zh-CN"/>
              </w:rPr>
              <w:t>20</w:t>
            </w:r>
            <w:r>
              <w:rPr>
                <w:rFonts w:hint="eastAsia"/>
                <w:sz w:val="24"/>
                <w:szCs w:val="24"/>
                <w:lang w:val="en-US" w:eastAsia="zh-CN"/>
              </w:rPr>
              <w:t>20</w:t>
            </w:r>
            <w:r>
              <w:rPr>
                <w:sz w:val="24"/>
                <w:szCs w:val="24"/>
                <w:lang w:eastAsia="zh-CN"/>
              </w:rPr>
              <w:t>《</w:t>
            </w:r>
            <w:r>
              <w:rPr>
                <w:rFonts w:hint="eastAsia"/>
                <w:sz w:val="24"/>
                <w:szCs w:val="24"/>
                <w:lang w:eastAsia="zh-CN"/>
              </w:rPr>
              <w:t>标准化工作导则 第1部分:标准化文件的结构和起草规则</w:t>
            </w:r>
            <w:r>
              <w:rPr>
                <w:sz w:val="24"/>
                <w:szCs w:val="24"/>
                <w:lang w:eastAsia="zh-CN"/>
              </w:rPr>
              <w:t>》要求</w:t>
            </w:r>
            <w:r>
              <w:rPr>
                <w:rFonts w:hint="eastAsia"/>
                <w:sz w:val="24"/>
                <w:szCs w:val="24"/>
                <w:lang w:val="en-US" w:eastAsia="zh-CN"/>
              </w:rPr>
              <w:t>进行编制</w:t>
            </w:r>
            <w:r>
              <w:rPr>
                <w:sz w:val="24"/>
                <w:szCs w:val="24"/>
                <w:lang w:eastAsia="zh-CN"/>
              </w:rPr>
              <w:t>。</w:t>
            </w:r>
          </w:p>
          <w:p>
            <w:pPr>
              <w:pStyle w:val="40"/>
              <w:widowControl/>
              <w:numPr>
                <w:ilvl w:val="3"/>
                <w:numId w:val="0"/>
              </w:numPr>
              <w:spacing w:line="360" w:lineRule="auto"/>
              <w:ind w:leftChars="0" w:right="0" w:rightChars="0" w:firstLine="480" w:firstLineChars="200"/>
              <w:rPr>
                <w:rFonts w:hint="default"/>
                <w:sz w:val="24"/>
                <w:szCs w:val="24"/>
                <w:lang w:val="en-US" w:eastAsia="zh-CN"/>
              </w:rPr>
            </w:pPr>
            <w:r>
              <w:rPr>
                <w:rFonts w:hint="eastAsia"/>
                <w:sz w:val="24"/>
                <w:szCs w:val="24"/>
                <w:lang w:eastAsia="zh-CN"/>
              </w:rPr>
              <w:t>（</w:t>
            </w:r>
            <w:r>
              <w:rPr>
                <w:rFonts w:hint="eastAsia"/>
                <w:sz w:val="24"/>
                <w:szCs w:val="24"/>
                <w:lang w:val="en-US" w:eastAsia="zh-CN"/>
              </w:rPr>
              <w:t>3</w:t>
            </w:r>
            <w:r>
              <w:rPr>
                <w:rFonts w:hint="eastAsia"/>
                <w:sz w:val="24"/>
                <w:szCs w:val="24"/>
                <w:lang w:eastAsia="zh-CN"/>
              </w:rPr>
              <w:t>）</w:t>
            </w:r>
            <w:r>
              <w:rPr>
                <w:rFonts w:hint="eastAsia"/>
                <w:sz w:val="24"/>
                <w:szCs w:val="24"/>
                <w:lang w:val="en-US" w:eastAsia="zh-CN"/>
              </w:rPr>
              <w:t>与现行法律法规、标准的关系</w:t>
            </w:r>
          </w:p>
          <w:p>
            <w:pPr>
              <w:pStyle w:val="40"/>
              <w:widowControl/>
              <w:numPr>
                <w:ilvl w:val="3"/>
                <w:numId w:val="0"/>
              </w:numPr>
              <w:spacing w:line="360" w:lineRule="auto"/>
              <w:ind w:leftChars="0" w:right="0" w:rightChars="0" w:firstLine="480" w:firstLineChars="200"/>
              <w:rPr>
                <w:sz w:val="24"/>
                <w:szCs w:val="24"/>
                <w:lang w:eastAsia="zh-CN"/>
              </w:rPr>
            </w:pPr>
            <w:r>
              <w:rPr>
                <w:sz w:val="24"/>
                <w:szCs w:val="24"/>
                <w:lang w:eastAsia="zh-CN"/>
              </w:rPr>
              <w:t>本标准符合现行法律、法规和强制性标准的规定。</w:t>
            </w:r>
          </w:p>
          <w:p>
            <w:pPr>
              <w:pStyle w:val="40"/>
              <w:widowControl/>
              <w:numPr>
                <w:ilvl w:val="3"/>
                <w:numId w:val="0"/>
              </w:numPr>
              <w:spacing w:line="360" w:lineRule="auto"/>
              <w:ind w:leftChars="0" w:right="0" w:rightChars="0" w:firstLine="480" w:firstLineChars="200"/>
              <w:rPr>
                <w:sz w:val="24"/>
                <w:szCs w:val="24"/>
                <w:lang w:eastAsia="zh-CN"/>
              </w:rPr>
            </w:pPr>
            <w:r>
              <w:rPr>
                <w:rFonts w:hint="eastAsia"/>
                <w:sz w:val="24"/>
                <w:szCs w:val="24"/>
                <w:lang w:eastAsia="zh-CN"/>
              </w:rPr>
              <w:t>本标准适用于安徽省境内高速公路服务区的服务管理工作，停车区可参照执行。</w:t>
            </w:r>
          </w:p>
          <w:p>
            <w:pPr>
              <w:pStyle w:val="40"/>
              <w:widowControl/>
              <w:numPr>
                <w:ilvl w:val="3"/>
                <w:numId w:val="0"/>
              </w:numPr>
              <w:spacing w:line="360" w:lineRule="auto"/>
              <w:ind w:leftChars="0" w:right="0" w:rightChars="0" w:firstLine="480" w:firstLineChars="200"/>
              <w:rPr>
                <w:rFonts w:hAnsi="宋体"/>
                <w:color w:val="000000"/>
                <w:sz w:val="24"/>
                <w:szCs w:val="24"/>
              </w:rPr>
            </w:pPr>
            <w:r>
              <w:rPr>
                <w:rFonts w:hint="eastAsia"/>
                <w:sz w:val="24"/>
                <w:szCs w:val="24"/>
                <w:lang w:eastAsia="zh-CN"/>
              </w:rPr>
              <w:t>本标准可作为现行</w:t>
            </w:r>
            <w:r>
              <w:rPr>
                <w:rFonts w:hint="eastAsia"/>
                <w:sz w:val="24"/>
                <w:szCs w:val="24"/>
                <w:lang w:val="en-US" w:eastAsia="zh-CN"/>
              </w:rPr>
              <w:t>地方</w:t>
            </w:r>
            <w:r>
              <w:rPr>
                <w:rFonts w:hint="eastAsia"/>
                <w:sz w:val="24"/>
                <w:szCs w:val="24"/>
                <w:lang w:eastAsia="zh-CN"/>
              </w:rPr>
              <w:t>标准《安徽省高速公路服务区服务规范》（DB34/T1038—2009）的</w:t>
            </w:r>
            <w:r>
              <w:rPr>
                <w:rFonts w:hint="eastAsia"/>
                <w:sz w:val="24"/>
                <w:szCs w:val="24"/>
                <w:lang w:val="en-US" w:eastAsia="zh-CN"/>
              </w:rPr>
              <w:t>替代</w:t>
            </w:r>
            <w:r>
              <w:rPr>
                <w:rFonts w:hint="eastAsia"/>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0" w:right="0" w:firstLine="0" w:firstLineChars="0"/>
              <w:rPr>
                <w:rFonts w:hint="default" w:hAnsi="宋体" w:cs="Times New Roman"/>
                <w:color w:val="000000"/>
                <w:sz w:val="24"/>
                <w:szCs w:val="24"/>
              </w:rPr>
            </w:pPr>
            <w:r>
              <w:rPr>
                <w:rFonts w:hint="eastAsia" w:hAnsi="宋体" w:cs="Times New Roman"/>
                <w:sz w:val="24"/>
                <w:szCs w:val="24"/>
              </w:rPr>
              <w:t>4、主要条款的说明，主要技术指标、参数、试验验证的论述（详细说明）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6"/>
              <w:keepNext w:val="0"/>
              <w:keepLines w:val="0"/>
              <w:widowControl/>
              <w:numPr>
                <w:ilvl w:val="0"/>
                <w:numId w:val="9"/>
              </w:numPr>
              <w:suppressLineNumbers w:val="0"/>
              <w:autoSpaceDE w:val="0"/>
              <w:autoSpaceDN w:val="0"/>
              <w:adjustRightInd/>
              <w:spacing w:before="0" w:beforeAutospacing="0" w:after="0" w:afterAutospacing="0" w:line="360" w:lineRule="auto"/>
              <w:ind w:left="0" w:right="0" w:firstLine="480" w:firstLineChars="200"/>
              <w:jc w:val="both"/>
              <w:rPr>
                <w:rFonts w:hint="eastAsia" w:ascii="宋体" w:eastAsia="宋体" w:cs="Times New Roman"/>
                <w:kern w:val="0"/>
                <w:sz w:val="24"/>
                <w:szCs w:val="24"/>
                <w:lang w:val="en-US" w:eastAsia="zh-CN" w:bidi="ar"/>
              </w:rPr>
            </w:pPr>
            <w:r>
              <w:rPr>
                <w:rFonts w:hint="eastAsia" w:ascii="宋体" w:eastAsia="宋体" w:cs="Times New Roman"/>
                <w:kern w:val="0"/>
                <w:sz w:val="24"/>
                <w:szCs w:val="24"/>
                <w:lang w:val="en-US" w:eastAsia="zh-CN" w:bidi="ar"/>
              </w:rPr>
              <w:t>主要条款</w:t>
            </w:r>
          </w:p>
          <w:p>
            <w:pPr>
              <w:pStyle w:val="6"/>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rightChars="0" w:firstLine="480" w:firstLineChars="200"/>
              <w:jc w:val="both"/>
              <w:textAlignment w:val="auto"/>
              <w:rPr>
                <w:rFonts w:hint="default" w:ascii="宋体" w:eastAsia="宋体" w:cs="Times New Roman"/>
                <w:kern w:val="0"/>
                <w:sz w:val="24"/>
                <w:szCs w:val="24"/>
                <w:lang w:val="en-US" w:eastAsia="zh-CN" w:bidi="ar"/>
              </w:rPr>
            </w:pPr>
            <w:r>
              <w:rPr>
                <w:rFonts w:hint="eastAsia" w:ascii="宋体" w:eastAsia="宋体" w:cs="Times New Roman"/>
                <w:kern w:val="0"/>
                <w:sz w:val="24"/>
                <w:szCs w:val="24"/>
                <w:lang w:val="en-US" w:eastAsia="zh-CN" w:bidi="ar"/>
              </w:rPr>
              <w:t>本标准由范围、规范性引用文件、术语和定义、基本要求、服务礼仪、餐饮服务、零售服务、保洁服务、停车服务、住宿服务、车辆能源补给、车辆维修与加水、其他服务、安全与应急管理、投诉处理等章节组成。其中，“基本要求、服务礼仪、餐饮服务、零售服务、保洁服务、停车服务、住宿服务、车辆能源补给、车辆维修与加水、其他服务、安全与应急管理、投诉处理”是本标准的主要内容。</w:t>
            </w:r>
          </w:p>
          <w:p>
            <w:pPr>
              <w:pStyle w:val="6"/>
              <w:keepNext w:val="0"/>
              <w:keepLines w:val="0"/>
              <w:widowControl/>
              <w:suppressLineNumbers w:val="0"/>
              <w:autoSpaceDE w:val="0"/>
              <w:autoSpaceDN w:val="0"/>
              <w:adjustRightInd/>
              <w:spacing w:before="0" w:beforeAutospacing="0" w:after="0" w:afterAutospacing="0" w:line="360" w:lineRule="auto"/>
              <w:ind w:left="0" w:right="0" w:firstLine="480" w:firstLineChars="200"/>
              <w:jc w:val="both"/>
              <w:rPr>
                <w:rFonts w:hint="default" w:ascii="宋体" w:hAnsi="Times New Roman" w:eastAsia="宋体" w:cs="Times New Roman"/>
                <w:kern w:val="0"/>
                <w:sz w:val="24"/>
                <w:szCs w:val="24"/>
                <w:lang w:val="en-US" w:eastAsia="zh-CN" w:bidi="ar"/>
              </w:rPr>
            </w:pPr>
            <w:r>
              <w:rPr>
                <w:rFonts w:hint="eastAsia" w:ascii="宋体" w:eastAsia="宋体" w:cs="Times New Roman"/>
                <w:kern w:val="0"/>
                <w:sz w:val="24"/>
                <w:szCs w:val="24"/>
                <w:lang w:val="en-US" w:eastAsia="zh-CN" w:bidi="ar"/>
              </w:rPr>
              <w:t>（2）主要内容：</w:t>
            </w:r>
          </w:p>
          <w:p>
            <w:pPr>
              <w:pStyle w:val="6"/>
              <w:keepNext w:val="0"/>
              <w:keepLines w:val="0"/>
              <w:widowControl/>
              <w:suppressLineNumbers w:val="0"/>
              <w:autoSpaceDE w:val="0"/>
              <w:autoSpaceDN w:val="0"/>
              <w:adjustRightInd/>
              <w:spacing w:before="0" w:beforeAutospacing="0" w:after="0" w:afterAutospacing="0" w:line="360" w:lineRule="auto"/>
              <w:ind w:left="0" w:right="0" w:firstLine="480" w:firstLineChars="200"/>
              <w:jc w:val="both"/>
              <w:rPr>
                <w:rFonts w:hint="default" w:ascii="宋体" w:hAnsi="Times New Roman" w:eastAsia="宋体" w:cs="Times New Roman"/>
                <w:kern w:val="0"/>
                <w:sz w:val="24"/>
                <w:szCs w:val="24"/>
                <w:lang w:val="en-US" w:eastAsia="zh-CN" w:bidi="ar"/>
              </w:rPr>
            </w:pPr>
            <w:r>
              <w:rPr>
                <w:rFonts w:hint="eastAsia" w:ascii="宋体" w:eastAsia="宋体" w:cs="Times New Roman"/>
                <w:kern w:val="0"/>
                <w:sz w:val="24"/>
                <w:szCs w:val="24"/>
                <w:lang w:val="en-US" w:eastAsia="zh-CN" w:bidi="ar"/>
              </w:rPr>
              <w:t>1）范围</w:t>
            </w:r>
          </w:p>
          <w:p>
            <w:pPr>
              <w:pStyle w:val="6"/>
              <w:keepNext w:val="0"/>
              <w:keepLines w:val="0"/>
              <w:widowControl/>
              <w:suppressLineNumbers w:val="0"/>
              <w:autoSpaceDE w:val="0"/>
              <w:autoSpaceDN w:val="0"/>
              <w:adjustRightInd/>
              <w:spacing w:before="0" w:beforeAutospacing="0" w:after="0" w:afterAutospacing="0" w:line="360" w:lineRule="auto"/>
              <w:ind w:left="0" w:right="0" w:firstLine="480" w:firstLineChars="200"/>
              <w:jc w:val="both"/>
              <w:rPr>
                <w:rFonts w:hint="eastAsia" w:ascii="宋体" w:hAnsi="Times New Roman" w:eastAsia="宋体" w:cs="Times New Roman"/>
                <w:kern w:val="0"/>
                <w:sz w:val="24"/>
                <w:szCs w:val="24"/>
                <w:lang w:val="en-US" w:eastAsia="zh-CN" w:bidi="ar"/>
              </w:rPr>
            </w:pPr>
            <w:r>
              <w:rPr>
                <w:rFonts w:hint="eastAsia" w:ascii="宋体" w:hAnsi="Times New Roman" w:eastAsia="宋体" w:cs="Times New Roman"/>
                <w:kern w:val="0"/>
                <w:sz w:val="24"/>
                <w:szCs w:val="24"/>
                <w:lang w:val="en-US" w:eastAsia="zh-CN" w:bidi="ar"/>
              </w:rPr>
              <w:t>本文件规定了高速公路服务区经营服务的基本要求，在服务内容、监督管理、应急处置、评价与改进等方面提出了相应要求。</w:t>
            </w:r>
          </w:p>
          <w:p>
            <w:pPr>
              <w:pStyle w:val="6"/>
              <w:keepNext w:val="0"/>
              <w:keepLines w:val="0"/>
              <w:widowControl/>
              <w:suppressLineNumbers w:val="0"/>
              <w:autoSpaceDE w:val="0"/>
              <w:autoSpaceDN w:val="0"/>
              <w:adjustRightInd/>
              <w:spacing w:before="0" w:beforeAutospacing="0" w:after="0" w:afterAutospacing="0" w:line="360" w:lineRule="auto"/>
              <w:ind w:left="0" w:right="0" w:firstLine="480" w:firstLineChars="200"/>
              <w:jc w:val="both"/>
              <w:rPr>
                <w:rFonts w:hint="eastAsia" w:ascii="宋体" w:hAnsi="Times New Roman" w:eastAsia="宋体" w:cs="Times New Roman"/>
                <w:kern w:val="0"/>
                <w:sz w:val="24"/>
                <w:szCs w:val="24"/>
                <w:lang w:val="en-US" w:eastAsia="zh-CN" w:bidi="ar"/>
              </w:rPr>
            </w:pPr>
            <w:r>
              <w:rPr>
                <w:rFonts w:hint="eastAsia" w:ascii="宋体" w:hAnsi="Times New Roman" w:eastAsia="宋体" w:cs="Times New Roman"/>
                <w:kern w:val="0"/>
                <w:sz w:val="24"/>
                <w:szCs w:val="24"/>
                <w:lang w:val="en-US" w:eastAsia="zh-CN" w:bidi="ar"/>
              </w:rPr>
              <w:t>本文件适用于安徽省境内高速公路服务区的服务管理工作，停车区可参照执行。</w:t>
            </w:r>
          </w:p>
          <w:p>
            <w:pPr>
              <w:keepNext w:val="0"/>
              <w:keepLines w:val="0"/>
              <w:numPr>
                <w:ilvl w:val="0"/>
                <w:numId w:val="10"/>
              </w:numPr>
              <w:suppressLineNumbers w:val="0"/>
              <w:spacing w:before="0" w:beforeAutospacing="0" w:after="0" w:afterAutospacing="0" w:line="360" w:lineRule="auto"/>
              <w:ind w:left="0" w:right="0" w:firstLine="470" w:firstLineChars="196"/>
              <w:rPr>
                <w:rFonts w:hint="eastAsia" w:ascii="宋体" w:hAnsi="宋体" w:cs="Times New Roman"/>
                <w:color w:val="000000"/>
                <w:sz w:val="24"/>
                <w:lang w:val="en-US" w:eastAsia="zh-CN"/>
              </w:rPr>
            </w:pPr>
            <w:r>
              <w:rPr>
                <w:rFonts w:hint="eastAsia" w:ascii="宋体" w:hAnsi="宋体" w:cs="Times New Roman"/>
                <w:color w:val="000000"/>
                <w:sz w:val="24"/>
                <w:lang w:val="en-US" w:eastAsia="zh-CN"/>
              </w:rPr>
              <w:t>基本要求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主要包括服务区经营单位、经营项目企业经营、管理、制度、安全等方面的一般规定。</w:t>
            </w:r>
          </w:p>
          <w:p>
            <w:pPr>
              <w:keepNext w:val="0"/>
              <w:keepLines w:val="0"/>
              <w:numPr>
                <w:ilvl w:val="0"/>
                <w:numId w:val="10"/>
              </w:numPr>
              <w:suppressLineNumbers w:val="0"/>
              <w:spacing w:before="0" w:beforeAutospacing="0" w:after="0" w:afterAutospacing="0" w:line="360" w:lineRule="auto"/>
              <w:ind w:left="0" w:right="0" w:firstLine="470" w:firstLineChars="196"/>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服务礼仪</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主要包括服装、仪容仪表、服务用语等方面的一般规定。</w:t>
            </w:r>
          </w:p>
          <w:p>
            <w:pPr>
              <w:keepNext w:val="0"/>
              <w:keepLines w:val="0"/>
              <w:numPr>
                <w:ilvl w:val="0"/>
                <w:numId w:val="10"/>
              </w:numPr>
              <w:suppressLineNumbers w:val="0"/>
              <w:spacing w:before="0" w:beforeAutospacing="0" w:after="0" w:afterAutospacing="0" w:line="360" w:lineRule="auto"/>
              <w:ind w:left="0" w:right="0" w:firstLine="470" w:firstLineChars="196"/>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餐饮服务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主要包括设施设备、人员、卫生、生产加工、服务管理等方面的一般规定。</w:t>
            </w:r>
          </w:p>
          <w:p>
            <w:pPr>
              <w:keepNext w:val="0"/>
              <w:keepLines w:val="0"/>
              <w:numPr>
                <w:ilvl w:val="0"/>
                <w:numId w:val="10"/>
              </w:numPr>
              <w:suppressLineNumbers w:val="0"/>
              <w:spacing w:before="0" w:beforeAutospacing="0" w:after="0" w:afterAutospacing="0" w:line="360" w:lineRule="auto"/>
              <w:ind w:left="0" w:right="0" w:firstLine="470" w:firstLineChars="196"/>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零售服务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主要包括设施设备、人员、销售、质量、管理等方面的一般规定。</w:t>
            </w:r>
          </w:p>
          <w:p>
            <w:pPr>
              <w:keepNext w:val="0"/>
              <w:keepLines w:val="0"/>
              <w:numPr>
                <w:ilvl w:val="0"/>
                <w:numId w:val="10"/>
              </w:numPr>
              <w:suppressLineNumbers w:val="0"/>
              <w:spacing w:before="0" w:beforeAutospacing="0" w:after="0" w:afterAutospacing="0" w:line="360" w:lineRule="auto"/>
              <w:ind w:left="0" w:right="0" w:firstLine="470" w:firstLineChars="196"/>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保洁服务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主要包括人员以及公共卫生间、停车场、绿化带、综合楼等服务设施保洁的一般规定。</w:t>
            </w:r>
          </w:p>
          <w:p>
            <w:pPr>
              <w:keepNext w:val="0"/>
              <w:keepLines w:val="0"/>
              <w:numPr>
                <w:ilvl w:val="0"/>
                <w:numId w:val="10"/>
              </w:numPr>
              <w:suppressLineNumbers w:val="0"/>
              <w:spacing w:before="0" w:beforeAutospacing="0" w:after="0" w:afterAutospacing="0" w:line="360" w:lineRule="auto"/>
              <w:ind w:left="0" w:right="0" w:firstLine="470" w:firstLineChars="196"/>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停车服务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主要包括服务人员、车辆疏导、公共区域巡查等方面的一般规定。</w:t>
            </w:r>
          </w:p>
          <w:p>
            <w:pPr>
              <w:keepNext w:val="0"/>
              <w:keepLines w:val="0"/>
              <w:numPr>
                <w:ilvl w:val="0"/>
                <w:numId w:val="10"/>
              </w:numPr>
              <w:suppressLineNumbers w:val="0"/>
              <w:spacing w:before="0" w:beforeAutospacing="0" w:after="0" w:afterAutospacing="0" w:line="360" w:lineRule="auto"/>
              <w:ind w:left="0" w:right="0" w:firstLine="470" w:firstLineChars="196"/>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住宿服务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主要包括人员、设施、服务等方面的一般规定。</w:t>
            </w:r>
          </w:p>
          <w:p>
            <w:pPr>
              <w:keepNext w:val="0"/>
              <w:keepLines w:val="0"/>
              <w:numPr>
                <w:ilvl w:val="0"/>
                <w:numId w:val="10"/>
              </w:numPr>
              <w:suppressLineNumbers w:val="0"/>
              <w:spacing w:before="0" w:beforeAutospacing="0" w:after="0" w:afterAutospacing="0" w:line="360" w:lineRule="auto"/>
              <w:ind w:left="0" w:right="0" w:firstLine="470" w:firstLineChars="196"/>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车辆能源补给</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主要包括加油（气）站、充（换）电站基本要求、安全要求、服务要求等方面的一般规定。</w:t>
            </w:r>
          </w:p>
          <w:p>
            <w:pPr>
              <w:keepNext w:val="0"/>
              <w:keepLines w:val="0"/>
              <w:numPr>
                <w:ilvl w:val="0"/>
                <w:numId w:val="10"/>
              </w:numPr>
              <w:suppressLineNumbers w:val="0"/>
              <w:spacing w:before="0" w:beforeAutospacing="0" w:after="0" w:afterAutospacing="0" w:line="360" w:lineRule="auto"/>
              <w:ind w:left="0" w:right="0" w:firstLine="470" w:firstLineChars="196"/>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车辆维修与加水</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主要包括车辆维修与加水在质量、卫生、安全、服务等方面的一般规定。</w:t>
            </w:r>
          </w:p>
          <w:p>
            <w:pPr>
              <w:keepNext w:val="0"/>
              <w:keepLines w:val="0"/>
              <w:numPr>
                <w:ilvl w:val="0"/>
                <w:numId w:val="10"/>
              </w:numPr>
              <w:suppressLineNumbers w:val="0"/>
              <w:spacing w:before="0" w:beforeAutospacing="0" w:after="0" w:afterAutospacing="0" w:line="360" w:lineRule="auto"/>
              <w:ind w:left="0" w:right="0" w:firstLine="470" w:firstLineChars="196"/>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其他服务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主要包括医疗服务、个性化服务等方面的一般规定。</w:t>
            </w:r>
          </w:p>
          <w:p>
            <w:pPr>
              <w:keepNext w:val="0"/>
              <w:keepLines w:val="0"/>
              <w:numPr>
                <w:ilvl w:val="0"/>
                <w:numId w:val="10"/>
              </w:numPr>
              <w:suppressLineNumbers w:val="0"/>
              <w:spacing w:before="0" w:beforeAutospacing="0" w:after="0" w:afterAutospacing="0" w:line="360" w:lineRule="auto"/>
              <w:ind w:left="0" w:right="0" w:firstLine="470" w:firstLineChars="196"/>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安全与应急管理</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主要包括工作机制、消防疏散、突发事件等方面的一般规定。</w:t>
            </w:r>
          </w:p>
          <w:p>
            <w:pPr>
              <w:keepNext w:val="0"/>
              <w:keepLines w:val="0"/>
              <w:numPr>
                <w:ilvl w:val="0"/>
                <w:numId w:val="10"/>
              </w:numPr>
              <w:suppressLineNumbers w:val="0"/>
              <w:spacing w:before="0" w:beforeAutospacing="0" w:after="0" w:afterAutospacing="0" w:line="360" w:lineRule="auto"/>
              <w:ind w:left="0" w:right="0" w:firstLine="470" w:firstLineChars="196"/>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投诉处理</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cs="Times New Roman"/>
                <w:color w:val="000000"/>
                <w:sz w:val="24"/>
                <w:lang w:val="en-US" w:eastAsia="zh-CN"/>
              </w:rPr>
            </w:pPr>
            <w:r>
              <w:rPr>
                <w:rFonts w:hint="eastAsia" w:ascii="宋体" w:hAnsi="宋体" w:cs="Times New Roman"/>
                <w:color w:val="000000"/>
                <w:sz w:val="24"/>
                <w:lang w:val="en-US" w:eastAsia="zh-CN"/>
              </w:rPr>
              <w:t>主要包括工作机制、工作流程、跟踪回访、人员培训、自我保护等方面的一般规定。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0" w:right="0" w:firstLine="0" w:firstLineChars="0"/>
              <w:rPr>
                <w:rFonts w:hint="default" w:hAnsi="宋体" w:cs="Times New Roman"/>
                <w:color w:val="000000"/>
                <w:sz w:val="24"/>
                <w:szCs w:val="24"/>
              </w:rPr>
            </w:pPr>
            <w:bookmarkStart w:id="0" w:name="_Toc465074266"/>
            <w:bookmarkStart w:id="1" w:name="_Toc464902852"/>
            <w:bookmarkStart w:id="2" w:name="_Toc464905613"/>
            <w:bookmarkStart w:id="3" w:name="_Toc464905809"/>
            <w:bookmarkStart w:id="4" w:name="_Toc464905557"/>
            <w:r>
              <w:rPr>
                <w:rFonts w:hint="eastAsia" w:hAnsi="宋体" w:cs="Times New Roman"/>
                <w:color w:val="000000"/>
                <w:sz w:val="24"/>
                <w:szCs w:val="24"/>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420" w:right="0" w:firstLine="0" w:firstLineChars="0"/>
              <w:rPr>
                <w:rFonts w:hint="default" w:hAnsi="宋体" w:cs="Times New Roman"/>
                <w:color w:val="000000"/>
                <w:sz w:val="24"/>
                <w:szCs w:val="24"/>
              </w:rPr>
            </w:pPr>
            <w:r>
              <w:rPr>
                <w:rFonts w:hint="eastAsia" w:hAnsi="宋体" w:cs="Times New Roman"/>
                <w:color w:val="000000"/>
                <w:sz w:val="24"/>
                <w:szCs w:val="24"/>
                <w:lang w:val="en-US" w:eastAsia="zh-CN"/>
              </w:rPr>
              <w:t>无</w:t>
            </w:r>
            <w:r>
              <w:rPr>
                <w:rFonts w:hint="eastAsia" w:hAnsi="宋体" w:cs="Times New Roman"/>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0" w:right="0" w:firstLine="0" w:firstLineChars="0"/>
              <w:rPr>
                <w:rFonts w:hint="default" w:hAnsi="宋体" w:cs="Times New Roman"/>
                <w:color w:val="000000"/>
                <w:sz w:val="24"/>
                <w:szCs w:val="24"/>
              </w:rPr>
            </w:pPr>
            <w:bookmarkStart w:id="5" w:name="_Toc464905810"/>
            <w:bookmarkStart w:id="6" w:name="_Toc464902853"/>
            <w:bookmarkStart w:id="7" w:name="_Toc464905558"/>
            <w:bookmarkStart w:id="8" w:name="_Toc465074267"/>
            <w:bookmarkStart w:id="9" w:name="_Toc464905614"/>
            <w:r>
              <w:rPr>
                <w:rFonts w:hint="eastAsia" w:hAnsi="宋体" w:cs="Times New Roman"/>
                <w:color w:val="000000"/>
                <w:sz w:val="24"/>
                <w:szCs w:val="24"/>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420" w:right="0" w:firstLine="0" w:firstLineChars="0"/>
              <w:rPr>
                <w:rFonts w:hint="default" w:hAnsi="宋体" w:cs="Times New Roman"/>
                <w:color w:val="000000"/>
                <w:sz w:val="24"/>
                <w:szCs w:val="24"/>
              </w:rPr>
            </w:pPr>
            <w:r>
              <w:rPr>
                <w:rFonts w:hint="eastAsia" w:hAnsi="宋体" w:cs="Times New Roman"/>
                <w:color w:val="000000"/>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0" w:right="0" w:firstLine="0" w:firstLineChars="0"/>
              <w:rPr>
                <w:rFonts w:hint="default" w:hAnsi="宋体" w:cs="Times New Roman"/>
                <w:color w:val="000000"/>
                <w:sz w:val="24"/>
                <w:szCs w:val="24"/>
              </w:rPr>
            </w:pPr>
            <w:bookmarkStart w:id="10" w:name="_Toc464905615"/>
            <w:bookmarkStart w:id="11" w:name="_Toc464905811"/>
            <w:bookmarkStart w:id="12" w:name="_Toc464905559"/>
            <w:bookmarkStart w:id="13" w:name="_Toc464902854"/>
            <w:bookmarkStart w:id="14" w:name="_Toc465074268"/>
            <w:r>
              <w:rPr>
                <w:rFonts w:hint="eastAsia" w:hAnsi="宋体" w:cs="Times New Roman"/>
                <w:color w:val="000000"/>
                <w:sz w:val="24"/>
                <w:szCs w:val="24"/>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420" w:right="0" w:firstLine="0" w:firstLineChars="0"/>
              <w:rPr>
                <w:rFonts w:hint="default" w:hAnsi="宋体" w:cs="Times New Roman"/>
                <w:color w:val="000000"/>
                <w:sz w:val="24"/>
                <w:szCs w:val="24"/>
              </w:rPr>
            </w:pPr>
            <w:r>
              <w:rPr>
                <w:rFonts w:hint="eastAsia" w:hAnsi="宋体" w:cs="Times New Roman"/>
                <w:color w:val="000000"/>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0" w:right="0" w:firstLine="0" w:firstLineChars="0"/>
              <w:rPr>
                <w:rFonts w:hint="default" w:hAnsi="宋体" w:cs="Times New Roman"/>
                <w:color w:val="000000"/>
                <w:sz w:val="24"/>
                <w:szCs w:val="24"/>
              </w:rPr>
            </w:pPr>
            <w:bookmarkStart w:id="15" w:name="_Toc465074269"/>
            <w:bookmarkStart w:id="16" w:name="_Toc464905812"/>
            <w:bookmarkStart w:id="17" w:name="_Toc464905616"/>
            <w:bookmarkStart w:id="18" w:name="_Toc464905560"/>
            <w:bookmarkStart w:id="19" w:name="_Toc464902855"/>
            <w:r>
              <w:rPr>
                <w:rFonts w:hint="eastAsia" w:hAnsi="宋体" w:cs="Times New Roman"/>
                <w:color w:val="000000"/>
                <w:sz w:val="24"/>
                <w:szCs w:val="24"/>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000000"/>
                <w:sz w:val="24"/>
                <w:szCs w:val="24"/>
              </w:rPr>
            </w:pPr>
            <w:r>
              <w:rPr>
                <w:rFonts w:hint="eastAsia" w:ascii="宋体" w:hAnsi="宋体" w:cs="宋体"/>
                <w:color w:val="000000"/>
                <w:sz w:val="24"/>
                <w:szCs w:val="24"/>
              </w:rPr>
              <w:t>（1）标准归口单位牵头，起草单位具体实施，全省范围内宣贯该标准；</w:t>
            </w:r>
          </w:p>
          <w:p>
            <w:pPr>
              <w:pStyle w:val="17"/>
              <w:keepNext w:val="0"/>
              <w:keepLines w:val="0"/>
              <w:widowControl/>
              <w:suppressLineNumbers w:val="0"/>
              <w:adjustRightInd w:val="0"/>
              <w:snapToGrid w:val="0"/>
              <w:spacing w:before="156" w:beforeLines="50" w:beforeAutospacing="0" w:after="0" w:afterAutospacing="0" w:line="360" w:lineRule="auto"/>
              <w:ind w:left="0" w:right="0" w:firstLine="480"/>
              <w:rPr>
                <w:rFonts w:hint="default" w:hAnsi="宋体" w:cs="Times New Roman"/>
                <w:color w:val="000000"/>
                <w:sz w:val="24"/>
                <w:szCs w:val="24"/>
              </w:rPr>
            </w:pPr>
            <w:r>
              <w:rPr>
                <w:rFonts w:hint="eastAsia" w:ascii="宋体" w:hAnsi="宋体" w:cs="宋体"/>
                <w:color w:val="000000"/>
                <w:sz w:val="24"/>
                <w:szCs w:val="24"/>
              </w:rPr>
              <w:t>（2）标准起草单位继续开展研究，改进和完善该标准相关内容。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0" w:right="0" w:firstLine="0" w:firstLineChars="0"/>
              <w:rPr>
                <w:rFonts w:hint="default" w:hAnsi="宋体" w:cs="Times New Roman"/>
                <w:color w:val="000000"/>
                <w:sz w:val="24"/>
                <w:szCs w:val="24"/>
              </w:rPr>
            </w:pPr>
            <w:bookmarkStart w:id="20" w:name="_Toc464905813"/>
            <w:bookmarkStart w:id="21" w:name="_Toc465074270"/>
            <w:bookmarkStart w:id="22" w:name="_Toc464905561"/>
            <w:bookmarkStart w:id="23" w:name="_Toc464905617"/>
            <w:bookmarkStart w:id="24" w:name="_Toc464902856"/>
            <w:r>
              <w:rPr>
                <w:rFonts w:hint="eastAsia" w:hAnsi="宋体" w:cs="Times New Roman"/>
                <w:color w:val="000000"/>
                <w:sz w:val="24"/>
                <w:szCs w:val="24"/>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420" w:right="0" w:firstLine="0" w:firstLineChars="0"/>
              <w:rPr>
                <w:rFonts w:hint="default" w:hAnsi="宋体" w:cs="Times New Roman"/>
                <w:color w:val="000000"/>
                <w:sz w:val="24"/>
                <w:szCs w:val="24"/>
              </w:rPr>
            </w:pPr>
            <w:r>
              <w:rPr>
                <w:rFonts w:hint="eastAsia" w:hAnsi="宋体" w:cs="Times New Roman"/>
                <w:color w:val="000000"/>
                <w:sz w:val="24"/>
                <w:szCs w:val="24"/>
              </w:rPr>
              <w:t>《安徽省高速公路服务区服务规范》（DB34/T1038—2009）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widowControl/>
              <w:suppressLineNumbers w:val="0"/>
              <w:spacing w:before="0" w:beforeAutospacing="0" w:after="0" w:afterAutospacing="0" w:line="360" w:lineRule="auto"/>
              <w:ind w:left="0" w:right="0" w:firstLine="0" w:firstLineChars="0"/>
              <w:rPr>
                <w:rFonts w:hint="default" w:hAnsi="宋体" w:cs="Times New Roman"/>
                <w:color w:val="000000"/>
                <w:sz w:val="24"/>
                <w:szCs w:val="24"/>
              </w:rPr>
            </w:pPr>
            <w:bookmarkStart w:id="25" w:name="_Toc464905814"/>
            <w:bookmarkStart w:id="26" w:name="_Toc465074271"/>
            <w:bookmarkStart w:id="27" w:name="_Toc464902857"/>
            <w:bookmarkStart w:id="28" w:name="_Toc464905562"/>
            <w:bookmarkStart w:id="29" w:name="_Toc464905618"/>
            <w:r>
              <w:rPr>
                <w:rFonts w:hint="eastAsia" w:hAnsi="宋体" w:cs="Times New Roman"/>
                <w:color w:val="000000"/>
                <w:sz w:val="24"/>
                <w:szCs w:val="24"/>
              </w:rPr>
              <w:t>10、其它应予说明的事项</w:t>
            </w:r>
            <w:bookmarkEnd w:id="25"/>
            <w:bookmarkEnd w:id="26"/>
            <w:bookmarkEnd w:id="27"/>
            <w:bookmarkEnd w:id="28"/>
            <w:bookmarkEnd w:id="29"/>
            <w:bookmarkStart w:id="30" w:name="_GoBack"/>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661" w:type="dxa"/>
            <w:gridSpan w:val="7"/>
            <w:tcBorders>
              <w:top w:val="single" w:color="auto" w:sz="4" w:space="0"/>
              <w:left w:val="single" w:color="auto" w:sz="4" w:space="0"/>
              <w:bottom w:val="single" w:color="auto" w:sz="4" w:space="0"/>
              <w:right w:val="single" w:color="auto" w:sz="4" w:space="0"/>
            </w:tcBorders>
            <w:noWrap w:val="0"/>
            <w:vAlign w:val="top"/>
          </w:tcPr>
          <w:p>
            <w:pPr>
              <w:pStyle w:val="1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textAlignment w:val="auto"/>
              <w:rPr>
                <w:rFonts w:hint="default" w:hAnsi="宋体" w:cs="Times New Roman"/>
                <w:color w:val="000000"/>
                <w:szCs w:val="21"/>
              </w:rPr>
            </w:pPr>
            <w:r>
              <w:rPr>
                <w:rFonts w:hint="eastAsia" w:hAnsi="宋体" w:cs="Times New Roman"/>
                <w:color w:val="000000"/>
                <w:sz w:val="24"/>
                <w:szCs w:val="24"/>
              </w:rPr>
              <w:t>本规范在使用过程中需根据实际使用情况和经济发展水平及时加以修订和更新,以适应社会发展的需求。</w:t>
            </w:r>
          </w:p>
        </w:tc>
      </w:tr>
    </w:tbl>
    <w:p>
      <w:pPr>
        <w:widowControl/>
        <w:spacing w:line="360" w:lineRule="auto"/>
        <w:ind w:firstLine="421" w:firstLineChars="200"/>
        <w:jc w:val="left"/>
        <w:rPr>
          <w:rFonts w:ascii="仿宋_GB2312" w:eastAsia="仿宋_GB2312"/>
          <w:b/>
          <w:color w:val="000000"/>
          <w:kern w:val="0"/>
          <w:szCs w:val="21"/>
        </w:rPr>
      </w:pPr>
      <w:r>
        <w:rPr>
          <w:rFonts w:ascii="仿宋_GB2312" w:eastAsia="仿宋_GB2312"/>
          <w:b/>
          <w:color w:val="000000"/>
          <w:kern w:val="0"/>
          <w:szCs w:val="21"/>
        </w:rPr>
        <w:t>注</w:t>
      </w:r>
      <w:r>
        <w:rPr>
          <w:rFonts w:hint="eastAsia" w:ascii="仿宋_GB2312" w:eastAsia="仿宋_GB2312"/>
          <w:b/>
          <w:color w:val="000000"/>
          <w:kern w:val="0"/>
          <w:szCs w:val="21"/>
        </w:rPr>
        <w:t>：没有的请填写 “无”</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2</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F42AA"/>
    <w:multiLevelType w:val="multilevel"/>
    <w:tmpl w:val="858F42AA"/>
    <w:lvl w:ilvl="0" w:tentative="0">
      <w:start w:val="1"/>
      <w:numFmt w:val="lowerLetter"/>
      <w:pStyle w:val="42"/>
      <w:lvlText w:val="%1)"/>
      <w:lvlJc w:val="left"/>
      <w:pPr>
        <w:tabs>
          <w:tab w:val="left" w:pos="851"/>
        </w:tabs>
        <w:ind w:left="851" w:hanging="426"/>
      </w:pPr>
      <w:rPr>
        <w:rFonts w:hint="eastAsia" w:ascii="宋体" w:hAnsi="Times New Roman" w:eastAsia="宋体" w:cs="宋体"/>
        <w:sz w:val="21"/>
      </w:rPr>
    </w:lvl>
    <w:lvl w:ilvl="1" w:tentative="0">
      <w:start w:val="1"/>
      <w:numFmt w:val="decimal"/>
      <w:lvlText w:val="%2)"/>
      <w:lvlJc w:val="left"/>
      <w:pPr>
        <w:tabs>
          <w:tab w:val="left" w:pos="1276"/>
        </w:tabs>
        <w:ind w:left="1276" w:hanging="425"/>
      </w:pPr>
      <w:rPr>
        <w:rFonts w:hint="eastAsia" w:ascii="宋体" w:hAnsi="Times New Roman" w:eastAsia="宋体" w:cs="宋体"/>
        <w:sz w:val="21"/>
      </w:rPr>
    </w:lvl>
    <w:lvl w:ilvl="2" w:tentative="0">
      <w:start w:val="1"/>
      <w:numFmt w:val="decimal"/>
      <w:lvlText w:val="(%3)"/>
      <w:lvlJc w:val="left"/>
      <w:pPr>
        <w:ind w:left="1702" w:hanging="425"/>
      </w:pPr>
      <w:rPr>
        <w:rFonts w:hint="eastAsia" w:ascii="宋体" w:hAnsi="Times New Roman" w:eastAsia="宋体" w:cs="宋体"/>
        <w:sz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1">
    <w:nsid w:val="B9B9AC03"/>
    <w:multiLevelType w:val="multilevel"/>
    <w:tmpl w:val="B9B9AC03"/>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pStyle w:val="41"/>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F7C04364"/>
    <w:multiLevelType w:val="singleLevel"/>
    <w:tmpl w:val="F7C04364"/>
    <w:lvl w:ilvl="0" w:tentative="0">
      <w:start w:val="1"/>
      <w:numFmt w:val="decimal"/>
      <w:suff w:val="nothing"/>
      <w:lvlText w:val="（%1）"/>
      <w:lvlJc w:val="left"/>
    </w:lvl>
  </w:abstractNum>
  <w:abstractNum w:abstractNumId="3">
    <w:nsid w:val="58AB41BE"/>
    <w:multiLevelType w:val="singleLevel"/>
    <w:tmpl w:val="58AB41BE"/>
    <w:lvl w:ilvl="0" w:tentative="0">
      <w:start w:val="1"/>
      <w:numFmt w:val="decimal"/>
      <w:suff w:val="nothing"/>
      <w:lvlText w:val="（%1）"/>
      <w:lvlJc w:val="left"/>
    </w:lvl>
  </w:abstractNum>
  <w:abstractNum w:abstractNumId="4">
    <w:nsid w:val="60B55DC2"/>
    <w:multiLevelType w:val="multilevel"/>
    <w:tmpl w:val="60B55DC2"/>
    <w:lvl w:ilvl="0" w:tentative="0">
      <w:start w:val="1"/>
      <w:numFmt w:val="upperLetter"/>
      <w:pStyle w:val="19"/>
      <w:lvlText w:val="%1"/>
      <w:lvlJc w:val="left"/>
      <w:pPr>
        <w:tabs>
          <w:tab w:val="left" w:pos="0"/>
        </w:tabs>
        <w:ind w:left="0" w:hanging="425"/>
      </w:pPr>
      <w:rPr>
        <w:rFonts w:hint="eastAsia"/>
      </w:rPr>
    </w:lvl>
    <w:lvl w:ilvl="1" w:tentative="0">
      <w:start w:val="1"/>
      <w:numFmt w:val="decimal"/>
      <w:pStyle w:val="2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5">
    <w:nsid w:val="646260FA"/>
    <w:multiLevelType w:val="multilevel"/>
    <w:tmpl w:val="646260FA"/>
    <w:lvl w:ilvl="0" w:tentative="0">
      <w:start w:val="1"/>
      <w:numFmt w:val="decimal"/>
      <w:pStyle w:val="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57D3FBC"/>
    <w:multiLevelType w:val="multilevel"/>
    <w:tmpl w:val="657D3FBC"/>
    <w:lvl w:ilvl="0" w:tentative="0">
      <w:start w:val="1"/>
      <w:numFmt w:val="upperLetter"/>
      <w:pStyle w:val="2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4"/>
      <w:suff w:val="nothing"/>
      <w:lvlText w:val="%1%2　"/>
      <w:lvlJc w:val="left"/>
      <w:pPr>
        <w:ind w:left="0" w:firstLine="0"/>
      </w:pPr>
      <w:rPr>
        <w:rFonts w:hint="eastAsia" w:ascii="黑体" w:eastAsia="黑体"/>
        <w:b w:val="0"/>
        <w:i w:val="0"/>
        <w:sz w:val="21"/>
      </w:rPr>
    </w:lvl>
    <w:lvl w:ilvl="2" w:tentative="0">
      <w:start w:val="1"/>
      <w:numFmt w:val="decimal"/>
      <w:pStyle w:val="4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74033B83"/>
    <w:multiLevelType w:val="multilevel"/>
    <w:tmpl w:val="74033B83"/>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40"/>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9">
    <w:nsid w:val="78CD66F9"/>
    <w:multiLevelType w:val="singleLevel"/>
    <w:tmpl w:val="78CD66F9"/>
    <w:lvl w:ilvl="0" w:tentative="0">
      <w:start w:val="2"/>
      <w:numFmt w:val="decimal"/>
      <w:suff w:val="nothing"/>
      <w:lvlText w:val="%1）"/>
      <w:lvlJc w:val="left"/>
    </w:lvl>
  </w:abstractNum>
  <w:num w:numId="1">
    <w:abstractNumId w:val="4"/>
  </w:num>
  <w:num w:numId="2">
    <w:abstractNumId w:val="5"/>
  </w:num>
  <w:num w:numId="3">
    <w:abstractNumId w:val="6"/>
  </w:num>
  <w:num w:numId="4">
    <w:abstractNumId w:val="8"/>
  </w:num>
  <w:num w:numId="5">
    <w:abstractNumId w:val="1"/>
  </w:num>
  <w:num w:numId="6">
    <w:abstractNumId w:val="0"/>
  </w:num>
  <w:num w:numId="7">
    <w:abstractNumId w:val="7"/>
  </w:num>
  <w:num w:numId="8">
    <w:abstractNumId w:val="2"/>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iYmQyYjFiYzMyZGIwMjY2MGEzYTJmNDk2ZWYxNGUifQ=="/>
  </w:docVars>
  <w:rsids>
    <w:rsidRoot w:val="00ED64D0"/>
    <w:rsid w:val="00005930"/>
    <w:rsid w:val="0002132F"/>
    <w:rsid w:val="00030E89"/>
    <w:rsid w:val="000447EA"/>
    <w:rsid w:val="000476F2"/>
    <w:rsid w:val="0005287A"/>
    <w:rsid w:val="0005379E"/>
    <w:rsid w:val="00054020"/>
    <w:rsid w:val="00055A2D"/>
    <w:rsid w:val="00055CFA"/>
    <w:rsid w:val="000635AA"/>
    <w:rsid w:val="00066973"/>
    <w:rsid w:val="00071791"/>
    <w:rsid w:val="00077E5F"/>
    <w:rsid w:val="000857D3"/>
    <w:rsid w:val="00086168"/>
    <w:rsid w:val="00091698"/>
    <w:rsid w:val="000A3B68"/>
    <w:rsid w:val="000A4683"/>
    <w:rsid w:val="000B527F"/>
    <w:rsid w:val="000C042C"/>
    <w:rsid w:val="000F065B"/>
    <w:rsid w:val="000F284E"/>
    <w:rsid w:val="0010211F"/>
    <w:rsid w:val="00110780"/>
    <w:rsid w:val="001210B2"/>
    <w:rsid w:val="0013192D"/>
    <w:rsid w:val="00142305"/>
    <w:rsid w:val="00143A5E"/>
    <w:rsid w:val="00146720"/>
    <w:rsid w:val="00147BFB"/>
    <w:rsid w:val="00147D37"/>
    <w:rsid w:val="00154F1B"/>
    <w:rsid w:val="00157296"/>
    <w:rsid w:val="00160E43"/>
    <w:rsid w:val="00162154"/>
    <w:rsid w:val="00162339"/>
    <w:rsid w:val="00164F35"/>
    <w:rsid w:val="001711F7"/>
    <w:rsid w:val="001722E9"/>
    <w:rsid w:val="00172ABA"/>
    <w:rsid w:val="00173B9F"/>
    <w:rsid w:val="00173E98"/>
    <w:rsid w:val="00174F3D"/>
    <w:rsid w:val="00176FA6"/>
    <w:rsid w:val="00197C30"/>
    <w:rsid w:val="001B0A8C"/>
    <w:rsid w:val="001B48F4"/>
    <w:rsid w:val="001B5AA3"/>
    <w:rsid w:val="001B6679"/>
    <w:rsid w:val="001C39F5"/>
    <w:rsid w:val="001C5FC9"/>
    <w:rsid w:val="001D51D9"/>
    <w:rsid w:val="001E3C7D"/>
    <w:rsid w:val="001E46AB"/>
    <w:rsid w:val="001F66F1"/>
    <w:rsid w:val="00201DB1"/>
    <w:rsid w:val="00203B0B"/>
    <w:rsid w:val="002126CC"/>
    <w:rsid w:val="0021466F"/>
    <w:rsid w:val="00222CE5"/>
    <w:rsid w:val="00230693"/>
    <w:rsid w:val="0023198B"/>
    <w:rsid w:val="00237AB7"/>
    <w:rsid w:val="002412F0"/>
    <w:rsid w:val="0024796C"/>
    <w:rsid w:val="002517B2"/>
    <w:rsid w:val="00257110"/>
    <w:rsid w:val="00266188"/>
    <w:rsid w:val="00272453"/>
    <w:rsid w:val="0027364C"/>
    <w:rsid w:val="00285312"/>
    <w:rsid w:val="00294749"/>
    <w:rsid w:val="00295001"/>
    <w:rsid w:val="00295333"/>
    <w:rsid w:val="002A02F7"/>
    <w:rsid w:val="002A5A60"/>
    <w:rsid w:val="002B21F0"/>
    <w:rsid w:val="002B7847"/>
    <w:rsid w:val="002C53A5"/>
    <w:rsid w:val="002C6CC1"/>
    <w:rsid w:val="002D12E8"/>
    <w:rsid w:val="002D2484"/>
    <w:rsid w:val="002E007F"/>
    <w:rsid w:val="002E02CC"/>
    <w:rsid w:val="002E7D79"/>
    <w:rsid w:val="002F050E"/>
    <w:rsid w:val="002F534E"/>
    <w:rsid w:val="00305B31"/>
    <w:rsid w:val="00306246"/>
    <w:rsid w:val="00306A72"/>
    <w:rsid w:val="00312048"/>
    <w:rsid w:val="00331290"/>
    <w:rsid w:val="0034026A"/>
    <w:rsid w:val="00345B3C"/>
    <w:rsid w:val="00357A5E"/>
    <w:rsid w:val="00361006"/>
    <w:rsid w:val="00372862"/>
    <w:rsid w:val="003737D6"/>
    <w:rsid w:val="00377E11"/>
    <w:rsid w:val="00380B4B"/>
    <w:rsid w:val="00381AFE"/>
    <w:rsid w:val="00385118"/>
    <w:rsid w:val="00393397"/>
    <w:rsid w:val="00397BA2"/>
    <w:rsid w:val="003A4EAA"/>
    <w:rsid w:val="003A7AEB"/>
    <w:rsid w:val="003B2418"/>
    <w:rsid w:val="003B313A"/>
    <w:rsid w:val="003C0838"/>
    <w:rsid w:val="003C08D5"/>
    <w:rsid w:val="003C49D4"/>
    <w:rsid w:val="003D134B"/>
    <w:rsid w:val="003E695B"/>
    <w:rsid w:val="003F267E"/>
    <w:rsid w:val="00403480"/>
    <w:rsid w:val="00405A5A"/>
    <w:rsid w:val="00405F41"/>
    <w:rsid w:val="004146E8"/>
    <w:rsid w:val="0041505E"/>
    <w:rsid w:val="00416659"/>
    <w:rsid w:val="004168A2"/>
    <w:rsid w:val="00416A96"/>
    <w:rsid w:val="004351E3"/>
    <w:rsid w:val="004378F6"/>
    <w:rsid w:val="00441A76"/>
    <w:rsid w:val="00441C8D"/>
    <w:rsid w:val="00454D2B"/>
    <w:rsid w:val="00461198"/>
    <w:rsid w:val="00465282"/>
    <w:rsid w:val="00470FFA"/>
    <w:rsid w:val="004713F2"/>
    <w:rsid w:val="00486658"/>
    <w:rsid w:val="004A576E"/>
    <w:rsid w:val="004A615D"/>
    <w:rsid w:val="004B2BB6"/>
    <w:rsid w:val="004B6903"/>
    <w:rsid w:val="004D4BBA"/>
    <w:rsid w:val="004E1BE8"/>
    <w:rsid w:val="004E36E2"/>
    <w:rsid w:val="004E698A"/>
    <w:rsid w:val="004F07C1"/>
    <w:rsid w:val="004F2DCF"/>
    <w:rsid w:val="004F38DE"/>
    <w:rsid w:val="00511170"/>
    <w:rsid w:val="00514C05"/>
    <w:rsid w:val="005159EC"/>
    <w:rsid w:val="005232F1"/>
    <w:rsid w:val="005251B4"/>
    <w:rsid w:val="00525BD2"/>
    <w:rsid w:val="0052711C"/>
    <w:rsid w:val="00533010"/>
    <w:rsid w:val="00533DDA"/>
    <w:rsid w:val="005406B7"/>
    <w:rsid w:val="0054240C"/>
    <w:rsid w:val="00542496"/>
    <w:rsid w:val="00542B22"/>
    <w:rsid w:val="00543BD6"/>
    <w:rsid w:val="005444D6"/>
    <w:rsid w:val="005471BC"/>
    <w:rsid w:val="005601A2"/>
    <w:rsid w:val="00566D5D"/>
    <w:rsid w:val="00571B73"/>
    <w:rsid w:val="00575D5E"/>
    <w:rsid w:val="00576239"/>
    <w:rsid w:val="005800C3"/>
    <w:rsid w:val="00587C84"/>
    <w:rsid w:val="0059586C"/>
    <w:rsid w:val="005A050C"/>
    <w:rsid w:val="005B2578"/>
    <w:rsid w:val="005B5599"/>
    <w:rsid w:val="005C39B8"/>
    <w:rsid w:val="005C4477"/>
    <w:rsid w:val="005C7CC8"/>
    <w:rsid w:val="005D02B6"/>
    <w:rsid w:val="005D33FF"/>
    <w:rsid w:val="005E0E20"/>
    <w:rsid w:val="005E6DD8"/>
    <w:rsid w:val="005F300C"/>
    <w:rsid w:val="00603F0B"/>
    <w:rsid w:val="00612769"/>
    <w:rsid w:val="00613195"/>
    <w:rsid w:val="00614D92"/>
    <w:rsid w:val="00624354"/>
    <w:rsid w:val="00624E62"/>
    <w:rsid w:val="00631802"/>
    <w:rsid w:val="00632812"/>
    <w:rsid w:val="006377FD"/>
    <w:rsid w:val="00640EA2"/>
    <w:rsid w:val="00642426"/>
    <w:rsid w:val="00650122"/>
    <w:rsid w:val="00653855"/>
    <w:rsid w:val="00655960"/>
    <w:rsid w:val="00660A45"/>
    <w:rsid w:val="00661788"/>
    <w:rsid w:val="00663D7B"/>
    <w:rsid w:val="006776F3"/>
    <w:rsid w:val="006837EC"/>
    <w:rsid w:val="006841A3"/>
    <w:rsid w:val="00685732"/>
    <w:rsid w:val="00690062"/>
    <w:rsid w:val="006C249A"/>
    <w:rsid w:val="006C2AEC"/>
    <w:rsid w:val="006C47E2"/>
    <w:rsid w:val="006D0150"/>
    <w:rsid w:val="006E2996"/>
    <w:rsid w:val="006E61EE"/>
    <w:rsid w:val="006F3757"/>
    <w:rsid w:val="006F79EA"/>
    <w:rsid w:val="00703BE5"/>
    <w:rsid w:val="0070742C"/>
    <w:rsid w:val="00716E54"/>
    <w:rsid w:val="00722BBB"/>
    <w:rsid w:val="00740526"/>
    <w:rsid w:val="0074138E"/>
    <w:rsid w:val="00746A16"/>
    <w:rsid w:val="0075260E"/>
    <w:rsid w:val="00764832"/>
    <w:rsid w:val="0076514B"/>
    <w:rsid w:val="00766F7C"/>
    <w:rsid w:val="00773D9E"/>
    <w:rsid w:val="0077489F"/>
    <w:rsid w:val="00777104"/>
    <w:rsid w:val="00781CF7"/>
    <w:rsid w:val="00781D6A"/>
    <w:rsid w:val="007875EA"/>
    <w:rsid w:val="0079014D"/>
    <w:rsid w:val="00797582"/>
    <w:rsid w:val="007B131D"/>
    <w:rsid w:val="007B1845"/>
    <w:rsid w:val="007B4E6B"/>
    <w:rsid w:val="007B7B6B"/>
    <w:rsid w:val="007C0CCA"/>
    <w:rsid w:val="007D3459"/>
    <w:rsid w:val="007D4EE1"/>
    <w:rsid w:val="007E2724"/>
    <w:rsid w:val="007E537C"/>
    <w:rsid w:val="007F43C2"/>
    <w:rsid w:val="00800095"/>
    <w:rsid w:val="00802BA0"/>
    <w:rsid w:val="00811144"/>
    <w:rsid w:val="00815543"/>
    <w:rsid w:val="0083168E"/>
    <w:rsid w:val="00832E00"/>
    <w:rsid w:val="008335AB"/>
    <w:rsid w:val="00834069"/>
    <w:rsid w:val="00856B7A"/>
    <w:rsid w:val="008847F1"/>
    <w:rsid w:val="008A5363"/>
    <w:rsid w:val="008A6E6E"/>
    <w:rsid w:val="008B1523"/>
    <w:rsid w:val="008B3F00"/>
    <w:rsid w:val="008B5AD8"/>
    <w:rsid w:val="008B5B07"/>
    <w:rsid w:val="008C24C7"/>
    <w:rsid w:val="008C25A7"/>
    <w:rsid w:val="008C6D9B"/>
    <w:rsid w:val="008C7DFB"/>
    <w:rsid w:val="008D316B"/>
    <w:rsid w:val="008D322C"/>
    <w:rsid w:val="008E3915"/>
    <w:rsid w:val="008E6633"/>
    <w:rsid w:val="008F153E"/>
    <w:rsid w:val="008F45A4"/>
    <w:rsid w:val="00905856"/>
    <w:rsid w:val="00905BD5"/>
    <w:rsid w:val="0091012C"/>
    <w:rsid w:val="0092511C"/>
    <w:rsid w:val="00926AC5"/>
    <w:rsid w:val="00931349"/>
    <w:rsid w:val="00934394"/>
    <w:rsid w:val="00956BA6"/>
    <w:rsid w:val="00957302"/>
    <w:rsid w:val="00963726"/>
    <w:rsid w:val="00964CA7"/>
    <w:rsid w:val="00965256"/>
    <w:rsid w:val="0097770D"/>
    <w:rsid w:val="00983EA1"/>
    <w:rsid w:val="009854C5"/>
    <w:rsid w:val="0098615C"/>
    <w:rsid w:val="009A070C"/>
    <w:rsid w:val="009A080C"/>
    <w:rsid w:val="009A2F8A"/>
    <w:rsid w:val="009C1526"/>
    <w:rsid w:val="009C163C"/>
    <w:rsid w:val="009E5CDB"/>
    <w:rsid w:val="009F348E"/>
    <w:rsid w:val="00A037AB"/>
    <w:rsid w:val="00A0514D"/>
    <w:rsid w:val="00A05BCC"/>
    <w:rsid w:val="00A07EEA"/>
    <w:rsid w:val="00A1360C"/>
    <w:rsid w:val="00A216AA"/>
    <w:rsid w:val="00A33B66"/>
    <w:rsid w:val="00A44945"/>
    <w:rsid w:val="00A50C95"/>
    <w:rsid w:val="00A5125E"/>
    <w:rsid w:val="00A52417"/>
    <w:rsid w:val="00A611AB"/>
    <w:rsid w:val="00A72397"/>
    <w:rsid w:val="00A735DC"/>
    <w:rsid w:val="00A81ED2"/>
    <w:rsid w:val="00A84173"/>
    <w:rsid w:val="00A85C5A"/>
    <w:rsid w:val="00A861ED"/>
    <w:rsid w:val="00A8791D"/>
    <w:rsid w:val="00A90389"/>
    <w:rsid w:val="00A96F53"/>
    <w:rsid w:val="00AA5AD4"/>
    <w:rsid w:val="00AA5DA9"/>
    <w:rsid w:val="00AA6FD3"/>
    <w:rsid w:val="00AB4139"/>
    <w:rsid w:val="00AB5D58"/>
    <w:rsid w:val="00AB618A"/>
    <w:rsid w:val="00AB6311"/>
    <w:rsid w:val="00AC76D6"/>
    <w:rsid w:val="00AD25C2"/>
    <w:rsid w:val="00AD41D6"/>
    <w:rsid w:val="00AE0816"/>
    <w:rsid w:val="00AE5042"/>
    <w:rsid w:val="00B008D3"/>
    <w:rsid w:val="00B022A1"/>
    <w:rsid w:val="00B03218"/>
    <w:rsid w:val="00B04165"/>
    <w:rsid w:val="00B04660"/>
    <w:rsid w:val="00B07632"/>
    <w:rsid w:val="00B11588"/>
    <w:rsid w:val="00B23A6F"/>
    <w:rsid w:val="00B25FAE"/>
    <w:rsid w:val="00B318D6"/>
    <w:rsid w:val="00B3491D"/>
    <w:rsid w:val="00B35A01"/>
    <w:rsid w:val="00B41DB8"/>
    <w:rsid w:val="00B445DF"/>
    <w:rsid w:val="00B47784"/>
    <w:rsid w:val="00B52A27"/>
    <w:rsid w:val="00B539B9"/>
    <w:rsid w:val="00B646E9"/>
    <w:rsid w:val="00B74133"/>
    <w:rsid w:val="00B75840"/>
    <w:rsid w:val="00B92A38"/>
    <w:rsid w:val="00B949F1"/>
    <w:rsid w:val="00B97097"/>
    <w:rsid w:val="00BA00DE"/>
    <w:rsid w:val="00BA0A42"/>
    <w:rsid w:val="00BA4B75"/>
    <w:rsid w:val="00BA4FA3"/>
    <w:rsid w:val="00BB243B"/>
    <w:rsid w:val="00BC559E"/>
    <w:rsid w:val="00BD768D"/>
    <w:rsid w:val="00BE476F"/>
    <w:rsid w:val="00C07314"/>
    <w:rsid w:val="00C07F2B"/>
    <w:rsid w:val="00C2343A"/>
    <w:rsid w:val="00C37EFA"/>
    <w:rsid w:val="00C41145"/>
    <w:rsid w:val="00C43033"/>
    <w:rsid w:val="00C46EFD"/>
    <w:rsid w:val="00C53CFF"/>
    <w:rsid w:val="00C54E65"/>
    <w:rsid w:val="00C65048"/>
    <w:rsid w:val="00C737D6"/>
    <w:rsid w:val="00C81446"/>
    <w:rsid w:val="00C91B45"/>
    <w:rsid w:val="00C94BC2"/>
    <w:rsid w:val="00CA70F1"/>
    <w:rsid w:val="00CB53B5"/>
    <w:rsid w:val="00CC4B19"/>
    <w:rsid w:val="00CC4BB4"/>
    <w:rsid w:val="00CD19E1"/>
    <w:rsid w:val="00CD4A98"/>
    <w:rsid w:val="00CD7B58"/>
    <w:rsid w:val="00CE1CC7"/>
    <w:rsid w:val="00CF5A07"/>
    <w:rsid w:val="00D0152E"/>
    <w:rsid w:val="00D041AB"/>
    <w:rsid w:val="00D06977"/>
    <w:rsid w:val="00D06AE3"/>
    <w:rsid w:val="00D10B61"/>
    <w:rsid w:val="00D11701"/>
    <w:rsid w:val="00D4018B"/>
    <w:rsid w:val="00D43356"/>
    <w:rsid w:val="00D5052A"/>
    <w:rsid w:val="00D535E3"/>
    <w:rsid w:val="00D53617"/>
    <w:rsid w:val="00D629C4"/>
    <w:rsid w:val="00D64B54"/>
    <w:rsid w:val="00D67403"/>
    <w:rsid w:val="00DB0B5C"/>
    <w:rsid w:val="00DE3562"/>
    <w:rsid w:val="00DE4C84"/>
    <w:rsid w:val="00DF1424"/>
    <w:rsid w:val="00DF1588"/>
    <w:rsid w:val="00DF5C06"/>
    <w:rsid w:val="00E04FDE"/>
    <w:rsid w:val="00E064C9"/>
    <w:rsid w:val="00E0650D"/>
    <w:rsid w:val="00E16099"/>
    <w:rsid w:val="00E16E3C"/>
    <w:rsid w:val="00E17877"/>
    <w:rsid w:val="00E23051"/>
    <w:rsid w:val="00E30F9F"/>
    <w:rsid w:val="00E3279B"/>
    <w:rsid w:val="00E340BF"/>
    <w:rsid w:val="00E34664"/>
    <w:rsid w:val="00E347B6"/>
    <w:rsid w:val="00E37A24"/>
    <w:rsid w:val="00E449C0"/>
    <w:rsid w:val="00E45097"/>
    <w:rsid w:val="00E46F82"/>
    <w:rsid w:val="00E63D00"/>
    <w:rsid w:val="00E66987"/>
    <w:rsid w:val="00E66CCC"/>
    <w:rsid w:val="00E67A63"/>
    <w:rsid w:val="00E7652E"/>
    <w:rsid w:val="00E7758B"/>
    <w:rsid w:val="00E85AF1"/>
    <w:rsid w:val="00E85EEB"/>
    <w:rsid w:val="00E967BD"/>
    <w:rsid w:val="00ED0B52"/>
    <w:rsid w:val="00ED0DD7"/>
    <w:rsid w:val="00ED1022"/>
    <w:rsid w:val="00ED2054"/>
    <w:rsid w:val="00ED64D0"/>
    <w:rsid w:val="00EE1005"/>
    <w:rsid w:val="00EE63D3"/>
    <w:rsid w:val="00EE656D"/>
    <w:rsid w:val="00EF3422"/>
    <w:rsid w:val="00F06E46"/>
    <w:rsid w:val="00F1168D"/>
    <w:rsid w:val="00F13402"/>
    <w:rsid w:val="00F14530"/>
    <w:rsid w:val="00F17A4F"/>
    <w:rsid w:val="00F235B6"/>
    <w:rsid w:val="00F26DA7"/>
    <w:rsid w:val="00F27219"/>
    <w:rsid w:val="00F34F37"/>
    <w:rsid w:val="00F55543"/>
    <w:rsid w:val="00F70B98"/>
    <w:rsid w:val="00F738C3"/>
    <w:rsid w:val="00F87E70"/>
    <w:rsid w:val="00F96655"/>
    <w:rsid w:val="00F96831"/>
    <w:rsid w:val="00FB0AB7"/>
    <w:rsid w:val="00FB1F16"/>
    <w:rsid w:val="00FB2241"/>
    <w:rsid w:val="00FB231E"/>
    <w:rsid w:val="00FB70BC"/>
    <w:rsid w:val="00FC203B"/>
    <w:rsid w:val="00FC3A48"/>
    <w:rsid w:val="00FC7418"/>
    <w:rsid w:val="00FD077F"/>
    <w:rsid w:val="00FD3DE9"/>
    <w:rsid w:val="00FD6BCC"/>
    <w:rsid w:val="00FE2A49"/>
    <w:rsid w:val="00FF20A1"/>
    <w:rsid w:val="00FF5541"/>
    <w:rsid w:val="00FF7E8C"/>
    <w:rsid w:val="01012307"/>
    <w:rsid w:val="03DD328A"/>
    <w:rsid w:val="061C534F"/>
    <w:rsid w:val="081A3F5B"/>
    <w:rsid w:val="0B6520BA"/>
    <w:rsid w:val="0C7927C4"/>
    <w:rsid w:val="0F750567"/>
    <w:rsid w:val="10045FA1"/>
    <w:rsid w:val="10E00273"/>
    <w:rsid w:val="120B6763"/>
    <w:rsid w:val="18CA1173"/>
    <w:rsid w:val="1AE81049"/>
    <w:rsid w:val="1BA2741B"/>
    <w:rsid w:val="1BB30674"/>
    <w:rsid w:val="1EA47B74"/>
    <w:rsid w:val="20887F85"/>
    <w:rsid w:val="27622FEE"/>
    <w:rsid w:val="33A40EFE"/>
    <w:rsid w:val="35457E83"/>
    <w:rsid w:val="363E5BCE"/>
    <w:rsid w:val="38315D80"/>
    <w:rsid w:val="38D07386"/>
    <w:rsid w:val="3B923B11"/>
    <w:rsid w:val="42DE1388"/>
    <w:rsid w:val="43CF7F6F"/>
    <w:rsid w:val="43F31B59"/>
    <w:rsid w:val="44801287"/>
    <w:rsid w:val="44806CCE"/>
    <w:rsid w:val="46133DDB"/>
    <w:rsid w:val="467D42F6"/>
    <w:rsid w:val="4BFF6EE5"/>
    <w:rsid w:val="4D062A06"/>
    <w:rsid w:val="4D523BFE"/>
    <w:rsid w:val="546136F5"/>
    <w:rsid w:val="58097547"/>
    <w:rsid w:val="58BB38E6"/>
    <w:rsid w:val="599B5126"/>
    <w:rsid w:val="5CA30BE9"/>
    <w:rsid w:val="5DFE7F9C"/>
    <w:rsid w:val="634B05F5"/>
    <w:rsid w:val="66836DE8"/>
    <w:rsid w:val="69184B75"/>
    <w:rsid w:val="6E313E22"/>
    <w:rsid w:val="709E02E8"/>
    <w:rsid w:val="72F96325"/>
    <w:rsid w:val="73FF4269"/>
    <w:rsid w:val="745E5245"/>
    <w:rsid w:val="786428CB"/>
    <w:rsid w:val="78746DC8"/>
    <w:rsid w:val="793F8270"/>
    <w:rsid w:val="79B77EC6"/>
    <w:rsid w:val="7B7C0EDF"/>
    <w:rsid w:val="7BF505A3"/>
    <w:rsid w:val="7D1363DA"/>
    <w:rsid w:val="7FBF8D2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4"/>
      <w:lang w:val="en-US" w:eastAsia="zh-CN" w:bidi="ar-SA"/>
    </w:rPr>
  </w:style>
  <w:style w:type="character" w:default="1" w:styleId="8">
    <w:name w:val="Default Paragraph Font"/>
    <w:unhideWhenUsed/>
    <w:uiPriority w:val="1"/>
  </w:style>
  <w:style w:type="table" w:default="1" w:styleId="7">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Document Map"/>
    <w:basedOn w:val="1"/>
    <w:link w:val="13"/>
    <w:unhideWhenUsed/>
    <w:qFormat/>
    <w:uiPriority w:val="99"/>
    <w:rPr>
      <w:rFonts w:ascii="宋体"/>
      <w:sz w:val="18"/>
      <w:szCs w:val="18"/>
    </w:rPr>
  </w:style>
  <w:style w:type="paragraph" w:styleId="3">
    <w:name w:val="Balloon Text"/>
    <w:basedOn w:val="1"/>
    <w:link w:val="14"/>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rPr>
      <w:sz w:val="24"/>
    </w:rPr>
  </w:style>
  <w:style w:type="character" w:styleId="9">
    <w:name w:val="page number"/>
    <w:qFormat/>
    <w:uiPriority w:val="0"/>
    <w:rPr>
      <w:rFonts w:ascii="Times New Roman" w:hAnsi="Times New Roman" w:eastAsia="宋体"/>
      <w:sz w:val="18"/>
    </w:rPr>
  </w:style>
  <w:style w:type="character" w:styleId="10">
    <w:name w:val="Emphasis"/>
    <w:basedOn w:val="8"/>
    <w:qFormat/>
    <w:uiPriority w:val="20"/>
    <w:rPr>
      <w:color w:val="F73131"/>
    </w:rPr>
  </w:style>
  <w:style w:type="character" w:styleId="11">
    <w:name w:val="Hyperlink"/>
    <w:basedOn w:val="8"/>
    <w:unhideWhenUsed/>
    <w:qFormat/>
    <w:uiPriority w:val="99"/>
    <w:rPr>
      <w:color w:val="2440B3"/>
      <w:u w:val="none"/>
    </w:rPr>
  </w:style>
  <w:style w:type="character" w:styleId="12">
    <w:name w:val="HTML Cite"/>
    <w:basedOn w:val="8"/>
    <w:unhideWhenUsed/>
    <w:qFormat/>
    <w:uiPriority w:val="99"/>
    <w:rPr>
      <w:color w:val="008000"/>
    </w:rPr>
  </w:style>
  <w:style w:type="character" w:customStyle="1" w:styleId="13">
    <w:name w:val="文档结构图 字符"/>
    <w:link w:val="2"/>
    <w:semiHidden/>
    <w:qFormat/>
    <w:uiPriority w:val="99"/>
    <w:rPr>
      <w:rFonts w:ascii="宋体" w:hAnsi="Times New Roman" w:eastAsia="宋体" w:cs="Times New Roman"/>
      <w:kern w:val="2"/>
      <w:sz w:val="18"/>
      <w:szCs w:val="18"/>
    </w:rPr>
  </w:style>
  <w:style w:type="character" w:customStyle="1" w:styleId="14">
    <w:name w:val="批注框文本 字符"/>
    <w:link w:val="3"/>
    <w:semiHidden/>
    <w:qFormat/>
    <w:uiPriority w:val="99"/>
    <w:rPr>
      <w:rFonts w:ascii="Times New Roman" w:hAnsi="Times New Roman" w:eastAsia="宋体" w:cs="Times New Roman"/>
      <w:sz w:val="18"/>
      <w:szCs w:val="18"/>
    </w:rPr>
  </w:style>
  <w:style w:type="character" w:customStyle="1" w:styleId="15">
    <w:name w:val="页脚 字符"/>
    <w:link w:val="4"/>
    <w:qFormat/>
    <w:uiPriority w:val="99"/>
    <w:rPr>
      <w:sz w:val="18"/>
      <w:szCs w:val="18"/>
    </w:rPr>
  </w:style>
  <w:style w:type="character" w:customStyle="1" w:styleId="16">
    <w:name w:val="页眉 字符"/>
    <w:link w:val="5"/>
    <w:qFormat/>
    <w:uiPriority w:val="99"/>
    <w:rPr>
      <w:sz w:val="18"/>
      <w:szCs w:val="18"/>
    </w:rPr>
  </w:style>
  <w:style w:type="paragraph" w:customStyle="1" w:styleId="17">
    <w:name w:val="段"/>
    <w:link w:val="18"/>
    <w:qFormat/>
    <w:uiPriority w:val="0"/>
    <w:pPr>
      <w:tabs>
        <w:tab w:val="center" w:pos="4201"/>
        <w:tab w:val="right" w:leader="dot" w:pos="9298"/>
      </w:tabs>
      <w:autoSpaceDE w:val="0"/>
      <w:autoSpaceDN w:val="0"/>
      <w:ind w:firstLine="420" w:firstLineChars="200"/>
      <w:jc w:val="both"/>
    </w:pPr>
    <w:rPr>
      <w:rFonts w:ascii="宋体" w:hAnsi="Times New Roman" w:eastAsia="宋体" w:cs="Calibri"/>
      <w:sz w:val="21"/>
      <w:lang w:val="en-US" w:eastAsia="zh-CN" w:bidi="ar-SA"/>
    </w:rPr>
  </w:style>
  <w:style w:type="character" w:customStyle="1" w:styleId="18">
    <w:name w:val="段 Char"/>
    <w:link w:val="17"/>
    <w:qFormat/>
    <w:uiPriority w:val="0"/>
    <w:rPr>
      <w:rFonts w:ascii="宋体" w:hAnsi="Times New Roman" w:eastAsia="宋体" w:cs="Times New Roman"/>
      <w:kern w:val="0"/>
      <w:szCs w:val="20"/>
    </w:rPr>
  </w:style>
  <w:style w:type="paragraph" w:customStyle="1" w:styleId="19">
    <w:name w:val="附录表标号"/>
    <w:basedOn w:val="1"/>
    <w:next w:val="17"/>
    <w:qFormat/>
    <w:uiPriority w:val="0"/>
    <w:pPr>
      <w:numPr>
        <w:ilvl w:val="0"/>
        <w:numId w:val="1"/>
      </w:numPr>
      <w:tabs>
        <w:tab w:val="clear" w:pos="0"/>
      </w:tabs>
      <w:spacing w:line="14" w:lineRule="exact"/>
      <w:ind w:left="811" w:hanging="448"/>
      <w:jc w:val="center"/>
      <w:outlineLvl w:val="0"/>
    </w:pPr>
    <w:rPr>
      <w:color w:val="FFFFFF"/>
    </w:rPr>
  </w:style>
  <w:style w:type="paragraph" w:customStyle="1" w:styleId="20">
    <w:name w:val="附录表标题"/>
    <w:basedOn w:val="1"/>
    <w:next w:val="17"/>
    <w:qFormat/>
    <w:uiPriority w:val="0"/>
    <w:pPr>
      <w:numPr>
        <w:ilvl w:val="1"/>
        <w:numId w:val="1"/>
      </w:numPr>
      <w:tabs>
        <w:tab w:val="left" w:pos="180"/>
      </w:tabs>
      <w:spacing w:beforeLines="50" w:afterLines="50"/>
      <w:ind w:left="0" w:firstLine="0"/>
      <w:jc w:val="center"/>
    </w:pPr>
    <w:rPr>
      <w:rFonts w:ascii="黑体" w:eastAsia="黑体"/>
      <w:szCs w:val="21"/>
    </w:rPr>
  </w:style>
  <w:style w:type="paragraph" w:customStyle="1" w:styleId="21">
    <w:name w:val="正文表标题"/>
    <w:next w:val="17"/>
    <w:qFormat/>
    <w:uiPriority w:val="0"/>
    <w:pPr>
      <w:numPr>
        <w:ilvl w:val="0"/>
        <w:numId w:val="2"/>
      </w:numPr>
      <w:tabs>
        <w:tab w:val="left" w:pos="360"/>
      </w:tabs>
      <w:spacing w:beforeLines="50" w:afterLines="50"/>
      <w:jc w:val="center"/>
    </w:pPr>
    <w:rPr>
      <w:rFonts w:ascii="黑体" w:hAnsi="Times New Roman" w:eastAsia="黑体" w:cs="Calibri"/>
      <w:sz w:val="21"/>
      <w:lang w:val="en-US" w:eastAsia="zh-CN" w:bidi="ar-SA"/>
    </w:rPr>
  </w:style>
  <w:style w:type="paragraph" w:customStyle="1" w:styleId="22">
    <w:name w:val="_Style 1"/>
    <w:basedOn w:val="1"/>
    <w:qFormat/>
    <w:uiPriority w:val="34"/>
    <w:pPr>
      <w:ind w:firstLine="420" w:firstLineChars="200"/>
    </w:pPr>
  </w:style>
  <w:style w:type="paragraph" w:customStyle="1" w:styleId="23">
    <w:name w:val="附录标识"/>
    <w:basedOn w:val="1"/>
    <w:next w:val="17"/>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4">
    <w:name w:val="Char Char Char Char"/>
    <w:basedOn w:val="2"/>
    <w:qFormat/>
    <w:uiPriority w:val="0"/>
    <w:pPr>
      <w:shd w:val="clear" w:color="auto" w:fill="000080"/>
    </w:pPr>
    <w:rPr>
      <w:rFonts w:ascii="Tahoma" w:hAnsi="Tahoma"/>
      <w:sz w:val="24"/>
      <w:szCs w:val="24"/>
    </w:rPr>
  </w:style>
  <w:style w:type="paragraph" w:customStyle="1" w:styleId="25">
    <w:name w:val="列出段落1"/>
    <w:basedOn w:val="1"/>
    <w:qFormat/>
    <w:uiPriority w:val="34"/>
    <w:pPr>
      <w:ind w:firstLine="420" w:firstLineChars="200"/>
    </w:pPr>
    <w:rPr>
      <w:rFonts w:ascii="Calibri" w:hAnsi="Calibri" w:eastAsia="宋体" w:cs="Times New Roman"/>
      <w:szCs w:val="22"/>
    </w:rPr>
  </w:style>
  <w:style w:type="paragraph" w:customStyle="1" w:styleId="26">
    <w:name w:val="标准文件_附录标识"/>
    <w:next w:val="1"/>
    <w:qFormat/>
    <w:uiPriority w:val="0"/>
    <w:pPr>
      <w:shd w:val="clear" w:color="FFFFFF" w:fill="FFFFFF"/>
      <w:tabs>
        <w:tab w:val="left" w:pos="6406"/>
      </w:tabs>
      <w:spacing w:before="25" w:beforeLines="25" w:after="50" w:afterLines="50"/>
      <w:jc w:val="center"/>
      <w:outlineLvl w:val="0"/>
    </w:pPr>
    <w:rPr>
      <w:rFonts w:ascii="黑体" w:hAnsi="Times New Roman" w:eastAsia="黑体" w:cs="Calibri"/>
      <w:sz w:val="21"/>
      <w:lang w:val="en-US" w:eastAsia="zh-CN" w:bidi="ar-SA"/>
    </w:rPr>
  </w:style>
  <w:style w:type="paragraph" w:customStyle="1" w:styleId="27">
    <w:name w:val="标准文件_附录一级条标题"/>
    <w:next w:val="1"/>
    <w:qFormat/>
    <w:uiPriority w:val="0"/>
    <w:pPr>
      <w:widowControl w:val="0"/>
      <w:spacing w:before="50" w:beforeLines="50" w:after="50" w:afterLines="50"/>
      <w:jc w:val="both"/>
      <w:outlineLvl w:val="2"/>
    </w:pPr>
    <w:rPr>
      <w:rFonts w:ascii="黑体" w:hAnsi="Times New Roman" w:eastAsia="黑体" w:cs="Calibri"/>
      <w:kern w:val="21"/>
      <w:sz w:val="21"/>
      <w:lang w:val="en-US" w:eastAsia="zh-CN" w:bidi="ar-SA"/>
    </w:rPr>
  </w:style>
  <w:style w:type="paragraph" w:customStyle="1" w:styleId="28">
    <w:name w:val="标准文件_附录二级条标题"/>
    <w:basedOn w:val="27"/>
    <w:next w:val="1"/>
    <w:qFormat/>
    <w:uiPriority w:val="0"/>
    <w:pPr>
      <w:widowControl/>
      <w:wordWrap w:val="0"/>
      <w:overflowPunct w:val="0"/>
      <w:autoSpaceDE w:val="0"/>
      <w:autoSpaceDN w:val="0"/>
      <w:textAlignment w:val="baseline"/>
      <w:outlineLvl w:val="3"/>
    </w:pPr>
  </w:style>
  <w:style w:type="paragraph" w:customStyle="1" w:styleId="29">
    <w:name w:val="标准文件_附录三级条标题"/>
    <w:next w:val="1"/>
    <w:qFormat/>
    <w:uiPriority w:val="0"/>
    <w:pPr>
      <w:widowControl w:val="0"/>
      <w:spacing w:before="50" w:beforeLines="50" w:after="50" w:afterLines="50"/>
      <w:jc w:val="both"/>
      <w:outlineLvl w:val="4"/>
    </w:pPr>
    <w:rPr>
      <w:rFonts w:ascii="黑体" w:hAnsi="Times New Roman" w:eastAsia="黑体" w:cs="Calibri"/>
      <w:kern w:val="21"/>
      <w:sz w:val="21"/>
      <w:lang w:val="en-US" w:eastAsia="zh-CN" w:bidi="ar-SA"/>
    </w:rPr>
  </w:style>
  <w:style w:type="paragraph" w:customStyle="1" w:styleId="30">
    <w:name w:val="标准文件_附录四级条标题"/>
    <w:next w:val="1"/>
    <w:qFormat/>
    <w:uiPriority w:val="0"/>
    <w:pPr>
      <w:widowControl w:val="0"/>
      <w:spacing w:before="50" w:beforeLines="50" w:after="50" w:afterLines="50"/>
      <w:jc w:val="both"/>
      <w:outlineLvl w:val="5"/>
    </w:pPr>
    <w:rPr>
      <w:rFonts w:ascii="黑体" w:hAnsi="Times New Roman" w:eastAsia="黑体" w:cs="Calibri"/>
      <w:kern w:val="21"/>
      <w:sz w:val="21"/>
      <w:lang w:val="en-US" w:eastAsia="zh-CN" w:bidi="ar-SA"/>
    </w:rPr>
  </w:style>
  <w:style w:type="paragraph" w:customStyle="1" w:styleId="31">
    <w:name w:val="标准文件_附录五级条标题"/>
    <w:next w:val="1"/>
    <w:qFormat/>
    <w:uiPriority w:val="0"/>
    <w:pPr>
      <w:widowControl w:val="0"/>
      <w:spacing w:before="50" w:beforeLines="50" w:after="50" w:afterLines="50"/>
      <w:jc w:val="both"/>
      <w:outlineLvl w:val="6"/>
    </w:pPr>
    <w:rPr>
      <w:rFonts w:ascii="黑体" w:hAnsi="Times New Roman" w:eastAsia="黑体" w:cs="Calibri"/>
      <w:kern w:val="21"/>
      <w:sz w:val="21"/>
      <w:lang w:val="en-US" w:eastAsia="zh-CN" w:bidi="ar-SA"/>
    </w:rPr>
  </w:style>
  <w:style w:type="character" w:customStyle="1" w:styleId="32">
    <w:name w:val="hover22"/>
    <w:basedOn w:val="8"/>
    <w:uiPriority w:val="0"/>
  </w:style>
  <w:style w:type="character" w:customStyle="1" w:styleId="33">
    <w:name w:val="hover23"/>
    <w:basedOn w:val="8"/>
    <w:uiPriority w:val="0"/>
    <w:rPr>
      <w:color w:val="315EFB"/>
    </w:rPr>
  </w:style>
  <w:style w:type="character" w:customStyle="1" w:styleId="34">
    <w:name w:val="hover24"/>
    <w:basedOn w:val="8"/>
    <w:uiPriority w:val="0"/>
    <w:rPr>
      <w:color w:val="315EFB"/>
    </w:rPr>
  </w:style>
  <w:style w:type="character" w:customStyle="1" w:styleId="35">
    <w:name w:val="hover25"/>
    <w:basedOn w:val="8"/>
    <w:uiPriority w:val="0"/>
    <w:rPr>
      <w:color w:val="315EFB"/>
      <w:shd w:val="clear" w:color="auto" w:fill="F0F3FD"/>
    </w:rPr>
  </w:style>
  <w:style w:type="character" w:customStyle="1" w:styleId="36">
    <w:name w:val="c-icon28"/>
    <w:basedOn w:val="8"/>
    <w:uiPriority w:val="0"/>
  </w:style>
  <w:style w:type="paragraph" w:customStyle="1" w:styleId="37">
    <w:name w:val="标准文件_正文标准名称"/>
    <w:basedOn w:val="1"/>
    <w:qFormat/>
    <w:uiPriority w:val="0"/>
    <w:pPr>
      <w:keepNext w:val="0"/>
      <w:keepLines w:val="0"/>
      <w:widowControl/>
      <w:suppressLineNumbers w:val="0"/>
      <w:adjustRightInd/>
      <w:spacing w:before="560" w:beforeAutospacing="0" w:after="640" w:afterAutospacing="0" w:line="400" w:lineRule="exact"/>
      <w:ind w:left="0" w:right="0"/>
      <w:jc w:val="center"/>
    </w:pPr>
    <w:rPr>
      <w:rFonts w:hint="eastAsia" w:ascii="黑体" w:hAnsi="宋体" w:eastAsia="黑体" w:cs="Times New Roman"/>
      <w:kern w:val="2"/>
      <w:sz w:val="32"/>
      <w:szCs w:val="32"/>
      <w:lang w:val="en-US" w:eastAsia="zh-CN" w:bidi="ar"/>
    </w:rPr>
  </w:style>
  <w:style w:type="paragraph" w:customStyle="1" w:styleId="38">
    <w:name w:val="A 正文"/>
    <w:qFormat/>
    <w:uiPriority w:val="0"/>
    <w:pPr>
      <w:spacing w:line="300" w:lineRule="auto"/>
      <w:ind w:firstLine="482"/>
      <w:jc w:val="both"/>
    </w:pPr>
    <w:rPr>
      <w:rFonts w:ascii="Times New Roman" w:hAnsi="Times New Roman" w:eastAsia="宋体" w:cs="宋体"/>
      <w:kern w:val="2"/>
      <w:sz w:val="24"/>
      <w:szCs w:val="24"/>
      <w:lang w:val="en-US" w:eastAsia="zh-CN" w:bidi="ar-SA"/>
    </w:rPr>
  </w:style>
  <w:style w:type="paragraph" w:customStyle="1" w:styleId="3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0">
    <w:name w:val="标准文件_二级无标题"/>
    <w:qFormat/>
    <w:uiPriority w:val="0"/>
    <w:pPr>
      <w:keepNext w:val="0"/>
      <w:keepLines w:val="0"/>
      <w:widowControl w:val="0"/>
      <w:numPr>
        <w:ilvl w:val="3"/>
        <w:numId w:val="4"/>
      </w:numPr>
      <w:suppressLineNumbers w:val="0"/>
      <w:spacing w:before="0" w:beforeLines="0" w:beforeAutospacing="0" w:after="0" w:afterLines="0" w:afterAutospacing="0"/>
      <w:ind w:left="0" w:right="0" w:firstLine="0"/>
      <w:jc w:val="both"/>
      <w:outlineLvl w:val="9"/>
    </w:pPr>
    <w:rPr>
      <w:rFonts w:hint="eastAsia" w:ascii="宋体" w:hAnsi="Times New Roman" w:eastAsia="宋体" w:cs="Times New Roman"/>
      <w:kern w:val="0"/>
      <w:sz w:val="21"/>
      <w:szCs w:val="20"/>
      <w:lang w:val="en-US" w:eastAsia="zh-CN" w:bidi="ar"/>
    </w:rPr>
  </w:style>
  <w:style w:type="paragraph" w:customStyle="1" w:styleId="41">
    <w:name w:val="标准文件_一级无标题"/>
    <w:qFormat/>
    <w:uiPriority w:val="0"/>
    <w:pPr>
      <w:keepNext w:val="0"/>
      <w:keepLines w:val="0"/>
      <w:widowControl/>
      <w:numPr>
        <w:ilvl w:val="2"/>
        <w:numId w:val="5"/>
      </w:numPr>
      <w:suppressLineNumbers w:val="0"/>
      <w:spacing w:before="0" w:beforeLines="0" w:beforeAutospacing="0" w:after="0" w:afterLines="0" w:afterAutospacing="0"/>
      <w:ind w:left="0" w:right="0" w:firstLine="0"/>
      <w:jc w:val="both"/>
      <w:outlineLvl w:val="9"/>
    </w:pPr>
    <w:rPr>
      <w:rFonts w:hint="eastAsia" w:ascii="宋体" w:hAnsi="Times New Roman" w:eastAsia="宋体" w:cs="Times New Roman"/>
      <w:kern w:val="0"/>
      <w:sz w:val="21"/>
      <w:szCs w:val="20"/>
      <w:lang w:val="en-US" w:eastAsia="zh-CN" w:bidi="ar"/>
    </w:rPr>
  </w:style>
  <w:style w:type="paragraph" w:customStyle="1" w:styleId="42">
    <w:name w:val="标准文件_字母编号列项（一级）"/>
    <w:basedOn w:val="1"/>
    <w:qFormat/>
    <w:uiPriority w:val="0"/>
    <w:pPr>
      <w:keepNext w:val="0"/>
      <w:keepLines w:val="0"/>
      <w:widowControl/>
      <w:numPr>
        <w:ilvl w:val="0"/>
        <w:numId w:val="6"/>
      </w:numPr>
      <w:suppressLineNumbers w:val="0"/>
      <w:adjustRightInd/>
      <w:spacing w:before="0" w:beforeAutospacing="0" w:after="0" w:afterAutospacing="0" w:line="240" w:lineRule="auto"/>
      <w:ind w:left="851" w:right="0" w:hanging="426"/>
      <w:jc w:val="both"/>
    </w:pPr>
    <w:rPr>
      <w:rFonts w:hint="eastAsia" w:ascii="宋体" w:hAnsi="Times New Roman" w:eastAsia="宋体" w:cs="Times New Roman"/>
      <w:kern w:val="0"/>
      <w:sz w:val="21"/>
      <w:szCs w:val="20"/>
      <w:lang w:val="en-US" w:eastAsia="zh-CN" w:bidi="ar"/>
    </w:rPr>
  </w:style>
  <w:style w:type="paragraph" w:customStyle="1" w:styleId="43">
    <w:name w:val="标准文件_一级条标题"/>
    <w:basedOn w:val="44"/>
    <w:next w:val="39"/>
    <w:qFormat/>
    <w:uiPriority w:val="0"/>
    <w:pPr>
      <w:numPr>
        <w:ilvl w:val="2"/>
      </w:numPr>
      <w:spacing w:before="50" w:beforeLines="50" w:after="50" w:afterLines="50"/>
      <w:outlineLvl w:val="1"/>
    </w:pPr>
  </w:style>
  <w:style w:type="paragraph" w:customStyle="1" w:styleId="44">
    <w:name w:val="标准文件_章标题"/>
    <w:next w:val="39"/>
    <w:qFormat/>
    <w:uiPriority w:val="0"/>
    <w:pPr>
      <w:numPr>
        <w:ilvl w:val="1"/>
        <w:numId w:val="7"/>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5</Pages>
  <Words>2313</Words>
  <Characters>2416</Characters>
  <Lines>28</Lines>
  <Paragraphs>8</Paragraphs>
  <TotalTime>6</TotalTime>
  <ScaleCrop>false</ScaleCrop>
  <LinksUpToDate>false</LinksUpToDate>
  <CharactersWithSpaces>2418</CharactersWithSpaces>
  <Application>WPS Office_11.8.2.11625_F1E327BC-269C-435d-A152-05C5408002CA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2020-01-17T21:47:00Z</dcterms:created>
  <dc:creator>Administrator</dc:creator>
  <cp:lastModifiedBy>lenovo</cp:lastModifiedBy>
  <cp:lastPrinted>2017-04-22T01:25:00Z</cp:lastPrinted>
  <dcterms:modified xsi:type="dcterms:W3CDTF">2024-09-23T14:40:34Z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2052-11.8.2.11625</vt:lpwstr>
  </property>
  <property fmtid="{D5CDD505-2E9C-101B-9397-08002B2CF9AE}" pid="3" name="ICV">
    <vt:lpwstr>4F1319C144C04AFBB725122D8F8A4AC4_13</vt:lpwstr>
  </property>
</Properties>
</file>