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 </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4404</w:t>
            </w:r>
            <w:r>
              <w:fldChar w:fldCharType="end"/>
            </w:r>
            <w:bookmarkEnd w:id="3"/>
          </w:p>
        </w:tc>
      </w:tr>
    </w:tbl>
    <w:p>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珠海市</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5"/>
        <w:framePr/>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t>4404</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pPr>
        <w:pStyle w:val="196"/>
        <w:framePr/>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0"/>
        <w:framePr w:w="9639" w:h="6976" w:hRule="exact" w:hSpace="0" w:vSpace="0" w:wrap="around" w:hAnchor="page" w:y="6408"/>
        <w:jc w:val="center"/>
        <w:rPr>
          <w:rFonts w:ascii="黑体" w:hAnsi="黑体" w:eastAsia="黑体"/>
          <w:b w:val="0"/>
          <w:bCs w:val="0"/>
          <w:w w:val="100"/>
        </w:rPr>
      </w:pPr>
    </w:p>
    <w:p>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餐饮服务经营者反食品浪费行为规范</w:t>
      </w:r>
      <w:r>
        <w:fldChar w:fldCharType="end"/>
      </w:r>
      <w:bookmarkEnd w:id="9"/>
    </w:p>
    <w:p>
      <w:pPr>
        <w:framePr w:w="9639" w:h="6974" w:hRule="exact" w:wrap="around" w:vAnchor="page" w:hAnchor="page" w:x="1419" w:y="6408" w:anchorLock="1"/>
        <w:ind w:left="-1418"/>
      </w:pPr>
    </w:p>
    <w:p>
      <w:pPr>
        <w:pStyle w:val="125"/>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 xml:space="preserve">Code of </w:t>
      </w:r>
      <w:r>
        <w:rPr>
          <w:rFonts w:hint="eastAsia" w:ascii="黑体" w:hAnsi="黑体" w:eastAsia="黑体"/>
          <w:szCs w:val="28"/>
        </w:rPr>
        <w:t>c</w:t>
      </w:r>
      <w:r>
        <w:rPr>
          <w:rFonts w:ascii="黑体" w:hAnsi="黑体" w:eastAsia="黑体"/>
          <w:szCs w:val="28"/>
        </w:rPr>
        <w:t>onduct for catering service operators to combat food waste</w:t>
      </w:r>
      <w:r>
        <w:rPr>
          <w:rFonts w:ascii="黑体" w:hAnsi="黑体" w:eastAsia="黑体"/>
          <w:szCs w:val="28"/>
        </w:rPr>
        <w:fldChar w:fldCharType="end"/>
      </w:r>
      <w:bookmarkEnd w:id="10"/>
    </w:p>
    <w:p>
      <w:pPr>
        <w:framePr w:w="9639" w:h="6974" w:hRule="exact" w:wrap="around" w:vAnchor="page" w:hAnchor="page" w:x="1419" w:y="6408" w:anchorLock="1"/>
        <w:spacing w:line="760" w:lineRule="exact"/>
        <w:ind w:left="-1418"/>
      </w:pPr>
    </w:p>
    <w:p>
      <w:pPr>
        <w:pStyle w:val="125"/>
        <w:framePr w:w="9639" w:h="6974" w:hRule="exact" w:wrap="around" w:vAnchor="page" w:hAnchor="page" w:x="1419" w:y="6408" w:anchorLock="1"/>
        <w:textAlignment w:val="bottom"/>
        <w:rPr>
          <w:rFonts w:eastAsia="黑体"/>
          <w:szCs w:val="28"/>
        </w:rPr>
      </w:pPr>
    </w:p>
    <w:p>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珠海市市场监督管理局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91"/>
        <w:spacing w:after="360"/>
      </w:pPr>
      <w:bookmarkStart w:id="21" w:name="BookMark1"/>
      <w:bookmarkStart w:id="22" w:name="_Toc170306119"/>
      <w:bookmarkStart w:id="23" w:name="_Toc170225508"/>
      <w:r>
        <w:rPr>
          <w:rFonts w:hint="eastAsia"/>
          <w:spacing w:val="320"/>
        </w:rPr>
        <w:t>目</w:t>
      </w:r>
      <w:r>
        <w:rPr>
          <w:rFonts w:hint="eastAsia"/>
        </w:rPr>
        <w:t>次</w:t>
      </w:r>
    </w:p>
    <w:p>
      <w:pPr>
        <w:pStyle w:val="19"/>
        <w:tabs>
          <w:tab w:val="right" w:leader="dot" w:pos="9344"/>
        </w:tabs>
        <w:rPr>
          <w:rFonts w:asciiTheme="minorHAnsi" w:hAnsiTheme="minorHAnsi" w:eastAsiaTheme="minorEastAsia" w:cstheme="minorBidi"/>
          <w:szCs w:val="22"/>
        </w:rPr>
      </w:pPr>
      <w:r>
        <w:fldChar w:fldCharType="begin"/>
      </w:r>
      <w:r>
        <w:instrText xml:space="preserve"> TOC \o "1-1" \h \t "标准文件_一级条标题,2,标准文件_附录一级条标题,2," </w:instrText>
      </w:r>
      <w:r>
        <w:fldChar w:fldCharType="separate"/>
      </w:r>
      <w:r>
        <w:fldChar w:fldCharType="begin"/>
      </w:r>
      <w:r>
        <w:instrText xml:space="preserve"> HYPERLINK \l "_Toc173248098" </w:instrText>
      </w:r>
      <w:r>
        <w:fldChar w:fldCharType="separate"/>
      </w:r>
      <w:r>
        <w:rPr>
          <w:rStyle w:val="32"/>
        </w:rPr>
        <w:t>前言</w:t>
      </w:r>
      <w:r>
        <w:tab/>
      </w:r>
      <w:r>
        <w:fldChar w:fldCharType="begin"/>
      </w:r>
      <w:r>
        <w:instrText xml:space="preserve"> PAGEREF _Toc173248098 \h </w:instrText>
      </w:r>
      <w:r>
        <w:fldChar w:fldCharType="separate"/>
      </w:r>
      <w:r>
        <w:t>II</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"_Toc173248099" </w:instrText>
      </w:r>
      <w:r>
        <w:fldChar w:fldCharType="separate"/>
      </w:r>
      <w:r>
        <w:rPr>
          <w:rStyle w:val="32"/>
        </w:rPr>
        <w:t>引言</w:t>
      </w:r>
      <w:r>
        <w:tab/>
      </w:r>
      <w:r>
        <w:fldChar w:fldCharType="begin"/>
      </w:r>
      <w:r>
        <w:instrText xml:space="preserve"> PAGEREF _Toc173248099 \h </w:instrText>
      </w:r>
      <w:r>
        <w:fldChar w:fldCharType="separate"/>
      </w:r>
      <w:r>
        <w:t>III</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"_Toc173248100" </w:instrText>
      </w:r>
      <w:r>
        <w:fldChar w:fldCharType="separate"/>
      </w:r>
      <w:r>
        <w:rPr>
          <w:rStyle w:val="32"/>
        </w:rPr>
        <w:t>1  范围</w:t>
      </w:r>
      <w:r>
        <w:tab/>
      </w:r>
      <w:r>
        <w:fldChar w:fldCharType="begin"/>
      </w:r>
      <w:r>
        <w:instrText xml:space="preserve"> PAGEREF _Toc173248100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"_Toc173248101" </w:instrText>
      </w:r>
      <w:r>
        <w:fldChar w:fldCharType="separate"/>
      </w:r>
      <w:r>
        <w:rPr>
          <w:rStyle w:val="32"/>
        </w:rPr>
        <w:t>2  规范性引用文件</w:t>
      </w:r>
      <w:r>
        <w:tab/>
      </w:r>
      <w:r>
        <w:fldChar w:fldCharType="begin"/>
      </w:r>
      <w:r>
        <w:instrText xml:space="preserve"> PAGEREF _Toc173248101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"_Toc173248102" </w:instrText>
      </w:r>
      <w:r>
        <w:fldChar w:fldCharType="separate"/>
      </w:r>
      <w:r>
        <w:rPr>
          <w:rStyle w:val="32"/>
        </w:rPr>
        <w:t>3  术语和定义</w:t>
      </w:r>
      <w:r>
        <w:tab/>
      </w:r>
      <w:r>
        <w:fldChar w:fldCharType="begin"/>
      </w:r>
      <w:r>
        <w:instrText xml:space="preserve"> PAGEREF _Toc173248102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"_Toc173248103" </w:instrText>
      </w:r>
      <w:r>
        <w:fldChar w:fldCharType="separate"/>
      </w:r>
      <w:r>
        <w:rPr>
          <w:rStyle w:val="32"/>
        </w:rPr>
        <w:t>4  总则</w:t>
      </w:r>
      <w:r>
        <w:tab/>
      </w:r>
      <w:r>
        <w:fldChar w:fldCharType="begin"/>
      </w:r>
      <w:r>
        <w:instrText xml:space="preserve"> PAGEREF _Toc173248103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"_Toc173248104" </w:instrText>
      </w:r>
      <w:r>
        <w:fldChar w:fldCharType="separate"/>
      </w:r>
      <w:r>
        <w:rPr>
          <w:rStyle w:val="32"/>
        </w:rPr>
        <w:t>5  策划</w:t>
      </w:r>
      <w:r>
        <w:tab/>
      </w:r>
      <w:r>
        <w:fldChar w:fldCharType="begin"/>
      </w:r>
      <w:r>
        <w:instrText xml:space="preserve"> PAGEREF _Toc173248104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"_Toc173248105" </w:instrText>
      </w:r>
      <w:r>
        <w:fldChar w:fldCharType="separate"/>
      </w:r>
      <w:r>
        <w:rPr>
          <w:rStyle w:val="32"/>
        </w:rPr>
        <w:t>6  实施</w:t>
      </w:r>
      <w:r>
        <w:tab/>
      </w:r>
      <w:r>
        <w:fldChar w:fldCharType="begin"/>
      </w:r>
      <w:r>
        <w:instrText xml:space="preserve"> PAGEREF _Toc173248105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"_Toc173248111" </w:instrText>
      </w:r>
      <w:r>
        <w:fldChar w:fldCharType="separate"/>
      </w:r>
      <w:r>
        <w:rPr>
          <w:rStyle w:val="32"/>
        </w:rPr>
        <w:t>7  监督与评价</w:t>
      </w:r>
      <w:r>
        <w:tab/>
      </w:r>
      <w:r>
        <w:fldChar w:fldCharType="begin"/>
      </w:r>
      <w:r>
        <w:instrText xml:space="preserve"> PAGEREF _Toc173248111 \h </w:instrText>
      </w:r>
      <w:r>
        <w:fldChar w:fldCharType="separate"/>
      </w:r>
      <w:r>
        <w:t>3</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"_Toc173248112" </w:instrText>
      </w:r>
      <w:r>
        <w:fldChar w:fldCharType="separate"/>
      </w:r>
      <w:r>
        <w:rPr>
          <w:rStyle w:val="32"/>
        </w:rPr>
        <w:t>8  改进</w:t>
      </w:r>
      <w:r>
        <w:tab/>
      </w:r>
      <w:r>
        <w:fldChar w:fldCharType="begin"/>
      </w:r>
      <w:r>
        <w:instrText xml:space="preserve"> PAGEREF _Toc173248112 \h </w:instrText>
      </w:r>
      <w:r>
        <w:fldChar w:fldCharType="separate"/>
      </w:r>
      <w:r>
        <w:t>3</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"_Toc173248113" </w:instrText>
      </w:r>
      <w:r>
        <w:fldChar w:fldCharType="separate"/>
      </w:r>
      <w:r>
        <w:rPr>
          <w:rStyle w:val="32"/>
        </w:rPr>
        <w:t>参考文献</w:t>
      </w:r>
      <w:r>
        <w:tab/>
      </w:r>
      <w:r>
        <w:fldChar w:fldCharType="begin"/>
      </w:r>
      <w:r>
        <w:instrText xml:space="preserve"> PAGEREF _Toc173248113 \h </w:instrText>
      </w:r>
      <w:r>
        <w:fldChar w:fldCharType="separate"/>
      </w:r>
      <w:r>
        <w:t>4</w:t>
      </w:r>
      <w:r>
        <w:fldChar w:fldCharType="end"/>
      </w:r>
      <w:r>
        <w:fldChar w:fldCharType="end"/>
      </w:r>
    </w:p>
    <w:p>
      <w:pPr>
        <w:pStyle w:val="91"/>
        <w:spacing w:after="360"/>
        <w:sectPr>
          <w:headerReference r:id="rId9" w:type="default"/>
          <w:footerReference r:id="rId11" w:type="default"/>
          <w:headerReference r:id="rId10" w:type="even"/>
          <w:footerReference r:id="rId12" w:type="even"/>
          <w:pgSz w:w="11906" w:h="16838"/>
          <w:pgMar w:top="1928" w:right="1134" w:bottom="1134" w:left="1134" w:header="1418" w:footer="1134" w:gutter="284"/>
          <w:pgNumType w:fmt="upperRoman" w:start="1"/>
          <w:cols w:space="425" w:num="1"/>
          <w:formProt w:val="0"/>
          <w:docGrid w:linePitch="312" w:charSpace="0"/>
        </w:sectPr>
      </w:pPr>
      <w:r>
        <w:fldChar w:fldCharType="end"/>
      </w:r>
    </w:p>
    <w:bookmarkEnd w:id="21"/>
    <w:p>
      <w:pPr>
        <w:pStyle w:val="89"/>
        <w:numPr>
          <w:ilvl w:val="0"/>
          <w:numId w:val="31"/>
        </w:numPr>
        <w:spacing w:before="900" w:after="360"/>
        <w:ind w:left="0" w:firstLine="0"/>
        <w:rPr>
          <w:spacing w:val="320"/>
        </w:rPr>
      </w:pPr>
      <w:bookmarkStart w:id="24" w:name="_Toc173248098"/>
      <w:bookmarkStart w:id="25" w:name="BookMark2"/>
      <w:r>
        <w:rPr>
          <w:spacing w:val="320"/>
        </w:rPr>
        <w:t>前言</w:t>
      </w:r>
      <w:bookmarkEnd w:id="22"/>
      <w:bookmarkEnd w:id="23"/>
      <w:bookmarkEnd w:id="24"/>
    </w:p>
    <w:p>
      <w:pPr>
        <w:pStyle w:val="56"/>
        <w:ind w:firstLine="420"/>
      </w:pPr>
      <w:r>
        <w:rPr>
          <w:rFonts w:hint="eastAsia"/>
        </w:rPr>
        <w:t>本文件按照GB/T 1.1—2020《标准化工作导则  第1部分：标准化文件的结构和起草规则》的规定起草。</w:t>
      </w:r>
    </w:p>
    <w:p>
      <w:pPr>
        <w:pStyle w:val="56"/>
        <w:ind w:firstLine="420"/>
      </w:pPr>
      <w:r>
        <w:rPr>
          <w:rFonts w:hint="eastAsia"/>
        </w:rPr>
        <w:t>请注意本文件的某些内容可能涉及专利。本文件的发布机构不承担识别专利的责任。</w:t>
      </w:r>
    </w:p>
    <w:p>
      <w:pPr>
        <w:pStyle w:val="56"/>
        <w:ind w:firstLine="420"/>
      </w:pPr>
      <w:r>
        <w:rPr>
          <w:rFonts w:hint="eastAsia"/>
        </w:rPr>
        <w:t>本文件由珠海市市场监督管理局提出。</w:t>
      </w:r>
    </w:p>
    <w:p>
      <w:pPr>
        <w:pStyle w:val="56"/>
        <w:ind w:firstLine="420"/>
      </w:pPr>
      <w:r>
        <w:rPr>
          <w:rFonts w:hint="eastAsia"/>
        </w:rPr>
        <w:t>本文件由珠海市市场监督管理局归口。</w:t>
      </w:r>
    </w:p>
    <w:p>
      <w:pPr>
        <w:pStyle w:val="56"/>
        <w:ind w:firstLine="420"/>
      </w:pPr>
      <w:r>
        <w:rPr>
          <w:rFonts w:hint="eastAsia"/>
        </w:rPr>
        <w:t>本文件起草单位：珠海市市场监督管理局，广东省珠海市质量技术监督标准与编码所。</w:t>
      </w:r>
    </w:p>
    <w:p>
      <w:pPr>
        <w:pStyle w:val="56"/>
        <w:ind w:firstLine="420"/>
      </w:pPr>
      <w:r>
        <w:rPr>
          <w:rFonts w:hint="eastAsia"/>
        </w:rPr>
        <w:t>本文件主要起草人：祁小华、陈万里、余俊斌、李嘉、肖润秋、陈锞、姚文杰。</w:t>
      </w:r>
    </w:p>
    <w:p>
      <w:pPr>
        <w:pStyle w:val="56"/>
        <w:ind w:firstLine="420"/>
      </w:pPr>
    </w:p>
    <w:p>
      <w:pPr>
        <w:pStyle w:val="56"/>
        <w:ind w:firstLine="420"/>
        <w:sectPr>
          <w:pgSz w:w="11906" w:h="16838"/>
          <w:pgMar w:top="1928" w:right="1134" w:bottom="1134" w:left="1134" w:header="1418" w:footer="1134" w:gutter="284"/>
          <w:pgNumType w:fmt="upperRoman"/>
          <w:cols w:space="425" w:num="1"/>
          <w:formProt w:val="0"/>
          <w:docGrid w:linePitch="312" w:charSpace="0"/>
        </w:sectPr>
      </w:pPr>
    </w:p>
    <w:bookmarkEnd w:id="25"/>
    <w:p>
      <w:pPr>
        <w:pStyle w:val="89"/>
        <w:numPr>
          <w:ilvl w:val="0"/>
          <w:numId w:val="31"/>
        </w:numPr>
        <w:spacing w:before="900" w:after="468"/>
        <w:ind w:left="0" w:firstLine="0"/>
        <w:rPr>
          <w:spacing w:val="320"/>
        </w:rPr>
      </w:pPr>
      <w:bookmarkStart w:id="26" w:name="_Toc173248099"/>
      <w:bookmarkStart w:id="27" w:name="BookMark3"/>
      <w:r>
        <w:rPr>
          <w:spacing w:val="320"/>
        </w:rPr>
        <w:t>引言</w:t>
      </w:r>
      <w:bookmarkEnd w:id="26"/>
    </w:p>
    <w:p>
      <w:pPr>
        <w:pStyle w:val="56"/>
        <w:ind w:firstLine="420"/>
      </w:pPr>
      <w:r>
        <w:rPr>
          <w:rFonts w:hint="eastAsia"/>
        </w:rPr>
        <w:t>厉行节约、反对浪费，是中华民族的传统美德。制止餐饮浪费行为，倡导文明、健康、理性、绿色的消费理念对于保障国家粮食安全、倡导社会文明、推进资源节约型社会建设，促进经济社会可持续发展，保障国家安全具有非常重要的意义。为规范餐饮服务经营者反食品浪费管理工作、营造反食品浪费的良好消费环境，制定本文件。</w:t>
      </w:r>
    </w:p>
    <w:p>
      <w:pPr>
        <w:pStyle w:val="56"/>
        <w:ind w:firstLine="420"/>
      </w:pPr>
      <w:r>
        <w:rPr>
          <w:rFonts w:hint="eastAsia"/>
        </w:rPr>
        <w:t>本文件采用过程方法，该方法结合了“策划-实施-检查-处置”（PDCA）循环和基于风险的思维。</w:t>
      </w:r>
    </w:p>
    <w:p>
      <w:pPr>
        <w:pStyle w:val="56"/>
        <w:ind w:firstLine="420"/>
      </w:pPr>
      <w:r>
        <w:rPr>
          <w:rFonts w:hint="eastAsia"/>
        </w:rPr>
        <w:t>本文件从餐饮反食品浪费总则、策划、实施、监督与评价、改进等方面，按照PDCA的管理模型对餐饮服务经营者的反食品浪费行为提出了相关要求。</w:t>
      </w:r>
    </w:p>
    <w:p>
      <w:pPr>
        <w:pStyle w:val="56"/>
        <w:ind w:firstLine="420"/>
      </w:pPr>
    </w:p>
    <w:p>
      <w:pPr>
        <w:pStyle w:val="56"/>
        <w:ind w:firstLine="420"/>
        <w:sectPr>
          <w:headerReference r:id="rId13" w:type="default"/>
          <w:footerReference r:id="rId15" w:type="default"/>
          <w:headerReference r:id="rId14" w:type="even"/>
          <w:pgSz w:w="11906" w:h="16838"/>
          <w:pgMar w:top="1928" w:right="1134" w:bottom="1134" w:left="1134" w:header="1418" w:footer="1134" w:gutter="284"/>
          <w:pgNumType w:fmt="upperRoman"/>
          <w:cols w:space="425" w:num="1"/>
          <w:formProt w:val="0"/>
          <w:docGrid w:type="lines" w:linePitch="312" w:charSpace="0"/>
        </w:sectPr>
      </w:pPr>
    </w:p>
    <w:bookmarkEnd w:id="27"/>
    <w:p>
      <w:pPr>
        <w:spacing w:line="20" w:lineRule="exact"/>
        <w:jc w:val="center"/>
        <w:rPr>
          <w:rFonts w:ascii="黑体" w:hAnsi="黑体" w:eastAsia="黑体"/>
          <w:sz w:val="32"/>
          <w:szCs w:val="32"/>
        </w:rPr>
      </w:pPr>
      <w:bookmarkStart w:id="28" w:name="BookMark4"/>
    </w:p>
    <w:p>
      <w:pPr>
        <w:spacing w:line="20" w:lineRule="exact"/>
        <w:jc w:val="center"/>
        <w:rPr>
          <w:rFonts w:ascii="黑体" w:hAnsi="黑体" w:eastAsia="黑体"/>
          <w:sz w:val="32"/>
          <w:szCs w:val="32"/>
        </w:rPr>
      </w:pPr>
    </w:p>
    <w:sdt>
      <w:sdtPr>
        <w:tag w:val="NEW_STAND_NAME"/>
        <w:id w:val="1177697518"/>
        <w:placeholder>
          <w:docPart w:val="7A328BBB484145D69C399F8BB703059D"/>
        </w:placeholder>
      </w:sdtPr>
      <w:sdtContent>
        <w:p>
          <w:pPr>
            <w:pStyle w:val="177"/>
            <w:spacing w:before="312" w:beforeLines="100" w:after="686" w:afterLines="220"/>
          </w:pPr>
          <w:r>
            <w:rPr>
              <w:rFonts w:hint="eastAsia"/>
            </w:rPr>
            <w:t>餐饮服务经营者反食品浪费行为规范</w:t>
          </w:r>
        </w:p>
      </w:sdtContent>
    </w:sdt>
    <w:p>
      <w:pPr>
        <w:pStyle w:val="104"/>
        <w:spacing w:before="312" w:after="312"/>
      </w:pPr>
      <w:bookmarkStart w:id="29" w:name="_Toc170306120"/>
      <w:bookmarkStart w:id="30" w:name="_Toc170225509"/>
      <w:bookmarkStart w:id="31" w:name="_Toc139615246"/>
      <w:bookmarkStart w:id="32" w:name="_Toc173248100"/>
      <w:bookmarkStart w:id="33" w:name="_Toc97192964"/>
      <w:bookmarkStart w:id="34" w:name="_Toc143260668"/>
      <w:bookmarkStart w:id="35" w:name="_Toc143260308"/>
      <w:bookmarkStart w:id="36" w:name="_Toc143162707"/>
      <w:bookmarkStart w:id="37" w:name="_Toc142660666"/>
      <w:bookmarkStart w:id="38" w:name="_Toc143035657"/>
      <w:r>
        <w:rPr>
          <w:rFonts w:hint="eastAsia"/>
        </w:rPr>
        <w:t>范围</w:t>
      </w:r>
      <w:bookmarkEnd w:id="29"/>
      <w:bookmarkEnd w:id="30"/>
      <w:bookmarkEnd w:id="31"/>
      <w:bookmarkEnd w:id="32"/>
      <w:bookmarkEnd w:id="33"/>
      <w:bookmarkEnd w:id="34"/>
      <w:bookmarkEnd w:id="35"/>
      <w:bookmarkEnd w:id="36"/>
      <w:bookmarkEnd w:id="37"/>
      <w:bookmarkEnd w:id="38"/>
    </w:p>
    <w:p>
      <w:pPr>
        <w:pStyle w:val="56"/>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本文件规定了餐饮服务经营者反食品浪费行为的总则、策划、实施、监督与评价以及改进的要求。</w:t>
      </w:r>
    </w:p>
    <w:p>
      <w:pPr>
        <w:pStyle w:val="56"/>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本文件适用于餐饮服务经营者在原材料采购与储存、供餐设计与加工、服务提供、未销售的食品及餐厨垃圾处置的全过程反食品浪费行为。</w:t>
      </w:r>
    </w:p>
    <w:p>
      <w:pPr>
        <w:pStyle w:val="104"/>
        <w:spacing w:before="312" w:after="312"/>
      </w:pPr>
      <w:bookmarkStart w:id="39" w:name="_Toc170306121"/>
      <w:bookmarkStart w:id="40" w:name="_Toc143162708"/>
      <w:bookmarkStart w:id="41" w:name="_Toc97192965"/>
      <w:bookmarkStart w:id="42" w:name="_Toc170225510"/>
      <w:bookmarkStart w:id="43" w:name="_Toc139615247"/>
      <w:bookmarkStart w:id="44" w:name="_Toc143260309"/>
      <w:bookmarkStart w:id="45" w:name="_Toc142660667"/>
      <w:bookmarkStart w:id="46" w:name="_Toc143260669"/>
      <w:bookmarkStart w:id="47" w:name="_Toc143035658"/>
      <w:bookmarkStart w:id="48" w:name="_Toc173248101"/>
      <w:r>
        <w:rPr>
          <w:rFonts w:hint="eastAsia"/>
        </w:rPr>
        <w:t>规范性引用文件</w:t>
      </w:r>
      <w:bookmarkEnd w:id="39"/>
      <w:bookmarkEnd w:id="40"/>
      <w:bookmarkEnd w:id="41"/>
      <w:bookmarkEnd w:id="42"/>
      <w:bookmarkEnd w:id="43"/>
      <w:bookmarkEnd w:id="44"/>
      <w:bookmarkEnd w:id="45"/>
      <w:bookmarkEnd w:id="46"/>
      <w:bookmarkEnd w:id="47"/>
      <w:bookmarkEnd w:id="48"/>
    </w:p>
    <w:sdt>
      <w:sdtPr>
        <w:rPr>
          <w:rFonts w:hint="eastAsia"/>
        </w:rPr>
        <w:id w:val="-784737496"/>
        <w:placeholder>
          <w:docPart w:val="52EA8BE657B5415381D9AFC7ECBFBC2D"/>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6"/>
            <w:ind w:firstLine="420"/>
          </w:pPr>
          <w:r>
            <w:rPr>
              <w:rFonts w:hint="eastAsia"/>
            </w:rPr>
            <w:t>本文件没有规范性引用文件。</w:t>
          </w:r>
        </w:p>
      </w:sdtContent>
    </w:sdt>
    <w:p>
      <w:pPr>
        <w:pStyle w:val="104"/>
        <w:spacing w:before="312" w:after="312"/>
      </w:pPr>
      <w:bookmarkStart w:id="49" w:name="_Toc143035659"/>
      <w:bookmarkStart w:id="50" w:name="_Toc97192966"/>
      <w:bookmarkStart w:id="51" w:name="_Toc143260310"/>
      <w:bookmarkStart w:id="52" w:name="_Toc143260670"/>
      <w:bookmarkStart w:id="53" w:name="_Toc143162709"/>
      <w:bookmarkStart w:id="54" w:name="_Toc170306122"/>
      <w:bookmarkStart w:id="55" w:name="_Toc139615248"/>
      <w:bookmarkStart w:id="56" w:name="_Toc170225511"/>
      <w:bookmarkStart w:id="57" w:name="_Toc142660668"/>
      <w:bookmarkStart w:id="58" w:name="_Toc173248102"/>
      <w:r>
        <w:rPr>
          <w:rFonts w:hint="eastAsia"/>
          <w:szCs w:val="21"/>
        </w:rPr>
        <w:t>术语和定义</w:t>
      </w:r>
      <w:bookmarkEnd w:id="49"/>
      <w:bookmarkEnd w:id="50"/>
      <w:bookmarkEnd w:id="51"/>
      <w:bookmarkEnd w:id="52"/>
      <w:bookmarkEnd w:id="53"/>
      <w:bookmarkEnd w:id="54"/>
      <w:bookmarkEnd w:id="55"/>
      <w:bookmarkEnd w:id="56"/>
      <w:bookmarkEnd w:id="57"/>
      <w:bookmarkEnd w:id="58"/>
    </w:p>
    <w:sdt>
      <w:sdtPr>
        <w:id w:val="-228076481"/>
        <w:placeholder>
          <w:docPart w:val="F4AE1427F5F742E98053893A512F44D9"/>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6"/>
            <w:ind w:firstLine="420"/>
          </w:pPr>
          <w:r>
            <w:t>下列术语和定义适用于本文件。</w:t>
          </w:r>
        </w:p>
      </w:sdtContent>
    </w:sdt>
    <w:p>
      <w:pPr>
        <w:pStyle w:val="223"/>
        <w:ind w:left="420" w:hanging="420" w:hangingChars="200"/>
        <w:rPr>
          <w:rFonts w:ascii="黑体" w:hAnsi="黑体" w:eastAsia="黑体"/>
        </w:rPr>
      </w:pPr>
      <w:bookmarkStart w:id="59" w:name="_Toc142660669"/>
      <w:bookmarkEnd w:id="59"/>
      <w:bookmarkStart w:id="60" w:name="_Toc139615250"/>
      <w:bookmarkEnd w:id="60"/>
      <w:bookmarkStart w:id="61" w:name="_Toc142660670"/>
      <w:bookmarkEnd w:id="61"/>
      <w:bookmarkStart w:id="62" w:name="_Toc139615249"/>
      <w:bookmarkEnd w:id="62"/>
      <w:r>
        <w:rPr>
          <w:rFonts w:ascii="黑体" w:hAnsi="黑体" w:eastAsia="黑体"/>
        </w:rPr>
        <w:br w:type="textWrapping"/>
      </w:r>
      <w:r>
        <w:rPr>
          <w:rFonts w:hint="eastAsia" w:ascii="黑体" w:hAnsi="黑体" w:eastAsia="黑体"/>
        </w:rPr>
        <w:t xml:space="preserve">餐饮服务经营者 </w:t>
      </w:r>
      <w:r>
        <w:rPr>
          <w:rFonts w:ascii="黑体" w:hAnsi="黑体" w:eastAsia="黑体"/>
        </w:rPr>
        <w:t>catering service operators</w:t>
      </w:r>
    </w:p>
    <w:p>
      <w:pPr>
        <w:pStyle w:val="56"/>
        <w:ind w:firstLine="420"/>
      </w:pPr>
      <w:r>
        <w:rPr>
          <w:rFonts w:hint="eastAsia"/>
        </w:rPr>
        <w:t>包括餐馆（大型、中型、小型）、中央厨房、集体用餐配送单位、饮品店、糕点店、小餐饮、餐饮服务连锁企业总部、餐饮管理企业等具体业态。</w:t>
      </w:r>
    </w:p>
    <w:p>
      <w:pPr>
        <w:pStyle w:val="104"/>
        <w:spacing w:before="312" w:after="312"/>
      </w:pPr>
      <w:bookmarkStart w:id="63" w:name="_Toc139615251"/>
      <w:bookmarkEnd w:id="63"/>
      <w:bookmarkStart w:id="64" w:name="_Toc142660671"/>
      <w:bookmarkEnd w:id="64"/>
      <w:bookmarkStart w:id="65" w:name="_Toc143260671"/>
      <w:bookmarkStart w:id="66" w:name="_Toc139615252"/>
      <w:bookmarkStart w:id="67" w:name="_Toc143035660"/>
      <w:bookmarkStart w:id="68" w:name="_Toc142660672"/>
      <w:bookmarkStart w:id="69" w:name="_Toc170225512"/>
      <w:bookmarkStart w:id="70" w:name="_Toc143162710"/>
      <w:bookmarkStart w:id="71" w:name="_Toc170306123"/>
      <w:bookmarkStart w:id="72" w:name="_Toc173248103"/>
      <w:bookmarkStart w:id="73" w:name="_Toc143260311"/>
      <w:r>
        <w:rPr>
          <w:rFonts w:hint="eastAsia"/>
        </w:rPr>
        <w:t>总则</w:t>
      </w:r>
      <w:bookmarkEnd w:id="65"/>
      <w:bookmarkEnd w:id="66"/>
      <w:bookmarkEnd w:id="67"/>
      <w:bookmarkEnd w:id="68"/>
      <w:bookmarkEnd w:id="69"/>
      <w:bookmarkEnd w:id="70"/>
      <w:bookmarkEnd w:id="71"/>
      <w:bookmarkEnd w:id="72"/>
      <w:bookmarkEnd w:id="73"/>
    </w:p>
    <w:p>
      <w:pPr>
        <w:pStyle w:val="162"/>
      </w:pPr>
      <w:bookmarkStart w:id="74" w:name="_Toc142660673"/>
      <w:r>
        <w:rPr>
          <w:rFonts w:hint="eastAsia"/>
        </w:rPr>
        <w:t>宜通过实施制止餐饮浪费管理以提升自身市场竞争力，引导消费者树立正确消费观，节约社会资源，促进经济社会可持续发展。</w:t>
      </w:r>
      <w:bookmarkEnd w:id="74"/>
    </w:p>
    <w:p>
      <w:pPr>
        <w:pStyle w:val="162"/>
      </w:pPr>
      <w:bookmarkStart w:id="75" w:name="_Toc142660674"/>
      <w:r>
        <w:rPr>
          <w:rFonts w:hint="eastAsia"/>
        </w:rPr>
        <w:t>应对法律法规、可持续发展、消费观念、相关方等方面作分析，明确反食品浪费的需求和目标。</w:t>
      </w:r>
      <w:bookmarkEnd w:id="75"/>
    </w:p>
    <w:p>
      <w:pPr>
        <w:pStyle w:val="162"/>
      </w:pPr>
      <w:bookmarkStart w:id="76" w:name="_Toc142660675"/>
      <w:r>
        <w:rPr>
          <w:rFonts w:hint="eastAsia"/>
        </w:rPr>
        <w:t>应确定包括但不限于反食品浪费范围、过程、资源配置、检验方法、职责权限分配、实施和改进的方法。</w:t>
      </w:r>
      <w:bookmarkEnd w:id="76"/>
    </w:p>
    <w:p>
      <w:pPr>
        <w:pStyle w:val="104"/>
        <w:spacing w:before="312" w:after="312"/>
      </w:pPr>
      <w:bookmarkStart w:id="77" w:name="_Toc143260312"/>
      <w:bookmarkStart w:id="78" w:name="_Toc142660676"/>
      <w:bookmarkStart w:id="79" w:name="_Toc170225513"/>
      <w:bookmarkStart w:id="80" w:name="_Toc143260672"/>
      <w:bookmarkStart w:id="81" w:name="_Toc139615253"/>
      <w:bookmarkStart w:id="82" w:name="_Toc143162711"/>
      <w:bookmarkStart w:id="83" w:name="_Toc143035661"/>
      <w:bookmarkStart w:id="84" w:name="_Toc170306124"/>
      <w:bookmarkStart w:id="85" w:name="_Toc173248104"/>
      <w:r>
        <w:rPr>
          <w:rFonts w:hint="eastAsia"/>
        </w:rPr>
        <w:t>策划</w:t>
      </w:r>
      <w:bookmarkEnd w:id="77"/>
      <w:bookmarkEnd w:id="78"/>
      <w:bookmarkEnd w:id="79"/>
      <w:bookmarkEnd w:id="80"/>
      <w:bookmarkEnd w:id="81"/>
      <w:bookmarkEnd w:id="82"/>
      <w:bookmarkEnd w:id="83"/>
      <w:bookmarkEnd w:id="84"/>
      <w:bookmarkEnd w:id="85"/>
    </w:p>
    <w:p>
      <w:pPr>
        <w:pStyle w:val="162"/>
      </w:pPr>
      <w:bookmarkStart w:id="86" w:name="_Toc142660677"/>
      <w:r>
        <w:rPr>
          <w:rFonts w:hint="eastAsia"/>
        </w:rPr>
        <w:t>应明确制止餐饮浪费管理目标，将制止餐饮浪费纳入战略发展规划与绩效考核管理。</w:t>
      </w:r>
      <w:bookmarkEnd w:id="86"/>
    </w:p>
    <w:p>
      <w:pPr>
        <w:pStyle w:val="162"/>
      </w:pPr>
      <w:bookmarkStart w:id="87" w:name="_Toc142660678"/>
      <w:r>
        <w:rPr>
          <w:rFonts w:hint="eastAsia"/>
        </w:rPr>
        <w:t>应设置制止餐饮浪费的管理部门或岗位，明确职责、工作目标、工作内容和考核要求等。</w:t>
      </w:r>
      <w:bookmarkEnd w:id="87"/>
    </w:p>
    <w:p>
      <w:pPr>
        <w:pStyle w:val="162"/>
      </w:pPr>
      <w:bookmarkStart w:id="88" w:name="_Toc142660679"/>
      <w:r>
        <w:rPr>
          <w:rFonts w:hint="eastAsia"/>
        </w:rPr>
        <w:t>应建立制止餐饮浪费的管理制度或在现有制度中增加相应的管理内容，主要包含采购与储存、供餐设计与加工、服务提供、宣传、餐厨垃圾及未销售剩余食品、监督与评价、改进等方面的管理内容。</w:t>
      </w:r>
      <w:bookmarkEnd w:id="88"/>
    </w:p>
    <w:p>
      <w:pPr>
        <w:pStyle w:val="162"/>
      </w:pPr>
      <w:bookmarkStart w:id="89" w:name="_Toc142660680"/>
      <w:r>
        <w:rPr>
          <w:rFonts w:hint="eastAsia"/>
        </w:rPr>
        <w:t>应对生产、服务全过程分析，识别造成餐饮浪费的环节、分析原因，制定各环节制止餐饮浪费的措施，并落实到各部门或岗位。</w:t>
      </w:r>
      <w:bookmarkEnd w:id="89"/>
    </w:p>
    <w:p>
      <w:pPr>
        <w:pStyle w:val="162"/>
      </w:pPr>
      <w:bookmarkStart w:id="90" w:name="_Toc142660681"/>
      <w:r>
        <w:rPr>
          <w:rFonts w:hint="eastAsia"/>
        </w:rPr>
        <w:t>宜运用云平台、人工智能、大数据、区块链、云计算等信息化手段，对食品采购、运输、储存、加工等方面进行科学管理。</w:t>
      </w:r>
      <w:bookmarkEnd w:id="90"/>
    </w:p>
    <w:p>
      <w:pPr>
        <w:pStyle w:val="104"/>
        <w:spacing w:before="312" w:after="312"/>
      </w:pPr>
      <w:bookmarkStart w:id="91" w:name="_Toc173248105"/>
      <w:bookmarkStart w:id="92" w:name="_Toc143260673"/>
      <w:bookmarkStart w:id="93" w:name="_Toc170306125"/>
      <w:bookmarkStart w:id="94" w:name="_Toc170225514"/>
      <w:bookmarkStart w:id="95" w:name="_Toc143260313"/>
      <w:bookmarkStart w:id="96" w:name="_Toc143162712"/>
      <w:bookmarkStart w:id="97" w:name="_Toc139615254"/>
      <w:bookmarkStart w:id="98" w:name="_Toc142660682"/>
      <w:bookmarkStart w:id="99" w:name="_Toc143035662"/>
      <w:r>
        <w:rPr>
          <w:rFonts w:hint="eastAsia"/>
        </w:rPr>
        <w:t>实施</w:t>
      </w:r>
      <w:bookmarkEnd w:id="91"/>
      <w:bookmarkEnd w:id="92"/>
      <w:bookmarkEnd w:id="93"/>
      <w:bookmarkEnd w:id="94"/>
      <w:bookmarkEnd w:id="95"/>
      <w:bookmarkEnd w:id="96"/>
      <w:bookmarkEnd w:id="97"/>
      <w:bookmarkEnd w:id="98"/>
      <w:bookmarkEnd w:id="99"/>
    </w:p>
    <w:p>
      <w:pPr>
        <w:pStyle w:val="105"/>
        <w:spacing w:before="156" w:after="156"/>
      </w:pPr>
      <w:bookmarkStart w:id="100" w:name="_Toc143260314"/>
      <w:bookmarkStart w:id="101" w:name="_Toc170225515"/>
      <w:bookmarkStart w:id="102" w:name="_Toc173248106"/>
      <w:bookmarkStart w:id="103" w:name="_Toc170306126"/>
      <w:bookmarkStart w:id="104" w:name="_Toc143260674"/>
      <w:bookmarkStart w:id="105" w:name="_Toc139615255"/>
      <w:bookmarkStart w:id="106" w:name="_Toc142660683"/>
      <w:bookmarkStart w:id="107" w:name="_Toc143035663"/>
      <w:bookmarkStart w:id="108" w:name="_Toc143162713"/>
      <w:r>
        <w:rPr>
          <w:rFonts w:hint="eastAsia"/>
        </w:rPr>
        <w:t>原材料采购与储存</w:t>
      </w:r>
      <w:bookmarkEnd w:id="100"/>
      <w:bookmarkEnd w:id="101"/>
      <w:bookmarkEnd w:id="102"/>
      <w:bookmarkEnd w:id="103"/>
      <w:bookmarkEnd w:id="104"/>
      <w:bookmarkEnd w:id="105"/>
      <w:bookmarkEnd w:id="106"/>
      <w:bookmarkEnd w:id="107"/>
      <w:bookmarkEnd w:id="108"/>
    </w:p>
    <w:p>
      <w:pPr>
        <w:pStyle w:val="65"/>
        <w:spacing w:before="156" w:after="156"/>
      </w:pPr>
      <w:r>
        <w:rPr>
          <w:rFonts w:hint="eastAsia"/>
        </w:rPr>
        <w:t>采购</w:t>
      </w:r>
    </w:p>
    <w:p>
      <w:pPr>
        <w:pStyle w:val="164"/>
      </w:pPr>
      <w:r>
        <w:rPr>
          <w:rFonts w:hint="eastAsia"/>
        </w:rPr>
        <w:t>应配备专职或兼职原材料采购管理人员，负责采购计划制定、采购货物查验及原材料跟踪管理。</w:t>
      </w:r>
    </w:p>
    <w:p>
      <w:pPr>
        <w:pStyle w:val="164"/>
      </w:pPr>
      <w:r>
        <w:rPr>
          <w:rFonts w:hint="eastAsia"/>
        </w:rPr>
        <w:t>应建立采购验货制度，对采购货物的密封性、完整性进行查验并登记。</w:t>
      </w:r>
    </w:p>
    <w:p>
      <w:pPr>
        <w:pStyle w:val="164"/>
      </w:pPr>
      <w:r>
        <w:t>应根据消费者的就餐需求量，合理制定原材料采购计划并存档</w:t>
      </w:r>
      <w:r>
        <w:rPr>
          <w:rFonts w:hint="eastAsia"/>
        </w:rPr>
        <w:t>，</w:t>
      </w:r>
      <w:r>
        <w:t>如遇就餐需求减少等突发情况，应调整原</w:t>
      </w:r>
      <w:r>
        <w:rPr>
          <w:rFonts w:hint="eastAsia"/>
        </w:rPr>
        <w:t>材</w:t>
      </w:r>
      <w:r>
        <w:t>料采购计划</w:t>
      </w:r>
      <w:r>
        <w:rPr>
          <w:rFonts w:hint="eastAsia"/>
        </w:rPr>
        <w:t>。</w:t>
      </w:r>
    </w:p>
    <w:p>
      <w:pPr>
        <w:pStyle w:val="164"/>
      </w:pPr>
      <w:r>
        <w:t>宜建立原</w:t>
      </w:r>
      <w:r>
        <w:rPr>
          <w:rFonts w:hint="eastAsia"/>
        </w:rPr>
        <w:t>材</w:t>
      </w:r>
      <w:r>
        <w:t>料采购和库存管理</w:t>
      </w:r>
      <w:r>
        <w:rPr>
          <w:rFonts w:hint="eastAsia"/>
        </w:rPr>
        <w:t>的</w:t>
      </w:r>
      <w:r>
        <w:t>信息系统</w:t>
      </w:r>
      <w:r>
        <w:rPr>
          <w:rFonts w:hint="eastAsia"/>
        </w:rPr>
        <w:t>以</w:t>
      </w:r>
      <w:r>
        <w:t>精准控制采购和库存。</w:t>
      </w:r>
    </w:p>
    <w:p>
      <w:pPr>
        <w:pStyle w:val="65"/>
        <w:spacing w:before="156" w:after="156"/>
      </w:pPr>
      <w:r>
        <w:rPr>
          <w:rFonts w:hint="eastAsia"/>
        </w:rPr>
        <w:t>储存</w:t>
      </w:r>
    </w:p>
    <w:p>
      <w:pPr>
        <w:pStyle w:val="164"/>
      </w:pPr>
      <w:r>
        <w:t>应</w:t>
      </w:r>
      <w:r>
        <w:rPr>
          <w:rFonts w:hint="eastAsia"/>
        </w:rPr>
        <w:t>根据原材料类别制定相应管理规范，明确存储期限、存储环境要求等信息。</w:t>
      </w:r>
    </w:p>
    <w:p>
      <w:pPr>
        <w:pStyle w:val="164"/>
      </w:pPr>
      <w:r>
        <w:t>应分类或分区储存</w:t>
      </w:r>
      <w:r>
        <w:rPr>
          <w:rFonts w:hint="eastAsia"/>
        </w:rPr>
        <w:t>原材料，</w:t>
      </w:r>
      <w:r>
        <w:t>根据食品储存要求设定相应的温湿度参数</w:t>
      </w:r>
      <w:r>
        <w:rPr>
          <w:rFonts w:hint="eastAsia"/>
        </w:rPr>
        <w:t>。</w:t>
      </w:r>
    </w:p>
    <w:p>
      <w:pPr>
        <w:pStyle w:val="164"/>
      </w:pPr>
      <w:r>
        <w:t>库存管理应遵</w:t>
      </w:r>
      <w:r>
        <w:rPr>
          <w:rFonts w:hint="eastAsia"/>
        </w:rPr>
        <w:t>循</w:t>
      </w:r>
      <w:r>
        <w:t>先进</w:t>
      </w:r>
      <w:r>
        <w:rPr>
          <w:rFonts w:hint="eastAsia"/>
        </w:rPr>
        <w:t>先出</w:t>
      </w:r>
      <w:r>
        <w:t>的原则，</w:t>
      </w:r>
      <w:r>
        <w:rPr>
          <w:rFonts w:hint="eastAsia"/>
        </w:rPr>
        <w:t>管理人员应</w:t>
      </w:r>
      <w:r>
        <w:t>定期开展原材料库存盘点，</w:t>
      </w:r>
      <w:r>
        <w:rPr>
          <w:rFonts w:hint="eastAsia"/>
        </w:rPr>
        <w:t>合理调整原材料的存储及采购计划，</w:t>
      </w:r>
      <w:r>
        <w:t>及时清理变质或者超过保质期的食品。</w:t>
      </w:r>
    </w:p>
    <w:p>
      <w:pPr>
        <w:pStyle w:val="164"/>
      </w:pPr>
      <w:r>
        <w:rPr>
          <w:rFonts w:hint="eastAsia"/>
        </w:rPr>
        <w:t>储存设备宜定期维护保养、校准，确保准确有效，定期对储存设备</w:t>
      </w:r>
      <w:r>
        <w:t>清洗维护。</w:t>
      </w:r>
    </w:p>
    <w:p>
      <w:pPr>
        <w:pStyle w:val="164"/>
      </w:pPr>
      <w:r>
        <w:rPr>
          <w:rFonts w:hint="eastAsia"/>
        </w:rPr>
        <w:t>宜运用智能化管理系统等</w:t>
      </w:r>
      <w:r>
        <w:t>新技术</w:t>
      </w:r>
      <w:r>
        <w:rPr>
          <w:rFonts w:hint="eastAsia"/>
        </w:rPr>
        <w:t>进行管理</w:t>
      </w:r>
      <w:r>
        <w:t>，</w:t>
      </w:r>
      <w:r>
        <w:rPr>
          <w:rFonts w:hint="eastAsia"/>
        </w:rPr>
        <w:t>持续优化储存空间及储存时间</w:t>
      </w:r>
      <w:r>
        <w:rPr>
          <w:sz w:val="22"/>
          <w:szCs w:val="22"/>
        </w:rPr>
        <w:t>。</w:t>
      </w:r>
    </w:p>
    <w:p>
      <w:pPr>
        <w:pStyle w:val="105"/>
        <w:spacing w:before="156" w:after="156"/>
      </w:pPr>
      <w:bookmarkStart w:id="109" w:name="_Toc143260315"/>
      <w:bookmarkStart w:id="110" w:name="_Toc143035664"/>
      <w:bookmarkStart w:id="111" w:name="_Toc143260675"/>
      <w:bookmarkStart w:id="112" w:name="_Toc173248107"/>
      <w:bookmarkStart w:id="113" w:name="_Toc139615256"/>
      <w:bookmarkStart w:id="114" w:name="_Toc143162714"/>
      <w:bookmarkStart w:id="115" w:name="_Toc142660684"/>
      <w:bookmarkStart w:id="116" w:name="_Toc170225516"/>
      <w:bookmarkStart w:id="117" w:name="_Toc170306127"/>
      <w:r>
        <w:rPr>
          <w:rFonts w:hint="eastAsia"/>
        </w:rPr>
        <w:t>供餐设计与加工</w:t>
      </w:r>
      <w:bookmarkEnd w:id="109"/>
      <w:bookmarkEnd w:id="110"/>
      <w:bookmarkEnd w:id="111"/>
      <w:bookmarkEnd w:id="112"/>
      <w:bookmarkEnd w:id="113"/>
      <w:bookmarkEnd w:id="114"/>
      <w:bookmarkEnd w:id="115"/>
      <w:bookmarkEnd w:id="116"/>
      <w:bookmarkEnd w:id="117"/>
    </w:p>
    <w:p>
      <w:pPr>
        <w:pStyle w:val="65"/>
        <w:spacing w:before="156" w:after="156"/>
      </w:pPr>
      <w:r>
        <w:rPr>
          <w:rFonts w:hint="eastAsia"/>
        </w:rPr>
        <w:t>菜品设计</w:t>
      </w:r>
    </w:p>
    <w:p>
      <w:pPr>
        <w:pStyle w:val="164"/>
      </w:pPr>
      <w:r>
        <w:rPr>
          <w:rFonts w:hint="eastAsia"/>
        </w:rPr>
        <w:t>宜通过用餐调查、用户反馈，结合用餐规律、季节特点等进行菜品搭配及设计。</w:t>
      </w:r>
    </w:p>
    <w:p>
      <w:pPr>
        <w:pStyle w:val="164"/>
      </w:pPr>
      <w:r>
        <w:rPr>
          <w:rFonts w:hint="eastAsia"/>
        </w:rPr>
        <w:t>应对菜品规格、</w:t>
      </w:r>
      <w:bookmarkStart w:id="180" w:name="_GoBack"/>
      <w:bookmarkEnd w:id="180"/>
      <w:r>
        <w:rPr>
          <w:rFonts w:hint="eastAsia"/>
          <w:lang w:eastAsia="zh-CN"/>
        </w:rPr>
        <w:t>分量</w:t>
      </w:r>
      <w:r>
        <w:rPr>
          <w:rFonts w:hint="eastAsia"/>
        </w:rPr>
        <w:t>进行动态调整，配置小份菜、半份菜等规格的菜品。</w:t>
      </w:r>
    </w:p>
    <w:p>
      <w:pPr>
        <w:pStyle w:val="164"/>
      </w:pPr>
      <w:r>
        <w:rPr>
          <w:rFonts w:hint="eastAsia"/>
        </w:rPr>
        <w:t>宜根据用餐需求，设置不同口味、规格的套餐。</w:t>
      </w:r>
    </w:p>
    <w:p>
      <w:pPr>
        <w:pStyle w:val="65"/>
        <w:spacing w:before="156" w:after="156"/>
      </w:pPr>
      <w:r>
        <w:rPr>
          <w:rFonts w:hint="eastAsia"/>
        </w:rPr>
        <w:t>菜单设计</w:t>
      </w:r>
    </w:p>
    <w:p>
      <w:pPr>
        <w:pStyle w:val="164"/>
      </w:pPr>
      <w:r>
        <w:rPr>
          <w:rFonts w:hint="eastAsia"/>
        </w:rPr>
        <w:t>菜单应提供菜品味道、主要食材、</w:t>
      </w:r>
      <w:r>
        <w:rPr>
          <w:rFonts w:hint="eastAsia"/>
          <w:lang w:eastAsia="zh-CN"/>
        </w:rPr>
        <w:t>分量</w:t>
      </w:r>
      <w:r>
        <w:rPr>
          <w:rFonts w:hint="eastAsia"/>
        </w:rPr>
        <w:t>、规格等信息。</w:t>
      </w:r>
    </w:p>
    <w:p>
      <w:pPr>
        <w:pStyle w:val="164"/>
      </w:pPr>
      <w:r>
        <w:t>提供餐品套餐服务的，应在菜单上标注套餐建议消费人数</w:t>
      </w:r>
      <w:r>
        <w:rPr>
          <w:rFonts w:hint="eastAsia"/>
          <w:color w:val="000000" w:themeColor="text1"/>
          <w14:textFill>
            <w14:solidFill>
              <w14:schemeClr w14:val="tx1"/>
            </w14:solidFill>
          </w14:textFill>
        </w:rPr>
        <w:t>。</w:t>
      </w:r>
    </w:p>
    <w:p>
      <w:pPr>
        <w:pStyle w:val="164"/>
        <w:rPr>
          <w:color w:val="000000" w:themeColor="text1"/>
          <w14:textFill>
            <w14:solidFill>
              <w14:schemeClr w14:val="tx1"/>
            </w14:solidFill>
          </w14:textFill>
        </w:rPr>
      </w:pPr>
      <w:r>
        <w:rPr>
          <w:rFonts w:hint="eastAsia"/>
          <w:color w:val="000000" w:themeColor="text1"/>
          <w14:textFill>
            <w14:solidFill>
              <w14:schemeClr w14:val="tx1"/>
            </w14:solidFill>
          </w14:textFill>
        </w:rPr>
        <w:t>应明示小吃、茶位费、纸巾、服务费等所有收费标准。</w:t>
      </w:r>
    </w:p>
    <w:p>
      <w:pPr>
        <w:pStyle w:val="65"/>
        <w:spacing w:before="156" w:after="156"/>
      </w:pPr>
      <w:r>
        <w:rPr>
          <w:rFonts w:hint="eastAsia"/>
        </w:rPr>
        <w:t>烹饪制作</w:t>
      </w:r>
    </w:p>
    <w:p>
      <w:pPr>
        <w:pStyle w:val="164"/>
      </w:pPr>
      <w:r>
        <w:rPr>
          <w:rFonts w:hint="eastAsia"/>
        </w:rPr>
        <w:t>宜制定烹饪操作规范、原材料消耗管理制度，提升菜品制作熟练度，保障菜品质量。</w:t>
      </w:r>
    </w:p>
    <w:p>
      <w:pPr>
        <w:pStyle w:val="164"/>
      </w:pPr>
      <w:r>
        <w:rPr>
          <w:rFonts w:hint="eastAsia"/>
        </w:rPr>
        <w:t>宜合理使用菜品制作过程中产生的边角料，增加边角料的使用附加值。</w:t>
      </w:r>
    </w:p>
    <w:p>
      <w:pPr>
        <w:pStyle w:val="105"/>
        <w:spacing w:before="156" w:after="156"/>
      </w:pPr>
      <w:bookmarkStart w:id="118" w:name="_Toc173248108"/>
      <w:bookmarkStart w:id="119" w:name="_Toc143035665"/>
      <w:bookmarkStart w:id="120" w:name="_Toc143162715"/>
      <w:bookmarkStart w:id="121" w:name="_Toc143260676"/>
      <w:bookmarkStart w:id="122" w:name="_Toc170225517"/>
      <w:bookmarkStart w:id="123" w:name="_Toc142660685"/>
      <w:bookmarkStart w:id="124" w:name="_Toc139615257"/>
      <w:bookmarkStart w:id="125" w:name="_Toc170306128"/>
      <w:bookmarkStart w:id="126" w:name="_Toc143260316"/>
      <w:r>
        <w:rPr>
          <w:rFonts w:hint="eastAsia"/>
        </w:rPr>
        <w:t>服务提供</w:t>
      </w:r>
      <w:bookmarkEnd w:id="118"/>
      <w:bookmarkEnd w:id="119"/>
      <w:bookmarkEnd w:id="120"/>
      <w:bookmarkEnd w:id="121"/>
      <w:bookmarkEnd w:id="122"/>
      <w:bookmarkEnd w:id="123"/>
      <w:bookmarkEnd w:id="124"/>
      <w:bookmarkEnd w:id="125"/>
      <w:bookmarkEnd w:id="126"/>
    </w:p>
    <w:p>
      <w:pPr>
        <w:pStyle w:val="65"/>
        <w:spacing w:before="156" w:after="156"/>
      </w:pPr>
      <w:r>
        <w:rPr>
          <w:rFonts w:hint="eastAsia"/>
        </w:rPr>
        <w:t>就餐服务</w:t>
      </w:r>
    </w:p>
    <w:p>
      <w:pPr>
        <w:pStyle w:val="164"/>
      </w:pPr>
      <w:r>
        <w:rPr>
          <w:rFonts w:hint="eastAsia"/>
        </w:rPr>
        <w:t>应做好餐前反食品浪费服务工作，服务人员应合理引导消费者适量点餐，消费者有明显过量点餐的应予以提醒、劝导。</w:t>
      </w:r>
    </w:p>
    <w:p>
      <w:pPr>
        <w:pStyle w:val="164"/>
      </w:pPr>
      <w:r>
        <w:rPr>
          <w:rFonts w:hint="eastAsia"/>
        </w:rPr>
        <w:t>服务人员应对餐饮浪费行为进行提醒或纠正，应允许消费者取消未加工菜品。</w:t>
      </w:r>
    </w:p>
    <w:p>
      <w:pPr>
        <w:pStyle w:val="164"/>
      </w:pPr>
      <w:r>
        <w:rPr>
          <w:rFonts w:hint="eastAsia"/>
        </w:rPr>
        <w:t>餐后宜采用打包、光盘优惠等方式鼓励消费者反食品浪费。</w:t>
      </w:r>
    </w:p>
    <w:p>
      <w:pPr>
        <w:pStyle w:val="164"/>
      </w:pPr>
      <w:r>
        <w:rPr>
          <w:rFonts w:hint="eastAsia"/>
        </w:rPr>
        <w:t>采用自助餐供餐时，应在取餐醒目位置做好反食品浪费宣传，服务人员应积极引导消费者按需取餐，添加食品宜采用少量多次的原则。</w:t>
      </w:r>
    </w:p>
    <w:p>
      <w:pPr>
        <w:pStyle w:val="164"/>
      </w:pPr>
      <w:r>
        <w:rPr>
          <w:rFonts w:hint="eastAsia"/>
        </w:rPr>
        <w:t>应开展服务人员培训，培训内容宜包括反食品浪费宣传、引导顾客合理点餐取餐、加强服务人员反食品浪费应急处理能力等</w:t>
      </w:r>
      <w:r>
        <w:t>。</w:t>
      </w:r>
    </w:p>
    <w:p>
      <w:pPr>
        <w:pStyle w:val="65"/>
        <w:spacing w:before="156" w:after="156"/>
      </w:pPr>
      <w:r>
        <w:rPr>
          <w:rFonts w:hint="eastAsia"/>
        </w:rPr>
        <w:t>外卖服务</w:t>
      </w:r>
    </w:p>
    <w:p>
      <w:pPr>
        <w:pStyle w:val="164"/>
      </w:pPr>
      <w:r>
        <w:t>应在外卖服务平台标注餐品规格、参考</w:t>
      </w:r>
      <w:r>
        <w:rPr>
          <w:rFonts w:hint="eastAsia"/>
          <w:lang w:eastAsia="zh-CN"/>
        </w:rPr>
        <w:t>分量</w:t>
      </w:r>
      <w:r>
        <w:t>、口味、建议消费人数等信息</w:t>
      </w:r>
      <w:r>
        <w:rPr>
          <w:rFonts w:hint="eastAsia"/>
        </w:rPr>
        <w:t>。</w:t>
      </w:r>
    </w:p>
    <w:p>
      <w:pPr>
        <w:pStyle w:val="164"/>
      </w:pPr>
      <w:r>
        <w:t>应使用符合标准的餐盒、餐袋</w:t>
      </w:r>
      <w:r>
        <w:rPr>
          <w:rFonts w:hint="eastAsia"/>
        </w:rPr>
        <w:t>、</w:t>
      </w:r>
      <w:r>
        <w:t>配送容器，</w:t>
      </w:r>
      <w:r>
        <w:rPr>
          <w:rFonts w:hint="eastAsia"/>
        </w:rPr>
        <w:t>以降低配送过程中的浪费。</w:t>
      </w:r>
    </w:p>
    <w:p>
      <w:pPr>
        <w:pStyle w:val="105"/>
        <w:spacing w:before="156" w:after="156"/>
      </w:pPr>
      <w:bookmarkStart w:id="127" w:name="_Toc139615258"/>
      <w:bookmarkStart w:id="128" w:name="_Toc142660686"/>
      <w:bookmarkStart w:id="129" w:name="_Toc170225518"/>
      <w:bookmarkStart w:id="130" w:name="_Toc143035666"/>
      <w:bookmarkStart w:id="131" w:name="_Toc143260677"/>
      <w:bookmarkStart w:id="132" w:name="_Toc173248109"/>
      <w:bookmarkStart w:id="133" w:name="_Toc143260317"/>
      <w:bookmarkStart w:id="134" w:name="_Toc143162716"/>
      <w:bookmarkStart w:id="135" w:name="_Toc170306129"/>
      <w:r>
        <w:rPr>
          <w:rFonts w:hint="eastAsia"/>
        </w:rPr>
        <w:t>宣传</w:t>
      </w:r>
      <w:bookmarkEnd w:id="127"/>
      <w:bookmarkEnd w:id="128"/>
      <w:r>
        <w:rPr>
          <w:rFonts w:hint="eastAsia"/>
        </w:rPr>
        <w:t>引导</w:t>
      </w:r>
      <w:bookmarkEnd w:id="129"/>
      <w:bookmarkEnd w:id="130"/>
      <w:bookmarkEnd w:id="131"/>
      <w:bookmarkEnd w:id="132"/>
      <w:bookmarkEnd w:id="133"/>
      <w:bookmarkEnd w:id="134"/>
      <w:bookmarkEnd w:id="135"/>
    </w:p>
    <w:p>
      <w:pPr>
        <w:pStyle w:val="165"/>
      </w:pPr>
      <w:r>
        <w:t>应在</w:t>
      </w:r>
      <w:r>
        <w:rPr>
          <w:rFonts w:hint="eastAsia"/>
        </w:rPr>
        <w:t>取餐位置、餐桌、</w:t>
      </w:r>
      <w:r>
        <w:t>菜单</w:t>
      </w:r>
      <w:r>
        <w:rPr>
          <w:rFonts w:hint="eastAsia"/>
        </w:rPr>
        <w:t>等醒目位置设置</w:t>
      </w:r>
      <w:r>
        <w:t>反食品浪费提示</w:t>
      </w:r>
      <w:r>
        <w:rPr>
          <w:rFonts w:hint="eastAsia"/>
        </w:rPr>
        <w:t>标识</w:t>
      </w:r>
      <w:r>
        <w:t>。</w:t>
      </w:r>
    </w:p>
    <w:p>
      <w:pPr>
        <w:pStyle w:val="165"/>
      </w:pPr>
      <w:r>
        <w:rPr>
          <w:rFonts w:hint="eastAsia"/>
        </w:rPr>
        <w:t>宜设置文明用餐劝导员，对明显过量点餐、取餐的行为进行提醒、劝导。</w:t>
      </w:r>
    </w:p>
    <w:p>
      <w:pPr>
        <w:pStyle w:val="165"/>
        <w:rPr>
          <w:color w:val="000000" w:themeColor="text1"/>
          <w14:textFill>
            <w14:solidFill>
              <w14:schemeClr w14:val="tx1"/>
            </w14:solidFill>
          </w14:textFill>
        </w:rPr>
      </w:pPr>
      <w:r>
        <w:rPr>
          <w:rFonts w:hint="eastAsia"/>
          <w:color w:val="000000" w:themeColor="text1"/>
          <w14:textFill>
            <w14:solidFill>
              <w14:schemeClr w14:val="tx1"/>
            </w14:solidFill>
          </w14:textFill>
        </w:rPr>
        <w:t>宜通过会员积分、打折优惠、停车优惠、发放优惠券等方式提倡消费者节约用餐。</w:t>
      </w:r>
    </w:p>
    <w:p>
      <w:pPr>
        <w:pStyle w:val="165"/>
        <w:rPr>
          <w:color w:val="000000" w:themeColor="text1"/>
          <w14:textFill>
            <w14:solidFill>
              <w14:schemeClr w14:val="tx1"/>
            </w14:solidFill>
          </w14:textFill>
        </w:rPr>
      </w:pPr>
      <w:r>
        <w:rPr>
          <w:color w:val="000000" w:themeColor="text1"/>
          <w14:textFill>
            <w14:solidFill>
              <w14:schemeClr w14:val="tx1"/>
            </w14:solidFill>
          </w14:textFill>
        </w:rPr>
        <w:t>应在就餐场所醒目位置公示反食品浪费监管部门投诉举报联系方式。</w:t>
      </w:r>
    </w:p>
    <w:p>
      <w:pPr>
        <w:pStyle w:val="105"/>
        <w:spacing w:before="156" w:after="156"/>
      </w:pPr>
      <w:bookmarkStart w:id="136" w:name="_Toc143260678"/>
      <w:bookmarkStart w:id="137" w:name="_Toc142660687"/>
      <w:bookmarkStart w:id="138" w:name="_Toc173248110"/>
      <w:bookmarkStart w:id="139" w:name="_Toc143035667"/>
      <w:bookmarkStart w:id="140" w:name="_Toc143260318"/>
      <w:bookmarkStart w:id="141" w:name="_Toc143162717"/>
      <w:bookmarkStart w:id="142" w:name="_Toc170306130"/>
      <w:bookmarkStart w:id="143" w:name="_Toc170225519"/>
      <w:bookmarkStart w:id="144" w:name="_Toc139615259"/>
      <w:r>
        <w:rPr>
          <w:rFonts w:hint="eastAsia"/>
        </w:rPr>
        <w:t>未销售的食品及餐厨垃圾处置</w:t>
      </w:r>
      <w:bookmarkEnd w:id="136"/>
      <w:bookmarkEnd w:id="137"/>
      <w:bookmarkEnd w:id="138"/>
      <w:bookmarkEnd w:id="139"/>
      <w:bookmarkEnd w:id="140"/>
      <w:bookmarkEnd w:id="141"/>
      <w:bookmarkEnd w:id="142"/>
      <w:bookmarkEnd w:id="143"/>
      <w:bookmarkEnd w:id="144"/>
    </w:p>
    <w:p>
      <w:pPr>
        <w:pStyle w:val="65"/>
        <w:spacing w:before="156" w:after="156"/>
      </w:pPr>
      <w:r>
        <w:rPr>
          <w:rFonts w:hint="eastAsia"/>
        </w:rPr>
        <w:t>未销售的食品处置</w:t>
      </w:r>
    </w:p>
    <w:p>
      <w:pPr>
        <w:pStyle w:val="164"/>
      </w:pPr>
      <w:r>
        <w:t>宜在保证食品安全的前提下通过降价促销、提供员工餐、食物捐赠等方式</w:t>
      </w:r>
      <w:r>
        <w:rPr>
          <w:rFonts w:hint="eastAsia"/>
        </w:rPr>
        <w:t>对未销售的食品进行处置。</w:t>
      </w:r>
    </w:p>
    <w:p>
      <w:pPr>
        <w:pStyle w:val="164"/>
      </w:pPr>
      <w:r>
        <w:t>宜建立食物捐赠工作机制，开展食物捐赠，并主动向有关社会组织、福利机构、救助机构等提供食品捐赠联系方式。</w:t>
      </w:r>
    </w:p>
    <w:p>
      <w:pPr>
        <w:pStyle w:val="65"/>
        <w:spacing w:before="156" w:after="156"/>
      </w:pPr>
      <w:r>
        <w:rPr>
          <w:rFonts w:hint="eastAsia"/>
        </w:rPr>
        <w:t>餐厨垃圾处置</w:t>
      </w:r>
    </w:p>
    <w:p>
      <w:pPr>
        <w:pStyle w:val="164"/>
      </w:pPr>
      <w:r>
        <w:t>应建立餐厨</w:t>
      </w:r>
      <w:r>
        <w:rPr>
          <w:rFonts w:hint="eastAsia"/>
        </w:rPr>
        <w:t>垃圾</w:t>
      </w:r>
      <w:r>
        <w:t>处置</w:t>
      </w:r>
      <w:r>
        <w:rPr>
          <w:color w:val="000000" w:themeColor="text1"/>
          <w14:textFill>
            <w14:solidFill>
              <w14:schemeClr w14:val="tx1"/>
            </w14:solidFill>
          </w14:textFill>
        </w:rPr>
        <w:t>制度</w:t>
      </w:r>
      <w:r>
        <w:t>，符合垃圾分类、资源综合利用等相关要求</w:t>
      </w:r>
      <w:r>
        <w:rPr>
          <w:rFonts w:hint="eastAsia"/>
        </w:rPr>
        <w:t>。</w:t>
      </w:r>
    </w:p>
    <w:p>
      <w:pPr>
        <w:pStyle w:val="164"/>
      </w:pPr>
      <w:r>
        <w:t>应定期对</w:t>
      </w:r>
      <w:r>
        <w:rPr>
          <w:rFonts w:hint="eastAsia"/>
        </w:rPr>
        <w:t>餐厨</w:t>
      </w:r>
      <w:r>
        <w:t>垃圾进行统计分析，改进食材采购、配餐管理和烹饪工艺。</w:t>
      </w:r>
    </w:p>
    <w:p>
      <w:pPr>
        <w:pStyle w:val="164"/>
        <w:rPr>
          <w:color w:val="000000" w:themeColor="text1"/>
          <w14:textFill>
            <w14:solidFill>
              <w14:schemeClr w14:val="tx1"/>
            </w14:solidFill>
          </w14:textFill>
        </w:rPr>
      </w:pPr>
      <w:r>
        <w:rPr>
          <w:rFonts w:hint="eastAsia"/>
          <w:color w:val="000000" w:themeColor="text1"/>
          <w14:textFill>
            <w14:solidFill>
              <w14:schemeClr w14:val="tx1"/>
            </w14:solidFill>
          </w14:textFill>
        </w:rPr>
        <w:t>宜</w:t>
      </w:r>
      <w:r>
        <w:rPr>
          <w:color w:val="000000" w:themeColor="text1"/>
          <w14:textFill>
            <w14:solidFill>
              <w14:schemeClr w14:val="tx1"/>
            </w14:solidFill>
          </w14:textFill>
        </w:rPr>
        <w:t>建立用餐剩余量考查制度。</w:t>
      </w:r>
    </w:p>
    <w:p>
      <w:pPr>
        <w:pStyle w:val="104"/>
        <w:spacing w:before="312" w:after="312"/>
        <w:rPr>
          <w:color w:val="000000" w:themeColor="text1"/>
          <w14:textFill>
            <w14:solidFill>
              <w14:schemeClr w14:val="tx1"/>
            </w14:solidFill>
          </w14:textFill>
        </w:rPr>
      </w:pPr>
      <w:bookmarkStart w:id="145" w:name="_Toc143162718"/>
      <w:bookmarkStart w:id="146" w:name="_Toc143035668"/>
      <w:bookmarkStart w:id="147" w:name="_Toc170306131"/>
      <w:bookmarkStart w:id="148" w:name="_Toc170225520"/>
      <w:bookmarkStart w:id="149" w:name="_Toc139615260"/>
      <w:bookmarkStart w:id="150" w:name="_Toc143260319"/>
      <w:bookmarkStart w:id="151" w:name="_Toc142660688"/>
      <w:bookmarkStart w:id="152" w:name="_Toc173248111"/>
      <w:bookmarkStart w:id="153" w:name="_Toc143260679"/>
      <w:r>
        <w:rPr>
          <w:rFonts w:hint="eastAsia"/>
          <w:color w:val="000000" w:themeColor="text1"/>
          <w14:textFill>
            <w14:solidFill>
              <w14:schemeClr w14:val="tx1"/>
            </w14:solidFill>
          </w14:textFill>
        </w:rPr>
        <w:t>监督与评价</w:t>
      </w:r>
      <w:bookmarkEnd w:id="145"/>
      <w:bookmarkEnd w:id="146"/>
      <w:bookmarkEnd w:id="147"/>
      <w:bookmarkEnd w:id="148"/>
      <w:bookmarkEnd w:id="149"/>
      <w:bookmarkEnd w:id="150"/>
      <w:bookmarkEnd w:id="151"/>
      <w:bookmarkEnd w:id="152"/>
      <w:bookmarkEnd w:id="153"/>
    </w:p>
    <w:p>
      <w:pPr>
        <w:pStyle w:val="162"/>
      </w:pPr>
      <w:bookmarkStart w:id="154" w:name="_Toc139615261"/>
      <w:bookmarkStart w:id="155" w:name="_Toc142660689"/>
      <w:r>
        <w:rPr>
          <w:rFonts w:hint="eastAsia"/>
        </w:rPr>
        <w:t>应</w:t>
      </w:r>
      <w:r>
        <w:t>建立健全</w:t>
      </w:r>
      <w:r>
        <w:rPr>
          <w:rFonts w:hint="eastAsia"/>
        </w:rPr>
        <w:t>反食品浪费管理</w:t>
      </w:r>
      <w:r>
        <w:t>监督考核与评估机制</w:t>
      </w:r>
      <w:r>
        <w:rPr>
          <w:rFonts w:hint="eastAsia"/>
        </w:rPr>
        <w:t>。</w:t>
      </w:r>
      <w:bookmarkEnd w:id="154"/>
      <w:bookmarkEnd w:id="155"/>
    </w:p>
    <w:p>
      <w:pPr>
        <w:pStyle w:val="162"/>
      </w:pPr>
      <w:bookmarkStart w:id="156" w:name="_Toc142660691"/>
      <w:bookmarkStart w:id="157" w:name="_Toc139615263"/>
      <w:r>
        <w:rPr>
          <w:rFonts w:hint="eastAsia"/>
        </w:rPr>
        <w:t>宜对监督考核或评价结果</w:t>
      </w:r>
      <w:r>
        <w:t>进行全面评估，评估结果</w:t>
      </w:r>
      <w:r>
        <w:rPr>
          <w:rFonts w:hint="eastAsia"/>
        </w:rPr>
        <w:t>可</w:t>
      </w:r>
      <w:r>
        <w:t>作为下年度</w:t>
      </w:r>
      <w:r>
        <w:rPr>
          <w:rFonts w:hint="eastAsia"/>
        </w:rPr>
        <w:t>反食品浪费</w:t>
      </w:r>
      <w:r>
        <w:t>战略部署和战略调整的输入。</w:t>
      </w:r>
      <w:bookmarkEnd w:id="156"/>
      <w:bookmarkEnd w:id="157"/>
    </w:p>
    <w:p>
      <w:pPr>
        <w:pStyle w:val="104"/>
        <w:spacing w:before="312" w:after="312"/>
      </w:pPr>
      <w:bookmarkStart w:id="158" w:name="_Toc143260680"/>
      <w:bookmarkStart w:id="159" w:name="_Toc173248112"/>
      <w:bookmarkStart w:id="160" w:name="_Toc170306132"/>
      <w:bookmarkStart w:id="161" w:name="_Toc143260320"/>
      <w:bookmarkStart w:id="162" w:name="_Toc142660692"/>
      <w:bookmarkStart w:id="163" w:name="_Toc139615264"/>
      <w:bookmarkStart w:id="164" w:name="_Toc170225521"/>
      <w:bookmarkStart w:id="165" w:name="_Toc143035669"/>
      <w:bookmarkStart w:id="166" w:name="_Toc143162719"/>
      <w:r>
        <w:rPr>
          <w:rFonts w:hint="eastAsia"/>
        </w:rPr>
        <w:t>改进</w:t>
      </w:r>
      <w:bookmarkEnd w:id="158"/>
      <w:bookmarkEnd w:id="159"/>
      <w:bookmarkEnd w:id="160"/>
      <w:bookmarkEnd w:id="161"/>
      <w:bookmarkEnd w:id="162"/>
      <w:bookmarkEnd w:id="163"/>
      <w:bookmarkEnd w:id="164"/>
      <w:bookmarkEnd w:id="165"/>
      <w:bookmarkEnd w:id="166"/>
    </w:p>
    <w:p>
      <w:pPr>
        <w:pStyle w:val="56"/>
        <w:ind w:firstLine="420"/>
      </w:pPr>
      <w:bookmarkStart w:id="167" w:name="_Toc139615265"/>
      <w:bookmarkStart w:id="168" w:name="_Toc142660693"/>
      <w:r>
        <w:rPr>
          <w:rFonts w:hint="eastAsia"/>
        </w:rPr>
        <w:t>宜</w:t>
      </w:r>
      <w:r>
        <w:t>系统分析评价的结果，审查问题项及其发生原因，有针对性的采取措施，对措施实施后的效果进行必要的验证。必要时对反食品浪费管理目标进行调整，对已有的反食品浪费管理措施进行改进。</w:t>
      </w:r>
      <w:bookmarkEnd w:id="167"/>
      <w:bookmarkEnd w:id="168"/>
    </w:p>
    <w:p>
      <w:pPr>
        <w:pStyle w:val="56"/>
        <w:ind w:firstLine="420"/>
      </w:pPr>
    </w:p>
    <w:p>
      <w:pPr>
        <w:pStyle w:val="56"/>
        <w:ind w:firstLine="420"/>
      </w:pPr>
    </w:p>
    <w:p>
      <w:pPr>
        <w:pStyle w:val="56"/>
        <w:ind w:firstLine="420"/>
      </w:pPr>
    </w:p>
    <w:p>
      <w:pPr>
        <w:pStyle w:val="56"/>
        <w:ind w:firstLine="420"/>
      </w:pPr>
    </w:p>
    <w:p>
      <w:pPr>
        <w:pStyle w:val="56"/>
        <w:ind w:firstLine="420"/>
      </w:pPr>
    </w:p>
    <w:p>
      <w:pPr>
        <w:pStyle w:val="56"/>
        <w:ind w:firstLine="420"/>
      </w:pPr>
    </w:p>
    <w:p>
      <w:pPr>
        <w:pStyle w:val="56"/>
        <w:ind w:firstLine="420"/>
      </w:pPr>
    </w:p>
    <w:p>
      <w:pPr>
        <w:pStyle w:val="63"/>
        <w:spacing w:before="156" w:after="156"/>
      </w:pPr>
      <w:bookmarkStart w:id="169" w:name="_Toc170306133"/>
      <w:bookmarkStart w:id="170" w:name="_Toc143162720"/>
      <w:bookmarkStart w:id="171" w:name="_Toc170225522"/>
      <w:bookmarkStart w:id="172" w:name="_Toc173248113"/>
      <w:bookmarkStart w:id="173" w:name="_Toc143035670"/>
      <w:bookmarkStart w:id="174" w:name="_Toc142660695"/>
      <w:bookmarkStart w:id="175" w:name="_Toc143260681"/>
      <w:bookmarkStart w:id="176" w:name="_Toc143260321"/>
      <w:bookmarkStart w:id="177" w:name="BookMark6"/>
      <w:r>
        <w:rPr>
          <w:rFonts w:hint="eastAsia"/>
          <w:spacing w:val="105"/>
        </w:rPr>
        <w:t>参考文</w:t>
      </w:r>
      <w:r>
        <w:rPr>
          <w:rFonts w:hint="eastAsia"/>
        </w:rPr>
        <w:t>献</w:t>
      </w:r>
      <w:bookmarkEnd w:id="169"/>
      <w:bookmarkEnd w:id="170"/>
      <w:bookmarkEnd w:id="171"/>
      <w:bookmarkEnd w:id="172"/>
      <w:bookmarkEnd w:id="173"/>
      <w:bookmarkEnd w:id="174"/>
      <w:bookmarkEnd w:id="175"/>
      <w:bookmarkEnd w:id="176"/>
    </w:p>
    <w:p>
      <w:pPr>
        <w:pStyle w:val="56"/>
        <w:ind w:firstLine="420"/>
      </w:pPr>
      <w:r>
        <w:rPr>
          <w:rFonts w:hint="eastAsia"/>
        </w:rPr>
        <w:t>[</w:t>
      </w:r>
      <w:r>
        <w:t xml:space="preserve">1] </w:t>
      </w:r>
      <w:r>
        <w:rPr>
          <w:rFonts w:hint="eastAsia"/>
        </w:rPr>
        <w:t xml:space="preserve"> </w:t>
      </w:r>
      <w:r>
        <w:t xml:space="preserve">GB/T 19001-2016  </w:t>
      </w:r>
      <w:r>
        <w:rPr>
          <w:rFonts w:hint="eastAsia"/>
        </w:rPr>
        <w:t>质量管理体系 要求.</w:t>
      </w:r>
    </w:p>
    <w:p>
      <w:pPr>
        <w:pStyle w:val="56"/>
        <w:ind w:firstLine="420"/>
      </w:pPr>
      <w:r>
        <w:rPr>
          <w:rFonts w:hint="eastAsia"/>
        </w:rPr>
        <w:t>[</w:t>
      </w:r>
      <w:r>
        <w:t xml:space="preserve">2]  </w:t>
      </w:r>
      <w:r>
        <w:rPr>
          <w:rFonts w:hint="eastAsia"/>
        </w:rPr>
        <w:t>GB/T 40042-2021  绿色餐饮经营与管理.</w:t>
      </w:r>
    </w:p>
    <w:p>
      <w:pPr>
        <w:pStyle w:val="56"/>
        <w:ind w:firstLine="420"/>
      </w:pPr>
      <w:r>
        <w:t xml:space="preserve">[3] </w:t>
      </w:r>
      <w:r>
        <w:rPr>
          <w:rFonts w:hint="eastAsia"/>
        </w:rPr>
        <w:t>全国人民代表大会常务委员会.中华人民共和国反食品浪费法.第十三届全国人民代表大会常务委员会第二十八次会议通过.（202</w:t>
      </w:r>
      <w:r>
        <w:t>1</w:t>
      </w:r>
      <w:r>
        <w:rPr>
          <w:rFonts w:hint="eastAsia"/>
        </w:rPr>
        <w:t>-</w:t>
      </w:r>
      <w:r>
        <w:t>04</w:t>
      </w:r>
      <w:r>
        <w:rPr>
          <w:rFonts w:hint="eastAsia"/>
        </w:rPr>
        <w:t>-</w:t>
      </w:r>
      <w:r>
        <w:t>29</w:t>
      </w:r>
      <w:r>
        <w:rPr>
          <w:rFonts w:hint="eastAsia"/>
        </w:rPr>
        <w:t>）.</w:t>
      </w:r>
    </w:p>
    <w:p>
      <w:pPr>
        <w:pStyle w:val="56"/>
        <w:ind w:firstLine="424" w:firstLineChars="202"/>
      </w:pPr>
      <w:r>
        <w:t xml:space="preserve">[4] </w:t>
      </w:r>
      <w:r>
        <w:rPr>
          <w:rFonts w:hint="eastAsia"/>
        </w:rPr>
        <w:t>珠海市市场监督管理局.珠海市市场监督管理局关于印发开展制止餐饮浪费专项行动实施方案的通知：珠市监协调〔2023〕1号.（202</w:t>
      </w:r>
      <w:r>
        <w:t>3</w:t>
      </w:r>
      <w:r>
        <w:rPr>
          <w:rFonts w:hint="eastAsia"/>
        </w:rPr>
        <w:t>-</w:t>
      </w:r>
      <w:r>
        <w:t>03</w:t>
      </w:r>
      <w:r>
        <w:rPr>
          <w:rFonts w:hint="eastAsia"/>
        </w:rPr>
        <w:t>-</w:t>
      </w:r>
      <w:r>
        <w:t>27</w:t>
      </w:r>
      <w:r>
        <w:rPr>
          <w:rFonts w:hint="eastAsia"/>
        </w:rPr>
        <w:t>）.</w:t>
      </w:r>
    </w:p>
    <w:bookmarkEnd w:id="177"/>
    <w:p>
      <w:pPr>
        <w:pStyle w:val="56"/>
        <w:ind w:firstLine="0" w:firstLineChars="0"/>
        <w:jc w:val="center"/>
      </w:pPr>
      <w:bookmarkStart w:id="178" w:name="BookMark8"/>
      <w: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78"/>
    </w:p>
    <w:sdt>
      <w:sdtPr>
        <w:tag w:val="NEW_STAND_NAME"/>
        <w:id w:val="595910757"/>
        <w:lock w:val="sdtLocked"/>
        <w:placeholder>
          <w:docPart w:val="98853AEAF67C400F856F6BD3015F919A"/>
        </w:placeholder>
      </w:sdtPr>
      <w:sdtContent>
        <w:p>
          <w:pPr>
            <w:pStyle w:val="177"/>
          </w:pPr>
          <w:bookmarkStart w:id="179" w:name="NEW_STAND_NAME"/>
          <w:r>
            <w:t xml:space="preserve"> </w:t>
          </w:r>
        </w:p>
      </w:sdtContent>
    </w:sdt>
    <w:bookmarkEnd w:id="28"/>
    <w:bookmarkEnd w:id="179"/>
    <w:p>
      <w:pPr>
        <w:pStyle w:val="56"/>
        <w:ind w:firstLine="420"/>
      </w:pPr>
    </w:p>
    <w:sectPr>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等线 Light">
    <w:altName w:val="宋体"/>
    <w:panose1 w:val="02010600030101010101"/>
    <w:charset w:val="86"/>
    <w:family w:val="auto"/>
    <w:pitch w:val="default"/>
    <w:sig w:usb0="00000000" w:usb1="00000000" w:usb2="00000016" w:usb3="00000000" w:csb0="0004000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II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2</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III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 4404/T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 4404/T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 4404/T XXXX—XXXX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4404/T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lvlText w:val="%1"/>
      <w:lvlJc w:val="left"/>
      <w:pPr>
        <w:ind w:left="425" w:hanging="425"/>
      </w:pPr>
      <w:rPr>
        <w:rFonts w:hint="eastAsia"/>
      </w:rPr>
    </w:lvl>
    <w:lvl w:ilvl="1" w:tentative="0">
      <w:start w:val="1"/>
      <w:numFmt w:val="decimal"/>
      <w:suff w:val="nothing"/>
      <w:lvlText w:val="%10.%2 "/>
      <w:lvlJc w:val="left"/>
      <w:pPr>
        <w:ind w:left="0" w:firstLine="0"/>
      </w:pPr>
      <w:rPr>
        <w:rFonts w:hint="eastAsia" w:ascii="黑体" w:eastAsia="黑体" w:hAnsiTheme="minorHAnsi"/>
        <w:b w:val="0"/>
        <w:i w:val="0"/>
        <w:sz w:val="21"/>
      </w:rPr>
    </w:lvl>
    <w:lvl w:ilvl="2" w:tentative="0">
      <w:start w:val="1"/>
      <w:numFmt w:val="decimal"/>
      <w:suff w:val="nothing"/>
      <w:lvlText w:val="%10.%2.%3 "/>
      <w:lvlJc w:val="left"/>
      <w:pPr>
        <w:ind w:left="0" w:firstLine="0"/>
      </w:pPr>
      <w:rPr>
        <w:rFonts w:hint="eastAsia" w:ascii="黑体" w:eastAsia="黑体" w:hAnsiTheme="minorHAnsi"/>
        <w:b w:val="0"/>
        <w:i w:val="0"/>
        <w:sz w:val="21"/>
      </w:rPr>
    </w:lvl>
    <w:lvl w:ilvl="3" w:tentative="0">
      <w:start w:val="1"/>
      <w:numFmt w:val="decimal"/>
      <w:suff w:val="nothing"/>
      <w:lvlText w:val="%10.%2.%3.%4 "/>
      <w:lvlJc w:val="left"/>
      <w:pPr>
        <w:ind w:left="0" w:firstLine="0"/>
      </w:pPr>
      <w:rPr>
        <w:rFonts w:hint="eastAsia" w:ascii="黑体" w:eastAsia="黑体" w:hAnsiTheme="minorHAnsi"/>
        <w:b w:val="0"/>
        <w:i w:val="0"/>
        <w:sz w:val="21"/>
      </w:rPr>
    </w:lvl>
    <w:lvl w:ilvl="4" w:tentative="0">
      <w:start w:val="1"/>
      <w:numFmt w:val="decimal"/>
      <w:suff w:val="nothing"/>
      <w:lvlText w:val="%10.%2.%3.%4.%5 "/>
      <w:lvlJc w:val="left"/>
      <w:pPr>
        <w:ind w:left="0" w:firstLine="0"/>
      </w:pPr>
      <w:rPr>
        <w:rFonts w:hint="eastAsia" w:ascii="黑体" w:eastAsia="黑体" w:hAnsiTheme="minorHAnsi"/>
        <w:b w:val="0"/>
        <w:i w:val="0"/>
        <w:sz w:val="21"/>
      </w:rPr>
    </w:lvl>
    <w:lvl w:ilvl="5" w:tentative="0">
      <w:start w:val="1"/>
      <w:numFmt w:val="decimal"/>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1702"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9"/>
  </w:num>
  <w:num w:numId="9">
    <w:abstractNumId w:val="16"/>
  </w:num>
  <w:num w:numId="10">
    <w:abstractNumId w:val="25"/>
  </w:num>
  <w:num w:numId="11">
    <w:abstractNumId w:val="11"/>
  </w:num>
  <w:num w:numId="12">
    <w:abstractNumId w:val="12"/>
  </w:num>
  <w:num w:numId="13">
    <w:abstractNumId w:val="7"/>
  </w:num>
  <w:num w:numId="14">
    <w:abstractNumId w:val="19"/>
  </w:num>
  <w:num w:numId="15">
    <w:abstractNumId w:val="21"/>
  </w:num>
  <w:num w:numId="16">
    <w:abstractNumId w:val="17"/>
  </w:num>
  <w:num w:numId="17">
    <w:abstractNumId w:val="29"/>
  </w:num>
  <w:num w:numId="18">
    <w:abstractNumId w:val="15"/>
  </w:num>
  <w:num w:numId="19">
    <w:abstractNumId w:val="1"/>
  </w:num>
  <w:num w:numId="20">
    <w:abstractNumId w:val="10"/>
  </w:num>
  <w:num w:numId="21">
    <w:abstractNumId w:val="30"/>
  </w:num>
  <w:num w:numId="22">
    <w:abstractNumId w:val="20"/>
  </w:num>
  <w:num w:numId="23">
    <w:abstractNumId w:val="6"/>
  </w:num>
  <w:num w:numId="24">
    <w:abstractNumId w:val="26"/>
  </w:num>
  <w:num w:numId="25">
    <w:abstractNumId w:val="28"/>
  </w:num>
  <w:num w:numId="26">
    <w:abstractNumId w:val="2"/>
  </w:num>
  <w:num w:numId="27">
    <w:abstractNumId w:val="4"/>
  </w:num>
  <w:num w:numId="28">
    <w:abstractNumId w:val="14"/>
  </w:num>
  <w:num w:numId="29">
    <w:abstractNumId w:val="24"/>
  </w:num>
  <w:num w:numId="30">
    <w:abstractNumId w:val="22"/>
  </w:num>
  <w:num w:numId="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1" w:cryptProviderType="rsaAES" w:cryptAlgorithmClass="hash" w:cryptAlgorithmType="typeAny" w:cryptAlgorithmSid="14" w:cryptSpinCount="100000" w:hash="eGghmFyeU2sWVReWjiXZYYGRkyab9H5XK66zP6CAEnPOf85NNNKioM7/6bdbqJLFT2QhAmWiwx38utLDV2rWzg==" w:salt="j6UoN8B4+BG21wB4KIKt8Q=="/>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c4NGZhNTVhZTFjNzA2MmM0M2NkZDNjYWRhMDIwNGUifQ=="/>
  </w:docVars>
  <w:rsids>
    <w:rsidRoot w:val="00F77522"/>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0F7210"/>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6BBE"/>
    <w:rsid w:val="001B71D0"/>
    <w:rsid w:val="001B71EE"/>
    <w:rsid w:val="001C04A8"/>
    <w:rsid w:val="001C2C03"/>
    <w:rsid w:val="001C42F7"/>
    <w:rsid w:val="001C48A3"/>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661B"/>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2BDC"/>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1DAC"/>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52F1"/>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4085"/>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288A"/>
    <w:rsid w:val="0041477A"/>
    <w:rsid w:val="004167A3"/>
    <w:rsid w:val="0041782C"/>
    <w:rsid w:val="00420C3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1131"/>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085"/>
    <w:rsid w:val="00501139"/>
    <w:rsid w:val="0050363E"/>
    <w:rsid w:val="005039BC"/>
    <w:rsid w:val="005043BB"/>
    <w:rsid w:val="00504A3D"/>
    <w:rsid w:val="00504FE0"/>
    <w:rsid w:val="00505767"/>
    <w:rsid w:val="005073F0"/>
    <w:rsid w:val="00510A7B"/>
    <w:rsid w:val="00512F6E"/>
    <w:rsid w:val="00513038"/>
    <w:rsid w:val="00514174"/>
    <w:rsid w:val="00516088"/>
    <w:rsid w:val="00516B0B"/>
    <w:rsid w:val="005220EC"/>
    <w:rsid w:val="00522A40"/>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4652"/>
    <w:rsid w:val="00555044"/>
    <w:rsid w:val="00561475"/>
    <w:rsid w:val="0056487B"/>
    <w:rsid w:val="00564FB9"/>
    <w:rsid w:val="00573D9E"/>
    <w:rsid w:val="005801E3"/>
    <w:rsid w:val="00581802"/>
    <w:rsid w:val="005836A8"/>
    <w:rsid w:val="0058409C"/>
    <w:rsid w:val="00584262"/>
    <w:rsid w:val="00584C90"/>
    <w:rsid w:val="00586630"/>
    <w:rsid w:val="00587ADD"/>
    <w:rsid w:val="005902F7"/>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33F"/>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8759F"/>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1FEE"/>
    <w:rsid w:val="00704387"/>
    <w:rsid w:val="00707669"/>
    <w:rsid w:val="00711CBA"/>
    <w:rsid w:val="00711FB5"/>
    <w:rsid w:val="00712A01"/>
    <w:rsid w:val="00714F58"/>
    <w:rsid w:val="00722FBF"/>
    <w:rsid w:val="00722FC2"/>
    <w:rsid w:val="00724879"/>
    <w:rsid w:val="00724E1B"/>
    <w:rsid w:val="0072566F"/>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3412"/>
    <w:rsid w:val="00765C43"/>
    <w:rsid w:val="00765EFB"/>
    <w:rsid w:val="007671CA"/>
    <w:rsid w:val="00767C61"/>
    <w:rsid w:val="0077008A"/>
    <w:rsid w:val="00773C1F"/>
    <w:rsid w:val="00774DA4"/>
    <w:rsid w:val="00776599"/>
    <w:rsid w:val="0078114B"/>
    <w:rsid w:val="00781DD2"/>
    <w:rsid w:val="00783ECF"/>
    <w:rsid w:val="007840D3"/>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1E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0214"/>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38A6"/>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35D"/>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2214"/>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396"/>
    <w:rsid w:val="00B147DD"/>
    <w:rsid w:val="00B156FD"/>
    <w:rsid w:val="00B1599E"/>
    <w:rsid w:val="00B21F61"/>
    <w:rsid w:val="00B25832"/>
    <w:rsid w:val="00B25D65"/>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3A61"/>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5E0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2C87"/>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74D91"/>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4FBA"/>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D7569"/>
    <w:rsid w:val="00CE0C4F"/>
    <w:rsid w:val="00CE2E94"/>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00C6"/>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8C0"/>
    <w:rsid w:val="00DB498B"/>
    <w:rsid w:val="00DB64B4"/>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352C"/>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571"/>
    <w:rsid w:val="00F6194E"/>
    <w:rsid w:val="00F623AC"/>
    <w:rsid w:val="00F6412A"/>
    <w:rsid w:val="00F65893"/>
    <w:rsid w:val="00F66A4A"/>
    <w:rsid w:val="00F71E22"/>
    <w:rsid w:val="00F72142"/>
    <w:rsid w:val="00F72AE7"/>
    <w:rsid w:val="00F77522"/>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1AA112B"/>
    <w:rsid w:val="1B3D7D80"/>
    <w:rsid w:val="2C4A3C40"/>
    <w:rsid w:val="41A605BE"/>
    <w:rsid w:val="4ACC2D71"/>
    <w:rsid w:val="524B1ADA"/>
    <w:rsid w:val="5E677FF0"/>
    <w:rsid w:val="6557020A"/>
    <w:rsid w:val="7F4D31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5"/>
    <w:semiHidden/>
    <w:unhideWhenUsed/>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uiPriority w:val="99"/>
    <w:pPr>
      <w:tabs>
        <w:tab w:val="center" w:pos="4153"/>
        <w:tab w:val="right" w:pos="8306"/>
      </w:tabs>
      <w:adjustRightInd/>
      <w:snapToGrid w:val="0"/>
      <w:jc w:val="center"/>
    </w:pPr>
    <w:rPr>
      <w:sz w:val="18"/>
      <w:szCs w:val="18"/>
    </w:rPr>
  </w:style>
  <w:style w:type="paragraph" w:styleId="19">
    <w:name w:val="toc 1"/>
    <w:basedOn w:val="1"/>
    <w:next w:val="1"/>
    <w:unhideWhenUsed/>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pPr>
  </w:style>
  <w:style w:type="paragraph" w:customStyle="1" w:styleId="91">
    <w:name w:val="标准文件_目录标题"/>
    <w:basedOn w:val="1"/>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8"/>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9"/>
      </w:numPr>
    </w:pPr>
  </w:style>
  <w:style w:type="paragraph" w:customStyle="1" w:styleId="94">
    <w:name w:val="标准文件_三级条标题"/>
    <w:basedOn w:val="65"/>
    <w:next w:val="56"/>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uiPriority w:val="0"/>
    <w:pPr>
      <w:numPr>
        <w:ilvl w:val="0"/>
        <w:numId w:val="10"/>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1"/>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ind w:left="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uiPriority w:val="0"/>
    <w:pPr>
      <w:numPr>
        <w:ilvl w:val="1"/>
        <w:numId w:val="12"/>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3"/>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4"/>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5"/>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uiPriority w:val="0"/>
    <w:pPr>
      <w:numPr>
        <w:ilvl w:val="0"/>
        <w:numId w:val="16"/>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uiPriority w:val="0"/>
    <w:pPr>
      <w:numPr>
        <w:ilvl w:val="0"/>
        <w:numId w:val="17"/>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2"/>
      </w:numPr>
    </w:pPr>
    <w:rPr>
      <w:rFonts w:ascii="宋体" w:hAnsi="Times New Roman" w:eastAsia="宋体" w:cs="Times New Roman"/>
      <w:sz w:val="21"/>
      <w:lang w:val="en-US" w:eastAsia="zh-CN" w:bidi="ar-SA"/>
    </w:rPr>
  </w:style>
  <w:style w:type="paragraph" w:customStyle="1" w:styleId="118">
    <w:name w:val="二级无标题条"/>
    <w:basedOn w:val="1"/>
    <w:uiPriority w:val="0"/>
    <w:pPr>
      <w:numPr>
        <w:ilvl w:val="3"/>
        <w:numId w:val="19"/>
      </w:numPr>
      <w:adjustRightInd/>
      <w:spacing w:line="240" w:lineRule="auto"/>
    </w:pPr>
    <w:rPr>
      <w:rFonts w:ascii="宋体" w:hAnsi="宋体"/>
      <w:szCs w:val="24"/>
    </w:rPr>
  </w:style>
  <w:style w:type="paragraph" w:customStyle="1" w:styleId="119">
    <w:name w:val="发布部门"/>
    <w:next w:val="56"/>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uiPriority w:val="0"/>
    <w:pPr>
      <w:outlineLvl w:val="4"/>
    </w:pPr>
  </w:style>
  <w:style w:type="paragraph" w:customStyle="1" w:styleId="130">
    <w:name w:val="附录四级无标题条"/>
    <w:basedOn w:val="129"/>
    <w:next w:val="56"/>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0"/>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uiPriority w:val="0"/>
    <w:pPr>
      <w:autoSpaceDN w:val="0"/>
      <w:outlineLvl w:val="2"/>
    </w:pPr>
    <w:rPr>
      <w:rFonts w:ascii="宋体" w:hAnsi="宋体" w:eastAsia="宋体"/>
    </w:rPr>
  </w:style>
  <w:style w:type="character" w:customStyle="1" w:styleId="136">
    <w:name w:val="个人答复风格"/>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uiPriority w:val="0"/>
    <w:pPr>
      <w:widowControl w:val="0"/>
      <w:numPr>
        <w:ilvl w:val="0"/>
        <w:numId w:val="21"/>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qFormat/>
    <w:uiPriority w:val="0"/>
    <w:pPr>
      <w:adjustRightInd/>
      <w:spacing w:line="240" w:lineRule="auto"/>
      <w:jc w:val="left"/>
    </w:pPr>
    <w:rPr>
      <w:bCs/>
      <w:iCs/>
    </w:rPr>
  </w:style>
  <w:style w:type="paragraph" w:customStyle="1" w:styleId="143">
    <w:name w:val="目录 31"/>
    <w:basedOn w:val="1"/>
    <w:next w:val="1"/>
    <w:semiHidden/>
    <w:qFormat/>
    <w:uiPriority w:val="0"/>
    <w:pPr>
      <w:spacing w:line="240" w:lineRule="auto"/>
    </w:pPr>
    <w:rPr>
      <w:rFonts w:ascii="宋体" w:hAnsi="宋体"/>
      <w:iCs/>
    </w:rPr>
  </w:style>
  <w:style w:type="paragraph" w:customStyle="1" w:styleId="144">
    <w:name w:val="目录 41"/>
    <w:basedOn w:val="1"/>
    <w:next w:val="1"/>
    <w:semiHidden/>
    <w:qFormat/>
    <w:uiPriority w:val="0"/>
    <w:pPr>
      <w:adjustRightInd/>
      <w:spacing w:line="240" w:lineRule="auto"/>
      <w:jc w:val="left"/>
    </w:pPr>
  </w:style>
  <w:style w:type="paragraph" w:customStyle="1" w:styleId="145">
    <w:name w:val="目录 51"/>
    <w:basedOn w:val="1"/>
    <w:next w:val="1"/>
    <w:semiHidden/>
    <w:qFormat/>
    <w:uiPriority w:val="0"/>
    <w:pPr>
      <w:spacing w:line="240" w:lineRule="auto"/>
    </w:pPr>
    <w:rPr>
      <w:rFonts w:ascii="宋体" w:hAnsi="宋体"/>
    </w:rPr>
  </w:style>
  <w:style w:type="paragraph" w:customStyle="1" w:styleId="146">
    <w:name w:val="目录 61"/>
    <w:basedOn w:val="1"/>
    <w:next w:val="1"/>
    <w:semiHidden/>
    <w:uiPriority w:val="0"/>
    <w:pPr>
      <w:adjustRightInd/>
      <w:spacing w:line="240" w:lineRule="auto"/>
      <w:jc w:val="left"/>
    </w:pPr>
  </w:style>
  <w:style w:type="paragraph" w:customStyle="1" w:styleId="147">
    <w:name w:val="目录 71"/>
    <w:basedOn w:val="146"/>
    <w:semiHidden/>
    <w:uiPriority w:val="0"/>
    <w:pPr>
      <w:ind w:left="1260"/>
    </w:pPr>
  </w:style>
  <w:style w:type="paragraph" w:customStyle="1" w:styleId="148">
    <w:name w:val="目录 81"/>
    <w:basedOn w:val="147"/>
    <w:semiHidden/>
    <w:qFormat/>
    <w:uiPriority w:val="0"/>
    <w:pPr>
      <w:ind w:left="1470"/>
    </w:pPr>
  </w:style>
  <w:style w:type="paragraph" w:customStyle="1" w:styleId="149">
    <w:name w:val="目录 91"/>
    <w:basedOn w:val="148"/>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19"/>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19"/>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uiPriority w:val="0"/>
    <w:pPr>
      <w:jc w:val="both"/>
    </w:pPr>
    <w:rPr>
      <w:rFonts w:ascii="宋体" w:hAnsi="宋体" w:eastAsia="宋体" w:cs="Times New Roman"/>
      <w:sz w:val="21"/>
      <w:lang w:val="en-US" w:eastAsia="zh-CN" w:bidi="ar-SA"/>
    </w:rPr>
  </w:style>
  <w:style w:type="paragraph" w:customStyle="1" w:styleId="158">
    <w:name w:val="五级无标题条"/>
    <w:basedOn w:val="1"/>
    <w:uiPriority w:val="0"/>
    <w:pPr>
      <w:numPr>
        <w:ilvl w:val="6"/>
        <w:numId w:val="19"/>
      </w:numPr>
      <w:adjustRightInd/>
    </w:pPr>
    <w:rPr>
      <w:szCs w:val="24"/>
    </w:rPr>
  </w:style>
  <w:style w:type="paragraph" w:customStyle="1" w:styleId="159">
    <w:name w:val="一级无标题条"/>
    <w:basedOn w:val="1"/>
    <w:uiPriority w:val="0"/>
    <w:pPr>
      <w:numPr>
        <w:ilvl w:val="2"/>
        <w:numId w:val="19"/>
      </w:numPr>
      <w:adjustRightInd/>
      <w:spacing w:before="10" w:after="10" w:line="240" w:lineRule="auto"/>
    </w:pPr>
    <w:rPr>
      <w:rFonts w:ascii="宋体" w:hAnsi="宋体"/>
      <w:szCs w:val="24"/>
    </w:rPr>
  </w:style>
  <w:style w:type="paragraph" w:customStyle="1" w:styleId="160">
    <w:name w:val="注:后续"/>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uiPriority w:val="0"/>
    <w:pPr>
      <w:numPr>
        <w:ilvl w:val="0"/>
        <w:numId w:val="22"/>
      </w:numPr>
      <w:ind w:firstLine="0" w:firstLineChars="0"/>
    </w:pPr>
    <w:rPr>
      <w:rFonts w:ascii="Times New Roman" w:cs="Arial"/>
      <w:szCs w:val="28"/>
    </w:rPr>
  </w:style>
  <w:style w:type="paragraph" w:customStyle="1" w:styleId="169">
    <w:name w:val="标准文件_小写罗马数字编号列项"/>
    <w:basedOn w:val="56"/>
    <w:uiPriority w:val="0"/>
    <w:pPr>
      <w:numPr>
        <w:ilvl w:val="0"/>
        <w:numId w:val="23"/>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0"/>
      </w:numPr>
      <w:spacing w:line="536870612" w:lineRule="auto"/>
    </w:pPr>
    <w:rPr>
      <w:rFonts w:ascii="Times New Roman" w:hAnsi="Times New Roman"/>
    </w:rPr>
  </w:style>
  <w:style w:type="paragraph" w:customStyle="1" w:styleId="173">
    <w:name w:val="图表脚注说明"/>
    <w:basedOn w:val="1"/>
    <w:next w:val="56"/>
    <w:uiPriority w:val="0"/>
    <w:pPr>
      <w:numPr>
        <w:ilvl w:val="0"/>
        <w:numId w:val="24"/>
      </w:numPr>
      <w:adjustRightInd/>
      <w:spacing w:line="240" w:lineRule="auto"/>
    </w:pPr>
    <w:rPr>
      <w:rFonts w:ascii="宋体" w:hAnsi="Times New Roman"/>
      <w:sz w:val="18"/>
      <w:szCs w:val="18"/>
    </w:rPr>
  </w:style>
  <w:style w:type="paragraph" w:customStyle="1" w:styleId="174">
    <w:name w:val="标准文件_字母编号列项（一级）"/>
    <w:uiPriority w:val="0"/>
    <w:pPr>
      <w:numPr>
        <w:ilvl w:val="0"/>
        <w:numId w:val="12"/>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uiPriority w:val="0"/>
    <w:pPr>
      <w:widowControl w:val="0"/>
      <w:numPr>
        <w:ilvl w:val="0"/>
        <w:numId w:val="25"/>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7"/>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8"/>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0"/>
      </w:numPr>
      <w:ind w:firstLine="0" w:firstLineChars="0"/>
    </w:pPr>
  </w:style>
  <w:style w:type="paragraph" w:customStyle="1" w:styleId="188">
    <w:name w:val="标准文件_三级项2"/>
    <w:basedOn w:val="56"/>
    <w:qFormat/>
    <w:uiPriority w:val="0"/>
    <w:pPr>
      <w:numPr>
        <w:ilvl w:val="0"/>
        <w:numId w:val="29"/>
      </w:numPr>
      <w:spacing w:line="300" w:lineRule="exact"/>
      <w:ind w:firstLineChars="0"/>
    </w:pPr>
    <w:rPr>
      <w:rFonts w:ascii="Times New Roman"/>
    </w:rPr>
  </w:style>
  <w:style w:type="paragraph" w:customStyle="1" w:styleId="189">
    <w:name w:val="标准文件_一级项2"/>
    <w:basedOn w:val="56"/>
    <w:qFormat/>
    <w:uiPriority w:val="0"/>
    <w:pPr>
      <w:numPr>
        <w:ilvl w:val="0"/>
        <w:numId w:val="30"/>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uiPriority w:val="0"/>
    <w:pPr>
      <w:framePr w:w="3997" w:h="471" w:hRule="exact" w:hSpace="0" w:vSpace="181" w:wrap="around" w:vAnchor="page" w:hAnchor="page" w:x="1419" w:y="14097"/>
    </w:pPr>
  </w:style>
  <w:style w:type="paragraph" w:customStyle="1" w:styleId="194">
    <w:name w:val="其他实施日期"/>
    <w:basedOn w:val="154"/>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spacing w:before="50" w:beforeLines="50" w:after="50" w:afterLines="50"/>
      <w:ind w:firstLine="0" w:firstLineChars="0"/>
    </w:pPr>
    <w:rPr>
      <w:rFonts w:ascii="黑体" w:eastAsia="黑体"/>
    </w:rPr>
  </w:style>
  <w:style w:type="paragraph" w:customStyle="1" w:styleId="201">
    <w:name w:val="标准文件_引言二级条标题"/>
    <w:basedOn w:val="56"/>
    <w:next w:val="56"/>
    <w:qFormat/>
    <w:uiPriority w:val="0"/>
    <w:pPr>
      <w:spacing w:before="50" w:beforeLines="50" w:after="50" w:afterLines="50"/>
      <w:ind w:firstLine="0" w:firstLineChars="0"/>
    </w:pPr>
    <w:rPr>
      <w:rFonts w:ascii="黑体" w:eastAsia="黑体"/>
    </w:rPr>
  </w:style>
  <w:style w:type="paragraph" w:customStyle="1" w:styleId="202">
    <w:name w:val="标准文件_引言三级条标题"/>
    <w:basedOn w:val="56"/>
    <w:next w:val="56"/>
    <w:qFormat/>
    <w:uiPriority w:val="0"/>
    <w:pPr>
      <w:spacing w:before="50" w:beforeLines="50" w:after="50" w:afterLines="50"/>
      <w:ind w:firstLine="0" w:firstLineChars="0"/>
    </w:pPr>
    <w:rPr>
      <w:rFonts w:ascii="黑体" w:eastAsia="黑体"/>
    </w:rPr>
  </w:style>
  <w:style w:type="paragraph" w:customStyle="1" w:styleId="203">
    <w:name w:val="标准文件_引言四级条标题"/>
    <w:basedOn w:val="56"/>
    <w:next w:val="56"/>
    <w:qFormat/>
    <w:uiPriority w:val="0"/>
    <w:pPr>
      <w:spacing w:before="50" w:beforeLines="50" w:after="50" w:afterLines="50"/>
      <w:ind w:firstLine="0" w:firstLineChars="0"/>
    </w:pPr>
    <w:rPr>
      <w:rFonts w:ascii="黑体" w:eastAsia="黑体"/>
    </w:rPr>
  </w:style>
  <w:style w:type="paragraph" w:customStyle="1" w:styleId="204">
    <w:name w:val="标准文件_引言五级条标题"/>
    <w:basedOn w:val="56"/>
    <w:next w:val="56"/>
    <w:qFormat/>
    <w:uiPriority w:val="0"/>
    <w:pPr>
      <w:spacing w:before="50" w:beforeLines="50" w:after="50" w:afterLines="50"/>
      <w:ind w:firstLine="0"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3" Type="http://schemas.openxmlformats.org/officeDocument/2006/relationships/glossaryDocument" Target="glossary/document.xml"/><Relationship Id="rId22" Type="http://schemas.openxmlformats.org/officeDocument/2006/relationships/fontTable" Target="fontTable.xml"/><Relationship Id="rId21" Type="http://schemas.openxmlformats.org/officeDocument/2006/relationships/customXml" Target="../customXml/item2.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2.jpeg"/><Relationship Id="rId17" Type="http://schemas.openxmlformats.org/officeDocument/2006/relationships/image" Target="media/image1.tiff"/><Relationship Id="rId16" Type="http://schemas.openxmlformats.org/officeDocument/2006/relationships/theme" Target="theme/theme1.xml"/><Relationship Id="rId15" Type="http://schemas.openxmlformats.org/officeDocument/2006/relationships/footer" Target="footer5.xml"/><Relationship Id="rId14" Type="http://schemas.openxmlformats.org/officeDocument/2006/relationships/header" Target="header6.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98853AEAF67C400F856F6BD3015F919A"/>
        <w:style w:val=""/>
        <w:category>
          <w:name w:val="常规"/>
          <w:gallery w:val="placeholder"/>
        </w:category>
        <w:types>
          <w:type w:val="bbPlcHdr"/>
        </w:types>
        <w:behaviors>
          <w:behavior w:val="content"/>
        </w:behaviors>
        <w:description w:val=""/>
        <w:guid w:val="{EB165DAA-341B-44E1-B4E6-34BDDAE12A91}"/>
      </w:docPartPr>
      <w:docPartBody>
        <w:p>
          <w:pPr>
            <w:pStyle w:val="5"/>
          </w:pPr>
          <w:r>
            <w:rPr>
              <w:rStyle w:val="4"/>
              <w:rFonts w:hint="eastAsia"/>
            </w:rPr>
            <w:t>单击或点击此处输入文字。</w:t>
          </w:r>
        </w:p>
      </w:docPartBody>
    </w:docPart>
    <w:docPart>
      <w:docPartPr>
        <w:name w:val="7A328BBB484145D69C399F8BB703059D"/>
        <w:style w:val=""/>
        <w:category>
          <w:name w:val="常规"/>
          <w:gallery w:val="placeholder"/>
        </w:category>
        <w:types>
          <w:type w:val="bbPlcHdr"/>
        </w:types>
        <w:behaviors>
          <w:behavior w:val="content"/>
        </w:behaviors>
        <w:description w:val=""/>
        <w:guid w:val="{374C92AC-B0E7-4951-BEB9-7BB658295159}"/>
      </w:docPartPr>
      <w:docPartBody>
        <w:p>
          <w:pPr>
            <w:pStyle w:val="8"/>
          </w:pPr>
          <w:r>
            <w:rPr>
              <w:rStyle w:val="4"/>
              <w:rFonts w:hint="eastAsia"/>
            </w:rPr>
            <w:t>单击或点击此处输入文字。</w:t>
          </w:r>
        </w:p>
      </w:docPartBody>
    </w:docPart>
    <w:docPart>
      <w:docPartPr>
        <w:name w:val="52EA8BE657B5415381D9AFC7ECBFBC2D"/>
        <w:style w:val=""/>
        <w:category>
          <w:name w:val="常规"/>
          <w:gallery w:val="placeholder"/>
        </w:category>
        <w:types>
          <w:type w:val="bbPlcHdr"/>
        </w:types>
        <w:behaviors>
          <w:behavior w:val="content"/>
        </w:behaviors>
        <w:description w:val=""/>
        <w:guid w:val="{F08F798A-9D58-459A-A9C2-E69481476FDB}"/>
      </w:docPartPr>
      <w:docPartBody>
        <w:p>
          <w:pPr>
            <w:pStyle w:val="9"/>
          </w:pPr>
          <w:r>
            <w:rPr>
              <w:rStyle w:val="4"/>
              <w:rFonts w:hint="eastAsia"/>
            </w:rPr>
            <w:t>选择一项。</w:t>
          </w:r>
        </w:p>
      </w:docPartBody>
    </w:docPart>
    <w:docPart>
      <w:docPartPr>
        <w:name w:val="F4AE1427F5F742E98053893A512F44D9"/>
        <w:style w:val=""/>
        <w:category>
          <w:name w:val="常规"/>
          <w:gallery w:val="placeholder"/>
        </w:category>
        <w:types>
          <w:type w:val="bbPlcHdr"/>
        </w:types>
        <w:behaviors>
          <w:behavior w:val="content"/>
        </w:behaviors>
        <w:description w:val=""/>
        <w:guid w:val="{4A6F83EA-7991-44C5-97DF-A785EDAFB1B6}"/>
      </w:docPartPr>
      <w:docPartBody>
        <w:p>
          <w:pPr>
            <w:pStyle w:val="10"/>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7D4C"/>
    <w:rsid w:val="00097487"/>
    <w:rsid w:val="00143F63"/>
    <w:rsid w:val="005044C4"/>
    <w:rsid w:val="00624CBB"/>
    <w:rsid w:val="006607E2"/>
    <w:rsid w:val="008E0089"/>
    <w:rsid w:val="009221B9"/>
    <w:rsid w:val="00A34FB0"/>
    <w:rsid w:val="00C37FB8"/>
    <w:rsid w:val="00C44BD5"/>
    <w:rsid w:val="00D67EE5"/>
    <w:rsid w:val="00E94F59"/>
    <w:rsid w:val="00EE7D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uiPriority="99" w:name="Normal Table"/>
    <w:lsdException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98853AEAF67C400F856F6BD3015F919A"/>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CBB1589DCF254B1D944D21EEDD3F1665"/>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7DF6322705F845C08A520578A5BAF0DC"/>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
    <w:name w:val="7A328BBB484145D69C399F8BB703059D"/>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
    <w:name w:val="52EA8BE657B5415381D9AFC7ECBFBC2D"/>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0">
    <w:name w:val="F4AE1427F5F742E98053893A512F44D9"/>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A5DA136-6037-4E11-9559-EFB0BA3EE7EA}">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8</Pages>
  <Words>631</Words>
  <Characters>3602</Characters>
  <Lines>30</Lines>
  <Paragraphs>8</Paragraphs>
  <TotalTime>1280</TotalTime>
  <ScaleCrop>false</ScaleCrop>
  <LinksUpToDate>false</LinksUpToDate>
  <CharactersWithSpaces>4225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2024-06-26T07:02:00Z</dcterms:created>
  <dc:creator>YU</dc:creator>
  <dc:description>&lt;config cover="true" show_menu="true" version="1.0.0" doctype="SDKXY"&gt;_x000d_
&lt;/config&gt;</dc:description>
  <cp:lastModifiedBy>吴韵</cp:lastModifiedBy>
  <cp:lastPrinted>2020-08-30T10:00:00Z</cp:lastPrinted>
  <dcterms:modified xsi:type="dcterms:W3CDTF">2024-09-27T09:11:06Z</dcterms:modified>
  <dc:title>地方标准</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2052-11.8.2.12085</vt:lpwstr>
  </property>
  <property fmtid="{D5CDD505-2E9C-101B-9397-08002B2CF9AE}" pid="15" name="ICV">
    <vt:lpwstr>2C277571CC634A57A07AF517F4A86D3A_12</vt:lpwstr>
  </property>
</Properties>
</file>