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F06995">
      <w:pPr>
        <w:jc w:val="center"/>
        <w:rPr>
          <w:rFonts w:hint="eastAsia" w:ascii="方正小标宋简体" w:hAnsi="方正小标宋简体" w:eastAsia="方正小标宋简体" w:cs="方正小标宋简体"/>
          <w:sz w:val="44"/>
          <w:szCs w:val="44"/>
        </w:rPr>
      </w:pPr>
    </w:p>
    <w:p w14:paraId="661DE998">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w:t>
      </w:r>
      <w:bookmarkStart w:id="0" w:name="OLE_LINK7"/>
      <w:r>
        <w:rPr>
          <w:rFonts w:hint="eastAsia" w:ascii="方正小标宋简体" w:hAnsi="方正小标宋简体" w:eastAsia="方正小标宋简体" w:cs="方正小标宋简体"/>
          <w:sz w:val="44"/>
          <w:szCs w:val="44"/>
          <w:lang w:val="en-US" w:eastAsia="zh-CN"/>
        </w:rPr>
        <w:t>规模化</w:t>
      </w:r>
      <w:r>
        <w:rPr>
          <w:rFonts w:hint="eastAsia" w:ascii="方正小标宋简体" w:hAnsi="方正小标宋简体" w:eastAsia="方正小标宋简体" w:cs="方正小标宋简体"/>
          <w:sz w:val="44"/>
          <w:szCs w:val="44"/>
        </w:rPr>
        <w:t>羊场布鲁氏菌病净化技术规范</w:t>
      </w:r>
      <w:bookmarkEnd w:id="0"/>
      <w:r>
        <w:rPr>
          <w:rFonts w:hint="eastAsia" w:ascii="方正小标宋简体" w:hAnsi="方正小标宋简体" w:eastAsia="方正小标宋简体" w:cs="方正小标宋简体"/>
          <w:sz w:val="44"/>
          <w:szCs w:val="44"/>
        </w:rPr>
        <w:t>》</w:t>
      </w:r>
    </w:p>
    <w:p w14:paraId="7B4DC08D">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编制说明</w:t>
      </w:r>
    </w:p>
    <w:p w14:paraId="2D43890A">
      <w:pPr>
        <w:rPr>
          <w:rFonts w:hint="eastAsia"/>
          <w:szCs w:val="32"/>
        </w:rPr>
      </w:pPr>
    </w:p>
    <w:p w14:paraId="5561F428">
      <w:pPr>
        <w:rPr>
          <w:rFonts w:hint="eastAsia"/>
          <w:szCs w:val="32"/>
        </w:rPr>
      </w:pPr>
    </w:p>
    <w:p w14:paraId="154EA3C0">
      <w:pPr>
        <w:rPr>
          <w:rFonts w:hint="eastAsia"/>
          <w:szCs w:val="32"/>
        </w:rPr>
      </w:pPr>
    </w:p>
    <w:p w14:paraId="0D0A013C">
      <w:pPr>
        <w:rPr>
          <w:rFonts w:hint="eastAsia"/>
          <w:szCs w:val="32"/>
        </w:rPr>
      </w:pPr>
    </w:p>
    <w:p w14:paraId="7B4C4F60">
      <w:pPr>
        <w:rPr>
          <w:rFonts w:hint="eastAsia"/>
          <w:szCs w:val="32"/>
        </w:rPr>
      </w:pPr>
    </w:p>
    <w:p w14:paraId="5E1B9E8F">
      <w:pPr>
        <w:rPr>
          <w:rFonts w:hint="eastAsia"/>
          <w:szCs w:val="32"/>
        </w:rPr>
      </w:pPr>
    </w:p>
    <w:p w14:paraId="3F67C9E5">
      <w:pPr>
        <w:rPr>
          <w:rFonts w:hint="eastAsia"/>
          <w:szCs w:val="32"/>
        </w:rPr>
      </w:pPr>
    </w:p>
    <w:p w14:paraId="079583B2">
      <w:pPr>
        <w:rPr>
          <w:rFonts w:hint="eastAsia"/>
          <w:szCs w:val="32"/>
        </w:rPr>
      </w:pPr>
    </w:p>
    <w:p w14:paraId="5E99D491">
      <w:pPr>
        <w:rPr>
          <w:rFonts w:hint="eastAsia"/>
          <w:szCs w:val="32"/>
        </w:rPr>
      </w:pPr>
    </w:p>
    <w:p w14:paraId="6069D796">
      <w:pPr>
        <w:rPr>
          <w:rFonts w:hint="eastAsia"/>
          <w:szCs w:val="32"/>
        </w:rPr>
      </w:pPr>
    </w:p>
    <w:p w14:paraId="585BA525">
      <w:pPr>
        <w:rPr>
          <w:rFonts w:hint="eastAsia"/>
          <w:szCs w:val="32"/>
        </w:rPr>
      </w:pPr>
    </w:p>
    <w:p w14:paraId="33001C7A">
      <w:pPr>
        <w:rPr>
          <w:rFonts w:hint="eastAsia"/>
          <w:szCs w:val="32"/>
        </w:rPr>
      </w:pPr>
    </w:p>
    <w:p w14:paraId="3168C929">
      <w:pPr>
        <w:rPr>
          <w:rFonts w:hint="eastAsia"/>
          <w:szCs w:val="32"/>
        </w:rPr>
      </w:pPr>
    </w:p>
    <w:p w14:paraId="6CBAE273">
      <w:pPr>
        <w:rPr>
          <w:rFonts w:hint="eastAsia"/>
          <w:szCs w:val="32"/>
        </w:rPr>
      </w:pPr>
    </w:p>
    <w:p w14:paraId="20A6C656">
      <w:pPr>
        <w:rPr>
          <w:rFonts w:hint="eastAsia"/>
          <w:szCs w:val="32"/>
        </w:rPr>
      </w:pPr>
    </w:p>
    <w:p w14:paraId="724BCE58">
      <w:pPr>
        <w:rPr>
          <w:rFonts w:hint="eastAsia" w:ascii="黑体" w:hAnsi="黑体" w:eastAsia="黑体" w:cs="黑体"/>
          <w:sz w:val="32"/>
          <w:szCs w:val="32"/>
          <w:u w:val="single"/>
          <w:lang w:val="en-US" w:eastAsia="zh-CN"/>
        </w:rPr>
      </w:pPr>
      <w:r>
        <w:rPr>
          <w:rFonts w:hint="eastAsia" w:ascii="黑体" w:hAnsi="黑体" w:eastAsia="黑体" w:cs="黑体"/>
          <w:sz w:val="32"/>
          <w:szCs w:val="32"/>
          <w:u w:val="none"/>
          <w:lang w:val="en-US" w:eastAsia="zh-CN"/>
        </w:rPr>
        <w:t>标准名称：</w:t>
      </w:r>
      <w:r>
        <w:rPr>
          <w:rFonts w:hint="eastAsia" w:ascii="黑体" w:hAnsi="黑体" w:eastAsia="黑体" w:cs="黑体"/>
          <w:sz w:val="32"/>
          <w:szCs w:val="32"/>
          <w:u w:val="single"/>
          <w:lang w:val="en-US" w:eastAsia="zh-CN"/>
        </w:rPr>
        <w:t xml:space="preserve">    规模化</w:t>
      </w:r>
      <w:r>
        <w:rPr>
          <w:rFonts w:hint="eastAsia" w:ascii="黑体" w:hAnsi="黑体" w:eastAsia="黑体" w:cs="黑体"/>
          <w:sz w:val="32"/>
          <w:szCs w:val="32"/>
          <w:u w:val="single"/>
        </w:rPr>
        <w:t>羊场布鲁氏菌病净化技术规范</w:t>
      </w:r>
      <w:r>
        <w:rPr>
          <w:rFonts w:hint="eastAsia" w:ascii="黑体" w:hAnsi="黑体" w:eastAsia="黑体" w:cs="黑体"/>
          <w:sz w:val="32"/>
          <w:szCs w:val="32"/>
          <w:u w:val="single"/>
          <w:lang w:val="en-US" w:eastAsia="zh-CN"/>
        </w:rPr>
        <w:t xml:space="preserve">   </w:t>
      </w:r>
    </w:p>
    <w:p w14:paraId="0B0860D2">
      <w:pPr>
        <w:rPr>
          <w:rFonts w:hint="default" w:ascii="黑体" w:hAnsi="黑体" w:eastAsia="黑体" w:cs="黑体"/>
          <w:sz w:val="32"/>
          <w:szCs w:val="32"/>
          <w:u w:val="single"/>
          <w:lang w:val="en-US" w:eastAsia="zh-CN"/>
        </w:rPr>
      </w:pPr>
      <w:r>
        <w:rPr>
          <w:rFonts w:hint="eastAsia" w:ascii="黑体" w:hAnsi="黑体" w:eastAsia="黑体" w:cs="黑体"/>
          <w:sz w:val="32"/>
          <w:szCs w:val="32"/>
          <w:u w:val="none"/>
          <w:lang w:val="en-US" w:eastAsia="zh-CN"/>
        </w:rPr>
        <w:t>项目编号：</w:t>
      </w:r>
      <w:r>
        <w:rPr>
          <w:rFonts w:hint="eastAsia" w:ascii="黑体" w:hAnsi="黑体" w:eastAsia="黑体" w:cs="黑体"/>
          <w:sz w:val="32"/>
          <w:szCs w:val="32"/>
          <w:u w:val="single"/>
          <w:lang w:val="en-US" w:eastAsia="zh-CN"/>
        </w:rPr>
        <w:t xml:space="preserve">           </w:t>
      </w:r>
      <w:bookmarkStart w:id="1" w:name="OLE_LINK10"/>
      <w:r>
        <w:rPr>
          <w:rFonts w:hint="eastAsia" w:ascii="黑体" w:hAnsi="黑体" w:eastAsia="黑体" w:cs="黑体"/>
          <w:sz w:val="32"/>
          <w:szCs w:val="32"/>
          <w:u w:val="single"/>
          <w:lang w:val="en-US" w:eastAsia="zh-CN"/>
        </w:rPr>
        <w:t>DB63JH-041-2024</w:t>
      </w:r>
      <w:bookmarkEnd w:id="1"/>
      <w:r>
        <w:rPr>
          <w:rFonts w:hint="eastAsia" w:ascii="黑体" w:hAnsi="黑体" w:eastAsia="黑体" w:cs="黑体"/>
          <w:sz w:val="32"/>
          <w:szCs w:val="32"/>
          <w:u w:val="single"/>
          <w:lang w:val="en-US" w:eastAsia="zh-CN"/>
        </w:rPr>
        <w:t xml:space="preserve">             </w:t>
      </w:r>
    </w:p>
    <w:p w14:paraId="6AB8F208">
      <w:pPr>
        <w:rPr>
          <w:rFonts w:hint="eastAsia" w:ascii="黑体" w:hAnsi="黑体" w:eastAsia="黑体" w:cs="黑体"/>
          <w:sz w:val="32"/>
          <w:szCs w:val="32"/>
          <w:u w:val="single"/>
          <w:lang w:val="en-US" w:eastAsia="zh-CN"/>
        </w:rPr>
      </w:pPr>
      <w:r>
        <w:rPr>
          <w:rFonts w:hint="eastAsia" w:ascii="黑体" w:hAnsi="黑体" w:eastAsia="黑体" w:cs="黑体"/>
          <w:sz w:val="32"/>
          <w:szCs w:val="32"/>
          <w:u w:val="none"/>
          <w:lang w:val="en-US" w:eastAsia="zh-CN"/>
        </w:rPr>
        <w:t xml:space="preserve">制、修订类型： </w:t>
      </w:r>
      <w:r>
        <w:rPr>
          <w:rFonts w:hint="eastAsia" w:ascii="黑体" w:hAnsi="黑体" w:eastAsia="黑体" w:cs="黑体"/>
          <w:sz w:val="32"/>
          <w:szCs w:val="32"/>
          <w:u w:val="single"/>
          <w:lang w:val="en-US" w:eastAsia="zh-CN"/>
        </w:rPr>
        <w:t xml:space="preserve">             制定                 </w:t>
      </w:r>
    </w:p>
    <w:p w14:paraId="7DAEA7BA">
      <w:pPr>
        <w:rPr>
          <w:rFonts w:hint="default" w:ascii="黑体" w:hAnsi="黑体" w:eastAsia="黑体" w:cs="黑体"/>
          <w:sz w:val="32"/>
          <w:szCs w:val="32"/>
          <w:u w:val="single"/>
          <w:lang w:val="en-US" w:eastAsia="zh-CN"/>
        </w:rPr>
      </w:pPr>
      <w:r>
        <w:rPr>
          <w:rFonts w:hint="eastAsia" w:ascii="黑体" w:hAnsi="黑体" w:eastAsia="黑体" w:cs="黑体"/>
          <w:sz w:val="32"/>
          <w:szCs w:val="32"/>
          <w:u w:val="none"/>
          <w:lang w:val="en-US" w:eastAsia="zh-CN"/>
        </w:rPr>
        <w:t>主要起草单位：</w:t>
      </w:r>
      <w:r>
        <w:rPr>
          <w:rFonts w:hint="eastAsia" w:ascii="黑体" w:hAnsi="黑体" w:eastAsia="黑体" w:cs="黑体"/>
          <w:sz w:val="32"/>
          <w:szCs w:val="32"/>
          <w:u w:val="single"/>
          <w:lang w:val="en-US" w:eastAsia="zh-CN"/>
        </w:rPr>
        <w:t xml:space="preserve">    西宁市动物疫病预防控制中心     </w:t>
      </w:r>
    </w:p>
    <w:p w14:paraId="1B9D7BD5">
      <w:pPr>
        <w:rPr>
          <w:rFonts w:hint="default" w:ascii="黑体" w:hAnsi="黑体" w:eastAsia="黑体" w:cs="黑体"/>
          <w:sz w:val="32"/>
          <w:szCs w:val="32"/>
          <w:u w:val="single"/>
          <w:lang w:val="en-US" w:eastAsia="zh-CN"/>
        </w:rPr>
      </w:pPr>
      <w:r>
        <w:rPr>
          <w:rFonts w:hint="eastAsia" w:ascii="黑体" w:hAnsi="黑体" w:eastAsia="黑体" w:cs="黑体"/>
          <w:sz w:val="32"/>
          <w:szCs w:val="32"/>
          <w:u w:val="none"/>
          <w:lang w:val="en-US" w:eastAsia="zh-CN"/>
        </w:rPr>
        <w:t>协作单位：</w:t>
      </w:r>
      <w:r>
        <w:rPr>
          <w:rFonts w:hint="eastAsia" w:ascii="黑体" w:hAnsi="黑体" w:eastAsia="黑体" w:cs="黑体"/>
          <w:sz w:val="32"/>
          <w:szCs w:val="32"/>
          <w:u w:val="single"/>
          <w:lang w:val="en-US" w:eastAsia="zh-CN"/>
        </w:rPr>
        <w:t>民和县农业农村和科技局、民和县畜牧兽医站</w:t>
      </w:r>
    </w:p>
    <w:p w14:paraId="7DEBC43A">
      <w:pPr>
        <w:rPr>
          <w:rFonts w:hint="default" w:ascii="黑体" w:hAnsi="黑体" w:eastAsia="黑体" w:cs="黑体"/>
          <w:sz w:val="32"/>
          <w:szCs w:val="32"/>
          <w:u w:val="single"/>
          <w:lang w:val="en-US" w:eastAsia="zh-CN"/>
        </w:rPr>
      </w:pPr>
      <w:r>
        <w:rPr>
          <w:rFonts w:hint="eastAsia" w:ascii="黑体" w:hAnsi="黑体" w:eastAsia="黑体" w:cs="黑体"/>
          <w:sz w:val="32"/>
          <w:szCs w:val="32"/>
          <w:u w:val="none"/>
          <w:lang w:val="en-US" w:eastAsia="zh-CN"/>
        </w:rPr>
        <w:t>归口单位：</w:t>
      </w:r>
      <w:r>
        <w:rPr>
          <w:rFonts w:hint="eastAsia" w:ascii="黑体" w:hAnsi="黑体" w:eastAsia="黑体" w:cs="黑体"/>
          <w:sz w:val="32"/>
          <w:szCs w:val="32"/>
          <w:u w:val="single"/>
          <w:lang w:val="en-US" w:eastAsia="zh-CN"/>
        </w:rPr>
        <w:t xml:space="preserve">            青海省农业农村厅           </w:t>
      </w:r>
    </w:p>
    <w:p w14:paraId="61D2EEA3">
      <w:pPr>
        <w:rPr>
          <w:rFonts w:hint="default" w:ascii="黑体" w:hAnsi="黑体" w:eastAsia="黑体" w:cs="黑体"/>
          <w:sz w:val="32"/>
          <w:szCs w:val="32"/>
          <w:u w:val="single"/>
          <w:lang w:val="en-US" w:eastAsia="zh-CN"/>
        </w:rPr>
      </w:pPr>
      <w:r>
        <w:rPr>
          <w:rFonts w:hint="eastAsia" w:ascii="黑体" w:hAnsi="黑体" w:eastAsia="黑体" w:cs="黑体"/>
          <w:sz w:val="32"/>
          <w:szCs w:val="32"/>
          <w:u w:val="none"/>
          <w:lang w:val="en-US" w:eastAsia="zh-CN"/>
        </w:rPr>
        <w:t>起草时间：</w:t>
      </w:r>
      <w:r>
        <w:rPr>
          <w:rFonts w:hint="eastAsia" w:ascii="黑体" w:hAnsi="黑体" w:eastAsia="黑体" w:cs="黑体"/>
          <w:sz w:val="32"/>
          <w:szCs w:val="32"/>
          <w:u w:val="single"/>
          <w:lang w:val="en-US" w:eastAsia="zh-CN"/>
        </w:rPr>
        <w:t xml:space="preserve">       2024年04月—2025年10月       </w:t>
      </w:r>
    </w:p>
    <w:p w14:paraId="0B1744EE">
      <w:pPr>
        <w:rPr>
          <w:rFonts w:hint="eastAsia"/>
          <w:szCs w:val="32"/>
        </w:rPr>
      </w:pPr>
    </w:p>
    <w:p w14:paraId="514EC646">
      <w:pPr>
        <w:rPr>
          <w:rFonts w:hint="eastAsia"/>
          <w:szCs w:val="32"/>
        </w:rPr>
      </w:pPr>
    </w:p>
    <w:p w14:paraId="6EA15812">
      <w:pPr>
        <w:rPr>
          <w:rFonts w:hint="eastAsia"/>
          <w:szCs w:val="32"/>
        </w:rPr>
      </w:pPr>
    </w:p>
    <w:p w14:paraId="65816341">
      <w:pPr>
        <w:rPr>
          <w:rFonts w:hint="eastAsia"/>
          <w:szCs w:val="32"/>
        </w:rPr>
      </w:pPr>
    </w:p>
    <w:p w14:paraId="75EB7D16">
      <w:pPr>
        <w:rPr>
          <w:rFonts w:hint="eastAsia"/>
          <w:szCs w:val="32"/>
        </w:rPr>
      </w:pPr>
    </w:p>
    <w:p w14:paraId="1B8C504F">
      <w:pPr>
        <w:rPr>
          <w:rFonts w:hint="eastAsia"/>
          <w:szCs w:val="32"/>
        </w:rPr>
      </w:pPr>
    </w:p>
    <w:p w14:paraId="678C5115">
      <w:pPr>
        <w:ind w:firstLine="640" w:firstLineChars="200"/>
        <w:rPr>
          <w:rFonts w:hint="eastAsia" w:ascii="黑体" w:hAnsi="黑体" w:eastAsia="黑体" w:cs="黑体"/>
          <w:sz w:val="32"/>
          <w:szCs w:val="32"/>
        </w:rPr>
      </w:pPr>
      <w:r>
        <w:rPr>
          <w:rFonts w:hint="eastAsia" w:ascii="黑体" w:hAnsi="黑体" w:eastAsia="黑体" w:cs="黑体"/>
          <w:sz w:val="32"/>
          <w:szCs w:val="32"/>
        </w:rPr>
        <w:t>一、工作简况</w:t>
      </w:r>
    </w:p>
    <w:p w14:paraId="5C6089CB">
      <w:pPr>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（一）任务来源</w:t>
      </w:r>
    </w:p>
    <w:p w14:paraId="27872779">
      <w:pPr>
        <w:ind w:firstLine="640" w:firstLineChars="200"/>
        <w:rPr>
          <w:rFonts w:hint="eastAsia" w:ascii="仿宋_GB2312" w:hAnsi="Calibri" w:eastAsia="仿宋_GB2312" w:cs="Times New Roman"/>
          <w:bCs/>
          <w:sz w:val="32"/>
          <w:szCs w:val="32"/>
          <w:lang w:val="en-US" w:eastAsia="zh-CN"/>
        </w:rPr>
      </w:pPr>
      <w:r>
        <w:rPr>
          <w:rFonts w:hint="eastAsia" w:ascii="仿宋_GB2312" w:hAnsi="仿宋_GB2312" w:eastAsia="仿宋_GB2312" w:cs="仿宋_GB2312"/>
          <w:sz w:val="32"/>
          <w:szCs w:val="32"/>
          <w:lang w:val="en-US" w:eastAsia="zh-CN"/>
        </w:rPr>
        <w:t>2023年11月29日，西宁市动物疫病预防控制中心申请地方标准的立项，</w:t>
      </w:r>
      <w:r>
        <w:rPr>
          <w:rFonts w:hint="eastAsia" w:ascii="仿宋_GB2312" w:eastAsia="仿宋_GB2312"/>
          <w:bCs/>
          <w:sz w:val="32"/>
          <w:szCs w:val="32"/>
        </w:rPr>
        <w:t>根据</w:t>
      </w:r>
      <w:r>
        <w:rPr>
          <w:rFonts w:hint="eastAsia" w:ascii="仿宋_GB2312" w:eastAsia="仿宋_GB2312"/>
          <w:bCs/>
          <w:sz w:val="32"/>
          <w:szCs w:val="32"/>
          <w:lang w:val="en-US" w:eastAsia="zh-CN"/>
        </w:rPr>
        <w:t>青海省市场监督管理局</w:t>
      </w:r>
      <w:bookmarkStart w:id="2" w:name="OLE_LINK33"/>
      <w:r>
        <w:rPr>
          <w:rFonts w:hint="eastAsia" w:ascii="仿宋_GB2312" w:eastAsia="仿宋_GB2312"/>
          <w:bCs/>
          <w:sz w:val="32"/>
          <w:szCs w:val="32"/>
          <w:lang w:val="en-US" w:eastAsia="zh-CN"/>
        </w:rPr>
        <w:t>《关于印发2024年青海省地方标准制修订项目计划的通知》（青市监函【2024】140号）</w:t>
      </w:r>
      <w:bookmarkEnd w:id="2"/>
      <w:r>
        <w:rPr>
          <w:rFonts w:hint="eastAsia" w:ascii="仿宋_GB2312" w:eastAsia="仿宋_GB2312"/>
          <w:bCs/>
          <w:sz w:val="32"/>
          <w:szCs w:val="32"/>
        </w:rPr>
        <w:t>，批准</w:t>
      </w:r>
      <w:r>
        <w:rPr>
          <w:rFonts w:hint="eastAsia" w:ascii="仿宋_GB2312" w:eastAsia="仿宋_GB2312"/>
          <w:bCs/>
          <w:sz w:val="32"/>
          <w:szCs w:val="32"/>
          <w:lang w:val="en-US" w:eastAsia="zh-CN"/>
        </w:rPr>
        <w:t>了</w:t>
      </w:r>
      <w:bookmarkStart w:id="3" w:name="OLE_LINK16"/>
      <w:r>
        <w:rPr>
          <w:rFonts w:hint="eastAsia" w:ascii="仿宋_GB2312" w:hAnsi="Calibri" w:eastAsia="仿宋_GB2312" w:cs="Times New Roman"/>
          <w:bCs/>
          <w:sz w:val="32"/>
          <w:szCs w:val="32"/>
          <w:lang w:val="en-US" w:eastAsia="zh-CN"/>
        </w:rPr>
        <w:t>《规模化羊场布鲁氏菌病净化技术规范》</w:t>
      </w:r>
      <w:bookmarkEnd w:id="3"/>
      <w:r>
        <w:rPr>
          <w:rFonts w:hint="eastAsia" w:ascii="仿宋_GB2312" w:hAnsi="Calibri" w:eastAsia="仿宋_GB2312" w:cs="Times New Roman"/>
          <w:bCs/>
          <w:sz w:val="32"/>
          <w:szCs w:val="32"/>
          <w:lang w:val="en-US" w:eastAsia="zh-CN"/>
        </w:rPr>
        <w:t>地方标准的制定项目(项目编号DB63JH-041-2024)。</w:t>
      </w:r>
    </w:p>
    <w:p w14:paraId="5E4B1E8F">
      <w:pPr>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（二）起草单位</w:t>
      </w:r>
    </w:p>
    <w:p w14:paraId="355D89DE">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起草单位：西宁市动物疫病预防控制中心</w:t>
      </w:r>
    </w:p>
    <w:p w14:paraId="495CFB98">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协作单位：</w:t>
      </w:r>
      <w:r>
        <w:rPr>
          <w:rFonts w:hint="eastAsia" w:ascii="仿宋_GB2312" w:hAnsi="仿宋_GB2312" w:eastAsia="仿宋_GB2312" w:cs="仿宋_GB2312"/>
          <w:sz w:val="32"/>
          <w:szCs w:val="32"/>
          <w:lang w:val="en-US" w:eastAsia="zh-CN"/>
        </w:rPr>
        <w:t xml:space="preserve">民和县农业农村和科技局、民和县畜牧兽医站 </w:t>
      </w:r>
    </w:p>
    <w:p w14:paraId="4334AA7F">
      <w:pPr>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三）</w:t>
      </w:r>
      <w:r>
        <w:rPr>
          <w:rFonts w:hint="eastAsia" w:ascii="楷体_GB2312" w:hAnsi="楷体_GB2312" w:eastAsia="楷体_GB2312" w:cs="楷体_GB2312"/>
          <w:b/>
          <w:bCs/>
          <w:sz w:val="32"/>
          <w:szCs w:val="32"/>
        </w:rPr>
        <w:t>主要起草人</w:t>
      </w:r>
    </w:p>
    <w:tbl>
      <w:tblPr>
        <w:tblStyle w:val="5"/>
        <w:tblW w:w="87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6"/>
        <w:gridCol w:w="716"/>
        <w:gridCol w:w="1523"/>
        <w:gridCol w:w="2988"/>
        <w:gridCol w:w="2624"/>
      </w:tblGrid>
      <w:tr w14:paraId="1A4E5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6" w:type="dxa"/>
            <w:noWrap w:val="0"/>
            <w:vAlign w:val="top"/>
          </w:tcPr>
          <w:p w14:paraId="59D2B8D3">
            <w:pPr>
              <w:pStyle w:val="7"/>
              <w:widowControl w:val="0"/>
              <w:numPr>
                <w:ilvl w:val="0"/>
                <w:numId w:val="0"/>
              </w:numPr>
              <w:rPr>
                <w:rFonts w:hint="eastAsia" w:ascii="仿宋_GB2312" w:hAnsi="仿宋_GB2312" w:eastAsia="仿宋_GB2312" w:cs="仿宋_GB2312"/>
                <w:sz w:val="21"/>
                <w:szCs w:val="21"/>
                <w:lang w:val="en-US" w:eastAsia="zh-CN"/>
              </w:rPr>
            </w:pPr>
            <w:bookmarkStart w:id="4" w:name="OLE_LINK2"/>
            <w:r>
              <w:rPr>
                <w:rFonts w:hint="eastAsia" w:ascii="仿宋_GB2312" w:hAnsi="仿宋_GB2312" w:eastAsia="仿宋_GB2312" w:cs="仿宋_GB2312"/>
                <w:sz w:val="21"/>
                <w:szCs w:val="21"/>
                <w:lang w:val="en-US" w:eastAsia="zh-CN"/>
              </w:rPr>
              <w:t>姓名</w:t>
            </w:r>
          </w:p>
        </w:tc>
        <w:tc>
          <w:tcPr>
            <w:tcW w:w="716" w:type="dxa"/>
            <w:noWrap w:val="0"/>
            <w:vAlign w:val="top"/>
          </w:tcPr>
          <w:p w14:paraId="6DF8B58E">
            <w:pPr>
              <w:pStyle w:val="7"/>
              <w:widowControl w:val="0"/>
              <w:numPr>
                <w:ilvl w:val="0"/>
                <w:numId w:val="0"/>
              </w:numP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性别</w:t>
            </w:r>
          </w:p>
        </w:tc>
        <w:tc>
          <w:tcPr>
            <w:tcW w:w="1523" w:type="dxa"/>
            <w:noWrap w:val="0"/>
            <w:vAlign w:val="top"/>
          </w:tcPr>
          <w:p w14:paraId="2BB45988">
            <w:pPr>
              <w:pStyle w:val="7"/>
              <w:widowControl w:val="0"/>
              <w:numPr>
                <w:ilvl w:val="0"/>
                <w:numId w:val="0"/>
              </w:numPr>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职务/职称</w:t>
            </w:r>
          </w:p>
        </w:tc>
        <w:tc>
          <w:tcPr>
            <w:tcW w:w="2988" w:type="dxa"/>
            <w:noWrap w:val="0"/>
            <w:vAlign w:val="top"/>
          </w:tcPr>
          <w:p w14:paraId="591800A0">
            <w:pPr>
              <w:pStyle w:val="7"/>
              <w:widowControl w:val="0"/>
              <w:numPr>
                <w:ilvl w:val="0"/>
                <w:numId w:val="0"/>
              </w:numPr>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val="en-US" w:eastAsia="zh-CN"/>
              </w:rPr>
              <w:t>工作单位</w:t>
            </w:r>
          </w:p>
        </w:tc>
        <w:tc>
          <w:tcPr>
            <w:tcW w:w="2624" w:type="dxa"/>
            <w:noWrap w:val="0"/>
            <w:vAlign w:val="top"/>
          </w:tcPr>
          <w:p w14:paraId="2038A75A">
            <w:pPr>
              <w:pStyle w:val="7"/>
              <w:widowControl w:val="0"/>
              <w:numPr>
                <w:ilvl w:val="0"/>
                <w:numId w:val="0"/>
              </w:numP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任务分工</w:t>
            </w:r>
          </w:p>
        </w:tc>
      </w:tr>
      <w:tr w14:paraId="08FFD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6" w:type="dxa"/>
            <w:noWrap w:val="0"/>
            <w:vAlign w:val="top"/>
          </w:tcPr>
          <w:p w14:paraId="3FFC5EF8">
            <w:pPr>
              <w:pStyle w:val="7"/>
              <w:widowControl w:val="0"/>
              <w:numPr>
                <w:ilvl w:val="0"/>
                <w:numId w:val="0"/>
              </w:numPr>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rPr>
              <w:t>张成图</w:t>
            </w:r>
          </w:p>
        </w:tc>
        <w:tc>
          <w:tcPr>
            <w:tcW w:w="716" w:type="dxa"/>
            <w:noWrap w:val="0"/>
            <w:vAlign w:val="top"/>
          </w:tcPr>
          <w:p w14:paraId="4DBD631D">
            <w:pPr>
              <w:pStyle w:val="7"/>
              <w:widowControl w:val="0"/>
              <w:numPr>
                <w:ilvl w:val="0"/>
                <w:numId w:val="0"/>
              </w:numPr>
              <w:rPr>
                <w:rFonts w:hint="eastAsia" w:ascii="仿宋_GB2312" w:hAnsi="仿宋_GB2312" w:eastAsia="仿宋_GB2312" w:cs="仿宋_GB2312"/>
                <w:sz w:val="21"/>
                <w:szCs w:val="21"/>
                <w:vertAlign w:val="baseline"/>
                <w:lang w:val="en-US" w:eastAsia="zh-CN"/>
              </w:rPr>
            </w:pPr>
            <w:bookmarkStart w:id="5" w:name="OLE_LINK13"/>
            <w:r>
              <w:rPr>
                <w:rFonts w:hint="eastAsia" w:ascii="仿宋_GB2312" w:hAnsi="仿宋_GB2312" w:eastAsia="仿宋_GB2312" w:cs="仿宋_GB2312"/>
                <w:sz w:val="21"/>
                <w:szCs w:val="21"/>
                <w:vertAlign w:val="baseline"/>
                <w:lang w:val="en-US" w:eastAsia="zh-CN"/>
              </w:rPr>
              <w:t>男</w:t>
            </w:r>
            <w:bookmarkEnd w:id="5"/>
          </w:p>
        </w:tc>
        <w:tc>
          <w:tcPr>
            <w:tcW w:w="1523" w:type="dxa"/>
            <w:noWrap w:val="0"/>
            <w:vAlign w:val="top"/>
          </w:tcPr>
          <w:p w14:paraId="2D9A1269">
            <w:pPr>
              <w:pStyle w:val="7"/>
              <w:widowControl w:val="0"/>
              <w:numPr>
                <w:ilvl w:val="0"/>
                <w:numId w:val="0"/>
              </w:numPr>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推广研究员</w:t>
            </w:r>
          </w:p>
        </w:tc>
        <w:tc>
          <w:tcPr>
            <w:tcW w:w="2988" w:type="dxa"/>
            <w:noWrap w:val="0"/>
            <w:vAlign w:val="top"/>
          </w:tcPr>
          <w:p w14:paraId="1B996D74">
            <w:pPr>
              <w:pStyle w:val="7"/>
              <w:widowControl w:val="0"/>
              <w:numPr>
                <w:ilvl w:val="0"/>
                <w:numId w:val="0"/>
              </w:numPr>
              <w:rPr>
                <w:rFonts w:hint="eastAsia" w:ascii="仿宋_GB2312" w:hAnsi="仿宋_GB2312" w:eastAsia="仿宋_GB2312" w:cs="仿宋_GB2312"/>
                <w:sz w:val="21"/>
                <w:szCs w:val="21"/>
                <w:vertAlign w:val="baseline"/>
              </w:rPr>
            </w:pPr>
            <w:bookmarkStart w:id="6" w:name="OLE_LINK15"/>
            <w:r>
              <w:rPr>
                <w:rFonts w:hint="eastAsia" w:ascii="仿宋_GB2312" w:hAnsi="仿宋_GB2312" w:eastAsia="仿宋_GB2312" w:cs="仿宋_GB2312"/>
                <w:sz w:val="21"/>
                <w:szCs w:val="21"/>
                <w:vertAlign w:val="baseline"/>
                <w:lang w:val="en-US" w:eastAsia="zh-CN"/>
              </w:rPr>
              <w:t>西宁市动物疫病预防控制中心</w:t>
            </w:r>
            <w:bookmarkEnd w:id="6"/>
          </w:p>
        </w:tc>
        <w:tc>
          <w:tcPr>
            <w:tcW w:w="2624" w:type="dxa"/>
            <w:noWrap w:val="0"/>
            <w:vAlign w:val="top"/>
          </w:tcPr>
          <w:p w14:paraId="71E6A821">
            <w:pPr>
              <w:pStyle w:val="7"/>
              <w:widowControl w:val="0"/>
              <w:numPr>
                <w:ilvl w:val="0"/>
                <w:numId w:val="0"/>
              </w:numPr>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总负责，标准的制定、修改以及编制说明的撰写等</w:t>
            </w:r>
          </w:p>
        </w:tc>
      </w:tr>
      <w:tr w14:paraId="258F8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6" w:type="dxa"/>
            <w:noWrap w:val="0"/>
            <w:vAlign w:val="top"/>
          </w:tcPr>
          <w:p w14:paraId="7F2669C5">
            <w:pPr>
              <w:pStyle w:val="7"/>
              <w:widowControl w:val="0"/>
              <w:numPr>
                <w:ilvl w:val="0"/>
                <w:numId w:val="0"/>
              </w:numP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吴 英</w:t>
            </w:r>
          </w:p>
        </w:tc>
        <w:tc>
          <w:tcPr>
            <w:tcW w:w="716" w:type="dxa"/>
            <w:noWrap w:val="0"/>
            <w:vAlign w:val="top"/>
          </w:tcPr>
          <w:p w14:paraId="15EE06BB">
            <w:pPr>
              <w:pStyle w:val="7"/>
              <w:widowControl w:val="0"/>
              <w:numPr>
                <w:ilvl w:val="0"/>
                <w:numId w:val="0"/>
              </w:numPr>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val="en-US" w:eastAsia="zh-CN"/>
              </w:rPr>
              <w:t>男</w:t>
            </w:r>
          </w:p>
        </w:tc>
        <w:tc>
          <w:tcPr>
            <w:tcW w:w="1523" w:type="dxa"/>
            <w:noWrap w:val="0"/>
            <w:vAlign w:val="top"/>
          </w:tcPr>
          <w:p w14:paraId="2F1A9F01">
            <w:pPr>
              <w:pStyle w:val="7"/>
              <w:widowControl w:val="0"/>
              <w:numPr>
                <w:ilvl w:val="0"/>
                <w:numId w:val="0"/>
              </w:numP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正高级兽医师</w:t>
            </w:r>
          </w:p>
        </w:tc>
        <w:tc>
          <w:tcPr>
            <w:tcW w:w="2988" w:type="dxa"/>
            <w:noWrap w:val="0"/>
            <w:vAlign w:val="top"/>
          </w:tcPr>
          <w:p w14:paraId="3CB9E3CA">
            <w:pPr>
              <w:pStyle w:val="7"/>
              <w:widowControl w:val="0"/>
              <w:numPr>
                <w:ilvl w:val="0"/>
                <w:numId w:val="0"/>
              </w:numPr>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val="en-US" w:eastAsia="zh-CN"/>
              </w:rPr>
              <w:t>西宁市动物疫病预防控制中心</w:t>
            </w:r>
          </w:p>
        </w:tc>
        <w:tc>
          <w:tcPr>
            <w:tcW w:w="2624" w:type="dxa"/>
            <w:noWrap w:val="0"/>
            <w:vAlign w:val="top"/>
          </w:tcPr>
          <w:p w14:paraId="0343552A">
            <w:pPr>
              <w:pStyle w:val="7"/>
              <w:widowControl w:val="0"/>
              <w:numPr>
                <w:ilvl w:val="0"/>
                <w:numId w:val="0"/>
              </w:numPr>
              <w:rPr>
                <w:rFonts w:hint="default" w:ascii="仿宋_GB2312" w:hAnsi="仿宋_GB2312" w:eastAsia="仿宋_GB2312" w:cs="仿宋_GB2312"/>
                <w:sz w:val="21"/>
                <w:szCs w:val="21"/>
                <w:vertAlign w:val="baseline"/>
                <w:lang w:val="en-US"/>
              </w:rPr>
            </w:pPr>
            <w:r>
              <w:rPr>
                <w:rFonts w:hint="eastAsia" w:ascii="仿宋_GB2312" w:hAnsi="仿宋_GB2312" w:eastAsia="仿宋_GB2312" w:cs="仿宋_GB2312"/>
                <w:sz w:val="21"/>
                <w:szCs w:val="21"/>
                <w:vertAlign w:val="baseline"/>
                <w:lang w:val="en-US" w:eastAsia="zh-CN"/>
              </w:rPr>
              <w:t>文本的修改等</w:t>
            </w:r>
          </w:p>
        </w:tc>
      </w:tr>
      <w:tr w14:paraId="0A179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886" w:type="dxa"/>
            <w:noWrap w:val="0"/>
            <w:vAlign w:val="center"/>
          </w:tcPr>
          <w:p w14:paraId="5D28EABF">
            <w:pPr>
              <w:pStyle w:val="7"/>
              <w:widowControl w:val="0"/>
              <w:numPr>
                <w:ilvl w:val="0"/>
                <w:numId w:val="0"/>
              </w:numPr>
              <w:ind w:left="0" w:leftChars="0" w:firstLine="0" w:firstLineChars="0"/>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val="en-US" w:eastAsia="zh-CN"/>
              </w:rPr>
              <w:t>李国鹏</w:t>
            </w:r>
          </w:p>
        </w:tc>
        <w:tc>
          <w:tcPr>
            <w:tcW w:w="716" w:type="dxa"/>
            <w:noWrap w:val="0"/>
            <w:vAlign w:val="center"/>
          </w:tcPr>
          <w:p w14:paraId="296C7A1A">
            <w:pPr>
              <w:pStyle w:val="7"/>
              <w:widowControl w:val="0"/>
              <w:numPr>
                <w:ilvl w:val="0"/>
                <w:numId w:val="0"/>
              </w:numPr>
              <w:ind w:left="0" w:leftChars="0" w:firstLine="0" w:firstLineChars="0"/>
              <w:jc w:val="cente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男</w:t>
            </w:r>
          </w:p>
        </w:tc>
        <w:tc>
          <w:tcPr>
            <w:tcW w:w="1523" w:type="dxa"/>
            <w:noWrap w:val="0"/>
            <w:vAlign w:val="center"/>
          </w:tcPr>
          <w:p w14:paraId="2EAC19FC">
            <w:pPr>
              <w:pStyle w:val="7"/>
              <w:widowControl w:val="0"/>
              <w:numPr>
                <w:ilvl w:val="0"/>
                <w:numId w:val="0"/>
              </w:numPr>
              <w:ind w:left="0" w:leftChars="0" w:firstLine="0" w:firstLineChars="0"/>
              <w:jc w:val="cente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兽医师</w:t>
            </w:r>
          </w:p>
        </w:tc>
        <w:tc>
          <w:tcPr>
            <w:tcW w:w="2988" w:type="dxa"/>
            <w:noWrap w:val="0"/>
            <w:vAlign w:val="center"/>
          </w:tcPr>
          <w:p w14:paraId="09A81DBD">
            <w:pPr>
              <w:pStyle w:val="7"/>
              <w:widowControl w:val="0"/>
              <w:numPr>
                <w:ilvl w:val="0"/>
                <w:numId w:val="0"/>
              </w:numPr>
              <w:ind w:left="0" w:leftChars="0" w:firstLine="0" w:firstLineChars="0"/>
              <w:jc w:val="cente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西宁市动物疫病预防控制中心</w:t>
            </w:r>
          </w:p>
        </w:tc>
        <w:tc>
          <w:tcPr>
            <w:tcW w:w="2624" w:type="dxa"/>
            <w:noWrap w:val="0"/>
            <w:vAlign w:val="center"/>
          </w:tcPr>
          <w:p w14:paraId="7078A4D9">
            <w:pPr>
              <w:jc w:val="center"/>
              <w:rPr>
                <w:rFonts w:hint="eastAsia" w:ascii="仿宋_GB2312" w:hAnsi="仿宋_GB2312" w:eastAsia="仿宋_GB2312" w:cs="仿宋_GB2312"/>
                <w:kern w:val="0"/>
                <w:sz w:val="21"/>
                <w:szCs w:val="21"/>
                <w:vertAlign w:val="baseline"/>
                <w:lang w:val="en-US" w:eastAsia="zh-CN" w:bidi="ar-SA"/>
              </w:rPr>
            </w:pPr>
            <w:r>
              <w:rPr>
                <w:rFonts w:hint="eastAsia" w:ascii="仿宋_GB2312" w:hAnsi="仿宋_GB2312" w:eastAsia="仿宋_GB2312" w:cs="仿宋_GB2312"/>
                <w:kern w:val="0"/>
                <w:sz w:val="21"/>
                <w:szCs w:val="21"/>
                <w:vertAlign w:val="baseline"/>
                <w:lang w:val="en-US" w:eastAsia="zh-CN" w:bidi="ar-SA"/>
              </w:rPr>
              <w:t>相关资料的检索等</w:t>
            </w:r>
          </w:p>
        </w:tc>
      </w:tr>
      <w:tr w14:paraId="22E79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886" w:type="dxa"/>
            <w:noWrap w:val="0"/>
            <w:vAlign w:val="center"/>
          </w:tcPr>
          <w:p w14:paraId="0E910CCD">
            <w:pPr>
              <w:pStyle w:val="7"/>
              <w:widowControl w:val="0"/>
              <w:numPr>
                <w:ilvl w:val="0"/>
                <w:numId w:val="0"/>
              </w:numPr>
              <w:jc w:val="center"/>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rPr>
              <w:t>杜梅卓</w:t>
            </w:r>
          </w:p>
        </w:tc>
        <w:tc>
          <w:tcPr>
            <w:tcW w:w="716" w:type="dxa"/>
            <w:noWrap w:val="0"/>
            <w:vAlign w:val="center"/>
          </w:tcPr>
          <w:p w14:paraId="3F883A2E">
            <w:pPr>
              <w:pStyle w:val="7"/>
              <w:widowControl w:val="0"/>
              <w:numPr>
                <w:ilvl w:val="0"/>
                <w:numId w:val="0"/>
              </w:numPr>
              <w:jc w:val="center"/>
              <w:rPr>
                <w:rFonts w:hint="eastAsia" w:ascii="仿宋_GB2312" w:hAnsi="仿宋_GB2312" w:eastAsia="仿宋_GB2312" w:cs="仿宋_GB2312"/>
                <w:sz w:val="21"/>
                <w:szCs w:val="21"/>
                <w:vertAlign w:val="baseline"/>
                <w:lang w:val="en-US" w:eastAsia="zh-CN"/>
              </w:rPr>
            </w:pPr>
            <w:bookmarkStart w:id="7" w:name="OLE_LINK14"/>
            <w:r>
              <w:rPr>
                <w:rFonts w:hint="eastAsia" w:ascii="仿宋_GB2312" w:hAnsi="仿宋_GB2312" w:eastAsia="仿宋_GB2312" w:cs="仿宋_GB2312"/>
                <w:sz w:val="21"/>
                <w:szCs w:val="21"/>
                <w:vertAlign w:val="baseline"/>
                <w:lang w:val="en-US" w:eastAsia="zh-CN"/>
              </w:rPr>
              <w:t>女</w:t>
            </w:r>
            <w:bookmarkEnd w:id="7"/>
          </w:p>
        </w:tc>
        <w:tc>
          <w:tcPr>
            <w:tcW w:w="1523" w:type="dxa"/>
            <w:noWrap w:val="0"/>
            <w:vAlign w:val="center"/>
          </w:tcPr>
          <w:p w14:paraId="6E5A698C">
            <w:pPr>
              <w:pStyle w:val="7"/>
              <w:widowControl w:val="0"/>
              <w:numPr>
                <w:ilvl w:val="0"/>
                <w:numId w:val="0"/>
              </w:numPr>
              <w:jc w:val="center"/>
              <w:rPr>
                <w:rFonts w:hint="eastAsia" w:ascii="仿宋_GB2312" w:hAnsi="仿宋_GB2312" w:eastAsia="仿宋_GB2312" w:cs="仿宋_GB2312"/>
                <w:sz w:val="21"/>
                <w:szCs w:val="21"/>
                <w:vertAlign w:val="baseline"/>
                <w:lang w:val="en-US" w:eastAsia="zh-CN"/>
              </w:rPr>
            </w:pPr>
            <w:bookmarkStart w:id="8" w:name="OLE_LINK17"/>
            <w:r>
              <w:rPr>
                <w:rFonts w:hint="eastAsia" w:ascii="仿宋_GB2312" w:hAnsi="仿宋_GB2312" w:eastAsia="仿宋_GB2312" w:cs="仿宋_GB2312"/>
                <w:sz w:val="21"/>
                <w:szCs w:val="21"/>
                <w:vertAlign w:val="baseline"/>
                <w:lang w:val="en-US" w:eastAsia="zh-CN"/>
              </w:rPr>
              <w:t>兽医师</w:t>
            </w:r>
            <w:bookmarkEnd w:id="8"/>
          </w:p>
        </w:tc>
        <w:tc>
          <w:tcPr>
            <w:tcW w:w="2988" w:type="dxa"/>
            <w:noWrap w:val="0"/>
            <w:vAlign w:val="center"/>
          </w:tcPr>
          <w:p w14:paraId="76CA267E">
            <w:pPr>
              <w:pStyle w:val="7"/>
              <w:widowControl w:val="0"/>
              <w:numPr>
                <w:ilvl w:val="0"/>
                <w:numId w:val="0"/>
              </w:numPr>
              <w:jc w:val="center"/>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val="en-US" w:eastAsia="zh-CN"/>
              </w:rPr>
              <w:t>西宁市动物疫病预防控制中心</w:t>
            </w:r>
          </w:p>
        </w:tc>
        <w:tc>
          <w:tcPr>
            <w:tcW w:w="2624" w:type="dxa"/>
            <w:noWrap w:val="0"/>
            <w:vAlign w:val="center"/>
          </w:tcPr>
          <w:p w14:paraId="78D497A9">
            <w:pPr>
              <w:jc w:val="center"/>
              <w:rPr>
                <w:rFonts w:hint="eastAsia" w:ascii="仿宋_GB2312" w:hAnsi="仿宋_GB2312" w:eastAsia="仿宋_GB2312" w:cs="仿宋_GB2312"/>
                <w:sz w:val="21"/>
                <w:szCs w:val="21"/>
                <w:vertAlign w:val="baseline"/>
              </w:rPr>
            </w:pPr>
            <w:bookmarkStart w:id="9" w:name="OLE_LINK12"/>
            <w:bookmarkStart w:id="10" w:name="OLE_LINK22"/>
            <w:r>
              <w:rPr>
                <w:rFonts w:hint="eastAsia" w:ascii="仿宋_GB2312" w:hAnsi="仿宋_GB2312" w:eastAsia="仿宋_GB2312" w:cs="仿宋_GB2312"/>
                <w:kern w:val="0"/>
                <w:sz w:val="21"/>
                <w:szCs w:val="21"/>
                <w:vertAlign w:val="baseline"/>
                <w:lang w:val="en-US" w:eastAsia="zh-CN" w:bidi="ar-SA"/>
              </w:rPr>
              <w:t>相关资料的</w:t>
            </w:r>
            <w:bookmarkEnd w:id="9"/>
            <w:r>
              <w:rPr>
                <w:rFonts w:hint="eastAsia" w:ascii="仿宋_GB2312" w:hAnsi="仿宋_GB2312" w:eastAsia="仿宋_GB2312" w:cs="仿宋_GB2312"/>
                <w:kern w:val="0"/>
                <w:sz w:val="21"/>
                <w:szCs w:val="21"/>
                <w:vertAlign w:val="baseline"/>
                <w:lang w:val="en-US" w:eastAsia="zh-CN" w:bidi="ar-SA"/>
              </w:rPr>
              <w:t>查阅、收集</w:t>
            </w:r>
            <w:bookmarkEnd w:id="10"/>
          </w:p>
        </w:tc>
      </w:tr>
      <w:tr w14:paraId="7390D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6" w:type="dxa"/>
            <w:noWrap w:val="0"/>
            <w:vAlign w:val="top"/>
          </w:tcPr>
          <w:p w14:paraId="5D30625F">
            <w:pPr>
              <w:pStyle w:val="7"/>
              <w:widowControl w:val="0"/>
              <w:numPr>
                <w:ilvl w:val="0"/>
                <w:numId w:val="0"/>
              </w:numPr>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rPr>
              <w:t>李明霞</w:t>
            </w:r>
          </w:p>
        </w:tc>
        <w:tc>
          <w:tcPr>
            <w:tcW w:w="716" w:type="dxa"/>
            <w:noWrap w:val="0"/>
            <w:vAlign w:val="top"/>
          </w:tcPr>
          <w:p w14:paraId="3ABB84A2">
            <w:pPr>
              <w:pStyle w:val="7"/>
              <w:widowControl w:val="0"/>
              <w:numPr>
                <w:ilvl w:val="0"/>
                <w:numId w:val="0"/>
              </w:numPr>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val="en-US" w:eastAsia="zh-CN"/>
              </w:rPr>
              <w:t>女</w:t>
            </w:r>
          </w:p>
        </w:tc>
        <w:tc>
          <w:tcPr>
            <w:tcW w:w="1523" w:type="dxa"/>
            <w:noWrap w:val="0"/>
            <w:vAlign w:val="top"/>
          </w:tcPr>
          <w:p w14:paraId="66C883AB">
            <w:pPr>
              <w:pStyle w:val="7"/>
              <w:widowControl w:val="0"/>
              <w:numPr>
                <w:ilvl w:val="0"/>
                <w:numId w:val="0"/>
              </w:numPr>
              <w:rPr>
                <w:rFonts w:hint="eastAsia" w:ascii="仿宋_GB2312" w:hAnsi="仿宋_GB2312" w:eastAsia="仿宋_GB2312" w:cs="仿宋_GB2312"/>
                <w:sz w:val="21"/>
                <w:szCs w:val="21"/>
                <w:vertAlign w:val="baseline"/>
              </w:rPr>
            </w:pPr>
            <w:bookmarkStart w:id="11" w:name="OLE_LINK20"/>
            <w:r>
              <w:rPr>
                <w:rFonts w:hint="eastAsia" w:ascii="仿宋_GB2312" w:hAnsi="仿宋_GB2312" w:eastAsia="仿宋_GB2312" w:cs="仿宋_GB2312"/>
                <w:sz w:val="21"/>
                <w:szCs w:val="21"/>
                <w:vertAlign w:val="baseline"/>
                <w:lang w:val="en-US" w:eastAsia="zh-CN"/>
              </w:rPr>
              <w:t>兽医师</w:t>
            </w:r>
            <w:bookmarkEnd w:id="11"/>
          </w:p>
        </w:tc>
        <w:tc>
          <w:tcPr>
            <w:tcW w:w="2988" w:type="dxa"/>
            <w:noWrap w:val="0"/>
            <w:vAlign w:val="top"/>
          </w:tcPr>
          <w:p w14:paraId="6A4F82EB">
            <w:pPr>
              <w:pStyle w:val="7"/>
              <w:widowControl w:val="0"/>
              <w:numPr>
                <w:ilvl w:val="0"/>
                <w:numId w:val="0"/>
              </w:numPr>
              <w:rPr>
                <w:rFonts w:hint="eastAsia" w:ascii="仿宋_GB2312" w:hAnsi="仿宋_GB2312" w:eastAsia="仿宋_GB2312" w:cs="仿宋_GB2312"/>
                <w:sz w:val="21"/>
                <w:szCs w:val="21"/>
                <w:vertAlign w:val="baseline"/>
              </w:rPr>
            </w:pPr>
            <w:bookmarkStart w:id="12" w:name="OLE_LINK11"/>
            <w:r>
              <w:rPr>
                <w:rFonts w:hint="eastAsia" w:ascii="仿宋_GB2312" w:hAnsi="仿宋_GB2312" w:eastAsia="仿宋_GB2312" w:cs="仿宋_GB2312"/>
                <w:sz w:val="21"/>
                <w:szCs w:val="21"/>
                <w:vertAlign w:val="baseline"/>
                <w:lang w:val="en-US" w:eastAsia="zh-CN"/>
              </w:rPr>
              <w:t>西宁市动物疫病预防控制中心</w:t>
            </w:r>
            <w:bookmarkEnd w:id="12"/>
          </w:p>
        </w:tc>
        <w:tc>
          <w:tcPr>
            <w:tcW w:w="2624" w:type="dxa"/>
            <w:noWrap w:val="0"/>
            <w:vAlign w:val="top"/>
          </w:tcPr>
          <w:p w14:paraId="483875AB">
            <w:pPr>
              <w:pStyle w:val="7"/>
              <w:widowControl w:val="0"/>
              <w:numPr>
                <w:ilvl w:val="0"/>
                <w:numId w:val="0"/>
              </w:numPr>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意见建议的收集整理</w:t>
            </w:r>
          </w:p>
        </w:tc>
      </w:tr>
      <w:tr w14:paraId="7A894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6" w:type="dxa"/>
            <w:noWrap w:val="0"/>
            <w:vAlign w:val="top"/>
          </w:tcPr>
          <w:p w14:paraId="2A6412E9">
            <w:pPr>
              <w:pStyle w:val="7"/>
              <w:widowControl w:val="0"/>
              <w:numPr>
                <w:ilvl w:val="0"/>
                <w:numId w:val="0"/>
              </w:numP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李宗辉</w:t>
            </w:r>
          </w:p>
        </w:tc>
        <w:tc>
          <w:tcPr>
            <w:tcW w:w="716" w:type="dxa"/>
            <w:noWrap w:val="0"/>
            <w:vAlign w:val="top"/>
          </w:tcPr>
          <w:p w14:paraId="6FA47820">
            <w:pPr>
              <w:pStyle w:val="7"/>
              <w:widowControl w:val="0"/>
              <w:numPr>
                <w:ilvl w:val="0"/>
                <w:numId w:val="0"/>
              </w:numPr>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男</w:t>
            </w:r>
          </w:p>
        </w:tc>
        <w:tc>
          <w:tcPr>
            <w:tcW w:w="1523" w:type="dxa"/>
            <w:noWrap w:val="0"/>
            <w:vAlign w:val="top"/>
          </w:tcPr>
          <w:p w14:paraId="29E20F2C">
            <w:pPr>
              <w:pStyle w:val="7"/>
              <w:widowControl w:val="0"/>
              <w:numPr>
                <w:ilvl w:val="0"/>
                <w:numId w:val="0"/>
              </w:numPr>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高级兽医师</w:t>
            </w:r>
          </w:p>
        </w:tc>
        <w:tc>
          <w:tcPr>
            <w:tcW w:w="2988" w:type="dxa"/>
            <w:noWrap w:val="0"/>
            <w:vAlign w:val="top"/>
          </w:tcPr>
          <w:p w14:paraId="1F565EDC">
            <w:pPr>
              <w:pStyle w:val="7"/>
              <w:widowControl w:val="0"/>
              <w:numPr>
                <w:ilvl w:val="0"/>
                <w:numId w:val="0"/>
              </w:numPr>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民和县畜牧兽医站</w:t>
            </w:r>
          </w:p>
        </w:tc>
        <w:tc>
          <w:tcPr>
            <w:tcW w:w="2624" w:type="dxa"/>
            <w:noWrap w:val="0"/>
            <w:vAlign w:val="top"/>
          </w:tcPr>
          <w:p w14:paraId="734621CD">
            <w:pPr>
              <w:pStyle w:val="7"/>
              <w:widowControl w:val="0"/>
              <w:numPr>
                <w:ilvl w:val="0"/>
                <w:numId w:val="0"/>
              </w:numPr>
              <w:rPr>
                <w:rFonts w:hint="default" w:ascii="仿宋_GB2312" w:hAnsi="仿宋_GB2312" w:eastAsia="仿宋_GB2312" w:cs="仿宋_GB2312"/>
                <w:kern w:val="0"/>
                <w:sz w:val="21"/>
                <w:szCs w:val="21"/>
                <w:vertAlign w:val="baseline"/>
                <w:lang w:val="en-US" w:eastAsia="zh-CN" w:bidi="ar-SA"/>
              </w:rPr>
            </w:pPr>
            <w:r>
              <w:rPr>
                <w:rFonts w:hint="eastAsia" w:ascii="仿宋_GB2312" w:hAnsi="仿宋_GB2312" w:eastAsia="仿宋_GB2312" w:cs="仿宋_GB2312"/>
                <w:kern w:val="0"/>
                <w:sz w:val="21"/>
                <w:szCs w:val="21"/>
                <w:vertAlign w:val="baseline"/>
                <w:lang w:val="en-US" w:eastAsia="zh-CN" w:bidi="ar-SA"/>
              </w:rPr>
              <w:t>样品的实验室布病检测</w:t>
            </w:r>
          </w:p>
        </w:tc>
      </w:tr>
      <w:tr w14:paraId="6E42A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6" w:type="dxa"/>
            <w:noWrap w:val="0"/>
            <w:vAlign w:val="top"/>
          </w:tcPr>
          <w:p w14:paraId="72A2D23B">
            <w:pPr>
              <w:pStyle w:val="7"/>
              <w:widowControl w:val="0"/>
              <w:numPr>
                <w:ilvl w:val="0"/>
                <w:numId w:val="0"/>
              </w:numPr>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rPr>
              <w:t>谢冲</w:t>
            </w:r>
          </w:p>
        </w:tc>
        <w:tc>
          <w:tcPr>
            <w:tcW w:w="716" w:type="dxa"/>
            <w:noWrap w:val="0"/>
            <w:vAlign w:val="top"/>
          </w:tcPr>
          <w:p w14:paraId="053653A1">
            <w:pPr>
              <w:pStyle w:val="7"/>
              <w:widowControl w:val="0"/>
              <w:numPr>
                <w:ilvl w:val="0"/>
                <w:numId w:val="0"/>
              </w:numP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男</w:t>
            </w:r>
          </w:p>
        </w:tc>
        <w:tc>
          <w:tcPr>
            <w:tcW w:w="1523" w:type="dxa"/>
            <w:noWrap w:val="0"/>
            <w:vAlign w:val="top"/>
          </w:tcPr>
          <w:p w14:paraId="70F06921">
            <w:pPr>
              <w:pStyle w:val="7"/>
              <w:widowControl w:val="0"/>
              <w:numPr>
                <w:ilvl w:val="0"/>
                <w:numId w:val="0"/>
              </w:numP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助理兽医师</w:t>
            </w:r>
          </w:p>
        </w:tc>
        <w:tc>
          <w:tcPr>
            <w:tcW w:w="2988" w:type="dxa"/>
            <w:noWrap w:val="0"/>
            <w:vAlign w:val="top"/>
          </w:tcPr>
          <w:p w14:paraId="398FC36B">
            <w:pPr>
              <w:pStyle w:val="7"/>
              <w:widowControl w:val="0"/>
              <w:numPr>
                <w:ilvl w:val="0"/>
                <w:numId w:val="0"/>
              </w:numPr>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val="en-US" w:eastAsia="zh-CN"/>
              </w:rPr>
              <w:t>西宁市动物疫病预防控制中心</w:t>
            </w:r>
          </w:p>
        </w:tc>
        <w:tc>
          <w:tcPr>
            <w:tcW w:w="2624" w:type="dxa"/>
            <w:noWrap w:val="0"/>
            <w:vAlign w:val="top"/>
          </w:tcPr>
          <w:p w14:paraId="52EB22B2">
            <w:pPr>
              <w:pStyle w:val="7"/>
              <w:widowControl w:val="0"/>
              <w:numPr>
                <w:ilvl w:val="0"/>
                <w:numId w:val="0"/>
              </w:numPr>
              <w:rPr>
                <w:rFonts w:hint="eastAsia" w:ascii="仿宋_GB2312" w:hAnsi="仿宋_GB2312" w:eastAsia="仿宋_GB2312" w:cs="仿宋_GB2312"/>
                <w:sz w:val="21"/>
                <w:szCs w:val="21"/>
                <w:vertAlign w:val="baseline"/>
              </w:rPr>
            </w:pPr>
            <w:r>
              <w:rPr>
                <w:rFonts w:hint="eastAsia" w:ascii="仿宋_GB2312" w:hAnsi="仿宋_GB2312" w:eastAsia="仿宋_GB2312" w:cs="仿宋_GB2312"/>
                <w:kern w:val="0"/>
                <w:sz w:val="21"/>
                <w:szCs w:val="21"/>
                <w:vertAlign w:val="baseline"/>
                <w:lang w:val="en-US" w:eastAsia="zh-CN" w:bidi="ar-SA"/>
              </w:rPr>
              <w:t>标准模板的套用等</w:t>
            </w:r>
          </w:p>
        </w:tc>
      </w:tr>
      <w:tr w14:paraId="65EF7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6" w:type="dxa"/>
            <w:noWrap w:val="0"/>
            <w:vAlign w:val="top"/>
          </w:tcPr>
          <w:p w14:paraId="653937BF">
            <w:pPr>
              <w:pStyle w:val="7"/>
              <w:widowControl w:val="0"/>
              <w:numPr>
                <w:ilvl w:val="0"/>
                <w:numId w:val="0"/>
              </w:numPr>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rPr>
              <w:t>范莉</w:t>
            </w:r>
          </w:p>
        </w:tc>
        <w:tc>
          <w:tcPr>
            <w:tcW w:w="716" w:type="dxa"/>
            <w:noWrap w:val="0"/>
            <w:vAlign w:val="top"/>
          </w:tcPr>
          <w:p w14:paraId="630E6AD3">
            <w:pPr>
              <w:pStyle w:val="7"/>
              <w:widowControl w:val="0"/>
              <w:numPr>
                <w:ilvl w:val="0"/>
                <w:numId w:val="0"/>
              </w:numPr>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val="en-US" w:eastAsia="zh-CN"/>
              </w:rPr>
              <w:t>女</w:t>
            </w:r>
          </w:p>
        </w:tc>
        <w:tc>
          <w:tcPr>
            <w:tcW w:w="1523" w:type="dxa"/>
            <w:noWrap w:val="0"/>
            <w:vAlign w:val="top"/>
          </w:tcPr>
          <w:p w14:paraId="0DD6D651">
            <w:pPr>
              <w:pStyle w:val="7"/>
              <w:widowControl w:val="0"/>
              <w:numPr>
                <w:ilvl w:val="0"/>
                <w:numId w:val="0"/>
              </w:numP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畜牧师</w:t>
            </w:r>
          </w:p>
        </w:tc>
        <w:tc>
          <w:tcPr>
            <w:tcW w:w="2988" w:type="dxa"/>
            <w:noWrap w:val="0"/>
            <w:vAlign w:val="top"/>
          </w:tcPr>
          <w:p w14:paraId="6A0816BC">
            <w:pPr>
              <w:pStyle w:val="7"/>
              <w:widowControl w:val="0"/>
              <w:numPr>
                <w:ilvl w:val="0"/>
                <w:numId w:val="0"/>
              </w:numPr>
              <w:rPr>
                <w:rFonts w:hint="default" w:ascii="仿宋_GB2312" w:hAnsi="仿宋_GB2312" w:eastAsia="仿宋_GB2312" w:cs="仿宋_GB2312"/>
                <w:sz w:val="21"/>
                <w:szCs w:val="21"/>
                <w:vertAlign w:val="baseline"/>
                <w:lang w:val="en-US" w:eastAsia="zh-CN"/>
              </w:rPr>
            </w:pPr>
            <w:bookmarkStart w:id="13" w:name="OLE_LINK18"/>
            <w:r>
              <w:rPr>
                <w:rFonts w:hint="eastAsia" w:ascii="仿宋_GB2312" w:hAnsi="仿宋_GB2312" w:eastAsia="仿宋_GB2312" w:cs="仿宋_GB2312"/>
                <w:sz w:val="21"/>
                <w:szCs w:val="21"/>
                <w:vertAlign w:val="baseline"/>
                <w:lang w:val="en-US" w:eastAsia="zh-CN"/>
              </w:rPr>
              <w:t>民和县农业农村和科技局</w:t>
            </w:r>
            <w:bookmarkEnd w:id="13"/>
          </w:p>
        </w:tc>
        <w:tc>
          <w:tcPr>
            <w:tcW w:w="2624" w:type="dxa"/>
            <w:noWrap w:val="0"/>
            <w:vAlign w:val="top"/>
          </w:tcPr>
          <w:p w14:paraId="7151A4B9">
            <w:pPr>
              <w:pStyle w:val="7"/>
              <w:widowControl w:val="0"/>
              <w:numPr>
                <w:ilvl w:val="0"/>
                <w:numId w:val="0"/>
              </w:numPr>
              <w:rPr>
                <w:rFonts w:hint="eastAsia" w:ascii="仿宋_GB2312" w:hAnsi="仿宋_GB2312" w:eastAsia="仿宋_GB2312" w:cs="仿宋_GB2312"/>
                <w:sz w:val="21"/>
                <w:szCs w:val="21"/>
                <w:vertAlign w:val="baseline"/>
              </w:rPr>
            </w:pPr>
            <w:bookmarkStart w:id="14" w:name="OLE_LINK23"/>
            <w:r>
              <w:rPr>
                <w:rFonts w:hint="eastAsia" w:ascii="仿宋_GB2312" w:hAnsi="仿宋_GB2312" w:eastAsia="仿宋_GB2312" w:cs="仿宋_GB2312"/>
                <w:sz w:val="21"/>
                <w:szCs w:val="21"/>
                <w:vertAlign w:val="baseline"/>
              </w:rPr>
              <w:t>资料收集整理</w:t>
            </w:r>
            <w:bookmarkEnd w:id="14"/>
          </w:p>
        </w:tc>
      </w:tr>
      <w:tr w14:paraId="1B192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6" w:type="dxa"/>
            <w:noWrap w:val="0"/>
            <w:vAlign w:val="top"/>
          </w:tcPr>
          <w:p w14:paraId="6BBC416B">
            <w:pPr>
              <w:pStyle w:val="7"/>
              <w:widowControl w:val="0"/>
              <w:numPr>
                <w:ilvl w:val="0"/>
                <w:numId w:val="0"/>
              </w:numPr>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rPr>
              <w:t>翟秦虹</w:t>
            </w:r>
          </w:p>
        </w:tc>
        <w:tc>
          <w:tcPr>
            <w:tcW w:w="716" w:type="dxa"/>
            <w:noWrap w:val="0"/>
            <w:vAlign w:val="top"/>
          </w:tcPr>
          <w:p w14:paraId="4BF851FB">
            <w:pPr>
              <w:pStyle w:val="7"/>
              <w:widowControl w:val="0"/>
              <w:numPr>
                <w:ilvl w:val="0"/>
                <w:numId w:val="0"/>
              </w:numPr>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val="en-US" w:eastAsia="zh-CN"/>
              </w:rPr>
              <w:t>女</w:t>
            </w:r>
          </w:p>
        </w:tc>
        <w:tc>
          <w:tcPr>
            <w:tcW w:w="1523" w:type="dxa"/>
            <w:noWrap w:val="0"/>
            <w:vAlign w:val="top"/>
          </w:tcPr>
          <w:p w14:paraId="475BF45B">
            <w:pPr>
              <w:pStyle w:val="7"/>
              <w:widowControl w:val="0"/>
              <w:numPr>
                <w:ilvl w:val="0"/>
                <w:numId w:val="0"/>
              </w:numP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畜牧师</w:t>
            </w:r>
          </w:p>
        </w:tc>
        <w:tc>
          <w:tcPr>
            <w:tcW w:w="2988" w:type="dxa"/>
            <w:noWrap w:val="0"/>
            <w:vAlign w:val="top"/>
          </w:tcPr>
          <w:p w14:paraId="30623B05">
            <w:pPr>
              <w:pStyle w:val="7"/>
              <w:widowControl w:val="0"/>
              <w:numPr>
                <w:ilvl w:val="0"/>
                <w:numId w:val="0"/>
              </w:numPr>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val="en-US" w:eastAsia="zh-CN"/>
              </w:rPr>
              <w:t>民和县农业农村和科技局</w:t>
            </w:r>
          </w:p>
        </w:tc>
        <w:tc>
          <w:tcPr>
            <w:tcW w:w="2624" w:type="dxa"/>
            <w:noWrap w:val="0"/>
            <w:vAlign w:val="top"/>
          </w:tcPr>
          <w:p w14:paraId="3C88303D">
            <w:pPr>
              <w:pStyle w:val="7"/>
              <w:widowControl w:val="0"/>
              <w:numPr>
                <w:ilvl w:val="0"/>
                <w:numId w:val="0"/>
              </w:numPr>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val="en-US" w:eastAsia="zh-CN"/>
              </w:rPr>
              <w:t>标准的文字</w:t>
            </w:r>
            <w:r>
              <w:rPr>
                <w:rFonts w:hint="eastAsia" w:ascii="仿宋_GB2312" w:hAnsi="仿宋_GB2312" w:eastAsia="仿宋_GB2312" w:cs="仿宋_GB2312"/>
                <w:sz w:val="21"/>
                <w:szCs w:val="21"/>
                <w:vertAlign w:val="baseline"/>
              </w:rPr>
              <w:t>校对</w:t>
            </w:r>
          </w:p>
        </w:tc>
      </w:tr>
      <w:tr w14:paraId="71CFD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6" w:type="dxa"/>
            <w:noWrap w:val="0"/>
            <w:vAlign w:val="top"/>
          </w:tcPr>
          <w:p w14:paraId="5DAA9784">
            <w:pPr>
              <w:pStyle w:val="7"/>
              <w:widowControl w:val="0"/>
              <w:numPr>
                <w:ilvl w:val="0"/>
                <w:numId w:val="0"/>
              </w:numPr>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rPr>
              <w:t>李艳梅</w:t>
            </w:r>
          </w:p>
        </w:tc>
        <w:tc>
          <w:tcPr>
            <w:tcW w:w="716" w:type="dxa"/>
            <w:noWrap w:val="0"/>
            <w:vAlign w:val="top"/>
          </w:tcPr>
          <w:p w14:paraId="027B32A1">
            <w:pPr>
              <w:pStyle w:val="7"/>
              <w:widowControl w:val="0"/>
              <w:numPr>
                <w:ilvl w:val="0"/>
                <w:numId w:val="0"/>
              </w:numPr>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val="en-US" w:eastAsia="zh-CN"/>
              </w:rPr>
              <w:t>女</w:t>
            </w:r>
          </w:p>
        </w:tc>
        <w:tc>
          <w:tcPr>
            <w:tcW w:w="1523" w:type="dxa"/>
            <w:noWrap w:val="0"/>
            <w:vAlign w:val="top"/>
          </w:tcPr>
          <w:p w14:paraId="5B0AED4B">
            <w:pPr>
              <w:pStyle w:val="7"/>
              <w:widowControl w:val="0"/>
              <w:numPr>
                <w:ilvl w:val="0"/>
                <w:numId w:val="0"/>
              </w:numPr>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val="en-US" w:eastAsia="zh-CN"/>
              </w:rPr>
              <w:t>兽医师</w:t>
            </w:r>
          </w:p>
        </w:tc>
        <w:tc>
          <w:tcPr>
            <w:tcW w:w="2988" w:type="dxa"/>
            <w:noWrap w:val="0"/>
            <w:vAlign w:val="top"/>
          </w:tcPr>
          <w:p w14:paraId="511CCCA7">
            <w:pPr>
              <w:pStyle w:val="7"/>
              <w:widowControl w:val="0"/>
              <w:numPr>
                <w:ilvl w:val="0"/>
                <w:numId w:val="0"/>
              </w:numPr>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lang w:val="en-US" w:eastAsia="zh-CN"/>
              </w:rPr>
              <w:t>西宁市动物疫病预防控制中心</w:t>
            </w:r>
          </w:p>
        </w:tc>
        <w:tc>
          <w:tcPr>
            <w:tcW w:w="2624" w:type="dxa"/>
            <w:noWrap w:val="0"/>
            <w:vAlign w:val="top"/>
          </w:tcPr>
          <w:p w14:paraId="5A7C8E1E">
            <w:pPr>
              <w:pStyle w:val="7"/>
              <w:widowControl w:val="0"/>
              <w:numPr>
                <w:ilvl w:val="0"/>
                <w:numId w:val="0"/>
              </w:numPr>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rPr>
              <w:t>资料收集整理</w:t>
            </w:r>
          </w:p>
        </w:tc>
      </w:tr>
      <w:bookmarkEnd w:id="4"/>
    </w:tbl>
    <w:p w14:paraId="5BD1C7EF">
      <w:pPr>
        <w:ind w:firstLine="640" w:firstLineChars="200"/>
        <w:rPr>
          <w:rFonts w:hint="eastAsia" w:ascii="黑体" w:hAnsi="黑体" w:eastAsia="黑体" w:cs="黑体"/>
          <w:sz w:val="32"/>
          <w:szCs w:val="32"/>
        </w:rPr>
      </w:pPr>
      <w:r>
        <w:rPr>
          <w:rFonts w:hint="eastAsia" w:ascii="黑体" w:hAnsi="黑体" w:eastAsia="黑体" w:cs="黑体"/>
          <w:sz w:val="32"/>
          <w:szCs w:val="32"/>
        </w:rPr>
        <w:t>二、制定标准的必要性和意义</w:t>
      </w:r>
    </w:p>
    <w:p w14:paraId="366D7426">
      <w:pPr>
        <w:ind w:firstLine="640" w:firstLineChars="200"/>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布鲁氏菌病（简称布病），是由布鲁氏菌引起的以感染家畜为主的人兽共患传染病，世界动物卫生组织（WOAH）将其列为必须报告的动物疫病，我国将其列为二类动物疫病。布鲁氏菌是一种细胞内寄生的病原菌，主要侵害动物的淋巴系统和生殖系统，病畜主要通过流产物、精液和乳汁排菌。布病最危险之处是感染畜几乎无明显症状，但能通过分泌物和排泄物向外排菌。感染畜排出的病原菌对外界环境有很强的抵抗力，如在水、土、粪、尿中能存活3个月，在冻肉中可以存活2～7周，在乳中能存活10天至1年。因此，环境被病原污染后，人畜在就有被感染的风险，人一旦感染布鲁氏菌较家畜严重，病情复杂，多数病例发病缓慢，少数起病急，一般类似感冒，有的因发现晚或误诊而留下后遗症，给家庭和社会造成较大影响。</w:t>
      </w:r>
    </w:p>
    <w:p w14:paraId="173E0D1D">
      <w:pPr>
        <w:ind w:firstLine="640" w:firstLineChars="200"/>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随着家畜饲养量的不断增加，动物及其产品流通频繁，部分地区布病等人畜共患病呈持续上升势头，致使肉、奶等产品存在严重的安全隐患，极大地影响牛羊猪等动物产品的对外贸易，并严重威胁人民身体健康和公共卫生安全。</w:t>
      </w:r>
    </w:p>
    <w:p w14:paraId="53B89FC9">
      <w:pPr>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随着我省养羊业迅速发展，规模化羊场数量急剧增加，饲养量不断上升。但规模化羊场在养殖过程中，遇到的一个比较突出的问题就是布病的预防、控制和净化。尤其在种畜和商品畜的引进、调运、养殖等环节，不仅造成羊群感染布病影响生长发育，严重的出现母畜流产或死亡，不仅造成巨大经济损失，而且严重威胁人的健康和公共卫生安全。</w:t>
      </w:r>
    </w:p>
    <w:p w14:paraId="407CFC6D">
      <w:pPr>
        <w:ind w:firstLine="640" w:firstLineChars="200"/>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由于我省目前还没有统一的规模化羊场布鲁氏菌病净化技术规范，各规模化羊场对布病的防治和净化技术不统一、操作不到位、执行不规范，甚至存在无防治意识、管理和控制不科学等突出问题，造成羊的布病传染和传播范围扩大，从业人员的感染数量不断上升，致使布病长期得不到控制和消灭，给人畜健康带来极大危害。因此，制定和统一我省布病净化技术规范，从技术层面对规模化羊场开展布病净化的</w:t>
      </w:r>
      <w:bookmarkStart w:id="15" w:name="OLE_LINK1"/>
      <w:bookmarkStart w:id="16" w:name="OLE_LINK25"/>
      <w:r>
        <w:rPr>
          <w:rFonts w:hint="eastAsia" w:ascii="仿宋_GB2312" w:hAnsi="仿宋_GB2312" w:eastAsia="仿宋_GB2312" w:cs="仿宋_GB2312"/>
          <w:kern w:val="0"/>
          <w:sz w:val="32"/>
          <w:szCs w:val="32"/>
          <w:lang w:val="en-US" w:eastAsia="zh-CN" w:bidi="ar-SA"/>
        </w:rPr>
        <w:t>范围、规范性引用文件、术语和定义、诊断方法、净化措施、净化标准、无害化处理、清理消毒、净化维持、人员防护、调运管理、制度和记录管理</w:t>
      </w:r>
      <w:bookmarkEnd w:id="15"/>
      <w:bookmarkEnd w:id="16"/>
      <w:r>
        <w:rPr>
          <w:rFonts w:hint="eastAsia" w:ascii="仿宋_GB2312" w:hAnsi="仿宋_GB2312" w:eastAsia="仿宋_GB2312" w:cs="仿宋_GB2312"/>
          <w:kern w:val="0"/>
          <w:sz w:val="32"/>
          <w:szCs w:val="32"/>
          <w:lang w:val="en-US" w:eastAsia="zh-CN" w:bidi="ar-SA"/>
        </w:rPr>
        <w:t>各环节进行技术性细化和规范，并增强可操作性，对加强我省规模化养羊场布病净化管理、规范养殖过程卫生行为、防止动物疫病传播、保护畜牧业健康发展具有十分重要的意义。</w:t>
      </w:r>
    </w:p>
    <w:p w14:paraId="772D35BD">
      <w:pPr>
        <w:ind w:firstLine="640" w:firstLineChars="200"/>
        <w:rPr>
          <w:rFonts w:hint="eastAsia" w:ascii="黑体" w:hAnsi="黑体" w:eastAsia="黑体" w:cs="黑体"/>
          <w:sz w:val="32"/>
          <w:szCs w:val="32"/>
        </w:rPr>
      </w:pPr>
      <w:r>
        <w:rPr>
          <w:rFonts w:hint="eastAsia" w:ascii="黑体" w:hAnsi="黑体" w:eastAsia="黑体" w:cs="黑体"/>
          <w:sz w:val="32"/>
          <w:szCs w:val="32"/>
        </w:rPr>
        <w:t>三、起草过程</w:t>
      </w:r>
    </w:p>
    <w:p w14:paraId="4B47C53E">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规模化</w:t>
      </w:r>
      <w:r>
        <w:rPr>
          <w:rFonts w:hint="eastAsia" w:ascii="仿宋_GB2312" w:hAnsi="仿宋_GB2312" w:eastAsia="仿宋_GB2312" w:cs="仿宋_GB2312"/>
          <w:sz w:val="32"/>
          <w:szCs w:val="32"/>
        </w:rPr>
        <w:t>羊场布鲁氏菌病净化技术规范》地方标准制定项目获准立项后，起草单位西宁市动物疫病预防控制中心高度重视，组成标准编写小组，多次召开会议研究制定标准有关内容，制定标准制定方案，进行标准的调研、起草和修改等工作。</w:t>
      </w:r>
    </w:p>
    <w:p w14:paraId="2CD97D4A">
      <w:pPr>
        <w:ind w:firstLine="643" w:firstLineChars="200"/>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（一）成立标准起草小组</w:t>
      </w:r>
    </w:p>
    <w:p w14:paraId="1E05E6F4">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任务下达后，我中心成立了以张成图为总负责的标准编写小组，明确了小组成员和具体分工，有序推进标准的制定和修改。</w:t>
      </w:r>
    </w:p>
    <w:p w14:paraId="2DB36033">
      <w:pPr>
        <w:ind w:firstLine="643" w:firstLineChars="200"/>
        <w:rPr>
          <w:rFonts w:hint="eastAsia" w:ascii="楷体_GB2312" w:hAnsi="楷体_GB2312" w:eastAsia="楷体_GB2312" w:cs="楷体_GB2312"/>
          <w:sz w:val="32"/>
          <w:szCs w:val="32"/>
        </w:rPr>
      </w:pP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二）</w:t>
      </w:r>
      <w:r>
        <w:rPr>
          <w:rFonts w:hint="eastAsia" w:ascii="楷体_GB2312" w:hAnsi="楷体_GB2312" w:eastAsia="楷体_GB2312" w:cs="楷体_GB2312"/>
          <w:b/>
          <w:bCs/>
          <w:sz w:val="32"/>
          <w:szCs w:val="32"/>
        </w:rPr>
        <w:t>收集资料</w:t>
      </w:r>
      <w:r>
        <w:rPr>
          <w:rFonts w:hint="eastAsia" w:ascii="楷体_GB2312" w:hAnsi="楷体_GB2312" w:eastAsia="楷体_GB2312" w:cs="楷体_GB2312"/>
          <w:sz w:val="32"/>
          <w:szCs w:val="32"/>
        </w:rPr>
        <w:t xml:space="preserve"> </w:t>
      </w:r>
    </w:p>
    <w:p w14:paraId="0A04794F">
      <w:pPr>
        <w:pStyle w:val="8"/>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lang w:val="en-US" w:eastAsia="zh-CN"/>
        </w:rPr>
        <w:t>编写小组收集、分析了我国相关法律、法规及国家标准、行业标准、地方标准，收集的标准</w:t>
      </w:r>
      <w:r>
        <w:rPr>
          <w:rFonts w:hint="eastAsia" w:ascii="仿宋_GB2312" w:hAnsi="仿宋_GB2312" w:eastAsia="仿宋_GB2312" w:cs="仿宋_GB2312"/>
          <w:color w:val="auto"/>
          <w:kern w:val="0"/>
          <w:sz w:val="32"/>
          <w:szCs w:val="32"/>
          <w:lang w:val="en-US" w:eastAsia="zh-CN" w:bidi="ar-SA"/>
        </w:rPr>
        <w:t>主要包</w:t>
      </w:r>
      <w:r>
        <w:rPr>
          <w:rFonts w:hint="eastAsia" w:ascii="仿宋_GB2312" w:hAnsi="仿宋_GB2312" w:eastAsia="仿宋_GB2312" w:cs="仿宋_GB2312"/>
          <w:sz w:val="32"/>
          <w:szCs w:val="32"/>
          <w:lang w:val="en-US" w:eastAsia="zh-CN"/>
        </w:rPr>
        <w:t>括GB/T  18635 、GB/T 18646 、GB/T  36195 、NY/T 541 、</w:t>
      </w:r>
      <w:bookmarkStart w:id="17" w:name="OLE_LINK46"/>
      <w:r>
        <w:rPr>
          <w:rFonts w:hint="eastAsia" w:ascii="仿宋_GB2312" w:hAnsi="仿宋_GB2312" w:eastAsia="仿宋_GB2312" w:cs="仿宋_GB2312"/>
          <w:sz w:val="32"/>
          <w:szCs w:val="32"/>
          <w:lang w:val="en-US" w:eastAsia="zh-CN"/>
        </w:rPr>
        <w:t>NY/T  2798.7 、NY/T  3435</w:t>
      </w:r>
      <w:bookmarkEnd w:id="17"/>
      <w:r>
        <w:rPr>
          <w:rFonts w:hint="eastAsia" w:ascii="仿宋_GB2312" w:hAnsi="仿宋_GB2312" w:eastAsia="仿宋_GB2312" w:cs="仿宋_GB2312"/>
          <w:sz w:val="32"/>
          <w:szCs w:val="32"/>
          <w:lang w:val="en-US" w:eastAsia="zh-CN"/>
        </w:rPr>
        <w:t xml:space="preserve"> 、NY/T  5339 、《病死畜禽和病害畜禽产品无害化处理管理办法》、《病死及病害动物无害化处理技术规范》、《动物疫病净化场评估技术规范》、《布鲁氏菌病防控技术要点(第一版)》、《病死及病害动物无害化处理技术规范》、《布鲁氏菌病防治技术规范》、《中华人民共和国畜牧法》、</w:t>
      </w:r>
      <w:r>
        <w:rPr>
          <w:rFonts w:hint="default" w:ascii="仿宋_GB2312" w:hAnsi="仿宋_GB2312" w:eastAsia="仿宋_GB2312" w:cs="仿宋_GB2312"/>
          <w:sz w:val="32"/>
          <w:szCs w:val="32"/>
          <w:lang w:val="en-US" w:eastAsia="zh-CN"/>
        </w:rPr>
        <w:t>《跨省调运乳用种用动物产地检疫规程》</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畜禽标识和养殖档案管理办法</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color w:val="auto"/>
          <w:kern w:val="0"/>
          <w:sz w:val="32"/>
          <w:szCs w:val="32"/>
          <w:lang w:val="en-US" w:eastAsia="zh-CN" w:bidi="ar-SA"/>
        </w:rPr>
        <w:t>等，查阅了相关的法律法规及文献资料</w:t>
      </w:r>
      <w:r>
        <w:rPr>
          <w:rFonts w:hint="eastAsia" w:ascii="仿宋_GB2312" w:hAnsi="仿宋_GB2312" w:eastAsia="仿宋_GB2312" w:cs="仿宋_GB2312"/>
          <w:color w:val="auto"/>
          <w:sz w:val="32"/>
          <w:szCs w:val="32"/>
          <w:lang w:eastAsia="zh-CN"/>
        </w:rPr>
        <w:t>。</w:t>
      </w:r>
    </w:p>
    <w:p w14:paraId="2001B20A">
      <w:pPr>
        <w:ind w:firstLine="643" w:firstLineChars="200"/>
        <w:rPr>
          <w:rFonts w:hint="default"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（三）起草阶段</w:t>
      </w:r>
    </w:p>
    <w:p w14:paraId="2F89D9EC">
      <w:pPr>
        <w:keepNext w:val="0"/>
        <w:keepLines w:val="0"/>
        <w:widowControl/>
        <w:suppressLineNumbers w:val="0"/>
        <w:ind w:firstLine="640" w:firstLineChars="200"/>
        <w:jc w:val="left"/>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第一阶段：编写小组在查阅国内有关法律法规、标准和技术规范等资料和分析、总结我省近年来在牛羊布病防治与净化，尤其是规模化羊场布病检测净化管理方面的经验基础上，确定了标准草案的范围，搭建了标准体系框架。</w:t>
      </w:r>
    </w:p>
    <w:p w14:paraId="45F84296">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第二阶段：编写小组先后</w:t>
      </w:r>
      <w:r>
        <w:rPr>
          <w:rFonts w:hint="eastAsia" w:ascii="仿宋_GB2312" w:hAnsi="仿宋_GB2312" w:eastAsia="仿宋_GB2312" w:cs="仿宋_GB2312"/>
          <w:sz w:val="32"/>
          <w:szCs w:val="32"/>
          <w:lang w:val="en-US" w:eastAsia="zh-CN"/>
        </w:rPr>
        <w:t>通过</w:t>
      </w:r>
      <w:r>
        <w:rPr>
          <w:rFonts w:hint="eastAsia" w:ascii="仿宋_GB2312" w:hAnsi="仿宋_GB2312" w:eastAsia="仿宋_GB2312" w:cs="仿宋_GB2312"/>
          <w:sz w:val="32"/>
          <w:szCs w:val="32"/>
        </w:rPr>
        <w:t>对西宁市市区、大通县、湟源县、湟中区，海东市民和县等地的</w:t>
      </w:r>
      <w:r>
        <w:rPr>
          <w:rFonts w:hint="eastAsia" w:ascii="仿宋_GB2312" w:hAnsi="仿宋_GB2312" w:eastAsia="仿宋_GB2312" w:cs="仿宋_GB2312"/>
          <w:sz w:val="32"/>
          <w:szCs w:val="32"/>
          <w:lang w:eastAsia="zh-CN"/>
        </w:rPr>
        <w:t>规模化</w:t>
      </w:r>
      <w:r>
        <w:rPr>
          <w:rFonts w:hint="eastAsia" w:ascii="仿宋_GB2312" w:hAnsi="仿宋_GB2312" w:eastAsia="仿宋_GB2312" w:cs="仿宋_GB2312"/>
          <w:sz w:val="32"/>
          <w:szCs w:val="32"/>
        </w:rPr>
        <w:t>养羊场进行调查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内容涉及布病的免疫、综合防治、调运管理、监测净化、无害化处理、人员防护等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积累</w:t>
      </w:r>
      <w:r>
        <w:rPr>
          <w:rFonts w:hint="eastAsia" w:ascii="仿宋_GB2312" w:hAnsi="仿宋_GB2312" w:eastAsia="仿宋_GB2312" w:cs="仿宋_GB2312"/>
          <w:sz w:val="32"/>
          <w:szCs w:val="32"/>
          <w:lang w:val="en-US" w:eastAsia="zh-CN"/>
        </w:rPr>
        <w:t>了的</w:t>
      </w:r>
      <w:r>
        <w:rPr>
          <w:rFonts w:hint="eastAsia" w:ascii="仿宋_GB2312" w:hAnsi="仿宋_GB2312" w:eastAsia="仿宋_GB2312" w:cs="仿宋_GB2312"/>
          <w:sz w:val="32"/>
          <w:szCs w:val="32"/>
        </w:rPr>
        <w:t>大量</w:t>
      </w:r>
      <w:r>
        <w:rPr>
          <w:rFonts w:hint="eastAsia" w:ascii="仿宋_GB2312" w:hAnsi="仿宋_GB2312" w:eastAsia="仿宋_GB2312" w:cs="仿宋_GB2312"/>
          <w:sz w:val="32"/>
          <w:szCs w:val="32"/>
          <w:lang w:val="en-US" w:eastAsia="zh-CN"/>
        </w:rPr>
        <w:t>基层防控资料；</w:t>
      </w:r>
      <w:r>
        <w:rPr>
          <w:rFonts w:hint="eastAsia" w:ascii="仿宋_GB2312" w:hAnsi="仿宋_GB2312" w:eastAsia="仿宋_GB2312" w:cs="仿宋_GB2312"/>
          <w:color w:val="auto"/>
          <w:sz w:val="32"/>
          <w:szCs w:val="32"/>
          <w:lang w:val="en-US" w:eastAsia="zh-CN"/>
        </w:rPr>
        <w:t>编写小组还分析总结西宁市动物疫病预防控制中心长期从事实验室布病监测、布病防控工作积累的实践经验，</w:t>
      </w:r>
      <w:r>
        <w:rPr>
          <w:rFonts w:hint="eastAsia" w:ascii="仿宋_GB2312" w:hAnsi="仿宋_GB2312" w:eastAsia="仿宋_GB2312" w:cs="仿宋_GB2312"/>
          <w:sz w:val="32"/>
          <w:szCs w:val="32"/>
        </w:rPr>
        <w:t>对标准中提出的各项技术指标和措施的实施情况及问题进行了分析</w:t>
      </w:r>
      <w:r>
        <w:rPr>
          <w:rFonts w:hint="eastAsia" w:ascii="仿宋_GB2312" w:hAnsi="仿宋_GB2312" w:eastAsia="仿宋_GB2312" w:cs="仿宋_GB2312"/>
          <w:sz w:val="32"/>
          <w:szCs w:val="32"/>
          <w:lang w:val="en-US" w:eastAsia="zh-CN"/>
        </w:rPr>
        <w:t>总结和</w:t>
      </w:r>
      <w:r>
        <w:rPr>
          <w:rFonts w:hint="eastAsia" w:ascii="仿宋_GB2312" w:hAnsi="仿宋_GB2312" w:eastAsia="仿宋_GB2312" w:cs="仿宋_GB2312"/>
          <w:sz w:val="32"/>
          <w:szCs w:val="32"/>
        </w:rPr>
        <w:t>研究讨论，确定了标准名称、适用</w:t>
      </w:r>
      <w:bookmarkStart w:id="18" w:name="OLE_LINK81"/>
      <w:r>
        <w:rPr>
          <w:rFonts w:hint="eastAsia" w:ascii="仿宋_GB2312" w:hAnsi="仿宋_GB2312" w:eastAsia="仿宋_GB2312" w:cs="仿宋_GB2312"/>
          <w:sz w:val="32"/>
          <w:szCs w:val="32"/>
          <w:lang w:eastAsia="zh-CN"/>
        </w:rPr>
        <w:t>范围、规范性引用文件、</w:t>
      </w:r>
      <w:r>
        <w:rPr>
          <w:rFonts w:hint="eastAsia" w:ascii="仿宋_GB2312" w:hAnsi="仿宋_GB2312" w:eastAsia="仿宋_GB2312" w:cs="仿宋_GB2312"/>
          <w:sz w:val="32"/>
          <w:szCs w:val="32"/>
        </w:rPr>
        <w:t>术语和定义、诊断方法、净化措施、</w:t>
      </w:r>
      <w:r>
        <w:rPr>
          <w:rFonts w:hint="eastAsia" w:ascii="仿宋_GB2312" w:hAnsi="仿宋_GB2312" w:eastAsia="仿宋_GB2312" w:cs="仿宋_GB2312"/>
          <w:sz w:val="32"/>
          <w:szCs w:val="32"/>
          <w:lang w:eastAsia="zh-CN"/>
        </w:rPr>
        <w:t>净化标准、无害化处理、清理消毒、</w:t>
      </w:r>
      <w:r>
        <w:rPr>
          <w:rFonts w:hint="eastAsia" w:ascii="仿宋_GB2312" w:hAnsi="仿宋_GB2312" w:eastAsia="仿宋_GB2312" w:cs="仿宋_GB2312"/>
          <w:sz w:val="32"/>
          <w:szCs w:val="32"/>
        </w:rPr>
        <w:t>净化维持、人员防护</w:t>
      </w:r>
      <w:r>
        <w:rPr>
          <w:rFonts w:hint="eastAsia" w:ascii="仿宋_GB2312" w:hAnsi="仿宋_GB2312" w:eastAsia="仿宋_GB2312" w:cs="仿宋_GB2312"/>
          <w:sz w:val="32"/>
          <w:szCs w:val="32"/>
          <w:lang w:eastAsia="zh-CN"/>
        </w:rPr>
        <w:t>、调运管理、制度</w:t>
      </w:r>
      <w:r>
        <w:rPr>
          <w:rFonts w:hint="eastAsia" w:ascii="仿宋_GB2312" w:hAnsi="仿宋_GB2312" w:eastAsia="仿宋_GB2312" w:cs="仿宋_GB2312"/>
          <w:sz w:val="32"/>
          <w:szCs w:val="32"/>
        </w:rPr>
        <w:t>和</w:t>
      </w:r>
      <w:r>
        <w:rPr>
          <w:rFonts w:hint="eastAsia" w:ascii="仿宋_GB2312" w:hAnsi="仿宋_GB2312" w:eastAsia="仿宋_GB2312" w:cs="仿宋_GB2312"/>
          <w:sz w:val="32"/>
          <w:szCs w:val="32"/>
          <w:lang w:eastAsia="zh-CN"/>
        </w:rPr>
        <w:t>记录管理</w:t>
      </w:r>
      <w:bookmarkEnd w:id="18"/>
      <w:r>
        <w:rPr>
          <w:rFonts w:hint="eastAsia" w:ascii="仿宋_GB2312" w:hAnsi="仿宋_GB2312" w:eastAsia="仿宋_GB2312" w:cs="仿宋_GB2312"/>
          <w:sz w:val="32"/>
          <w:szCs w:val="32"/>
        </w:rPr>
        <w:t>技术要求的内容，形成了标准草案。</w:t>
      </w:r>
    </w:p>
    <w:p w14:paraId="03E015B5">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第三阶段：标准编写小组先后向有关大专院校、动物疫病预防控制机构、动物检疫机构、乡镇畜牧兽医站、</w:t>
      </w:r>
      <w:r>
        <w:rPr>
          <w:rFonts w:hint="eastAsia" w:ascii="仿宋_GB2312" w:hAnsi="仿宋_GB2312" w:eastAsia="仿宋_GB2312" w:cs="仿宋_GB2312"/>
          <w:sz w:val="32"/>
          <w:szCs w:val="32"/>
          <w:lang w:eastAsia="zh-CN"/>
        </w:rPr>
        <w:t>规模化</w:t>
      </w:r>
      <w:r>
        <w:rPr>
          <w:rFonts w:hint="eastAsia" w:ascii="仿宋_GB2312" w:hAnsi="仿宋_GB2312" w:eastAsia="仿宋_GB2312" w:cs="仿宋_GB2312"/>
          <w:sz w:val="32"/>
          <w:szCs w:val="32"/>
        </w:rPr>
        <w:t>羊场等相关单位和养殖技术人员征询</w:t>
      </w:r>
      <w:r>
        <w:rPr>
          <w:rFonts w:hint="eastAsia" w:ascii="仿宋_GB2312" w:hAnsi="仿宋_GB2312" w:eastAsia="仿宋_GB2312" w:cs="仿宋_GB2312"/>
          <w:sz w:val="32"/>
          <w:szCs w:val="32"/>
          <w:lang w:val="en-US" w:eastAsia="zh-CN"/>
        </w:rPr>
        <w:t>了</w:t>
      </w:r>
      <w:r>
        <w:rPr>
          <w:rFonts w:hint="eastAsia" w:ascii="仿宋_GB2312" w:hAnsi="仿宋_GB2312" w:eastAsia="仿宋_GB2312" w:cs="仿宋_GB2312"/>
          <w:sz w:val="32"/>
          <w:szCs w:val="32"/>
        </w:rPr>
        <w:t>对草案的意见，经认真研究分析，完成了标准文本及编制说明。</w:t>
      </w:r>
    </w:p>
    <w:p w14:paraId="20A512B2">
      <w:pPr>
        <w:ind w:firstLine="643" w:firstLineChars="200"/>
        <w:rPr>
          <w:rFonts w:hint="eastAsia" w:ascii="楷体_GB2312" w:hAnsi="楷体_GB2312" w:eastAsia="楷体_GB2312" w:cs="楷体_GB2312"/>
          <w:sz w:val="32"/>
          <w:szCs w:val="32"/>
          <w:lang w:eastAsia="zh-CN"/>
        </w:rPr>
      </w:pP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四）</w:t>
      </w:r>
      <w:r>
        <w:rPr>
          <w:rFonts w:hint="eastAsia" w:ascii="楷体_GB2312" w:hAnsi="楷体_GB2312" w:eastAsia="楷体_GB2312" w:cs="楷体_GB2312"/>
          <w:b/>
          <w:bCs/>
          <w:sz w:val="32"/>
          <w:szCs w:val="32"/>
          <w:lang w:eastAsia="zh-CN"/>
        </w:rPr>
        <w:t xml:space="preserve">征求意见 </w:t>
      </w:r>
      <w:r>
        <w:rPr>
          <w:rFonts w:hint="eastAsia" w:ascii="楷体_GB2312" w:hAnsi="楷体_GB2312" w:eastAsia="楷体_GB2312" w:cs="楷体_GB2312"/>
          <w:sz w:val="32"/>
          <w:szCs w:val="32"/>
          <w:lang w:eastAsia="zh-CN"/>
        </w:rPr>
        <w:t xml:space="preserve"> </w:t>
      </w:r>
    </w:p>
    <w:p w14:paraId="5C75BDF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color w:val="auto"/>
          <w:kern w:val="0"/>
          <w:sz w:val="32"/>
          <w:szCs w:val="32"/>
          <w:lang w:val="en-US" w:eastAsia="zh-CN" w:bidi="ar-SA"/>
        </w:rPr>
        <w:t>标准编写过程中，编写小组征求了中国农科院兰州兽医研所有关专家和省内的青海大学、省畜牧兽医科学院、省动物疫病预防控制机构、省动物检疫机构等兽医学方面的有关专家对规模化养羊场布病检测、阳性畜及其排泄物和污染物处理、净化维持措施等方面的意见，并在编制过程中充分考虑了这些意见。标准草稿完成后，编写小组成员还深入有关市县动物疫病预防控制中心、乡镇畜牧兽医站和部分规模化养羊场，与有关人员充分交换意见，使本标准具有更好的可行性和可操作性。</w:t>
      </w:r>
    </w:p>
    <w:p w14:paraId="64183317">
      <w:pPr>
        <w:ind w:firstLine="640" w:firstLineChars="200"/>
        <w:rPr>
          <w:rFonts w:hint="eastAsia" w:ascii="黑体" w:hAnsi="黑体" w:eastAsia="黑体" w:cs="黑体"/>
          <w:sz w:val="32"/>
          <w:szCs w:val="32"/>
        </w:rPr>
      </w:pPr>
      <w:r>
        <w:rPr>
          <w:rFonts w:hint="eastAsia" w:ascii="黑体" w:hAnsi="黑体" w:eastAsia="黑体" w:cs="黑体"/>
          <w:sz w:val="32"/>
          <w:szCs w:val="32"/>
          <w:lang w:val="en-US" w:eastAsia="zh-CN"/>
        </w:rPr>
        <w:t>四</w:t>
      </w:r>
      <w:r>
        <w:rPr>
          <w:rFonts w:hint="eastAsia" w:ascii="黑体" w:hAnsi="黑体" w:eastAsia="黑体" w:cs="黑体"/>
          <w:sz w:val="32"/>
          <w:szCs w:val="32"/>
        </w:rPr>
        <w:t>、制定标准的原则和依据，</w:t>
      </w:r>
      <w:bookmarkStart w:id="19" w:name="OLE_LINK24"/>
      <w:r>
        <w:rPr>
          <w:rFonts w:hint="eastAsia" w:ascii="黑体" w:hAnsi="黑体" w:eastAsia="黑体" w:cs="黑体"/>
          <w:sz w:val="32"/>
          <w:szCs w:val="32"/>
        </w:rPr>
        <w:t>与现行法律、法规、标准的关系</w:t>
      </w:r>
      <w:bookmarkEnd w:id="19"/>
    </w:p>
    <w:p w14:paraId="5D635B01">
      <w:pPr>
        <w:ind w:firstLine="640" w:firstLineChars="200"/>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sz w:val="32"/>
          <w:szCs w:val="32"/>
          <w:lang w:eastAsia="zh-CN"/>
        </w:rPr>
        <w:t xml:space="preserve"> </w:t>
      </w:r>
      <w:r>
        <w:rPr>
          <w:rFonts w:hint="eastAsia" w:ascii="楷体_GB2312" w:hAnsi="楷体_GB2312" w:eastAsia="楷体_GB2312" w:cs="楷体_GB2312"/>
          <w:b/>
          <w:bCs/>
          <w:sz w:val="32"/>
          <w:szCs w:val="32"/>
          <w:lang w:eastAsia="zh-CN"/>
        </w:rPr>
        <w:t>（一）编制原则</w:t>
      </w:r>
    </w:p>
    <w:p w14:paraId="79B023A0">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color w:val="auto"/>
          <w:kern w:val="0"/>
          <w:sz w:val="32"/>
          <w:szCs w:val="32"/>
          <w:lang w:val="en-US" w:eastAsia="zh-CN" w:bidi="ar-SA"/>
        </w:rPr>
        <w:t>标准编制遵循“先进性、实用性、统一性、规范性”的原则，全面贯彻落实中国动物疫病预防控制中心发布的《布鲁氏菌病防控技术要点(第一版）》的要求和措施，重点从技术层面对净化行为进行细化，加强净化管理，规范净化技术行为，并注重标准在我省的可行性、可操作性和实用性。</w:t>
      </w:r>
    </w:p>
    <w:p w14:paraId="78B7DCA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w:t>
      </w:r>
      <w:bookmarkStart w:id="20" w:name="OLE_LINK21"/>
      <w:r>
        <w:rPr>
          <w:rFonts w:hint="eastAsia" w:ascii="仿宋_GB2312" w:hAnsi="仿宋_GB2312" w:eastAsia="仿宋_GB2312" w:cs="仿宋_GB2312"/>
          <w:sz w:val="32"/>
          <w:szCs w:val="32"/>
        </w:rPr>
        <w:t>标准的编制依据《中华人民共和国标准化法》、《中华人民共和国标准化法实施条例》，按照GB/T1.1—2020《标准化工作导则 第1部分：标准化文件的结构和起草规则》的规定起草。</w:t>
      </w:r>
    </w:p>
    <w:bookmarkEnd w:id="20"/>
    <w:p w14:paraId="71D929A9">
      <w:pPr>
        <w:ind w:firstLine="643" w:firstLineChars="200"/>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二</w:t>
      </w: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编制依据</w:t>
      </w:r>
    </w:p>
    <w:p w14:paraId="6520A930">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标准的编制依据《中华人民共和国标准化法》、《中华人民共和国标准化法实施条例》，按照GB/T1.1—2020《标准化工作导则 第1部分：标准化文件的结构和起草规则》的规定起草。</w:t>
      </w:r>
    </w:p>
    <w:p w14:paraId="5D9542ED">
      <w:pPr>
        <w:ind w:firstLine="643" w:firstLineChars="200"/>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b/>
          <w:bCs/>
          <w:sz w:val="32"/>
          <w:szCs w:val="32"/>
          <w:lang w:val="en-US" w:eastAsia="zh-CN"/>
        </w:rPr>
        <w:t>（三）</w:t>
      </w:r>
      <w:r>
        <w:rPr>
          <w:rFonts w:hint="eastAsia" w:ascii="楷体_GB2312" w:hAnsi="楷体_GB2312" w:eastAsia="楷体_GB2312" w:cs="楷体_GB2312"/>
          <w:b/>
          <w:bCs/>
          <w:sz w:val="32"/>
          <w:szCs w:val="32"/>
          <w:lang w:eastAsia="zh-CN"/>
        </w:rPr>
        <w:t>与现行法律、法规、标准的关系</w:t>
      </w:r>
    </w:p>
    <w:p w14:paraId="6626E864">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本标准按照《中华人民共和国标准化法》、《青海省地 </w:t>
      </w:r>
    </w:p>
    <w:p w14:paraId="35FABAC5">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方标准管理办法》等相关规定进行编制，与现行法律法规、技术标准无抵触。</w:t>
      </w:r>
    </w:p>
    <w:p w14:paraId="363496E1">
      <w:pPr>
        <w:keepNext w:val="0"/>
        <w:keepLines w:val="0"/>
        <w:widowControl/>
        <w:suppressLineNumbers w:val="0"/>
        <w:ind w:firstLine="640" w:firstLineChars="200"/>
        <w:jc w:val="left"/>
      </w:pPr>
      <w:r>
        <w:rPr>
          <w:rFonts w:ascii="黑体" w:hAnsi="宋体" w:eastAsia="黑体" w:cs="黑体"/>
          <w:color w:val="000000"/>
          <w:kern w:val="0"/>
          <w:sz w:val="32"/>
          <w:szCs w:val="32"/>
          <w:lang w:val="en-US" w:eastAsia="zh-CN" w:bidi="ar"/>
        </w:rPr>
        <w:t xml:space="preserve">五、主要条款的说明 </w:t>
      </w:r>
    </w:p>
    <w:p w14:paraId="771F63F5">
      <w:pPr>
        <w:ind w:firstLine="643" w:firstLineChars="200"/>
        <w:rPr>
          <w:rFonts w:hint="eastAsia" w:ascii="楷体_GB2312" w:hAnsi="楷体_GB2312" w:eastAsia="楷体_GB2312" w:cs="楷体_GB2312"/>
          <w:sz w:val="32"/>
          <w:szCs w:val="32"/>
          <w:lang w:eastAsia="zh-CN"/>
        </w:rPr>
      </w:pPr>
      <w:bookmarkStart w:id="21" w:name="OLE_LINK30"/>
      <w:r>
        <w:rPr>
          <w:rFonts w:hint="eastAsia" w:ascii="楷体_GB2312" w:hAnsi="楷体_GB2312" w:eastAsia="楷体_GB2312" w:cs="楷体_GB2312"/>
          <w:b/>
          <w:bCs/>
          <w:sz w:val="32"/>
          <w:szCs w:val="32"/>
          <w:lang w:val="en-US" w:eastAsia="zh-CN"/>
        </w:rPr>
        <w:t>（一）</w:t>
      </w:r>
      <w:r>
        <w:rPr>
          <w:rFonts w:hint="eastAsia" w:ascii="楷体_GB2312" w:hAnsi="楷体_GB2312" w:eastAsia="楷体_GB2312" w:cs="楷体_GB2312"/>
          <w:b/>
          <w:bCs/>
          <w:sz w:val="32"/>
          <w:szCs w:val="32"/>
          <w:lang w:eastAsia="zh-CN"/>
        </w:rPr>
        <w:t>标准名称</w:t>
      </w:r>
    </w:p>
    <w:p w14:paraId="6134E3D5">
      <w:pPr>
        <w:ind w:firstLine="640" w:firstLineChars="200"/>
        <w:rPr>
          <w:rFonts w:hint="eastAsia" w:ascii="楷体_GB2312" w:hAnsi="楷体_GB2312" w:eastAsia="楷体_GB2312" w:cs="楷体_GB2312"/>
          <w:sz w:val="32"/>
          <w:szCs w:val="32"/>
          <w:lang w:val="en-US" w:eastAsia="zh-CN"/>
        </w:rPr>
      </w:pPr>
      <w:r>
        <w:rPr>
          <w:rFonts w:hint="eastAsia" w:ascii="仿宋_GB2312" w:hAnsi="仿宋_GB2312" w:eastAsia="仿宋_GB2312" w:cs="仿宋_GB2312"/>
          <w:color w:val="auto"/>
          <w:sz w:val="32"/>
          <w:szCs w:val="32"/>
          <w:lang w:val="en-US" w:eastAsia="zh-CN"/>
        </w:rPr>
        <w:t>根据</w:t>
      </w:r>
      <w:r>
        <w:rPr>
          <w:rFonts w:hint="eastAsia" w:ascii="仿宋_GB2312" w:hAnsi="仿宋_GB2312" w:eastAsia="仿宋_GB2312" w:cs="仿宋_GB2312"/>
          <w:color w:val="auto"/>
          <w:sz w:val="32"/>
          <w:szCs w:val="32"/>
        </w:rPr>
        <w:t>本标准</w:t>
      </w:r>
      <w:r>
        <w:rPr>
          <w:rFonts w:hint="eastAsia" w:ascii="仿宋_GB2312" w:hAnsi="仿宋_GB2312" w:eastAsia="仿宋_GB2312" w:cs="仿宋_GB2312"/>
          <w:color w:val="auto"/>
          <w:sz w:val="32"/>
          <w:szCs w:val="32"/>
          <w:lang w:val="en-US" w:eastAsia="zh-CN"/>
        </w:rPr>
        <w:t>需要规范的范围、具体内容、措施和目标，提炼确定为</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规模化</w:t>
      </w:r>
      <w:r>
        <w:rPr>
          <w:rFonts w:hint="eastAsia" w:ascii="仿宋_GB2312" w:hAnsi="仿宋_GB2312" w:eastAsia="仿宋_GB2312" w:cs="仿宋_GB2312"/>
          <w:color w:val="auto"/>
          <w:sz w:val="32"/>
          <w:szCs w:val="32"/>
        </w:rPr>
        <w:t>羊场布鲁氏菌病净化技术规范》。</w:t>
      </w:r>
    </w:p>
    <w:p w14:paraId="1425DECC">
      <w:pPr>
        <w:ind w:firstLine="643" w:firstLineChars="200"/>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b/>
          <w:bCs/>
          <w:sz w:val="32"/>
          <w:szCs w:val="32"/>
          <w:lang w:val="en-US" w:eastAsia="zh-CN"/>
        </w:rPr>
        <w:t>（二）标准的范围</w:t>
      </w:r>
    </w:p>
    <w:bookmarkEnd w:id="21"/>
    <w:p w14:paraId="7C8BA713">
      <w:pPr>
        <w:pStyle w:val="8"/>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本标准坚持布病净化从点到面逐步有效推进，首先从重点环节进行净化，逐步扩大范围和区域，最终实现全省养羊业达到净化标准的路线，即从规模化羊场</w:t>
      </w:r>
      <w:bookmarkStart w:id="22" w:name="OLE_LINK29"/>
      <w:r>
        <w:rPr>
          <w:rFonts w:hint="eastAsia" w:ascii="仿宋_GB2312" w:hAnsi="仿宋_GB2312" w:eastAsia="仿宋_GB2312" w:cs="仿宋_GB2312"/>
          <w:kern w:val="2"/>
          <w:sz w:val="32"/>
          <w:szCs w:val="32"/>
          <w:lang w:val="en-US" w:eastAsia="zh-CN" w:bidi="ar-SA"/>
        </w:rPr>
        <w:t>（含种畜场）</w:t>
      </w:r>
      <w:bookmarkEnd w:id="22"/>
      <w:r>
        <w:rPr>
          <w:rFonts w:hint="eastAsia" w:ascii="仿宋_GB2312" w:hAnsi="仿宋_GB2312" w:eastAsia="仿宋_GB2312" w:cs="仿宋_GB2312"/>
          <w:kern w:val="2"/>
          <w:sz w:val="32"/>
          <w:szCs w:val="32"/>
          <w:lang w:val="en-US" w:eastAsia="zh-CN" w:bidi="ar-SA"/>
        </w:rPr>
        <w:t>到养殖场（小区）、养殖户再到村、乡、县、市、省的逐步净化路线，并依据次路线确定了本文件适用的范围以及其参照执行的范围。</w:t>
      </w:r>
    </w:p>
    <w:p w14:paraId="0734E2F9">
      <w:pPr>
        <w:ind w:firstLine="643" w:firstLineChars="200"/>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b/>
          <w:bCs/>
          <w:sz w:val="32"/>
          <w:szCs w:val="32"/>
          <w:lang w:val="en-US" w:eastAsia="zh-CN"/>
        </w:rPr>
        <w:t>（三）体例格式</w:t>
      </w:r>
    </w:p>
    <w:p w14:paraId="670A12E7">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（1）本标准格式按照GB/T1.1—2020《标准化工作导则 第1部分：标准化文件的结构和起草规则》的要求排列；</w:t>
      </w:r>
    </w:p>
    <w:p w14:paraId="2B74D483">
      <w:pPr>
        <w:ind w:firstLine="640" w:firstLineChars="200"/>
        <w:rPr>
          <w:rFonts w:hint="eastAsia" w:ascii="楷体_GB2312" w:hAnsi="楷体_GB2312" w:eastAsia="仿宋_GB2312" w:cs="楷体_GB2312"/>
          <w:sz w:val="32"/>
          <w:szCs w:val="32"/>
          <w:lang w:val="en-US" w:eastAsia="zh-CN"/>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）标准体例格式为</w:t>
      </w:r>
      <w:r>
        <w:rPr>
          <w:rFonts w:hint="eastAsia" w:ascii="仿宋_GB2312" w:hAnsi="仿宋_GB2312" w:eastAsia="仿宋_GB2312" w:cs="仿宋_GB2312"/>
          <w:sz w:val="32"/>
          <w:szCs w:val="32"/>
          <w:lang w:eastAsia="zh-CN"/>
        </w:rPr>
        <w:t>范围、规范性引用文件、</w:t>
      </w:r>
      <w:r>
        <w:rPr>
          <w:rFonts w:hint="eastAsia" w:ascii="仿宋_GB2312" w:hAnsi="仿宋_GB2312" w:eastAsia="仿宋_GB2312" w:cs="仿宋_GB2312"/>
          <w:sz w:val="32"/>
          <w:szCs w:val="32"/>
        </w:rPr>
        <w:t>术语和定义、诊断方法、净化措施、</w:t>
      </w:r>
      <w:r>
        <w:rPr>
          <w:rFonts w:hint="eastAsia" w:ascii="仿宋_GB2312" w:hAnsi="仿宋_GB2312" w:eastAsia="仿宋_GB2312" w:cs="仿宋_GB2312"/>
          <w:sz w:val="32"/>
          <w:szCs w:val="32"/>
          <w:lang w:eastAsia="zh-CN"/>
        </w:rPr>
        <w:t>净化标准、无害化处理、清理消毒、</w:t>
      </w:r>
      <w:r>
        <w:rPr>
          <w:rFonts w:hint="eastAsia" w:ascii="仿宋_GB2312" w:hAnsi="仿宋_GB2312" w:eastAsia="仿宋_GB2312" w:cs="仿宋_GB2312"/>
          <w:sz w:val="32"/>
          <w:szCs w:val="32"/>
        </w:rPr>
        <w:t>净化维持、人员防护</w:t>
      </w:r>
      <w:r>
        <w:rPr>
          <w:rFonts w:hint="eastAsia" w:ascii="仿宋_GB2312" w:hAnsi="仿宋_GB2312" w:eastAsia="仿宋_GB2312" w:cs="仿宋_GB2312"/>
          <w:sz w:val="32"/>
          <w:szCs w:val="32"/>
          <w:lang w:eastAsia="zh-CN"/>
        </w:rPr>
        <w:t>、调运管理、制度</w:t>
      </w:r>
      <w:r>
        <w:rPr>
          <w:rFonts w:hint="eastAsia" w:ascii="仿宋_GB2312" w:hAnsi="仿宋_GB2312" w:eastAsia="仿宋_GB2312" w:cs="仿宋_GB2312"/>
          <w:sz w:val="32"/>
          <w:szCs w:val="32"/>
        </w:rPr>
        <w:t>和</w:t>
      </w:r>
      <w:r>
        <w:rPr>
          <w:rFonts w:hint="eastAsia" w:ascii="仿宋_GB2312" w:hAnsi="仿宋_GB2312" w:eastAsia="仿宋_GB2312" w:cs="仿宋_GB2312"/>
          <w:sz w:val="32"/>
          <w:szCs w:val="32"/>
          <w:lang w:eastAsia="zh-CN"/>
        </w:rPr>
        <w:t>记录管理</w:t>
      </w:r>
      <w:r>
        <w:rPr>
          <w:rFonts w:hint="eastAsia" w:ascii="仿宋_GB2312" w:hAnsi="仿宋_GB2312" w:eastAsia="仿宋_GB2312" w:cs="仿宋_GB2312"/>
          <w:sz w:val="32"/>
          <w:szCs w:val="32"/>
          <w:lang w:val="en-US" w:eastAsia="zh-CN"/>
        </w:rPr>
        <w:t>共</w:t>
      </w:r>
      <w:r>
        <w:rPr>
          <w:rFonts w:hint="eastAsia" w:ascii="仿宋_GB2312" w:hAnsi="仿宋_GB2312" w:eastAsia="仿宋_GB2312" w:cs="仿宋_GB2312"/>
          <w:color w:val="auto"/>
          <w:sz w:val="32"/>
          <w:szCs w:val="32"/>
          <w:lang w:val="en-US" w:eastAsia="zh-CN"/>
        </w:rPr>
        <w:t>12</w:t>
      </w:r>
      <w:r>
        <w:rPr>
          <w:rFonts w:hint="eastAsia" w:ascii="仿宋_GB2312" w:hAnsi="仿宋_GB2312" w:eastAsia="仿宋_GB2312" w:cs="仿宋_GB2312"/>
          <w:color w:val="auto"/>
          <w:sz w:val="32"/>
          <w:szCs w:val="32"/>
        </w:rPr>
        <w:t>个部分</w:t>
      </w:r>
      <w:r>
        <w:rPr>
          <w:rFonts w:hint="eastAsia" w:ascii="仿宋_GB2312" w:hAnsi="仿宋_GB2312" w:eastAsia="仿宋_GB2312" w:cs="仿宋_GB2312"/>
          <w:color w:val="auto"/>
          <w:sz w:val="32"/>
          <w:szCs w:val="32"/>
          <w:lang w:eastAsia="zh-CN"/>
        </w:rPr>
        <w:t>。</w:t>
      </w:r>
    </w:p>
    <w:p w14:paraId="544C7859">
      <w:pPr>
        <w:ind w:firstLine="643" w:firstLineChars="200"/>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四</w:t>
      </w:r>
      <w:r>
        <w:rPr>
          <w:rFonts w:hint="eastAsia" w:ascii="楷体_GB2312" w:hAnsi="楷体_GB2312" w:eastAsia="楷体_GB2312" w:cs="楷体_GB2312"/>
          <w:b/>
          <w:bCs/>
          <w:sz w:val="32"/>
          <w:szCs w:val="32"/>
          <w:lang w:eastAsia="zh-CN"/>
        </w:rPr>
        <w:t>）主要的参考标准和文献</w:t>
      </w:r>
    </w:p>
    <w:p w14:paraId="2070CC9F">
      <w:pPr>
        <w:ind w:firstLine="640" w:firstLineChars="2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参考的我国国家标准、行业标准、地方标准和先行的法律法规和规章。</w:t>
      </w:r>
    </w:p>
    <w:p w14:paraId="7ABF421F">
      <w:pPr>
        <w:ind w:firstLine="643" w:firstLineChars="200"/>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kern w:val="2"/>
          <w:sz w:val="32"/>
          <w:szCs w:val="32"/>
          <w:lang w:val="en-US" w:eastAsia="zh-CN" w:bidi="ar-SA"/>
        </w:rPr>
        <w:t>(五）</w:t>
      </w:r>
      <w:r>
        <w:rPr>
          <w:rFonts w:hint="eastAsia" w:ascii="楷体_GB2312" w:hAnsi="楷体_GB2312" w:eastAsia="楷体_GB2312" w:cs="楷体_GB2312"/>
          <w:b/>
          <w:bCs/>
          <w:sz w:val="32"/>
          <w:szCs w:val="32"/>
          <w:lang w:val="en-US" w:eastAsia="zh-CN"/>
        </w:rPr>
        <w:t>诊断方法</w:t>
      </w:r>
    </w:p>
    <w:p w14:paraId="3EFA1915">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本章引用GB/T 18646 动物布鲁氏菌诊断技术标准，对</w:t>
      </w:r>
      <w:r>
        <w:rPr>
          <w:rFonts w:hint="eastAsia" w:ascii="仿宋_GB2312" w:hAnsi="仿宋_GB2312" w:eastAsia="仿宋_GB2312" w:cs="仿宋_GB2312"/>
          <w:color w:val="auto"/>
          <w:sz w:val="32"/>
          <w:szCs w:val="32"/>
          <w:lang w:eastAsia="zh-CN"/>
        </w:rPr>
        <w:t>规模化</w:t>
      </w:r>
      <w:r>
        <w:rPr>
          <w:rFonts w:hint="eastAsia" w:ascii="仿宋_GB2312" w:hAnsi="仿宋_GB2312" w:eastAsia="仿宋_GB2312" w:cs="仿宋_GB2312"/>
          <w:color w:val="auto"/>
          <w:sz w:val="32"/>
          <w:szCs w:val="32"/>
        </w:rPr>
        <w:t>羊场布鲁氏菌病从流行特点、临床症状、病理变化、实验室检测方法、判定标准进行规定。</w:t>
      </w:r>
    </w:p>
    <w:p w14:paraId="05FBAF44">
      <w:pPr>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val="en-US" w:eastAsia="zh-CN"/>
        </w:rPr>
        <w:t>（六）净化措施</w:t>
      </w:r>
    </w:p>
    <w:p w14:paraId="002183D8">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本章</w:t>
      </w:r>
      <w:r>
        <w:rPr>
          <w:rFonts w:hint="eastAsia" w:ascii="仿宋_GB2312" w:hAnsi="仿宋_GB2312" w:eastAsia="仿宋_GB2312" w:cs="仿宋_GB2312"/>
          <w:color w:val="auto"/>
          <w:sz w:val="32"/>
          <w:szCs w:val="32"/>
          <w:lang w:val="en-US" w:eastAsia="zh-CN"/>
        </w:rPr>
        <w:t>分别</w:t>
      </w:r>
      <w:r>
        <w:rPr>
          <w:rFonts w:hint="eastAsia" w:ascii="仿宋_GB2312" w:hAnsi="仿宋_GB2312" w:eastAsia="仿宋_GB2312" w:cs="仿宋_GB2312"/>
          <w:color w:val="auto"/>
          <w:sz w:val="32"/>
          <w:szCs w:val="32"/>
        </w:rPr>
        <w:t>从</w:t>
      </w:r>
      <w:r>
        <w:rPr>
          <w:rFonts w:hint="eastAsia" w:ascii="仿宋_GB2312" w:hAnsi="仿宋_GB2312" w:eastAsia="仿宋_GB2312" w:cs="仿宋_GB2312"/>
          <w:color w:val="auto"/>
          <w:sz w:val="32"/>
          <w:szCs w:val="32"/>
          <w:lang w:val="en-US" w:eastAsia="zh-CN"/>
        </w:rPr>
        <w:t>免疫场和非免疫场的净化的技术路线、样品采集、</w:t>
      </w:r>
      <w:r>
        <w:rPr>
          <w:rFonts w:hint="eastAsia" w:ascii="仿宋_GB2312" w:hAnsi="仿宋_GB2312" w:eastAsia="仿宋_GB2312" w:cs="仿宋_GB2312"/>
          <w:color w:val="auto"/>
          <w:sz w:val="32"/>
          <w:szCs w:val="32"/>
        </w:rPr>
        <w:t>检测</w:t>
      </w:r>
      <w:r>
        <w:rPr>
          <w:rFonts w:hint="eastAsia" w:ascii="仿宋_GB2312" w:hAnsi="仿宋_GB2312" w:eastAsia="仿宋_GB2312" w:cs="仿宋_GB2312"/>
          <w:color w:val="auto"/>
          <w:sz w:val="32"/>
          <w:szCs w:val="32"/>
          <w:lang w:val="en-US" w:eastAsia="zh-CN"/>
        </w:rPr>
        <w:t>月</w:t>
      </w:r>
      <w:r>
        <w:rPr>
          <w:rFonts w:hint="eastAsia" w:ascii="仿宋_GB2312" w:hAnsi="仿宋_GB2312" w:eastAsia="仿宋_GB2312" w:cs="仿宋_GB2312"/>
          <w:color w:val="auto"/>
          <w:sz w:val="32"/>
          <w:szCs w:val="32"/>
        </w:rPr>
        <w:t>龄、检测次数、检出阳性</w:t>
      </w:r>
      <w:r>
        <w:rPr>
          <w:rFonts w:hint="eastAsia" w:ascii="仿宋_GB2312" w:hAnsi="仿宋_GB2312" w:eastAsia="仿宋_GB2312" w:cs="仿宋_GB2312"/>
          <w:color w:val="auto"/>
          <w:sz w:val="32"/>
          <w:szCs w:val="32"/>
          <w:lang w:val="en-US" w:eastAsia="zh-CN"/>
        </w:rPr>
        <w:t>个体</w:t>
      </w:r>
      <w:r>
        <w:rPr>
          <w:rFonts w:hint="eastAsia" w:ascii="仿宋_GB2312" w:hAnsi="仿宋_GB2312" w:eastAsia="仿宋_GB2312" w:cs="仿宋_GB2312"/>
          <w:color w:val="auto"/>
          <w:sz w:val="32"/>
          <w:szCs w:val="32"/>
        </w:rPr>
        <w:t>处理</w:t>
      </w:r>
      <w:r>
        <w:rPr>
          <w:rFonts w:hint="eastAsia" w:ascii="仿宋_GB2312" w:hAnsi="仿宋_GB2312" w:eastAsia="仿宋_GB2312" w:cs="仿宋_GB2312"/>
          <w:color w:val="auto"/>
          <w:sz w:val="32"/>
          <w:szCs w:val="32"/>
          <w:lang w:val="en-US" w:eastAsia="zh-CN"/>
        </w:rPr>
        <w:t>等</w:t>
      </w:r>
      <w:r>
        <w:rPr>
          <w:rFonts w:hint="eastAsia" w:ascii="仿宋_GB2312" w:hAnsi="仿宋_GB2312" w:eastAsia="仿宋_GB2312" w:cs="仿宋_GB2312"/>
          <w:color w:val="auto"/>
          <w:sz w:val="32"/>
          <w:szCs w:val="32"/>
        </w:rPr>
        <w:t>作了规定。</w:t>
      </w:r>
    </w:p>
    <w:p w14:paraId="3E98C360">
      <w:pPr>
        <w:ind w:firstLine="640" w:firstLineChars="2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标准制定的任务下达前，我中心依托民和县003号特派员工作站（主要成员为我中心的专业技术人员），对民和县</w:t>
      </w:r>
      <w:bookmarkStart w:id="23" w:name="OLE_LINK26"/>
      <w:r>
        <w:rPr>
          <w:rFonts w:hint="eastAsia" w:ascii="仿宋_GB2312" w:hAnsi="仿宋_GB2312" w:eastAsia="仿宋_GB2312" w:cs="仿宋_GB2312"/>
          <w:color w:val="auto"/>
          <w:sz w:val="32"/>
          <w:szCs w:val="32"/>
          <w:lang w:val="en-US" w:eastAsia="zh-CN"/>
        </w:rPr>
        <w:t>某规模化羊场</w:t>
      </w:r>
      <w:bookmarkEnd w:id="23"/>
      <w:r>
        <w:rPr>
          <w:rFonts w:hint="eastAsia" w:ascii="仿宋_GB2312" w:hAnsi="仿宋_GB2312" w:eastAsia="仿宋_GB2312" w:cs="仿宋_GB2312"/>
          <w:color w:val="auto"/>
          <w:sz w:val="32"/>
          <w:szCs w:val="32"/>
          <w:lang w:val="en-US" w:eastAsia="zh-CN"/>
        </w:rPr>
        <w:t>开展布病的监测筛查工作，监测出阳性个体后立即按规定进行处理，立即制定“某羊场布鲁氏菌病监测净化方案”并督促企业每三个月进行一次羊群检测净化工作，处理阳性羊只100余只，结果发现3个月检测一次的效果不佳，阳性个体持续出现。然后，修订完善了方案，确定每月1次的检测净化频次，边开展检测净化工作边修订技术措施，期间共采样检测7次、检测样品1万余只次、无害化处理阳性羊近800只，直至连续3次检测全群阴性。之后，又对全群羊3个月检测（预产期母羊和3月内羔羊除外，下同）1次，未检出阳性个体。并于2023年11月通过了省级布病净化现场综合审查，该场成为青海省首批认定的“省级羊布病净化场”。2023年12月和2024年5月分别</w:t>
      </w:r>
      <w:bookmarkStart w:id="24" w:name="OLE_LINK27"/>
      <w:r>
        <w:rPr>
          <w:rFonts w:hint="eastAsia" w:ascii="仿宋_GB2312" w:hAnsi="仿宋_GB2312" w:eastAsia="仿宋_GB2312" w:cs="仿宋_GB2312"/>
          <w:color w:val="auto"/>
          <w:sz w:val="32"/>
          <w:szCs w:val="32"/>
          <w:lang w:val="en-US" w:eastAsia="zh-CN"/>
        </w:rPr>
        <w:t>对全群羊检测</w:t>
      </w:r>
      <w:bookmarkEnd w:id="24"/>
      <w:r>
        <w:rPr>
          <w:rFonts w:hint="eastAsia" w:ascii="仿宋_GB2312" w:hAnsi="仿宋_GB2312" w:eastAsia="仿宋_GB2312" w:cs="仿宋_GB2312"/>
          <w:color w:val="auto"/>
          <w:sz w:val="32"/>
          <w:szCs w:val="32"/>
          <w:lang w:val="en-US" w:eastAsia="zh-CN"/>
        </w:rPr>
        <w:t>1次，未发现阳性个体。此标准完全是在我省规模化羊场检测净化实践基础上总结提炼形成的，并充分吸纳了我中心长期开展布病防治工作中积累的经验教训，具有很强的实践性和可操作性，技术路线、措施等可靠有效。</w:t>
      </w:r>
    </w:p>
    <w:p w14:paraId="12BA6C62">
      <w:pPr>
        <w:ind w:firstLine="643" w:firstLineChars="200"/>
        <w:rPr>
          <w:rFonts w:hint="default"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（七）清理消毒、人员防护</w:t>
      </w:r>
    </w:p>
    <w:p w14:paraId="48645971">
      <w:pPr>
        <w:numPr>
          <w:ilvl w:val="0"/>
          <w:numId w:val="0"/>
        </w:numPr>
        <w:ind w:firstLine="640" w:firstLineChars="2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这两部分</w:t>
      </w:r>
      <w:r>
        <w:rPr>
          <w:rFonts w:hint="eastAsia" w:ascii="仿宋_GB2312" w:hAnsi="仿宋_GB2312" w:eastAsia="仿宋_GB2312" w:cs="仿宋_GB2312"/>
          <w:color w:val="auto"/>
          <w:sz w:val="32"/>
          <w:szCs w:val="32"/>
        </w:rPr>
        <w:t>对</w:t>
      </w:r>
      <w:r>
        <w:rPr>
          <w:rFonts w:hint="eastAsia" w:ascii="仿宋_GB2312" w:hAnsi="仿宋_GB2312" w:eastAsia="仿宋_GB2312" w:cs="仿宋_GB2312"/>
          <w:color w:val="auto"/>
          <w:sz w:val="32"/>
          <w:szCs w:val="32"/>
          <w:lang w:val="en-US" w:eastAsia="zh-CN"/>
        </w:rPr>
        <w:t>规模化羊场环境清理、环境消毒和人员防护作了具体规定。这两部分内容是我中心专业技术人员在民和某规模化羊场（布病阳性场）多年从事繁育、采样、采精、同期发情、人工授精、接生、布病采样检测等高频率、近距离接触阳性羊工作以及本中心开展实验室布病样品检测中保证人员未被感染1人的直接经历的总结提炼，具有很强的实践性。</w:t>
      </w:r>
    </w:p>
    <w:p w14:paraId="7BC4E79B">
      <w:pPr>
        <w:ind w:firstLine="640" w:firstLineChars="200"/>
        <w:rPr>
          <w:rFonts w:hint="eastAsia" w:ascii="黑体" w:hAnsi="黑体" w:eastAsia="黑体" w:cs="黑体"/>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rPr>
        <w:t>重大意见分歧的处理依据和结果</w:t>
      </w:r>
    </w:p>
    <w:p w14:paraId="32B759B9">
      <w:pPr>
        <w:keepNext w:val="0"/>
        <w:keepLines w:val="0"/>
        <w:widowControl/>
        <w:suppressLineNumbers w:val="0"/>
        <w:ind w:firstLine="640" w:firstLineChars="200"/>
        <w:jc w:val="left"/>
        <w:rPr>
          <w:rFonts w:hint="eastAsia" w:ascii="仿宋_GB2312" w:hAnsi="Calibri" w:eastAsia="仿宋_GB2312" w:cs="Times New Roman"/>
          <w:bCs/>
          <w:sz w:val="32"/>
          <w:szCs w:val="32"/>
          <w:lang w:val="en-US" w:eastAsia="zh-CN"/>
        </w:rPr>
      </w:pPr>
      <w:bookmarkStart w:id="25" w:name="OLE_LINK28"/>
      <w:r>
        <w:rPr>
          <w:rFonts w:hint="eastAsia" w:ascii="仿宋_GB2312" w:hAnsi="Calibri" w:eastAsia="仿宋_GB2312" w:cs="Times New Roman"/>
          <w:bCs/>
          <w:sz w:val="32"/>
          <w:szCs w:val="32"/>
          <w:lang w:val="en-US" w:eastAsia="zh-CN"/>
        </w:rPr>
        <w:t>本标准在编制过程中通过函询征求了中国农科院兰州兽研所、省动物疫病预防控制中心、省动植物检疫站、青海大学、青海畜牧兽医科学院、1家规模化化羊场6位专家的意见，将相似意见建议进行合并，共征集到意见建议25条（见附件1）。2024年8月27日由青海省农业农村厅组织召开了预审会，会议邀请5位专家对标准文本进行了审查，与会专家提出意见建议12条（见附件2）。标准起草小组围绕 37 条意见建议对标准文本进行了修改完善，采纳相关意见 31 条，部分采纳 1 条、不采纳 5条，并对部分采纳、不采纳的意见给出了不采纳的理由。标准预审查期间没有出现重大意见分歧。</w:t>
      </w:r>
      <w:bookmarkEnd w:id="25"/>
    </w:p>
    <w:p w14:paraId="199F078D">
      <w:pPr>
        <w:keepNext w:val="0"/>
        <w:keepLines w:val="0"/>
        <w:widowControl/>
        <w:suppressLineNumbers w:val="0"/>
        <w:ind w:firstLine="640" w:firstLineChars="200"/>
        <w:jc w:val="left"/>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七、</w:t>
      </w:r>
      <w:r>
        <w:rPr>
          <w:rFonts w:hint="eastAsia" w:ascii="黑体" w:hAnsi="黑体" w:eastAsia="黑体" w:cs="黑体"/>
          <w:sz w:val="32"/>
          <w:szCs w:val="32"/>
        </w:rPr>
        <w:t>贯彻实施标准的要求、措施等建议</w:t>
      </w:r>
    </w:p>
    <w:p w14:paraId="7A668391">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标准发布后，应当在省兽医局和省动物疫病预防控制中心牵头指导下，由各地动物疫病预防控制机构具体负责宣传贯彻和实施，通过以点带面，由规模化羊场逐步向养殖小区、养殖大户、养殖专业合作社、养殖户深入推进布病净化工作，通过长期坚持净化实现从养殖场户到村到乡镇到县市到省的逐级净化的目标，切实保障人畜健康和公共卫生安全。</w:t>
      </w:r>
    </w:p>
    <w:p w14:paraId="1FF0C91D">
      <w:pPr>
        <w:ind w:firstLine="640" w:firstLineChars="200"/>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八、</w:t>
      </w:r>
      <w:r>
        <w:rPr>
          <w:rFonts w:hint="eastAsia" w:ascii="黑体" w:hAnsi="黑体" w:eastAsia="黑体" w:cs="黑体"/>
          <w:sz w:val="32"/>
          <w:szCs w:val="32"/>
        </w:rPr>
        <w:t>预期的经济、社会效益</w:t>
      </w:r>
    </w:p>
    <w:p w14:paraId="0D58D2AA">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布病是目前危害较大的人畜共患病，做好布病的防治和净化工作，不但可保障我省养羊业的健康发展，避免布病疫情处置给养殖场户造成的直接经济损失；还减少布病对繁殖羊生产性能的影响，通过提高羊的繁殖性能和生产性能，保障规模化羊场多产羊、产好羊、长得好，为提高养殖效益和增加农民就业增收以及满足</w:t>
      </w:r>
      <w:bookmarkStart w:id="26" w:name="OLE_LINK5"/>
      <w:r>
        <w:rPr>
          <w:rFonts w:hint="eastAsia" w:ascii="仿宋_GB2312" w:hAnsi="仿宋_GB2312" w:eastAsia="仿宋_GB2312" w:cs="仿宋_GB2312"/>
          <w:sz w:val="32"/>
          <w:szCs w:val="32"/>
          <w:lang w:val="en-US" w:eastAsia="zh-CN"/>
        </w:rPr>
        <w:t>消费</w:t>
      </w:r>
      <w:bookmarkEnd w:id="26"/>
      <w:r>
        <w:rPr>
          <w:rFonts w:hint="eastAsia" w:ascii="仿宋_GB2312" w:hAnsi="仿宋_GB2312" w:eastAsia="仿宋_GB2312" w:cs="仿宋_GB2312"/>
          <w:sz w:val="32"/>
          <w:szCs w:val="32"/>
          <w:lang w:val="en-US" w:eastAsia="zh-CN"/>
        </w:rPr>
        <w:t>市场等提供保障。而且，可以保障畜产品质量安全、人民身体健康和公共卫生安全，减少因患布病给人民群众造成就医治病的直接支出和间接损失，从而产生较大的经济、社会效益。</w:t>
      </w:r>
    </w:p>
    <w:p w14:paraId="7480FA6E">
      <w:pPr>
        <w:numPr>
          <w:ilvl w:val="0"/>
          <w:numId w:val="0"/>
        </w:numPr>
        <w:ind w:firstLine="640" w:firstLineChars="200"/>
        <w:rPr>
          <w:rFonts w:hint="default" w:ascii="仿宋_GB2312" w:hAnsi="Calibri" w:eastAsia="仿宋_GB2312" w:cs="Times New Roman"/>
          <w:bCs/>
          <w:sz w:val="32"/>
          <w:szCs w:val="32"/>
          <w:lang w:val="en-US" w:eastAsia="zh-CN"/>
        </w:rPr>
      </w:pPr>
      <w:r>
        <w:rPr>
          <w:rFonts w:hint="eastAsia" w:ascii="仿宋_GB2312" w:hAnsi="Calibri" w:eastAsia="仿宋_GB2312" w:cs="Times New Roman"/>
          <w:bCs/>
          <w:sz w:val="32"/>
          <w:szCs w:val="32"/>
          <w:lang w:val="en-US" w:eastAsia="zh-CN"/>
        </w:rPr>
        <w:t>《规模化羊场布鲁氏菌病净化技术规范》标准起草小组</w:t>
      </w:r>
    </w:p>
    <w:p w14:paraId="4C4D01F0">
      <w:pPr>
        <w:keepNext w:val="0"/>
        <w:keepLines w:val="0"/>
        <w:widowControl/>
        <w:suppressLineNumbers w:val="0"/>
        <w:ind w:firstLine="3200" w:firstLineChars="1000"/>
        <w:jc w:val="left"/>
      </w:pPr>
      <w:r>
        <w:rPr>
          <w:rFonts w:hint="eastAsia" w:ascii="仿宋_GB2312" w:hAnsi="Calibri" w:eastAsia="仿宋_GB2312" w:cs="Times New Roman"/>
          <w:bCs/>
          <w:sz w:val="32"/>
          <w:szCs w:val="32"/>
          <w:lang w:val="en-US" w:eastAsia="zh-CN"/>
        </w:rPr>
        <w:t>2024年8月28日</w:t>
      </w:r>
    </w:p>
    <w:p w14:paraId="7BE9551B">
      <w:pPr>
        <w:sectPr>
          <w:pgSz w:w="11906" w:h="16838"/>
          <w:pgMar w:top="1440" w:right="1800" w:bottom="1440" w:left="1800" w:header="851" w:footer="992" w:gutter="0"/>
          <w:cols w:space="425" w:num="1"/>
          <w:docGrid w:type="lines" w:linePitch="312" w:charSpace="0"/>
        </w:sectPr>
      </w:pPr>
    </w:p>
    <w:p w14:paraId="6A586651">
      <w:pPr>
        <w:ind w:firstLine="640" w:firstLineChars="200"/>
        <w:rPr>
          <w:rFonts w:hint="default" w:ascii="仿宋_GB2312" w:hAnsi="仿宋_GB2312" w:eastAsia="仿宋_GB2312" w:cs="仿宋_GB2312"/>
          <w:sz w:val="32"/>
          <w:szCs w:val="32"/>
          <w:lang w:val="en-US" w:eastAsia="zh-CN"/>
        </w:rPr>
      </w:pPr>
      <w:bookmarkStart w:id="27" w:name="OLE_LINK32"/>
      <w:r>
        <w:rPr>
          <w:rFonts w:hint="eastAsia" w:ascii="仿宋_GB2312" w:hAnsi="仿宋_GB2312" w:eastAsia="仿宋_GB2312" w:cs="仿宋_GB2312"/>
          <w:sz w:val="32"/>
          <w:szCs w:val="32"/>
          <w:lang w:val="en-US" w:eastAsia="zh-CN"/>
        </w:rPr>
        <w:t>附件1</w:t>
      </w:r>
    </w:p>
    <w:bookmarkEnd w:id="27"/>
    <w:p w14:paraId="1285B84E">
      <w:pPr>
        <w:snapToGrid w:val="0"/>
        <w:spacing w:line="400" w:lineRule="atLeast"/>
        <w:jc w:val="center"/>
        <w:rPr>
          <w:rFonts w:hint="eastAsia" w:ascii="方正小标宋简体" w:hAnsi="宋体" w:eastAsia="方正小标宋简体"/>
          <w:kern w:val="0"/>
          <w:sz w:val="36"/>
          <w:szCs w:val="36"/>
        </w:rPr>
      </w:pPr>
      <w:r>
        <w:rPr>
          <w:rFonts w:hint="eastAsia" w:ascii="方正小标宋简体" w:eastAsia="方正小标宋简体"/>
          <w:sz w:val="36"/>
          <w:szCs w:val="36"/>
        </w:rPr>
        <w:t>地方标准征求意见汇总处理表</w:t>
      </w:r>
    </w:p>
    <w:p w14:paraId="7118B434">
      <w:pPr>
        <w:snapToGrid w:val="0"/>
        <w:spacing w:line="400" w:lineRule="atLeast"/>
        <w:rPr>
          <w:rFonts w:hint="eastAsia" w:ascii="宋体" w:hAnsi="宋体"/>
          <w:kern w:val="0"/>
          <w:sz w:val="18"/>
          <w:szCs w:val="18"/>
        </w:rPr>
      </w:pPr>
    </w:p>
    <w:p w14:paraId="04DDF7CD">
      <w:pPr>
        <w:snapToGrid w:val="0"/>
        <w:spacing w:line="400" w:lineRule="atLeast"/>
        <w:rPr>
          <w:rFonts w:hint="default" w:ascii="宋体" w:hAnsi="宋体" w:eastAsia="宋体"/>
          <w:kern w:val="0"/>
          <w:szCs w:val="21"/>
          <w:lang w:val="en-US" w:eastAsia="zh-CN"/>
        </w:rPr>
      </w:pPr>
      <w:r>
        <w:rPr>
          <w:rFonts w:hint="eastAsia" w:ascii="宋体" w:hAnsi="宋体"/>
          <w:kern w:val="0"/>
          <w:szCs w:val="21"/>
        </w:rPr>
        <w:t>标准名称：</w:t>
      </w:r>
      <w:r>
        <w:rPr>
          <w:rFonts w:hint="eastAsia" w:ascii="宋体" w:hAnsi="宋体"/>
          <w:kern w:val="0"/>
          <w:szCs w:val="21"/>
          <w:lang w:val="en-US" w:eastAsia="zh-CN"/>
        </w:rPr>
        <w:t>规模化羊场布鲁氏菌病净化技术规范</w:t>
      </w:r>
      <w:r>
        <w:rPr>
          <w:rFonts w:hint="eastAsia" w:ascii="宋体" w:hAnsi="宋体"/>
          <w:kern w:val="0"/>
          <w:szCs w:val="21"/>
        </w:rPr>
        <w:t xml:space="preserve">          　　　　　　　　        </w:t>
      </w:r>
      <w:r>
        <w:rPr>
          <w:rFonts w:hint="eastAsia" w:ascii="宋体" w:hAnsi="宋体"/>
          <w:kern w:val="0"/>
          <w:szCs w:val="21"/>
          <w:lang w:val="en-US" w:eastAsia="zh-CN"/>
        </w:rPr>
        <w:t xml:space="preserve">   </w:t>
      </w:r>
      <w:r>
        <w:rPr>
          <w:rFonts w:hint="eastAsia" w:ascii="宋体" w:hAnsi="宋体"/>
          <w:kern w:val="0"/>
          <w:szCs w:val="21"/>
        </w:rPr>
        <w:t>承办人：</w:t>
      </w:r>
      <w:r>
        <w:rPr>
          <w:rFonts w:hint="eastAsia" w:ascii="宋体" w:hAnsi="宋体"/>
          <w:kern w:val="0"/>
          <w:szCs w:val="21"/>
          <w:lang w:val="en-US" w:eastAsia="zh-CN"/>
        </w:rPr>
        <w:t>张成图</w:t>
      </w:r>
      <w:r>
        <w:rPr>
          <w:rFonts w:hint="eastAsia" w:ascii="宋体" w:hAnsi="宋体"/>
          <w:kern w:val="0"/>
          <w:szCs w:val="21"/>
        </w:rPr>
        <w:t xml:space="preserve">       联系电话：</w:t>
      </w:r>
      <w:r>
        <w:rPr>
          <w:rFonts w:hint="eastAsia" w:ascii="宋体" w:hAnsi="宋体"/>
          <w:kern w:val="0"/>
          <w:szCs w:val="21"/>
          <w:lang w:val="en-US" w:eastAsia="zh-CN"/>
        </w:rPr>
        <w:t>13639719910</w:t>
      </w:r>
    </w:p>
    <w:p w14:paraId="5D683E22">
      <w:pPr>
        <w:pStyle w:val="8"/>
        <w:ind w:right="-716" w:rightChars="-341" w:firstLine="0" w:firstLineChars="0"/>
        <w:rPr>
          <w:rFonts w:hint="eastAsia" w:hAnsi="宋体"/>
          <w:szCs w:val="21"/>
        </w:rPr>
      </w:pPr>
      <w:r>
        <w:rPr>
          <w:rFonts w:hint="eastAsia" w:hAnsi="宋体"/>
          <w:szCs w:val="21"/>
        </w:rPr>
        <w:t>起草单位：</w:t>
      </w:r>
      <w:r>
        <w:rPr>
          <w:rFonts w:hint="eastAsia" w:hAnsi="宋体"/>
          <w:szCs w:val="21"/>
          <w:lang w:val="en-US" w:eastAsia="zh-CN"/>
        </w:rPr>
        <w:t>西宁市动物疫病预防控制中心</w:t>
      </w:r>
      <w:r>
        <w:rPr>
          <w:rFonts w:hint="eastAsia" w:hAnsi="宋体"/>
          <w:szCs w:val="21"/>
        </w:rPr>
        <w:t xml:space="preserve">                   </w:t>
      </w:r>
      <w:r>
        <w:rPr>
          <w:rFonts w:hAnsi="宋体"/>
          <w:szCs w:val="21"/>
        </w:rPr>
        <w:t xml:space="preserve">          </w:t>
      </w:r>
      <w:r>
        <w:rPr>
          <w:rFonts w:hint="eastAsia" w:hAnsi="宋体"/>
          <w:szCs w:val="21"/>
        </w:rPr>
        <w:t xml:space="preserve">              填写日期：</w:t>
      </w:r>
      <w:r>
        <w:rPr>
          <w:rFonts w:hint="eastAsia" w:hAnsi="宋体"/>
          <w:szCs w:val="21"/>
          <w:lang w:val="en-US" w:eastAsia="zh-CN"/>
        </w:rPr>
        <w:t>2024</w:t>
      </w:r>
      <w:r>
        <w:rPr>
          <w:rFonts w:hint="eastAsia" w:hAnsi="宋体"/>
          <w:szCs w:val="21"/>
        </w:rPr>
        <w:t>年</w:t>
      </w:r>
      <w:r>
        <w:rPr>
          <w:rFonts w:hint="eastAsia" w:hAnsi="宋体"/>
          <w:szCs w:val="21"/>
          <w:lang w:val="en-US" w:eastAsia="zh-CN"/>
        </w:rPr>
        <w:t>08</w:t>
      </w:r>
      <w:r>
        <w:rPr>
          <w:rFonts w:hint="eastAsia" w:hAnsi="宋体"/>
          <w:szCs w:val="21"/>
        </w:rPr>
        <w:t>月</w:t>
      </w:r>
      <w:r>
        <w:rPr>
          <w:rFonts w:hint="eastAsia" w:hAnsi="宋体"/>
          <w:szCs w:val="21"/>
          <w:lang w:val="en-US" w:eastAsia="zh-CN"/>
        </w:rPr>
        <w:t>15</w:t>
      </w:r>
      <w:r>
        <w:rPr>
          <w:rFonts w:hint="eastAsia" w:hAnsi="宋体"/>
          <w:szCs w:val="21"/>
        </w:rPr>
        <w:t>日        共</w:t>
      </w:r>
      <w:r>
        <w:rPr>
          <w:rFonts w:hint="eastAsia" w:hAnsi="宋体"/>
          <w:szCs w:val="21"/>
          <w:lang w:val="en-US" w:eastAsia="zh-CN"/>
        </w:rPr>
        <w:t>4</w:t>
      </w:r>
      <w:r>
        <w:rPr>
          <w:rFonts w:hint="eastAsia" w:hAnsi="宋体"/>
          <w:szCs w:val="21"/>
        </w:rPr>
        <w:t>页</w:t>
      </w:r>
    </w:p>
    <w:tbl>
      <w:tblPr>
        <w:tblStyle w:val="4"/>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941"/>
        <w:gridCol w:w="2526"/>
        <w:gridCol w:w="6195"/>
        <w:gridCol w:w="2311"/>
        <w:gridCol w:w="2201"/>
      </w:tblGrid>
      <w:tr w14:paraId="07CC2A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73" w:hRule="atLeast"/>
        </w:trPr>
        <w:tc>
          <w:tcPr>
            <w:tcW w:w="332" w:type="pct"/>
            <w:tcBorders>
              <w:top w:val="single" w:color="auto" w:sz="8" w:space="0"/>
              <w:bottom w:val="single" w:color="auto" w:sz="8" w:space="0"/>
            </w:tcBorders>
            <w:shd w:val="clear" w:color="auto" w:fill="auto"/>
            <w:noWrap w:val="0"/>
            <w:vAlign w:val="center"/>
          </w:tcPr>
          <w:p w14:paraId="6C26523D">
            <w:pPr>
              <w:jc w:val="center"/>
              <w:rPr>
                <w:rFonts w:hint="eastAsia" w:ascii="宋体"/>
                <w:szCs w:val="21"/>
              </w:rPr>
            </w:pPr>
            <w:r>
              <w:rPr>
                <w:rFonts w:hint="eastAsia" w:ascii="宋体"/>
                <w:szCs w:val="21"/>
              </w:rPr>
              <w:t>序号</w:t>
            </w:r>
          </w:p>
        </w:tc>
        <w:tc>
          <w:tcPr>
            <w:tcW w:w="891" w:type="pct"/>
            <w:tcBorders>
              <w:top w:val="single" w:color="auto" w:sz="8" w:space="0"/>
              <w:bottom w:val="single" w:color="auto" w:sz="8" w:space="0"/>
            </w:tcBorders>
            <w:shd w:val="clear" w:color="auto" w:fill="auto"/>
            <w:noWrap w:val="0"/>
            <w:vAlign w:val="center"/>
          </w:tcPr>
          <w:p w14:paraId="63D37A1F">
            <w:pPr>
              <w:jc w:val="center"/>
              <w:rPr>
                <w:rFonts w:hint="eastAsia" w:ascii="宋体"/>
                <w:szCs w:val="21"/>
              </w:rPr>
            </w:pPr>
            <w:r>
              <w:rPr>
                <w:rFonts w:hint="eastAsia" w:ascii="宋体"/>
                <w:szCs w:val="21"/>
              </w:rPr>
              <w:t>标准的章、条编号</w:t>
            </w:r>
          </w:p>
        </w:tc>
        <w:tc>
          <w:tcPr>
            <w:tcW w:w="2185" w:type="pct"/>
            <w:tcBorders>
              <w:top w:val="single" w:color="auto" w:sz="8" w:space="0"/>
              <w:bottom w:val="single" w:color="auto" w:sz="8" w:space="0"/>
            </w:tcBorders>
            <w:shd w:val="clear" w:color="auto" w:fill="auto"/>
            <w:noWrap w:val="0"/>
            <w:vAlign w:val="center"/>
          </w:tcPr>
          <w:p w14:paraId="5781E794">
            <w:pPr>
              <w:jc w:val="center"/>
              <w:rPr>
                <w:rFonts w:hint="eastAsia" w:ascii="宋体"/>
                <w:szCs w:val="21"/>
              </w:rPr>
            </w:pPr>
            <w:r>
              <w:rPr>
                <w:rFonts w:hint="eastAsia" w:ascii="宋体"/>
                <w:szCs w:val="21"/>
              </w:rPr>
              <w:t>意见内容</w:t>
            </w:r>
          </w:p>
        </w:tc>
        <w:tc>
          <w:tcPr>
            <w:tcW w:w="815" w:type="pct"/>
            <w:tcBorders>
              <w:top w:val="single" w:color="auto" w:sz="8" w:space="0"/>
              <w:bottom w:val="single" w:color="auto" w:sz="8" w:space="0"/>
            </w:tcBorders>
            <w:shd w:val="clear" w:color="auto" w:fill="auto"/>
            <w:noWrap w:val="0"/>
            <w:vAlign w:val="center"/>
          </w:tcPr>
          <w:p w14:paraId="52093778">
            <w:pPr>
              <w:jc w:val="center"/>
              <w:rPr>
                <w:rFonts w:hint="eastAsia" w:ascii="宋体"/>
                <w:szCs w:val="21"/>
              </w:rPr>
            </w:pPr>
            <w:r>
              <w:rPr>
                <w:rFonts w:hint="eastAsia" w:ascii="宋体"/>
                <w:szCs w:val="21"/>
              </w:rPr>
              <w:t>提出单位（人员）</w:t>
            </w:r>
          </w:p>
        </w:tc>
        <w:tc>
          <w:tcPr>
            <w:tcW w:w="776" w:type="pct"/>
            <w:tcBorders>
              <w:top w:val="single" w:color="auto" w:sz="8" w:space="0"/>
              <w:bottom w:val="single" w:color="auto" w:sz="8" w:space="0"/>
            </w:tcBorders>
            <w:shd w:val="clear" w:color="auto" w:fill="auto"/>
            <w:noWrap w:val="0"/>
            <w:vAlign w:val="center"/>
          </w:tcPr>
          <w:p w14:paraId="20ADD455">
            <w:pPr>
              <w:jc w:val="center"/>
              <w:rPr>
                <w:rFonts w:hint="eastAsia" w:ascii="宋体"/>
                <w:szCs w:val="21"/>
              </w:rPr>
            </w:pPr>
            <w:r>
              <w:rPr>
                <w:rFonts w:hint="eastAsia" w:ascii="宋体"/>
                <w:szCs w:val="21"/>
              </w:rPr>
              <w:t>处理意见及理由</w:t>
            </w:r>
          </w:p>
        </w:tc>
      </w:tr>
      <w:tr w14:paraId="7FA9AD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941" w:type="dxa"/>
            <w:tcBorders>
              <w:top w:val="single" w:color="auto" w:sz="8" w:space="0"/>
            </w:tcBorders>
            <w:shd w:val="clear" w:color="auto" w:fill="auto"/>
            <w:noWrap w:val="0"/>
            <w:vAlign w:val="center"/>
          </w:tcPr>
          <w:p w14:paraId="6317A119">
            <w:pPr>
              <w:adjustRightInd w:val="0"/>
              <w:snapToGrid w:val="0"/>
              <w:spacing w:after="0" w:line="240" w:lineRule="auto"/>
              <w:jc w:val="center"/>
              <w:rPr>
                <w:rFonts w:hint="eastAsia" w:ascii="宋体"/>
                <w:sz w:val="18"/>
              </w:rPr>
            </w:pPr>
            <w:r>
              <w:rPr>
                <w:rFonts w:hint="eastAsia" w:ascii="宋体" w:hAnsi="宋体" w:cs="仿宋_GB2312"/>
                <w:spacing w:val="-2"/>
                <w:kern w:val="0"/>
                <w:szCs w:val="21"/>
                <w:lang w:val="en-US" w:eastAsia="zh-CN"/>
              </w:rPr>
              <w:t>1</w:t>
            </w:r>
          </w:p>
        </w:tc>
        <w:tc>
          <w:tcPr>
            <w:tcW w:w="2526" w:type="dxa"/>
            <w:tcBorders>
              <w:top w:val="single" w:color="auto" w:sz="8" w:space="0"/>
            </w:tcBorders>
            <w:shd w:val="clear" w:color="auto" w:fill="auto"/>
            <w:noWrap w:val="0"/>
            <w:vAlign w:val="center"/>
          </w:tcPr>
          <w:p w14:paraId="10FE388C">
            <w:pPr>
              <w:keepNext w:val="0"/>
              <w:keepLines w:val="0"/>
              <w:pageBreakBefore w:val="0"/>
              <w:kinsoku/>
              <w:wordWrap/>
              <w:overflowPunct/>
              <w:topLinePunct w:val="0"/>
              <w:bidi w:val="0"/>
              <w:adjustRightInd w:val="0"/>
              <w:snapToGrid w:val="0"/>
              <w:spacing w:after="0" w:line="300" w:lineRule="exact"/>
              <w:jc w:val="center"/>
              <w:textAlignment w:val="auto"/>
              <w:rPr>
                <w:rFonts w:hint="eastAsia" w:ascii="宋体"/>
                <w:sz w:val="18"/>
              </w:rPr>
            </w:pPr>
            <w:r>
              <w:rPr>
                <w:rFonts w:hint="eastAsia" w:ascii="宋体" w:hAnsi="宋体" w:cs="仿宋_GB2312"/>
                <w:spacing w:val="-2"/>
                <w:kern w:val="0"/>
                <w:szCs w:val="21"/>
                <w:lang w:val="en-US" w:eastAsia="zh-CN"/>
              </w:rPr>
              <w:t>题目</w:t>
            </w:r>
          </w:p>
        </w:tc>
        <w:tc>
          <w:tcPr>
            <w:tcW w:w="6195" w:type="dxa"/>
            <w:tcBorders>
              <w:top w:val="single" w:color="auto" w:sz="8" w:space="0"/>
            </w:tcBorders>
            <w:shd w:val="clear" w:color="auto" w:fill="auto"/>
            <w:noWrap w:val="0"/>
            <w:vAlign w:val="center"/>
          </w:tcPr>
          <w:p w14:paraId="33E3B50E">
            <w:pPr>
              <w:jc w:val="left"/>
              <w:rPr>
                <w:rFonts w:hint="eastAsia" w:ascii="宋体"/>
                <w:sz w:val="18"/>
              </w:rPr>
            </w:pPr>
            <w:r>
              <w:rPr>
                <w:rFonts w:hint="eastAsia"/>
              </w:rPr>
              <w:t>能否将“农区</w:t>
            </w:r>
            <w:r>
              <w:rPr>
                <w:rFonts w:hint="eastAsia"/>
                <w:lang w:eastAsia="zh-CN"/>
              </w:rPr>
              <w:t>规模化</w:t>
            </w:r>
            <w:r>
              <w:rPr>
                <w:rFonts w:hint="eastAsia"/>
              </w:rPr>
              <w:t>化羊场”修改为“农区农户养羊</w:t>
            </w:r>
            <w:r>
              <w:rPr>
                <w:rFonts w:hint="eastAsia"/>
                <w:lang w:eastAsia="zh-CN"/>
              </w:rPr>
              <w:t>。</w:t>
            </w:r>
          </w:p>
        </w:tc>
        <w:tc>
          <w:tcPr>
            <w:tcW w:w="2311" w:type="dxa"/>
            <w:tcBorders>
              <w:top w:val="single" w:color="auto" w:sz="8" w:space="0"/>
            </w:tcBorders>
            <w:shd w:val="clear" w:color="auto" w:fill="auto"/>
            <w:noWrap w:val="0"/>
            <w:vAlign w:val="center"/>
          </w:tcPr>
          <w:p w14:paraId="441D3F2F">
            <w:pPr>
              <w:jc w:val="left"/>
              <w:rPr>
                <w:rFonts w:hint="eastAsia" w:ascii="宋体"/>
                <w:sz w:val="18"/>
              </w:rPr>
            </w:pPr>
            <w:r>
              <w:rPr>
                <w:rFonts w:hint="eastAsia" w:ascii="宋体" w:hAnsi="宋体" w:eastAsia="宋体" w:cs="仿宋_GB2312"/>
                <w:spacing w:val="-2"/>
                <w:kern w:val="0"/>
                <w:sz w:val="21"/>
                <w:szCs w:val="21"/>
                <w:lang w:val="en-US" w:eastAsia="zh-CN" w:bidi="ar-SA"/>
              </w:rPr>
              <w:t>中国农科院兰州兽医研究所（周继章）</w:t>
            </w:r>
          </w:p>
        </w:tc>
        <w:tc>
          <w:tcPr>
            <w:tcW w:w="2201" w:type="dxa"/>
            <w:tcBorders>
              <w:top w:val="single" w:color="auto" w:sz="8" w:space="0"/>
            </w:tcBorders>
            <w:shd w:val="clear" w:color="auto" w:fill="auto"/>
            <w:noWrap w:val="0"/>
            <w:vAlign w:val="center"/>
          </w:tcPr>
          <w:p w14:paraId="3F996F01">
            <w:pPr>
              <w:jc w:val="left"/>
              <w:rPr>
                <w:rFonts w:hint="eastAsia" w:ascii="宋体"/>
                <w:sz w:val="18"/>
              </w:rPr>
            </w:pPr>
            <w:r>
              <w:rPr>
                <w:rFonts w:hint="eastAsia" w:ascii="宋体" w:hAnsi="宋体" w:eastAsia="宋体" w:cs="仿宋_GB2312"/>
                <w:color w:val="auto"/>
                <w:spacing w:val="-2"/>
                <w:kern w:val="0"/>
                <w:sz w:val="21"/>
                <w:szCs w:val="21"/>
                <w:lang w:val="en-US" w:eastAsia="zh-CN" w:bidi="ar-SA"/>
              </w:rPr>
              <w:t>不采纳。此规范是在开展规模化化羊场布病净化过程中提炼总结的，与广大养殖户的净化技术路线和措施要求有很大不同。</w:t>
            </w:r>
          </w:p>
        </w:tc>
      </w:tr>
      <w:tr w14:paraId="5745A6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941" w:type="dxa"/>
            <w:shd w:val="clear" w:color="auto" w:fill="auto"/>
            <w:noWrap w:val="0"/>
            <w:vAlign w:val="center"/>
          </w:tcPr>
          <w:p w14:paraId="47D22C2A">
            <w:pPr>
              <w:adjustRightInd w:val="0"/>
              <w:snapToGrid w:val="0"/>
              <w:spacing w:after="0" w:line="240" w:lineRule="auto"/>
              <w:jc w:val="center"/>
              <w:rPr>
                <w:rFonts w:hint="eastAsia" w:ascii="宋体"/>
                <w:sz w:val="18"/>
              </w:rPr>
            </w:pPr>
            <w:r>
              <w:rPr>
                <w:rFonts w:hint="eastAsia" w:ascii="宋体" w:hAnsi="宋体" w:cs="仿宋_GB2312"/>
                <w:spacing w:val="-2"/>
                <w:kern w:val="0"/>
                <w:szCs w:val="21"/>
                <w:lang w:val="en-US" w:eastAsia="zh-CN"/>
              </w:rPr>
              <w:t>2</w:t>
            </w:r>
          </w:p>
        </w:tc>
        <w:tc>
          <w:tcPr>
            <w:tcW w:w="2526" w:type="dxa"/>
            <w:shd w:val="clear" w:color="auto" w:fill="auto"/>
            <w:noWrap w:val="0"/>
            <w:vAlign w:val="center"/>
          </w:tcPr>
          <w:p w14:paraId="2EC84733">
            <w:pPr>
              <w:keepNext w:val="0"/>
              <w:keepLines w:val="0"/>
              <w:pageBreakBefore w:val="0"/>
              <w:kinsoku/>
              <w:wordWrap/>
              <w:overflowPunct/>
              <w:topLinePunct w:val="0"/>
              <w:bidi w:val="0"/>
              <w:adjustRightInd w:val="0"/>
              <w:snapToGrid w:val="0"/>
              <w:spacing w:after="0" w:line="300" w:lineRule="exact"/>
              <w:jc w:val="center"/>
              <w:textAlignment w:val="auto"/>
              <w:rPr>
                <w:rFonts w:hint="eastAsia" w:ascii="宋体"/>
                <w:sz w:val="18"/>
              </w:rPr>
            </w:pPr>
            <w:r>
              <w:rPr>
                <w:rFonts w:hint="eastAsia" w:ascii="宋体" w:hAnsi="宋体" w:cs="仿宋_GB2312"/>
                <w:spacing w:val="-2"/>
                <w:kern w:val="0"/>
                <w:szCs w:val="21"/>
                <w:lang w:val="en-US" w:eastAsia="zh-CN"/>
              </w:rPr>
              <w:t>7.2.2</w:t>
            </w:r>
          </w:p>
        </w:tc>
        <w:tc>
          <w:tcPr>
            <w:tcW w:w="6195" w:type="dxa"/>
            <w:shd w:val="clear" w:color="auto" w:fill="auto"/>
            <w:noWrap w:val="0"/>
            <w:vAlign w:val="center"/>
          </w:tcPr>
          <w:p w14:paraId="16023979">
            <w:pPr>
              <w:jc w:val="left"/>
              <w:rPr>
                <w:rFonts w:hint="eastAsia" w:ascii="宋体"/>
                <w:sz w:val="18"/>
              </w:rPr>
            </w:pPr>
            <w:r>
              <w:rPr>
                <w:rFonts w:hint="eastAsia"/>
              </w:rPr>
              <w:t>紫外线消毒如果使用不当，会产生光复合作用。一般情况下晚上开紫外灯30分钟，</w:t>
            </w:r>
            <w:r>
              <w:rPr>
                <w:rFonts w:hint="eastAsia"/>
                <w:lang w:val="en-US" w:eastAsia="zh-CN"/>
              </w:rPr>
              <w:t>然</w:t>
            </w:r>
            <w:r>
              <w:rPr>
                <w:rFonts w:hint="eastAsia"/>
              </w:rPr>
              <w:t>后关闭紫外灯，直到第二天早晨。</w:t>
            </w:r>
          </w:p>
        </w:tc>
        <w:tc>
          <w:tcPr>
            <w:tcW w:w="2311" w:type="dxa"/>
            <w:shd w:val="clear" w:color="auto" w:fill="auto"/>
            <w:noWrap w:val="0"/>
            <w:vAlign w:val="center"/>
          </w:tcPr>
          <w:p w14:paraId="415000EC">
            <w:pPr>
              <w:jc w:val="left"/>
              <w:rPr>
                <w:rFonts w:hint="eastAsia" w:ascii="宋体"/>
                <w:sz w:val="18"/>
              </w:rPr>
            </w:pPr>
            <w:r>
              <w:rPr>
                <w:rFonts w:hint="eastAsia" w:ascii="宋体" w:hAnsi="宋体" w:eastAsia="宋体" w:cs="仿宋_GB2312"/>
                <w:spacing w:val="-2"/>
                <w:kern w:val="0"/>
                <w:sz w:val="21"/>
                <w:szCs w:val="21"/>
                <w:lang w:val="en-US" w:eastAsia="zh-CN" w:bidi="ar-SA"/>
              </w:rPr>
              <w:t>中国农科院兰州兽医研究所（周继章）</w:t>
            </w:r>
          </w:p>
        </w:tc>
        <w:tc>
          <w:tcPr>
            <w:tcW w:w="2201" w:type="dxa"/>
            <w:shd w:val="clear" w:color="auto" w:fill="auto"/>
            <w:noWrap w:val="0"/>
            <w:vAlign w:val="center"/>
          </w:tcPr>
          <w:p w14:paraId="03AFFFBB">
            <w:pPr>
              <w:jc w:val="left"/>
              <w:rPr>
                <w:rFonts w:hint="eastAsia" w:ascii="宋体"/>
                <w:sz w:val="18"/>
              </w:rPr>
            </w:pPr>
            <w:r>
              <w:rPr>
                <w:rFonts w:hint="eastAsia" w:ascii="宋体" w:hAnsi="宋体" w:eastAsia="宋体" w:cs="仿宋_GB2312"/>
                <w:color w:val="auto"/>
                <w:spacing w:val="-2"/>
                <w:kern w:val="0"/>
                <w:sz w:val="21"/>
                <w:szCs w:val="21"/>
                <w:lang w:val="en-US" w:eastAsia="zh-CN" w:bidi="ar-SA"/>
              </w:rPr>
              <w:t>采纳。</w:t>
            </w:r>
          </w:p>
        </w:tc>
      </w:tr>
      <w:tr w14:paraId="102B12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941" w:type="dxa"/>
            <w:shd w:val="clear" w:color="auto" w:fill="auto"/>
            <w:noWrap w:val="0"/>
            <w:vAlign w:val="center"/>
          </w:tcPr>
          <w:p w14:paraId="105A2BC4">
            <w:pPr>
              <w:adjustRightInd w:val="0"/>
              <w:snapToGrid w:val="0"/>
              <w:spacing w:after="0" w:line="240" w:lineRule="auto"/>
              <w:jc w:val="center"/>
              <w:rPr>
                <w:rFonts w:hint="eastAsia" w:ascii="宋体"/>
                <w:sz w:val="18"/>
              </w:rPr>
            </w:pPr>
            <w:r>
              <w:rPr>
                <w:rFonts w:hint="eastAsia" w:ascii="宋体" w:hAnsi="宋体" w:cs="仿宋_GB2312"/>
                <w:spacing w:val="-2"/>
                <w:kern w:val="0"/>
                <w:szCs w:val="21"/>
                <w:lang w:val="en-US" w:eastAsia="zh-CN"/>
              </w:rPr>
              <w:t>3</w:t>
            </w:r>
          </w:p>
        </w:tc>
        <w:tc>
          <w:tcPr>
            <w:tcW w:w="2526" w:type="dxa"/>
            <w:shd w:val="clear" w:color="auto" w:fill="auto"/>
            <w:noWrap w:val="0"/>
            <w:vAlign w:val="center"/>
          </w:tcPr>
          <w:p w14:paraId="0775285E">
            <w:pPr>
              <w:keepNext w:val="0"/>
              <w:keepLines w:val="0"/>
              <w:pageBreakBefore w:val="0"/>
              <w:kinsoku/>
              <w:wordWrap/>
              <w:overflowPunct/>
              <w:topLinePunct w:val="0"/>
              <w:bidi w:val="0"/>
              <w:adjustRightInd w:val="0"/>
              <w:snapToGrid w:val="0"/>
              <w:spacing w:after="0" w:line="300" w:lineRule="exact"/>
              <w:jc w:val="center"/>
              <w:textAlignment w:val="auto"/>
              <w:rPr>
                <w:rFonts w:hint="eastAsia" w:ascii="宋体"/>
                <w:sz w:val="18"/>
              </w:rPr>
            </w:pPr>
            <w:r>
              <w:rPr>
                <w:rFonts w:hint="eastAsia" w:ascii="宋体" w:hAnsi="宋体" w:cs="仿宋_GB2312"/>
                <w:spacing w:val="-2"/>
                <w:kern w:val="0"/>
                <w:szCs w:val="21"/>
                <w:lang w:val="en-US" w:eastAsia="zh-CN"/>
              </w:rPr>
              <w:t>9.1</w:t>
            </w:r>
          </w:p>
        </w:tc>
        <w:tc>
          <w:tcPr>
            <w:tcW w:w="6195" w:type="dxa"/>
            <w:shd w:val="clear" w:color="auto" w:fill="auto"/>
            <w:noWrap w:val="0"/>
            <w:vAlign w:val="center"/>
          </w:tcPr>
          <w:p w14:paraId="27BCDD83">
            <w:pPr>
              <w:jc w:val="left"/>
              <w:rPr>
                <w:rFonts w:hint="eastAsia" w:ascii="宋体"/>
                <w:sz w:val="18"/>
              </w:rPr>
            </w:pPr>
            <w:r>
              <w:rPr>
                <w:rFonts w:hint="eastAsia"/>
              </w:rPr>
              <w:t>技术规范里没有提及人的消毒，布病是一种人兽共患病，若接触羊，也应提及人的消毒措施。一般情况下人的消毒用75%的酒精或0.1%的新洁而灭，若接触了布病性的流产胎儿、胎衣等，用75%酒精和0.1%的新洁而灭交叉使用从而到达彻底的消毒效果</w:t>
            </w:r>
            <w:r>
              <w:rPr>
                <w:rFonts w:hint="eastAsia"/>
                <w:lang w:eastAsia="zh-CN"/>
              </w:rPr>
              <w:t>。</w:t>
            </w:r>
          </w:p>
        </w:tc>
        <w:tc>
          <w:tcPr>
            <w:tcW w:w="2311" w:type="dxa"/>
            <w:shd w:val="clear" w:color="auto" w:fill="auto"/>
            <w:noWrap w:val="0"/>
            <w:vAlign w:val="center"/>
          </w:tcPr>
          <w:p w14:paraId="0B676EBC">
            <w:pPr>
              <w:jc w:val="left"/>
              <w:rPr>
                <w:rFonts w:hint="eastAsia" w:ascii="宋体"/>
                <w:sz w:val="18"/>
              </w:rPr>
            </w:pPr>
            <w:r>
              <w:rPr>
                <w:rFonts w:hint="eastAsia" w:ascii="宋体" w:hAnsi="宋体" w:eastAsia="宋体" w:cs="仿宋_GB2312"/>
                <w:spacing w:val="-2"/>
                <w:kern w:val="0"/>
                <w:sz w:val="21"/>
                <w:szCs w:val="21"/>
                <w:lang w:val="en-US" w:eastAsia="zh-CN" w:bidi="ar-SA"/>
              </w:rPr>
              <w:t>中国农科院兰州兽医研究所（周继章）</w:t>
            </w:r>
          </w:p>
        </w:tc>
        <w:tc>
          <w:tcPr>
            <w:tcW w:w="2201" w:type="dxa"/>
            <w:shd w:val="clear" w:color="auto" w:fill="auto"/>
            <w:noWrap w:val="0"/>
            <w:vAlign w:val="center"/>
          </w:tcPr>
          <w:p w14:paraId="6A80BF57">
            <w:pPr>
              <w:jc w:val="left"/>
              <w:rPr>
                <w:rFonts w:hint="eastAsia" w:ascii="宋体"/>
                <w:sz w:val="18"/>
              </w:rPr>
            </w:pPr>
            <w:r>
              <w:rPr>
                <w:rFonts w:hint="eastAsia" w:ascii="宋体" w:hAnsi="宋体" w:eastAsia="宋体" w:cs="仿宋_GB2312"/>
                <w:color w:val="auto"/>
                <w:spacing w:val="-2"/>
                <w:kern w:val="0"/>
                <w:sz w:val="21"/>
                <w:szCs w:val="21"/>
                <w:lang w:val="en-US" w:eastAsia="zh-CN" w:bidi="ar-SA"/>
              </w:rPr>
              <w:t>采纳。</w:t>
            </w:r>
          </w:p>
        </w:tc>
      </w:tr>
      <w:tr w14:paraId="03B4A6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941" w:type="dxa"/>
            <w:shd w:val="clear" w:color="auto" w:fill="auto"/>
            <w:noWrap w:val="0"/>
            <w:vAlign w:val="center"/>
          </w:tcPr>
          <w:p w14:paraId="30E462AC">
            <w:pPr>
              <w:adjustRightInd w:val="0"/>
              <w:snapToGrid w:val="0"/>
              <w:spacing w:after="0" w:line="240" w:lineRule="auto"/>
              <w:jc w:val="center"/>
              <w:rPr>
                <w:rFonts w:hint="eastAsia" w:ascii="宋体"/>
                <w:sz w:val="18"/>
              </w:rPr>
            </w:pPr>
            <w:r>
              <w:rPr>
                <w:rFonts w:hint="eastAsia" w:ascii="宋体" w:hAnsi="宋体" w:cs="仿宋_GB2312"/>
                <w:spacing w:val="-2"/>
                <w:kern w:val="0"/>
                <w:szCs w:val="21"/>
                <w:lang w:val="en-US" w:eastAsia="zh-CN"/>
              </w:rPr>
              <w:t>4</w:t>
            </w:r>
          </w:p>
        </w:tc>
        <w:tc>
          <w:tcPr>
            <w:tcW w:w="2526" w:type="dxa"/>
            <w:shd w:val="clear" w:color="auto" w:fill="auto"/>
            <w:noWrap w:val="0"/>
            <w:vAlign w:val="center"/>
          </w:tcPr>
          <w:p w14:paraId="3919BCDD">
            <w:pPr>
              <w:keepNext w:val="0"/>
              <w:keepLines w:val="0"/>
              <w:pageBreakBefore w:val="0"/>
              <w:kinsoku/>
              <w:wordWrap/>
              <w:overflowPunct/>
              <w:topLinePunct w:val="0"/>
              <w:bidi w:val="0"/>
              <w:adjustRightInd w:val="0"/>
              <w:snapToGrid w:val="0"/>
              <w:spacing w:after="0" w:line="300" w:lineRule="exact"/>
              <w:jc w:val="center"/>
              <w:textAlignment w:val="auto"/>
              <w:rPr>
                <w:rFonts w:hint="eastAsia" w:ascii="宋体"/>
                <w:sz w:val="18"/>
              </w:rPr>
            </w:pPr>
            <w:r>
              <w:rPr>
                <w:rFonts w:hint="eastAsia" w:ascii="宋体" w:hAnsi="宋体" w:cs="仿宋_GB2312"/>
                <w:spacing w:val="-2"/>
                <w:kern w:val="0"/>
                <w:szCs w:val="21"/>
                <w:lang w:val="en-US" w:eastAsia="zh-CN"/>
              </w:rPr>
              <w:t>3.4</w:t>
            </w:r>
          </w:p>
        </w:tc>
        <w:tc>
          <w:tcPr>
            <w:tcW w:w="6195" w:type="dxa"/>
            <w:shd w:val="clear" w:color="auto" w:fill="auto"/>
            <w:noWrap w:val="0"/>
            <w:vAlign w:val="center"/>
          </w:tcPr>
          <w:p w14:paraId="082736A4">
            <w:pPr>
              <w:pStyle w:val="8"/>
              <w:keepNext w:val="0"/>
              <w:keepLines w:val="0"/>
              <w:pageBreakBefore w:val="0"/>
              <w:kinsoku/>
              <w:wordWrap/>
              <w:overflowPunct/>
              <w:topLinePunct w:val="0"/>
              <w:bidi w:val="0"/>
              <w:spacing w:line="300" w:lineRule="exact"/>
              <w:ind w:left="0" w:leftChars="0" w:firstLine="0" w:firstLineChars="0"/>
              <w:jc w:val="left"/>
              <w:textAlignment w:val="auto"/>
              <w:rPr>
                <w:rFonts w:hint="eastAsia" w:ascii="宋体"/>
                <w:sz w:val="18"/>
              </w:rPr>
            </w:pPr>
            <w:r>
              <w:rPr>
                <w:rFonts w:hint="eastAsia" w:hAnsi="宋体" w:cs="仿宋_GB2312"/>
                <w:spacing w:val="-2"/>
                <w:kern w:val="0"/>
                <w:szCs w:val="21"/>
                <w:lang w:eastAsia="zh-CN"/>
              </w:rPr>
              <w:t>建议删除“</w:t>
            </w:r>
            <w:r>
              <w:rPr>
                <w:rFonts w:hint="eastAsia" w:hAnsi="宋体" w:cs="仿宋_GB2312"/>
                <w:spacing w:val="-2"/>
                <w:kern w:val="0"/>
                <w:szCs w:val="21"/>
                <w:lang w:val="en-US" w:eastAsia="zh-CN"/>
              </w:rPr>
              <w:t>免疫”</w:t>
            </w:r>
            <w:r>
              <w:rPr>
                <w:rFonts w:hint="eastAsia" w:hAnsi="宋体" w:cs="仿宋_GB2312"/>
                <w:spacing w:val="-2"/>
                <w:kern w:val="0"/>
                <w:szCs w:val="21"/>
                <w:lang w:eastAsia="zh-CN"/>
              </w:rPr>
              <w:t>；</w:t>
            </w:r>
            <w:r>
              <w:rPr>
                <w:rFonts w:hint="eastAsia" w:hAnsi="宋体" w:cs="仿宋_GB2312"/>
                <w:spacing w:val="-2"/>
                <w:kern w:val="0"/>
                <w:szCs w:val="21"/>
                <w:lang w:val="en-US" w:eastAsia="zh-CN"/>
              </w:rPr>
              <w:t>并在传染源后加“检测阳性个体”。</w:t>
            </w:r>
          </w:p>
        </w:tc>
        <w:tc>
          <w:tcPr>
            <w:tcW w:w="2311" w:type="dxa"/>
            <w:shd w:val="clear" w:color="auto" w:fill="auto"/>
            <w:noWrap w:val="0"/>
            <w:vAlign w:val="center"/>
          </w:tcPr>
          <w:p w14:paraId="323913ED">
            <w:pPr>
              <w:jc w:val="left"/>
              <w:rPr>
                <w:rFonts w:hint="eastAsia" w:ascii="宋体"/>
                <w:sz w:val="18"/>
              </w:rPr>
            </w:pPr>
            <w:r>
              <w:rPr>
                <w:rFonts w:hint="eastAsia" w:ascii="宋体" w:hAnsi="宋体" w:eastAsia="宋体" w:cs="仿宋_GB2312"/>
                <w:spacing w:val="-2"/>
                <w:kern w:val="0"/>
                <w:sz w:val="21"/>
                <w:szCs w:val="21"/>
                <w:lang w:val="en-US" w:eastAsia="zh-CN" w:bidi="ar-SA"/>
              </w:rPr>
              <w:t>青海大学（常建军）</w:t>
            </w:r>
          </w:p>
        </w:tc>
        <w:tc>
          <w:tcPr>
            <w:tcW w:w="2201" w:type="dxa"/>
            <w:shd w:val="clear" w:color="auto" w:fill="auto"/>
            <w:noWrap w:val="0"/>
            <w:vAlign w:val="center"/>
          </w:tcPr>
          <w:p w14:paraId="58A056F4">
            <w:pPr>
              <w:jc w:val="left"/>
              <w:rPr>
                <w:rFonts w:hint="eastAsia" w:ascii="宋体"/>
                <w:sz w:val="18"/>
              </w:rPr>
            </w:pPr>
            <w:r>
              <w:rPr>
                <w:rFonts w:hint="eastAsia" w:ascii="宋体" w:hAnsi="宋体" w:eastAsia="宋体" w:cs="仿宋_GB2312"/>
                <w:color w:val="auto"/>
                <w:spacing w:val="-2"/>
                <w:kern w:val="0"/>
                <w:sz w:val="21"/>
                <w:szCs w:val="21"/>
                <w:lang w:val="en-US" w:eastAsia="zh-CN" w:bidi="ar-SA"/>
              </w:rPr>
              <w:t>采纳。</w:t>
            </w:r>
          </w:p>
        </w:tc>
      </w:tr>
      <w:tr w14:paraId="4BD731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941" w:type="dxa"/>
            <w:shd w:val="clear" w:color="auto" w:fill="auto"/>
            <w:noWrap w:val="0"/>
            <w:vAlign w:val="center"/>
          </w:tcPr>
          <w:p w14:paraId="3AAF192C">
            <w:pPr>
              <w:adjustRightInd w:val="0"/>
              <w:snapToGrid w:val="0"/>
              <w:spacing w:after="0" w:line="240" w:lineRule="auto"/>
              <w:jc w:val="center"/>
              <w:rPr>
                <w:rFonts w:hint="eastAsia" w:ascii="宋体"/>
                <w:sz w:val="18"/>
              </w:rPr>
            </w:pPr>
            <w:r>
              <w:rPr>
                <w:rFonts w:hint="eastAsia" w:ascii="宋体" w:hAnsi="宋体" w:cs="仿宋_GB2312"/>
                <w:spacing w:val="-2"/>
                <w:kern w:val="0"/>
                <w:szCs w:val="21"/>
                <w:lang w:val="en-US" w:eastAsia="zh-CN"/>
              </w:rPr>
              <w:t>5</w:t>
            </w:r>
          </w:p>
        </w:tc>
        <w:tc>
          <w:tcPr>
            <w:tcW w:w="2526" w:type="dxa"/>
            <w:shd w:val="clear" w:color="auto" w:fill="auto"/>
            <w:noWrap w:val="0"/>
            <w:vAlign w:val="center"/>
          </w:tcPr>
          <w:p w14:paraId="55F89646">
            <w:pPr>
              <w:keepNext w:val="0"/>
              <w:keepLines w:val="0"/>
              <w:pageBreakBefore w:val="0"/>
              <w:kinsoku/>
              <w:wordWrap/>
              <w:overflowPunct/>
              <w:topLinePunct w:val="0"/>
              <w:bidi w:val="0"/>
              <w:adjustRightInd w:val="0"/>
              <w:snapToGrid w:val="0"/>
              <w:spacing w:after="0" w:line="300" w:lineRule="exact"/>
              <w:jc w:val="center"/>
              <w:textAlignment w:val="auto"/>
              <w:rPr>
                <w:rFonts w:hint="eastAsia" w:ascii="宋体"/>
                <w:sz w:val="18"/>
              </w:rPr>
            </w:pPr>
            <w:r>
              <w:rPr>
                <w:rFonts w:hint="eastAsia" w:ascii="宋体" w:hAnsi="宋体" w:cs="仿宋_GB2312"/>
                <w:spacing w:val="-2"/>
                <w:kern w:val="0"/>
                <w:szCs w:val="21"/>
                <w:lang w:val="en-US" w:eastAsia="zh-CN"/>
              </w:rPr>
              <w:t>3.6</w:t>
            </w:r>
          </w:p>
        </w:tc>
        <w:tc>
          <w:tcPr>
            <w:tcW w:w="6195" w:type="dxa"/>
            <w:shd w:val="clear" w:color="auto" w:fill="auto"/>
            <w:noWrap w:val="0"/>
            <w:vAlign w:val="center"/>
          </w:tcPr>
          <w:p w14:paraId="6A008FFC">
            <w:pPr>
              <w:keepNext w:val="0"/>
              <w:keepLines w:val="0"/>
              <w:pageBreakBefore w:val="0"/>
              <w:kinsoku/>
              <w:wordWrap/>
              <w:overflowPunct/>
              <w:topLinePunct w:val="0"/>
              <w:bidi w:val="0"/>
              <w:adjustRightInd w:val="0"/>
              <w:snapToGrid w:val="0"/>
              <w:spacing w:after="0" w:line="300" w:lineRule="exact"/>
              <w:jc w:val="left"/>
              <w:textAlignment w:val="auto"/>
              <w:rPr>
                <w:rFonts w:hint="eastAsia" w:ascii="宋体"/>
                <w:sz w:val="18"/>
              </w:rPr>
            </w:pPr>
            <w:r>
              <w:rPr>
                <w:rFonts w:hint="eastAsia" w:ascii="宋体" w:hAnsi="宋体" w:cs="仿宋_GB2312"/>
                <w:spacing w:val="-2"/>
                <w:kern w:val="0"/>
                <w:szCs w:val="21"/>
                <w:lang w:eastAsia="zh-CN"/>
              </w:rPr>
              <w:t>建议删除“和切断传播途径”。</w:t>
            </w:r>
          </w:p>
        </w:tc>
        <w:tc>
          <w:tcPr>
            <w:tcW w:w="2311" w:type="dxa"/>
            <w:shd w:val="clear" w:color="auto" w:fill="auto"/>
            <w:noWrap w:val="0"/>
            <w:vAlign w:val="center"/>
          </w:tcPr>
          <w:p w14:paraId="5F17AD4A">
            <w:pPr>
              <w:jc w:val="left"/>
              <w:rPr>
                <w:rFonts w:hint="eastAsia" w:ascii="宋体"/>
                <w:sz w:val="18"/>
              </w:rPr>
            </w:pPr>
            <w:r>
              <w:rPr>
                <w:rFonts w:hint="eastAsia" w:ascii="宋体" w:hAnsi="宋体" w:eastAsia="宋体" w:cs="仿宋_GB2312"/>
                <w:spacing w:val="-2"/>
                <w:kern w:val="0"/>
                <w:sz w:val="21"/>
                <w:szCs w:val="21"/>
                <w:lang w:val="en-US" w:eastAsia="zh-CN" w:bidi="ar-SA"/>
              </w:rPr>
              <w:t>青海大学（常建军）</w:t>
            </w:r>
          </w:p>
        </w:tc>
        <w:tc>
          <w:tcPr>
            <w:tcW w:w="2201" w:type="dxa"/>
            <w:shd w:val="clear" w:color="auto" w:fill="auto"/>
            <w:noWrap w:val="0"/>
            <w:vAlign w:val="center"/>
          </w:tcPr>
          <w:p w14:paraId="7BB2F6EA">
            <w:pPr>
              <w:jc w:val="left"/>
              <w:rPr>
                <w:rFonts w:hint="eastAsia" w:ascii="宋体"/>
                <w:sz w:val="18"/>
              </w:rPr>
            </w:pPr>
            <w:r>
              <w:rPr>
                <w:rFonts w:hint="eastAsia" w:ascii="宋体" w:hAnsi="宋体" w:eastAsia="宋体" w:cs="仿宋_GB2312"/>
                <w:color w:val="auto"/>
                <w:spacing w:val="-2"/>
                <w:kern w:val="0"/>
                <w:sz w:val="21"/>
                <w:szCs w:val="21"/>
                <w:lang w:val="en-US" w:eastAsia="zh-CN" w:bidi="ar-SA"/>
              </w:rPr>
              <w:t>采纳。</w:t>
            </w:r>
          </w:p>
        </w:tc>
      </w:tr>
      <w:tr w14:paraId="16B55F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941" w:type="dxa"/>
            <w:shd w:val="clear" w:color="auto" w:fill="auto"/>
            <w:noWrap w:val="0"/>
            <w:vAlign w:val="center"/>
          </w:tcPr>
          <w:p w14:paraId="3B8B4011">
            <w:pPr>
              <w:adjustRightInd w:val="0"/>
              <w:snapToGrid w:val="0"/>
              <w:spacing w:after="0" w:line="240" w:lineRule="auto"/>
              <w:jc w:val="center"/>
              <w:rPr>
                <w:rFonts w:hint="eastAsia" w:ascii="宋体"/>
                <w:sz w:val="18"/>
              </w:rPr>
            </w:pPr>
            <w:r>
              <w:rPr>
                <w:rFonts w:hint="eastAsia" w:ascii="宋体" w:hAnsi="宋体" w:cs="仿宋_GB2312"/>
                <w:spacing w:val="-2"/>
                <w:kern w:val="0"/>
                <w:szCs w:val="21"/>
                <w:lang w:val="en-US" w:eastAsia="zh-CN"/>
              </w:rPr>
              <w:t>6</w:t>
            </w:r>
          </w:p>
        </w:tc>
        <w:tc>
          <w:tcPr>
            <w:tcW w:w="2526" w:type="dxa"/>
            <w:shd w:val="clear" w:color="auto" w:fill="auto"/>
            <w:noWrap w:val="0"/>
            <w:vAlign w:val="center"/>
          </w:tcPr>
          <w:p w14:paraId="27FF9281">
            <w:pPr>
              <w:keepNext w:val="0"/>
              <w:keepLines w:val="0"/>
              <w:pageBreakBefore w:val="0"/>
              <w:kinsoku/>
              <w:wordWrap/>
              <w:overflowPunct/>
              <w:topLinePunct w:val="0"/>
              <w:bidi w:val="0"/>
              <w:adjustRightInd w:val="0"/>
              <w:snapToGrid w:val="0"/>
              <w:spacing w:after="0" w:line="300" w:lineRule="exact"/>
              <w:jc w:val="center"/>
              <w:textAlignment w:val="auto"/>
              <w:rPr>
                <w:rFonts w:hint="eastAsia" w:ascii="宋体"/>
                <w:sz w:val="18"/>
              </w:rPr>
            </w:pPr>
            <w:r>
              <w:rPr>
                <w:rFonts w:hint="eastAsia" w:ascii="宋体" w:hAnsi="宋体" w:cs="仿宋_GB2312"/>
                <w:spacing w:val="-2"/>
                <w:kern w:val="0"/>
                <w:szCs w:val="21"/>
                <w:lang w:val="en-US" w:eastAsia="zh-CN"/>
              </w:rPr>
              <w:t>3.7</w:t>
            </w:r>
          </w:p>
        </w:tc>
        <w:tc>
          <w:tcPr>
            <w:tcW w:w="6195" w:type="dxa"/>
            <w:shd w:val="clear" w:color="auto" w:fill="auto"/>
            <w:noWrap w:val="0"/>
            <w:vAlign w:val="center"/>
          </w:tcPr>
          <w:p w14:paraId="018E2CB7">
            <w:pPr>
              <w:keepNext w:val="0"/>
              <w:keepLines w:val="0"/>
              <w:pageBreakBefore w:val="0"/>
              <w:kinsoku/>
              <w:wordWrap/>
              <w:overflowPunct/>
              <w:topLinePunct w:val="0"/>
              <w:bidi w:val="0"/>
              <w:adjustRightInd w:val="0"/>
              <w:snapToGrid w:val="0"/>
              <w:spacing w:after="0" w:line="300" w:lineRule="exact"/>
              <w:jc w:val="left"/>
              <w:textAlignment w:val="auto"/>
              <w:rPr>
                <w:rFonts w:hint="eastAsia" w:ascii="宋体"/>
                <w:sz w:val="18"/>
              </w:rPr>
            </w:pPr>
            <w:r>
              <w:rPr>
                <w:rFonts w:hint="eastAsia" w:ascii="宋体" w:hAnsi="宋体"/>
                <w:szCs w:val="21"/>
                <w:lang w:val="en-US" w:eastAsia="zh-CN"/>
              </w:rPr>
              <w:t>建议删除“消灭其所携带的病原体，消除其危害的过程”。</w:t>
            </w:r>
          </w:p>
        </w:tc>
        <w:tc>
          <w:tcPr>
            <w:tcW w:w="2311" w:type="dxa"/>
            <w:shd w:val="clear" w:color="auto" w:fill="auto"/>
            <w:noWrap w:val="0"/>
            <w:vAlign w:val="center"/>
          </w:tcPr>
          <w:p w14:paraId="247EB1D3">
            <w:pPr>
              <w:jc w:val="left"/>
              <w:rPr>
                <w:rFonts w:hint="eastAsia" w:ascii="宋体"/>
                <w:sz w:val="18"/>
              </w:rPr>
            </w:pPr>
            <w:r>
              <w:rPr>
                <w:rFonts w:hint="eastAsia" w:ascii="宋体" w:hAnsi="宋体" w:eastAsia="宋体" w:cs="仿宋_GB2312"/>
                <w:spacing w:val="-2"/>
                <w:kern w:val="0"/>
                <w:sz w:val="21"/>
                <w:szCs w:val="21"/>
                <w:lang w:val="en-US" w:eastAsia="zh-CN" w:bidi="ar-SA"/>
              </w:rPr>
              <w:t>青海大学（常建军）</w:t>
            </w:r>
          </w:p>
        </w:tc>
        <w:tc>
          <w:tcPr>
            <w:tcW w:w="2201" w:type="dxa"/>
            <w:shd w:val="clear" w:color="auto" w:fill="auto"/>
            <w:noWrap w:val="0"/>
            <w:vAlign w:val="center"/>
          </w:tcPr>
          <w:p w14:paraId="08081A7B">
            <w:pPr>
              <w:jc w:val="left"/>
              <w:rPr>
                <w:rFonts w:hint="eastAsia" w:ascii="宋体"/>
                <w:sz w:val="18"/>
              </w:rPr>
            </w:pPr>
            <w:r>
              <w:rPr>
                <w:rFonts w:hint="eastAsia" w:ascii="宋体" w:hAnsi="宋体" w:eastAsia="宋体" w:cs="仿宋_GB2312"/>
                <w:color w:val="auto"/>
                <w:spacing w:val="-2"/>
                <w:kern w:val="0"/>
                <w:sz w:val="21"/>
                <w:szCs w:val="21"/>
                <w:lang w:val="en-US" w:eastAsia="zh-CN" w:bidi="ar-SA"/>
              </w:rPr>
              <w:t>采纳。</w:t>
            </w:r>
          </w:p>
        </w:tc>
      </w:tr>
      <w:tr w14:paraId="5E613E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941" w:type="dxa"/>
            <w:shd w:val="clear" w:color="auto" w:fill="auto"/>
            <w:noWrap w:val="0"/>
            <w:vAlign w:val="center"/>
          </w:tcPr>
          <w:p w14:paraId="3282C669">
            <w:pPr>
              <w:adjustRightInd w:val="0"/>
              <w:snapToGrid w:val="0"/>
              <w:spacing w:after="0" w:line="240" w:lineRule="auto"/>
              <w:jc w:val="center"/>
              <w:rPr>
                <w:rFonts w:hint="eastAsia" w:ascii="宋体"/>
                <w:sz w:val="18"/>
              </w:rPr>
            </w:pPr>
            <w:r>
              <w:rPr>
                <w:rFonts w:hint="eastAsia" w:ascii="宋体" w:hAnsi="宋体" w:cs="仿宋_GB2312"/>
                <w:spacing w:val="-2"/>
                <w:kern w:val="0"/>
                <w:szCs w:val="21"/>
                <w:lang w:val="en-US" w:eastAsia="zh-CN"/>
              </w:rPr>
              <w:t>7</w:t>
            </w:r>
          </w:p>
        </w:tc>
        <w:tc>
          <w:tcPr>
            <w:tcW w:w="2526" w:type="dxa"/>
            <w:shd w:val="clear" w:color="auto" w:fill="auto"/>
            <w:noWrap w:val="0"/>
            <w:vAlign w:val="center"/>
          </w:tcPr>
          <w:p w14:paraId="2539194E">
            <w:pPr>
              <w:keepNext w:val="0"/>
              <w:keepLines w:val="0"/>
              <w:pageBreakBefore w:val="0"/>
              <w:kinsoku/>
              <w:wordWrap/>
              <w:overflowPunct/>
              <w:topLinePunct w:val="0"/>
              <w:bidi w:val="0"/>
              <w:adjustRightInd w:val="0"/>
              <w:snapToGrid w:val="0"/>
              <w:spacing w:after="0" w:line="300" w:lineRule="exact"/>
              <w:jc w:val="center"/>
              <w:textAlignment w:val="auto"/>
              <w:rPr>
                <w:rFonts w:hint="eastAsia" w:ascii="宋体"/>
                <w:sz w:val="18"/>
              </w:rPr>
            </w:pPr>
            <w:r>
              <w:rPr>
                <w:rFonts w:hint="eastAsia" w:ascii="宋体" w:hAnsi="宋体" w:cs="仿宋_GB2312"/>
                <w:spacing w:val="-2"/>
                <w:kern w:val="0"/>
                <w:szCs w:val="21"/>
                <w:lang w:val="en-US" w:eastAsia="zh-CN"/>
              </w:rPr>
              <w:t>5.1</w:t>
            </w:r>
          </w:p>
        </w:tc>
        <w:tc>
          <w:tcPr>
            <w:tcW w:w="6195" w:type="dxa"/>
            <w:shd w:val="clear" w:color="auto" w:fill="auto"/>
            <w:noWrap w:val="0"/>
            <w:vAlign w:val="center"/>
          </w:tcPr>
          <w:p w14:paraId="15D19568">
            <w:pPr>
              <w:keepNext w:val="0"/>
              <w:keepLines w:val="0"/>
              <w:pageBreakBefore w:val="0"/>
              <w:kinsoku/>
              <w:wordWrap/>
              <w:overflowPunct/>
              <w:topLinePunct w:val="0"/>
              <w:bidi w:val="0"/>
              <w:adjustRightInd w:val="0"/>
              <w:snapToGrid w:val="0"/>
              <w:spacing w:after="0" w:line="300" w:lineRule="exact"/>
              <w:jc w:val="left"/>
              <w:textAlignment w:val="auto"/>
              <w:rPr>
                <w:rFonts w:hint="eastAsia" w:ascii="宋体"/>
                <w:sz w:val="18"/>
              </w:rPr>
            </w:pPr>
            <w:r>
              <w:rPr>
                <w:rFonts w:hint="eastAsia" w:ascii="宋体" w:hAnsi="宋体"/>
                <w:szCs w:val="21"/>
                <w:lang w:val="en-US" w:eastAsia="zh-CN"/>
              </w:rPr>
              <w:t>建议将“抽检”模糊化、不用抽检二字。</w:t>
            </w:r>
          </w:p>
        </w:tc>
        <w:tc>
          <w:tcPr>
            <w:tcW w:w="2311" w:type="dxa"/>
            <w:shd w:val="clear" w:color="auto" w:fill="auto"/>
            <w:noWrap w:val="0"/>
            <w:vAlign w:val="center"/>
          </w:tcPr>
          <w:p w14:paraId="3B90A174">
            <w:pPr>
              <w:jc w:val="left"/>
              <w:rPr>
                <w:rFonts w:hint="eastAsia" w:ascii="宋体"/>
                <w:sz w:val="18"/>
              </w:rPr>
            </w:pPr>
            <w:r>
              <w:rPr>
                <w:rFonts w:hint="eastAsia" w:ascii="宋体" w:hAnsi="宋体" w:eastAsia="宋体" w:cs="仿宋_GB2312"/>
                <w:spacing w:val="-2"/>
                <w:kern w:val="0"/>
                <w:sz w:val="21"/>
                <w:szCs w:val="21"/>
                <w:lang w:val="en-US" w:eastAsia="zh-CN" w:bidi="ar-SA"/>
              </w:rPr>
              <w:t>青海大学（常建军）</w:t>
            </w:r>
          </w:p>
        </w:tc>
        <w:tc>
          <w:tcPr>
            <w:tcW w:w="2201" w:type="dxa"/>
            <w:shd w:val="clear" w:color="auto" w:fill="auto"/>
            <w:noWrap w:val="0"/>
            <w:vAlign w:val="center"/>
          </w:tcPr>
          <w:p w14:paraId="665D10DE">
            <w:pPr>
              <w:jc w:val="left"/>
              <w:rPr>
                <w:rFonts w:hint="eastAsia" w:ascii="宋体"/>
                <w:sz w:val="18"/>
              </w:rPr>
            </w:pPr>
            <w:r>
              <w:rPr>
                <w:rFonts w:hint="eastAsia" w:ascii="宋体" w:hAnsi="宋体" w:eastAsia="宋体" w:cs="仿宋_GB2312"/>
                <w:color w:val="auto"/>
                <w:spacing w:val="-2"/>
                <w:kern w:val="0"/>
                <w:sz w:val="21"/>
                <w:szCs w:val="21"/>
                <w:lang w:val="en-US" w:eastAsia="zh-CN" w:bidi="ar-SA"/>
              </w:rPr>
              <w:t>采纳。</w:t>
            </w:r>
          </w:p>
        </w:tc>
      </w:tr>
      <w:tr w14:paraId="3E2C8E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941" w:type="dxa"/>
            <w:shd w:val="clear" w:color="auto" w:fill="auto"/>
            <w:noWrap w:val="0"/>
            <w:vAlign w:val="center"/>
          </w:tcPr>
          <w:p w14:paraId="7F236208">
            <w:pPr>
              <w:adjustRightInd w:val="0"/>
              <w:snapToGrid w:val="0"/>
              <w:spacing w:after="0" w:line="240" w:lineRule="auto"/>
              <w:jc w:val="center"/>
              <w:rPr>
                <w:rFonts w:hint="eastAsia" w:ascii="宋体"/>
                <w:sz w:val="18"/>
              </w:rPr>
            </w:pPr>
            <w:r>
              <w:rPr>
                <w:rFonts w:hint="eastAsia" w:ascii="宋体" w:hAnsi="宋体" w:cs="仿宋_GB2312"/>
                <w:spacing w:val="-2"/>
                <w:kern w:val="0"/>
                <w:szCs w:val="21"/>
                <w:lang w:val="en-US" w:eastAsia="zh-CN"/>
              </w:rPr>
              <w:t>8</w:t>
            </w:r>
          </w:p>
        </w:tc>
        <w:tc>
          <w:tcPr>
            <w:tcW w:w="2526" w:type="dxa"/>
            <w:shd w:val="clear" w:color="auto" w:fill="auto"/>
            <w:noWrap w:val="0"/>
            <w:vAlign w:val="center"/>
          </w:tcPr>
          <w:p w14:paraId="576E9F26">
            <w:pPr>
              <w:keepNext w:val="0"/>
              <w:keepLines w:val="0"/>
              <w:pageBreakBefore w:val="0"/>
              <w:kinsoku/>
              <w:wordWrap/>
              <w:overflowPunct/>
              <w:topLinePunct w:val="0"/>
              <w:bidi w:val="0"/>
              <w:adjustRightInd w:val="0"/>
              <w:snapToGrid w:val="0"/>
              <w:spacing w:after="0" w:line="300" w:lineRule="exact"/>
              <w:jc w:val="center"/>
              <w:textAlignment w:val="auto"/>
              <w:rPr>
                <w:rFonts w:hint="eastAsia" w:ascii="宋体"/>
                <w:sz w:val="18"/>
              </w:rPr>
            </w:pPr>
            <w:r>
              <w:rPr>
                <w:rFonts w:hint="eastAsia" w:ascii="宋体" w:hAnsi="宋体" w:cs="仿宋_GB2312"/>
                <w:spacing w:val="-2"/>
                <w:kern w:val="0"/>
                <w:szCs w:val="21"/>
                <w:lang w:val="en-US" w:eastAsia="zh-CN"/>
              </w:rPr>
              <w:t>6.3</w:t>
            </w:r>
          </w:p>
        </w:tc>
        <w:tc>
          <w:tcPr>
            <w:tcW w:w="6195" w:type="dxa"/>
            <w:shd w:val="clear" w:color="auto" w:fill="auto"/>
            <w:noWrap w:val="0"/>
            <w:vAlign w:val="center"/>
          </w:tcPr>
          <w:p w14:paraId="328461DC">
            <w:pPr>
              <w:keepNext w:val="0"/>
              <w:keepLines w:val="0"/>
              <w:pageBreakBefore w:val="0"/>
              <w:kinsoku/>
              <w:wordWrap/>
              <w:overflowPunct/>
              <w:topLinePunct w:val="0"/>
              <w:bidi w:val="0"/>
              <w:adjustRightInd w:val="0"/>
              <w:snapToGrid w:val="0"/>
              <w:spacing w:after="0" w:line="300" w:lineRule="exact"/>
              <w:jc w:val="left"/>
              <w:textAlignment w:val="auto"/>
              <w:rPr>
                <w:rFonts w:hint="eastAsia" w:ascii="宋体"/>
                <w:sz w:val="18"/>
              </w:rPr>
            </w:pPr>
            <w:r>
              <w:rPr>
                <w:rFonts w:hint="eastAsia" w:ascii="宋体" w:hAnsi="宋体" w:cs="仿宋_GB2312"/>
                <w:spacing w:val="-2"/>
                <w:kern w:val="0"/>
                <w:szCs w:val="21"/>
                <w:lang w:eastAsia="zh-CN"/>
              </w:rPr>
              <w:t>建议将</w:t>
            </w: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圈舍”改为“羊群”。</w:t>
            </w:r>
          </w:p>
        </w:tc>
        <w:tc>
          <w:tcPr>
            <w:tcW w:w="2311" w:type="dxa"/>
            <w:shd w:val="clear" w:color="auto" w:fill="auto"/>
            <w:noWrap w:val="0"/>
            <w:vAlign w:val="center"/>
          </w:tcPr>
          <w:p w14:paraId="1418ABD9">
            <w:pPr>
              <w:jc w:val="left"/>
              <w:rPr>
                <w:rFonts w:hint="eastAsia" w:ascii="宋体"/>
                <w:sz w:val="18"/>
              </w:rPr>
            </w:pPr>
            <w:r>
              <w:rPr>
                <w:rFonts w:hint="eastAsia" w:ascii="宋体" w:hAnsi="宋体" w:eastAsia="宋体" w:cs="仿宋_GB2312"/>
                <w:spacing w:val="-2"/>
                <w:kern w:val="0"/>
                <w:sz w:val="21"/>
                <w:szCs w:val="21"/>
                <w:lang w:val="en-US" w:eastAsia="zh-CN" w:bidi="ar-SA"/>
              </w:rPr>
              <w:t>青海大学（常建军）</w:t>
            </w:r>
          </w:p>
        </w:tc>
        <w:tc>
          <w:tcPr>
            <w:tcW w:w="2201" w:type="dxa"/>
            <w:shd w:val="clear" w:color="auto" w:fill="auto"/>
            <w:noWrap w:val="0"/>
            <w:vAlign w:val="center"/>
          </w:tcPr>
          <w:p w14:paraId="22C93B35">
            <w:pPr>
              <w:jc w:val="left"/>
              <w:rPr>
                <w:rFonts w:hint="eastAsia" w:ascii="宋体"/>
                <w:sz w:val="18"/>
              </w:rPr>
            </w:pPr>
            <w:r>
              <w:rPr>
                <w:rFonts w:hint="eastAsia" w:ascii="宋体" w:hAnsi="宋体" w:eastAsia="宋体" w:cs="仿宋_GB2312"/>
                <w:color w:val="auto"/>
                <w:spacing w:val="-2"/>
                <w:kern w:val="0"/>
                <w:sz w:val="21"/>
                <w:szCs w:val="21"/>
                <w:lang w:val="en-US" w:eastAsia="zh-CN" w:bidi="ar-SA"/>
              </w:rPr>
              <w:t>采纳。</w:t>
            </w:r>
          </w:p>
        </w:tc>
      </w:tr>
      <w:tr w14:paraId="659827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941" w:type="dxa"/>
            <w:vMerge w:val="restart"/>
            <w:shd w:val="clear" w:color="auto" w:fill="auto"/>
            <w:noWrap w:val="0"/>
            <w:vAlign w:val="center"/>
          </w:tcPr>
          <w:p w14:paraId="4C0D5D6A">
            <w:pPr>
              <w:adjustRightInd w:val="0"/>
              <w:snapToGrid w:val="0"/>
              <w:spacing w:after="0" w:line="240" w:lineRule="auto"/>
              <w:jc w:val="center"/>
              <w:rPr>
                <w:rFonts w:hint="eastAsia" w:ascii="宋体"/>
                <w:sz w:val="18"/>
              </w:rPr>
            </w:pPr>
            <w:r>
              <w:rPr>
                <w:rFonts w:hint="eastAsia" w:ascii="宋体" w:hAnsi="宋体" w:cs="仿宋_GB2312"/>
                <w:spacing w:val="-2"/>
                <w:kern w:val="0"/>
                <w:szCs w:val="21"/>
                <w:lang w:val="en-US" w:eastAsia="zh-CN"/>
              </w:rPr>
              <w:t>10</w:t>
            </w:r>
          </w:p>
        </w:tc>
        <w:tc>
          <w:tcPr>
            <w:tcW w:w="2526" w:type="dxa"/>
            <w:vMerge w:val="restart"/>
            <w:shd w:val="clear" w:color="auto" w:fill="auto"/>
            <w:noWrap w:val="0"/>
            <w:vAlign w:val="center"/>
          </w:tcPr>
          <w:p w14:paraId="6EDCE9C9">
            <w:pPr>
              <w:adjustRightInd w:val="0"/>
              <w:snapToGrid w:val="0"/>
              <w:spacing w:after="0" w:line="240" w:lineRule="auto"/>
              <w:jc w:val="center"/>
              <w:rPr>
                <w:rFonts w:hint="eastAsia" w:ascii="宋体"/>
                <w:sz w:val="18"/>
              </w:rPr>
            </w:pPr>
            <w:r>
              <w:rPr>
                <w:rFonts w:hint="eastAsia" w:ascii="宋体" w:hAnsi="宋体" w:cs="仿宋_GB2312"/>
                <w:spacing w:val="-2"/>
                <w:kern w:val="0"/>
                <w:szCs w:val="21"/>
                <w:lang w:val="en-US" w:eastAsia="zh-CN"/>
              </w:rPr>
              <w:t>2</w:t>
            </w:r>
          </w:p>
        </w:tc>
        <w:tc>
          <w:tcPr>
            <w:tcW w:w="6195" w:type="dxa"/>
            <w:shd w:val="clear" w:color="auto" w:fill="auto"/>
            <w:noWrap w:val="0"/>
            <w:vAlign w:val="center"/>
          </w:tcPr>
          <w:p w14:paraId="419C4940">
            <w:pPr>
              <w:adjustRightInd w:val="0"/>
              <w:snapToGrid w:val="0"/>
              <w:spacing w:after="0" w:line="240" w:lineRule="auto"/>
              <w:jc w:val="left"/>
              <w:rPr>
                <w:rFonts w:hint="eastAsia" w:ascii="宋体"/>
                <w:sz w:val="18"/>
              </w:rPr>
            </w:pPr>
            <w:r>
              <w:rPr>
                <w:rFonts w:hint="eastAsia" w:ascii="宋体" w:hAnsi="宋体" w:cs="宋体"/>
                <w:color w:val="auto"/>
                <w:sz w:val="21"/>
                <w:szCs w:val="21"/>
                <w:lang w:eastAsia="zh-CN"/>
              </w:rPr>
              <w:t>删除</w:t>
            </w:r>
            <w:r>
              <w:rPr>
                <w:rFonts w:hint="eastAsia" w:ascii="宋体" w:hAnsi="宋体" w:eastAsia="宋体" w:cs="宋体"/>
                <w:color w:val="auto"/>
                <w:sz w:val="21"/>
                <w:szCs w:val="21"/>
              </w:rPr>
              <w:t>《动物疫病净化场评估技术规范》</w:t>
            </w:r>
            <w:r>
              <w:rPr>
                <w:rFonts w:hint="eastAsia" w:ascii="宋体" w:hAnsi="宋体" w:cs="宋体"/>
                <w:color w:val="auto"/>
                <w:sz w:val="21"/>
                <w:szCs w:val="21"/>
                <w:lang w:eastAsia="zh-CN"/>
              </w:rPr>
              <w:t>、</w:t>
            </w:r>
            <w:r>
              <w:rPr>
                <w:rFonts w:hint="eastAsia" w:ascii="宋体" w:hAnsi="宋体" w:eastAsia="宋体" w:cs="宋体"/>
                <w:color w:val="auto"/>
                <w:sz w:val="21"/>
                <w:szCs w:val="21"/>
              </w:rPr>
              <w:t>《布鲁氏菌病防控技术要点(第一版)》</w:t>
            </w:r>
            <w:r>
              <w:rPr>
                <w:rFonts w:hint="eastAsia" w:ascii="宋体" w:hAnsi="宋体" w:cs="宋体"/>
                <w:color w:val="auto"/>
                <w:sz w:val="21"/>
                <w:szCs w:val="21"/>
                <w:lang w:eastAsia="zh-CN"/>
              </w:rPr>
              <w:t>等行业内部文件，不宜放在本章，可罗列在编制说明的参考文献中。</w:t>
            </w:r>
          </w:p>
        </w:tc>
        <w:tc>
          <w:tcPr>
            <w:tcW w:w="2311" w:type="dxa"/>
            <w:shd w:val="clear" w:color="auto" w:fill="auto"/>
            <w:noWrap w:val="0"/>
            <w:vAlign w:val="center"/>
          </w:tcPr>
          <w:p w14:paraId="4315442F">
            <w:pPr>
              <w:jc w:val="left"/>
              <w:rPr>
                <w:rFonts w:hint="eastAsia" w:ascii="宋体"/>
                <w:sz w:val="18"/>
              </w:rPr>
            </w:pPr>
            <w:r>
              <w:rPr>
                <w:rFonts w:hint="eastAsia" w:ascii="宋体" w:hAnsi="宋体" w:eastAsia="宋体" w:cs="仿宋_GB2312"/>
                <w:spacing w:val="-2"/>
                <w:kern w:val="0"/>
                <w:sz w:val="21"/>
                <w:szCs w:val="21"/>
                <w:lang w:val="en-US" w:eastAsia="zh-CN" w:bidi="ar-SA"/>
              </w:rPr>
              <w:t>青海省动物疫病预防控制中心（傅义娟）</w:t>
            </w:r>
          </w:p>
        </w:tc>
        <w:tc>
          <w:tcPr>
            <w:tcW w:w="2201" w:type="dxa"/>
            <w:shd w:val="clear" w:color="auto" w:fill="auto"/>
            <w:noWrap w:val="0"/>
            <w:vAlign w:val="center"/>
          </w:tcPr>
          <w:p w14:paraId="30D12CDD">
            <w:pPr>
              <w:jc w:val="left"/>
              <w:rPr>
                <w:rFonts w:hint="default" w:ascii="宋体"/>
                <w:sz w:val="18"/>
                <w:lang w:val="en-US"/>
              </w:rPr>
            </w:pPr>
            <w:r>
              <w:rPr>
                <w:rFonts w:hint="eastAsia" w:ascii="宋体" w:hAnsi="宋体" w:cs="宋体"/>
                <w:color w:val="auto"/>
                <w:sz w:val="21"/>
                <w:szCs w:val="21"/>
                <w:lang w:val="en-US" w:eastAsia="zh-CN"/>
              </w:rPr>
              <w:t>部分采纳。《动物疫病净化场评估技术规范》是行业规范性文件不能删除。</w:t>
            </w:r>
          </w:p>
        </w:tc>
      </w:tr>
      <w:tr w14:paraId="2F2F52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941" w:type="dxa"/>
            <w:vMerge w:val="continue"/>
            <w:shd w:val="clear" w:color="auto" w:fill="auto"/>
            <w:noWrap w:val="0"/>
            <w:vAlign w:val="center"/>
          </w:tcPr>
          <w:p w14:paraId="2196834A">
            <w:pPr>
              <w:adjustRightInd w:val="0"/>
              <w:snapToGrid w:val="0"/>
              <w:spacing w:after="0" w:line="240" w:lineRule="auto"/>
              <w:jc w:val="center"/>
              <w:rPr>
                <w:rFonts w:hint="eastAsia" w:ascii="宋体"/>
                <w:sz w:val="18"/>
              </w:rPr>
            </w:pPr>
          </w:p>
        </w:tc>
        <w:tc>
          <w:tcPr>
            <w:tcW w:w="2526" w:type="dxa"/>
            <w:vMerge w:val="continue"/>
            <w:shd w:val="clear" w:color="auto" w:fill="auto"/>
            <w:noWrap w:val="0"/>
            <w:vAlign w:val="center"/>
          </w:tcPr>
          <w:p w14:paraId="17089AD1">
            <w:pPr>
              <w:adjustRightInd w:val="0"/>
              <w:snapToGrid w:val="0"/>
              <w:spacing w:after="0" w:line="240" w:lineRule="auto"/>
              <w:jc w:val="center"/>
              <w:rPr>
                <w:rFonts w:hint="eastAsia" w:ascii="宋体"/>
                <w:sz w:val="18"/>
              </w:rPr>
            </w:pPr>
          </w:p>
        </w:tc>
        <w:tc>
          <w:tcPr>
            <w:tcW w:w="6195" w:type="dxa"/>
            <w:shd w:val="clear" w:color="auto" w:fill="auto"/>
            <w:noWrap w:val="0"/>
            <w:vAlign w:val="center"/>
          </w:tcPr>
          <w:p w14:paraId="06B8E242">
            <w:pPr>
              <w:adjustRightInd w:val="0"/>
              <w:snapToGrid w:val="0"/>
              <w:spacing w:after="0" w:line="240" w:lineRule="auto"/>
              <w:jc w:val="left"/>
              <w:rPr>
                <w:rFonts w:hint="eastAsia" w:ascii="宋体"/>
                <w:sz w:val="18"/>
              </w:rPr>
            </w:pPr>
            <w:r>
              <w:rPr>
                <w:rFonts w:hint="eastAsia" w:ascii="宋体" w:hAnsi="宋体" w:cs="仿宋_GB2312"/>
                <w:spacing w:val="-2"/>
                <w:kern w:val="0"/>
                <w:szCs w:val="21"/>
                <w:lang w:eastAsia="zh-CN"/>
              </w:rPr>
              <w:t>所引用的行业标准，按照标准号由小到大的顺序排列</w:t>
            </w:r>
          </w:p>
        </w:tc>
        <w:tc>
          <w:tcPr>
            <w:tcW w:w="2311" w:type="dxa"/>
            <w:shd w:val="clear" w:color="auto" w:fill="auto"/>
            <w:noWrap w:val="0"/>
            <w:vAlign w:val="center"/>
          </w:tcPr>
          <w:p w14:paraId="3F6F2024">
            <w:pPr>
              <w:jc w:val="left"/>
              <w:rPr>
                <w:rFonts w:hint="eastAsia" w:ascii="宋体"/>
                <w:sz w:val="18"/>
              </w:rPr>
            </w:pPr>
            <w:r>
              <w:rPr>
                <w:rFonts w:hint="eastAsia" w:ascii="宋体" w:hAnsi="宋体" w:eastAsia="宋体" w:cs="仿宋_GB2312"/>
                <w:spacing w:val="-2"/>
                <w:kern w:val="0"/>
                <w:sz w:val="21"/>
                <w:szCs w:val="21"/>
                <w:lang w:val="en-US" w:eastAsia="zh-CN" w:bidi="ar-SA"/>
              </w:rPr>
              <w:t>青海省动物疫病预防控制中心（傅义娟）</w:t>
            </w:r>
          </w:p>
        </w:tc>
        <w:tc>
          <w:tcPr>
            <w:tcW w:w="2201" w:type="dxa"/>
            <w:shd w:val="clear" w:color="auto" w:fill="auto"/>
            <w:noWrap w:val="0"/>
            <w:vAlign w:val="center"/>
          </w:tcPr>
          <w:p w14:paraId="1EE73B69">
            <w:pPr>
              <w:jc w:val="left"/>
              <w:rPr>
                <w:rFonts w:hint="eastAsia" w:ascii="宋体"/>
                <w:sz w:val="18"/>
              </w:rPr>
            </w:pPr>
            <w:r>
              <w:rPr>
                <w:rFonts w:hint="eastAsia" w:ascii="宋体" w:hAnsi="宋体" w:eastAsia="宋体" w:cs="仿宋_GB2312"/>
                <w:color w:val="auto"/>
                <w:spacing w:val="-2"/>
                <w:kern w:val="0"/>
                <w:sz w:val="21"/>
                <w:szCs w:val="21"/>
                <w:lang w:val="en-US" w:eastAsia="zh-CN" w:bidi="ar-SA"/>
              </w:rPr>
              <w:t>采纳。</w:t>
            </w:r>
          </w:p>
        </w:tc>
      </w:tr>
      <w:tr w14:paraId="4BE6E7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941" w:type="dxa"/>
            <w:shd w:val="clear" w:color="auto" w:fill="auto"/>
            <w:noWrap w:val="0"/>
            <w:vAlign w:val="center"/>
          </w:tcPr>
          <w:p w14:paraId="48B390C7">
            <w:pPr>
              <w:adjustRightInd w:val="0"/>
              <w:snapToGrid w:val="0"/>
              <w:spacing w:after="0" w:line="240" w:lineRule="auto"/>
              <w:jc w:val="center"/>
              <w:rPr>
                <w:rFonts w:hint="eastAsia" w:ascii="宋体"/>
                <w:sz w:val="18"/>
              </w:rPr>
            </w:pPr>
            <w:r>
              <w:rPr>
                <w:rFonts w:hint="eastAsia" w:ascii="宋体" w:hAnsi="宋体" w:cs="仿宋_GB2312"/>
                <w:spacing w:val="-2"/>
                <w:kern w:val="0"/>
                <w:szCs w:val="21"/>
                <w:lang w:val="en-US" w:eastAsia="zh-CN"/>
              </w:rPr>
              <w:t>11</w:t>
            </w:r>
          </w:p>
        </w:tc>
        <w:tc>
          <w:tcPr>
            <w:tcW w:w="2526" w:type="dxa"/>
            <w:shd w:val="clear" w:color="auto" w:fill="auto"/>
            <w:noWrap w:val="0"/>
            <w:vAlign w:val="center"/>
          </w:tcPr>
          <w:p w14:paraId="2109A8AF">
            <w:pPr>
              <w:adjustRightInd w:val="0"/>
              <w:snapToGrid w:val="0"/>
              <w:spacing w:after="0" w:line="240" w:lineRule="auto"/>
              <w:jc w:val="center"/>
              <w:rPr>
                <w:rFonts w:hint="eastAsia" w:ascii="宋体"/>
                <w:sz w:val="18"/>
              </w:rPr>
            </w:pPr>
            <w:r>
              <w:rPr>
                <w:rFonts w:hint="eastAsia" w:ascii="宋体" w:hAnsi="宋体" w:cs="宋体"/>
                <w:color w:val="auto"/>
                <w:sz w:val="21"/>
                <w:szCs w:val="21"/>
                <w:lang w:val="en-US" w:eastAsia="zh-CN"/>
              </w:rPr>
              <w:t>6.2.2</w:t>
            </w:r>
          </w:p>
        </w:tc>
        <w:tc>
          <w:tcPr>
            <w:tcW w:w="6195" w:type="dxa"/>
            <w:shd w:val="clear" w:color="auto" w:fill="auto"/>
            <w:noWrap w:val="0"/>
            <w:vAlign w:val="center"/>
          </w:tcPr>
          <w:p w14:paraId="434B53C4">
            <w:pPr>
              <w:jc w:val="left"/>
              <w:rPr>
                <w:rFonts w:hint="eastAsia" w:ascii="宋体"/>
                <w:sz w:val="18"/>
              </w:rPr>
            </w:pPr>
            <w:r>
              <w:rPr>
                <w:rFonts w:hint="eastAsia" w:ascii="宋体" w:hAnsi="宋体" w:cs="宋体"/>
                <w:color w:val="auto"/>
                <w:sz w:val="21"/>
                <w:szCs w:val="21"/>
                <w:lang w:eastAsia="zh-CN"/>
              </w:rPr>
              <w:t>此部分和</w:t>
            </w:r>
            <w:r>
              <w:rPr>
                <w:rFonts w:hint="eastAsia" w:ascii="宋体" w:hAnsi="宋体" w:cs="宋体"/>
                <w:color w:val="auto"/>
                <w:sz w:val="21"/>
                <w:szCs w:val="21"/>
                <w:lang w:val="en-US" w:eastAsia="zh-CN"/>
              </w:rPr>
              <w:t>4</w:t>
            </w:r>
            <w:r>
              <w:rPr>
                <w:rFonts w:hint="eastAsia" w:ascii="宋体" w:hAnsi="宋体" w:cs="宋体"/>
                <w:color w:val="auto"/>
                <w:sz w:val="21"/>
                <w:szCs w:val="21"/>
                <w:lang w:eastAsia="zh-CN"/>
              </w:rPr>
              <w:t>内容重复，布病的检测方法不仅是琥红平板和试管凝集</w:t>
            </w:r>
          </w:p>
        </w:tc>
        <w:tc>
          <w:tcPr>
            <w:tcW w:w="2311" w:type="dxa"/>
            <w:shd w:val="clear" w:color="auto" w:fill="auto"/>
            <w:noWrap w:val="0"/>
            <w:vAlign w:val="center"/>
          </w:tcPr>
          <w:p w14:paraId="75999587">
            <w:pPr>
              <w:jc w:val="left"/>
              <w:rPr>
                <w:rFonts w:hint="eastAsia" w:ascii="宋体"/>
                <w:sz w:val="18"/>
              </w:rPr>
            </w:pPr>
            <w:r>
              <w:rPr>
                <w:rFonts w:hint="eastAsia"/>
              </w:rPr>
              <w:t>青海省动物疫病预防控制中心（傅义娟）</w:t>
            </w:r>
          </w:p>
        </w:tc>
        <w:tc>
          <w:tcPr>
            <w:tcW w:w="2201" w:type="dxa"/>
            <w:shd w:val="clear" w:color="auto" w:fill="auto"/>
            <w:noWrap w:val="0"/>
            <w:vAlign w:val="center"/>
          </w:tcPr>
          <w:p w14:paraId="300E4F6C">
            <w:pPr>
              <w:jc w:val="left"/>
              <w:rPr>
                <w:rFonts w:hint="eastAsia" w:ascii="宋体"/>
                <w:sz w:val="18"/>
              </w:rPr>
            </w:pPr>
            <w:r>
              <w:rPr>
                <w:rFonts w:hint="eastAsia" w:ascii="Times New Roman" w:hAnsi="Times New Roman" w:eastAsia="宋体" w:cs="Times New Roman"/>
                <w:color w:val="auto"/>
                <w:lang w:val="en-US" w:eastAsia="zh-CN"/>
              </w:rPr>
              <w:t>采纳。</w:t>
            </w:r>
          </w:p>
        </w:tc>
      </w:tr>
      <w:tr w14:paraId="535A4F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941" w:type="dxa"/>
            <w:shd w:val="clear" w:color="auto" w:fill="auto"/>
            <w:noWrap w:val="0"/>
            <w:vAlign w:val="center"/>
          </w:tcPr>
          <w:p w14:paraId="63EDFCBF">
            <w:pPr>
              <w:adjustRightInd w:val="0"/>
              <w:snapToGrid w:val="0"/>
              <w:spacing w:after="0" w:line="240" w:lineRule="auto"/>
              <w:jc w:val="center"/>
              <w:rPr>
                <w:rFonts w:hint="eastAsia" w:ascii="宋体"/>
                <w:sz w:val="18"/>
              </w:rPr>
            </w:pPr>
            <w:r>
              <w:rPr>
                <w:rFonts w:hint="eastAsia" w:ascii="宋体" w:hAnsi="宋体" w:cs="仿宋_GB2312"/>
                <w:spacing w:val="-2"/>
                <w:kern w:val="0"/>
                <w:szCs w:val="21"/>
                <w:lang w:val="en-US" w:eastAsia="zh-CN"/>
              </w:rPr>
              <w:t>12</w:t>
            </w:r>
          </w:p>
        </w:tc>
        <w:tc>
          <w:tcPr>
            <w:tcW w:w="2526" w:type="dxa"/>
            <w:shd w:val="clear" w:color="auto" w:fill="auto"/>
            <w:noWrap w:val="0"/>
            <w:vAlign w:val="center"/>
          </w:tcPr>
          <w:p w14:paraId="33D9DE55">
            <w:pPr>
              <w:adjustRightInd w:val="0"/>
              <w:snapToGrid w:val="0"/>
              <w:spacing w:after="0" w:line="240" w:lineRule="auto"/>
              <w:jc w:val="center"/>
              <w:rPr>
                <w:rFonts w:hint="eastAsia" w:ascii="宋体"/>
                <w:sz w:val="18"/>
              </w:rPr>
            </w:pPr>
            <w:r>
              <w:rPr>
                <w:rFonts w:hint="eastAsia" w:ascii="宋体" w:hAnsi="宋体" w:cs="宋体"/>
                <w:color w:val="auto"/>
                <w:sz w:val="21"/>
                <w:szCs w:val="21"/>
                <w:lang w:val="en-US" w:eastAsia="zh-CN"/>
              </w:rPr>
              <w:t>10</w:t>
            </w:r>
          </w:p>
        </w:tc>
        <w:tc>
          <w:tcPr>
            <w:tcW w:w="6195" w:type="dxa"/>
            <w:shd w:val="clear" w:color="auto" w:fill="auto"/>
            <w:noWrap w:val="0"/>
            <w:vAlign w:val="center"/>
          </w:tcPr>
          <w:p w14:paraId="1CDED390">
            <w:pPr>
              <w:jc w:val="left"/>
              <w:rPr>
                <w:rFonts w:hint="eastAsia" w:ascii="宋体"/>
                <w:sz w:val="18"/>
              </w:rPr>
            </w:pPr>
            <w:r>
              <w:rPr>
                <w:rFonts w:hint="eastAsia" w:ascii="宋体" w:hAnsi="宋体" w:cs="宋体"/>
                <w:color w:val="auto"/>
                <w:sz w:val="21"/>
                <w:szCs w:val="21"/>
                <w:lang w:eastAsia="zh-CN"/>
              </w:rPr>
              <w:t>本章所列的国标和行标，在</w:t>
            </w:r>
            <w:r>
              <w:rPr>
                <w:rFonts w:hint="eastAsia" w:ascii="宋体" w:hAnsi="宋体" w:cs="仿宋_GB2312"/>
                <w:spacing w:val="-2"/>
                <w:kern w:val="0"/>
                <w:szCs w:val="21"/>
                <w:lang w:val="en-US" w:eastAsia="zh-CN"/>
              </w:rPr>
              <w:t>2.规范性引用文件中全部要列出</w:t>
            </w:r>
          </w:p>
        </w:tc>
        <w:tc>
          <w:tcPr>
            <w:tcW w:w="2311" w:type="dxa"/>
            <w:shd w:val="clear" w:color="auto" w:fill="auto"/>
            <w:noWrap w:val="0"/>
            <w:vAlign w:val="center"/>
          </w:tcPr>
          <w:p w14:paraId="48B5A961">
            <w:pPr>
              <w:jc w:val="left"/>
              <w:rPr>
                <w:rFonts w:hint="eastAsia" w:ascii="宋体"/>
                <w:sz w:val="18"/>
              </w:rPr>
            </w:pPr>
            <w:r>
              <w:rPr>
                <w:rFonts w:hint="eastAsia"/>
              </w:rPr>
              <w:t>青海省动物疫病预防控制中心（傅义娟）</w:t>
            </w:r>
          </w:p>
        </w:tc>
        <w:tc>
          <w:tcPr>
            <w:tcW w:w="2201" w:type="dxa"/>
            <w:shd w:val="clear" w:color="auto" w:fill="auto"/>
            <w:noWrap w:val="0"/>
            <w:vAlign w:val="center"/>
          </w:tcPr>
          <w:p w14:paraId="20CE79CB">
            <w:pPr>
              <w:jc w:val="left"/>
              <w:rPr>
                <w:rFonts w:hint="eastAsia" w:ascii="宋体"/>
                <w:sz w:val="18"/>
              </w:rPr>
            </w:pPr>
            <w:r>
              <w:rPr>
                <w:rFonts w:hint="eastAsia" w:ascii="宋体" w:hAnsi="宋体" w:eastAsia="宋体" w:cs="仿宋_GB2312"/>
                <w:color w:val="auto"/>
                <w:spacing w:val="-2"/>
                <w:kern w:val="0"/>
                <w:sz w:val="21"/>
                <w:szCs w:val="21"/>
                <w:lang w:val="en-US" w:eastAsia="zh-CN" w:bidi="ar-SA"/>
              </w:rPr>
              <w:t>采纳。</w:t>
            </w:r>
          </w:p>
        </w:tc>
      </w:tr>
      <w:tr w14:paraId="62502F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941" w:type="dxa"/>
            <w:shd w:val="clear" w:color="auto" w:fill="auto"/>
            <w:noWrap w:val="0"/>
            <w:vAlign w:val="center"/>
          </w:tcPr>
          <w:p w14:paraId="3178005D">
            <w:pPr>
              <w:adjustRightInd w:val="0"/>
              <w:snapToGrid w:val="0"/>
              <w:spacing w:after="0" w:line="240" w:lineRule="auto"/>
              <w:jc w:val="center"/>
              <w:rPr>
                <w:rFonts w:hint="eastAsia" w:ascii="宋体"/>
                <w:sz w:val="18"/>
              </w:rPr>
            </w:pPr>
            <w:r>
              <w:rPr>
                <w:rFonts w:hint="eastAsia" w:ascii="宋体" w:hAnsi="宋体" w:cs="仿宋_GB2312"/>
                <w:spacing w:val="-2"/>
                <w:kern w:val="0"/>
                <w:szCs w:val="21"/>
                <w:lang w:val="en-US" w:eastAsia="zh-CN"/>
              </w:rPr>
              <w:t>13</w:t>
            </w:r>
          </w:p>
        </w:tc>
        <w:tc>
          <w:tcPr>
            <w:tcW w:w="2526" w:type="dxa"/>
            <w:shd w:val="clear" w:color="auto" w:fill="auto"/>
            <w:noWrap w:val="0"/>
            <w:vAlign w:val="center"/>
          </w:tcPr>
          <w:p w14:paraId="350C0084">
            <w:pPr>
              <w:adjustRightInd w:val="0"/>
              <w:snapToGrid w:val="0"/>
              <w:spacing w:after="0" w:line="240" w:lineRule="auto"/>
              <w:jc w:val="center"/>
              <w:rPr>
                <w:rFonts w:hint="eastAsia" w:ascii="宋体"/>
                <w:sz w:val="18"/>
              </w:rPr>
            </w:pPr>
            <w:r>
              <w:rPr>
                <w:rFonts w:hint="eastAsia" w:ascii="宋体" w:hAnsi="宋体" w:cs="宋体"/>
                <w:color w:val="auto"/>
                <w:sz w:val="21"/>
                <w:szCs w:val="21"/>
                <w:lang w:val="en-US" w:eastAsia="zh-CN"/>
              </w:rPr>
              <w:t>题目</w:t>
            </w:r>
          </w:p>
        </w:tc>
        <w:tc>
          <w:tcPr>
            <w:tcW w:w="6195" w:type="dxa"/>
            <w:shd w:val="clear" w:color="auto" w:fill="auto"/>
            <w:noWrap w:val="0"/>
            <w:vAlign w:val="center"/>
          </w:tcPr>
          <w:p w14:paraId="19257130">
            <w:pPr>
              <w:jc w:val="left"/>
              <w:rPr>
                <w:rFonts w:hint="eastAsia" w:ascii="宋体"/>
                <w:sz w:val="18"/>
              </w:rPr>
            </w:pPr>
            <w:r>
              <w:rPr>
                <w:rFonts w:hint="eastAsia" w:ascii="宋体" w:hAnsi="宋体" w:cs="宋体"/>
                <w:color w:val="auto"/>
                <w:sz w:val="21"/>
                <w:szCs w:val="21"/>
                <w:lang w:eastAsia="zh-CN"/>
              </w:rPr>
              <w:t>建议删除“青海”，本标准就是青海省地方标准</w:t>
            </w:r>
          </w:p>
        </w:tc>
        <w:tc>
          <w:tcPr>
            <w:tcW w:w="2311" w:type="dxa"/>
            <w:shd w:val="clear" w:color="auto" w:fill="auto"/>
            <w:noWrap w:val="0"/>
            <w:vAlign w:val="center"/>
          </w:tcPr>
          <w:p w14:paraId="19FE1666">
            <w:pPr>
              <w:jc w:val="left"/>
              <w:rPr>
                <w:rFonts w:hint="eastAsia" w:ascii="宋体"/>
                <w:sz w:val="18"/>
              </w:rPr>
            </w:pPr>
            <w:r>
              <w:rPr>
                <w:rFonts w:hint="eastAsia"/>
              </w:rPr>
              <w:t>青海省动物疫病预防控制中心（傅义娟）</w:t>
            </w:r>
          </w:p>
        </w:tc>
        <w:tc>
          <w:tcPr>
            <w:tcW w:w="2201" w:type="dxa"/>
            <w:shd w:val="clear" w:color="auto" w:fill="auto"/>
            <w:noWrap w:val="0"/>
            <w:vAlign w:val="center"/>
          </w:tcPr>
          <w:p w14:paraId="71D199C5">
            <w:pPr>
              <w:jc w:val="left"/>
              <w:rPr>
                <w:rFonts w:hint="eastAsia" w:ascii="宋体"/>
                <w:sz w:val="18"/>
              </w:rPr>
            </w:pPr>
            <w:r>
              <w:rPr>
                <w:rFonts w:hint="eastAsia" w:ascii="宋体" w:hAnsi="宋体" w:eastAsia="宋体" w:cs="仿宋_GB2312"/>
                <w:color w:val="auto"/>
                <w:spacing w:val="-2"/>
                <w:kern w:val="0"/>
                <w:sz w:val="21"/>
                <w:szCs w:val="21"/>
                <w:lang w:val="en-US" w:eastAsia="zh-CN" w:bidi="ar-SA"/>
              </w:rPr>
              <w:t>采纳。</w:t>
            </w:r>
          </w:p>
        </w:tc>
      </w:tr>
      <w:tr w14:paraId="5EEC2D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941" w:type="dxa"/>
            <w:shd w:val="clear" w:color="auto" w:fill="auto"/>
            <w:noWrap w:val="0"/>
            <w:vAlign w:val="center"/>
          </w:tcPr>
          <w:p w14:paraId="2003BCFE">
            <w:pPr>
              <w:adjustRightInd w:val="0"/>
              <w:snapToGrid w:val="0"/>
              <w:spacing w:after="0" w:line="240" w:lineRule="auto"/>
              <w:jc w:val="center"/>
              <w:rPr>
                <w:rFonts w:hint="eastAsia" w:ascii="宋体"/>
                <w:sz w:val="18"/>
              </w:rPr>
            </w:pPr>
            <w:r>
              <w:rPr>
                <w:rFonts w:hint="eastAsia" w:ascii="宋体" w:hAnsi="宋体" w:cs="仿宋_GB2312"/>
                <w:spacing w:val="-2"/>
                <w:kern w:val="0"/>
                <w:szCs w:val="21"/>
                <w:lang w:val="en-US" w:eastAsia="zh-CN"/>
              </w:rPr>
              <w:t>14</w:t>
            </w:r>
          </w:p>
        </w:tc>
        <w:tc>
          <w:tcPr>
            <w:tcW w:w="2526" w:type="dxa"/>
            <w:shd w:val="clear" w:color="auto" w:fill="auto"/>
            <w:noWrap w:val="0"/>
            <w:vAlign w:val="center"/>
          </w:tcPr>
          <w:p w14:paraId="2727F3C6">
            <w:pPr>
              <w:keepNext w:val="0"/>
              <w:keepLines w:val="0"/>
              <w:pageBreakBefore w:val="0"/>
              <w:kinsoku/>
              <w:wordWrap/>
              <w:overflowPunct/>
              <w:topLinePunct w:val="0"/>
              <w:bidi w:val="0"/>
              <w:adjustRightInd w:val="0"/>
              <w:snapToGrid w:val="0"/>
              <w:spacing w:after="0" w:line="300" w:lineRule="exact"/>
              <w:jc w:val="center"/>
              <w:textAlignment w:val="auto"/>
              <w:rPr>
                <w:rFonts w:hint="eastAsia" w:ascii="宋体"/>
                <w:sz w:val="18"/>
              </w:rPr>
            </w:pPr>
            <w:r>
              <w:rPr>
                <w:rFonts w:hint="eastAsia" w:ascii="宋体" w:hAnsi="宋体" w:cs="仿宋_GB2312"/>
                <w:spacing w:val="-2"/>
                <w:kern w:val="0"/>
                <w:szCs w:val="21"/>
                <w:lang w:val="en-US" w:eastAsia="zh-CN"/>
              </w:rPr>
              <w:t>1</w:t>
            </w:r>
          </w:p>
        </w:tc>
        <w:tc>
          <w:tcPr>
            <w:tcW w:w="6195" w:type="dxa"/>
            <w:shd w:val="clear" w:color="auto" w:fill="auto"/>
            <w:noWrap w:val="0"/>
            <w:vAlign w:val="center"/>
          </w:tcPr>
          <w:p w14:paraId="0A4D25B6">
            <w:pPr>
              <w:pStyle w:val="2"/>
              <w:keepNext w:val="0"/>
              <w:keepLines w:val="0"/>
              <w:pageBreakBefore w:val="0"/>
              <w:kinsoku/>
              <w:wordWrap/>
              <w:overflowPunct/>
              <w:topLinePunct w:val="0"/>
              <w:bidi w:val="0"/>
              <w:adjustRightInd w:val="0"/>
              <w:snapToGrid w:val="0"/>
              <w:spacing w:line="300" w:lineRule="exact"/>
              <w:ind w:left="0" w:leftChars="0" w:right="100" w:rightChars="0"/>
              <w:textAlignment w:val="auto"/>
              <w:rPr>
                <w:rFonts w:hint="eastAsia" w:ascii="宋体"/>
                <w:sz w:val="18"/>
              </w:rPr>
            </w:pPr>
            <w:r>
              <w:rPr>
                <w:rFonts w:hint="eastAsia"/>
                <w:lang w:val="en-US" w:eastAsia="zh-CN"/>
              </w:rPr>
              <w:t>规定的相关技术要求内容要与文中的章标题不一致，建议调为一致</w:t>
            </w:r>
          </w:p>
        </w:tc>
        <w:tc>
          <w:tcPr>
            <w:tcW w:w="2311" w:type="dxa"/>
            <w:shd w:val="clear" w:color="auto" w:fill="auto"/>
            <w:noWrap w:val="0"/>
            <w:vAlign w:val="center"/>
          </w:tcPr>
          <w:p w14:paraId="0120DA28">
            <w:pPr>
              <w:jc w:val="left"/>
              <w:rPr>
                <w:rFonts w:hint="eastAsia" w:ascii="宋体"/>
                <w:sz w:val="18"/>
              </w:rPr>
            </w:pPr>
            <w:r>
              <w:rPr>
                <w:rFonts w:hint="eastAsia" w:ascii="宋体" w:hAnsi="宋体" w:eastAsia="宋体" w:cs="仿宋_GB2312"/>
                <w:spacing w:val="-2"/>
                <w:kern w:val="0"/>
                <w:sz w:val="21"/>
                <w:szCs w:val="21"/>
                <w:lang w:val="en-US" w:eastAsia="zh-CN" w:bidi="ar-SA"/>
              </w:rPr>
              <w:t>青海省动植物检疫站（刘海珍）</w:t>
            </w:r>
          </w:p>
        </w:tc>
        <w:tc>
          <w:tcPr>
            <w:tcW w:w="2201" w:type="dxa"/>
            <w:shd w:val="clear" w:color="auto" w:fill="auto"/>
            <w:noWrap w:val="0"/>
            <w:vAlign w:val="center"/>
          </w:tcPr>
          <w:p w14:paraId="09201CD2">
            <w:pPr>
              <w:jc w:val="left"/>
              <w:rPr>
                <w:rFonts w:hint="eastAsia" w:ascii="宋体"/>
                <w:sz w:val="18"/>
              </w:rPr>
            </w:pPr>
            <w:r>
              <w:rPr>
                <w:rFonts w:hint="eastAsia" w:ascii="宋体" w:hAnsi="宋体" w:eastAsia="宋体" w:cs="仿宋_GB2312"/>
                <w:color w:val="auto"/>
                <w:spacing w:val="-2"/>
                <w:kern w:val="0"/>
                <w:sz w:val="21"/>
                <w:szCs w:val="21"/>
                <w:lang w:val="en-US" w:eastAsia="zh-CN" w:bidi="ar-SA"/>
              </w:rPr>
              <w:t>采纳。</w:t>
            </w:r>
          </w:p>
        </w:tc>
      </w:tr>
      <w:tr w14:paraId="31CDD1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941" w:type="dxa"/>
            <w:shd w:val="clear" w:color="auto" w:fill="auto"/>
            <w:noWrap w:val="0"/>
            <w:vAlign w:val="center"/>
          </w:tcPr>
          <w:p w14:paraId="3E3E6E79">
            <w:pPr>
              <w:adjustRightInd w:val="0"/>
              <w:snapToGrid w:val="0"/>
              <w:spacing w:after="0" w:line="240" w:lineRule="auto"/>
              <w:jc w:val="center"/>
              <w:rPr>
                <w:rFonts w:hint="eastAsia" w:ascii="宋体"/>
                <w:sz w:val="18"/>
              </w:rPr>
            </w:pPr>
            <w:r>
              <w:rPr>
                <w:rFonts w:hint="eastAsia" w:ascii="宋体" w:hAnsi="宋体" w:cs="仿宋_GB2312"/>
                <w:spacing w:val="-2"/>
                <w:kern w:val="0"/>
                <w:szCs w:val="21"/>
                <w:lang w:val="en-US" w:eastAsia="zh-CN"/>
              </w:rPr>
              <w:t>15</w:t>
            </w:r>
          </w:p>
        </w:tc>
        <w:tc>
          <w:tcPr>
            <w:tcW w:w="2526" w:type="dxa"/>
            <w:shd w:val="clear" w:color="auto" w:fill="auto"/>
            <w:noWrap w:val="0"/>
            <w:vAlign w:val="center"/>
          </w:tcPr>
          <w:p w14:paraId="1FC1FCCE">
            <w:pPr>
              <w:keepNext w:val="0"/>
              <w:keepLines w:val="0"/>
              <w:pageBreakBefore w:val="0"/>
              <w:kinsoku/>
              <w:wordWrap/>
              <w:overflowPunct/>
              <w:topLinePunct w:val="0"/>
              <w:bidi w:val="0"/>
              <w:adjustRightInd w:val="0"/>
              <w:snapToGrid w:val="0"/>
              <w:spacing w:after="0" w:line="300" w:lineRule="exact"/>
              <w:jc w:val="center"/>
              <w:textAlignment w:val="auto"/>
              <w:rPr>
                <w:rFonts w:hint="eastAsia" w:ascii="宋体"/>
                <w:sz w:val="18"/>
              </w:rPr>
            </w:pPr>
            <w:r>
              <w:rPr>
                <w:rFonts w:hint="eastAsia" w:ascii="宋体" w:hAnsi="宋体" w:cs="仿宋_GB2312"/>
                <w:spacing w:val="-2"/>
                <w:kern w:val="0"/>
                <w:szCs w:val="21"/>
                <w:lang w:val="en-US" w:eastAsia="zh-CN"/>
              </w:rPr>
              <w:t>2</w:t>
            </w:r>
          </w:p>
        </w:tc>
        <w:tc>
          <w:tcPr>
            <w:tcW w:w="6195" w:type="dxa"/>
            <w:shd w:val="clear" w:color="auto" w:fill="auto"/>
            <w:noWrap w:val="0"/>
            <w:vAlign w:val="center"/>
          </w:tcPr>
          <w:p w14:paraId="6ECAAE1A">
            <w:pPr>
              <w:pStyle w:val="8"/>
              <w:keepNext w:val="0"/>
              <w:keepLines w:val="0"/>
              <w:pageBreakBefore w:val="0"/>
              <w:kinsoku/>
              <w:wordWrap/>
              <w:overflowPunct/>
              <w:topLinePunct w:val="0"/>
              <w:bidi w:val="0"/>
              <w:spacing w:line="300" w:lineRule="exact"/>
              <w:ind w:left="0" w:leftChars="0" w:firstLine="0" w:firstLineChars="0"/>
              <w:textAlignment w:val="auto"/>
              <w:rPr>
                <w:rFonts w:hint="eastAsia" w:ascii="宋体"/>
                <w:sz w:val="18"/>
              </w:rPr>
            </w:pPr>
            <w:r>
              <w:rPr>
                <w:rFonts w:hint="eastAsia" w:hAnsi="宋体" w:cs="仿宋_GB2312"/>
                <w:spacing w:val="-2"/>
                <w:kern w:val="0"/>
                <w:szCs w:val="21"/>
                <w:lang w:eastAsia="zh-CN"/>
              </w:rPr>
              <w:t>将已废止的</w:t>
            </w:r>
            <w:r>
              <w:rPr>
                <w:rFonts w:hint="eastAsia"/>
                <w:lang w:eastAsia="zh-CN"/>
              </w:rPr>
              <w:t>无公害标准</w:t>
            </w:r>
            <w:r>
              <w:rPr>
                <w:rFonts w:hint="eastAsia" w:hAnsi="宋体" w:cs="仿宋_GB2312"/>
                <w:spacing w:val="-2"/>
                <w:kern w:val="0"/>
                <w:szCs w:val="21"/>
                <w:lang w:eastAsia="zh-CN"/>
              </w:rPr>
              <w:t>删除；同时不应引用国家相关法律法规，建议删除；</w:t>
            </w:r>
          </w:p>
        </w:tc>
        <w:tc>
          <w:tcPr>
            <w:tcW w:w="2311" w:type="dxa"/>
            <w:shd w:val="clear" w:color="auto" w:fill="auto"/>
            <w:noWrap w:val="0"/>
            <w:vAlign w:val="center"/>
          </w:tcPr>
          <w:p w14:paraId="61D6942C">
            <w:pPr>
              <w:jc w:val="both"/>
              <w:rPr>
                <w:rFonts w:hint="eastAsia" w:ascii="宋体"/>
                <w:sz w:val="18"/>
              </w:rPr>
            </w:pPr>
            <w:r>
              <w:rPr>
                <w:rFonts w:hint="eastAsia" w:ascii="宋体" w:hAnsi="宋体" w:eastAsia="宋体" w:cs="仿宋_GB2312"/>
                <w:spacing w:val="-2"/>
                <w:kern w:val="0"/>
                <w:sz w:val="21"/>
                <w:szCs w:val="21"/>
                <w:lang w:val="en-US" w:eastAsia="zh-CN" w:bidi="ar-SA"/>
              </w:rPr>
              <w:t>青海省动植物检疫站（刘海珍）</w:t>
            </w:r>
          </w:p>
        </w:tc>
        <w:tc>
          <w:tcPr>
            <w:tcW w:w="2201" w:type="dxa"/>
            <w:shd w:val="clear" w:color="auto" w:fill="auto"/>
            <w:noWrap w:val="0"/>
            <w:vAlign w:val="center"/>
          </w:tcPr>
          <w:p w14:paraId="0C62E0BE">
            <w:pPr>
              <w:jc w:val="both"/>
              <w:rPr>
                <w:rFonts w:hint="eastAsia" w:ascii="宋体"/>
                <w:sz w:val="18"/>
              </w:rPr>
            </w:pPr>
            <w:r>
              <w:rPr>
                <w:rFonts w:hint="eastAsia" w:ascii="宋体" w:hAnsi="宋体" w:eastAsia="宋体" w:cs="仿宋_GB2312"/>
                <w:color w:val="auto"/>
                <w:spacing w:val="-2"/>
                <w:kern w:val="0"/>
                <w:sz w:val="21"/>
                <w:szCs w:val="21"/>
                <w:lang w:val="en-US" w:eastAsia="zh-CN" w:bidi="ar-SA"/>
              </w:rPr>
              <w:t>采纳。</w:t>
            </w:r>
          </w:p>
        </w:tc>
      </w:tr>
      <w:tr w14:paraId="5EFE49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941" w:type="dxa"/>
            <w:shd w:val="clear" w:color="auto" w:fill="auto"/>
            <w:noWrap w:val="0"/>
            <w:vAlign w:val="center"/>
          </w:tcPr>
          <w:p w14:paraId="2C57D3C3">
            <w:pPr>
              <w:adjustRightInd w:val="0"/>
              <w:snapToGrid w:val="0"/>
              <w:spacing w:after="0" w:line="240" w:lineRule="auto"/>
              <w:jc w:val="center"/>
              <w:rPr>
                <w:rFonts w:hint="eastAsia" w:ascii="宋体"/>
                <w:sz w:val="18"/>
              </w:rPr>
            </w:pPr>
            <w:r>
              <w:rPr>
                <w:rFonts w:hint="eastAsia" w:ascii="宋体" w:hAnsi="宋体" w:cs="仿宋_GB2312"/>
                <w:spacing w:val="-2"/>
                <w:kern w:val="0"/>
                <w:szCs w:val="21"/>
                <w:lang w:val="en-US" w:eastAsia="zh-CN"/>
              </w:rPr>
              <w:t>16</w:t>
            </w:r>
          </w:p>
        </w:tc>
        <w:tc>
          <w:tcPr>
            <w:tcW w:w="2526" w:type="dxa"/>
            <w:shd w:val="clear" w:color="auto" w:fill="auto"/>
            <w:noWrap w:val="0"/>
            <w:vAlign w:val="center"/>
          </w:tcPr>
          <w:p w14:paraId="7FCEDF05">
            <w:pPr>
              <w:keepNext w:val="0"/>
              <w:keepLines w:val="0"/>
              <w:pageBreakBefore w:val="0"/>
              <w:kinsoku/>
              <w:wordWrap/>
              <w:overflowPunct/>
              <w:topLinePunct w:val="0"/>
              <w:bidi w:val="0"/>
              <w:adjustRightInd w:val="0"/>
              <w:snapToGrid w:val="0"/>
              <w:spacing w:after="0" w:line="300" w:lineRule="exact"/>
              <w:jc w:val="center"/>
              <w:textAlignment w:val="auto"/>
              <w:rPr>
                <w:rFonts w:hint="eastAsia" w:ascii="宋体"/>
                <w:sz w:val="18"/>
              </w:rPr>
            </w:pPr>
            <w:r>
              <w:rPr>
                <w:rFonts w:hint="eastAsia" w:ascii="宋体" w:hAnsi="宋体" w:cs="仿宋_GB2312"/>
                <w:spacing w:val="-2"/>
                <w:kern w:val="0"/>
                <w:szCs w:val="21"/>
                <w:lang w:val="en-US" w:eastAsia="zh-CN"/>
              </w:rPr>
              <w:t>3.1</w:t>
            </w:r>
          </w:p>
        </w:tc>
        <w:tc>
          <w:tcPr>
            <w:tcW w:w="6195" w:type="dxa"/>
            <w:shd w:val="clear" w:color="auto" w:fill="auto"/>
            <w:noWrap w:val="0"/>
            <w:vAlign w:val="center"/>
          </w:tcPr>
          <w:p w14:paraId="5E093A38">
            <w:pPr>
              <w:keepNext w:val="0"/>
              <w:keepLines w:val="0"/>
              <w:pageBreakBefore w:val="0"/>
              <w:kinsoku/>
              <w:wordWrap/>
              <w:overflowPunct/>
              <w:topLinePunct w:val="0"/>
              <w:bidi w:val="0"/>
              <w:adjustRightInd w:val="0"/>
              <w:snapToGrid w:val="0"/>
              <w:spacing w:after="0" w:line="300" w:lineRule="exact"/>
              <w:jc w:val="left"/>
              <w:textAlignment w:val="auto"/>
              <w:rPr>
                <w:rFonts w:hint="eastAsia" w:ascii="宋体"/>
                <w:sz w:val="18"/>
              </w:rPr>
            </w:pPr>
            <w:r>
              <w:rPr>
                <w:rFonts w:hint="eastAsia" w:ascii="宋体" w:hAnsi="宋体" w:cs="仿宋_GB2312"/>
                <w:spacing w:val="-2"/>
                <w:kern w:val="0"/>
                <w:szCs w:val="21"/>
                <w:lang w:eastAsia="zh-CN"/>
              </w:rPr>
              <w:t>英文建议删除</w:t>
            </w:r>
          </w:p>
        </w:tc>
        <w:tc>
          <w:tcPr>
            <w:tcW w:w="2311" w:type="dxa"/>
            <w:shd w:val="clear" w:color="auto" w:fill="auto"/>
            <w:noWrap w:val="0"/>
            <w:vAlign w:val="center"/>
          </w:tcPr>
          <w:p w14:paraId="33DFDFE0">
            <w:pPr>
              <w:jc w:val="both"/>
              <w:rPr>
                <w:rFonts w:hint="eastAsia" w:ascii="宋体"/>
                <w:sz w:val="18"/>
              </w:rPr>
            </w:pPr>
            <w:r>
              <w:rPr>
                <w:rFonts w:hint="eastAsia" w:ascii="宋体" w:hAnsi="宋体" w:eastAsia="宋体" w:cs="仿宋_GB2312"/>
                <w:spacing w:val="-2"/>
                <w:kern w:val="0"/>
                <w:sz w:val="21"/>
                <w:szCs w:val="21"/>
                <w:lang w:val="en-US" w:eastAsia="zh-CN" w:bidi="ar-SA"/>
              </w:rPr>
              <w:t>青海省动植物检疫站（刘海珍）</w:t>
            </w:r>
          </w:p>
        </w:tc>
        <w:tc>
          <w:tcPr>
            <w:tcW w:w="2201" w:type="dxa"/>
            <w:shd w:val="clear" w:color="auto" w:fill="auto"/>
            <w:noWrap w:val="0"/>
            <w:vAlign w:val="center"/>
          </w:tcPr>
          <w:p w14:paraId="20ADBF1F">
            <w:pPr>
              <w:jc w:val="both"/>
              <w:rPr>
                <w:rFonts w:hint="eastAsia" w:ascii="宋体"/>
                <w:sz w:val="18"/>
              </w:rPr>
            </w:pPr>
            <w:r>
              <w:rPr>
                <w:rFonts w:hint="eastAsia"/>
                <w:color w:val="auto"/>
                <w:lang w:val="en-US" w:eastAsia="zh-CN"/>
              </w:rPr>
              <w:t>不采纳。世界性的机构可标注引文缩写。</w:t>
            </w:r>
          </w:p>
        </w:tc>
      </w:tr>
      <w:tr w14:paraId="7EA1F9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941" w:type="dxa"/>
            <w:shd w:val="clear" w:color="auto" w:fill="auto"/>
            <w:noWrap w:val="0"/>
            <w:vAlign w:val="center"/>
          </w:tcPr>
          <w:p w14:paraId="5132803C">
            <w:pPr>
              <w:adjustRightInd w:val="0"/>
              <w:snapToGrid w:val="0"/>
              <w:spacing w:after="0" w:line="240" w:lineRule="auto"/>
              <w:jc w:val="center"/>
              <w:rPr>
                <w:rFonts w:hint="eastAsia" w:ascii="宋体"/>
                <w:sz w:val="18"/>
              </w:rPr>
            </w:pPr>
            <w:r>
              <w:rPr>
                <w:rFonts w:hint="eastAsia" w:ascii="宋体" w:hAnsi="宋体" w:cs="仿宋_GB2312"/>
                <w:spacing w:val="-2"/>
                <w:kern w:val="0"/>
                <w:szCs w:val="21"/>
                <w:lang w:val="en-US" w:eastAsia="zh-CN"/>
              </w:rPr>
              <w:t>17</w:t>
            </w:r>
          </w:p>
        </w:tc>
        <w:tc>
          <w:tcPr>
            <w:tcW w:w="2526" w:type="dxa"/>
            <w:shd w:val="clear" w:color="auto" w:fill="auto"/>
            <w:noWrap w:val="0"/>
            <w:vAlign w:val="center"/>
          </w:tcPr>
          <w:p w14:paraId="7B304C8F">
            <w:pPr>
              <w:keepNext w:val="0"/>
              <w:keepLines w:val="0"/>
              <w:pageBreakBefore w:val="0"/>
              <w:kinsoku/>
              <w:wordWrap/>
              <w:overflowPunct/>
              <w:topLinePunct w:val="0"/>
              <w:bidi w:val="0"/>
              <w:adjustRightInd w:val="0"/>
              <w:snapToGrid w:val="0"/>
              <w:spacing w:after="0" w:line="300" w:lineRule="exact"/>
              <w:jc w:val="center"/>
              <w:textAlignment w:val="auto"/>
              <w:rPr>
                <w:rFonts w:hint="eastAsia" w:ascii="宋体"/>
                <w:sz w:val="18"/>
              </w:rPr>
            </w:pPr>
            <w:r>
              <w:rPr>
                <w:rFonts w:hint="eastAsia" w:ascii="宋体" w:hAnsi="宋体" w:cs="仿宋_GB2312"/>
                <w:spacing w:val="-2"/>
                <w:kern w:val="0"/>
                <w:szCs w:val="21"/>
                <w:lang w:val="en-US" w:eastAsia="zh-CN"/>
              </w:rPr>
              <w:t>7</w:t>
            </w:r>
          </w:p>
        </w:tc>
        <w:tc>
          <w:tcPr>
            <w:tcW w:w="6195" w:type="dxa"/>
            <w:shd w:val="clear" w:color="auto" w:fill="auto"/>
            <w:noWrap w:val="0"/>
            <w:vAlign w:val="center"/>
          </w:tcPr>
          <w:p w14:paraId="70358302">
            <w:pPr>
              <w:keepNext w:val="0"/>
              <w:keepLines w:val="0"/>
              <w:pageBreakBefore w:val="0"/>
              <w:kinsoku/>
              <w:wordWrap/>
              <w:overflowPunct/>
              <w:topLinePunct w:val="0"/>
              <w:bidi w:val="0"/>
              <w:adjustRightInd w:val="0"/>
              <w:snapToGrid w:val="0"/>
              <w:spacing w:after="0" w:line="300" w:lineRule="exact"/>
              <w:jc w:val="left"/>
              <w:textAlignment w:val="auto"/>
              <w:rPr>
                <w:rFonts w:hint="eastAsia" w:ascii="宋体"/>
                <w:sz w:val="18"/>
              </w:rPr>
            </w:pPr>
            <w:r>
              <w:rPr>
                <w:rFonts w:hint="eastAsia" w:ascii="宋体" w:hAnsi="宋体"/>
                <w:szCs w:val="21"/>
                <w:lang w:val="en-US" w:eastAsia="zh-CN"/>
              </w:rPr>
              <w:t>此条款与现有的国家标准、行业标准的内容是否一致，如果没有区别的话建议直接采纳</w:t>
            </w:r>
          </w:p>
        </w:tc>
        <w:tc>
          <w:tcPr>
            <w:tcW w:w="2311" w:type="dxa"/>
            <w:shd w:val="clear" w:color="auto" w:fill="auto"/>
            <w:noWrap w:val="0"/>
            <w:vAlign w:val="center"/>
          </w:tcPr>
          <w:p w14:paraId="068C81CD">
            <w:pPr>
              <w:jc w:val="both"/>
              <w:rPr>
                <w:rFonts w:hint="eastAsia" w:ascii="宋体"/>
                <w:sz w:val="18"/>
              </w:rPr>
            </w:pPr>
            <w:r>
              <w:rPr>
                <w:rFonts w:hint="eastAsia" w:ascii="宋体" w:hAnsi="宋体" w:eastAsia="宋体" w:cs="仿宋_GB2312"/>
                <w:spacing w:val="-2"/>
                <w:kern w:val="0"/>
                <w:sz w:val="21"/>
                <w:szCs w:val="21"/>
                <w:lang w:val="en-US" w:eastAsia="zh-CN" w:bidi="ar-SA"/>
              </w:rPr>
              <w:t>青海省动植物检疫站（刘海珍）</w:t>
            </w:r>
          </w:p>
        </w:tc>
        <w:tc>
          <w:tcPr>
            <w:tcW w:w="2201" w:type="dxa"/>
            <w:shd w:val="clear" w:color="auto" w:fill="auto"/>
            <w:noWrap w:val="0"/>
            <w:vAlign w:val="center"/>
          </w:tcPr>
          <w:p w14:paraId="1C9AA5DB">
            <w:pPr>
              <w:keepNext w:val="0"/>
              <w:keepLines w:val="0"/>
              <w:pageBreakBefore w:val="0"/>
              <w:kinsoku/>
              <w:wordWrap/>
              <w:overflowPunct/>
              <w:topLinePunct w:val="0"/>
              <w:bidi w:val="0"/>
              <w:adjustRightInd w:val="0"/>
              <w:snapToGrid w:val="0"/>
              <w:spacing w:after="0" w:line="300" w:lineRule="exact"/>
              <w:jc w:val="left"/>
              <w:textAlignment w:val="auto"/>
              <w:rPr>
                <w:rFonts w:hint="eastAsia" w:ascii="宋体"/>
                <w:sz w:val="18"/>
              </w:rPr>
            </w:pPr>
            <w:r>
              <w:rPr>
                <w:rFonts w:hint="eastAsia" w:ascii="宋体" w:hAnsi="宋体" w:cs="仿宋_GB2312"/>
                <w:color w:val="auto"/>
                <w:spacing w:val="-2"/>
                <w:kern w:val="0"/>
                <w:szCs w:val="21"/>
                <w:lang w:val="en-US" w:eastAsia="zh-CN"/>
              </w:rPr>
              <w:t>不采纳。与</w:t>
            </w:r>
            <w:r>
              <w:rPr>
                <w:rFonts w:hint="eastAsia" w:ascii="宋体" w:hAnsi="宋体" w:cs="仿宋_GB2312"/>
                <w:color w:val="auto"/>
                <w:spacing w:val="-2"/>
                <w:kern w:val="0"/>
                <w:szCs w:val="21"/>
                <w:lang w:eastAsia="zh-CN"/>
              </w:rPr>
              <w:t>已有的标准</w:t>
            </w:r>
            <w:r>
              <w:rPr>
                <w:rFonts w:hint="eastAsia" w:ascii="宋体" w:hAnsi="宋体" w:cs="仿宋_GB2312"/>
                <w:color w:val="auto"/>
                <w:spacing w:val="-2"/>
                <w:kern w:val="0"/>
                <w:szCs w:val="21"/>
                <w:lang w:val="en-US" w:eastAsia="zh-CN"/>
              </w:rPr>
              <w:t>有不同。</w:t>
            </w:r>
          </w:p>
        </w:tc>
      </w:tr>
      <w:tr w14:paraId="5AF465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941" w:type="dxa"/>
            <w:shd w:val="clear" w:color="auto" w:fill="auto"/>
            <w:noWrap w:val="0"/>
            <w:vAlign w:val="center"/>
          </w:tcPr>
          <w:p w14:paraId="43428CD3">
            <w:pPr>
              <w:adjustRightInd w:val="0"/>
              <w:snapToGrid w:val="0"/>
              <w:spacing w:after="0" w:line="240" w:lineRule="auto"/>
              <w:jc w:val="center"/>
              <w:rPr>
                <w:rFonts w:hint="eastAsia" w:ascii="宋体"/>
                <w:sz w:val="18"/>
              </w:rPr>
            </w:pPr>
            <w:r>
              <w:rPr>
                <w:rFonts w:hint="eastAsia" w:ascii="宋体" w:hAnsi="宋体" w:cs="仿宋_GB2312"/>
                <w:spacing w:val="-2"/>
                <w:kern w:val="0"/>
                <w:szCs w:val="21"/>
                <w:lang w:val="en-US" w:eastAsia="zh-CN"/>
              </w:rPr>
              <w:t>18</w:t>
            </w:r>
          </w:p>
        </w:tc>
        <w:tc>
          <w:tcPr>
            <w:tcW w:w="2526" w:type="dxa"/>
            <w:shd w:val="clear" w:color="auto" w:fill="auto"/>
            <w:noWrap w:val="0"/>
            <w:vAlign w:val="center"/>
          </w:tcPr>
          <w:p w14:paraId="6E56FC81">
            <w:pPr>
              <w:keepNext w:val="0"/>
              <w:keepLines w:val="0"/>
              <w:pageBreakBefore w:val="0"/>
              <w:kinsoku/>
              <w:wordWrap/>
              <w:overflowPunct/>
              <w:topLinePunct w:val="0"/>
              <w:bidi w:val="0"/>
              <w:adjustRightInd w:val="0"/>
              <w:snapToGrid w:val="0"/>
              <w:spacing w:after="0" w:line="300" w:lineRule="exact"/>
              <w:jc w:val="center"/>
              <w:textAlignment w:val="auto"/>
              <w:rPr>
                <w:rFonts w:hint="eastAsia" w:ascii="宋体"/>
                <w:sz w:val="18"/>
              </w:rPr>
            </w:pPr>
            <w:r>
              <w:rPr>
                <w:rFonts w:hint="eastAsia" w:ascii="宋体" w:hAnsi="宋体" w:cs="仿宋_GB2312"/>
                <w:spacing w:val="-2"/>
                <w:kern w:val="0"/>
                <w:szCs w:val="21"/>
                <w:lang w:val="en-US" w:eastAsia="zh-CN"/>
              </w:rPr>
              <w:t>10.3</w:t>
            </w:r>
          </w:p>
        </w:tc>
        <w:tc>
          <w:tcPr>
            <w:tcW w:w="6195" w:type="dxa"/>
            <w:shd w:val="clear" w:color="auto" w:fill="auto"/>
            <w:noWrap w:val="0"/>
            <w:vAlign w:val="center"/>
          </w:tcPr>
          <w:p w14:paraId="377165E4">
            <w:pPr>
              <w:keepNext w:val="0"/>
              <w:keepLines w:val="0"/>
              <w:pageBreakBefore w:val="0"/>
              <w:kinsoku/>
              <w:wordWrap/>
              <w:overflowPunct/>
              <w:topLinePunct w:val="0"/>
              <w:bidi w:val="0"/>
              <w:adjustRightInd w:val="0"/>
              <w:snapToGrid w:val="0"/>
              <w:spacing w:after="0" w:line="300" w:lineRule="exact"/>
              <w:jc w:val="left"/>
              <w:textAlignment w:val="auto"/>
              <w:rPr>
                <w:rFonts w:hint="eastAsia" w:ascii="宋体"/>
                <w:sz w:val="18"/>
              </w:rPr>
            </w:pPr>
            <w:r>
              <w:rPr>
                <w:rFonts w:hint="eastAsia" w:ascii="宋体" w:hAnsi="宋体" w:cs="仿宋_GB2312"/>
                <w:spacing w:val="-2"/>
                <w:kern w:val="0"/>
                <w:szCs w:val="21"/>
                <w:lang w:eastAsia="zh-CN"/>
              </w:rPr>
              <w:t>建议将</w:t>
            </w:r>
            <w:r>
              <w:rPr>
                <w:rFonts w:hint="eastAsia" w:ascii="宋体" w:hAnsi="宋体" w:eastAsia="宋体" w:cs="宋体"/>
                <w:color w:val="auto"/>
                <w:sz w:val="21"/>
                <w:szCs w:val="21"/>
              </w:rPr>
              <w:t xml:space="preserve">7.2.4 </w:t>
            </w:r>
            <w:r>
              <w:rPr>
                <w:rFonts w:hint="eastAsia" w:ascii="宋体" w:hAnsi="宋体" w:cs="宋体"/>
                <w:color w:val="auto"/>
                <w:sz w:val="21"/>
                <w:szCs w:val="21"/>
                <w:lang w:eastAsia="zh-CN"/>
              </w:rPr>
              <w:t>和</w:t>
            </w:r>
            <w:r>
              <w:rPr>
                <w:rFonts w:hint="eastAsia" w:ascii="宋体" w:hAnsi="宋体" w:cs="宋体"/>
                <w:color w:val="auto"/>
                <w:sz w:val="21"/>
                <w:szCs w:val="21"/>
                <w:lang w:val="en-US" w:eastAsia="zh-CN"/>
              </w:rPr>
              <w:t>10.3关于粪便相关内容整合</w:t>
            </w:r>
          </w:p>
        </w:tc>
        <w:tc>
          <w:tcPr>
            <w:tcW w:w="2311" w:type="dxa"/>
            <w:shd w:val="clear" w:color="auto" w:fill="auto"/>
            <w:noWrap w:val="0"/>
            <w:vAlign w:val="center"/>
          </w:tcPr>
          <w:p w14:paraId="675434C5">
            <w:pPr>
              <w:jc w:val="both"/>
              <w:rPr>
                <w:rFonts w:hint="eastAsia" w:ascii="宋体"/>
                <w:sz w:val="18"/>
              </w:rPr>
            </w:pPr>
            <w:r>
              <w:rPr>
                <w:rFonts w:hint="eastAsia" w:ascii="宋体" w:hAnsi="宋体" w:eastAsia="宋体" w:cs="仿宋_GB2312"/>
                <w:spacing w:val="-2"/>
                <w:kern w:val="0"/>
                <w:sz w:val="21"/>
                <w:szCs w:val="21"/>
                <w:lang w:val="en-US" w:eastAsia="zh-CN" w:bidi="ar-SA"/>
              </w:rPr>
              <w:t>青海省动植物检疫站（刘海珍）</w:t>
            </w:r>
          </w:p>
        </w:tc>
        <w:tc>
          <w:tcPr>
            <w:tcW w:w="2201" w:type="dxa"/>
            <w:shd w:val="clear" w:color="auto" w:fill="auto"/>
            <w:noWrap w:val="0"/>
            <w:vAlign w:val="center"/>
          </w:tcPr>
          <w:p w14:paraId="66D3877A">
            <w:pPr>
              <w:keepNext w:val="0"/>
              <w:keepLines w:val="0"/>
              <w:pageBreakBefore w:val="0"/>
              <w:kinsoku/>
              <w:wordWrap/>
              <w:overflowPunct/>
              <w:topLinePunct w:val="0"/>
              <w:bidi w:val="0"/>
              <w:adjustRightInd w:val="0"/>
              <w:snapToGrid w:val="0"/>
              <w:spacing w:after="0" w:line="300" w:lineRule="exact"/>
              <w:jc w:val="left"/>
              <w:textAlignment w:val="auto"/>
              <w:rPr>
                <w:rFonts w:hint="eastAsia" w:ascii="宋体"/>
                <w:sz w:val="18"/>
              </w:rPr>
            </w:pPr>
            <w:r>
              <w:rPr>
                <w:rFonts w:hint="eastAsia" w:ascii="宋体" w:hAnsi="宋体" w:cs="仿宋_GB2312"/>
                <w:color w:val="auto"/>
                <w:spacing w:val="-2"/>
                <w:kern w:val="0"/>
                <w:szCs w:val="21"/>
                <w:lang w:val="en-US" w:eastAsia="zh-CN"/>
              </w:rPr>
              <w:t>采纳。</w:t>
            </w:r>
          </w:p>
        </w:tc>
      </w:tr>
      <w:tr w14:paraId="26B60F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941" w:type="dxa"/>
            <w:shd w:val="clear" w:color="auto" w:fill="auto"/>
            <w:noWrap w:val="0"/>
            <w:vAlign w:val="center"/>
          </w:tcPr>
          <w:p w14:paraId="6CF9149E">
            <w:pPr>
              <w:adjustRightInd w:val="0"/>
              <w:snapToGrid w:val="0"/>
              <w:spacing w:after="0" w:line="240" w:lineRule="auto"/>
              <w:jc w:val="center"/>
              <w:rPr>
                <w:rFonts w:hint="eastAsia" w:ascii="宋体"/>
                <w:sz w:val="18"/>
              </w:rPr>
            </w:pPr>
            <w:r>
              <w:rPr>
                <w:rFonts w:hint="eastAsia" w:ascii="宋体" w:hAnsi="宋体" w:cs="仿宋_GB2312"/>
                <w:spacing w:val="-2"/>
                <w:kern w:val="0"/>
                <w:szCs w:val="21"/>
                <w:lang w:val="en-US" w:eastAsia="zh-CN"/>
              </w:rPr>
              <w:t>19</w:t>
            </w:r>
          </w:p>
        </w:tc>
        <w:tc>
          <w:tcPr>
            <w:tcW w:w="2526" w:type="dxa"/>
            <w:shd w:val="clear" w:color="auto" w:fill="auto"/>
            <w:noWrap w:val="0"/>
            <w:vAlign w:val="center"/>
          </w:tcPr>
          <w:p w14:paraId="29539FA4">
            <w:pPr>
              <w:keepNext w:val="0"/>
              <w:keepLines w:val="0"/>
              <w:widowControl w:val="0"/>
              <w:suppressLineNumbers w:val="0"/>
              <w:adjustRightInd w:val="0"/>
              <w:snapToGrid w:val="0"/>
              <w:spacing w:before="100" w:beforeAutospacing="1" w:after="0" w:afterAutospacing="0" w:line="256" w:lineRule="auto"/>
              <w:ind w:left="0" w:leftChars="0" w:right="0" w:rightChars="0"/>
              <w:jc w:val="center"/>
              <w:rPr>
                <w:rFonts w:hint="eastAsia" w:ascii="宋体"/>
                <w:sz w:val="18"/>
              </w:rPr>
            </w:pPr>
            <w:r>
              <w:rPr>
                <w:rFonts w:hint="eastAsia" w:ascii="宋体" w:hAnsi="宋体" w:eastAsia="宋体" w:cs="仿宋_GB2312"/>
                <w:spacing w:val="-2"/>
                <w:kern w:val="0"/>
                <w:sz w:val="21"/>
                <w:szCs w:val="21"/>
                <w:lang w:val="en-US" w:eastAsia="zh-CN" w:bidi="ar"/>
              </w:rPr>
              <w:t>3.1</w:t>
            </w:r>
          </w:p>
        </w:tc>
        <w:tc>
          <w:tcPr>
            <w:tcW w:w="6195" w:type="dxa"/>
            <w:shd w:val="clear" w:color="auto" w:fill="auto"/>
            <w:noWrap w:val="0"/>
            <w:vAlign w:val="center"/>
          </w:tcPr>
          <w:p w14:paraId="71C71168">
            <w:pPr>
              <w:keepNext w:val="0"/>
              <w:keepLines w:val="0"/>
              <w:widowControl w:val="0"/>
              <w:suppressLineNumbers w:val="0"/>
              <w:adjustRightInd w:val="0"/>
              <w:snapToGrid w:val="0"/>
              <w:spacing w:before="100" w:beforeAutospacing="1" w:after="0" w:afterAutospacing="0" w:line="256" w:lineRule="auto"/>
              <w:ind w:left="0" w:leftChars="0" w:right="0" w:rightChars="0"/>
              <w:jc w:val="left"/>
              <w:rPr>
                <w:rFonts w:hint="eastAsia" w:ascii="宋体"/>
                <w:sz w:val="18"/>
              </w:rPr>
            </w:pPr>
            <w:r>
              <w:rPr>
                <w:rFonts w:hint="eastAsia" w:ascii="宋体" w:hAnsi="宋体" w:eastAsia="宋体" w:cs="宋体"/>
                <w:spacing w:val="-2"/>
                <w:kern w:val="0"/>
                <w:sz w:val="21"/>
                <w:szCs w:val="21"/>
                <w:lang w:val="en-US" w:eastAsia="zh-CN" w:bidi="ar"/>
              </w:rPr>
              <w:t>建议改为：已依法取得《动物防疫条件合格症》、能繁母羊存栏数在</w:t>
            </w:r>
            <w:r>
              <w:rPr>
                <w:rFonts w:hint="eastAsia" w:ascii="宋体" w:hAnsi="宋体" w:eastAsia="宋体" w:cs="仿宋_GB2312"/>
                <w:spacing w:val="-2"/>
                <w:kern w:val="0"/>
                <w:sz w:val="21"/>
                <w:szCs w:val="21"/>
                <w:lang w:val="en-US" w:eastAsia="zh-CN" w:bidi="ar"/>
              </w:rPr>
              <w:t>300</w:t>
            </w:r>
            <w:r>
              <w:rPr>
                <w:rFonts w:hint="eastAsia" w:ascii="宋体" w:hAnsi="宋体" w:eastAsia="宋体" w:cs="宋体"/>
                <w:spacing w:val="-2"/>
                <w:kern w:val="0"/>
                <w:sz w:val="21"/>
                <w:szCs w:val="21"/>
                <w:lang w:val="en-US" w:eastAsia="zh-CN" w:bidi="ar"/>
              </w:rPr>
              <w:t>只以上、具有独立法人资格从事绵羊、山羊生产经营的养殖场。</w:t>
            </w:r>
          </w:p>
        </w:tc>
        <w:tc>
          <w:tcPr>
            <w:tcW w:w="2311" w:type="dxa"/>
            <w:shd w:val="clear" w:color="auto" w:fill="auto"/>
            <w:noWrap w:val="0"/>
            <w:vAlign w:val="center"/>
          </w:tcPr>
          <w:p w14:paraId="10EEBD65">
            <w:pPr>
              <w:keepNext w:val="0"/>
              <w:keepLines w:val="0"/>
              <w:widowControl w:val="0"/>
              <w:suppressLineNumbers w:val="0"/>
              <w:adjustRightInd w:val="0"/>
              <w:snapToGrid w:val="0"/>
              <w:spacing w:before="100" w:beforeAutospacing="1" w:after="0" w:afterAutospacing="0" w:line="256" w:lineRule="auto"/>
              <w:ind w:left="0" w:leftChars="0" w:right="0" w:rightChars="0"/>
              <w:jc w:val="left"/>
              <w:rPr>
                <w:rFonts w:hint="eastAsia" w:ascii="宋体"/>
                <w:sz w:val="18"/>
              </w:rPr>
            </w:pPr>
            <w:r>
              <w:rPr>
                <w:rFonts w:hint="eastAsia" w:ascii="宋体" w:hAnsi="宋体" w:eastAsia="宋体" w:cs="仿宋_GB2312"/>
                <w:spacing w:val="-2"/>
                <w:kern w:val="0"/>
                <w:sz w:val="21"/>
                <w:szCs w:val="21"/>
                <w:lang w:val="en-US" w:eastAsia="zh-CN" w:bidi="ar-SA"/>
              </w:rPr>
              <w:t>青海大学（李增魁）</w:t>
            </w:r>
          </w:p>
        </w:tc>
        <w:tc>
          <w:tcPr>
            <w:tcW w:w="2201" w:type="dxa"/>
            <w:shd w:val="clear" w:color="auto" w:fill="auto"/>
            <w:noWrap w:val="0"/>
            <w:vAlign w:val="center"/>
          </w:tcPr>
          <w:p w14:paraId="375E8A29">
            <w:pPr>
              <w:keepNext w:val="0"/>
              <w:keepLines w:val="0"/>
              <w:widowControl w:val="0"/>
              <w:suppressLineNumbers w:val="0"/>
              <w:adjustRightInd w:val="0"/>
              <w:snapToGrid w:val="0"/>
              <w:spacing w:before="100" w:beforeAutospacing="1" w:after="0" w:afterAutospacing="0" w:line="256" w:lineRule="auto"/>
              <w:ind w:left="0" w:leftChars="0" w:right="0" w:rightChars="0"/>
              <w:jc w:val="left"/>
              <w:rPr>
                <w:rFonts w:hint="eastAsia" w:ascii="宋体"/>
                <w:sz w:val="18"/>
              </w:rPr>
            </w:pPr>
            <w:r>
              <w:rPr>
                <w:rFonts w:hint="eastAsia" w:ascii="宋体" w:hAnsi="宋体" w:eastAsia="宋体" w:cs="宋体"/>
                <w:color w:val="auto"/>
                <w:spacing w:val="-2"/>
                <w:kern w:val="0"/>
                <w:sz w:val="21"/>
                <w:szCs w:val="21"/>
                <w:lang w:val="en-US" w:eastAsia="zh-CN" w:bidi="ar"/>
              </w:rPr>
              <w:t>不采纳。羊已包含绵羊和山羊。</w:t>
            </w:r>
          </w:p>
        </w:tc>
      </w:tr>
      <w:tr w14:paraId="6257B2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941" w:type="dxa"/>
            <w:shd w:val="clear" w:color="auto" w:fill="auto"/>
            <w:noWrap w:val="0"/>
            <w:vAlign w:val="center"/>
          </w:tcPr>
          <w:p w14:paraId="18773F29">
            <w:pPr>
              <w:adjustRightInd w:val="0"/>
              <w:snapToGrid w:val="0"/>
              <w:spacing w:after="0" w:line="240" w:lineRule="auto"/>
              <w:jc w:val="center"/>
              <w:rPr>
                <w:rFonts w:hint="eastAsia" w:ascii="宋体"/>
                <w:sz w:val="18"/>
              </w:rPr>
            </w:pPr>
            <w:r>
              <w:rPr>
                <w:rFonts w:hint="eastAsia" w:ascii="宋体" w:hAnsi="宋体" w:cs="仿宋_GB2312"/>
                <w:spacing w:val="-2"/>
                <w:kern w:val="0"/>
                <w:szCs w:val="21"/>
                <w:lang w:val="en-US" w:eastAsia="zh-CN"/>
              </w:rPr>
              <w:t>20</w:t>
            </w:r>
          </w:p>
        </w:tc>
        <w:tc>
          <w:tcPr>
            <w:tcW w:w="2526" w:type="dxa"/>
            <w:shd w:val="clear" w:color="auto" w:fill="auto"/>
            <w:noWrap w:val="0"/>
            <w:vAlign w:val="center"/>
          </w:tcPr>
          <w:p w14:paraId="5863D3B6">
            <w:pPr>
              <w:keepNext w:val="0"/>
              <w:keepLines w:val="0"/>
              <w:widowControl w:val="0"/>
              <w:suppressLineNumbers w:val="0"/>
              <w:adjustRightInd w:val="0"/>
              <w:snapToGrid w:val="0"/>
              <w:spacing w:before="100" w:beforeAutospacing="1" w:after="0" w:afterAutospacing="0" w:line="256" w:lineRule="auto"/>
              <w:ind w:left="0" w:leftChars="0" w:right="0" w:rightChars="0"/>
              <w:jc w:val="center"/>
              <w:rPr>
                <w:rFonts w:hint="eastAsia" w:ascii="宋体"/>
                <w:sz w:val="18"/>
              </w:rPr>
            </w:pPr>
            <w:r>
              <w:rPr>
                <w:rFonts w:hint="eastAsia" w:ascii="宋体" w:hAnsi="宋体" w:eastAsia="宋体" w:cs="仿宋_GB2312"/>
                <w:spacing w:val="-2"/>
                <w:kern w:val="0"/>
                <w:sz w:val="21"/>
                <w:szCs w:val="21"/>
                <w:lang w:val="en-US" w:eastAsia="zh-CN" w:bidi="ar"/>
              </w:rPr>
              <w:t>3.3</w:t>
            </w:r>
          </w:p>
        </w:tc>
        <w:tc>
          <w:tcPr>
            <w:tcW w:w="6195" w:type="dxa"/>
            <w:shd w:val="clear" w:color="auto" w:fill="auto"/>
            <w:noWrap w:val="0"/>
            <w:vAlign w:val="center"/>
          </w:tcPr>
          <w:p w14:paraId="7BB855C0">
            <w:pPr>
              <w:pStyle w:val="3"/>
              <w:keepNext w:val="0"/>
              <w:keepLines w:val="0"/>
              <w:widowControl/>
              <w:suppressLineNumbers w:val="0"/>
              <w:autoSpaceDE w:val="0"/>
              <w:autoSpaceDN w:val="0"/>
              <w:spacing w:before="0" w:beforeAutospacing="0" w:after="0" w:afterAutospacing="0" w:line="360" w:lineRule="auto"/>
              <w:ind w:left="0" w:leftChars="0" w:right="0" w:rightChars="0" w:firstLine="0" w:firstLineChars="0"/>
              <w:jc w:val="both"/>
              <w:rPr>
                <w:rFonts w:hint="eastAsia" w:ascii="宋体"/>
                <w:sz w:val="18"/>
              </w:rPr>
            </w:pPr>
            <w:r>
              <w:rPr>
                <w:rFonts w:hint="eastAsia" w:ascii="宋体" w:hAnsi="宋体" w:eastAsia="宋体" w:cs="宋体"/>
                <w:spacing w:val="-2"/>
                <w:kern w:val="0"/>
                <w:sz w:val="21"/>
                <w:szCs w:val="21"/>
                <w:lang w:val="en-US" w:eastAsia="zh-CN" w:bidi="ar"/>
              </w:rPr>
              <w:t>按规定的方法，在此处确定“规定方法"来自于什么标准？</w:t>
            </w:r>
          </w:p>
        </w:tc>
        <w:tc>
          <w:tcPr>
            <w:tcW w:w="2311" w:type="dxa"/>
            <w:shd w:val="clear" w:color="auto" w:fill="auto"/>
            <w:noWrap w:val="0"/>
            <w:vAlign w:val="center"/>
          </w:tcPr>
          <w:p w14:paraId="7A9A90F8">
            <w:pPr>
              <w:keepNext w:val="0"/>
              <w:keepLines w:val="0"/>
              <w:widowControl w:val="0"/>
              <w:suppressLineNumbers w:val="0"/>
              <w:adjustRightInd w:val="0"/>
              <w:snapToGrid w:val="0"/>
              <w:spacing w:before="100" w:beforeAutospacing="1" w:after="0" w:afterAutospacing="0" w:line="256" w:lineRule="auto"/>
              <w:ind w:left="0" w:leftChars="0" w:right="0" w:rightChars="0"/>
              <w:jc w:val="left"/>
              <w:rPr>
                <w:rFonts w:hint="eastAsia" w:ascii="宋体"/>
                <w:sz w:val="18"/>
              </w:rPr>
            </w:pPr>
            <w:r>
              <w:rPr>
                <w:rFonts w:hint="eastAsia" w:ascii="宋体" w:hAnsi="宋体" w:eastAsia="宋体" w:cs="仿宋_GB2312"/>
                <w:spacing w:val="-2"/>
                <w:kern w:val="0"/>
                <w:sz w:val="21"/>
                <w:szCs w:val="21"/>
                <w:lang w:val="en-US" w:eastAsia="zh-CN" w:bidi="ar-SA"/>
              </w:rPr>
              <w:t>青海大学（李增魁）</w:t>
            </w:r>
          </w:p>
        </w:tc>
        <w:tc>
          <w:tcPr>
            <w:tcW w:w="2201" w:type="dxa"/>
            <w:shd w:val="clear" w:color="auto" w:fill="auto"/>
            <w:noWrap w:val="0"/>
            <w:vAlign w:val="center"/>
          </w:tcPr>
          <w:p w14:paraId="7F55714E">
            <w:pPr>
              <w:keepNext w:val="0"/>
              <w:keepLines w:val="0"/>
              <w:widowControl w:val="0"/>
              <w:suppressLineNumbers w:val="0"/>
              <w:spacing w:before="100" w:beforeAutospacing="1" w:after="160" w:afterAutospacing="0" w:line="256" w:lineRule="auto"/>
              <w:ind w:left="0" w:leftChars="0" w:right="0" w:rightChars="0"/>
              <w:jc w:val="both"/>
              <w:rPr>
                <w:rFonts w:hint="eastAsia" w:ascii="宋体"/>
                <w:sz w:val="18"/>
              </w:rPr>
            </w:pPr>
            <w:r>
              <w:rPr>
                <w:rFonts w:hint="eastAsia" w:ascii="宋体" w:hAnsi="宋体" w:eastAsia="宋体" w:cs="宋体"/>
                <w:color w:val="auto"/>
                <w:kern w:val="2"/>
                <w:sz w:val="21"/>
                <w:szCs w:val="21"/>
                <w:lang w:val="en-US" w:eastAsia="zh-CN" w:bidi="ar"/>
              </w:rPr>
              <w:t>采纳。</w:t>
            </w:r>
          </w:p>
        </w:tc>
      </w:tr>
      <w:tr w14:paraId="5D91F7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941" w:type="dxa"/>
            <w:shd w:val="clear" w:color="auto" w:fill="auto"/>
            <w:noWrap w:val="0"/>
            <w:vAlign w:val="center"/>
          </w:tcPr>
          <w:p w14:paraId="57F63C64">
            <w:pPr>
              <w:adjustRightInd w:val="0"/>
              <w:snapToGrid w:val="0"/>
              <w:spacing w:after="0" w:line="240" w:lineRule="auto"/>
              <w:jc w:val="center"/>
              <w:rPr>
                <w:rFonts w:hint="eastAsia" w:ascii="宋体"/>
                <w:sz w:val="18"/>
              </w:rPr>
            </w:pPr>
            <w:r>
              <w:rPr>
                <w:rFonts w:hint="eastAsia" w:ascii="宋体" w:hAnsi="宋体" w:cs="仿宋_GB2312"/>
                <w:spacing w:val="-2"/>
                <w:kern w:val="0"/>
                <w:szCs w:val="21"/>
                <w:lang w:val="en-US" w:eastAsia="zh-CN"/>
              </w:rPr>
              <w:t>21</w:t>
            </w:r>
          </w:p>
        </w:tc>
        <w:tc>
          <w:tcPr>
            <w:tcW w:w="2526" w:type="dxa"/>
            <w:shd w:val="clear" w:color="auto" w:fill="auto"/>
            <w:noWrap w:val="0"/>
            <w:vAlign w:val="center"/>
          </w:tcPr>
          <w:p w14:paraId="6088BF57">
            <w:pPr>
              <w:keepNext w:val="0"/>
              <w:keepLines w:val="0"/>
              <w:widowControl w:val="0"/>
              <w:suppressLineNumbers w:val="0"/>
              <w:adjustRightInd w:val="0"/>
              <w:snapToGrid w:val="0"/>
              <w:spacing w:before="100" w:beforeAutospacing="1" w:after="0" w:afterAutospacing="0" w:line="256" w:lineRule="auto"/>
              <w:ind w:left="0" w:leftChars="0" w:right="0" w:rightChars="0"/>
              <w:jc w:val="center"/>
              <w:rPr>
                <w:rFonts w:hint="eastAsia" w:ascii="宋体"/>
                <w:sz w:val="18"/>
              </w:rPr>
            </w:pPr>
            <w:r>
              <w:rPr>
                <w:rFonts w:hint="eastAsia" w:ascii="宋体" w:hAnsi="宋体" w:eastAsia="宋体" w:cs="仿宋_GB2312"/>
                <w:spacing w:val="-2"/>
                <w:kern w:val="0"/>
                <w:sz w:val="21"/>
                <w:szCs w:val="21"/>
                <w:lang w:val="en-US" w:eastAsia="zh-CN" w:bidi="ar"/>
              </w:rPr>
              <w:t>3.4</w:t>
            </w:r>
          </w:p>
        </w:tc>
        <w:tc>
          <w:tcPr>
            <w:tcW w:w="6195" w:type="dxa"/>
            <w:shd w:val="clear" w:color="auto" w:fill="auto"/>
            <w:noWrap w:val="0"/>
            <w:vAlign w:val="center"/>
          </w:tcPr>
          <w:p w14:paraId="31F7DF94">
            <w:pPr>
              <w:keepNext w:val="0"/>
              <w:keepLines w:val="0"/>
              <w:widowControl w:val="0"/>
              <w:suppressLineNumbers w:val="0"/>
              <w:adjustRightInd w:val="0"/>
              <w:snapToGrid w:val="0"/>
              <w:spacing w:before="100" w:beforeAutospacing="1" w:after="0" w:afterAutospacing="0" w:line="256" w:lineRule="auto"/>
              <w:ind w:right="0" w:rightChars="0"/>
              <w:jc w:val="left"/>
              <w:rPr>
                <w:rFonts w:hint="eastAsia" w:ascii="宋体"/>
                <w:sz w:val="18"/>
              </w:rPr>
            </w:pPr>
            <w:r>
              <w:rPr>
                <w:rFonts w:hint="eastAsia" w:ascii="宋体" w:hAnsi="宋体" w:eastAsia="宋体" w:cs="宋体"/>
                <w:spacing w:val="-2"/>
                <w:kern w:val="0"/>
                <w:sz w:val="21"/>
                <w:szCs w:val="21"/>
                <w:lang w:val="en-US" w:eastAsia="zh-CN" w:bidi="ar"/>
              </w:rPr>
              <w:t>“逐渐地”改为：逐步减少动物布病病原体的源头存在，最终实现此病的消灭。</w:t>
            </w:r>
          </w:p>
        </w:tc>
        <w:tc>
          <w:tcPr>
            <w:tcW w:w="2311" w:type="dxa"/>
            <w:shd w:val="clear" w:color="auto" w:fill="auto"/>
            <w:noWrap w:val="0"/>
            <w:vAlign w:val="center"/>
          </w:tcPr>
          <w:p w14:paraId="2BE194F1">
            <w:pPr>
              <w:keepNext w:val="0"/>
              <w:keepLines w:val="0"/>
              <w:widowControl w:val="0"/>
              <w:suppressLineNumbers w:val="0"/>
              <w:adjustRightInd w:val="0"/>
              <w:snapToGrid w:val="0"/>
              <w:spacing w:before="100" w:beforeAutospacing="1" w:after="0" w:afterAutospacing="0" w:line="256" w:lineRule="auto"/>
              <w:ind w:left="0" w:leftChars="0" w:right="0" w:rightChars="0"/>
              <w:jc w:val="left"/>
              <w:rPr>
                <w:rFonts w:hint="eastAsia" w:ascii="宋体"/>
                <w:sz w:val="18"/>
              </w:rPr>
            </w:pPr>
            <w:r>
              <w:rPr>
                <w:rFonts w:hint="eastAsia" w:ascii="宋体" w:hAnsi="宋体" w:eastAsia="宋体" w:cs="仿宋_GB2312"/>
                <w:spacing w:val="-2"/>
                <w:kern w:val="0"/>
                <w:sz w:val="21"/>
                <w:szCs w:val="21"/>
                <w:lang w:val="en-US" w:eastAsia="zh-CN" w:bidi="ar-SA"/>
              </w:rPr>
              <w:t>青海大学（李增魁）</w:t>
            </w:r>
          </w:p>
        </w:tc>
        <w:tc>
          <w:tcPr>
            <w:tcW w:w="2201" w:type="dxa"/>
            <w:shd w:val="clear" w:color="auto" w:fill="auto"/>
            <w:noWrap w:val="0"/>
            <w:vAlign w:val="center"/>
          </w:tcPr>
          <w:p w14:paraId="095302B0">
            <w:pPr>
              <w:keepNext w:val="0"/>
              <w:keepLines w:val="0"/>
              <w:widowControl w:val="0"/>
              <w:suppressLineNumbers w:val="0"/>
              <w:spacing w:before="100" w:beforeAutospacing="1" w:after="160" w:afterAutospacing="0" w:line="256" w:lineRule="auto"/>
              <w:ind w:left="0" w:leftChars="0" w:right="0" w:rightChars="0"/>
              <w:jc w:val="both"/>
              <w:rPr>
                <w:rFonts w:hint="eastAsia" w:ascii="宋体"/>
                <w:sz w:val="18"/>
              </w:rPr>
            </w:pPr>
            <w:r>
              <w:rPr>
                <w:rFonts w:hint="eastAsia" w:ascii="宋体" w:hAnsi="宋体" w:eastAsia="宋体" w:cs="宋体"/>
                <w:color w:val="auto"/>
                <w:kern w:val="2"/>
                <w:sz w:val="21"/>
                <w:szCs w:val="21"/>
                <w:lang w:val="en-US" w:eastAsia="zh-CN" w:bidi="ar"/>
              </w:rPr>
              <w:t>不采纳。提出的是目标，不是隔离概念的内容。</w:t>
            </w:r>
          </w:p>
        </w:tc>
      </w:tr>
      <w:tr w14:paraId="60800C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941" w:type="dxa"/>
            <w:shd w:val="clear" w:color="auto" w:fill="auto"/>
            <w:noWrap w:val="0"/>
            <w:vAlign w:val="center"/>
          </w:tcPr>
          <w:p w14:paraId="2397329B">
            <w:pPr>
              <w:adjustRightInd w:val="0"/>
              <w:snapToGrid w:val="0"/>
              <w:spacing w:after="0" w:line="240" w:lineRule="auto"/>
              <w:jc w:val="center"/>
              <w:rPr>
                <w:rFonts w:hint="eastAsia" w:ascii="宋体"/>
                <w:sz w:val="18"/>
              </w:rPr>
            </w:pPr>
            <w:r>
              <w:rPr>
                <w:rFonts w:hint="eastAsia" w:ascii="宋体" w:hAnsi="宋体" w:cs="仿宋_GB2312"/>
                <w:spacing w:val="-2"/>
                <w:kern w:val="0"/>
                <w:szCs w:val="21"/>
                <w:lang w:val="en-US" w:eastAsia="zh-CN"/>
              </w:rPr>
              <w:t>22</w:t>
            </w:r>
          </w:p>
        </w:tc>
        <w:tc>
          <w:tcPr>
            <w:tcW w:w="2526" w:type="dxa"/>
            <w:shd w:val="clear" w:color="auto" w:fill="auto"/>
            <w:noWrap w:val="0"/>
            <w:vAlign w:val="center"/>
          </w:tcPr>
          <w:p w14:paraId="4AB2F2A4">
            <w:pPr>
              <w:keepNext w:val="0"/>
              <w:keepLines w:val="0"/>
              <w:widowControl w:val="0"/>
              <w:suppressLineNumbers w:val="0"/>
              <w:adjustRightInd w:val="0"/>
              <w:snapToGrid w:val="0"/>
              <w:spacing w:before="100" w:beforeAutospacing="1" w:after="0" w:afterAutospacing="0" w:line="256" w:lineRule="auto"/>
              <w:ind w:left="0" w:leftChars="0" w:right="0" w:rightChars="0"/>
              <w:jc w:val="center"/>
              <w:rPr>
                <w:rFonts w:hint="eastAsia" w:ascii="宋体"/>
                <w:sz w:val="18"/>
              </w:rPr>
            </w:pPr>
            <w:r>
              <w:rPr>
                <w:rFonts w:hint="eastAsia" w:ascii="宋体" w:hAnsi="宋体" w:eastAsia="宋体" w:cs="仿宋_GB2312"/>
                <w:spacing w:val="-2"/>
                <w:kern w:val="0"/>
                <w:sz w:val="21"/>
                <w:szCs w:val="21"/>
                <w:lang w:val="en-US" w:eastAsia="zh-CN" w:bidi="ar"/>
              </w:rPr>
              <w:t>3.6</w:t>
            </w:r>
          </w:p>
        </w:tc>
        <w:tc>
          <w:tcPr>
            <w:tcW w:w="6195" w:type="dxa"/>
            <w:shd w:val="clear" w:color="auto" w:fill="auto"/>
            <w:noWrap w:val="0"/>
            <w:vAlign w:val="center"/>
          </w:tcPr>
          <w:p w14:paraId="6D934DF6">
            <w:pPr>
              <w:keepNext w:val="0"/>
              <w:keepLines w:val="0"/>
              <w:widowControl w:val="0"/>
              <w:suppressLineNumbers w:val="0"/>
              <w:adjustRightInd w:val="0"/>
              <w:snapToGrid w:val="0"/>
              <w:spacing w:before="100" w:beforeAutospacing="1" w:after="0" w:afterAutospacing="0" w:line="256" w:lineRule="auto"/>
              <w:ind w:left="0" w:leftChars="0" w:right="0" w:rightChars="0"/>
              <w:jc w:val="left"/>
              <w:rPr>
                <w:rFonts w:hint="eastAsia" w:ascii="宋体"/>
                <w:sz w:val="18"/>
              </w:rPr>
            </w:pPr>
            <w:r>
              <w:rPr>
                <w:rFonts w:hint="eastAsia" w:ascii="宋体" w:hAnsi="宋体" w:eastAsia="宋体" w:cs="Times New Roman"/>
                <w:kern w:val="2"/>
                <w:sz w:val="21"/>
                <w:szCs w:val="21"/>
                <w:lang w:val="en-US" w:eastAsia="zh-CN" w:bidi="ar"/>
              </w:rPr>
              <w:t>"将</w:t>
            </w:r>
            <w:r>
              <w:rPr>
                <w:rFonts w:hint="eastAsia" w:ascii="宋体" w:hAnsi="宋体" w:eastAsia="宋体" w:cs="宋体"/>
                <w:kern w:val="2"/>
                <w:sz w:val="21"/>
                <w:szCs w:val="21"/>
                <w:lang w:val="en-US" w:eastAsia="zh-CN" w:bidi="ar"/>
              </w:rPr>
              <w:t>某些规定疫病感染”改为：将被布鲁氏菌病感染的绵羊、山羊……</w:t>
            </w:r>
          </w:p>
        </w:tc>
        <w:tc>
          <w:tcPr>
            <w:tcW w:w="2311" w:type="dxa"/>
            <w:shd w:val="clear" w:color="auto" w:fill="auto"/>
            <w:noWrap w:val="0"/>
            <w:vAlign w:val="center"/>
          </w:tcPr>
          <w:p w14:paraId="00C949BA">
            <w:pPr>
              <w:keepNext w:val="0"/>
              <w:keepLines w:val="0"/>
              <w:widowControl w:val="0"/>
              <w:suppressLineNumbers w:val="0"/>
              <w:spacing w:before="100" w:beforeAutospacing="1" w:after="160" w:afterAutospacing="0" w:line="256" w:lineRule="auto"/>
              <w:ind w:left="0" w:leftChars="0" w:right="0" w:rightChars="0"/>
              <w:jc w:val="both"/>
              <w:rPr>
                <w:rFonts w:hint="eastAsia" w:ascii="宋体"/>
                <w:sz w:val="18"/>
              </w:rPr>
            </w:pPr>
            <w:r>
              <w:rPr>
                <w:rFonts w:hint="eastAsia" w:ascii="宋体" w:hAnsi="宋体" w:eastAsia="宋体" w:cs="仿宋_GB2312"/>
                <w:spacing w:val="-2"/>
                <w:kern w:val="0"/>
                <w:sz w:val="21"/>
                <w:szCs w:val="21"/>
                <w:lang w:val="en-US" w:eastAsia="zh-CN" w:bidi="ar-SA"/>
              </w:rPr>
              <w:t>青海大学（李增魁）</w:t>
            </w:r>
          </w:p>
        </w:tc>
        <w:tc>
          <w:tcPr>
            <w:tcW w:w="2201" w:type="dxa"/>
            <w:shd w:val="clear" w:color="auto" w:fill="auto"/>
            <w:noWrap w:val="0"/>
            <w:vAlign w:val="center"/>
          </w:tcPr>
          <w:p w14:paraId="7ED67D18">
            <w:pPr>
              <w:keepNext w:val="0"/>
              <w:keepLines w:val="0"/>
              <w:widowControl w:val="0"/>
              <w:suppressLineNumbers w:val="0"/>
              <w:spacing w:before="100" w:beforeAutospacing="1" w:after="160" w:afterAutospacing="0" w:line="256" w:lineRule="auto"/>
              <w:ind w:left="0" w:leftChars="0" w:right="0" w:rightChars="0"/>
              <w:jc w:val="both"/>
              <w:rPr>
                <w:rFonts w:hint="eastAsia" w:ascii="宋体"/>
                <w:sz w:val="18"/>
              </w:rPr>
            </w:pPr>
            <w:r>
              <w:rPr>
                <w:rFonts w:hint="eastAsia" w:ascii="宋体" w:hAnsi="宋体" w:eastAsia="宋体" w:cs="宋体"/>
                <w:kern w:val="2"/>
                <w:sz w:val="21"/>
                <w:szCs w:val="21"/>
                <w:lang w:val="en-US" w:eastAsia="zh-CN" w:bidi="ar"/>
              </w:rPr>
              <w:t>采纳。</w:t>
            </w:r>
          </w:p>
        </w:tc>
      </w:tr>
      <w:tr w14:paraId="587C62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941" w:type="dxa"/>
            <w:shd w:val="clear" w:color="auto" w:fill="auto"/>
            <w:noWrap w:val="0"/>
            <w:vAlign w:val="center"/>
          </w:tcPr>
          <w:p w14:paraId="62EF9EC3">
            <w:pPr>
              <w:adjustRightInd w:val="0"/>
              <w:snapToGrid w:val="0"/>
              <w:spacing w:after="0" w:line="240" w:lineRule="auto"/>
              <w:jc w:val="center"/>
              <w:rPr>
                <w:rFonts w:hint="eastAsia" w:ascii="宋体"/>
                <w:sz w:val="18"/>
              </w:rPr>
            </w:pPr>
            <w:r>
              <w:rPr>
                <w:rFonts w:hint="eastAsia" w:ascii="宋体" w:hAnsi="宋体" w:cs="仿宋_GB2312"/>
                <w:spacing w:val="-2"/>
                <w:kern w:val="0"/>
                <w:szCs w:val="21"/>
                <w:lang w:val="en-US" w:eastAsia="zh-CN"/>
              </w:rPr>
              <w:t>23</w:t>
            </w:r>
          </w:p>
        </w:tc>
        <w:tc>
          <w:tcPr>
            <w:tcW w:w="2526" w:type="dxa"/>
            <w:shd w:val="clear" w:color="auto" w:fill="auto"/>
            <w:noWrap w:val="0"/>
            <w:vAlign w:val="center"/>
          </w:tcPr>
          <w:p w14:paraId="64F891B4">
            <w:pPr>
              <w:adjustRightInd w:val="0"/>
              <w:snapToGrid w:val="0"/>
              <w:spacing w:after="0" w:line="240" w:lineRule="auto"/>
              <w:jc w:val="center"/>
              <w:rPr>
                <w:rFonts w:hint="eastAsia" w:ascii="宋体"/>
                <w:sz w:val="18"/>
              </w:rPr>
            </w:pPr>
            <w:r>
              <w:rPr>
                <w:rFonts w:ascii="宋体" w:hAnsi="宋体" w:cs="仿宋_GB2312"/>
                <w:spacing w:val="-2"/>
                <w:kern w:val="0"/>
                <w:szCs w:val="21"/>
              </w:rPr>
              <w:t>前言</w:t>
            </w:r>
          </w:p>
        </w:tc>
        <w:tc>
          <w:tcPr>
            <w:tcW w:w="6195" w:type="dxa"/>
            <w:shd w:val="clear" w:color="auto" w:fill="auto"/>
            <w:noWrap w:val="0"/>
            <w:vAlign w:val="center"/>
          </w:tcPr>
          <w:p w14:paraId="25D26745">
            <w:pPr>
              <w:pStyle w:val="8"/>
              <w:ind w:left="0" w:leftChars="0" w:firstLine="0" w:firstLineChars="0"/>
              <w:rPr>
                <w:rFonts w:hint="eastAsia" w:eastAsia="宋体"/>
                <w:lang w:eastAsia="zh-CN"/>
              </w:rPr>
            </w:pPr>
            <w:r>
              <w:rPr>
                <w:rFonts w:hAnsi="宋体" w:cs="仿宋_GB2312"/>
                <w:spacing w:val="-2"/>
                <w:szCs w:val="21"/>
              </w:rPr>
              <w:t>将本规范统一修改为</w:t>
            </w:r>
            <w:r>
              <w:rPr>
                <w:rFonts w:hint="eastAsia" w:hAnsi="宋体" w:cs="仿宋_GB2312"/>
                <w:spacing w:val="-2"/>
                <w:szCs w:val="21"/>
              </w:rPr>
              <w:t>“本文件”，：添加“</w:t>
            </w:r>
            <w:r>
              <w:rPr>
                <w:rFonts w:hint="eastAsia"/>
              </w:rPr>
              <w:t>请注意本文件的某些内容可能涉及专利。本文件的发布机构不承担识别专利的责任。</w:t>
            </w:r>
            <w:r>
              <w:rPr>
                <w:rFonts w:hint="eastAsia"/>
                <w:lang w:eastAsia="zh-CN"/>
              </w:rPr>
              <w:t>”</w:t>
            </w:r>
          </w:p>
          <w:p w14:paraId="1F8D3A3C">
            <w:pPr>
              <w:pStyle w:val="8"/>
              <w:ind w:left="0" w:leftChars="0" w:firstLine="420" w:firstLineChars="200"/>
              <w:rPr>
                <w:rFonts w:hint="eastAsia"/>
              </w:rPr>
            </w:pPr>
            <w:r>
              <w:rPr>
                <w:rFonts w:hint="eastAsia"/>
              </w:rPr>
              <w:t>本文件由青海省农业农村厅提出。</w:t>
            </w:r>
          </w:p>
          <w:p w14:paraId="3C991E32">
            <w:pPr>
              <w:pStyle w:val="8"/>
              <w:ind w:firstLine="420"/>
              <w:rPr>
                <w:rFonts w:hint="eastAsia"/>
              </w:rPr>
            </w:pPr>
            <w:r>
              <w:rPr>
                <w:rFonts w:hint="eastAsia"/>
              </w:rPr>
              <w:t>本文件由青海省农业农村厅归口。</w:t>
            </w:r>
          </w:p>
          <w:p w14:paraId="3BC7BFBB">
            <w:pPr>
              <w:pStyle w:val="8"/>
              <w:ind w:firstLine="420" w:firstLineChars="200"/>
              <w:rPr>
                <w:rFonts w:hint="eastAsia" w:ascii="宋体"/>
                <w:sz w:val="18"/>
              </w:rPr>
            </w:pPr>
            <w:r>
              <w:rPr>
                <w:rFonts w:hint="eastAsia"/>
              </w:rPr>
              <w:t>本文件由青海省农业农村厅监督实施。</w:t>
            </w:r>
          </w:p>
        </w:tc>
        <w:tc>
          <w:tcPr>
            <w:tcW w:w="2311" w:type="dxa"/>
            <w:shd w:val="clear" w:color="auto" w:fill="auto"/>
            <w:noWrap w:val="0"/>
            <w:vAlign w:val="center"/>
          </w:tcPr>
          <w:p w14:paraId="24109313">
            <w:pPr>
              <w:adjustRightInd w:val="0"/>
              <w:snapToGrid w:val="0"/>
              <w:spacing w:after="0" w:line="240" w:lineRule="auto"/>
              <w:jc w:val="left"/>
              <w:rPr>
                <w:rFonts w:hint="eastAsia" w:ascii="宋体"/>
                <w:sz w:val="18"/>
              </w:rPr>
            </w:pPr>
            <w:r>
              <w:rPr>
                <w:rFonts w:hint="eastAsia" w:ascii="宋体" w:hAnsi="宋体" w:eastAsia="宋体" w:cs="仿宋_GB2312"/>
                <w:spacing w:val="-2"/>
                <w:kern w:val="0"/>
                <w:sz w:val="21"/>
                <w:szCs w:val="21"/>
                <w:lang w:val="en-US" w:eastAsia="zh-CN" w:bidi="ar-SA"/>
              </w:rPr>
              <w:t>省畜牧兽医科学院（马世科）</w:t>
            </w:r>
          </w:p>
        </w:tc>
        <w:tc>
          <w:tcPr>
            <w:tcW w:w="2201" w:type="dxa"/>
            <w:shd w:val="clear" w:color="auto" w:fill="auto"/>
            <w:noWrap w:val="0"/>
            <w:vAlign w:val="center"/>
          </w:tcPr>
          <w:p w14:paraId="1D205D28">
            <w:pPr>
              <w:adjustRightInd w:val="0"/>
              <w:snapToGrid w:val="0"/>
              <w:spacing w:after="0" w:line="240" w:lineRule="auto"/>
              <w:jc w:val="left"/>
              <w:rPr>
                <w:rFonts w:hint="eastAsia" w:ascii="宋体"/>
                <w:sz w:val="18"/>
              </w:rPr>
            </w:pPr>
            <w:r>
              <w:rPr>
                <w:rFonts w:hint="eastAsia" w:ascii="宋体" w:hAnsi="宋体" w:cs="仿宋_GB2312"/>
                <w:spacing w:val="-2"/>
                <w:kern w:val="0"/>
                <w:szCs w:val="21"/>
                <w:lang w:val="en-US" w:eastAsia="zh-CN"/>
              </w:rPr>
              <w:t>采纳。</w:t>
            </w:r>
          </w:p>
        </w:tc>
      </w:tr>
      <w:tr w14:paraId="6950C9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941" w:type="dxa"/>
            <w:shd w:val="clear" w:color="auto" w:fill="auto"/>
            <w:noWrap w:val="0"/>
            <w:vAlign w:val="center"/>
          </w:tcPr>
          <w:p w14:paraId="47178ABC">
            <w:pPr>
              <w:adjustRightInd w:val="0"/>
              <w:snapToGrid w:val="0"/>
              <w:spacing w:after="0" w:line="240" w:lineRule="auto"/>
              <w:jc w:val="center"/>
              <w:rPr>
                <w:rFonts w:hint="eastAsia" w:ascii="宋体"/>
                <w:sz w:val="18"/>
              </w:rPr>
            </w:pPr>
            <w:r>
              <w:rPr>
                <w:rFonts w:hint="eastAsia" w:ascii="宋体" w:hAnsi="宋体" w:cs="仿宋_GB2312"/>
                <w:spacing w:val="-2"/>
                <w:kern w:val="0"/>
                <w:szCs w:val="21"/>
                <w:lang w:val="en-US" w:eastAsia="zh-CN"/>
              </w:rPr>
              <w:t>24</w:t>
            </w:r>
          </w:p>
        </w:tc>
        <w:tc>
          <w:tcPr>
            <w:tcW w:w="2526" w:type="dxa"/>
            <w:shd w:val="clear" w:color="auto" w:fill="auto"/>
            <w:noWrap w:val="0"/>
            <w:vAlign w:val="center"/>
          </w:tcPr>
          <w:p w14:paraId="6B7564D6">
            <w:pPr>
              <w:adjustRightInd w:val="0"/>
              <w:snapToGrid w:val="0"/>
              <w:spacing w:after="0" w:line="240" w:lineRule="auto"/>
              <w:jc w:val="center"/>
              <w:rPr>
                <w:rFonts w:hint="eastAsia" w:ascii="宋体"/>
                <w:sz w:val="18"/>
              </w:rPr>
            </w:pPr>
            <w:r>
              <w:rPr>
                <w:rFonts w:hint="eastAsia" w:ascii="宋体" w:hAnsi="宋体" w:cs="仿宋_GB2312"/>
                <w:spacing w:val="-2"/>
                <w:kern w:val="0"/>
                <w:szCs w:val="21"/>
              </w:rPr>
              <w:t>6.1</w:t>
            </w:r>
          </w:p>
        </w:tc>
        <w:tc>
          <w:tcPr>
            <w:tcW w:w="6195" w:type="dxa"/>
            <w:shd w:val="clear" w:color="auto" w:fill="auto"/>
            <w:noWrap w:val="0"/>
            <w:vAlign w:val="center"/>
          </w:tcPr>
          <w:p w14:paraId="01FEAE47">
            <w:pPr>
              <w:pStyle w:val="8"/>
              <w:spacing w:line="360" w:lineRule="auto"/>
              <w:ind w:firstLine="0" w:firstLineChars="0"/>
              <w:rPr>
                <w:rFonts w:hint="eastAsia" w:ascii="宋体"/>
                <w:sz w:val="18"/>
              </w:rPr>
            </w:pPr>
            <w:r>
              <w:rPr>
                <w:rFonts w:hAnsi="宋体" w:cs="仿宋_GB2312"/>
                <w:spacing w:val="-2"/>
                <w:szCs w:val="21"/>
              </w:rPr>
              <w:t>技术路线制定图</w:t>
            </w:r>
            <w:r>
              <w:rPr>
                <w:rFonts w:hint="eastAsia" w:hAnsi="宋体" w:cs="仿宋_GB2312"/>
                <w:spacing w:val="-2"/>
                <w:szCs w:val="21"/>
              </w:rPr>
              <w:t>，</w:t>
            </w:r>
            <w:r>
              <w:rPr>
                <w:rFonts w:hAnsi="宋体" w:cs="仿宋_GB2312"/>
                <w:spacing w:val="-2"/>
                <w:szCs w:val="21"/>
              </w:rPr>
              <w:t>列入到附录中</w:t>
            </w:r>
          </w:p>
        </w:tc>
        <w:tc>
          <w:tcPr>
            <w:tcW w:w="2311" w:type="dxa"/>
            <w:shd w:val="clear" w:color="auto" w:fill="auto"/>
            <w:noWrap w:val="0"/>
            <w:vAlign w:val="top"/>
          </w:tcPr>
          <w:p w14:paraId="11EA8DC9">
            <w:pPr>
              <w:rPr>
                <w:rFonts w:hint="eastAsia" w:ascii="宋体"/>
                <w:sz w:val="18"/>
              </w:rPr>
            </w:pPr>
            <w:r>
              <w:rPr>
                <w:rFonts w:hint="eastAsia" w:ascii="宋体" w:hAnsi="宋体" w:eastAsia="宋体" w:cs="仿宋_GB2312"/>
                <w:spacing w:val="-2"/>
                <w:kern w:val="0"/>
                <w:sz w:val="21"/>
                <w:szCs w:val="21"/>
                <w:lang w:val="en-US" w:eastAsia="zh-CN" w:bidi="ar-SA"/>
              </w:rPr>
              <w:t>省畜牧兽医科学院（马世科）</w:t>
            </w:r>
          </w:p>
        </w:tc>
        <w:tc>
          <w:tcPr>
            <w:tcW w:w="2201" w:type="dxa"/>
            <w:shd w:val="clear" w:color="auto" w:fill="auto"/>
            <w:noWrap w:val="0"/>
            <w:vAlign w:val="center"/>
          </w:tcPr>
          <w:p w14:paraId="3912AF59">
            <w:pPr>
              <w:jc w:val="left"/>
              <w:rPr>
                <w:rFonts w:hint="eastAsia" w:ascii="宋体"/>
                <w:sz w:val="18"/>
              </w:rPr>
            </w:pPr>
            <w:r>
              <w:rPr>
                <w:rFonts w:hint="eastAsia" w:ascii="宋体" w:hAnsi="宋体" w:eastAsia="宋体" w:cs="仿宋_GB2312"/>
                <w:spacing w:val="-2"/>
                <w:kern w:val="0"/>
                <w:sz w:val="21"/>
                <w:szCs w:val="21"/>
                <w:lang w:val="en-US" w:eastAsia="zh-CN" w:bidi="ar-SA"/>
              </w:rPr>
              <w:t>采纳。</w:t>
            </w:r>
          </w:p>
        </w:tc>
      </w:tr>
      <w:tr w14:paraId="251A3F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941" w:type="dxa"/>
            <w:shd w:val="clear" w:color="auto" w:fill="auto"/>
            <w:noWrap w:val="0"/>
            <w:vAlign w:val="center"/>
          </w:tcPr>
          <w:p w14:paraId="576E18DB">
            <w:pPr>
              <w:adjustRightInd w:val="0"/>
              <w:snapToGrid w:val="0"/>
              <w:spacing w:after="0" w:line="240" w:lineRule="auto"/>
              <w:jc w:val="center"/>
              <w:rPr>
                <w:rFonts w:hint="eastAsia" w:ascii="宋体"/>
                <w:sz w:val="18"/>
              </w:rPr>
            </w:pPr>
            <w:r>
              <w:rPr>
                <w:rFonts w:hint="eastAsia" w:ascii="宋体" w:hAnsi="宋体" w:cs="仿宋_GB2312"/>
                <w:spacing w:val="-2"/>
                <w:kern w:val="0"/>
                <w:szCs w:val="21"/>
                <w:lang w:val="en-US" w:eastAsia="zh-CN"/>
              </w:rPr>
              <w:t>25</w:t>
            </w:r>
          </w:p>
        </w:tc>
        <w:tc>
          <w:tcPr>
            <w:tcW w:w="2526" w:type="dxa"/>
            <w:shd w:val="clear" w:color="auto" w:fill="auto"/>
            <w:noWrap w:val="0"/>
            <w:vAlign w:val="center"/>
          </w:tcPr>
          <w:p w14:paraId="791DAB92">
            <w:pPr>
              <w:adjustRightInd w:val="0"/>
              <w:snapToGrid w:val="0"/>
              <w:spacing w:after="0" w:line="240" w:lineRule="auto"/>
              <w:jc w:val="center"/>
              <w:rPr>
                <w:rFonts w:hint="eastAsia" w:ascii="宋体"/>
                <w:sz w:val="18"/>
              </w:rPr>
            </w:pPr>
            <w:r>
              <w:rPr>
                <w:rFonts w:hint="eastAsia" w:ascii="宋体" w:hAnsi="宋体" w:cs="仿宋_GB2312"/>
                <w:spacing w:val="-2"/>
                <w:kern w:val="0"/>
                <w:szCs w:val="21"/>
              </w:rPr>
              <w:t>1</w:t>
            </w:r>
          </w:p>
        </w:tc>
        <w:tc>
          <w:tcPr>
            <w:tcW w:w="6195" w:type="dxa"/>
            <w:shd w:val="clear" w:color="auto" w:fill="auto"/>
            <w:noWrap w:val="0"/>
            <w:vAlign w:val="center"/>
          </w:tcPr>
          <w:p w14:paraId="23E92BB4">
            <w:pPr>
              <w:widowControl/>
              <w:spacing w:line="240" w:lineRule="exact"/>
              <w:jc w:val="left"/>
              <w:rPr>
                <w:rFonts w:hint="eastAsia" w:ascii="宋体"/>
                <w:sz w:val="18"/>
              </w:rPr>
            </w:pPr>
            <w:r>
              <w:rPr>
                <w:rFonts w:hint="eastAsia" w:ascii="宋体" w:hAnsi="宋体" w:cs="宋体"/>
                <w:szCs w:val="21"/>
              </w:rPr>
              <w:t>本规范规定了羊布鲁氏菌病净化的术语和定义、净化应具备的条件、诊断方法、净化措施、净化标准、检疫监督、净化保持和综合防控措施等技术要求。内容要与文件中标题相一致。</w:t>
            </w:r>
          </w:p>
        </w:tc>
        <w:tc>
          <w:tcPr>
            <w:tcW w:w="2311" w:type="dxa"/>
            <w:shd w:val="clear" w:color="auto" w:fill="auto"/>
            <w:noWrap w:val="0"/>
            <w:vAlign w:val="top"/>
          </w:tcPr>
          <w:p w14:paraId="7DA3245E">
            <w:pPr>
              <w:rPr>
                <w:rFonts w:hint="eastAsia" w:ascii="宋体"/>
                <w:sz w:val="18"/>
              </w:rPr>
            </w:pPr>
            <w:r>
              <w:rPr>
                <w:rFonts w:hint="eastAsia" w:ascii="宋体" w:hAnsi="宋体" w:eastAsia="宋体" w:cs="仿宋_GB2312"/>
                <w:spacing w:val="-2"/>
                <w:kern w:val="0"/>
                <w:sz w:val="21"/>
                <w:szCs w:val="21"/>
                <w:lang w:val="en-US" w:eastAsia="zh-CN" w:bidi="ar-SA"/>
              </w:rPr>
              <w:t>省畜牧兽医科学院（马世科）</w:t>
            </w:r>
          </w:p>
        </w:tc>
        <w:tc>
          <w:tcPr>
            <w:tcW w:w="2201" w:type="dxa"/>
            <w:shd w:val="clear" w:color="auto" w:fill="auto"/>
            <w:noWrap w:val="0"/>
            <w:vAlign w:val="center"/>
          </w:tcPr>
          <w:p w14:paraId="03A9D63E">
            <w:pPr>
              <w:jc w:val="both"/>
              <w:rPr>
                <w:rFonts w:hint="eastAsia" w:ascii="宋体"/>
                <w:sz w:val="18"/>
              </w:rPr>
            </w:pPr>
            <w:r>
              <w:rPr>
                <w:rFonts w:hint="eastAsia"/>
                <w:lang w:val="en-US" w:eastAsia="zh-CN"/>
              </w:rPr>
              <w:t>采纳。</w:t>
            </w:r>
          </w:p>
        </w:tc>
      </w:tr>
    </w:tbl>
    <w:p w14:paraId="0CC2B639">
      <w:pPr>
        <w:pStyle w:val="9"/>
        <w:numPr>
          <w:ilvl w:val="0"/>
          <w:numId w:val="0"/>
        </w:numPr>
        <w:rPr>
          <w:rFonts w:hint="eastAsia"/>
          <w:sz w:val="18"/>
          <w:szCs w:val="18"/>
        </w:rPr>
      </w:pPr>
      <w:r>
        <w:rPr>
          <w:rFonts w:hint="eastAsia"/>
          <w:sz w:val="18"/>
          <w:szCs w:val="18"/>
        </w:rPr>
        <w:t>说明：① 提出意见数量：</w:t>
      </w:r>
      <w:r>
        <w:rPr>
          <w:rFonts w:hint="eastAsia"/>
          <w:sz w:val="18"/>
          <w:szCs w:val="18"/>
          <w:lang w:val="en-US" w:eastAsia="zh-CN"/>
        </w:rPr>
        <w:t>25</w:t>
      </w:r>
      <w:r>
        <w:rPr>
          <w:rFonts w:hint="eastAsia"/>
          <w:sz w:val="18"/>
          <w:szCs w:val="18"/>
        </w:rPr>
        <w:t>个；</w:t>
      </w:r>
    </w:p>
    <w:p w14:paraId="111E635B">
      <w:pPr>
        <w:pStyle w:val="13"/>
        <w:numPr>
          <w:ilvl w:val="0"/>
          <w:numId w:val="0"/>
        </w:numPr>
        <w:ind w:firstLine="540" w:firstLineChars="300"/>
        <w:rPr>
          <w:rFonts w:hint="eastAsia"/>
          <w:sz w:val="18"/>
          <w:szCs w:val="18"/>
        </w:rPr>
      </w:pPr>
      <w:r>
        <w:rPr>
          <w:rFonts w:hint="eastAsia"/>
          <w:sz w:val="18"/>
          <w:szCs w:val="18"/>
        </w:rPr>
        <w:t>② 标准起草单位或工作组对意见处理结果：采纳</w:t>
      </w:r>
      <w:r>
        <w:rPr>
          <w:rFonts w:hint="eastAsia"/>
          <w:sz w:val="18"/>
          <w:szCs w:val="18"/>
          <w:lang w:val="en-US" w:eastAsia="zh-CN"/>
        </w:rPr>
        <w:t>19</w:t>
      </w:r>
      <w:r>
        <w:rPr>
          <w:rFonts w:hint="eastAsia"/>
          <w:sz w:val="18"/>
          <w:szCs w:val="18"/>
        </w:rPr>
        <w:t>个，</w:t>
      </w:r>
      <w:r>
        <w:rPr>
          <w:rFonts w:hint="eastAsia"/>
          <w:sz w:val="18"/>
          <w:szCs w:val="18"/>
          <w:lang w:val="en-US" w:eastAsia="zh-CN"/>
        </w:rPr>
        <w:t>部分采纳1个，</w:t>
      </w:r>
      <w:r>
        <w:rPr>
          <w:rFonts w:hint="eastAsia"/>
          <w:sz w:val="18"/>
          <w:szCs w:val="18"/>
        </w:rPr>
        <w:t>未采纳</w:t>
      </w:r>
      <w:r>
        <w:rPr>
          <w:rFonts w:hint="eastAsia"/>
          <w:sz w:val="18"/>
          <w:szCs w:val="18"/>
          <w:lang w:val="en-US" w:eastAsia="zh-CN"/>
        </w:rPr>
        <w:t>5</w:t>
      </w:r>
      <w:r>
        <w:rPr>
          <w:rFonts w:hint="eastAsia"/>
          <w:sz w:val="18"/>
          <w:szCs w:val="18"/>
        </w:rPr>
        <w:t>个。</w:t>
      </w:r>
    </w:p>
    <w:p w14:paraId="153A5456">
      <w:pPr>
        <w:ind w:firstLine="540" w:firstLineChars="300"/>
      </w:pPr>
      <w:r>
        <w:rPr>
          <w:rFonts w:hint="eastAsia"/>
          <w:sz w:val="18"/>
          <w:szCs w:val="18"/>
        </w:rPr>
        <w:t>③ 标准化技术委员会或标准化技术归口单位审查意见：采纳</w:t>
      </w:r>
      <w:r>
        <w:rPr>
          <w:rFonts w:hint="eastAsia"/>
          <w:sz w:val="18"/>
          <w:szCs w:val="18"/>
          <w:lang w:val="en-US" w:eastAsia="zh-CN"/>
        </w:rPr>
        <w:t>2</w:t>
      </w:r>
      <w:bookmarkStart w:id="28" w:name="_GoBack"/>
      <w:bookmarkEnd w:id="28"/>
      <w:r>
        <w:rPr>
          <w:rFonts w:hint="eastAsia"/>
          <w:sz w:val="18"/>
          <w:szCs w:val="18"/>
        </w:rPr>
        <w:t>个，未采纳</w:t>
      </w:r>
      <w:r>
        <w:rPr>
          <w:rFonts w:hint="eastAsia"/>
          <w:sz w:val="18"/>
          <w:szCs w:val="18"/>
          <w:lang w:val="en-US" w:eastAsia="zh-CN"/>
        </w:rPr>
        <w:t>0</w:t>
      </w:r>
      <w:r>
        <w:rPr>
          <w:rFonts w:hint="eastAsia"/>
          <w:sz w:val="18"/>
          <w:szCs w:val="18"/>
        </w:rPr>
        <w:t>个。</w:t>
      </w:r>
    </w:p>
    <w:p w14:paraId="45E20792">
      <w:pPr>
        <w:ind w:firstLine="640" w:firstLineChars="200"/>
        <w:rPr>
          <w:rFonts w:hint="eastAsia" w:ascii="仿宋_GB2312" w:hAnsi="Calibri" w:eastAsia="仿宋_GB2312" w:cs="Times New Roman"/>
          <w:bCs/>
          <w:sz w:val="32"/>
          <w:szCs w:val="32"/>
          <w:lang w:val="en-US" w:eastAsia="zh-CN"/>
        </w:rPr>
      </w:pPr>
    </w:p>
    <w:p w14:paraId="2AD72096">
      <w:pPr>
        <w:ind w:firstLine="640" w:firstLineChars="200"/>
        <w:rPr>
          <w:rFonts w:hint="eastAsia" w:ascii="仿宋_GB2312" w:hAnsi="Calibri" w:eastAsia="仿宋_GB2312" w:cs="Times New Roman"/>
          <w:bCs/>
          <w:sz w:val="32"/>
          <w:szCs w:val="32"/>
          <w:lang w:val="en-US" w:eastAsia="zh-CN"/>
        </w:rPr>
      </w:pPr>
    </w:p>
    <w:p w14:paraId="0F2C77D4">
      <w:pPr>
        <w:ind w:firstLine="640" w:firstLineChars="200"/>
        <w:rPr>
          <w:rFonts w:hint="eastAsia" w:ascii="仿宋_GB2312" w:hAnsi="Calibri" w:eastAsia="仿宋_GB2312" w:cs="Times New Roman"/>
          <w:bCs/>
          <w:sz w:val="32"/>
          <w:szCs w:val="32"/>
          <w:lang w:val="en-US" w:eastAsia="zh-CN"/>
        </w:rPr>
      </w:pPr>
    </w:p>
    <w:p w14:paraId="546D2373">
      <w:pPr>
        <w:ind w:firstLine="640" w:firstLineChars="200"/>
        <w:rPr>
          <w:rFonts w:hint="eastAsia" w:ascii="仿宋_GB2312" w:hAnsi="Calibri" w:eastAsia="仿宋_GB2312" w:cs="Times New Roman"/>
          <w:bCs/>
          <w:sz w:val="32"/>
          <w:szCs w:val="32"/>
          <w:lang w:val="en-US" w:eastAsia="zh-CN"/>
        </w:rPr>
      </w:pPr>
    </w:p>
    <w:p w14:paraId="78180E04">
      <w:pPr>
        <w:ind w:firstLine="640" w:firstLineChars="200"/>
        <w:rPr>
          <w:rFonts w:hint="eastAsia" w:ascii="仿宋_GB2312" w:hAnsi="Calibri" w:eastAsia="仿宋_GB2312" w:cs="Times New Roman"/>
          <w:bCs/>
          <w:sz w:val="32"/>
          <w:szCs w:val="32"/>
          <w:lang w:val="en-US" w:eastAsia="zh-CN"/>
        </w:rPr>
      </w:pPr>
    </w:p>
    <w:p w14:paraId="43532205">
      <w:pPr>
        <w:ind w:firstLine="640" w:firstLineChars="200"/>
        <w:rPr>
          <w:rFonts w:hint="eastAsia" w:ascii="仿宋_GB2312" w:hAnsi="Calibri" w:eastAsia="仿宋_GB2312" w:cs="Times New Roman"/>
          <w:bCs/>
          <w:sz w:val="32"/>
          <w:szCs w:val="32"/>
          <w:lang w:val="en-US" w:eastAsia="zh-CN"/>
        </w:rPr>
      </w:pPr>
    </w:p>
    <w:p w14:paraId="676B02BD">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附件2</w:t>
      </w:r>
    </w:p>
    <w:p w14:paraId="65EB182E">
      <w:pPr>
        <w:jc w:val="center"/>
        <w:rPr>
          <w:rFonts w:ascii="黑体" w:hAnsi="黑体" w:eastAsia="黑体"/>
          <w:sz w:val="36"/>
          <w:szCs w:val="36"/>
        </w:rPr>
      </w:pPr>
      <w:r>
        <w:rPr>
          <w:rFonts w:hint="eastAsia" w:ascii="黑体" w:hAnsi="黑体" w:eastAsia="黑体"/>
          <w:sz w:val="36"/>
          <w:szCs w:val="36"/>
        </w:rPr>
        <w:t>《规模化羊场布鲁氏菌病净化技术规范》</w:t>
      </w:r>
      <w:r>
        <w:rPr>
          <w:rFonts w:hint="eastAsia" w:ascii="黑体" w:hAnsi="黑体" w:eastAsia="黑体"/>
          <w:sz w:val="36"/>
          <w:szCs w:val="36"/>
          <w:lang w:val="en-US" w:eastAsia="zh-CN"/>
        </w:rPr>
        <w:t>预</w:t>
      </w:r>
      <w:r>
        <w:rPr>
          <w:rFonts w:hint="eastAsia" w:ascii="黑体" w:hAnsi="黑体" w:eastAsia="黑体"/>
          <w:sz w:val="36"/>
          <w:szCs w:val="36"/>
        </w:rPr>
        <w:t>审查会专家意见汇总处理表</w:t>
      </w:r>
    </w:p>
    <w:p w14:paraId="2A86FDCF">
      <w:pPr>
        <w:tabs>
          <w:tab w:val="left" w:pos="5295"/>
        </w:tabs>
        <w:spacing w:line="360" w:lineRule="auto"/>
        <w:jc w:val="left"/>
        <w:rPr>
          <w:rFonts w:ascii="宋体" w:hAnsi="宋体"/>
          <w:sz w:val="24"/>
          <w:szCs w:val="24"/>
        </w:rPr>
      </w:pPr>
      <w:r>
        <w:rPr>
          <w:rFonts w:hint="eastAsia" w:ascii="楷体" w:hAnsi="楷体" w:eastAsia="楷体"/>
          <w:sz w:val="32"/>
          <w:szCs w:val="32"/>
        </w:rPr>
        <w:t>负责起草单位：</w:t>
      </w:r>
      <w:r>
        <w:rPr>
          <w:rFonts w:hint="eastAsia" w:ascii="楷体" w:hAnsi="楷体" w:eastAsia="楷体"/>
          <w:sz w:val="32"/>
          <w:szCs w:val="32"/>
          <w:lang w:val="en-US" w:eastAsia="zh-CN"/>
        </w:rPr>
        <w:t>西宁市动物疫病预防控制中心</w:t>
      </w:r>
      <w:r>
        <w:rPr>
          <w:rFonts w:hint="eastAsia" w:ascii="宋体" w:hAnsi="宋体"/>
          <w:sz w:val="24"/>
          <w:szCs w:val="24"/>
        </w:rPr>
        <w:t xml:space="preserve"> </w:t>
      </w:r>
    </w:p>
    <w:tbl>
      <w:tblPr>
        <w:tblStyle w:val="4"/>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28"/>
        <w:gridCol w:w="2742"/>
        <w:gridCol w:w="6069"/>
        <w:gridCol w:w="2104"/>
        <w:gridCol w:w="2431"/>
      </w:tblGrid>
      <w:tr w14:paraId="7A8C50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7" w:hRule="atLeast"/>
        </w:trPr>
        <w:tc>
          <w:tcPr>
            <w:tcW w:w="292" w:type="pct"/>
            <w:noWrap w:val="0"/>
            <w:vAlign w:val="center"/>
          </w:tcPr>
          <w:p w14:paraId="0FE0AD1E">
            <w:pPr>
              <w:jc w:val="center"/>
              <w:rPr>
                <w:rFonts w:hint="eastAsia" w:ascii="仿宋_GB2312" w:hAnsi="宋体" w:eastAsia="仿宋_GB2312"/>
                <w:sz w:val="24"/>
                <w:szCs w:val="24"/>
              </w:rPr>
            </w:pPr>
            <w:r>
              <w:rPr>
                <w:rFonts w:hint="eastAsia" w:ascii="仿宋_GB2312" w:hAnsi="宋体" w:eastAsia="仿宋_GB2312"/>
                <w:sz w:val="24"/>
                <w:szCs w:val="24"/>
              </w:rPr>
              <w:t>序号</w:t>
            </w:r>
          </w:p>
        </w:tc>
        <w:tc>
          <w:tcPr>
            <w:tcW w:w="967" w:type="pct"/>
            <w:noWrap w:val="0"/>
            <w:vAlign w:val="center"/>
          </w:tcPr>
          <w:p w14:paraId="793587BC">
            <w:pPr>
              <w:jc w:val="center"/>
              <w:rPr>
                <w:rFonts w:hint="eastAsia" w:ascii="仿宋_GB2312" w:hAnsi="宋体" w:eastAsia="仿宋_GB2312"/>
                <w:sz w:val="24"/>
                <w:szCs w:val="24"/>
              </w:rPr>
            </w:pPr>
            <w:r>
              <w:rPr>
                <w:rFonts w:hint="eastAsia" w:ascii="仿宋_GB2312" w:hAnsi="宋体" w:eastAsia="仿宋_GB2312"/>
                <w:sz w:val="24"/>
                <w:szCs w:val="24"/>
              </w:rPr>
              <w:t>标准条款</w:t>
            </w:r>
          </w:p>
        </w:tc>
        <w:tc>
          <w:tcPr>
            <w:tcW w:w="2140" w:type="pct"/>
            <w:noWrap w:val="0"/>
            <w:vAlign w:val="center"/>
          </w:tcPr>
          <w:p w14:paraId="15EC9432">
            <w:pPr>
              <w:jc w:val="center"/>
              <w:rPr>
                <w:rFonts w:hint="eastAsia" w:ascii="仿宋_GB2312" w:hAnsi="宋体" w:eastAsia="仿宋_GB2312"/>
                <w:sz w:val="24"/>
                <w:szCs w:val="24"/>
              </w:rPr>
            </w:pPr>
            <w:r>
              <w:rPr>
                <w:rFonts w:hint="eastAsia" w:ascii="仿宋_GB2312" w:hAnsi="宋体" w:eastAsia="仿宋_GB2312"/>
                <w:sz w:val="24"/>
                <w:szCs w:val="24"/>
              </w:rPr>
              <w:t>意见内容</w:t>
            </w:r>
          </w:p>
        </w:tc>
        <w:tc>
          <w:tcPr>
            <w:tcW w:w="742" w:type="pct"/>
            <w:noWrap w:val="0"/>
            <w:vAlign w:val="center"/>
          </w:tcPr>
          <w:p w14:paraId="07084F87">
            <w:pPr>
              <w:jc w:val="center"/>
              <w:rPr>
                <w:rFonts w:hint="eastAsia" w:ascii="仿宋_GB2312" w:hAnsi="宋体" w:eastAsia="仿宋_GB2312"/>
                <w:sz w:val="24"/>
                <w:szCs w:val="24"/>
              </w:rPr>
            </w:pPr>
            <w:r>
              <w:rPr>
                <w:rFonts w:hint="eastAsia" w:ascii="仿宋_GB2312" w:hAnsi="宋体" w:eastAsia="仿宋_GB2312"/>
                <w:sz w:val="24"/>
                <w:szCs w:val="24"/>
              </w:rPr>
              <w:t>提出意见专家</w:t>
            </w:r>
          </w:p>
        </w:tc>
        <w:tc>
          <w:tcPr>
            <w:tcW w:w="857" w:type="pct"/>
            <w:noWrap w:val="0"/>
            <w:vAlign w:val="center"/>
          </w:tcPr>
          <w:p w14:paraId="37894C1D">
            <w:pPr>
              <w:jc w:val="center"/>
              <w:rPr>
                <w:rFonts w:hint="eastAsia" w:ascii="仿宋_GB2312" w:hAnsi="宋体" w:eastAsia="仿宋_GB2312"/>
                <w:sz w:val="24"/>
                <w:szCs w:val="24"/>
              </w:rPr>
            </w:pPr>
            <w:r>
              <w:rPr>
                <w:rFonts w:hint="eastAsia" w:ascii="仿宋_GB2312" w:hAnsi="宋体" w:eastAsia="仿宋_GB2312"/>
                <w:sz w:val="24"/>
                <w:szCs w:val="24"/>
              </w:rPr>
              <w:t>处理意见和理由</w:t>
            </w:r>
          </w:p>
        </w:tc>
      </w:tr>
      <w:tr w14:paraId="25FBEB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9" w:hRule="atLeast"/>
        </w:trPr>
        <w:tc>
          <w:tcPr>
            <w:tcW w:w="292" w:type="pct"/>
            <w:noWrap w:val="0"/>
            <w:vAlign w:val="center"/>
          </w:tcPr>
          <w:p w14:paraId="781B2F14">
            <w:pPr>
              <w:jc w:val="center"/>
              <w:rPr>
                <w:rFonts w:hint="eastAsia" w:ascii="仿宋_GB2312" w:hAnsi="宋体" w:eastAsia="仿宋_GB2312"/>
                <w:color w:val="auto"/>
                <w:sz w:val="24"/>
                <w:szCs w:val="24"/>
              </w:rPr>
            </w:pPr>
            <w:r>
              <w:rPr>
                <w:rFonts w:hint="eastAsia" w:ascii="宋体" w:hAnsi="宋体" w:eastAsia="宋体" w:cs="Times New Roman"/>
                <w:color w:val="auto"/>
                <w:szCs w:val="21"/>
                <w:lang w:val="en-US" w:eastAsia="zh-CN"/>
              </w:rPr>
              <w:t>1</w:t>
            </w:r>
          </w:p>
        </w:tc>
        <w:tc>
          <w:tcPr>
            <w:tcW w:w="967" w:type="pct"/>
            <w:noWrap w:val="0"/>
            <w:vAlign w:val="center"/>
          </w:tcPr>
          <w:p w14:paraId="5A7FA5E1">
            <w:pPr>
              <w:jc w:val="center"/>
              <w:rPr>
                <w:rFonts w:hint="default" w:ascii="宋体" w:hAnsi="宋体" w:eastAsia="宋体"/>
                <w:color w:val="auto"/>
                <w:szCs w:val="21"/>
                <w:lang w:val="en-US" w:eastAsia="zh-CN"/>
              </w:rPr>
            </w:pPr>
            <w:r>
              <w:rPr>
                <w:rFonts w:hint="eastAsia" w:ascii="宋体" w:hAnsi="宋体" w:eastAsia="宋体" w:cs="Times New Roman"/>
                <w:color w:val="auto"/>
                <w:szCs w:val="21"/>
                <w:lang w:val="en-US" w:eastAsia="zh-CN"/>
              </w:rPr>
              <w:t>术语和定义</w:t>
            </w:r>
          </w:p>
        </w:tc>
        <w:tc>
          <w:tcPr>
            <w:tcW w:w="2140" w:type="pct"/>
            <w:noWrap w:val="0"/>
            <w:vAlign w:val="center"/>
          </w:tcPr>
          <w:p w14:paraId="2D4DA609">
            <w:pPr>
              <w:jc w:val="center"/>
              <w:rPr>
                <w:rFonts w:hint="default" w:ascii="宋体" w:hAnsi="宋体" w:eastAsia="宋体"/>
                <w:color w:val="auto"/>
                <w:szCs w:val="21"/>
                <w:lang w:val="en-US" w:eastAsia="zh-CN"/>
              </w:rPr>
            </w:pPr>
            <w:r>
              <w:rPr>
                <w:rFonts w:hint="eastAsia" w:ascii="宋体" w:hAnsi="宋体" w:eastAsia="宋体" w:cs="Times New Roman"/>
                <w:color w:val="auto"/>
                <w:szCs w:val="21"/>
                <w:lang w:val="en-US" w:eastAsia="zh-CN"/>
              </w:rPr>
              <w:t>建议删除“术语和定义”的布鲁氏菌病、隔离、扑杀的内容。</w:t>
            </w:r>
          </w:p>
        </w:tc>
        <w:tc>
          <w:tcPr>
            <w:tcW w:w="742" w:type="pct"/>
            <w:noWrap w:val="0"/>
            <w:vAlign w:val="center"/>
          </w:tcPr>
          <w:p w14:paraId="6E281F40">
            <w:pPr>
              <w:jc w:val="center"/>
              <w:rPr>
                <w:rFonts w:hint="default" w:ascii="宋体" w:hAnsi="宋体" w:eastAsia="宋体"/>
                <w:color w:val="auto"/>
                <w:szCs w:val="21"/>
                <w:lang w:val="en-US" w:eastAsia="zh-CN"/>
              </w:rPr>
            </w:pPr>
            <w:r>
              <w:rPr>
                <w:rFonts w:hint="eastAsia" w:ascii="宋体" w:hAnsi="宋体" w:eastAsia="宋体" w:cs="Times New Roman"/>
                <w:color w:val="auto"/>
                <w:szCs w:val="21"/>
                <w:lang w:val="en-US" w:eastAsia="zh-CN"/>
              </w:rPr>
              <w:t>青海省动物疫病预防控制中心 傅义捐</w:t>
            </w:r>
          </w:p>
        </w:tc>
        <w:tc>
          <w:tcPr>
            <w:tcW w:w="857" w:type="pct"/>
            <w:noWrap w:val="0"/>
            <w:vAlign w:val="center"/>
          </w:tcPr>
          <w:p w14:paraId="26DDC7AC">
            <w:pPr>
              <w:jc w:val="center"/>
              <w:rPr>
                <w:rFonts w:hint="eastAsia" w:ascii="宋体" w:hAnsi="宋体"/>
                <w:color w:val="FF0000"/>
                <w:szCs w:val="21"/>
              </w:rPr>
            </w:pPr>
            <w:r>
              <w:rPr>
                <w:rFonts w:hint="eastAsia" w:ascii="宋体" w:hAnsi="宋体" w:eastAsia="宋体" w:cs="Times New Roman"/>
                <w:color w:val="auto"/>
                <w:szCs w:val="21"/>
                <w:lang w:val="en-US" w:eastAsia="zh-CN"/>
              </w:rPr>
              <w:t>采纳</w:t>
            </w:r>
          </w:p>
        </w:tc>
      </w:tr>
      <w:tr w14:paraId="776FC7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9" w:hRule="atLeast"/>
        </w:trPr>
        <w:tc>
          <w:tcPr>
            <w:tcW w:w="292" w:type="pct"/>
            <w:noWrap w:val="0"/>
            <w:vAlign w:val="center"/>
          </w:tcPr>
          <w:p w14:paraId="7C6E0864">
            <w:pPr>
              <w:jc w:val="center"/>
              <w:rPr>
                <w:rFonts w:hint="eastAsia" w:ascii="仿宋_GB2312" w:hAnsi="宋体" w:eastAsia="仿宋_GB2312"/>
                <w:color w:val="auto"/>
                <w:sz w:val="24"/>
                <w:szCs w:val="24"/>
              </w:rPr>
            </w:pPr>
            <w:r>
              <w:rPr>
                <w:rFonts w:hint="eastAsia" w:ascii="宋体" w:hAnsi="宋体" w:eastAsia="宋体" w:cs="Times New Roman"/>
                <w:color w:val="auto"/>
                <w:szCs w:val="21"/>
                <w:lang w:val="en-US" w:eastAsia="zh-CN"/>
              </w:rPr>
              <w:t>2</w:t>
            </w:r>
          </w:p>
        </w:tc>
        <w:tc>
          <w:tcPr>
            <w:tcW w:w="967" w:type="pct"/>
            <w:noWrap w:val="0"/>
            <w:vAlign w:val="center"/>
          </w:tcPr>
          <w:p w14:paraId="7F700105">
            <w:pPr>
              <w:jc w:val="center"/>
              <w:rPr>
                <w:rFonts w:hint="default" w:ascii="宋体" w:hAnsi="宋体" w:eastAsia="宋体"/>
                <w:color w:val="auto"/>
                <w:szCs w:val="21"/>
                <w:lang w:val="en-US" w:eastAsia="zh-CN"/>
              </w:rPr>
            </w:pPr>
            <w:r>
              <w:rPr>
                <w:rFonts w:hint="eastAsia" w:ascii="宋体" w:hAnsi="宋体" w:eastAsia="宋体" w:cs="Times New Roman"/>
                <w:color w:val="auto"/>
                <w:szCs w:val="21"/>
                <w:lang w:val="en-US" w:eastAsia="zh-CN"/>
              </w:rPr>
              <w:t>9.1、9.2、9.3</w:t>
            </w:r>
          </w:p>
        </w:tc>
        <w:tc>
          <w:tcPr>
            <w:tcW w:w="2140" w:type="pct"/>
            <w:noWrap w:val="0"/>
            <w:vAlign w:val="center"/>
          </w:tcPr>
          <w:p w14:paraId="4B128840">
            <w:pPr>
              <w:jc w:val="center"/>
              <w:rPr>
                <w:rFonts w:hint="default" w:ascii="宋体" w:hAnsi="宋体" w:eastAsia="宋体"/>
                <w:color w:val="auto"/>
                <w:szCs w:val="21"/>
                <w:lang w:val="en-US" w:eastAsia="zh-CN"/>
              </w:rPr>
            </w:pPr>
            <w:r>
              <w:rPr>
                <w:rFonts w:hint="eastAsia" w:ascii="宋体" w:hAnsi="宋体" w:eastAsia="宋体" w:cs="Times New Roman"/>
                <w:color w:val="auto"/>
                <w:szCs w:val="21"/>
                <w:lang w:val="en-US" w:eastAsia="zh-CN"/>
              </w:rPr>
              <w:t>合并9.1、9.2和9.3的内容。</w:t>
            </w:r>
          </w:p>
        </w:tc>
        <w:tc>
          <w:tcPr>
            <w:tcW w:w="742" w:type="pct"/>
            <w:noWrap w:val="0"/>
            <w:vAlign w:val="center"/>
          </w:tcPr>
          <w:p w14:paraId="0624991E">
            <w:pPr>
              <w:jc w:val="center"/>
              <w:rPr>
                <w:rFonts w:hint="eastAsia" w:ascii="宋体" w:hAnsi="宋体"/>
                <w:color w:val="auto"/>
                <w:szCs w:val="21"/>
              </w:rPr>
            </w:pPr>
            <w:r>
              <w:rPr>
                <w:rFonts w:hint="eastAsia" w:ascii="宋体" w:hAnsi="宋体" w:eastAsia="宋体" w:cs="Times New Roman"/>
                <w:color w:val="auto"/>
                <w:szCs w:val="21"/>
                <w:lang w:val="en-US" w:eastAsia="zh-CN"/>
              </w:rPr>
              <w:t>青海省动物疫病预防控制中心 傅义捐</w:t>
            </w:r>
          </w:p>
        </w:tc>
        <w:tc>
          <w:tcPr>
            <w:tcW w:w="857" w:type="pct"/>
            <w:noWrap w:val="0"/>
            <w:vAlign w:val="center"/>
          </w:tcPr>
          <w:p w14:paraId="36ECDB61">
            <w:pPr>
              <w:jc w:val="center"/>
              <w:rPr>
                <w:rFonts w:hint="eastAsia" w:ascii="宋体" w:hAnsi="宋体"/>
                <w:color w:val="FF0000"/>
                <w:szCs w:val="21"/>
              </w:rPr>
            </w:pPr>
            <w:r>
              <w:rPr>
                <w:rFonts w:hint="eastAsia" w:ascii="宋体" w:hAnsi="宋体" w:eastAsia="宋体" w:cs="Times New Roman"/>
                <w:color w:val="auto"/>
                <w:szCs w:val="21"/>
                <w:lang w:val="en-US" w:eastAsia="zh-CN"/>
              </w:rPr>
              <w:t>采纳</w:t>
            </w:r>
          </w:p>
        </w:tc>
      </w:tr>
      <w:tr w14:paraId="242C8E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9" w:hRule="atLeast"/>
        </w:trPr>
        <w:tc>
          <w:tcPr>
            <w:tcW w:w="292" w:type="pct"/>
            <w:noWrap w:val="0"/>
            <w:vAlign w:val="center"/>
          </w:tcPr>
          <w:p w14:paraId="4EFF4991">
            <w:pPr>
              <w:jc w:val="center"/>
              <w:rPr>
                <w:rFonts w:hint="eastAsia" w:ascii="仿宋_GB2312" w:hAnsi="宋体" w:eastAsia="仿宋_GB2312"/>
                <w:color w:val="auto"/>
                <w:sz w:val="24"/>
                <w:szCs w:val="24"/>
              </w:rPr>
            </w:pPr>
            <w:r>
              <w:rPr>
                <w:rFonts w:hint="eastAsia" w:ascii="宋体" w:hAnsi="宋体" w:eastAsia="宋体" w:cs="Times New Roman"/>
                <w:color w:val="auto"/>
                <w:szCs w:val="21"/>
                <w:lang w:val="en-US" w:eastAsia="zh-CN"/>
              </w:rPr>
              <w:t>3</w:t>
            </w:r>
          </w:p>
        </w:tc>
        <w:tc>
          <w:tcPr>
            <w:tcW w:w="967" w:type="pct"/>
            <w:noWrap w:val="0"/>
            <w:vAlign w:val="center"/>
          </w:tcPr>
          <w:p w14:paraId="653194F7">
            <w:pPr>
              <w:jc w:val="center"/>
              <w:rPr>
                <w:rFonts w:hint="default" w:ascii="宋体" w:hAnsi="宋体" w:eastAsia="宋体"/>
                <w:color w:val="auto"/>
                <w:szCs w:val="21"/>
                <w:lang w:val="en-US" w:eastAsia="zh-CN"/>
              </w:rPr>
            </w:pPr>
            <w:r>
              <w:rPr>
                <w:rFonts w:hint="eastAsia" w:ascii="宋体" w:hAnsi="宋体" w:eastAsia="宋体" w:cs="Times New Roman"/>
                <w:color w:val="auto"/>
                <w:szCs w:val="21"/>
                <w:lang w:val="en-US" w:eastAsia="zh-CN"/>
              </w:rPr>
              <w:t>综合防控</w:t>
            </w:r>
          </w:p>
        </w:tc>
        <w:tc>
          <w:tcPr>
            <w:tcW w:w="2140" w:type="pct"/>
            <w:noWrap w:val="0"/>
            <w:vAlign w:val="center"/>
          </w:tcPr>
          <w:p w14:paraId="3ED8FA95">
            <w:pPr>
              <w:jc w:val="center"/>
              <w:rPr>
                <w:rFonts w:hint="default" w:ascii="宋体" w:hAnsi="宋体" w:eastAsia="宋体"/>
                <w:color w:val="auto"/>
                <w:szCs w:val="21"/>
                <w:lang w:val="en-US" w:eastAsia="zh-CN"/>
              </w:rPr>
            </w:pPr>
            <w:r>
              <w:rPr>
                <w:rFonts w:hint="eastAsia" w:ascii="宋体" w:hAnsi="宋体" w:eastAsia="宋体" w:cs="Times New Roman"/>
                <w:color w:val="auto"/>
                <w:szCs w:val="21"/>
                <w:lang w:val="en-US" w:eastAsia="zh-CN"/>
              </w:rPr>
              <w:t>删除10.综合防控。</w:t>
            </w:r>
          </w:p>
        </w:tc>
        <w:tc>
          <w:tcPr>
            <w:tcW w:w="742" w:type="pct"/>
            <w:noWrap w:val="0"/>
            <w:vAlign w:val="center"/>
          </w:tcPr>
          <w:p w14:paraId="62DAE305">
            <w:pPr>
              <w:jc w:val="center"/>
              <w:rPr>
                <w:rFonts w:hint="eastAsia" w:ascii="宋体" w:hAnsi="宋体"/>
                <w:color w:val="auto"/>
                <w:szCs w:val="21"/>
              </w:rPr>
            </w:pPr>
            <w:r>
              <w:rPr>
                <w:rFonts w:hint="eastAsia" w:ascii="宋体" w:hAnsi="宋体" w:eastAsia="宋体" w:cs="Times New Roman"/>
                <w:color w:val="auto"/>
                <w:szCs w:val="21"/>
                <w:lang w:val="en-US" w:eastAsia="zh-CN"/>
              </w:rPr>
              <w:t>青海省动物疫病预防控制中心 傅义捐</w:t>
            </w:r>
          </w:p>
        </w:tc>
        <w:tc>
          <w:tcPr>
            <w:tcW w:w="857" w:type="pct"/>
            <w:noWrap w:val="0"/>
            <w:vAlign w:val="center"/>
          </w:tcPr>
          <w:p w14:paraId="4E48DC0E">
            <w:pPr>
              <w:jc w:val="center"/>
              <w:rPr>
                <w:rFonts w:hint="eastAsia" w:ascii="宋体" w:hAnsi="宋体"/>
                <w:b/>
                <w:color w:val="FF0000"/>
                <w:szCs w:val="21"/>
              </w:rPr>
            </w:pPr>
            <w:r>
              <w:rPr>
                <w:rFonts w:hint="eastAsia" w:ascii="宋体" w:hAnsi="宋体" w:eastAsia="宋体" w:cs="Times New Roman"/>
                <w:color w:val="auto"/>
                <w:szCs w:val="21"/>
                <w:lang w:val="en-US" w:eastAsia="zh-CN"/>
              </w:rPr>
              <w:t>采纳</w:t>
            </w:r>
          </w:p>
        </w:tc>
      </w:tr>
      <w:tr w14:paraId="13607C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9" w:hRule="atLeast"/>
        </w:trPr>
        <w:tc>
          <w:tcPr>
            <w:tcW w:w="292" w:type="pct"/>
            <w:noWrap w:val="0"/>
            <w:vAlign w:val="center"/>
          </w:tcPr>
          <w:p w14:paraId="38F732F5">
            <w:pPr>
              <w:jc w:val="center"/>
              <w:rPr>
                <w:rFonts w:hint="eastAsia" w:ascii="仿宋_GB2312" w:hAnsi="宋体" w:eastAsia="仿宋_GB2312"/>
                <w:color w:val="auto"/>
                <w:sz w:val="24"/>
                <w:szCs w:val="24"/>
                <w:lang w:val="en-US" w:eastAsia="zh-CN"/>
              </w:rPr>
            </w:pPr>
            <w:r>
              <w:rPr>
                <w:rFonts w:hint="eastAsia" w:ascii="宋体" w:hAnsi="宋体" w:eastAsia="宋体" w:cs="Times New Roman"/>
                <w:color w:val="auto"/>
                <w:szCs w:val="21"/>
                <w:lang w:val="en-US" w:eastAsia="zh-CN"/>
              </w:rPr>
              <w:t>4</w:t>
            </w:r>
          </w:p>
        </w:tc>
        <w:tc>
          <w:tcPr>
            <w:tcW w:w="967" w:type="pct"/>
            <w:noWrap w:val="0"/>
            <w:vAlign w:val="center"/>
          </w:tcPr>
          <w:p w14:paraId="61B13FF5">
            <w:pPr>
              <w:jc w:val="center"/>
              <w:rPr>
                <w:rFonts w:hint="default" w:ascii="仿宋_GB2312" w:hAnsi="宋体" w:eastAsia="仿宋_GB2312"/>
                <w:color w:val="auto"/>
                <w:sz w:val="24"/>
                <w:szCs w:val="24"/>
                <w:lang w:val="en-US" w:eastAsia="zh-CN"/>
              </w:rPr>
            </w:pPr>
            <w:r>
              <w:rPr>
                <w:rFonts w:hint="eastAsia" w:ascii="宋体" w:hAnsi="宋体" w:eastAsia="宋体" w:cs="Times New Roman"/>
                <w:color w:val="auto"/>
                <w:szCs w:val="21"/>
                <w:lang w:val="en-US" w:eastAsia="zh-CN"/>
              </w:rPr>
              <w:t>档案和制度管理</w:t>
            </w:r>
          </w:p>
        </w:tc>
        <w:tc>
          <w:tcPr>
            <w:tcW w:w="2140" w:type="pct"/>
            <w:noWrap w:val="0"/>
            <w:vAlign w:val="center"/>
          </w:tcPr>
          <w:p w14:paraId="47ECF601">
            <w:pPr>
              <w:jc w:val="center"/>
              <w:rPr>
                <w:rFonts w:hint="default" w:ascii="仿宋_GB2312" w:hAnsi="宋体" w:eastAsia="仿宋_GB2312"/>
                <w:color w:val="auto"/>
                <w:sz w:val="24"/>
                <w:szCs w:val="24"/>
                <w:lang w:val="en-US" w:eastAsia="zh-CN"/>
              </w:rPr>
            </w:pPr>
            <w:r>
              <w:rPr>
                <w:rFonts w:hint="eastAsia" w:ascii="宋体" w:hAnsi="宋体" w:eastAsia="宋体" w:cs="Times New Roman"/>
                <w:color w:val="auto"/>
                <w:szCs w:val="21"/>
                <w:lang w:val="en-US" w:eastAsia="zh-CN"/>
              </w:rPr>
              <w:t>简化“档案和制度管理”内容。</w:t>
            </w:r>
          </w:p>
        </w:tc>
        <w:tc>
          <w:tcPr>
            <w:tcW w:w="742" w:type="pct"/>
            <w:noWrap w:val="0"/>
            <w:vAlign w:val="center"/>
          </w:tcPr>
          <w:p w14:paraId="4EA442AA">
            <w:pPr>
              <w:jc w:val="center"/>
              <w:rPr>
                <w:rFonts w:hint="eastAsia" w:ascii="仿宋_GB2312" w:hAnsi="宋体" w:eastAsia="仿宋_GB2312"/>
                <w:color w:val="auto"/>
                <w:sz w:val="24"/>
                <w:szCs w:val="24"/>
              </w:rPr>
            </w:pPr>
            <w:r>
              <w:rPr>
                <w:rFonts w:hint="eastAsia" w:ascii="宋体" w:hAnsi="宋体" w:eastAsia="宋体" w:cs="Times New Roman"/>
                <w:color w:val="auto"/>
                <w:szCs w:val="21"/>
                <w:lang w:val="en-US" w:eastAsia="zh-CN"/>
              </w:rPr>
              <w:t>青海省动物疫病预防控制中心 傅义捐</w:t>
            </w:r>
          </w:p>
        </w:tc>
        <w:tc>
          <w:tcPr>
            <w:tcW w:w="857" w:type="pct"/>
            <w:noWrap w:val="0"/>
            <w:vAlign w:val="center"/>
          </w:tcPr>
          <w:p w14:paraId="3B5CECAD">
            <w:pPr>
              <w:jc w:val="center"/>
              <w:rPr>
                <w:rFonts w:hint="eastAsia" w:ascii="仿宋_GB2312" w:hAnsi="宋体" w:eastAsia="仿宋_GB2312"/>
                <w:sz w:val="24"/>
                <w:szCs w:val="24"/>
              </w:rPr>
            </w:pPr>
            <w:r>
              <w:rPr>
                <w:rFonts w:hint="eastAsia" w:ascii="宋体" w:hAnsi="宋体" w:eastAsia="宋体" w:cs="Times New Roman"/>
                <w:color w:val="auto"/>
                <w:szCs w:val="21"/>
                <w:lang w:val="en-US" w:eastAsia="zh-CN"/>
              </w:rPr>
              <w:t>采纳</w:t>
            </w:r>
          </w:p>
        </w:tc>
      </w:tr>
      <w:tr w14:paraId="59DF0D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9" w:hRule="atLeast"/>
        </w:trPr>
        <w:tc>
          <w:tcPr>
            <w:tcW w:w="292" w:type="pct"/>
            <w:noWrap w:val="0"/>
            <w:vAlign w:val="center"/>
          </w:tcPr>
          <w:p w14:paraId="6486B157">
            <w:pPr>
              <w:jc w:val="center"/>
              <w:rPr>
                <w:rFonts w:hint="eastAsia" w:ascii="仿宋_GB2312" w:hAnsi="宋体" w:eastAsia="仿宋_GB2312"/>
                <w:color w:val="auto"/>
                <w:sz w:val="24"/>
                <w:szCs w:val="24"/>
                <w:lang w:val="en-US" w:eastAsia="zh-CN"/>
              </w:rPr>
            </w:pPr>
            <w:r>
              <w:rPr>
                <w:rFonts w:hint="eastAsia" w:ascii="宋体" w:hAnsi="宋体" w:eastAsia="宋体" w:cs="Times New Roman"/>
                <w:color w:val="auto"/>
                <w:szCs w:val="21"/>
                <w:lang w:val="en-US" w:eastAsia="zh-CN"/>
              </w:rPr>
              <w:t>5</w:t>
            </w:r>
          </w:p>
        </w:tc>
        <w:tc>
          <w:tcPr>
            <w:tcW w:w="967" w:type="pct"/>
            <w:noWrap w:val="0"/>
            <w:vAlign w:val="center"/>
          </w:tcPr>
          <w:p w14:paraId="12055B6C">
            <w:pPr>
              <w:jc w:val="center"/>
              <w:rPr>
                <w:rFonts w:hint="default" w:ascii="宋体" w:hAnsi="宋体" w:eastAsia="宋体" w:cs="Times New Roman"/>
                <w:color w:val="auto"/>
                <w:kern w:val="2"/>
                <w:sz w:val="21"/>
                <w:szCs w:val="21"/>
                <w:lang w:val="en-US" w:eastAsia="zh-CN" w:bidi="ar-SA"/>
              </w:rPr>
            </w:pPr>
            <w:r>
              <w:rPr>
                <w:rFonts w:hint="eastAsia" w:ascii="宋体" w:hAnsi="宋体" w:eastAsia="宋体" w:cs="Times New Roman"/>
                <w:color w:val="auto"/>
                <w:szCs w:val="21"/>
                <w:lang w:val="en-US" w:eastAsia="zh-CN"/>
              </w:rPr>
              <w:t>规范性引用文件</w:t>
            </w:r>
          </w:p>
        </w:tc>
        <w:tc>
          <w:tcPr>
            <w:tcW w:w="2140" w:type="pct"/>
            <w:noWrap w:val="0"/>
            <w:vAlign w:val="center"/>
          </w:tcPr>
          <w:p w14:paraId="6C0C7BCA">
            <w:pPr>
              <w:jc w:val="center"/>
              <w:rPr>
                <w:rFonts w:hint="default" w:ascii="宋体" w:hAnsi="宋体" w:eastAsia="宋体" w:cs="Times New Roman"/>
                <w:color w:val="auto"/>
                <w:kern w:val="2"/>
                <w:sz w:val="21"/>
                <w:szCs w:val="21"/>
                <w:lang w:val="en-US" w:eastAsia="zh-CN" w:bidi="ar-SA"/>
              </w:rPr>
            </w:pPr>
            <w:r>
              <w:rPr>
                <w:rFonts w:hint="eastAsia" w:ascii="宋体" w:hAnsi="宋体" w:eastAsia="宋体" w:cs="Times New Roman"/>
                <w:color w:val="auto"/>
                <w:szCs w:val="21"/>
                <w:lang w:val="en-US" w:eastAsia="zh-CN"/>
              </w:rPr>
              <w:t>规范性引用文件中将10.3中引用的NY/T5339、NY/T2798.7列入清单中。</w:t>
            </w:r>
          </w:p>
        </w:tc>
        <w:tc>
          <w:tcPr>
            <w:tcW w:w="742" w:type="pct"/>
            <w:noWrap w:val="0"/>
            <w:vAlign w:val="center"/>
          </w:tcPr>
          <w:p w14:paraId="3C693F38">
            <w:pPr>
              <w:jc w:val="center"/>
              <w:rPr>
                <w:rFonts w:hint="default" w:ascii="宋体" w:hAnsi="宋体"/>
                <w:color w:val="auto"/>
                <w:szCs w:val="21"/>
                <w:lang w:val="en-US" w:eastAsia="zh-CN"/>
              </w:rPr>
            </w:pPr>
            <w:r>
              <w:rPr>
                <w:rFonts w:hint="eastAsia" w:ascii="宋体" w:hAnsi="宋体" w:eastAsia="宋体" w:cs="Times New Roman"/>
                <w:color w:val="auto"/>
                <w:szCs w:val="21"/>
                <w:lang w:val="en-US" w:eastAsia="zh-CN"/>
              </w:rPr>
              <w:t>青海大学 冶贵生</w:t>
            </w:r>
          </w:p>
        </w:tc>
        <w:tc>
          <w:tcPr>
            <w:tcW w:w="857" w:type="pct"/>
            <w:noWrap w:val="0"/>
            <w:vAlign w:val="center"/>
          </w:tcPr>
          <w:p w14:paraId="47FE774F">
            <w:pPr>
              <w:jc w:val="center"/>
              <w:rPr>
                <w:rFonts w:hint="eastAsia" w:ascii="仿宋_GB2312" w:hAnsi="宋体" w:eastAsia="仿宋_GB2312"/>
                <w:sz w:val="24"/>
                <w:szCs w:val="24"/>
              </w:rPr>
            </w:pPr>
            <w:r>
              <w:rPr>
                <w:rFonts w:hint="eastAsia" w:ascii="宋体" w:hAnsi="宋体" w:eastAsia="宋体" w:cs="Times New Roman"/>
                <w:color w:val="auto"/>
                <w:szCs w:val="21"/>
                <w:lang w:val="en-US" w:eastAsia="zh-CN"/>
              </w:rPr>
              <w:t>采纳</w:t>
            </w:r>
          </w:p>
        </w:tc>
      </w:tr>
      <w:tr w14:paraId="680B6C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9" w:hRule="atLeast"/>
        </w:trPr>
        <w:tc>
          <w:tcPr>
            <w:tcW w:w="292" w:type="pct"/>
            <w:noWrap w:val="0"/>
            <w:vAlign w:val="center"/>
          </w:tcPr>
          <w:p w14:paraId="3E6EB20B">
            <w:pPr>
              <w:jc w:val="center"/>
              <w:rPr>
                <w:rFonts w:hint="eastAsia" w:ascii="仿宋_GB2312" w:hAnsi="宋体" w:eastAsia="仿宋_GB2312"/>
                <w:color w:val="auto"/>
                <w:sz w:val="24"/>
                <w:szCs w:val="24"/>
                <w:lang w:val="en-US" w:eastAsia="zh-CN"/>
              </w:rPr>
            </w:pPr>
            <w:r>
              <w:rPr>
                <w:rFonts w:hint="eastAsia" w:ascii="宋体" w:hAnsi="宋体" w:eastAsia="宋体" w:cs="Times New Roman"/>
                <w:color w:val="auto"/>
                <w:szCs w:val="21"/>
                <w:lang w:val="en-US" w:eastAsia="zh-CN"/>
              </w:rPr>
              <w:t>6</w:t>
            </w:r>
          </w:p>
        </w:tc>
        <w:tc>
          <w:tcPr>
            <w:tcW w:w="967" w:type="pct"/>
            <w:noWrap w:val="0"/>
            <w:vAlign w:val="center"/>
          </w:tcPr>
          <w:p w14:paraId="6C90A09C">
            <w:pPr>
              <w:jc w:val="center"/>
              <w:rPr>
                <w:rFonts w:hint="default" w:ascii="宋体" w:hAnsi="宋体" w:eastAsia="宋体" w:cs="Times New Roman"/>
                <w:color w:val="auto"/>
                <w:kern w:val="2"/>
                <w:sz w:val="21"/>
                <w:szCs w:val="21"/>
                <w:lang w:val="en-US" w:eastAsia="zh-CN" w:bidi="ar-SA"/>
              </w:rPr>
            </w:pPr>
            <w:r>
              <w:rPr>
                <w:rFonts w:hint="eastAsia" w:ascii="宋体" w:hAnsi="宋体" w:eastAsia="宋体" w:cs="Times New Roman"/>
                <w:color w:val="auto"/>
                <w:szCs w:val="21"/>
                <w:lang w:val="en-US" w:eastAsia="zh-CN"/>
              </w:rPr>
              <w:t>清理消毒</w:t>
            </w:r>
          </w:p>
        </w:tc>
        <w:tc>
          <w:tcPr>
            <w:tcW w:w="2140" w:type="pct"/>
            <w:noWrap w:val="0"/>
            <w:vAlign w:val="center"/>
          </w:tcPr>
          <w:p w14:paraId="1E80E09C">
            <w:pPr>
              <w:jc w:val="center"/>
              <w:rPr>
                <w:rFonts w:hint="default" w:ascii="宋体" w:hAnsi="宋体" w:eastAsia="宋体" w:cs="Times New Roman"/>
                <w:color w:val="auto"/>
                <w:kern w:val="2"/>
                <w:sz w:val="21"/>
                <w:szCs w:val="21"/>
                <w:lang w:val="en-US" w:eastAsia="zh-CN" w:bidi="ar-SA"/>
              </w:rPr>
            </w:pPr>
            <w:r>
              <w:rPr>
                <w:rFonts w:hint="eastAsia" w:ascii="宋体" w:hAnsi="宋体" w:eastAsia="宋体" w:cs="Times New Roman"/>
                <w:color w:val="auto"/>
                <w:szCs w:val="21"/>
                <w:lang w:val="en-US" w:eastAsia="zh-CN"/>
              </w:rPr>
              <w:t>将“8.清理消毒”中的内容进行精简整合。</w:t>
            </w:r>
          </w:p>
        </w:tc>
        <w:tc>
          <w:tcPr>
            <w:tcW w:w="742" w:type="pct"/>
            <w:noWrap w:val="0"/>
            <w:vAlign w:val="center"/>
          </w:tcPr>
          <w:p w14:paraId="33D204C5">
            <w:pPr>
              <w:jc w:val="center"/>
              <w:rPr>
                <w:rFonts w:hint="eastAsia" w:ascii="宋体" w:hAnsi="宋体"/>
                <w:color w:val="auto"/>
                <w:szCs w:val="21"/>
                <w:lang w:val="en-US" w:eastAsia="zh-CN"/>
              </w:rPr>
            </w:pPr>
            <w:r>
              <w:rPr>
                <w:rFonts w:hint="eastAsia" w:ascii="宋体" w:hAnsi="宋体" w:eastAsia="宋体" w:cs="Times New Roman"/>
                <w:color w:val="auto"/>
                <w:szCs w:val="21"/>
                <w:lang w:val="en-US" w:eastAsia="zh-CN"/>
              </w:rPr>
              <w:t>青海大学 冶贵生</w:t>
            </w:r>
          </w:p>
        </w:tc>
        <w:tc>
          <w:tcPr>
            <w:tcW w:w="857" w:type="pct"/>
            <w:noWrap w:val="0"/>
            <w:vAlign w:val="center"/>
          </w:tcPr>
          <w:p w14:paraId="277ED861">
            <w:pPr>
              <w:jc w:val="center"/>
              <w:rPr>
                <w:rFonts w:hint="eastAsia" w:ascii="仿宋_GB2312" w:hAnsi="宋体" w:eastAsia="仿宋_GB2312"/>
                <w:sz w:val="24"/>
                <w:szCs w:val="24"/>
              </w:rPr>
            </w:pPr>
            <w:r>
              <w:rPr>
                <w:rFonts w:hint="eastAsia" w:ascii="宋体" w:hAnsi="宋体" w:eastAsia="宋体" w:cs="Times New Roman"/>
                <w:color w:val="auto"/>
                <w:szCs w:val="21"/>
                <w:lang w:val="en-US" w:eastAsia="zh-CN"/>
              </w:rPr>
              <w:t>采纳</w:t>
            </w:r>
          </w:p>
        </w:tc>
      </w:tr>
      <w:tr w14:paraId="51F918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9" w:hRule="atLeast"/>
        </w:trPr>
        <w:tc>
          <w:tcPr>
            <w:tcW w:w="292" w:type="pct"/>
            <w:noWrap w:val="0"/>
            <w:vAlign w:val="center"/>
          </w:tcPr>
          <w:p w14:paraId="2273E9DC">
            <w:pPr>
              <w:jc w:val="center"/>
              <w:rPr>
                <w:rFonts w:hint="eastAsia" w:ascii="仿宋_GB2312" w:hAnsi="宋体" w:eastAsia="仿宋_GB2312"/>
                <w:color w:val="auto"/>
                <w:sz w:val="24"/>
                <w:szCs w:val="24"/>
                <w:lang w:val="en-US" w:eastAsia="zh-CN"/>
              </w:rPr>
            </w:pPr>
            <w:r>
              <w:rPr>
                <w:rFonts w:hint="eastAsia" w:ascii="宋体" w:hAnsi="宋体" w:eastAsia="宋体" w:cs="Times New Roman"/>
                <w:color w:val="auto"/>
                <w:szCs w:val="21"/>
                <w:lang w:val="en-US" w:eastAsia="zh-CN"/>
              </w:rPr>
              <w:t>7</w:t>
            </w:r>
          </w:p>
        </w:tc>
        <w:tc>
          <w:tcPr>
            <w:tcW w:w="967" w:type="pct"/>
            <w:noWrap w:val="0"/>
            <w:vAlign w:val="center"/>
          </w:tcPr>
          <w:p w14:paraId="606B036C">
            <w:pPr>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szCs w:val="21"/>
                <w:lang w:val="en-US" w:eastAsia="zh-CN"/>
              </w:rPr>
              <w:t>范围</w:t>
            </w:r>
          </w:p>
        </w:tc>
        <w:tc>
          <w:tcPr>
            <w:tcW w:w="2140" w:type="pct"/>
            <w:noWrap w:val="0"/>
            <w:vAlign w:val="center"/>
          </w:tcPr>
          <w:p w14:paraId="5FC257BB">
            <w:pPr>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szCs w:val="21"/>
                <w:lang w:val="en-US" w:eastAsia="zh-CN"/>
              </w:rPr>
              <w:t>文件规定的内容与文件结构中的名称与顺序保持一致。</w:t>
            </w:r>
          </w:p>
        </w:tc>
        <w:tc>
          <w:tcPr>
            <w:tcW w:w="742" w:type="pct"/>
            <w:noWrap w:val="0"/>
            <w:vAlign w:val="center"/>
          </w:tcPr>
          <w:p w14:paraId="72FB2C99">
            <w:pPr>
              <w:jc w:val="center"/>
              <w:rPr>
                <w:rFonts w:hint="default" w:ascii="仿宋_GB2312" w:hAnsi="宋体" w:eastAsia="仿宋_GB2312"/>
                <w:color w:val="auto"/>
                <w:sz w:val="24"/>
                <w:szCs w:val="24"/>
                <w:lang w:val="en-US" w:eastAsia="zh-CN"/>
              </w:rPr>
            </w:pPr>
            <w:r>
              <w:rPr>
                <w:rFonts w:hint="eastAsia" w:ascii="宋体" w:hAnsi="宋体" w:eastAsia="宋体" w:cs="Times New Roman"/>
                <w:color w:val="auto"/>
                <w:szCs w:val="21"/>
                <w:lang w:val="en-US" w:eastAsia="zh-CN"/>
              </w:rPr>
              <w:t>青海省畜牧兽医科学院 马世科</w:t>
            </w:r>
          </w:p>
        </w:tc>
        <w:tc>
          <w:tcPr>
            <w:tcW w:w="857" w:type="pct"/>
            <w:noWrap w:val="0"/>
            <w:vAlign w:val="center"/>
          </w:tcPr>
          <w:p w14:paraId="5F6184E3">
            <w:pPr>
              <w:jc w:val="center"/>
              <w:rPr>
                <w:rFonts w:hint="eastAsia" w:ascii="仿宋_GB2312" w:hAnsi="宋体" w:eastAsia="仿宋_GB2312"/>
                <w:sz w:val="24"/>
                <w:szCs w:val="24"/>
              </w:rPr>
            </w:pPr>
            <w:r>
              <w:rPr>
                <w:rFonts w:hint="eastAsia" w:ascii="宋体" w:hAnsi="宋体" w:eastAsia="宋体" w:cs="Times New Roman"/>
                <w:color w:val="auto"/>
                <w:szCs w:val="21"/>
                <w:lang w:val="en-US" w:eastAsia="zh-CN"/>
              </w:rPr>
              <w:t>采纳</w:t>
            </w:r>
          </w:p>
        </w:tc>
      </w:tr>
      <w:tr w14:paraId="684D4C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9" w:hRule="atLeast"/>
        </w:trPr>
        <w:tc>
          <w:tcPr>
            <w:tcW w:w="292" w:type="pct"/>
            <w:noWrap w:val="0"/>
            <w:vAlign w:val="center"/>
          </w:tcPr>
          <w:p w14:paraId="5B7AB6A5">
            <w:pPr>
              <w:jc w:val="center"/>
              <w:rPr>
                <w:rFonts w:hint="eastAsia" w:ascii="仿宋_GB2312" w:hAnsi="宋体" w:eastAsia="仿宋_GB2312"/>
                <w:color w:val="auto"/>
                <w:sz w:val="24"/>
                <w:szCs w:val="24"/>
                <w:lang w:val="en-US" w:eastAsia="zh-CN"/>
              </w:rPr>
            </w:pPr>
            <w:r>
              <w:rPr>
                <w:rFonts w:hint="eastAsia" w:ascii="宋体" w:hAnsi="宋体" w:eastAsia="宋体" w:cs="Times New Roman"/>
                <w:color w:val="auto"/>
                <w:szCs w:val="21"/>
                <w:lang w:val="en-US" w:eastAsia="zh-CN"/>
              </w:rPr>
              <w:t>8</w:t>
            </w:r>
          </w:p>
        </w:tc>
        <w:tc>
          <w:tcPr>
            <w:tcW w:w="967" w:type="pct"/>
            <w:noWrap w:val="0"/>
            <w:vAlign w:val="center"/>
          </w:tcPr>
          <w:p w14:paraId="5C371F01">
            <w:pPr>
              <w:jc w:val="center"/>
              <w:rPr>
                <w:rFonts w:hint="eastAsia" w:ascii="仿宋_GB2312" w:hAnsi="宋体" w:eastAsia="仿宋_GB2312"/>
                <w:color w:val="auto"/>
                <w:sz w:val="24"/>
                <w:szCs w:val="24"/>
              </w:rPr>
            </w:pPr>
            <w:r>
              <w:rPr>
                <w:rFonts w:hint="eastAsia" w:ascii="宋体" w:hAnsi="宋体" w:eastAsia="宋体" w:cs="Times New Roman"/>
                <w:color w:val="auto"/>
                <w:szCs w:val="21"/>
                <w:lang w:val="en-US" w:eastAsia="zh-CN"/>
              </w:rPr>
              <w:t>术语和定义</w:t>
            </w:r>
          </w:p>
        </w:tc>
        <w:tc>
          <w:tcPr>
            <w:tcW w:w="2140" w:type="pct"/>
            <w:noWrap w:val="0"/>
            <w:vAlign w:val="center"/>
          </w:tcPr>
          <w:p w14:paraId="608A251A">
            <w:pPr>
              <w:jc w:val="center"/>
              <w:rPr>
                <w:rFonts w:hint="eastAsia" w:ascii="仿宋_GB2312" w:hAnsi="宋体" w:eastAsia="仿宋_GB2312"/>
                <w:color w:val="auto"/>
                <w:sz w:val="24"/>
                <w:szCs w:val="24"/>
              </w:rPr>
            </w:pPr>
            <w:r>
              <w:rPr>
                <w:rFonts w:hint="eastAsia" w:ascii="宋体" w:hAnsi="宋体" w:eastAsia="宋体" w:cs="Times New Roman"/>
                <w:color w:val="auto"/>
                <w:szCs w:val="21"/>
                <w:lang w:val="en-US" w:eastAsia="zh-CN"/>
              </w:rPr>
              <w:t>取消对布鲁氏菌病的定义。</w:t>
            </w:r>
          </w:p>
        </w:tc>
        <w:tc>
          <w:tcPr>
            <w:tcW w:w="742" w:type="pct"/>
            <w:noWrap w:val="0"/>
            <w:vAlign w:val="center"/>
          </w:tcPr>
          <w:p w14:paraId="6F7B8991">
            <w:pPr>
              <w:jc w:val="center"/>
              <w:rPr>
                <w:rFonts w:hint="eastAsia" w:ascii="仿宋_GB2312" w:hAnsi="宋体" w:eastAsia="仿宋_GB2312"/>
                <w:color w:val="auto"/>
                <w:sz w:val="24"/>
                <w:szCs w:val="24"/>
              </w:rPr>
            </w:pPr>
            <w:r>
              <w:rPr>
                <w:rFonts w:hint="eastAsia" w:ascii="宋体" w:hAnsi="宋体" w:eastAsia="宋体" w:cs="Times New Roman"/>
                <w:color w:val="auto"/>
                <w:szCs w:val="21"/>
                <w:lang w:val="en-US" w:eastAsia="zh-CN"/>
              </w:rPr>
              <w:t>青海省畜牧兽医科学院 马世科</w:t>
            </w:r>
          </w:p>
        </w:tc>
        <w:tc>
          <w:tcPr>
            <w:tcW w:w="857" w:type="pct"/>
            <w:noWrap w:val="0"/>
            <w:vAlign w:val="center"/>
          </w:tcPr>
          <w:p w14:paraId="3951C4E8">
            <w:pPr>
              <w:jc w:val="center"/>
              <w:rPr>
                <w:rFonts w:hint="eastAsia" w:ascii="仿宋_GB2312" w:hAnsi="宋体" w:eastAsia="仿宋_GB2312"/>
                <w:sz w:val="24"/>
                <w:szCs w:val="24"/>
              </w:rPr>
            </w:pPr>
            <w:r>
              <w:rPr>
                <w:rFonts w:hint="eastAsia" w:ascii="宋体" w:hAnsi="宋体" w:eastAsia="宋体" w:cs="Times New Roman"/>
                <w:color w:val="auto"/>
                <w:szCs w:val="21"/>
                <w:lang w:val="en-US" w:eastAsia="zh-CN"/>
              </w:rPr>
              <w:t>采纳</w:t>
            </w:r>
          </w:p>
        </w:tc>
      </w:tr>
      <w:tr w14:paraId="479DF3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9" w:hRule="atLeast"/>
        </w:trPr>
        <w:tc>
          <w:tcPr>
            <w:tcW w:w="292" w:type="pct"/>
            <w:noWrap w:val="0"/>
            <w:vAlign w:val="center"/>
          </w:tcPr>
          <w:p w14:paraId="0687A565">
            <w:pPr>
              <w:jc w:val="center"/>
              <w:rPr>
                <w:rFonts w:hint="eastAsia" w:ascii="仿宋_GB2312" w:hAnsi="宋体" w:eastAsia="仿宋_GB2312"/>
                <w:color w:val="auto"/>
                <w:sz w:val="24"/>
                <w:szCs w:val="24"/>
                <w:lang w:val="en-US" w:eastAsia="zh-CN"/>
              </w:rPr>
            </w:pPr>
            <w:r>
              <w:rPr>
                <w:rFonts w:hint="eastAsia" w:ascii="宋体" w:hAnsi="宋体" w:eastAsia="宋体" w:cs="Times New Roman"/>
                <w:color w:val="auto"/>
                <w:szCs w:val="21"/>
                <w:lang w:val="en-US" w:eastAsia="zh-CN"/>
              </w:rPr>
              <w:t>9</w:t>
            </w:r>
          </w:p>
        </w:tc>
        <w:tc>
          <w:tcPr>
            <w:tcW w:w="967" w:type="pct"/>
            <w:noWrap w:val="0"/>
            <w:vAlign w:val="center"/>
          </w:tcPr>
          <w:p w14:paraId="0BC5179B">
            <w:pPr>
              <w:jc w:val="center"/>
              <w:rPr>
                <w:rFonts w:hint="eastAsia" w:ascii="仿宋_GB2312" w:hAnsi="宋体" w:eastAsia="仿宋_GB2312"/>
                <w:color w:val="auto"/>
                <w:sz w:val="24"/>
                <w:szCs w:val="24"/>
              </w:rPr>
            </w:pPr>
            <w:r>
              <w:rPr>
                <w:rFonts w:hint="eastAsia" w:ascii="宋体" w:hAnsi="宋体" w:eastAsia="宋体" w:cs="Times New Roman"/>
                <w:color w:val="auto"/>
                <w:szCs w:val="21"/>
                <w:lang w:val="en-US" w:eastAsia="zh-CN"/>
              </w:rPr>
              <w:t>综合防控</w:t>
            </w:r>
          </w:p>
        </w:tc>
        <w:tc>
          <w:tcPr>
            <w:tcW w:w="2140" w:type="pct"/>
            <w:noWrap w:val="0"/>
            <w:vAlign w:val="center"/>
          </w:tcPr>
          <w:p w14:paraId="70AEE191">
            <w:pPr>
              <w:jc w:val="center"/>
              <w:rPr>
                <w:rFonts w:hint="eastAsia" w:ascii="仿宋_GB2312" w:hAnsi="宋体" w:eastAsia="仿宋_GB2312"/>
                <w:color w:val="auto"/>
                <w:sz w:val="24"/>
                <w:szCs w:val="24"/>
              </w:rPr>
            </w:pPr>
            <w:r>
              <w:rPr>
                <w:rFonts w:hint="eastAsia" w:ascii="宋体" w:hAnsi="宋体" w:eastAsia="宋体" w:cs="Times New Roman"/>
                <w:color w:val="auto"/>
                <w:szCs w:val="21"/>
                <w:lang w:val="en-US" w:eastAsia="zh-CN"/>
              </w:rPr>
              <w:t>修改条款名称，简化内容。</w:t>
            </w:r>
          </w:p>
        </w:tc>
        <w:tc>
          <w:tcPr>
            <w:tcW w:w="742" w:type="pct"/>
            <w:noWrap w:val="0"/>
            <w:vAlign w:val="center"/>
          </w:tcPr>
          <w:p w14:paraId="182ABEEB">
            <w:pPr>
              <w:jc w:val="center"/>
              <w:rPr>
                <w:rFonts w:hint="eastAsia" w:ascii="仿宋_GB2312" w:hAnsi="宋体" w:eastAsia="仿宋_GB2312"/>
                <w:color w:val="auto"/>
                <w:sz w:val="24"/>
                <w:szCs w:val="24"/>
              </w:rPr>
            </w:pPr>
            <w:r>
              <w:rPr>
                <w:rFonts w:hint="eastAsia" w:ascii="宋体" w:hAnsi="宋体" w:eastAsia="宋体" w:cs="Times New Roman"/>
                <w:color w:val="auto"/>
                <w:szCs w:val="21"/>
                <w:lang w:val="en-US" w:eastAsia="zh-CN"/>
              </w:rPr>
              <w:t>青海省畜牧兽医科学院 马世科</w:t>
            </w:r>
          </w:p>
        </w:tc>
        <w:tc>
          <w:tcPr>
            <w:tcW w:w="857" w:type="pct"/>
            <w:noWrap w:val="0"/>
            <w:vAlign w:val="center"/>
          </w:tcPr>
          <w:p w14:paraId="08B2F0C0">
            <w:pPr>
              <w:jc w:val="center"/>
              <w:rPr>
                <w:rFonts w:hint="eastAsia" w:ascii="仿宋_GB2312" w:hAnsi="宋体" w:eastAsia="仿宋_GB2312"/>
                <w:sz w:val="24"/>
                <w:szCs w:val="24"/>
              </w:rPr>
            </w:pPr>
            <w:r>
              <w:rPr>
                <w:rFonts w:hint="eastAsia" w:ascii="宋体" w:hAnsi="宋体" w:eastAsia="宋体" w:cs="Times New Roman"/>
                <w:color w:val="auto"/>
                <w:szCs w:val="21"/>
                <w:lang w:val="en-US" w:eastAsia="zh-CN"/>
              </w:rPr>
              <w:t>采纳</w:t>
            </w:r>
          </w:p>
        </w:tc>
      </w:tr>
      <w:tr w14:paraId="2CDA04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9" w:hRule="atLeast"/>
        </w:trPr>
        <w:tc>
          <w:tcPr>
            <w:tcW w:w="292" w:type="pct"/>
            <w:noWrap w:val="0"/>
            <w:vAlign w:val="center"/>
          </w:tcPr>
          <w:p w14:paraId="642593E7">
            <w:pPr>
              <w:jc w:val="center"/>
              <w:rPr>
                <w:rFonts w:hint="default" w:ascii="仿宋_GB2312" w:hAnsi="宋体" w:eastAsia="仿宋_GB2312"/>
                <w:color w:val="auto"/>
                <w:sz w:val="24"/>
                <w:szCs w:val="24"/>
                <w:lang w:val="en-US" w:eastAsia="zh-CN"/>
              </w:rPr>
            </w:pPr>
            <w:r>
              <w:rPr>
                <w:rFonts w:hint="eastAsia" w:ascii="宋体" w:hAnsi="宋体" w:eastAsia="宋体" w:cs="Times New Roman"/>
                <w:color w:val="auto"/>
                <w:szCs w:val="21"/>
                <w:lang w:val="en-US" w:eastAsia="zh-CN"/>
              </w:rPr>
              <w:t>10</w:t>
            </w:r>
          </w:p>
        </w:tc>
        <w:tc>
          <w:tcPr>
            <w:tcW w:w="967" w:type="pct"/>
            <w:noWrap w:val="0"/>
            <w:vAlign w:val="center"/>
          </w:tcPr>
          <w:p w14:paraId="01A10B5D">
            <w:pPr>
              <w:jc w:val="center"/>
              <w:rPr>
                <w:rFonts w:hint="eastAsia" w:ascii="仿宋_GB2312" w:hAnsi="宋体" w:eastAsia="仿宋_GB2312"/>
                <w:color w:val="auto"/>
                <w:sz w:val="24"/>
                <w:szCs w:val="24"/>
              </w:rPr>
            </w:pPr>
            <w:r>
              <w:rPr>
                <w:rFonts w:hint="eastAsia" w:ascii="宋体" w:hAnsi="宋体" w:eastAsia="宋体" w:cs="Times New Roman"/>
                <w:color w:val="auto"/>
                <w:szCs w:val="21"/>
                <w:lang w:val="en-US" w:eastAsia="zh-CN"/>
              </w:rPr>
              <w:t>术语和定义</w:t>
            </w:r>
          </w:p>
        </w:tc>
        <w:tc>
          <w:tcPr>
            <w:tcW w:w="2140" w:type="pct"/>
            <w:noWrap w:val="0"/>
            <w:vAlign w:val="center"/>
          </w:tcPr>
          <w:p w14:paraId="4B42CE87">
            <w:pPr>
              <w:jc w:val="center"/>
              <w:rPr>
                <w:rFonts w:hint="default" w:ascii="仿宋_GB2312" w:hAnsi="宋体" w:eastAsia="仿宋_GB2312"/>
                <w:color w:val="auto"/>
                <w:sz w:val="24"/>
                <w:szCs w:val="24"/>
                <w:lang w:val="en-US" w:eastAsia="zh-CN"/>
              </w:rPr>
            </w:pPr>
            <w:r>
              <w:rPr>
                <w:rFonts w:hint="eastAsia" w:ascii="宋体" w:hAnsi="宋体" w:eastAsia="宋体" w:cs="Times New Roman"/>
                <w:color w:val="auto"/>
                <w:szCs w:val="21"/>
                <w:lang w:val="en-US" w:eastAsia="zh-CN"/>
              </w:rPr>
              <w:t>建议将免疫净化方法列入技术规范</w:t>
            </w:r>
          </w:p>
        </w:tc>
        <w:tc>
          <w:tcPr>
            <w:tcW w:w="742" w:type="pct"/>
            <w:noWrap w:val="0"/>
            <w:vAlign w:val="center"/>
          </w:tcPr>
          <w:p w14:paraId="6E64021D">
            <w:pPr>
              <w:jc w:val="center"/>
              <w:rPr>
                <w:rFonts w:hint="default" w:ascii="仿宋_GB2312" w:hAnsi="宋体" w:eastAsia="仿宋_GB2312"/>
                <w:color w:val="auto"/>
                <w:sz w:val="24"/>
                <w:szCs w:val="24"/>
                <w:lang w:val="en-US" w:eastAsia="zh-CN"/>
              </w:rPr>
            </w:pPr>
            <w:r>
              <w:rPr>
                <w:rFonts w:hint="eastAsia" w:ascii="宋体" w:hAnsi="宋体" w:eastAsia="宋体" w:cs="Times New Roman"/>
                <w:color w:val="auto"/>
                <w:szCs w:val="21"/>
                <w:lang w:val="en-US" w:eastAsia="zh-CN"/>
              </w:rPr>
              <w:t>海东市动物疫病预防控制中心 叶培麟</w:t>
            </w:r>
          </w:p>
        </w:tc>
        <w:tc>
          <w:tcPr>
            <w:tcW w:w="857" w:type="pct"/>
            <w:noWrap w:val="0"/>
            <w:vAlign w:val="center"/>
          </w:tcPr>
          <w:p w14:paraId="541BE8D5">
            <w:pPr>
              <w:jc w:val="center"/>
              <w:rPr>
                <w:rFonts w:hint="eastAsia" w:ascii="仿宋_GB2312" w:hAnsi="宋体" w:eastAsia="仿宋_GB2312"/>
                <w:sz w:val="24"/>
                <w:szCs w:val="24"/>
              </w:rPr>
            </w:pPr>
            <w:r>
              <w:rPr>
                <w:rFonts w:hint="eastAsia" w:ascii="宋体" w:hAnsi="宋体" w:eastAsia="宋体" w:cs="Times New Roman"/>
                <w:color w:val="auto"/>
                <w:szCs w:val="21"/>
                <w:lang w:val="en-US" w:eastAsia="zh-CN"/>
              </w:rPr>
              <w:t>采纳</w:t>
            </w:r>
          </w:p>
        </w:tc>
      </w:tr>
      <w:tr w14:paraId="3247FE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9" w:hRule="atLeast"/>
        </w:trPr>
        <w:tc>
          <w:tcPr>
            <w:tcW w:w="292" w:type="pct"/>
            <w:noWrap w:val="0"/>
            <w:vAlign w:val="center"/>
          </w:tcPr>
          <w:p w14:paraId="3DFB3C94">
            <w:pPr>
              <w:jc w:val="center"/>
              <w:rPr>
                <w:rFonts w:hint="default" w:ascii="仿宋_GB2312" w:hAnsi="宋体" w:eastAsia="仿宋_GB2312"/>
                <w:color w:val="auto"/>
                <w:sz w:val="24"/>
                <w:szCs w:val="24"/>
                <w:lang w:val="en-US" w:eastAsia="zh-CN"/>
              </w:rPr>
            </w:pPr>
            <w:r>
              <w:rPr>
                <w:rFonts w:hint="eastAsia" w:ascii="宋体" w:hAnsi="宋体" w:eastAsia="宋体" w:cs="Times New Roman"/>
                <w:color w:val="auto"/>
                <w:szCs w:val="21"/>
                <w:lang w:val="en-US" w:eastAsia="zh-CN"/>
              </w:rPr>
              <w:t>11</w:t>
            </w:r>
          </w:p>
        </w:tc>
        <w:tc>
          <w:tcPr>
            <w:tcW w:w="967" w:type="pct"/>
            <w:noWrap w:val="0"/>
            <w:vAlign w:val="center"/>
          </w:tcPr>
          <w:p w14:paraId="5D221A88">
            <w:pPr>
              <w:jc w:val="center"/>
              <w:rPr>
                <w:rFonts w:hint="default" w:ascii="宋体" w:hAnsi="宋体"/>
                <w:color w:val="auto"/>
                <w:szCs w:val="21"/>
                <w:lang w:val="en-US" w:eastAsia="zh-CN"/>
              </w:rPr>
            </w:pPr>
            <w:r>
              <w:rPr>
                <w:rFonts w:hint="eastAsia" w:ascii="宋体" w:hAnsi="宋体" w:eastAsia="宋体" w:cs="Times New Roman"/>
                <w:color w:val="auto"/>
                <w:szCs w:val="21"/>
                <w:lang w:val="en-US" w:eastAsia="zh-CN"/>
              </w:rPr>
              <w:t>清理消毒</w:t>
            </w:r>
          </w:p>
        </w:tc>
        <w:tc>
          <w:tcPr>
            <w:tcW w:w="2140" w:type="pct"/>
            <w:noWrap w:val="0"/>
            <w:vAlign w:val="center"/>
          </w:tcPr>
          <w:p w14:paraId="1568AADC">
            <w:pPr>
              <w:jc w:val="center"/>
              <w:rPr>
                <w:rFonts w:hint="default" w:ascii="宋体" w:hAnsi="宋体"/>
                <w:color w:val="auto"/>
                <w:szCs w:val="21"/>
                <w:lang w:val="en-US" w:eastAsia="zh-CN"/>
              </w:rPr>
            </w:pPr>
            <w:r>
              <w:rPr>
                <w:rFonts w:hint="eastAsia" w:ascii="宋体" w:hAnsi="宋体" w:eastAsia="宋体" w:cs="Times New Roman"/>
                <w:color w:val="auto"/>
                <w:szCs w:val="21"/>
                <w:lang w:val="en-US" w:eastAsia="zh-CN"/>
              </w:rPr>
              <w:t>简化清理消毒措施陈述。</w:t>
            </w:r>
          </w:p>
        </w:tc>
        <w:tc>
          <w:tcPr>
            <w:tcW w:w="742" w:type="pct"/>
            <w:noWrap w:val="0"/>
            <w:vAlign w:val="center"/>
          </w:tcPr>
          <w:p w14:paraId="78411026">
            <w:pPr>
              <w:jc w:val="center"/>
              <w:rPr>
                <w:rFonts w:hint="eastAsia" w:ascii="宋体" w:hAnsi="宋体"/>
                <w:color w:val="auto"/>
                <w:szCs w:val="21"/>
                <w:lang w:val="en-US" w:eastAsia="zh-CN"/>
              </w:rPr>
            </w:pPr>
            <w:r>
              <w:rPr>
                <w:rFonts w:hint="eastAsia" w:ascii="宋体" w:hAnsi="宋体" w:eastAsia="宋体" w:cs="Times New Roman"/>
                <w:color w:val="auto"/>
                <w:szCs w:val="21"/>
                <w:lang w:val="en-US" w:eastAsia="zh-CN"/>
              </w:rPr>
              <w:t>西宁市湟中区田家寨镇畜牧兽医站 喇成庆</w:t>
            </w:r>
          </w:p>
        </w:tc>
        <w:tc>
          <w:tcPr>
            <w:tcW w:w="857" w:type="pct"/>
            <w:noWrap w:val="0"/>
            <w:vAlign w:val="center"/>
          </w:tcPr>
          <w:p w14:paraId="7AFFD60E">
            <w:pPr>
              <w:jc w:val="center"/>
              <w:rPr>
                <w:rFonts w:hint="eastAsia" w:ascii="仿宋_GB2312" w:hAnsi="宋体" w:eastAsia="仿宋_GB2312"/>
                <w:sz w:val="24"/>
                <w:szCs w:val="24"/>
              </w:rPr>
            </w:pPr>
            <w:r>
              <w:rPr>
                <w:rFonts w:hint="eastAsia" w:ascii="宋体" w:hAnsi="宋体" w:eastAsia="宋体" w:cs="Times New Roman"/>
                <w:color w:val="auto"/>
                <w:szCs w:val="21"/>
                <w:lang w:val="en-US" w:eastAsia="zh-CN"/>
              </w:rPr>
              <w:t>采纳</w:t>
            </w:r>
          </w:p>
        </w:tc>
      </w:tr>
      <w:tr w14:paraId="5D066E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9" w:hRule="atLeast"/>
        </w:trPr>
        <w:tc>
          <w:tcPr>
            <w:tcW w:w="292" w:type="pct"/>
            <w:noWrap w:val="0"/>
            <w:vAlign w:val="center"/>
          </w:tcPr>
          <w:p w14:paraId="40FB5D29">
            <w:pPr>
              <w:jc w:val="center"/>
              <w:rPr>
                <w:rFonts w:hint="default" w:ascii="仿宋_GB2312" w:hAnsi="宋体" w:eastAsia="仿宋_GB2312"/>
                <w:color w:val="auto"/>
                <w:sz w:val="24"/>
                <w:szCs w:val="24"/>
                <w:lang w:val="en-US" w:eastAsia="zh-CN"/>
              </w:rPr>
            </w:pPr>
            <w:r>
              <w:rPr>
                <w:rFonts w:hint="eastAsia" w:ascii="宋体" w:hAnsi="宋体" w:eastAsia="宋体" w:cs="Times New Roman"/>
                <w:color w:val="auto"/>
                <w:szCs w:val="21"/>
                <w:lang w:val="en-US" w:eastAsia="zh-CN"/>
              </w:rPr>
              <w:t>12</w:t>
            </w:r>
          </w:p>
        </w:tc>
        <w:tc>
          <w:tcPr>
            <w:tcW w:w="967" w:type="pct"/>
            <w:noWrap w:val="0"/>
            <w:vAlign w:val="center"/>
          </w:tcPr>
          <w:p w14:paraId="79E092D9">
            <w:pPr>
              <w:jc w:val="center"/>
              <w:rPr>
                <w:rFonts w:hint="eastAsia" w:ascii="宋体" w:hAnsi="宋体"/>
                <w:color w:val="auto"/>
                <w:szCs w:val="21"/>
                <w:lang w:val="en-US" w:eastAsia="zh-CN"/>
              </w:rPr>
            </w:pPr>
            <w:r>
              <w:rPr>
                <w:rFonts w:hint="eastAsia" w:ascii="宋体" w:hAnsi="宋体" w:eastAsia="宋体" w:cs="Times New Roman"/>
                <w:color w:val="auto"/>
                <w:szCs w:val="21"/>
                <w:lang w:val="en-US" w:eastAsia="zh-CN"/>
              </w:rPr>
              <w:t>人员防护</w:t>
            </w:r>
          </w:p>
        </w:tc>
        <w:tc>
          <w:tcPr>
            <w:tcW w:w="2140" w:type="pct"/>
            <w:noWrap w:val="0"/>
            <w:vAlign w:val="center"/>
          </w:tcPr>
          <w:p w14:paraId="7D4B78F6">
            <w:pPr>
              <w:jc w:val="center"/>
              <w:rPr>
                <w:rFonts w:hint="default" w:ascii="宋体" w:hAnsi="宋体"/>
                <w:color w:val="auto"/>
                <w:szCs w:val="21"/>
                <w:lang w:val="en-US" w:eastAsia="zh-CN"/>
              </w:rPr>
            </w:pPr>
            <w:r>
              <w:rPr>
                <w:rFonts w:hint="eastAsia" w:ascii="宋体" w:hAnsi="宋体" w:eastAsia="宋体" w:cs="Times New Roman"/>
                <w:color w:val="auto"/>
                <w:szCs w:val="21"/>
                <w:lang w:val="en-US" w:eastAsia="zh-CN"/>
              </w:rPr>
              <w:t>加强人员防护。</w:t>
            </w:r>
          </w:p>
        </w:tc>
        <w:tc>
          <w:tcPr>
            <w:tcW w:w="742" w:type="pct"/>
            <w:noWrap w:val="0"/>
            <w:vAlign w:val="center"/>
          </w:tcPr>
          <w:p w14:paraId="308697BD">
            <w:pPr>
              <w:jc w:val="center"/>
              <w:rPr>
                <w:rFonts w:hint="eastAsia" w:ascii="宋体" w:hAnsi="宋体"/>
                <w:color w:val="auto"/>
                <w:szCs w:val="21"/>
                <w:lang w:val="en-US" w:eastAsia="zh-CN"/>
              </w:rPr>
            </w:pPr>
            <w:r>
              <w:rPr>
                <w:rFonts w:hint="eastAsia" w:ascii="宋体" w:hAnsi="宋体" w:eastAsia="宋体" w:cs="Times New Roman"/>
                <w:color w:val="auto"/>
                <w:szCs w:val="21"/>
                <w:lang w:val="en-US" w:eastAsia="zh-CN"/>
              </w:rPr>
              <w:t>西宁市湟中区田家寨镇畜牧兽医站 喇成庆</w:t>
            </w:r>
          </w:p>
        </w:tc>
        <w:tc>
          <w:tcPr>
            <w:tcW w:w="857" w:type="pct"/>
            <w:noWrap w:val="0"/>
            <w:vAlign w:val="center"/>
          </w:tcPr>
          <w:p w14:paraId="72810234">
            <w:pPr>
              <w:jc w:val="center"/>
              <w:rPr>
                <w:rFonts w:hint="eastAsia" w:ascii="仿宋_GB2312" w:hAnsi="宋体" w:eastAsia="仿宋_GB2312"/>
                <w:sz w:val="24"/>
                <w:szCs w:val="24"/>
              </w:rPr>
            </w:pPr>
            <w:r>
              <w:rPr>
                <w:rFonts w:hint="eastAsia" w:ascii="宋体" w:hAnsi="宋体" w:eastAsia="宋体" w:cs="Times New Roman"/>
                <w:color w:val="auto"/>
                <w:szCs w:val="21"/>
                <w:lang w:val="en-US" w:eastAsia="zh-CN"/>
              </w:rPr>
              <w:t>采纳</w:t>
            </w:r>
          </w:p>
        </w:tc>
      </w:tr>
    </w:tbl>
    <w:p w14:paraId="309AC850"/>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C50F90"/>
    <w:multiLevelType w:val="multilevel"/>
    <w:tmpl w:val="44C50F90"/>
    <w:lvl w:ilvl="0" w:tentative="0">
      <w:start w:val="1"/>
      <w:numFmt w:val="lowerLetter"/>
      <w:pStyle w:val="7"/>
      <w:lvlText w:val="%1)"/>
      <w:lvlJc w:val="left"/>
      <w:pPr>
        <w:tabs>
          <w:tab w:val="left" w:pos="839"/>
        </w:tabs>
        <w:ind w:left="839" w:hanging="419"/>
      </w:pPr>
      <w:rPr>
        <w:rFonts w:hint="eastAsia" w:ascii="宋体" w:hAnsi="宋体" w:eastAsia="宋体"/>
        <w:b w:val="0"/>
        <w:i w:val="0"/>
        <w:color w:val="auto"/>
        <w:sz w:val="20"/>
        <w:szCs w:val="21"/>
      </w:rPr>
    </w:lvl>
    <w:lvl w:ilvl="1" w:tentative="0">
      <w:start w:val="1"/>
      <w:numFmt w:val="decimal"/>
      <w:lvlText w:val="%2)"/>
      <w:lvlJc w:val="left"/>
      <w:pPr>
        <w:tabs>
          <w:tab w:val="left" w:pos="1259"/>
        </w:tabs>
        <w:ind w:left="1259" w:hanging="420"/>
      </w:pPr>
      <w:rPr>
        <w:rFonts w:hint="eastAsia" w:ascii="宋体" w:hAnsi="宋体" w:eastAsia="宋体"/>
        <w:b w:val="0"/>
        <w:i w:val="0"/>
        <w:color w:val="auto"/>
        <w:sz w:val="20"/>
      </w:rPr>
    </w:lvl>
    <w:lvl w:ilvl="2" w:tentative="0">
      <w:start w:val="1"/>
      <w:numFmt w:val="decimal"/>
      <w:lvlText w:val="(%3)"/>
      <w:lvlJc w:val="left"/>
      <w:pPr>
        <w:tabs>
          <w:tab w:val="left" w:pos="0"/>
        </w:tabs>
        <w:ind w:left="1678" w:hanging="419"/>
      </w:pPr>
      <w:rPr>
        <w:rFonts w:hint="eastAsia" w:ascii="宋体" w:hAnsi="宋体" w:eastAsia="宋体"/>
        <w:b w:val="0"/>
        <w:i w:val="0"/>
        <w:color w:val="auto"/>
        <w:sz w:val="20"/>
        <w:szCs w:val="21"/>
      </w:rPr>
    </w:lvl>
    <w:lvl w:ilvl="3" w:tentative="0">
      <w:start w:val="1"/>
      <w:numFmt w:val="decimal"/>
      <w:lvlText w:val="%4."/>
      <w:lvlJc w:val="left"/>
      <w:pPr>
        <w:tabs>
          <w:tab w:val="left" w:pos="2098"/>
        </w:tabs>
        <w:ind w:left="2098" w:hanging="420"/>
      </w:pPr>
      <w:rPr>
        <w:rFonts w:hint="default"/>
        <w:color w:val="auto"/>
      </w:rPr>
    </w:lvl>
    <w:lvl w:ilvl="4" w:tentative="0">
      <w:start w:val="1"/>
      <w:numFmt w:val="lowerLetter"/>
      <w:lvlText w:val="%5)"/>
      <w:lvlJc w:val="left"/>
      <w:pPr>
        <w:tabs>
          <w:tab w:val="left" w:pos="2517"/>
        </w:tabs>
        <w:ind w:left="2517" w:hanging="419"/>
      </w:pPr>
      <w:rPr>
        <w:rFonts w:hint="default"/>
        <w:color w:val="auto"/>
      </w:rPr>
    </w:lvl>
    <w:lvl w:ilvl="5" w:tentative="0">
      <w:start w:val="1"/>
      <w:numFmt w:val="lowerRoman"/>
      <w:lvlText w:val="%6."/>
      <w:lvlJc w:val="right"/>
      <w:pPr>
        <w:tabs>
          <w:tab w:val="left" w:pos="2942"/>
        </w:tabs>
        <w:ind w:left="2937" w:hanging="420"/>
      </w:pPr>
      <w:rPr>
        <w:rFonts w:hint="default"/>
        <w:color w:val="auto"/>
      </w:rPr>
    </w:lvl>
    <w:lvl w:ilvl="6" w:tentative="0">
      <w:start w:val="1"/>
      <w:numFmt w:val="decimal"/>
      <w:lvlText w:val="%7."/>
      <w:lvlJc w:val="left"/>
      <w:pPr>
        <w:tabs>
          <w:tab w:val="left" w:pos="3362"/>
        </w:tabs>
        <w:ind w:left="3356" w:hanging="414"/>
      </w:pPr>
      <w:rPr>
        <w:rFonts w:hint="default"/>
        <w:color w:val="auto"/>
      </w:rPr>
    </w:lvl>
    <w:lvl w:ilvl="7" w:tentative="0">
      <w:start w:val="1"/>
      <w:numFmt w:val="lowerLetter"/>
      <w:lvlText w:val="%8)"/>
      <w:lvlJc w:val="left"/>
      <w:pPr>
        <w:tabs>
          <w:tab w:val="left" w:pos="3781"/>
        </w:tabs>
        <w:ind w:left="3776" w:hanging="414"/>
      </w:pPr>
      <w:rPr>
        <w:rFonts w:hint="default"/>
        <w:color w:val="auto"/>
      </w:rPr>
    </w:lvl>
    <w:lvl w:ilvl="8" w:tentative="0">
      <w:start w:val="1"/>
      <w:numFmt w:val="lowerRoman"/>
      <w:lvlText w:val="%9."/>
      <w:lvlJc w:val="right"/>
      <w:pPr>
        <w:tabs>
          <w:tab w:val="left" w:pos="4201"/>
        </w:tabs>
        <w:ind w:left="4201" w:hanging="420"/>
      </w:pPr>
      <w:rPr>
        <w:rFonts w:hint="default"/>
        <w:color w:val="auto"/>
      </w:rPr>
    </w:lvl>
  </w:abstractNum>
  <w:abstractNum w:abstractNumId="1">
    <w:nsid w:val="657D3FBC"/>
    <w:multiLevelType w:val="multilevel"/>
    <w:tmpl w:val="657D3FBC"/>
    <w:lvl w:ilvl="0" w:tentative="0">
      <w:start w:val="1"/>
      <w:numFmt w:val="upperLetter"/>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5"/>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4"/>
      <w:suff w:val="nothing"/>
      <w:lvlText w:val="%1.%2.%3　"/>
      <w:lvlJc w:val="left"/>
      <w:pPr>
        <w:ind w:left="0" w:firstLine="0"/>
      </w:pPr>
      <w:rPr>
        <w:rFonts w:hint="eastAsia" w:ascii="黑体" w:hAnsi="Times New Roman" w:eastAsia="黑体"/>
        <w:b w:val="0"/>
        <w:i w:val="0"/>
        <w:sz w:val="21"/>
      </w:rPr>
    </w:lvl>
    <w:lvl w:ilvl="3" w:tentative="0">
      <w:start w:val="1"/>
      <w:numFmt w:val="decimal"/>
      <w:pStyle w:val="12"/>
      <w:suff w:val="nothing"/>
      <w:lvlText w:val="%1.%2.%3.%4　"/>
      <w:lvlJc w:val="left"/>
      <w:pPr>
        <w:ind w:left="0" w:firstLine="0"/>
      </w:pPr>
      <w:rPr>
        <w:rFonts w:hint="eastAsia" w:ascii="黑体" w:hAnsi="Times New Roman" w:eastAsia="黑体"/>
        <w:b w:val="0"/>
        <w:i w:val="0"/>
        <w:sz w:val="21"/>
      </w:rPr>
    </w:lvl>
    <w:lvl w:ilvl="4" w:tentative="0">
      <w:start w:val="1"/>
      <w:numFmt w:val="decimal"/>
      <w:pStyle w:val="11"/>
      <w:suff w:val="nothing"/>
      <w:lvlText w:val="%1.%2.%3.%4.%5　"/>
      <w:lvlJc w:val="left"/>
      <w:pPr>
        <w:ind w:left="0" w:firstLine="0"/>
      </w:pPr>
      <w:rPr>
        <w:rFonts w:hint="eastAsia" w:ascii="黑体" w:hAnsi="Times New Roman" w:eastAsia="黑体"/>
        <w:b w:val="0"/>
        <w:i w:val="0"/>
        <w:sz w:val="21"/>
      </w:rPr>
    </w:lvl>
    <w:lvl w:ilvl="5" w:tentative="0">
      <w:start w:val="1"/>
      <w:numFmt w:val="decimal"/>
      <w:pStyle w:val="10"/>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0NTlmMzRhZWI1Nzc2MjZmNjlkNWE1OGMxZTlmZmIifQ=="/>
  </w:docVars>
  <w:rsids>
    <w:rsidRoot w:val="00000000"/>
    <w:rsid w:val="03905046"/>
    <w:rsid w:val="041A2EA6"/>
    <w:rsid w:val="0C1404FD"/>
    <w:rsid w:val="309C7F9E"/>
    <w:rsid w:val="30F46739"/>
    <w:rsid w:val="360335A1"/>
    <w:rsid w:val="3E850F31"/>
    <w:rsid w:val="41586252"/>
    <w:rsid w:val="492178D9"/>
    <w:rsid w:val="5E5B3B59"/>
    <w:rsid w:val="63D2399F"/>
    <w:rsid w:val="7049646E"/>
    <w:rsid w:val="7ABE6A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spacing w:after="0" w:line="240" w:lineRule="auto"/>
      <w:ind w:left="118"/>
      <w:jc w:val="left"/>
    </w:pPr>
    <w:rPr>
      <w:rFonts w:ascii="宋体" w:hAnsi="宋体"/>
      <w:kern w:val="0"/>
      <w:szCs w:val="21"/>
      <w:lang w:eastAsia="en-US"/>
    </w:rPr>
  </w:style>
  <w:style w:type="paragraph" w:styleId="3">
    <w:name w:val="Normal (Web)"/>
    <w:basedOn w:val="1"/>
    <w:unhideWhenUsed/>
    <w:qFormat/>
    <w:uiPriority w:val="99"/>
    <w:rPr>
      <w:sz w:val="24"/>
    </w:rPr>
  </w:style>
  <w:style w:type="table" w:styleId="5">
    <w:name w:val="Table Grid"/>
    <w:basedOn w:val="4"/>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字母编号列项（一级）"/>
    <w:qFormat/>
    <w:uiPriority w:val="0"/>
    <w:pPr>
      <w:numPr>
        <w:ilvl w:val="0"/>
        <w:numId w:val="1"/>
      </w:numPr>
      <w:jc w:val="both"/>
    </w:pPr>
    <w:rPr>
      <w:rFonts w:ascii="宋体" w:hAnsi="Times New Roman" w:eastAsia="宋体" w:cs="Times New Roman"/>
      <w:kern w:val="0"/>
      <w:sz w:val="21"/>
      <w:szCs w:val="20"/>
      <w:lang w:val="en-US" w:eastAsia="zh-CN" w:bidi="ar-SA"/>
    </w:rPr>
  </w:style>
  <w:style w:type="paragraph" w:customStyle="1" w:styleId="8">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paragraph" w:customStyle="1" w:styleId="9">
    <w:name w:val="附录四级无"/>
    <w:basedOn w:val="10"/>
    <w:qFormat/>
    <w:uiPriority w:val="0"/>
    <w:pPr>
      <w:tabs>
        <w:tab w:val="left" w:pos="360"/>
      </w:tabs>
      <w:spacing w:before="0" w:beforeLines="0" w:after="0" w:afterLines="0"/>
    </w:pPr>
    <w:rPr>
      <w:rFonts w:ascii="宋体" w:eastAsia="宋体"/>
      <w:szCs w:val="21"/>
    </w:rPr>
  </w:style>
  <w:style w:type="paragraph" w:customStyle="1" w:styleId="10">
    <w:name w:val="附录四级条标题"/>
    <w:basedOn w:val="11"/>
    <w:next w:val="8"/>
    <w:qFormat/>
    <w:uiPriority w:val="0"/>
    <w:pPr>
      <w:numPr>
        <w:ilvl w:val="5"/>
        <w:numId w:val="2"/>
      </w:numPr>
      <w:tabs>
        <w:tab w:val="left" w:pos="360"/>
      </w:tabs>
      <w:outlineLvl w:val="5"/>
    </w:pPr>
  </w:style>
  <w:style w:type="paragraph" w:customStyle="1" w:styleId="11">
    <w:name w:val="附录三级条标题"/>
    <w:basedOn w:val="12"/>
    <w:next w:val="8"/>
    <w:qFormat/>
    <w:uiPriority w:val="0"/>
    <w:pPr>
      <w:numPr>
        <w:ilvl w:val="4"/>
        <w:numId w:val="2"/>
      </w:numPr>
      <w:tabs>
        <w:tab w:val="left" w:pos="360"/>
      </w:tabs>
      <w:outlineLvl w:val="4"/>
    </w:pPr>
  </w:style>
  <w:style w:type="paragraph" w:customStyle="1" w:styleId="12">
    <w:name w:val="附录二级条标题"/>
    <w:basedOn w:val="1"/>
    <w:next w:val="8"/>
    <w:qFormat/>
    <w:uiPriority w:val="0"/>
    <w:pPr>
      <w:widowControl/>
      <w:numPr>
        <w:ilvl w:val="3"/>
        <w:numId w:val="2"/>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13">
    <w:name w:val="附录一级无"/>
    <w:basedOn w:val="14"/>
    <w:qFormat/>
    <w:uiPriority w:val="0"/>
    <w:pPr>
      <w:tabs>
        <w:tab w:val="left" w:pos="360"/>
      </w:tabs>
      <w:spacing w:before="0" w:beforeLines="0" w:after="0" w:afterLines="0"/>
    </w:pPr>
    <w:rPr>
      <w:rFonts w:ascii="宋体" w:eastAsia="宋体"/>
      <w:szCs w:val="21"/>
    </w:rPr>
  </w:style>
  <w:style w:type="paragraph" w:customStyle="1" w:styleId="14">
    <w:name w:val="附录一级条标题"/>
    <w:basedOn w:val="15"/>
    <w:next w:val="8"/>
    <w:qFormat/>
    <w:uiPriority w:val="0"/>
    <w:pPr>
      <w:numPr>
        <w:ilvl w:val="2"/>
        <w:numId w:val="2"/>
      </w:numPr>
      <w:tabs>
        <w:tab w:val="left" w:pos="360"/>
      </w:tabs>
      <w:autoSpaceDN w:val="0"/>
      <w:spacing w:before="50" w:beforeLines="50" w:after="50" w:afterLines="50"/>
      <w:outlineLvl w:val="2"/>
    </w:pPr>
  </w:style>
  <w:style w:type="paragraph" w:customStyle="1" w:styleId="15">
    <w:name w:val="附录章标题"/>
    <w:next w:val="8"/>
    <w:qFormat/>
    <w:uiPriority w:val="0"/>
    <w:pPr>
      <w:numPr>
        <w:ilvl w:val="1"/>
        <w:numId w:val="2"/>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7129</Words>
  <Characters>7420</Characters>
  <Lines>0</Lines>
  <Paragraphs>0</Paragraphs>
  <TotalTime>1</TotalTime>
  <ScaleCrop>false</ScaleCrop>
  <LinksUpToDate>false</LinksUpToDate>
  <CharactersWithSpaces>7672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2024-09-09T02:43:00Z</dcterms:created>
  <dc:creator>zhang</dc:creator>
  <cp:lastModifiedBy>WPS_1655253726</cp:lastModifiedBy>
  <dcterms:modified xsi:type="dcterms:W3CDTF">2024-09-20T07:40:41Z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5B0F0E28B6AB46C98F68864B861A981E_12</vt:lpwstr>
  </property>
</Properties>
</file>