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4998" w:type="pct"/>
        <w:tblInd w:w="0" w:type="dxa"/>
        <w:tblLayout w:type="autofit"/>
        <w:tblCellMar>
          <w:top w:w="0" w:type="dxa"/>
          <w:left w:w="0" w:type="dxa"/>
          <w:bottom w:w="0" w:type="dxa"/>
          <w:right w:w="0" w:type="dxa"/>
        </w:tblCellMar>
      </w:tblPr>
      <w:tblGrid>
        <w:gridCol w:w="490"/>
        <w:gridCol w:w="8577"/>
      </w:tblGrid>
      <w:tr w14:paraId="27836D6C">
        <w:tc>
          <w:tcPr>
            <w:tcW w:w="270" w:type="pct"/>
            <w:shd w:val="clear" w:color="auto" w:fill="auto"/>
            <w:vAlign w:val="top"/>
          </w:tcPr>
          <w:p w14:paraId="1B0ADAED">
            <w:pPr>
              <w:pStyle w:val="20"/>
              <w:tabs>
                <w:tab w:val="clear" w:pos="4153"/>
                <w:tab w:val="clear" w:pos="8306"/>
              </w:tabs>
              <w:spacing w:line="240" w:lineRule="auto"/>
              <w:jc w:val="left"/>
              <w:rPr>
                <w:rFonts w:ascii="黑体" w:hAnsi="黑体" w:eastAsia="黑体"/>
                <w:sz w:val="21"/>
                <w:szCs w:val="21"/>
              </w:rPr>
            </w:pPr>
            <w:r>
              <w:rPr>
                <w:rFonts w:hint="eastAsia" w:ascii="黑体" w:hAnsi="黑体" w:eastAsia="黑体" w:cs="黑体"/>
                <w:sz w:val="21"/>
                <w:szCs w:val="21"/>
              </w:rPr>
              <w:t>ICS</w:t>
            </w:r>
            <w:r>
              <w:rPr>
                <w:rFonts w:ascii="黑体" w:hAnsi="黑体" w:eastAsia="黑体"/>
                <w:sz w:val="21"/>
                <w:szCs w:val="21"/>
              </w:rPr>
              <w:t xml:space="preserve">  </w:t>
            </w:r>
          </w:p>
        </w:tc>
        <w:tc>
          <w:tcPr>
            <w:tcW w:w="4729" w:type="pct"/>
            <w:shd w:val="clear" w:color="auto" w:fill="auto"/>
            <w:vAlign w:val="top"/>
          </w:tcPr>
          <w:p w14:paraId="634E61A3">
            <w:pPr>
              <w:pStyle w:val="20"/>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XX.XX</w:t>
            </w:r>
            <w:r>
              <w:rPr>
                <w:rFonts w:ascii="黑体" w:hAnsi="黑体" w:eastAsia="黑体"/>
                <w:sz w:val="21"/>
                <w:szCs w:val="21"/>
              </w:rPr>
              <w:fldChar w:fldCharType="end"/>
            </w:r>
            <w:bookmarkEnd w:id="0"/>
          </w:p>
        </w:tc>
      </w:tr>
      <w:tr w14:paraId="35F54E39">
        <w:tblPrEx>
          <w:tblCellMar>
            <w:top w:w="0" w:type="dxa"/>
            <w:left w:w="0" w:type="dxa"/>
            <w:bottom w:w="0" w:type="dxa"/>
            <w:right w:w="0" w:type="dxa"/>
          </w:tblCellMar>
        </w:tblPrEx>
        <w:tc>
          <w:tcPr>
            <w:tcW w:w="270" w:type="pct"/>
            <w:shd w:val="clear" w:color="auto" w:fill="auto"/>
            <w:vAlign w:val="top"/>
          </w:tcPr>
          <w:p w14:paraId="5EB1A1C7">
            <w:pPr>
              <w:pStyle w:val="20"/>
              <w:tabs>
                <w:tab w:val="clear" w:pos="4153"/>
                <w:tab w:val="clear" w:pos="8306"/>
              </w:tabs>
              <w:spacing w:before="40" w:line="240" w:lineRule="auto"/>
              <w:jc w:val="left"/>
              <w:rPr>
                <w:rFonts w:ascii="黑体" w:hAnsi="黑体" w:eastAsia="黑体"/>
                <w:sz w:val="21"/>
                <w:szCs w:val="21"/>
              </w:rPr>
            </w:pPr>
            <w:r>
              <w:rPr>
                <w:rFonts w:hint="eastAsia" w:ascii="黑体" w:hAnsi="黑体" w:eastAsia="黑体" w:cs="黑体"/>
                <w:sz w:val="21"/>
                <w:szCs w:val="21"/>
              </w:rPr>
              <w:t>CCS</w:t>
            </w:r>
            <w:r>
              <w:rPr>
                <w:rFonts w:ascii="Times New Roman" w:hAnsi="Times New Roman" w:eastAsia="黑体"/>
                <w:sz w:val="21"/>
                <w:szCs w:val="21"/>
              </w:rPr>
              <w:t xml:space="preserve"> </w:t>
            </w:r>
            <w:r>
              <w:rPr>
                <w:rFonts w:ascii="黑体" w:hAnsi="黑体" w:eastAsia="黑体"/>
                <w:sz w:val="21"/>
                <w:szCs w:val="21"/>
              </w:rPr>
              <w:t xml:space="preserve"> </w:t>
            </w:r>
          </w:p>
        </w:tc>
        <w:tc>
          <w:tcPr>
            <w:tcW w:w="4729" w:type="pct"/>
            <w:shd w:val="clear" w:color="auto" w:fill="auto"/>
            <w:vAlign w:val="top"/>
          </w:tcPr>
          <w:tbl>
            <w:tblPr>
              <w:tblStyle w:val="28"/>
              <w:tblpPr w:leftFromText="180" w:rightFromText="180" w:vertAnchor="text" w:horzAnchor="page" w:tblpX="2556" w:tblpY="269"/>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B10815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shd w:val="clear" w:color="auto" w:fill="auto"/>
                  <w:vAlign w:val="top"/>
                </w:tcPr>
                <w:p w14:paraId="214993D5">
                  <w:pPr>
                    <w:pStyle w:val="51"/>
                    <w:framePr w:w="0" w:hRule="auto" w:wrap="auto" w:vAnchor="margin" w:hAnchor="text" w:xAlign="left" w:yAlign="inline"/>
                    <w:rPr>
                      <w:rFonts w:ascii="宋体" w:hAnsi="宋体"/>
                      <w:sz w:val="28"/>
                      <w:szCs w:val="28"/>
                    </w:rPr>
                  </w:pPr>
                  <w:r>
                    <w:drawing>
                      <wp:inline distT="0" distB="0" distL="0" distR="0">
                        <wp:extent cx="797560" cy="398780"/>
                        <wp:effectExtent l="0" t="0" r="2540" b="12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97560" cy="39878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XXXX</w:t>
                  </w:r>
                  <w:r>
                    <w:fldChar w:fldCharType="end"/>
                  </w:r>
                  <w:bookmarkEnd w:id="1"/>
                </w:p>
              </w:tc>
            </w:tr>
          </w:tbl>
          <w:p w14:paraId="710997B5">
            <w:pPr>
              <w:pStyle w:val="20"/>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w:t>
            </w:r>
            <w:r>
              <w:rPr>
                <w:rFonts w:ascii="黑体" w:hAnsi="黑体" w:eastAsia="黑体"/>
                <w:sz w:val="21"/>
                <w:szCs w:val="21"/>
              </w:rPr>
              <w:fldChar w:fldCharType="end"/>
            </w:r>
            <w:bookmarkEnd w:id="2"/>
          </w:p>
        </w:tc>
      </w:tr>
    </w:tbl>
    <w:p w14:paraId="3426F886">
      <w:pPr>
        <w:pStyle w:val="197"/>
        <w:framePr w:w="9044" w:x="1716" w:y="3388"/>
        <w:rPr>
          <w:rFonts w:hint="default" w:eastAsia="黑体"/>
          <w:lang w:val="en-US" w:eastAsia="zh-CN"/>
        </w:rPr>
      </w:pPr>
      <w:bookmarkStart w:id="3" w:name="_Hlk26473981"/>
      <w:r>
        <w:rPr>
          <w:lang w:val="fr-FR"/>
        </w:rPr>
        <w:t>DB</w:t>
      </w:r>
      <w:r>
        <w:rPr>
          <w:sz w:val="15"/>
          <w:szCs w:val="15"/>
          <w:lang w:val="fr-FR"/>
        </w:rPr>
        <w:t xml:space="preserve"> </w:t>
      </w:r>
      <w: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XX/T</w:t>
      </w:r>
      <w:r>
        <w:fldChar w:fldCharType="end"/>
      </w:r>
      <w:r>
        <w:rPr>
          <w:lang w:val="fr-FR"/>
        </w:rPr>
        <w:t xml:space="preserve"> </w:t>
      </w:r>
      <w: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r>
        <w:rPr>
          <w:rFonts w:hAnsi="黑体"/>
          <w:lang w:val="fr-FR"/>
        </w:rPr>
        <w:t>—</w:t>
      </w:r>
      <w: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r>
        <w:rPr>
          <w:rFonts w:hint="eastAsia"/>
          <w:lang w:val="en-US" w:eastAsia="zh-CN"/>
        </w:rPr>
        <w:t xml:space="preserve">  </w:t>
      </w:r>
    </w:p>
    <w:p w14:paraId="6D76692F">
      <w:pPr>
        <w:pStyle w:val="198"/>
        <w:framePr w:w="9044" w:x="1716" w:y="3388"/>
        <w:rPr>
          <w:rFonts w:hAnsi="黑体"/>
        </w:rPr>
      </w:pPr>
      <w:r>
        <w:rPr>
          <w:rFonts w:hint="eastAsia" w:ascii="黑体" w:hAnsi="Times New Roman" w:eastAsia="黑体" w:cs="Times New Roman"/>
          <w:bCs/>
          <w:sz w:val="28"/>
          <w:szCs w:val="28"/>
          <w:lang w:val="en-US" w:eastAsia="zh-CN" w:bidi="ar-SA"/>
        </w:rPr>
        <w:t xml:space="preserve">  </w:t>
      </w:r>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Ansi="黑体"/>
        </w:rPr>
        <w:fldChar w:fldCharType="end"/>
      </w:r>
    </w:p>
    <w:p w14:paraId="55CB36BE"/>
    <w:p w14:paraId="4E87AF1D">
      <w:pPr>
        <w:pStyle w:val="52"/>
        <w:framePr w:w="9177" w:h="624" w:hRule="exact" w:hSpace="181" w:vSpace="181" w:wrap="around" w:vAnchor="page" w:hAnchor="page" w:x="1693" w:y="2581"/>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宁夏回族自治区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3"/>
    <w:p w14:paraId="3BDC7E9E">
      <w:pPr>
        <w:spacing w:line="240" w:lineRule="auto"/>
        <w:rPr>
          <w:rFonts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1065530</wp:posOffset>
                </wp:positionH>
                <wp:positionV relativeFrom="page">
                  <wp:posOffset>2699385</wp:posOffset>
                </wp:positionV>
                <wp:extent cx="5955030" cy="635"/>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5955030"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83.9pt;margin-top:212.55pt;height:0.05pt;width:468.9pt;mso-position-horizontal-relative:page;mso-position-vertical-relative:page;z-index:251659264;mso-width-relative:page;mso-height-relative:page;" filled="f" stroked="t" coordsize="21600,21600" o:allowoverlap="f" o:gfxdata="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XMrsnY&#10;AAAADAEAAA8AAAAAAAAAAQAgAAAAIgAAAGRycy9kb3ducmV2LnhtbFBLAQIUABQAAAAIAIdO4kCl&#10;y+RB5wEAAK4DAAAOAAAAAAAAAAEAIAAAACcBAABkcnMvZTJvRG9jLnhtbFBLBQYAAAAABgAGAFkB&#10;AACABQAAAAA=&#10;">
                <v:fill on="f" focussize="0,0"/>
                <v:stroke color="#000000" joinstyle="round"/>
                <v:imagedata o:title=""/>
                <o:lock v:ext="edit" aspectratio="f"/>
              </v:line>
            </w:pict>
          </mc:Fallback>
        </mc:AlternateContent>
      </w:r>
    </w:p>
    <w:p w14:paraId="6D6B1BD4">
      <w:pPr>
        <w:pStyle w:val="52"/>
        <w:framePr w:w="9639" w:h="6976" w:hRule="exact" w:hSpace="0" w:vSpace="0" w:wrap="around" w:hAnchor="page" w:y="6408"/>
        <w:jc w:val="center"/>
        <w:rPr>
          <w:rFonts w:ascii="黑体" w:hAnsi="黑体" w:eastAsia="黑体"/>
          <w:b w:val="0"/>
          <w:bCs w:val="0"/>
          <w:w w:val="100"/>
        </w:rPr>
      </w:pPr>
    </w:p>
    <w:p w14:paraId="6E092C2D">
      <w:pPr>
        <w:pStyle w:val="199"/>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Pr>
          <w:rFonts w:hint="eastAsia"/>
        </w:rPr>
        <w:t>餐饮用醇基液体燃料使用安全规范</w:t>
      </w:r>
      <w:r>
        <w:fldChar w:fldCharType="end"/>
      </w:r>
      <w:bookmarkEnd w:id="5"/>
    </w:p>
    <w:p w14:paraId="3DA6EA83">
      <w:pPr>
        <w:framePr w:w="9639" w:h="6974" w:hRule="exact" w:wrap="around" w:vAnchor="page" w:hAnchor="page" w:x="1419" w:y="6408" w:anchorLock="1"/>
        <w:ind w:left="-1418"/>
      </w:pPr>
    </w:p>
    <w:p w14:paraId="62A5AE7F">
      <w:pPr>
        <w:pStyle w:val="127"/>
        <w:framePr w:w="9639" w:h="6974" w:hRule="exact" w:wrap="around" w:vAnchor="page" w:hAnchor="page" w:x="1419" w:y="6408" w:anchorLock="1"/>
        <w:textAlignment w:val="bottom"/>
        <w:rPr>
          <w:rFonts w:ascii="黑体" w:hAnsi="黑体" w:eastAsia="黑体"/>
          <w:sz w:val="21"/>
          <w:szCs w:val="21"/>
        </w:rPr>
      </w:pPr>
      <w:r>
        <w:rPr>
          <w:rFonts w:ascii="黑体" w:hAnsi="黑体" w:eastAsia="黑体"/>
          <w:sz w:val="21"/>
          <w:szCs w:val="21"/>
        </w:rPr>
        <w:fldChar w:fldCharType="begin">
          <w:ffData>
            <w:name w:val="ESTD_NAME"/>
            <w:enabled/>
            <w:calcOnExit w:val="0"/>
            <w:textInput>
              <w:default w:val="点击此处添加标准名称的英文译名"/>
            </w:textInput>
          </w:ffData>
        </w:fldChar>
      </w:r>
      <w:bookmarkStart w:id="6" w:name="ESTD_NAME"/>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Technical specification for safe use of alcohol based liquid fuel for catering</w:t>
      </w:r>
      <w:r>
        <w:rPr>
          <w:rFonts w:ascii="黑体" w:hAnsi="黑体" w:eastAsia="黑体"/>
          <w:sz w:val="21"/>
          <w:szCs w:val="21"/>
        </w:rPr>
        <w:fldChar w:fldCharType="end"/>
      </w:r>
      <w:bookmarkEnd w:id="6"/>
    </w:p>
    <w:p w14:paraId="3880D31B">
      <w:pPr>
        <w:framePr w:w="9639" w:h="6974" w:hRule="exact" w:wrap="around" w:vAnchor="page" w:hAnchor="page" w:x="1419" w:y="6408" w:anchorLock="1"/>
        <w:spacing w:line="760" w:lineRule="exact"/>
        <w:ind w:left="-1418"/>
      </w:pPr>
    </w:p>
    <w:p w14:paraId="43534DE4">
      <w:pPr>
        <w:pStyle w:val="127"/>
        <w:framePr w:w="9639" w:h="6974" w:hRule="exact" w:wrap="around" w:vAnchor="page" w:hAnchor="page" w:x="1419" w:y="6408" w:anchorLock="1"/>
        <w:textAlignment w:val="bottom"/>
        <w:rPr>
          <w:rFonts w:eastAsia="黑体"/>
          <w:szCs w:val="28"/>
        </w:rPr>
      </w:pPr>
    </w:p>
    <w:p w14:paraId="64B244DE">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14:paraId="688E1EF2">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2024.</w:t>
      </w:r>
      <w:r>
        <w:rPr>
          <w:rFonts w:hint="eastAsia"/>
          <w:sz w:val="21"/>
          <w:szCs w:val="28"/>
        </w:rPr>
        <w:t>8</w:t>
      </w:r>
      <w:r>
        <w:rPr>
          <w:sz w:val="21"/>
          <w:szCs w:val="28"/>
        </w:rPr>
        <w:t>.</w:t>
      </w:r>
      <w:r>
        <w:rPr>
          <w:rFonts w:hint="eastAsia"/>
          <w:sz w:val="21"/>
          <w:szCs w:val="28"/>
        </w:rPr>
        <w:t>15</w:t>
      </w:r>
      <w:r>
        <w:rPr>
          <w:sz w:val="21"/>
          <w:szCs w:val="28"/>
        </w:rPr>
        <w:fldChar w:fldCharType="end"/>
      </w:r>
      <w:bookmarkEnd w:id="8"/>
    </w:p>
    <w:p w14:paraId="5B21DE33">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14:paraId="7905E0E4">
      <w:pPr>
        <w:pStyle w:val="195"/>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6B370342">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357070B2">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宁夏回族自治区市场监督管理厅</w:t>
      </w:r>
      <w:r>
        <w:rPr>
          <w:rFonts w:hAnsi="黑体"/>
          <w:w w:val="100"/>
          <w:sz w:val="28"/>
        </w:rPr>
        <w:fldChar w:fldCharType="end"/>
      </w:r>
      <w:bookmarkEnd w:id="16"/>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C7148E2">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567" w:right="1134" w:bottom="1021" w:left="1417" w:header="0" w:footer="0"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62DBDA33">
      <w:pPr>
        <w:pStyle w:val="91"/>
        <w:spacing w:before="900" w:after="468"/>
      </w:pPr>
      <w:bookmarkStart w:id="17" w:name="BookMark2"/>
      <w:r>
        <w:rPr>
          <w:spacing w:val="320"/>
        </w:rPr>
        <w:t>前</w:t>
      </w:r>
      <w:r>
        <w:t>言</w:t>
      </w:r>
    </w:p>
    <w:p w14:paraId="5EB6B6D1">
      <w:pPr>
        <w:pStyle w:val="58"/>
        <w:ind w:firstLine="420"/>
      </w:pPr>
      <w:r>
        <w:rPr>
          <w:rFonts w:hint="eastAsia"/>
        </w:rPr>
        <w:t>本文件按照GB/T 1.1—2020《标准化工作导则  第1部分：标准化文件的结构和起草规则》的规定起草。</w:t>
      </w:r>
    </w:p>
    <w:p w14:paraId="2C514869">
      <w:pPr>
        <w:pStyle w:val="58"/>
        <w:ind w:firstLine="420"/>
      </w:pPr>
      <w:r>
        <w:rPr>
          <w:rFonts w:hint="eastAsia"/>
        </w:rPr>
        <w:t>请注意本件的某些内容可能涉及专利。本文件的发布机构不承担识别专利的责任。</w:t>
      </w:r>
    </w:p>
    <w:p w14:paraId="46B95783">
      <w:pPr>
        <w:pStyle w:val="58"/>
        <w:ind w:firstLine="420"/>
      </w:pPr>
      <w:r>
        <w:rPr>
          <w:rFonts w:hint="eastAsia"/>
        </w:rPr>
        <w:t>本文件由宁夏回族自治区应急管理厅提出并归口。</w:t>
      </w:r>
    </w:p>
    <w:p w14:paraId="0E6E5181">
      <w:pPr>
        <w:pStyle w:val="58"/>
        <w:ind w:firstLine="420"/>
      </w:pPr>
      <w:r>
        <w:rPr>
          <w:rFonts w:hint="eastAsia"/>
        </w:rPr>
        <w:t>本文件起草单位：宁夏回族自治区应急管理厅、宁夏源泰咨询服务有限公司、宁夏质量检验认证协会。</w:t>
      </w:r>
    </w:p>
    <w:p w14:paraId="4077FFE4">
      <w:pPr>
        <w:pStyle w:val="58"/>
        <w:ind w:firstLine="420"/>
      </w:pPr>
      <w:r>
        <w:rPr>
          <w:rFonts w:hint="eastAsia"/>
        </w:rPr>
        <w:t>本文件主要起草人：</w:t>
      </w:r>
      <w:r>
        <w:t>XXX</w:t>
      </w:r>
      <w:r>
        <w:rPr>
          <w:rFonts w:hint="eastAsia"/>
        </w:rPr>
        <w:t>、X</w:t>
      </w:r>
      <w:r>
        <w:t>XX</w:t>
      </w:r>
    </w:p>
    <w:p w14:paraId="762B4B69">
      <w:pPr>
        <w:pStyle w:val="58"/>
        <w:ind w:firstLine="420"/>
      </w:pPr>
    </w:p>
    <w:p w14:paraId="62E90537">
      <w:pPr>
        <w:pStyle w:val="58"/>
        <w:ind w:firstLine="420"/>
        <w:sectPr>
          <w:headerReference r:id="rId10" w:type="default"/>
          <w:footerReference r:id="rId12" w:type="default"/>
          <w:headerReference r:id="rId11" w:type="even"/>
          <w:pgSz w:w="11906" w:h="16838"/>
          <w:pgMar w:top="1417" w:right="1134" w:bottom="1134" w:left="1417" w:header="1417" w:footer="1134" w:gutter="284"/>
          <w:pgNumType w:fmt="upperRoman" w:start="1"/>
          <w:cols w:space="425" w:num="1"/>
          <w:formProt w:val="0"/>
          <w:docGrid w:type="lines" w:linePitch="312" w:charSpace="0"/>
        </w:sectPr>
      </w:pPr>
    </w:p>
    <w:bookmarkEnd w:id="17"/>
    <w:p w14:paraId="13AA706E">
      <w:pPr>
        <w:spacing w:line="20" w:lineRule="exact"/>
        <w:jc w:val="center"/>
        <w:rPr>
          <w:rFonts w:ascii="黑体" w:hAnsi="黑体" w:eastAsia="黑体"/>
          <w:sz w:val="32"/>
          <w:szCs w:val="32"/>
        </w:rPr>
      </w:pPr>
      <w:bookmarkStart w:id="18" w:name="BookMark4"/>
    </w:p>
    <w:p w14:paraId="59058732">
      <w:pPr>
        <w:spacing w:line="20" w:lineRule="exact"/>
        <w:jc w:val="center"/>
        <w:rPr>
          <w:rFonts w:ascii="黑体" w:hAnsi="黑体" w:eastAsia="黑体"/>
          <w:sz w:val="32"/>
          <w:szCs w:val="32"/>
        </w:rPr>
      </w:pPr>
    </w:p>
    <w:p w14:paraId="49B95CD3">
      <w:pPr>
        <w:pStyle w:val="179"/>
      </w:pPr>
      <w:bookmarkStart w:id="19" w:name="NEW_STAND_NAME"/>
      <w:r>
        <w:rPr>
          <w:rFonts w:hint="eastAsia"/>
        </w:rPr>
        <w:t>餐饮用醇基液体燃料使用安全规范</w:t>
      </w:r>
      <w:bookmarkEnd w:id="19"/>
    </w:p>
    <w:p w14:paraId="30AF696D">
      <w:pPr>
        <w:pStyle w:val="106"/>
        <w:spacing w:before="312" w:after="312"/>
      </w:pPr>
      <w:bookmarkStart w:id="20" w:name="_Toc24884218"/>
      <w:bookmarkStart w:id="21" w:name="_Toc26986530"/>
      <w:bookmarkStart w:id="22" w:name="_Toc17233333"/>
      <w:bookmarkStart w:id="23" w:name="_Toc17233325"/>
      <w:bookmarkStart w:id="24" w:name="_Toc26986771"/>
      <w:bookmarkStart w:id="25" w:name="_Toc26718930"/>
      <w:bookmarkStart w:id="26" w:name="_Toc26648465"/>
      <w:bookmarkStart w:id="27" w:name="_Toc24884211"/>
      <w:bookmarkStart w:id="28" w:name="_Toc97191423"/>
      <w:r>
        <w:rPr>
          <w:rFonts w:hint="eastAsia"/>
        </w:rPr>
        <w:t>范围</w:t>
      </w:r>
      <w:bookmarkEnd w:id="20"/>
      <w:bookmarkEnd w:id="21"/>
      <w:bookmarkEnd w:id="22"/>
      <w:bookmarkEnd w:id="23"/>
      <w:bookmarkEnd w:id="24"/>
      <w:bookmarkEnd w:id="25"/>
      <w:bookmarkEnd w:id="26"/>
      <w:bookmarkEnd w:id="27"/>
      <w:bookmarkEnd w:id="28"/>
    </w:p>
    <w:p w14:paraId="1FE4DF6F">
      <w:pPr>
        <w:pStyle w:val="58"/>
        <w:ind w:firstLine="420"/>
      </w:pPr>
      <w:bookmarkStart w:id="29" w:name="_Toc17233334"/>
      <w:bookmarkStart w:id="30" w:name="_Toc24884212"/>
      <w:bookmarkStart w:id="31" w:name="_Toc17233326"/>
      <w:bookmarkStart w:id="32" w:name="_Toc24884219"/>
      <w:bookmarkStart w:id="33" w:name="_Toc26648466"/>
      <w:r>
        <w:rPr>
          <w:rFonts w:hint="eastAsia"/>
        </w:rPr>
        <w:t>为了预防餐饮场所使用醇基液体燃料发生火灾、爆炸、中毒等事故发生，特制定本文件。</w:t>
      </w:r>
    </w:p>
    <w:p w14:paraId="5AB95419">
      <w:pPr>
        <w:pStyle w:val="58"/>
        <w:ind w:firstLine="420"/>
      </w:pPr>
      <w:r>
        <w:rPr>
          <w:rFonts w:hint="eastAsia"/>
        </w:rPr>
        <w:t>本文件规定了在本区域城镇范围内餐饮用醇基液体燃料的采购安全、卸车安全、布置储存安全、管道线路安全、灶具及燃烧器安全、日常使用安全、应急处置。</w:t>
      </w:r>
    </w:p>
    <w:p w14:paraId="0FBE1350">
      <w:pPr>
        <w:pStyle w:val="58"/>
        <w:ind w:firstLine="420"/>
      </w:pPr>
      <w:r>
        <w:rPr>
          <w:rFonts w:hint="eastAsia"/>
        </w:rPr>
        <w:t>本文件适用于区域内使用醇基液体燃料的餐饮经营单位和其他含民宿在内的餐饮场所以及醇基液体燃料的供货单位，不适用于其他如家庭、工业使用场景。</w:t>
      </w:r>
    </w:p>
    <w:p w14:paraId="3970A99B">
      <w:pPr>
        <w:pStyle w:val="106"/>
        <w:spacing w:before="312" w:after="312"/>
      </w:pPr>
      <w:bookmarkStart w:id="34" w:name="_Toc26986531"/>
      <w:bookmarkStart w:id="35" w:name="_Toc97191424"/>
      <w:bookmarkStart w:id="36" w:name="_Toc26986772"/>
      <w:bookmarkStart w:id="37" w:name="_Toc26718931"/>
      <w:r>
        <w:rPr>
          <w:rFonts w:hint="eastAsia"/>
        </w:rPr>
        <w:t>规范性引用文件</w:t>
      </w:r>
      <w:bookmarkEnd w:id="29"/>
      <w:bookmarkEnd w:id="30"/>
      <w:bookmarkEnd w:id="31"/>
      <w:bookmarkEnd w:id="32"/>
      <w:bookmarkEnd w:id="33"/>
      <w:bookmarkEnd w:id="34"/>
      <w:bookmarkEnd w:id="35"/>
      <w:bookmarkEnd w:id="36"/>
      <w:bookmarkEnd w:id="37"/>
    </w:p>
    <w:p w14:paraId="5EF3DB1E">
      <w:pPr>
        <w:pStyle w:val="58"/>
        <w:ind w:firstLine="420"/>
      </w:pPr>
      <w:r>
        <w:rPr>
          <w:rFonts w:hint="eastAsia"/>
        </w:rPr>
        <w:t>下列文件中的内容通过文中的规范性引用而构成本文件必不可少的条款。其中，日期的引用文件，仅该日期对应的版本适用于本文件；不注日期的引用文件，其最新版本（包括所有的修改单）适用于本文件。</w:t>
      </w:r>
    </w:p>
    <w:p w14:paraId="0FC31048">
      <w:pPr>
        <w:pStyle w:val="58"/>
        <w:ind w:firstLine="420"/>
      </w:pPr>
      <w:r>
        <w:rPr>
          <w:rFonts w:hint="eastAsia"/>
        </w:rPr>
        <w:t>GB 2894 安全标志及其使用导则</w:t>
      </w:r>
    </w:p>
    <w:p w14:paraId="668FB246">
      <w:pPr>
        <w:pStyle w:val="58"/>
        <w:ind w:firstLine="420"/>
      </w:pPr>
      <w:r>
        <w:rPr>
          <w:rFonts w:hint="eastAsia"/>
        </w:rPr>
        <w:t>GB 12158 防止静电事故通用导则</w:t>
      </w:r>
    </w:p>
    <w:p w14:paraId="63C6B4E3">
      <w:pPr>
        <w:pStyle w:val="58"/>
        <w:ind w:firstLine="420"/>
      </w:pPr>
      <w:r>
        <w:rPr>
          <w:rFonts w:hint="eastAsia"/>
        </w:rPr>
        <w:t>GB 15258 化学品安全标签编写规定</w:t>
      </w:r>
    </w:p>
    <w:p w14:paraId="2C482E27">
      <w:pPr>
        <w:pStyle w:val="58"/>
        <w:ind w:firstLine="420"/>
      </w:pPr>
      <w:r>
        <w:rPr>
          <w:rFonts w:hint="eastAsia"/>
        </w:rPr>
        <w:t>GB 16663 醇基液体燃料</w:t>
      </w:r>
    </w:p>
    <w:p w14:paraId="24BCD9BE">
      <w:pPr>
        <w:pStyle w:val="58"/>
        <w:ind w:firstLine="420"/>
      </w:pPr>
      <w:r>
        <w:rPr>
          <w:rFonts w:hint="eastAsia"/>
        </w:rPr>
        <w:t>GB 50016 建筑设计防火规范</w:t>
      </w:r>
    </w:p>
    <w:p w14:paraId="085C42DB">
      <w:pPr>
        <w:pStyle w:val="58"/>
        <w:ind w:firstLine="420"/>
      </w:pPr>
      <w:r>
        <w:rPr>
          <w:rFonts w:hint="eastAsia"/>
        </w:rPr>
        <w:t>GB 55037 建筑防火通用规范</w:t>
      </w:r>
    </w:p>
    <w:p w14:paraId="2755B9C2">
      <w:pPr>
        <w:pStyle w:val="58"/>
        <w:ind w:firstLine="420"/>
      </w:pPr>
      <w:r>
        <w:rPr>
          <w:rFonts w:hint="eastAsia"/>
        </w:rPr>
        <w:t>GB 50057 建筑物防雷设计规范</w:t>
      </w:r>
    </w:p>
    <w:p w14:paraId="3E07C741">
      <w:pPr>
        <w:pStyle w:val="58"/>
        <w:ind w:firstLine="420"/>
      </w:pPr>
      <w:r>
        <w:rPr>
          <w:rFonts w:hint="eastAsia"/>
        </w:rPr>
        <w:t>GB 50058 爆炸危险环境电力装置设计规范</w:t>
      </w:r>
    </w:p>
    <w:p w14:paraId="4996F944">
      <w:pPr>
        <w:pStyle w:val="58"/>
        <w:ind w:firstLine="420"/>
      </w:pPr>
      <w:r>
        <w:rPr>
          <w:rFonts w:hint="eastAsia"/>
        </w:rPr>
        <w:t>GB 50140 建筑灭火器配置设计规范</w:t>
      </w:r>
    </w:p>
    <w:p w14:paraId="610F91ED">
      <w:pPr>
        <w:pStyle w:val="58"/>
        <w:ind w:firstLine="420"/>
      </w:pPr>
      <w:r>
        <w:rPr>
          <w:rFonts w:hint="eastAsia"/>
        </w:rPr>
        <w:t>GB/T 37433 低功率燃油燃烧器通用技术要求</w:t>
      </w:r>
    </w:p>
    <w:p w14:paraId="5B8B8D72">
      <w:pPr>
        <w:pStyle w:val="58"/>
        <w:ind w:firstLine="420"/>
      </w:pPr>
      <w:r>
        <w:rPr>
          <w:rFonts w:hint="eastAsia"/>
        </w:rPr>
        <w:t>GB/T 16483 化学品安全技术说明书 内容和项目顺序</w:t>
      </w:r>
    </w:p>
    <w:p w14:paraId="4B243689">
      <w:pPr>
        <w:pStyle w:val="58"/>
        <w:ind w:firstLine="420"/>
      </w:pPr>
      <w:r>
        <w:rPr>
          <w:rFonts w:hint="eastAsia"/>
        </w:rPr>
        <w:t>GBZ 2.1 工作场所有害因素职业接触限值 第1部分:化学有害因素</w:t>
      </w:r>
    </w:p>
    <w:p w14:paraId="0DD76FE0">
      <w:pPr>
        <w:pStyle w:val="58"/>
        <w:ind w:firstLine="420"/>
      </w:pPr>
      <w:r>
        <w:rPr>
          <w:rFonts w:hint="eastAsia"/>
        </w:rPr>
        <w:t>NY 312 醇基民用燃料灶具</w:t>
      </w:r>
    </w:p>
    <w:p w14:paraId="7760CF08">
      <w:pPr>
        <w:pStyle w:val="58"/>
        <w:ind w:firstLine="420"/>
      </w:pPr>
      <w:r>
        <w:rPr>
          <w:rFonts w:hint="eastAsia"/>
        </w:rPr>
        <w:t>GB/T 37433 低功率燃油燃烧器通用技术要求</w:t>
      </w:r>
    </w:p>
    <w:p w14:paraId="7DE20841">
      <w:pPr>
        <w:pStyle w:val="58"/>
        <w:ind w:firstLine="420"/>
      </w:pPr>
      <w:r>
        <w:rPr>
          <w:rFonts w:hint="eastAsia"/>
        </w:rPr>
        <w:t>CJJ 12 家用燃气燃烧器具安装及验收规程。</w:t>
      </w:r>
    </w:p>
    <w:p w14:paraId="78E15FBC">
      <w:pPr>
        <w:pStyle w:val="106"/>
        <w:spacing w:before="312" w:after="312"/>
        <w:rPr>
          <w:szCs w:val="21"/>
        </w:rPr>
      </w:pPr>
      <w:bookmarkStart w:id="38" w:name="_Toc97191425"/>
      <w:r>
        <w:rPr>
          <w:rFonts w:hint="eastAsia"/>
          <w:szCs w:val="21"/>
        </w:rPr>
        <w:t>术语和定义</w:t>
      </w:r>
      <w:bookmarkEnd w:id="38"/>
    </w:p>
    <w:p w14:paraId="533E0ADF">
      <w:pPr>
        <w:pStyle w:val="225"/>
        <w:rPr>
          <w:rFonts w:ascii="黑体" w:hAnsi="黑体" w:eastAsia="黑体"/>
        </w:rPr>
      </w:pPr>
      <w:r>
        <w:rPr>
          <w:rFonts w:hint="eastAsia" w:ascii="黑体" w:hAnsi="黑体" w:eastAsia="黑体"/>
        </w:rPr>
        <w:t>餐饮用醇基液体燃料alcohol-based liquid fuel for catering</w:t>
      </w:r>
    </w:p>
    <w:p w14:paraId="111E8D5B">
      <w:pPr>
        <w:pStyle w:val="58"/>
        <w:ind w:firstLine="420"/>
      </w:pPr>
      <w:r>
        <w:rPr>
          <w:rFonts w:hint="eastAsia"/>
        </w:rPr>
        <w:t>以醇类物质为主体配置的闪点大于60℃的液体燃料，利用其燃烧性，用作餐饮经营单位和其他含民宿在内的餐饮场所的燃料。</w:t>
      </w:r>
    </w:p>
    <w:p w14:paraId="5A2C2513">
      <w:pPr>
        <w:pStyle w:val="225"/>
        <w:rPr>
          <w:rFonts w:ascii="黑体" w:hAnsi="黑体" w:eastAsia="黑体"/>
        </w:rPr>
      </w:pPr>
      <w:r>
        <w:rPr>
          <w:rFonts w:hint="eastAsia" w:ascii="黑体" w:hAnsi="黑体" w:eastAsia="黑体"/>
        </w:rPr>
        <w:t>燃烧器 burner</w:t>
      </w:r>
    </w:p>
    <w:p w14:paraId="79D3771E">
      <w:pPr>
        <w:pStyle w:val="58"/>
        <w:ind w:firstLine="420"/>
        <w:rPr>
          <w:rFonts w:hint="eastAsia"/>
        </w:rPr>
      </w:pPr>
      <w:r>
        <w:rPr>
          <w:rFonts w:hint="eastAsia"/>
        </w:rPr>
        <w:t>使燃料和空气以一定方式喷出混合燃烧的装置统称。本文件主要指民用燃烧器。</w:t>
      </w:r>
    </w:p>
    <w:p w14:paraId="110042BF">
      <w:pPr>
        <w:pStyle w:val="58"/>
        <w:ind w:firstLine="420"/>
        <w:rPr>
          <w:rFonts w:hint="eastAsia"/>
        </w:rPr>
      </w:pPr>
    </w:p>
    <w:p w14:paraId="662045ED">
      <w:pPr>
        <w:pStyle w:val="106"/>
        <w:spacing w:before="312" w:after="312"/>
      </w:pPr>
      <w:r>
        <w:rPr>
          <w:rFonts w:hint="eastAsia"/>
        </w:rPr>
        <w:t>基本要求</w:t>
      </w:r>
    </w:p>
    <w:p w14:paraId="6F17A8F1">
      <w:pPr>
        <w:pStyle w:val="164"/>
      </w:pPr>
      <w:r>
        <w:rPr>
          <w:rFonts w:hint="eastAsia"/>
        </w:rPr>
        <w:t>闪点小于等于60℃的醇基液体燃料、工业用醇基液体燃料以及其他危险化学品，不得作为民用燃料储存和使用。</w:t>
      </w:r>
    </w:p>
    <w:p w14:paraId="151EB509">
      <w:pPr>
        <w:pStyle w:val="164"/>
      </w:pPr>
      <w:r>
        <w:rPr>
          <w:rFonts w:hint="eastAsia"/>
        </w:rPr>
        <w:t>醇基液体燃料供货单位不得为不具备安全使用条件的用户安装储存装置及管线，不得向其出售醇基液体燃料。</w:t>
      </w:r>
    </w:p>
    <w:p w14:paraId="008F0F27">
      <w:pPr>
        <w:pStyle w:val="164"/>
      </w:pPr>
      <w:r>
        <w:rPr>
          <w:rFonts w:hint="eastAsia"/>
        </w:rPr>
        <w:t>醇基液体燃料的运输、装卸应由供货单位负责，供货单位应保证燃烧器、灶具、管道的安装符合安全要求，其安装应由专业人员进行。</w:t>
      </w:r>
    </w:p>
    <w:p w14:paraId="78AE4FB7">
      <w:pPr>
        <w:pStyle w:val="164"/>
      </w:pPr>
      <w:r>
        <w:rPr>
          <w:rFonts w:hint="eastAsia"/>
        </w:rPr>
        <w:t>醇基液体燃料燃烧器、输送管线、阀门等设施均应符合国家行业质量检验标准，其维修应由专业人员进行。</w:t>
      </w:r>
    </w:p>
    <w:p w14:paraId="4688A48E">
      <w:pPr>
        <w:pStyle w:val="164"/>
      </w:pPr>
      <w:r>
        <w:rPr>
          <w:rFonts w:hint="eastAsia"/>
        </w:rPr>
        <w:t>使用单位应向具有合法资质的供货单位购买醇基液体燃料，并索要《营业执照》《产品合格证》《产品质量检测报告》或《质量证明书》等资质证明文件复印件，留档备查。</w:t>
      </w:r>
    </w:p>
    <w:p w14:paraId="4396890F">
      <w:pPr>
        <w:pStyle w:val="164"/>
      </w:pPr>
      <w:r>
        <w:rPr>
          <w:rFonts w:hint="eastAsia"/>
        </w:rPr>
        <w:t>使用单位必须采购符合本标准定义的醇基液体燃料，不符合本标准定义要求的醇基液体燃料不得储存和使用。</w:t>
      </w:r>
    </w:p>
    <w:p w14:paraId="1AC549C5">
      <w:pPr>
        <w:pStyle w:val="164"/>
      </w:pPr>
      <w:r>
        <w:rPr>
          <w:rFonts w:hint="eastAsia"/>
        </w:rPr>
        <w:t>使用单位严禁将醇基液体燃料和其他燃料混用。</w:t>
      </w:r>
    </w:p>
    <w:p w14:paraId="0EF6061C">
      <w:pPr>
        <w:pStyle w:val="164"/>
      </w:pPr>
      <w:r>
        <w:rPr>
          <w:rFonts w:hint="eastAsia"/>
        </w:rPr>
        <w:t>倒闭、关停的使用单位，其剩余醇基液体燃料应交由供货单位进行妥善处置，不得丢弃或变卖。</w:t>
      </w:r>
    </w:p>
    <w:p w14:paraId="5792C16F">
      <w:pPr>
        <w:pStyle w:val="164"/>
      </w:pPr>
      <w:r>
        <w:rPr>
          <w:rFonts w:hint="eastAsia"/>
        </w:rPr>
        <w:t>使用单位应建立醇基液体燃料的采购人、采购时间、采购量、供货单位等采购信息和资料台账，并存档备查，保留时间不少于1年。</w:t>
      </w:r>
    </w:p>
    <w:p w14:paraId="390BD1A2">
      <w:pPr>
        <w:pStyle w:val="106"/>
        <w:spacing w:before="312" w:after="312"/>
      </w:pPr>
      <w:r>
        <w:rPr>
          <w:rFonts w:hint="eastAsia"/>
        </w:rPr>
        <w:t>卸车安全要求</w:t>
      </w:r>
    </w:p>
    <w:p w14:paraId="7A57230C">
      <w:pPr>
        <w:pStyle w:val="164"/>
      </w:pPr>
      <w:r>
        <w:rPr>
          <w:rFonts w:hint="eastAsia"/>
        </w:rPr>
        <w:t>现场人员应在确认以下内容后，方可引导槽车进入卸车作业区。</w:t>
      </w:r>
    </w:p>
    <w:p w14:paraId="704A3263">
      <w:pPr>
        <w:pStyle w:val="176"/>
      </w:pPr>
      <w:r>
        <w:rPr>
          <w:rFonts w:hint="eastAsia"/>
        </w:rPr>
        <w:t>资质证照齐全；</w:t>
      </w:r>
    </w:p>
    <w:p w14:paraId="68F66647">
      <w:pPr>
        <w:pStyle w:val="176"/>
      </w:pPr>
      <w:r>
        <w:rPr>
          <w:rFonts w:hint="eastAsia"/>
        </w:rPr>
        <w:t>车辆排气管处应安装阻火器；</w:t>
      </w:r>
    </w:p>
    <w:p w14:paraId="1544307A">
      <w:pPr>
        <w:pStyle w:val="176"/>
      </w:pPr>
      <w:r>
        <w:rPr>
          <w:rFonts w:hint="eastAsia"/>
        </w:rPr>
        <w:t>车辆接地带有效与地面接触；</w:t>
      </w:r>
    </w:p>
    <w:p w14:paraId="5A439AD5">
      <w:pPr>
        <w:pStyle w:val="176"/>
      </w:pPr>
      <w:r>
        <w:rPr>
          <w:rFonts w:hint="eastAsia"/>
        </w:rPr>
        <w:t>罐体完好无泄漏；</w:t>
      </w:r>
    </w:p>
    <w:p w14:paraId="171B3DD7">
      <w:pPr>
        <w:pStyle w:val="176"/>
      </w:pPr>
      <w:r>
        <w:rPr>
          <w:rFonts w:hint="eastAsia"/>
        </w:rPr>
        <w:t>设有紧急切断阀；</w:t>
      </w:r>
    </w:p>
    <w:p w14:paraId="20481A10">
      <w:pPr>
        <w:pStyle w:val="176"/>
      </w:pPr>
      <w:r>
        <w:rPr>
          <w:rFonts w:hint="eastAsia"/>
        </w:rPr>
        <w:t>随车配有在有效期内的灭火器。</w:t>
      </w:r>
    </w:p>
    <w:p w14:paraId="6AFCC33E">
      <w:pPr>
        <w:pStyle w:val="164"/>
      </w:pPr>
      <w:r>
        <w:rPr>
          <w:rFonts w:hint="eastAsia"/>
        </w:rPr>
        <w:t>车辆停稳后应熄火并拉手刹，车轮处放置与最大允许总质量和车轮尺寸相匹配的轮挡。</w:t>
      </w:r>
    </w:p>
    <w:p w14:paraId="70720D18">
      <w:pPr>
        <w:pStyle w:val="164"/>
      </w:pPr>
      <w:r>
        <w:rPr>
          <w:rFonts w:hint="eastAsia"/>
        </w:rPr>
        <w:t>醇基液体燃料的装卸应由供货单位负责，卸车作业区应设置警戒区，并在周边设置醒目的警示标志。</w:t>
      </w:r>
    </w:p>
    <w:p w14:paraId="456A3672">
      <w:pPr>
        <w:pStyle w:val="164"/>
      </w:pPr>
      <w:r>
        <w:rPr>
          <w:rFonts w:hint="eastAsia"/>
        </w:rPr>
        <w:t>进入卸车作业区应符合以下条件：</w:t>
      </w:r>
    </w:p>
    <w:p w14:paraId="6377904E">
      <w:pPr>
        <w:pStyle w:val="176"/>
        <w:numPr>
          <w:ilvl w:val="0"/>
          <w:numId w:val="32"/>
        </w:numPr>
      </w:pPr>
      <w:r>
        <w:rPr>
          <w:rFonts w:hint="eastAsia"/>
        </w:rPr>
        <w:t>禁止随身携带火种；</w:t>
      </w:r>
    </w:p>
    <w:p w14:paraId="08C0AE2D">
      <w:pPr>
        <w:pStyle w:val="176"/>
      </w:pPr>
      <w:r>
        <w:rPr>
          <w:rFonts w:hint="eastAsia"/>
        </w:rPr>
        <w:t>严禁吸烟；</w:t>
      </w:r>
    </w:p>
    <w:p w14:paraId="283CF95A">
      <w:pPr>
        <w:pStyle w:val="176"/>
      </w:pPr>
      <w:r>
        <w:rPr>
          <w:rFonts w:hint="eastAsia"/>
        </w:rPr>
        <w:t>禁止使用手机等移动通讯工具和电子设备；</w:t>
      </w:r>
    </w:p>
    <w:p w14:paraId="3D5BB016">
      <w:pPr>
        <w:pStyle w:val="176"/>
      </w:pPr>
      <w:r>
        <w:rPr>
          <w:rFonts w:hint="eastAsia"/>
        </w:rPr>
        <w:t>穿着防静电工作服和不带铁钉的工作鞋。</w:t>
      </w:r>
    </w:p>
    <w:p w14:paraId="192247A5">
      <w:pPr>
        <w:pStyle w:val="164"/>
      </w:pPr>
      <w:r>
        <w:rPr>
          <w:rFonts w:hint="eastAsia"/>
        </w:rPr>
        <w:t>卸车作业区25m范围内不能存在明火；50m范围内不能存在砂轮打磨、电焊、气焊（割）等散发火花作业。</w:t>
      </w:r>
    </w:p>
    <w:p w14:paraId="08BF5287">
      <w:pPr>
        <w:pStyle w:val="164"/>
      </w:pPr>
      <w:r>
        <w:rPr>
          <w:rFonts w:hint="eastAsia"/>
        </w:rPr>
        <w:t>卸车作业区应配备至少2具手提式干粉灭火器，放置于卸车点上风向2～3m处，宜配备一定数量的消防沙和灭火毯。</w:t>
      </w:r>
    </w:p>
    <w:p w14:paraId="4A871D0F">
      <w:pPr>
        <w:pStyle w:val="164"/>
      </w:pPr>
      <w:r>
        <w:rPr>
          <w:rFonts w:hint="eastAsia"/>
        </w:rPr>
        <w:t>卸车前应关闭储存容器与灶具之间的连接管道阀门，厨房禁止明火作业。</w:t>
      </w:r>
    </w:p>
    <w:p w14:paraId="2186D7BB">
      <w:pPr>
        <w:pStyle w:val="164"/>
      </w:pPr>
      <w:r>
        <w:rPr>
          <w:rFonts w:hint="eastAsia"/>
        </w:rPr>
        <w:t>醇基液体燃料的装卸操作应由供货单位负责，卸车操作人员经安全生产教育和培训合格后方可上岗。</w:t>
      </w:r>
    </w:p>
    <w:p w14:paraId="0904CC43">
      <w:pPr>
        <w:pStyle w:val="164"/>
      </w:pPr>
      <w:r>
        <w:rPr>
          <w:rFonts w:hint="eastAsia"/>
        </w:rPr>
        <w:t>卸车操作人员应按工艺流程将槽车、卸料软管、储存容器紧密连接。</w:t>
      </w:r>
    </w:p>
    <w:p w14:paraId="150F037C">
      <w:pPr>
        <w:pStyle w:val="164"/>
      </w:pPr>
      <w:r>
        <w:rPr>
          <w:rFonts w:hint="eastAsia"/>
        </w:rPr>
        <w:t>经双方检查确认具备卸车条件后，开始卸车作业。</w:t>
      </w:r>
    </w:p>
    <w:p w14:paraId="75C8D393">
      <w:pPr>
        <w:pStyle w:val="176"/>
        <w:numPr>
          <w:ilvl w:val="0"/>
          <w:numId w:val="33"/>
        </w:numPr>
      </w:pPr>
      <w:r>
        <w:rPr>
          <w:rFonts w:hint="eastAsia"/>
        </w:rPr>
        <w:t>卸料时应从储存容器底部注入。</w:t>
      </w:r>
    </w:p>
    <w:p w14:paraId="7F048983">
      <w:pPr>
        <w:pStyle w:val="176"/>
      </w:pPr>
      <w:r>
        <w:rPr>
          <w:rFonts w:hint="eastAsia"/>
        </w:rPr>
        <w:t>初期流速控制在1m/s之内，最高流速不宜超过2m/s。</w:t>
      </w:r>
    </w:p>
    <w:p w14:paraId="0093BD4C">
      <w:pPr>
        <w:pStyle w:val="164"/>
      </w:pPr>
      <w:r>
        <w:rPr>
          <w:rFonts w:hint="eastAsia"/>
        </w:rPr>
        <w:t>卸车作业应有专人监护，禁止无关人员进入卸车作业区。</w:t>
      </w:r>
    </w:p>
    <w:p w14:paraId="161933B5">
      <w:pPr>
        <w:pStyle w:val="164"/>
      </w:pPr>
      <w:r>
        <w:rPr>
          <w:rFonts w:hint="eastAsia"/>
        </w:rPr>
        <w:t>卸车作业过程中作业人员不得擅自离开卸车作业区，设专人观察储存容器液位的变化，出现异常情况，应立即通知作业人员停泵并关闭槽车的紧急切断阀。</w:t>
      </w:r>
    </w:p>
    <w:p w14:paraId="6D52A43B">
      <w:pPr>
        <w:pStyle w:val="164"/>
      </w:pPr>
      <w:r>
        <w:rPr>
          <w:rFonts w:hint="eastAsia"/>
        </w:rPr>
        <w:t>大风、雷雨等恶劣气候应停止卸车作业；夏季超过35℃的高温天气宜避开高温时段作业。</w:t>
      </w:r>
    </w:p>
    <w:p w14:paraId="1D12D617">
      <w:pPr>
        <w:pStyle w:val="164"/>
      </w:pPr>
      <w:r>
        <w:rPr>
          <w:rFonts w:hint="eastAsia"/>
        </w:rPr>
        <w:t>卸车作业完成后，应关闭卸车阀，静置5min以上，拆下接头放入接装桶，防止燃料喷洒，并清扫作业现场，将消防器材放回原位。</w:t>
      </w:r>
    </w:p>
    <w:p w14:paraId="37969A6F">
      <w:pPr>
        <w:pStyle w:val="106"/>
        <w:spacing w:before="312" w:after="312"/>
      </w:pPr>
      <w:r>
        <w:rPr>
          <w:rFonts w:hint="eastAsia"/>
        </w:rPr>
        <w:t>布置及储存安全要求</w:t>
      </w:r>
    </w:p>
    <w:p w14:paraId="70C1A24D">
      <w:pPr>
        <w:pStyle w:val="164"/>
      </w:pPr>
      <w:r>
        <w:t>醇基液体燃料</w:t>
      </w:r>
      <w:r>
        <w:rPr>
          <w:rFonts w:hint="eastAsia"/>
        </w:rPr>
        <w:t>必须使用专用容器进行储存。</w:t>
      </w:r>
      <w:r>
        <w:t>储存容器严禁布置在建筑物屋顶，严禁布置在重要公共建筑、住宅建筑、高层建筑内，严禁毗邻门窗。</w:t>
      </w:r>
    </w:p>
    <w:p w14:paraId="34F9C8FD">
      <w:pPr>
        <w:pStyle w:val="164"/>
      </w:pPr>
      <w:r>
        <w:t>储存容器与灶具及配套燃烧设备、燃烧器之间不得设置中间罐。</w:t>
      </w:r>
    </w:p>
    <w:p w14:paraId="5994D3E5">
      <w:pPr>
        <w:pStyle w:val="164"/>
      </w:pPr>
      <w:r>
        <w:t>储存容器布置于室外时，应直埋于建筑附近，且符合以下条件：</w:t>
      </w:r>
    </w:p>
    <w:p w14:paraId="2CF5C0D4">
      <w:pPr>
        <w:pStyle w:val="176"/>
        <w:numPr>
          <w:ilvl w:val="0"/>
          <w:numId w:val="34"/>
        </w:numPr>
      </w:pPr>
      <w:r>
        <w:t>存储容器4</w:t>
      </w:r>
      <w:r>
        <w:rPr>
          <w:rFonts w:hint="eastAsia"/>
          <w:lang w:val="en-US" w:eastAsia="zh-CN"/>
        </w:rPr>
        <w:t>m</w:t>
      </w:r>
      <w:r>
        <w:t>范围内的建筑外墙为防火墙；</w:t>
      </w:r>
    </w:p>
    <w:p w14:paraId="07AFC429">
      <w:pPr>
        <w:pStyle w:val="176"/>
      </w:pPr>
      <w:r>
        <w:t>存储容器与架空电力线的最近水平距离不应小于电杆（塔）高度的0.6倍；</w:t>
      </w:r>
    </w:p>
    <w:p w14:paraId="78773D57">
      <w:pPr>
        <w:pStyle w:val="176"/>
      </w:pPr>
      <w:r>
        <w:t>存储容器与通信线水平距离不小于5</w:t>
      </w:r>
      <w:r>
        <w:rPr>
          <w:rFonts w:hint="eastAsia"/>
          <w:lang w:val="en-US" w:eastAsia="zh-CN"/>
        </w:rPr>
        <w:t>m</w:t>
      </w:r>
      <w:r>
        <w:t>；</w:t>
      </w:r>
    </w:p>
    <w:p w14:paraId="7E5631BD">
      <w:pPr>
        <w:pStyle w:val="176"/>
      </w:pPr>
      <w:r>
        <w:t>存储容器与道路水平距离不小于5</w:t>
      </w:r>
      <w:r>
        <w:rPr>
          <w:rFonts w:hint="eastAsia"/>
          <w:lang w:val="en-US" w:eastAsia="zh-CN"/>
        </w:rPr>
        <w:t>m</w:t>
      </w:r>
      <w:r>
        <w:t>；</w:t>
      </w:r>
    </w:p>
    <w:p w14:paraId="78BBBE2A">
      <w:pPr>
        <w:pStyle w:val="176"/>
      </w:pPr>
      <w:r>
        <w:t>存储容器四周应设置防止醇基液体漫流扩散的围堰，其有效容量应不小于储存容器的容量，并设置雨水排水管，且雨水排水管应设置阀门封闭、隔离措施；</w:t>
      </w:r>
    </w:p>
    <w:p w14:paraId="637E4BAA">
      <w:pPr>
        <w:pStyle w:val="176"/>
      </w:pPr>
      <w:r>
        <w:t>存储容器应设置防雷接地，接地电阻应小于等于10</w:t>
      </w:r>
      <w:r>
        <w:rPr>
          <w:rFonts w:hint="eastAsia"/>
          <w:lang w:eastAsia="zh-CN"/>
        </w:rPr>
        <w:t>Ω</w:t>
      </w:r>
      <w:r>
        <w:t>，接地体应埋深在0.5</w:t>
      </w:r>
      <w:r>
        <w:rPr>
          <w:rFonts w:hint="eastAsia"/>
          <w:lang w:val="en-US" w:eastAsia="zh-CN"/>
        </w:rPr>
        <w:t>m</w:t>
      </w:r>
      <w:r>
        <w:t>以下，且与存储容器等金属设备相连通；</w:t>
      </w:r>
    </w:p>
    <w:p w14:paraId="53812D92">
      <w:pPr>
        <w:pStyle w:val="176"/>
      </w:pPr>
      <w:r>
        <w:t>储存容器设置位置应便于日常维护检修及灭火应急处置。</w:t>
      </w:r>
    </w:p>
    <w:p w14:paraId="08902290">
      <w:pPr>
        <w:pStyle w:val="164"/>
      </w:pPr>
      <w:r>
        <w:t>储存容器设置在室内时，应有专门的储存间，且储存间位置在建筑物一层，不得设置在地下室和半地下室，储存间要符合《建筑防火通用规范》（GB 55037）《建筑设计防火规范》（GB 50016）等规定，且符合以下条件：</w:t>
      </w:r>
    </w:p>
    <w:p w14:paraId="5AC07514">
      <w:pPr>
        <w:pStyle w:val="176"/>
        <w:numPr>
          <w:ilvl w:val="0"/>
          <w:numId w:val="35"/>
        </w:numPr>
      </w:pPr>
      <w:r>
        <w:t>建筑物耐火等级不应低于二级；</w:t>
      </w:r>
    </w:p>
    <w:p w14:paraId="157C9FBC">
      <w:pPr>
        <w:pStyle w:val="176"/>
      </w:pPr>
      <w:r>
        <w:t>与其他房间相邻的墙应是无门、窗、孔洞的防火墙，确需开门的，应采用甲级防火门；</w:t>
      </w:r>
    </w:p>
    <w:p w14:paraId="6F0CE5E5">
      <w:pPr>
        <w:pStyle w:val="176"/>
      </w:pPr>
      <w:r>
        <w:t>储存容器与建筑物安全出口距离不小于6</w:t>
      </w:r>
      <w:r>
        <w:rPr>
          <w:rFonts w:hint="eastAsia"/>
          <w:lang w:val="en-US" w:eastAsia="zh-CN"/>
        </w:rPr>
        <w:t>m</w:t>
      </w:r>
      <w:r>
        <w:t>；</w:t>
      </w:r>
    </w:p>
    <w:p w14:paraId="6C51950D">
      <w:pPr>
        <w:pStyle w:val="176"/>
      </w:pPr>
      <w:r>
        <w:t>应配置可燃气体检测报警器，宜设置独立的自动灭火装置；</w:t>
      </w:r>
    </w:p>
    <w:p w14:paraId="03D2F5AD">
      <w:pPr>
        <w:pStyle w:val="176"/>
      </w:pPr>
      <w:r>
        <w:t>通风换气良好，空气不畅或密闭空间应安装排风设施，并与气体检测报警装置联锁；</w:t>
      </w:r>
    </w:p>
    <w:p w14:paraId="396ED768">
      <w:pPr>
        <w:pStyle w:val="176"/>
      </w:pPr>
      <w:r>
        <w:t>液体输送泵、照明灯具和开关应采用防爆型。</w:t>
      </w:r>
    </w:p>
    <w:p w14:paraId="1A203F17">
      <w:pPr>
        <w:pStyle w:val="164"/>
      </w:pPr>
      <w:r>
        <w:t>醇基液体燃料储存、使用场所严禁设置员工宿舍。</w:t>
      </w:r>
    </w:p>
    <w:p w14:paraId="7D68796A">
      <w:pPr>
        <w:pStyle w:val="164"/>
      </w:pPr>
      <w:r>
        <w:t>储存容器应使用不锈钢等不易腐蚀、不易产生积累静电的材质制造，壁厚不应小于4</w:t>
      </w:r>
      <w:r>
        <w:rPr>
          <w:rFonts w:hint="eastAsia"/>
          <w:lang w:val="en-US" w:eastAsia="zh-CN"/>
        </w:rPr>
        <w:t>mm</w:t>
      </w:r>
      <w:r>
        <w:t>，最高承压不小于0.5</w:t>
      </w:r>
      <w:bookmarkStart w:id="39" w:name="OLE_LINK1"/>
      <w:r>
        <w:rPr>
          <w:rFonts w:hint="eastAsia"/>
          <w:lang w:val="en-US" w:eastAsia="zh-CN"/>
        </w:rPr>
        <w:t>MPa</w:t>
      </w:r>
      <w:bookmarkEnd w:id="39"/>
      <w:r>
        <w:t>，使用压力不得超过0.05</w:t>
      </w:r>
      <w:r>
        <w:rPr>
          <w:rFonts w:hint="eastAsia"/>
          <w:lang w:val="en-US" w:eastAsia="zh-CN"/>
        </w:rPr>
        <w:t>MPa</w:t>
      </w:r>
      <w:r>
        <w:t>。</w:t>
      </w:r>
    </w:p>
    <w:p w14:paraId="3895C5BA">
      <w:pPr>
        <w:pStyle w:val="164"/>
      </w:pPr>
      <w:r>
        <w:t>储存容器总容量不得大于1</w:t>
      </w:r>
      <w:r>
        <w:rPr>
          <w:rFonts w:hint="eastAsia"/>
          <w:lang w:val="en-US" w:eastAsia="zh-CN"/>
        </w:rPr>
        <w:t>m</w:t>
      </w:r>
      <w:r>
        <w:rPr>
          <w:rFonts w:hint="eastAsia"/>
          <w:vertAlign w:val="superscript"/>
          <w:lang w:val="en-US" w:eastAsia="zh-CN"/>
        </w:rPr>
        <w:t>3</w:t>
      </w:r>
      <w:r>
        <w:t>，最大充装量不应超过储存容器容积的90%。</w:t>
      </w:r>
    </w:p>
    <w:p w14:paraId="14C292CA">
      <w:pPr>
        <w:pStyle w:val="164"/>
      </w:pPr>
      <w:r>
        <w:t>储存容器应配置插入式液位、温度、压力测量装置，不得使用侧装式玻璃管液位计等易碰撞损坏的装置。</w:t>
      </w:r>
    </w:p>
    <w:p w14:paraId="4AABE9CC">
      <w:pPr>
        <w:pStyle w:val="164"/>
      </w:pPr>
      <w:r>
        <w:t>储存容器应具备高液位报警、高温度报警和高压报警功能，报警时应具有相应的自动保护功能。</w:t>
      </w:r>
    </w:p>
    <w:p w14:paraId="634CEA9F">
      <w:pPr>
        <w:pStyle w:val="164"/>
      </w:pPr>
      <w:r>
        <w:t>储存容器通气管路应安装有阻火装置，储罐底部不得设置排污口。</w:t>
      </w:r>
    </w:p>
    <w:p w14:paraId="6A334475">
      <w:pPr>
        <w:pStyle w:val="164"/>
      </w:pPr>
      <w:r>
        <w:t>储存容器应粘贴化学品安全标签，包含产品名称、总量等。</w:t>
      </w:r>
    </w:p>
    <w:p w14:paraId="61F1C2C8">
      <w:pPr>
        <w:pStyle w:val="164"/>
      </w:pPr>
      <w:r>
        <w:t>储存容器应接地，并符合《防止静电事故通用导则》（GB 12158）的规定。</w:t>
      </w:r>
    </w:p>
    <w:p w14:paraId="33CEC530">
      <w:pPr>
        <w:pStyle w:val="164"/>
      </w:pPr>
      <w:r>
        <w:t>储存容器的清洗作业应由供货单位进行。</w:t>
      </w:r>
    </w:p>
    <w:p w14:paraId="3F9C4EF5">
      <w:pPr>
        <w:pStyle w:val="106"/>
        <w:spacing w:before="312" w:after="312"/>
      </w:pPr>
      <w:r>
        <w:rPr>
          <w:rFonts w:hint="eastAsia"/>
        </w:rPr>
        <w:t>灶具和燃烧器安全要求</w:t>
      </w:r>
    </w:p>
    <w:p w14:paraId="1C486893">
      <w:pPr>
        <w:pStyle w:val="164"/>
      </w:pPr>
      <w:r>
        <w:rPr>
          <w:rFonts w:hint="eastAsia"/>
        </w:rPr>
        <w:t>应选用符合《醇基民用燃料灶具》（NY 312）标准要求的灶具及其配套的燃烧设施，其制造厂家应具备相关资质。</w:t>
      </w:r>
    </w:p>
    <w:p w14:paraId="75F11466">
      <w:pPr>
        <w:pStyle w:val="164"/>
      </w:pPr>
      <w:r>
        <w:rPr>
          <w:rFonts w:hint="eastAsia"/>
        </w:rPr>
        <w:t>燃烧器应符合GB/T 37433的规定，其安装可参照CJJ 12要求进行，禁止擅自改装。</w:t>
      </w:r>
    </w:p>
    <w:p w14:paraId="651D291C">
      <w:pPr>
        <w:pStyle w:val="164"/>
      </w:pPr>
      <w:r>
        <w:rPr>
          <w:rFonts w:hint="eastAsia"/>
        </w:rPr>
        <w:t>灶具、燃烧器应具有自动点火装置和熄火保护装置，不得使用人工点火的灶具，且自动点火规则必须为“火等燃料”，不得使用进燃料后再点火的方式。</w:t>
      </w:r>
    </w:p>
    <w:p w14:paraId="55D64635">
      <w:pPr>
        <w:pStyle w:val="164"/>
      </w:pPr>
      <w:r>
        <w:rPr>
          <w:rFonts w:hint="eastAsia"/>
        </w:rPr>
        <w:t>醇基液体燃料严禁采用液面直燃式、自升压式、充气外加压式供料方式进入到燃烧器内。</w:t>
      </w:r>
    </w:p>
    <w:p w14:paraId="00619A3C">
      <w:pPr>
        <w:pStyle w:val="164"/>
      </w:pPr>
      <w:r>
        <w:rPr>
          <w:rFonts w:hint="eastAsia"/>
        </w:rPr>
        <w:t>阀门的“开”、“关”的位置和方向要有明显的标志，并应有限位装置。</w:t>
      </w:r>
    </w:p>
    <w:p w14:paraId="0955D5D6">
      <w:pPr>
        <w:pStyle w:val="164"/>
      </w:pPr>
      <w:r>
        <w:rPr>
          <w:rFonts w:hint="eastAsia"/>
        </w:rPr>
        <w:t>针阀、气阀在装灶前应由供货单位做试漏检测，合格后方可使用</w:t>
      </w:r>
    </w:p>
    <w:p w14:paraId="61F0D9CE">
      <w:pPr>
        <w:pStyle w:val="164"/>
      </w:pPr>
      <w:r>
        <w:rPr>
          <w:rFonts w:hint="eastAsia"/>
        </w:rPr>
        <w:t>使用单位应当严格按照灶具、燃烧器使用说明进行操作。</w:t>
      </w:r>
    </w:p>
    <w:p w14:paraId="713B227E">
      <w:pPr>
        <w:pStyle w:val="106"/>
        <w:spacing w:before="312" w:after="312"/>
      </w:pPr>
      <w:r>
        <w:rPr>
          <w:rFonts w:hint="eastAsia"/>
        </w:rPr>
        <w:t>输送管道安全要求</w:t>
      </w:r>
    </w:p>
    <w:p w14:paraId="294BC527">
      <w:pPr>
        <w:pStyle w:val="164"/>
      </w:pPr>
      <w:r>
        <w:rPr>
          <w:rFonts w:hint="eastAsia"/>
        </w:rPr>
        <w:t>输送管线、阀门等产品应具有产品质量合格证明、检验合格证明等文件，质量应符合相关技术规范和国家标准。</w:t>
      </w:r>
    </w:p>
    <w:p w14:paraId="0C486A19">
      <w:pPr>
        <w:pStyle w:val="164"/>
      </w:pPr>
      <w:r>
        <w:rPr>
          <w:rFonts w:hint="eastAsia"/>
        </w:rPr>
        <w:t>储存容器至燃烧设备之间的管线应设置紧急切断阀，紧急切断阀应与事故报警装置联锁且设置在便于人员操作的位置。</w:t>
      </w:r>
    </w:p>
    <w:p w14:paraId="58424DBC">
      <w:pPr>
        <w:pStyle w:val="164"/>
      </w:pPr>
      <w:r>
        <w:rPr>
          <w:rFonts w:hint="eastAsia"/>
        </w:rPr>
        <w:t>管道材质应耐腐蚀、防溶胀、不易破损且方便维修检查。</w:t>
      </w:r>
    </w:p>
    <w:p w14:paraId="02866DEB">
      <w:pPr>
        <w:pStyle w:val="164"/>
      </w:pPr>
      <w:r>
        <w:rPr>
          <w:rFonts w:hint="eastAsia"/>
        </w:rPr>
        <w:t>管道应采用焊接或法兰连接，不得采用卡箍、丝扣等连接方式，阀门连接处应选用防泄漏、防溶胀的密封材料。燃料系统的管路、接头等应确保在承压0.3MPa及150℃情况下无液、气泄漏。</w:t>
      </w:r>
    </w:p>
    <w:p w14:paraId="2A0B63DB">
      <w:pPr>
        <w:pStyle w:val="164"/>
      </w:pPr>
      <w:r>
        <w:rPr>
          <w:rFonts w:hint="eastAsia"/>
        </w:rPr>
        <w:t>进料管应伸至储存容器内距底部50mm至100mm处，进料立管底端应为45°斜管口或T形管口。</w:t>
      </w:r>
    </w:p>
    <w:p w14:paraId="4AFC9907">
      <w:pPr>
        <w:pStyle w:val="164"/>
      </w:pPr>
      <w:r>
        <w:rPr>
          <w:rFonts w:hint="eastAsia"/>
        </w:rPr>
        <w:t>管道不应穿过楼板，不应穿越餐厅、办公室、楼梯间、生活间等不使用醇基液体燃料的房间，应远离炉灶等高温环境。</w:t>
      </w:r>
    </w:p>
    <w:p w14:paraId="40D9998D">
      <w:pPr>
        <w:pStyle w:val="164"/>
      </w:pPr>
      <w:r>
        <w:rPr>
          <w:rFonts w:hint="eastAsia"/>
        </w:rPr>
        <w:t>管道不宜与电缆沟、排水沟等共同敷设或存在交叉，必须交叉的应设套管保护。管道穿过墙壁时，应敷设在套管内，套管内应充填阻燃材料。</w:t>
      </w:r>
    </w:p>
    <w:p w14:paraId="75E641F0">
      <w:pPr>
        <w:pStyle w:val="164"/>
      </w:pPr>
      <w:r>
        <w:rPr>
          <w:rFonts w:hint="eastAsia"/>
        </w:rPr>
        <w:t>室外布置的管道应采取防破坏、防冻措施。</w:t>
      </w:r>
    </w:p>
    <w:p w14:paraId="2341BEEF">
      <w:pPr>
        <w:pStyle w:val="106"/>
        <w:spacing w:before="312" w:after="312"/>
      </w:pPr>
      <w:r>
        <w:rPr>
          <w:rFonts w:hint="eastAsia"/>
        </w:rPr>
        <w:t>日常使用安全要求</w:t>
      </w:r>
    </w:p>
    <w:p w14:paraId="14086FB3">
      <w:pPr>
        <w:pStyle w:val="164"/>
      </w:pPr>
      <w:r>
        <w:rPr>
          <w:rFonts w:hint="eastAsia"/>
        </w:rPr>
        <w:t>使用场所电气线路及用电终端安装高度应高于地面至少20cm。禁止在地面布置任何电气线路及设备。</w:t>
      </w:r>
    </w:p>
    <w:p w14:paraId="0BC3AFF5">
      <w:pPr>
        <w:pStyle w:val="164"/>
      </w:pPr>
      <w:r>
        <w:rPr>
          <w:rFonts w:hint="eastAsia"/>
        </w:rPr>
        <w:t>醇基液体燃料使用场所应设置机械排风装置。</w:t>
      </w:r>
    </w:p>
    <w:p w14:paraId="59126A23">
      <w:pPr>
        <w:pStyle w:val="164"/>
      </w:pPr>
      <w:r>
        <w:rPr>
          <w:rFonts w:hint="eastAsia"/>
        </w:rPr>
        <w:t>醇基液体燃料使用场所应安装可燃气体报警装置，并保障其正常使用。</w:t>
      </w:r>
    </w:p>
    <w:p w14:paraId="52E35B08">
      <w:pPr>
        <w:pStyle w:val="164"/>
      </w:pPr>
      <w:r>
        <w:rPr>
          <w:rFonts w:hint="eastAsia"/>
        </w:rPr>
        <w:t>使用单位不得对醇基燃料进行二次分装。</w:t>
      </w:r>
    </w:p>
    <w:p w14:paraId="6F32FA91">
      <w:pPr>
        <w:pStyle w:val="164"/>
      </w:pPr>
      <w:r>
        <w:rPr>
          <w:rFonts w:hint="eastAsia"/>
        </w:rPr>
        <w:t>使用单位应定期对储存容器、管道线路、阀门、灶具等设备设施进行检测检查，及时清洗油烟管道，确保设备设施完好。</w:t>
      </w:r>
    </w:p>
    <w:p w14:paraId="4765DFCD">
      <w:pPr>
        <w:pStyle w:val="164"/>
      </w:pPr>
      <w:r>
        <w:rPr>
          <w:rFonts w:hint="eastAsia"/>
        </w:rPr>
        <w:t>使用单位营业期间禁止进行电气焊等动火作业。检维修动火作业时要远离储存容器、输送管线、灶具及燃烧器，并由具有相应资质的专业人员进行，使用单位应落实监护和防范措施。</w:t>
      </w:r>
    </w:p>
    <w:p w14:paraId="03A1A487">
      <w:pPr>
        <w:pStyle w:val="164"/>
      </w:pPr>
      <w:r>
        <w:rPr>
          <w:rFonts w:hint="eastAsia"/>
        </w:rPr>
        <w:t>供货单位应协助使用单位制定醇基液体燃料使用安全操作规程，并将安全操作规程张贴或悬挂于使用场所醒目处，同时对使用单位开展操作技能培训。其间维护、保养、配件等设备设施更换由供货单位安排专业人员负责。</w:t>
      </w:r>
    </w:p>
    <w:p w14:paraId="53EF8C7F">
      <w:pPr>
        <w:pStyle w:val="164"/>
      </w:pPr>
      <w:bookmarkStart w:id="40" w:name="_Hlk174543853"/>
      <w:r>
        <w:rPr>
          <w:rFonts w:hint="eastAsia"/>
        </w:rPr>
        <w:t>供货单位</w:t>
      </w:r>
      <w:bookmarkEnd w:id="40"/>
      <w:r>
        <w:rPr>
          <w:rFonts w:hint="eastAsia"/>
        </w:rPr>
        <w:t>在配送醇基燃料时应对使用单位的安全使用条件进行检查，不符合安全条件的应当停止供货。</w:t>
      </w:r>
    </w:p>
    <w:p w14:paraId="5A854DE9">
      <w:pPr>
        <w:pStyle w:val="164"/>
      </w:pPr>
      <w:r>
        <w:rPr>
          <w:rFonts w:hint="eastAsia"/>
        </w:rPr>
        <w:t>供货单位应定期对本单位储存醇基液体燃料的场所进行隐患排查，并对作业人员进行教育培训。</w:t>
      </w:r>
    </w:p>
    <w:p w14:paraId="40556B49">
      <w:pPr>
        <w:pStyle w:val="164"/>
      </w:pPr>
      <w:r>
        <w:rPr>
          <w:rFonts w:hint="eastAsia"/>
        </w:rPr>
        <w:t>餐厅面积大于1000m</w:t>
      </w:r>
      <w:r>
        <w:rPr>
          <w:rFonts w:hint="eastAsia"/>
          <w:vertAlign w:val="superscript"/>
        </w:rPr>
        <w:t>3</w:t>
      </w:r>
      <w:r>
        <w:rPr>
          <w:rFonts w:hint="eastAsia"/>
        </w:rPr>
        <w:t>的餐馆或食堂，厨房应采用防火门、防火窗、耐火极限不低于2h的防火隔墙和耐火极限不低于1h的楼板与其他区域分隔，其烹饪操作间的排油烟罩及烹饪部位应设置自动灭火装置。</w:t>
      </w:r>
    </w:p>
    <w:p w14:paraId="24B755A7">
      <w:pPr>
        <w:pStyle w:val="164"/>
      </w:pPr>
      <w:r>
        <w:rPr>
          <w:rFonts w:hint="eastAsia"/>
        </w:rPr>
        <w:t>正确使用设施和用具，不得使用不合格或已达到报废年限的设施和用具。</w:t>
      </w:r>
    </w:p>
    <w:p w14:paraId="14A3D0DA">
      <w:pPr>
        <w:pStyle w:val="106"/>
        <w:spacing w:before="312" w:after="312"/>
      </w:pPr>
      <w:r>
        <w:rPr>
          <w:rFonts w:hint="eastAsia"/>
        </w:rPr>
        <w:t>应急管理要求</w:t>
      </w:r>
    </w:p>
    <w:p w14:paraId="5AF26FD6">
      <w:pPr>
        <w:pStyle w:val="164"/>
      </w:pPr>
      <w:r>
        <w:rPr>
          <w:rFonts w:hint="eastAsia"/>
        </w:rPr>
        <w:t>使用单位应当针对醇基液体燃料可能发生的生产安全事故的特点和危害，进行安全风险辨识和评估，并将辨识评估结果向本单位从业人员告知。</w:t>
      </w:r>
    </w:p>
    <w:p w14:paraId="7115FA13">
      <w:pPr>
        <w:pStyle w:val="164"/>
      </w:pPr>
      <w:r>
        <w:rPr>
          <w:rFonts w:hint="eastAsia"/>
        </w:rPr>
        <w:t>储存场所醒目位置应张贴“严禁烟火”“易燃易爆”“当心中毒”等标志，管线及其四周应张贴“禁止损坏”等标志。</w:t>
      </w:r>
    </w:p>
    <w:p w14:paraId="2D902D7E">
      <w:pPr>
        <w:pStyle w:val="164"/>
      </w:pPr>
      <w:r>
        <w:rPr>
          <w:rFonts w:hint="eastAsia"/>
        </w:rPr>
        <w:t>使用单位发生醇基液体燃料泄漏时，应采取以下应急处置措施：</w:t>
      </w:r>
    </w:p>
    <w:p w14:paraId="5CDE7980">
      <w:pPr>
        <w:pStyle w:val="176"/>
        <w:numPr>
          <w:ilvl w:val="0"/>
          <w:numId w:val="36"/>
        </w:numPr>
      </w:pPr>
      <w:r>
        <w:rPr>
          <w:rFonts w:hint="eastAsia"/>
        </w:rPr>
        <w:t>醇基液体燃料发生泄漏时，应当立即关闭储存容器、管道阀门，同时从侧风、上风向疏散使用场所内及相关建构筑物内所有人员至安全区；</w:t>
      </w:r>
    </w:p>
    <w:p w14:paraId="0F78C4EF">
      <w:pPr>
        <w:pStyle w:val="176"/>
      </w:pPr>
      <w:r>
        <w:rPr>
          <w:rFonts w:hint="eastAsia"/>
        </w:rPr>
        <w:t>根据液体流动和蒸气扩散的影响区域划定警戒区，醇基液体燃料泄漏后禁止操作照明开关等任何电气设备，电话报警应在室外安全区域进行；</w:t>
      </w:r>
    </w:p>
    <w:p w14:paraId="5A5497F0">
      <w:pPr>
        <w:pStyle w:val="176"/>
      </w:pPr>
      <w:r>
        <w:rPr>
          <w:rFonts w:hint="eastAsia"/>
        </w:rPr>
        <w:t>醇基液体燃料发生少量泄漏时，用砂土或其他不燃材料吸收，使用洁净的无火花工具收集吸收材料。大量泄漏时，构筑围堤或挖坑收容，及时用防爆泵转移至槽车或专用收集器内。</w:t>
      </w:r>
    </w:p>
    <w:p w14:paraId="7652B228">
      <w:pPr>
        <w:pStyle w:val="164"/>
      </w:pPr>
      <w:r>
        <w:rPr>
          <w:rFonts w:hint="eastAsia"/>
        </w:rPr>
        <w:t>使用单位应配备砂土、二氧化碳或干粉灭火器等消防、应急救援器材，并定期维护保养。砂土配备不小于1m</w:t>
      </w:r>
      <w:r>
        <w:rPr>
          <w:rFonts w:hint="eastAsia"/>
          <w:vertAlign w:val="superscript"/>
        </w:rPr>
        <w:t>3</w:t>
      </w:r>
      <w:r>
        <w:rPr>
          <w:rFonts w:hint="eastAsia"/>
        </w:rPr>
        <w:t>，灭火器配置应符合《建筑灭火器配置设计规范》GB 50140的规定。</w:t>
      </w:r>
    </w:p>
    <w:p w14:paraId="603A510F">
      <w:pPr>
        <w:pStyle w:val="164"/>
      </w:pPr>
      <w:r>
        <w:rPr>
          <w:rFonts w:hint="eastAsia"/>
        </w:rPr>
        <w:t>使用单位应根据醇基液体燃料风险辨识和评估结果制定醇基液体燃料泄漏、中毒、火灾以及人员疏散等应急处置措施，并向本单位从业人员公布、培训，并定期组织从业人员进行应急演练。</w:t>
      </w:r>
    </w:p>
    <w:p w14:paraId="48A7426E">
      <w:pPr>
        <w:pStyle w:val="58"/>
        <w:ind w:firstLine="420"/>
      </w:pPr>
    </w:p>
    <w:p w14:paraId="211F506E">
      <w:pPr>
        <w:pStyle w:val="58"/>
        <w:ind w:firstLine="420"/>
      </w:pPr>
    </w:p>
    <w:p w14:paraId="76AE15A5">
      <w:pPr>
        <w:pStyle w:val="58"/>
        <w:ind w:firstLine="420"/>
      </w:pPr>
    </w:p>
    <w:p w14:paraId="24EF4AB3">
      <w:pPr>
        <w:pStyle w:val="58"/>
        <w:ind w:firstLine="420"/>
      </w:pPr>
    </w:p>
    <w:p w14:paraId="68FFC0BF">
      <w:pPr>
        <w:pStyle w:val="58"/>
        <w:ind w:firstLine="420"/>
      </w:pPr>
    </w:p>
    <w:p w14:paraId="3307E853">
      <w:pPr>
        <w:pStyle w:val="58"/>
        <w:ind w:firstLine="420"/>
      </w:pPr>
    </w:p>
    <w:p w14:paraId="58A6AC28">
      <w:pPr>
        <w:pStyle w:val="58"/>
        <w:ind w:firstLine="420"/>
      </w:pPr>
    </w:p>
    <w:p w14:paraId="3ECF0D41">
      <w:pPr>
        <w:pStyle w:val="58"/>
        <w:ind w:firstLine="420"/>
      </w:pPr>
    </w:p>
    <w:bookmarkEnd w:id="18"/>
    <w:p w14:paraId="006B4D4B">
      <w:pPr>
        <w:pStyle w:val="58"/>
        <w:ind w:firstLine="420"/>
        <w:sectPr>
          <w:pgSz w:w="11906" w:h="16838"/>
          <w:pgMar w:top="1417" w:right="1134" w:bottom="1134" w:left="1417" w:header="1418" w:footer="1134" w:gutter="284"/>
          <w:pgNumType w:start="1"/>
          <w:cols w:space="425" w:num="1"/>
          <w:formProt w:val="0"/>
          <w:docGrid w:type="lines" w:linePitch="312" w:charSpace="0"/>
        </w:sectPr>
      </w:pPr>
      <w:bookmarkStart w:id="41" w:name="BookMark6"/>
    </w:p>
    <w:p w14:paraId="3799248D">
      <w:pPr>
        <w:pStyle w:val="65"/>
        <w:spacing w:after="156"/>
      </w:pPr>
      <w:r>
        <w:rPr>
          <w:rFonts w:hint="eastAsia"/>
          <w:spacing w:val="105"/>
        </w:rPr>
        <w:t>参考文</w:t>
      </w:r>
      <w:r>
        <w:rPr>
          <w:rFonts w:hint="eastAsia"/>
        </w:rPr>
        <w:t>献</w:t>
      </w:r>
    </w:p>
    <w:p w14:paraId="11D29A89">
      <w:pPr>
        <w:pStyle w:val="58"/>
        <w:ind w:firstLine="420"/>
      </w:pPr>
      <w:r>
        <w:rPr>
          <w:rFonts w:hint="eastAsia"/>
        </w:rPr>
        <w:t>［1］GB/T 50493 石油化工可燃气体和有毒气体检测报警设计标准</w:t>
      </w:r>
    </w:p>
    <w:p w14:paraId="7B5210C6">
      <w:pPr>
        <w:pStyle w:val="58"/>
        <w:ind w:firstLine="420"/>
      </w:pPr>
      <w:r>
        <w:rPr>
          <w:rFonts w:hint="eastAsia"/>
        </w:rPr>
        <w:t>［2］GB/T 29639 生产经营单位生产安全事故应急预案编制导则</w:t>
      </w:r>
    </w:p>
    <w:p w14:paraId="5D43A34A">
      <w:pPr>
        <w:pStyle w:val="58"/>
        <w:ind w:firstLine="420"/>
      </w:pPr>
      <w:r>
        <w:rPr>
          <w:rFonts w:hint="eastAsia"/>
        </w:rPr>
        <w:t>［3］GB/T 38315 社会单位灭火和应急疏散预案编制及实施导则</w:t>
      </w:r>
    </w:p>
    <w:p w14:paraId="7D6D3368">
      <w:pPr>
        <w:pStyle w:val="58"/>
        <w:ind w:firstLine="420"/>
      </w:pPr>
      <w:r>
        <w:rPr>
          <w:rFonts w:hint="eastAsia"/>
        </w:rPr>
        <w:t>［4］T/CAREI 001 民用醇基液体燃料安全技术规范</w:t>
      </w:r>
    </w:p>
    <w:p w14:paraId="0E5AA8CC">
      <w:pPr>
        <w:pStyle w:val="58"/>
        <w:ind w:firstLine="420"/>
      </w:pPr>
      <w:r>
        <w:rPr>
          <w:rFonts w:hint="eastAsia"/>
        </w:rPr>
        <w:t>［5］SY∕T 6344 易燃和可燃液体防火规范</w:t>
      </w:r>
    </w:p>
    <w:p w14:paraId="0E948A28">
      <w:pPr>
        <w:pStyle w:val="58"/>
        <w:ind w:firstLine="420"/>
      </w:pPr>
      <w:r>
        <w:rPr>
          <w:rFonts w:hint="eastAsia"/>
        </w:rPr>
        <w:t>［6］GB 30871 危险化学品企业特殊作业安全规范</w:t>
      </w:r>
    </w:p>
    <w:p w14:paraId="789F1CEC">
      <w:pPr>
        <w:pStyle w:val="58"/>
        <w:ind w:firstLine="420"/>
      </w:pPr>
      <w:r>
        <w:rPr>
          <w:rFonts w:hint="eastAsia"/>
        </w:rPr>
        <w:t>［7］AQ 3010 加油站作业安全规范</w:t>
      </w:r>
      <w:bookmarkStart w:id="42" w:name="_GoBack"/>
      <w:bookmarkEnd w:id="42"/>
    </w:p>
    <w:p w14:paraId="174DF18F">
      <w:pPr>
        <w:pStyle w:val="58"/>
        <w:ind w:firstLine="420"/>
      </w:pPr>
      <w:r>
        <w:rPr>
          <w:rFonts w:hint="eastAsia"/>
        </w:rPr>
        <w:t xml:space="preserve">［8］GB/T 41884 车用甲醇燃料作业安全规范 </w:t>
      </w:r>
    </w:p>
    <w:p w14:paraId="78AB77C5">
      <w:pPr>
        <w:pStyle w:val="58"/>
        <w:ind w:firstLine="420"/>
      </w:pPr>
      <w:r>
        <w:rPr>
          <w:rFonts w:hint="eastAsia"/>
        </w:rPr>
        <w:t>［9］AQ 3010 加油站作业安全规范</w:t>
      </w:r>
    </w:p>
    <w:p w14:paraId="5F87061B">
      <w:pPr>
        <w:pStyle w:val="58"/>
        <w:ind w:firstLine="420"/>
      </w:pPr>
      <w:r>
        <w:rPr>
          <w:rFonts w:hint="eastAsia"/>
        </w:rPr>
        <w:t>［10］GB/T 3836.26 爆炸性环境第26部分：静电危害指南</w:t>
      </w:r>
    </w:p>
    <w:p w14:paraId="1412EE61">
      <w:pPr>
        <w:pStyle w:val="58"/>
        <w:ind w:firstLine="420"/>
      </w:pPr>
      <w:r>
        <w:rPr>
          <w:rFonts w:hint="eastAsia"/>
        </w:rPr>
        <w:t xml:space="preserve">［11］GB 50736 民用建筑供暖通风与空气调节设计规范 </w:t>
      </w:r>
    </w:p>
    <w:p w14:paraId="24BBC49C">
      <w:pPr>
        <w:pStyle w:val="58"/>
        <w:ind w:firstLine="420"/>
      </w:pPr>
      <w:r>
        <w:rPr>
          <w:rFonts w:hint="eastAsia"/>
        </w:rPr>
        <w:t>［12］GB 12955 防火门国家标准</w:t>
      </w:r>
    </w:p>
    <w:p w14:paraId="5999D753">
      <w:pPr>
        <w:pStyle w:val="58"/>
        <w:ind w:firstLine="420"/>
      </w:pPr>
      <w:r>
        <w:rPr>
          <w:rFonts w:hint="eastAsia"/>
        </w:rPr>
        <w:t>［13］GB 16410 家用燃气灶具</w:t>
      </w:r>
    </w:p>
    <w:p w14:paraId="5041C6CC">
      <w:pPr>
        <w:pStyle w:val="58"/>
        <w:ind w:firstLine="420"/>
      </w:pPr>
      <w:r>
        <w:rPr>
          <w:rFonts w:hint="eastAsia"/>
        </w:rPr>
        <w:t>［14］GB 17905 家用燃气燃烧器具安全管理规则</w:t>
      </w:r>
    </w:p>
    <w:p w14:paraId="382C9B18">
      <w:pPr>
        <w:pStyle w:val="58"/>
        <w:ind w:firstLine="420"/>
      </w:pPr>
      <w:r>
        <w:rPr>
          <w:rFonts w:hint="eastAsia"/>
        </w:rPr>
        <w:t>［15］GB50156 汽车加油加气加氢站技术标准</w:t>
      </w:r>
    </w:p>
    <w:p w14:paraId="172F12BE">
      <w:pPr>
        <w:pStyle w:val="58"/>
        <w:ind w:firstLine="420"/>
      </w:pPr>
      <w:r>
        <w:rPr>
          <w:rFonts w:hint="eastAsia"/>
        </w:rPr>
        <w:t>［16］SH 3012 石油化工金属管道布置设计规范</w:t>
      </w:r>
    </w:p>
    <w:p w14:paraId="7334AB1E">
      <w:pPr>
        <w:pStyle w:val="58"/>
        <w:ind w:firstLine="420"/>
      </w:pPr>
      <w:r>
        <w:rPr>
          <w:rFonts w:hint="eastAsia"/>
        </w:rPr>
        <w:t>［17］GB 50015 建筑给水排水设计规范</w:t>
      </w:r>
    </w:p>
    <w:p w14:paraId="355AF996">
      <w:pPr>
        <w:pStyle w:val="58"/>
        <w:ind w:firstLine="420"/>
      </w:pPr>
      <w:r>
        <w:rPr>
          <w:rFonts w:hint="eastAsia"/>
        </w:rPr>
        <w:t>［18］市场监管总局关于发布餐饮服务食品安全操作规范的公告（国家市场监督管理总局公告2018年第12号）</w:t>
      </w:r>
    </w:p>
    <w:p w14:paraId="44B6D33F">
      <w:pPr>
        <w:pStyle w:val="58"/>
        <w:ind w:firstLine="420"/>
      </w:pPr>
      <w:r>
        <w:rPr>
          <w:rFonts w:hint="eastAsia"/>
        </w:rPr>
        <w:t>［19］《危险化学品安全管理条例（2013年修订）》国务院令[2011]第591号（根据2013年12月7日《国务院关于修改部分行政法规的决定》修订）</w:t>
      </w:r>
    </w:p>
    <w:p w14:paraId="44D7E426">
      <w:pPr>
        <w:pStyle w:val="58"/>
        <w:ind w:firstLine="420"/>
      </w:pPr>
      <w:r>
        <w:rPr>
          <w:rFonts w:hint="eastAsia"/>
        </w:rPr>
        <w:t>［20］《餐饮用醇基液体燃料使用安全规范（试行）》（宁夏回族自治区应急管理厅）</w:t>
      </w:r>
    </w:p>
    <w:p w14:paraId="50F0C0AC">
      <w:pPr>
        <w:pStyle w:val="58"/>
        <w:ind w:firstLine="420"/>
      </w:pPr>
    </w:p>
    <w:bookmarkEnd w:id="41"/>
    <w:p w14:paraId="5A1B410D">
      <w:pPr>
        <w:pStyle w:val="58"/>
        <w:ind w:firstLine="420"/>
      </w:pPr>
    </w:p>
    <w:sectPr>
      <w:pgSz w:w="11906" w:h="16838"/>
      <w:pgMar w:top="1417" w:right="1134" w:bottom="1134" w:left="1417"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RomanT">
    <w:panose1 w:val="00000400000000000000"/>
    <w:charset w:val="00"/>
    <w:family w:val="auto"/>
    <w:pitch w:val="default"/>
    <w:sig w:usb0="00000207" w:usb1="00000000" w:usb2="00000000" w:usb3="00000000" w:csb0="000001FF" w:csb1="00000000"/>
  </w:font>
  <w:font w:name="Proxy 9">
    <w:panose1 w:val="00000400000000000000"/>
    <w:charset w:val="00"/>
    <w:family w:val="auto"/>
    <w:pitch w:val="default"/>
    <w:sig w:usb0="80000023"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AAD37">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23B68">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F3833">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5D209">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8EAE0">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4F015">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9AD65">
    <w:pPr>
      <w:pStyle w:val="63"/>
    </w:pPr>
    <w:r>
      <w:fldChar w:fldCharType="begin"/>
    </w:r>
    <w:r>
      <w:instrText xml:space="preserve"> STYLEREF  标准文件_文件编号  \* MERGEFORMAT </w:instrText>
    </w:r>
    <w:r>
      <w:fldChar w:fldCharType="separate"/>
    </w:r>
    <w:r>
      <w:t xml:space="preserve">DB XX/T XXXX—XXXX  </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C47BE">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 xml:space="preserve">DB XX/T XXXX—XXXX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hAnsi="等线" w:eastAsia="黑体"/>
        <w:b w:val="0"/>
        <w:i w:val="0"/>
        <w:sz w:val="21"/>
      </w:rPr>
    </w:lvl>
    <w:lvl w:ilvl="2" w:tentative="0">
      <w:start w:val="1"/>
      <w:numFmt w:val="decimal"/>
      <w:pStyle w:val="203"/>
      <w:suff w:val="nothing"/>
      <w:lvlText w:val="%10.%2.%3 "/>
      <w:lvlJc w:val="left"/>
      <w:pPr>
        <w:ind w:left="0" w:firstLine="0"/>
      </w:pPr>
      <w:rPr>
        <w:rFonts w:hint="eastAsia" w:ascii="黑体" w:hAnsi="等线" w:eastAsia="黑体"/>
        <w:b w:val="0"/>
        <w:i w:val="0"/>
        <w:sz w:val="21"/>
      </w:rPr>
    </w:lvl>
    <w:lvl w:ilvl="3" w:tentative="0">
      <w:start w:val="1"/>
      <w:numFmt w:val="decimal"/>
      <w:pStyle w:val="204"/>
      <w:suff w:val="nothing"/>
      <w:lvlText w:val="%10.%2.%3.%4 "/>
      <w:lvlJc w:val="left"/>
      <w:pPr>
        <w:ind w:left="0" w:firstLine="0"/>
      </w:pPr>
      <w:rPr>
        <w:rFonts w:hint="eastAsia" w:ascii="黑体" w:hAnsi="等线" w:eastAsia="黑体"/>
        <w:b w:val="0"/>
        <w:i w:val="0"/>
        <w:sz w:val="21"/>
      </w:rPr>
    </w:lvl>
    <w:lvl w:ilvl="4" w:tentative="0">
      <w:start w:val="1"/>
      <w:numFmt w:val="decimal"/>
      <w:pStyle w:val="205"/>
      <w:suff w:val="nothing"/>
      <w:lvlText w:val="%10.%2.%3.%4.%5 "/>
      <w:lvlJc w:val="left"/>
      <w:pPr>
        <w:ind w:left="0" w:firstLine="0"/>
      </w:pPr>
      <w:rPr>
        <w:rFonts w:hint="eastAsia" w:ascii="黑体" w:hAnsi="等线" w:eastAsia="黑体"/>
        <w:b w:val="0"/>
        <w:i w:val="0"/>
        <w:sz w:val="21"/>
      </w:rPr>
    </w:lvl>
    <w:lvl w:ilvl="5" w:tentative="0">
      <w:start w:val="1"/>
      <w:numFmt w:val="decimal"/>
      <w:pStyle w:val="206"/>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99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revisionView w:markup="0"/>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5YzIyZDAzYzMyZjhkNjJkNjc4MmU1ZGY4YWJkMDUifQ=="/>
  </w:docVars>
  <w:rsids>
    <w:rsidRoot w:val="007B6DE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31E"/>
    <w:rsid w:val="00060C2E"/>
    <w:rsid w:val="00061033"/>
    <w:rsid w:val="000619E9"/>
    <w:rsid w:val="000622D4"/>
    <w:rsid w:val="0006357D"/>
    <w:rsid w:val="000658DE"/>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3C4"/>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C31"/>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3F4"/>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27B"/>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D31"/>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02A"/>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5D7"/>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68A"/>
    <w:rsid w:val="00405884"/>
    <w:rsid w:val="00407D39"/>
    <w:rsid w:val="0041477A"/>
    <w:rsid w:val="004167A3"/>
    <w:rsid w:val="00431A3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04"/>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4933"/>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CF8"/>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73B"/>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6DE9"/>
    <w:rsid w:val="007B7453"/>
    <w:rsid w:val="007C1E8B"/>
    <w:rsid w:val="007C2D89"/>
    <w:rsid w:val="007C4593"/>
    <w:rsid w:val="007C5309"/>
    <w:rsid w:val="007C6069"/>
    <w:rsid w:val="007D06C4"/>
    <w:rsid w:val="007D1352"/>
    <w:rsid w:val="007D2508"/>
    <w:rsid w:val="007D346A"/>
    <w:rsid w:val="007D53B9"/>
    <w:rsid w:val="007D6518"/>
    <w:rsid w:val="007D76BD"/>
    <w:rsid w:val="007E0BF1"/>
    <w:rsid w:val="007E7A3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6B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5FA"/>
    <w:rsid w:val="008E0C9D"/>
    <w:rsid w:val="008E1648"/>
    <w:rsid w:val="008E1B3E"/>
    <w:rsid w:val="008E2319"/>
    <w:rsid w:val="008E4BB6"/>
    <w:rsid w:val="008E5518"/>
    <w:rsid w:val="008E6A84"/>
    <w:rsid w:val="008E7C50"/>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3F2"/>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1808"/>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F42"/>
    <w:rsid w:val="00A55BD6"/>
    <w:rsid w:val="00A55D50"/>
    <w:rsid w:val="00A57142"/>
    <w:rsid w:val="00A648CD"/>
    <w:rsid w:val="00A6537A"/>
    <w:rsid w:val="00A67866"/>
    <w:rsid w:val="00A70B07"/>
    <w:rsid w:val="00A71129"/>
    <w:rsid w:val="00A723F8"/>
    <w:rsid w:val="00A77CCB"/>
    <w:rsid w:val="00A83D8D"/>
    <w:rsid w:val="00A8446B"/>
    <w:rsid w:val="00A8473F"/>
    <w:rsid w:val="00A862D6"/>
    <w:rsid w:val="00A8715E"/>
    <w:rsid w:val="00A9295B"/>
    <w:rsid w:val="00A93B09"/>
    <w:rsid w:val="00A94247"/>
    <w:rsid w:val="00A944D0"/>
    <w:rsid w:val="00A952D7"/>
    <w:rsid w:val="00A963F7"/>
    <w:rsid w:val="00A96AD8"/>
    <w:rsid w:val="00AA052C"/>
    <w:rsid w:val="00AA1E45"/>
    <w:rsid w:val="00AA4286"/>
    <w:rsid w:val="00AA456B"/>
    <w:rsid w:val="00AA57F5"/>
    <w:rsid w:val="00AA672E"/>
    <w:rsid w:val="00AA6EC9"/>
    <w:rsid w:val="00AB41D5"/>
    <w:rsid w:val="00AB6309"/>
    <w:rsid w:val="00AB6C5F"/>
    <w:rsid w:val="00AB702E"/>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134E"/>
    <w:rsid w:val="00B049AF"/>
    <w:rsid w:val="00B07242"/>
    <w:rsid w:val="00B10534"/>
    <w:rsid w:val="00B113DB"/>
    <w:rsid w:val="00B11D8A"/>
    <w:rsid w:val="00B12981"/>
    <w:rsid w:val="00B147DD"/>
    <w:rsid w:val="00B156FD"/>
    <w:rsid w:val="00B21F61"/>
    <w:rsid w:val="00B261F1"/>
    <w:rsid w:val="00B265BC"/>
    <w:rsid w:val="00B3187D"/>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55C"/>
    <w:rsid w:val="00D352A2"/>
    <w:rsid w:val="00D3660F"/>
    <w:rsid w:val="00D4162B"/>
    <w:rsid w:val="00D4514F"/>
    <w:rsid w:val="00D451E2"/>
    <w:rsid w:val="00D45E89"/>
    <w:rsid w:val="00D45E8D"/>
    <w:rsid w:val="00D466AE"/>
    <w:rsid w:val="00D4734F"/>
    <w:rsid w:val="00D51BF3"/>
    <w:rsid w:val="00D5600C"/>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4D2D"/>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2D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A3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D94D16"/>
    <w:rsid w:val="2D6D53CD"/>
    <w:rsid w:val="59F29A7D"/>
    <w:rsid w:val="5FDF4359"/>
    <w:rsid w:val="61542DB8"/>
    <w:rsid w:val="7DE4AEFC"/>
    <w:rsid w:val="DFDED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4">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paragraph" w:styleId="7">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200" w:leftChars="200" w:firstLine="420" w:firstLineChars="200"/>
    </w:pPr>
    <w:rPr>
      <w:rFonts w:ascii="Times New Roman"/>
    </w:rPr>
  </w:style>
  <w:style w:type="paragraph" w:styleId="3">
    <w:name w:val="Body Text Indent"/>
    <w:basedOn w:val="1"/>
    <w:qFormat/>
    <w:uiPriority w:val="0"/>
    <w:pPr>
      <w:ind w:firstLine="540" w:firstLineChars="180"/>
    </w:pPr>
    <w:rPr>
      <w:sz w:val="30"/>
    </w:r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88"/>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4"/>
    <w:qFormat/>
    <w:uiPriority w:val="0"/>
    <w:rPr>
      <w:b/>
      <w:bCs/>
      <w:kern w:val="44"/>
      <w:sz w:val="44"/>
      <w:szCs w:val="44"/>
    </w:rPr>
  </w:style>
  <w:style w:type="character" w:customStyle="1" w:styleId="37">
    <w:name w:val="标题 2 字符"/>
    <w:link w:val="5"/>
    <w:qFormat/>
    <w:uiPriority w:val="0"/>
    <w:rPr>
      <w:rFonts w:ascii="Arial" w:hAnsi="Arial" w:eastAsia="黑体"/>
      <w:b/>
      <w:bCs/>
      <w:kern w:val="2"/>
      <w:sz w:val="32"/>
      <w:szCs w:val="32"/>
    </w:rPr>
  </w:style>
  <w:style w:type="character" w:customStyle="1" w:styleId="38">
    <w:name w:val="标题 3 字符"/>
    <w:link w:val="6"/>
    <w:qFormat/>
    <w:uiPriority w:val="0"/>
    <w:rPr>
      <w:b/>
      <w:bCs/>
      <w:kern w:val="2"/>
      <w:sz w:val="32"/>
      <w:szCs w:val="32"/>
    </w:rPr>
  </w:style>
  <w:style w:type="character" w:customStyle="1" w:styleId="39">
    <w:name w:val="标题 4 字符"/>
    <w:link w:val="7"/>
    <w:qFormat/>
    <w:uiPriority w:val="0"/>
    <w:rPr>
      <w:rFonts w:ascii="Arial" w:hAnsi="Arial" w:eastAsia="黑体"/>
      <w:b/>
      <w:bCs/>
      <w:kern w:val="2"/>
      <w:sz w:val="28"/>
      <w:szCs w:val="28"/>
    </w:rPr>
  </w:style>
  <w:style w:type="character" w:customStyle="1" w:styleId="40">
    <w:name w:val="标题 5 字符"/>
    <w:link w:val="8"/>
    <w:qFormat/>
    <w:uiPriority w:val="0"/>
    <w:rPr>
      <w:b/>
      <w:bCs/>
      <w:kern w:val="2"/>
      <w:sz w:val="28"/>
      <w:szCs w:val="28"/>
    </w:rPr>
  </w:style>
  <w:style w:type="character" w:customStyle="1" w:styleId="41">
    <w:name w:val="标题 6 字符"/>
    <w:link w:val="9"/>
    <w:qFormat/>
    <w:uiPriority w:val="0"/>
    <w:rPr>
      <w:rFonts w:ascii="Arial" w:hAnsi="Arial" w:eastAsia="黑体"/>
      <w:b/>
      <w:bCs/>
      <w:kern w:val="2"/>
      <w:sz w:val="24"/>
      <w:szCs w:val="24"/>
    </w:rPr>
  </w:style>
  <w:style w:type="character" w:customStyle="1" w:styleId="42">
    <w:name w:val="标题 7 字符"/>
    <w:link w:val="10"/>
    <w:qFormat/>
    <w:uiPriority w:val="0"/>
    <w:rPr>
      <w:b/>
      <w:bCs/>
      <w:kern w:val="2"/>
      <w:sz w:val="24"/>
      <w:szCs w:val="24"/>
    </w:rPr>
  </w:style>
  <w:style w:type="character" w:customStyle="1" w:styleId="43">
    <w:name w:val="标题 8 字符"/>
    <w:link w:val="11"/>
    <w:qFormat/>
    <w:uiPriority w:val="0"/>
    <w:rPr>
      <w:rFonts w:ascii="Arial" w:hAnsi="Arial" w:eastAsia="黑体"/>
      <w:kern w:val="2"/>
      <w:sz w:val="24"/>
      <w:szCs w:val="24"/>
    </w:rPr>
  </w:style>
  <w:style w:type="character" w:customStyle="1" w:styleId="44">
    <w:name w:val="标题 9 字符"/>
    <w:link w:val="12"/>
    <w:qFormat/>
    <w:uiPriority w:val="0"/>
    <w:rPr>
      <w:rFonts w:ascii="Arial" w:hAnsi="Arial" w:eastAsia="黑体"/>
      <w:kern w:val="2"/>
      <w:sz w:val="21"/>
      <w:szCs w:val="21"/>
    </w:rPr>
  </w:style>
  <w:style w:type="character" w:customStyle="1" w:styleId="45">
    <w:name w:val="页眉 字符"/>
    <w:link w:val="20"/>
    <w:qFormat/>
    <w:uiPriority w:val="99"/>
    <w:rPr>
      <w:kern w:val="2"/>
      <w:sz w:val="18"/>
      <w:szCs w:val="18"/>
    </w:rPr>
  </w:style>
  <w:style w:type="character" w:customStyle="1" w:styleId="46">
    <w:name w:val="页脚 字符"/>
    <w:link w:val="19"/>
    <w:qFormat/>
    <w:uiPriority w:val="99"/>
    <w:rPr>
      <w:rFonts w:ascii="宋体"/>
      <w:kern w:val="2"/>
      <w:sz w:val="18"/>
      <w:szCs w:val="18"/>
    </w:rPr>
  </w:style>
  <w:style w:type="character" w:customStyle="1" w:styleId="47">
    <w:name w:val="批注框文本 字符"/>
    <w:link w:val="18"/>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5"/>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8</Pages>
  <Words>5112</Words>
  <Characters>5549</Characters>
  <Lines>43</Lines>
  <Paragraphs>12</Paragraphs>
  <TotalTime>39</TotalTime>
  <ScaleCrop>false</ScaleCrop>
  <LinksUpToDate>false</LinksUpToDate>
  <CharactersWithSpaces>5665</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2024-09-27T02:39:00Z</dcterms:created>
  <dc:creator>xbany</dc:creator>
  <dc:description>&lt;config cover="true" show_menu="true" version="1.0.0" doctype="SDKXY"&gt;_x000d_
&lt;/config&gt;</dc:description>
  <cp:lastModifiedBy>Administrator</cp:lastModifiedBy>
  <cp:lastPrinted>2020-08-31T10:00:00Z</cp:lastPrinted>
  <dcterms:modified xsi:type="dcterms:W3CDTF">2024-09-27T03:47:52Z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2052-12.1.0.18240</vt:lpwstr>
  </property>
  <property fmtid="{D5CDD505-2E9C-101B-9397-08002B2CF9AE}" pid="15" name="ICV">
    <vt:lpwstr>0368DA81E2894D6F9386B7B495C418DC_13</vt:lpwstr>
  </property>
</Properties>
</file>