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e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6"/>
        <w:framePr/>
        <w:rPr>
          <w:rFonts w:hAnsi="黑体"/>
        </w:rPr>
      </w:pPr>
      <w:r>
        <w:rPr>
          <w:rFonts w:hAnsi="黑体"/>
        </w:rPr>
        <w:t>ICS </w:t>
      </w:r>
      <w:r>
        <w:rPr>
          <w:rFonts w:hAnsi="黑体"/>
        </w:rPr>
        <w:fldChar w:fldCharType="begin">
          <w:ffData>
            <w:name w:val="ICS"/>
            <w:enabled/>
            <w:calcOnExit w:val="0"/>
            <w:helpText w:type="text" w:val="请输入正确的ICS号："/>
            <w:textInput>
              <w:default w:val="点击此处添加ICS号"/>
            </w:textInput>
          </w:ffData>
        </w:fldChar>
      </w:r>
      <w:bookmarkStart w:id="0" w:name="ICS"/>
      <w:r>
        <w:rPr>
          <w:rFonts w:hAnsi="黑体"/>
        </w:rPr>
        <w:instrText xml:space="preserve"> FORMTEXT </w:instrText>
      </w:r>
      <w:r>
        <w:rPr>
          <w:rFonts w:hAnsi="黑体"/>
        </w:rPr>
        <w:fldChar w:fldCharType="separate"/>
      </w:r>
      <w:r>
        <w:rPr>
          <w:rFonts w:hint="eastAsia" w:hAnsi="黑体"/>
        </w:rPr>
        <w:t>点击此处添加ICS号</w:t>
      </w:r>
      <w:r>
        <w:rPr>
          <w:rFonts w:hAnsi="黑体"/>
        </w:rPr>
        <w:fldChar w:fldCharType="end"/>
      </w:r>
      <w:bookmarkEnd w:id="0"/>
    </w:p>
    <w:p>
      <w:pPr>
        <w:pStyle w:val="126"/>
        <w:framePr/>
        <w:rPr>
          <w:rFonts w:hAnsi="黑体"/>
        </w:rPr>
      </w:pPr>
      <w:bookmarkStart w:id="1" w:name="WXFLH"/>
      <w:r>
        <w:rPr>
          <w:rFonts w:hAnsi="黑体"/>
        </w:rPr>
        <w:fldChar w:fldCharType="begin">
          <w:ffData>
            <w:name w:val="WXFLH"/>
            <w:enabled/>
            <w:calcOnExit w:val="0"/>
            <w:helpText w:type="text" w:val="请输入中国标准文献分类号："/>
            <w:textInput>
              <w:default w:val="CCS"/>
            </w:textInput>
          </w:ffData>
        </w:fldChar>
      </w:r>
      <w:r>
        <w:rPr>
          <w:rFonts w:hAnsi="黑体"/>
        </w:rPr>
        <w:instrText xml:space="preserve"> FORMTEXT </w:instrText>
      </w:r>
      <w:r>
        <w:rPr>
          <w:rFonts w:hAnsi="黑体"/>
        </w:rPr>
        <w:fldChar w:fldCharType="separate"/>
      </w:r>
      <w:r>
        <w:rPr>
          <w:rFonts w:hAnsi="黑体"/>
        </w:rPr>
        <w:t>CCS</w:t>
      </w:r>
      <w:r>
        <w:rPr>
          <w:rFonts w:hAnsi="黑体"/>
        </w:rPr>
        <w:fldChar w:fldCharType="end"/>
      </w:r>
      <w:bookmarkEnd w:id="1"/>
      <w:r>
        <w:rPr>
          <w:rFonts w:hint="eastAsia" w:hAnsi="黑体"/>
        </w:rPr>
        <w:t xml:space="preserve">  </w:t>
      </w:r>
    </w:p>
    <w:tbl>
      <w:tblPr>
        <w:tblStyle w:val="35"/>
        <w:tblW w:w="9571"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57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71" w:type="dxa"/>
            <w:tcBorders>
              <w:top w:val="nil"/>
              <w:left w:val="nil"/>
              <w:bottom w:val="nil"/>
              <w:right w:val="nil"/>
            </w:tcBorders>
            <w:shd w:val="clear" w:color="auto" w:fill="auto"/>
          </w:tcPr>
          <w:p>
            <w:pPr>
              <w:pStyle w:val="126"/>
              <w:framePr/>
              <w:rPr>
                <w:rFonts w:hAnsi="黑体"/>
                <w:kern w:val="2"/>
              </w:rPr>
            </w:pPr>
            <w:r>
              <w:rPr>
                <w:rFonts w:hint="eastAsia" w:hAnsi="黑体"/>
                <w:kern w:val="2"/>
              </w:rPr>
              <w:fldChar w:fldCharType="begin">
                <w:ffData>
                  <w:name w:val="BAH"/>
                  <w:enabled/>
                  <w:calcOnExit w:val="0"/>
                  <w:textInput/>
                </w:ffData>
              </w:fldChar>
            </w:r>
            <w:bookmarkStart w:id="2" w:name="BAH"/>
            <w:r>
              <w:rPr>
                <w:rFonts w:hint="eastAsia" w:hAnsi="黑体"/>
                <w:kern w:val="2"/>
              </w:rPr>
              <w:instrText xml:space="preserve"> FORMTEXT </w:instrText>
            </w:r>
            <w:r>
              <w:rPr>
                <w:rFonts w:hint="eastAsia" w:hAnsi="黑体"/>
                <w:kern w:val="2"/>
              </w:rPr>
              <w:fldChar w:fldCharType="separate"/>
            </w:r>
            <w:r>
              <w:rPr>
                <w:rFonts w:hint="eastAsia" w:hAnsi="黑体"/>
                <w:kern w:val="2"/>
              </w:rPr>
              <w:t>     </w:t>
            </w:r>
            <w:r>
              <w:rPr>
                <w:rFonts w:hint="eastAsia" w:hAnsi="黑体"/>
                <w:kern w:val="2"/>
              </w:rPr>
              <w:fldChar w:fldCharType="end"/>
            </w:r>
            <w:bookmarkEnd w:id="2"/>
          </w:p>
        </w:tc>
      </w:tr>
    </w:tbl>
    <w:p>
      <w:pPr>
        <w:pStyle w:val="112"/>
        <w:framePr/>
      </w:pPr>
      <w:r>
        <w:t>D</w:t>
      </w:r>
      <w:r>
        <w:rPr>
          <w:spacing w:val="100"/>
        </w:rPr>
        <w:t>B</w:t>
      </w:r>
      <w:r>
        <w:fldChar w:fldCharType="begin">
          <w:ffData>
            <w:name w:val="c3"/>
            <w:enabled/>
            <w:calcOnExit w:val="0"/>
            <w:entryMacro w:val="ShowHelp16"/>
            <w:textInput/>
          </w:ffData>
        </w:fldChar>
      </w:r>
      <w:bookmarkStart w:id="3" w:name="c3"/>
      <w:r>
        <w:instrText xml:space="preserve"> FORMTEXT </w:instrText>
      </w:r>
      <w:r>
        <w:fldChar w:fldCharType="separate"/>
      </w:r>
      <w:r>
        <w:t>11</w:t>
      </w:r>
      <w:r>
        <w:fldChar w:fldCharType="end"/>
      </w:r>
      <w:bookmarkEnd w:id="3"/>
    </w:p>
    <w:p>
      <w:pPr>
        <w:pStyle w:val="113"/>
        <w:framePr/>
      </w:pPr>
      <w:r>
        <w:fldChar w:fldCharType="begin">
          <w:ffData>
            <w:name w:val="c4"/>
            <w:enabled/>
            <w:calcOnExit w:val="0"/>
            <w:entryMacro w:val="showhelp12"/>
            <w:textInput/>
          </w:ffData>
        </w:fldChar>
      </w:r>
      <w:bookmarkStart w:id="4" w:name="c4"/>
      <w:r>
        <w:instrText xml:space="preserve"> FORMTEXT </w:instrText>
      </w:r>
      <w:r>
        <w:fldChar w:fldCharType="separate"/>
      </w:r>
      <w:r>
        <w:rPr>
          <w:rFonts w:hint="eastAsia"/>
        </w:rPr>
        <w:t>北京市</w:t>
      </w:r>
      <w:r>
        <w:fldChar w:fldCharType="end"/>
      </w:r>
      <w:bookmarkEnd w:id="4"/>
      <w:r>
        <w:t>地方标准</w:t>
      </w:r>
    </w:p>
    <w:p>
      <w:pPr>
        <w:pStyle w:val="50"/>
        <w:framePr/>
        <w:rPr>
          <w:rFonts w:hAnsi="黑体"/>
        </w:rPr>
      </w:pPr>
      <w:r>
        <w:rPr>
          <w:rFonts w:hAnsi="黑体"/>
        </w:rPr>
        <w:t xml:space="preserve">DB11/T </w:t>
      </w:r>
      <w:r>
        <w:rPr>
          <w:rFonts w:hAnsi="黑体"/>
        </w:rPr>
        <w:fldChar w:fldCharType="begin">
          <w:ffData>
            <w:name w:val="StdNo1"/>
            <w:enabled/>
            <w:calcOnExit w:val="0"/>
            <w:textInput>
              <w:default w:val="××××"/>
            </w:textInput>
          </w:ffData>
        </w:fldChar>
      </w:r>
      <w:bookmarkStart w:id="5" w:name="StdNo1"/>
      <w:r>
        <w:rPr>
          <w:rFonts w:hAnsi="黑体"/>
        </w:rPr>
        <w:instrText xml:space="preserve"> FORMTEXT </w:instrText>
      </w:r>
      <w:r>
        <w:rPr>
          <w:rFonts w:hAnsi="黑体"/>
        </w:rPr>
        <w:fldChar w:fldCharType="separate"/>
      </w:r>
      <w:r>
        <w:rPr>
          <w:rFonts w:hAnsi="黑体"/>
        </w:rPr>
        <w:t>××××</w:t>
      </w:r>
      <w:r>
        <w:rPr>
          <w:rFonts w:hAnsi="黑体"/>
        </w:rPr>
        <w:fldChar w:fldCharType="end"/>
      </w:r>
      <w:bookmarkEnd w:id="5"/>
      <w:r>
        <w:rPr>
          <w:rFonts w:hAnsi="黑体"/>
        </w:rPr>
        <w:t>—</w:t>
      </w:r>
      <w:r>
        <w:rPr>
          <w:rFonts w:hAnsi="黑体"/>
        </w:rPr>
        <w:fldChar w:fldCharType="begin">
          <w:ffData>
            <w:name w:val="StdNo2"/>
            <w:enabled/>
            <w:calcOnExit w:val="0"/>
            <w:textInput>
              <w:default w:val="202×"/>
              <w:maxLength w:val="4"/>
            </w:textInput>
          </w:ffData>
        </w:fldChar>
      </w:r>
      <w:bookmarkStart w:id="6" w:name="StdNo2"/>
      <w:r>
        <w:rPr>
          <w:rFonts w:hAnsi="黑体"/>
        </w:rPr>
        <w:instrText xml:space="preserve"> FORMTEXT </w:instrText>
      </w:r>
      <w:r>
        <w:rPr>
          <w:rFonts w:hAnsi="黑体"/>
        </w:rPr>
        <w:fldChar w:fldCharType="separate"/>
      </w:r>
      <w:r>
        <w:rPr>
          <w:rFonts w:hAnsi="黑体"/>
        </w:rPr>
        <w:t>202×</w:t>
      </w:r>
      <w:r>
        <w:rPr>
          <w:rFonts w:hAnsi="黑体"/>
        </w:rPr>
        <w:fldChar w:fldCharType="end"/>
      </w:r>
      <w:bookmarkEnd w:id="6"/>
    </w:p>
    <w:tbl>
      <w:tblPr>
        <w:tblStyle w:val="35"/>
        <w:tblW w:w="3168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130"/>
        <w:gridCol w:w="4290"/>
        <w:gridCol w:w="9130"/>
        <w:gridCol w:w="913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130" w:type="dxa"/>
            <w:tcBorders>
              <w:top w:val="nil"/>
              <w:left w:val="nil"/>
              <w:bottom w:val="nil"/>
              <w:right w:val="nil"/>
            </w:tcBorders>
            <w:shd w:val="clear" w:color="auto" w:fill="auto"/>
          </w:tcPr>
          <w:p>
            <w:pPr>
              <w:pStyle w:val="79"/>
              <w:framePr/>
              <w:rPr>
                <w:rFonts w:ascii="黑体" w:hAnsi="黑体" w:eastAsia="黑体"/>
                <w:kern w:val="2"/>
              </w:rPr>
            </w:pPr>
            <w:r>
              <w:rPr>
                <w:rFonts w:hint="eastAsia" w:ascii="黑体" w:hAnsi="黑体" w:eastAsia="黑体"/>
                <w:kern w:val="2"/>
              </w:rPr>
              <mc:AlternateContent>
                <mc:Choice Requires="wps">
                  <w:drawing>
                    <wp:anchor distT="0" distB="0" distL="114300" distR="114300" simplePos="0" relativeHeight="251666432" behindDoc="1" locked="0" layoutInCell="1" allowOverlap="1">
                      <wp:simplePos x="0" y="0"/>
                      <wp:positionH relativeFrom="column">
                        <wp:posOffset>4665980</wp:posOffset>
                      </wp:positionH>
                      <wp:positionV relativeFrom="paragraph">
                        <wp:posOffset>34290</wp:posOffset>
                      </wp:positionV>
                      <wp:extent cx="1143000" cy="228600"/>
                      <wp:effectExtent l="0" t="0" r="0" b="0"/>
                      <wp:wrapNone/>
                      <wp:docPr id="6" name="DT"/>
                      <wp:cNvGraphicFramePr/>
                      <a:graphic xmlns:a="http://schemas.openxmlformats.org/drawingml/2006/main">
                        <a:graphicData uri="http://schemas.microsoft.com/office/word/2010/wordprocessingShape">
                          <wps:wsp>
                            <wps:cNvSpPr/>
                            <wps:spPr>
                              <a:xfrm>
                                <a:off x="0" y="0"/>
                                <a:ext cx="1143000" cy="228600"/>
                              </a:xfrm>
                              <a:prstGeom prst="rect">
                                <a:avLst/>
                              </a:prstGeom>
                              <a:solidFill>
                                <a:srgbClr val="FFFFFF"/>
                              </a:solidFill>
                              <a:ln w="25400">
                                <a:noFill/>
                              </a:ln>
                            </wps:spPr>
                            <wps:bodyPr anchor="ctr" upright="true"/>
                          </wps:wsp>
                        </a:graphicData>
                      </a:graphic>
                    </wp:anchor>
                  </w:drawing>
                </mc:Choice>
                <mc:Fallback>
                  <w:pict>
                    <v:rect id="DT" o:spid="_x0000_s1026" o:spt="1" style="position:absolute;left:0pt;margin-left:367.4pt;margin-top:2.7pt;height:18pt;width:90pt;z-index:-251650048;v-text-anchor:middle;mso-width-relative:page;mso-height-relative:page;" fillcolor="#FFFFFF" filled="t" stroked="f" coordsize="21600,21600" o:gfxdata="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">
                      <v:fill on="t" focussize="0,0"/>
                      <v:stroke on="f" weight="2pt"/>
                      <v:imagedata o:title=""/>
                      <o:lock v:ext="edit" aspectratio="f"/>
                    </v:rect>
                  </w:pict>
                </mc:Fallback>
              </mc:AlternateContent>
            </w:r>
            <w:r>
              <w:rPr>
                <w:rFonts w:hint="eastAsia" w:ascii="黑体" w:hAnsi="黑体" w:eastAsia="黑体"/>
                <w:kern w:val="2"/>
              </w:rPr>
              <w:fldChar w:fldCharType="begin">
                <w:ffData>
                  <w:name w:val="DT"/>
                  <w:enabled/>
                  <w:calcOnExit w:val="0"/>
                  <w:entryMacro w:val="ShowHelp4"/>
                  <w:textInput/>
                </w:ffData>
              </w:fldChar>
            </w:r>
            <w:bookmarkStart w:id="7" w:name="DT"/>
            <w:r>
              <w:rPr>
                <w:rFonts w:hint="eastAsia" w:ascii="黑体" w:hAnsi="黑体" w:eastAsia="黑体"/>
                <w:kern w:val="2"/>
              </w:rPr>
              <w:instrText xml:space="preserve"> FORMTEXT </w:instrText>
            </w:r>
            <w:r>
              <w:rPr>
                <w:rFonts w:hint="eastAsia" w:ascii="黑体" w:hAnsi="黑体" w:eastAsia="黑体"/>
                <w:kern w:val="2"/>
              </w:rPr>
              <w:fldChar w:fldCharType="separate"/>
            </w:r>
            <w:r>
              <w:rPr>
                <w:rFonts w:hint="eastAsia" w:ascii="黑体" w:hAnsi="黑体" w:eastAsia="黑体"/>
                <w:kern w:val="2"/>
              </w:rPr>
              <w:t>     </w:t>
            </w:r>
            <w:r>
              <w:rPr>
                <w:rFonts w:hint="eastAsia" w:ascii="黑体" w:hAnsi="黑体" w:eastAsia="黑体"/>
                <w:kern w:val="2"/>
              </w:rPr>
              <w:fldChar w:fldCharType="end"/>
            </w:r>
            <w:bookmarkEnd w:id="7"/>
          </w:p>
        </w:tc>
        <w:tc>
          <w:tcPr>
            <w:tcW w:w="4290" w:type="dxa"/>
            <w:tcBorders>
              <w:top w:val="nil"/>
              <w:left w:val="nil"/>
              <w:bottom w:val="nil"/>
              <w:right w:val="nil"/>
            </w:tcBorders>
          </w:tcPr>
          <w:p>
            <w:pPr>
              <w:pStyle w:val="79"/>
              <w:framePr/>
              <w:rPr>
                <w:rFonts w:ascii="黑体" w:hAnsi="黑体" w:eastAsia="黑体"/>
                <w:kern w:val="2"/>
              </w:rPr>
            </w:pPr>
          </w:p>
        </w:tc>
        <w:tc>
          <w:tcPr>
            <w:tcW w:w="9130" w:type="dxa"/>
            <w:tcBorders>
              <w:top w:val="nil"/>
              <w:left w:val="nil"/>
              <w:bottom w:val="nil"/>
              <w:right w:val="nil"/>
            </w:tcBorders>
          </w:tcPr>
          <w:p>
            <w:pPr>
              <w:pStyle w:val="79"/>
              <w:framePr/>
              <w:rPr>
                <w:rFonts w:ascii="黑体" w:hAnsi="黑体" w:eastAsia="黑体"/>
                <w:kern w:val="2"/>
              </w:rPr>
            </w:pPr>
          </w:p>
        </w:tc>
        <w:tc>
          <w:tcPr>
            <w:tcW w:w="9130" w:type="dxa"/>
            <w:tcBorders>
              <w:top w:val="nil"/>
              <w:left w:val="nil"/>
              <w:bottom w:val="nil"/>
              <w:right w:val="nil"/>
            </w:tcBorders>
          </w:tcPr>
          <w:p>
            <w:pPr>
              <w:pStyle w:val="79"/>
              <w:framePr/>
              <w:rPr>
                <w:rFonts w:ascii="黑体" w:hAnsi="黑体" w:eastAsia="黑体"/>
                <w:kern w:val="2"/>
              </w:rPr>
            </w:pPr>
          </w:p>
        </w:tc>
      </w:tr>
    </w:tbl>
    <w:p>
      <w:pPr>
        <w:pStyle w:val="50"/>
        <w:framePr/>
        <w:rPr>
          <w:rFonts w:hAnsi="黑体"/>
        </w:rPr>
      </w:pPr>
    </w:p>
    <w:p>
      <w:pPr>
        <w:pStyle w:val="50"/>
        <w:framePr/>
        <w:rPr>
          <w:rFonts w:hAnsi="黑体"/>
        </w:rPr>
      </w:pPr>
    </w:p>
    <w:p>
      <w:pPr>
        <w:pStyle w:val="81"/>
        <w:framePr/>
      </w:pPr>
      <w:r>
        <w:rPr>
          <w:rFonts w:hint="eastAsia"/>
        </w:rPr>
        <w:t>机关食堂反食品浪费管理规范</w:t>
      </w:r>
    </w:p>
    <w:p>
      <w:pPr>
        <w:pStyle w:val="82"/>
        <w:framePr/>
        <w:rPr>
          <w:rFonts w:ascii="黑体" w:hAnsi="黑体"/>
        </w:rPr>
      </w:pPr>
      <w:r>
        <w:rPr>
          <w:rFonts w:ascii="黑体" w:hAnsi="黑体"/>
        </w:rPr>
        <w:fldChar w:fldCharType="begin">
          <w:ffData>
            <w:name w:val="StdEnglishName"/>
            <w:enabled/>
            <w:calcOnExit w:val="0"/>
            <w:textInput>
              <w:default w:val="Specification for preventing food waste management in Party and government organ canteens"/>
            </w:textInput>
          </w:ffData>
        </w:fldChar>
      </w:r>
      <w:r>
        <w:rPr>
          <w:rFonts w:ascii="黑体" w:hAnsi="黑体"/>
        </w:rPr>
        <w:instrText xml:space="preserve"> </w:instrText>
      </w:r>
      <w:bookmarkStart w:id="8" w:name="StdEnglishName"/>
      <w:r>
        <w:rPr>
          <w:rFonts w:hint="eastAsia" w:ascii="黑体" w:hAnsi="黑体"/>
        </w:rPr>
        <w:instrText xml:space="preserve">FORMTEXT</w:instrText>
      </w:r>
      <w:r>
        <w:rPr>
          <w:rFonts w:ascii="黑体" w:hAnsi="黑体"/>
        </w:rPr>
        <w:instrText xml:space="preserve"> </w:instrText>
      </w:r>
      <w:r>
        <w:rPr>
          <w:rFonts w:ascii="黑体" w:hAnsi="黑体"/>
        </w:rPr>
        <w:fldChar w:fldCharType="separate"/>
      </w:r>
      <w:r>
        <w:rPr>
          <w:rFonts w:ascii="黑体" w:hAnsi="黑体"/>
        </w:rPr>
        <w:t>Specification for preventing food waste management in Party and government organ canteens</w:t>
      </w:r>
      <w:r>
        <w:rPr>
          <w:rFonts w:ascii="黑体" w:hAnsi="黑体"/>
        </w:rPr>
        <w:fldChar w:fldCharType="end"/>
      </w:r>
      <w:bookmarkEnd w:id="8"/>
    </w:p>
    <w:tbl>
      <w:tblPr>
        <w:tblStyle w:val="35"/>
        <w:tblW w:w="962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62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629" w:type="dxa"/>
            <w:tcBorders>
              <w:top w:val="nil"/>
              <w:left w:val="nil"/>
              <w:bottom w:val="nil"/>
              <w:right w:val="nil"/>
            </w:tcBorders>
            <w:shd w:val="clear" w:color="auto" w:fill="auto"/>
          </w:tcPr>
          <w:p>
            <w:pPr>
              <w:pStyle w:val="84"/>
              <w:framePr/>
              <w:rPr>
                <w:kern w:val="2"/>
              </w:rPr>
            </w:pPr>
            <w:r>
              <w:rPr>
                <w:rFonts w:hint="eastAsia"/>
                <w:kern w:val="2"/>
              </w:rPr>
              <mc:AlternateContent>
                <mc:Choice Requires="wps">
                  <w:drawing>
                    <wp:anchor distT="0" distB="0" distL="114300" distR="114300" simplePos="0" relativeHeight="251664384" behindDoc="1" locked="1" layoutInCell="1" allowOverlap="1">
                      <wp:simplePos x="0" y="0"/>
                      <wp:positionH relativeFrom="column">
                        <wp:posOffset>2132330</wp:posOffset>
                      </wp:positionH>
                      <wp:positionV relativeFrom="paragraph">
                        <wp:posOffset>573405</wp:posOffset>
                      </wp:positionV>
                      <wp:extent cx="1905000" cy="254000"/>
                      <wp:effectExtent l="0" t="0" r="0" b="12700"/>
                      <wp:wrapNone/>
                      <wp:docPr id="8" name="RQ"/>
                      <wp:cNvGraphicFramePr/>
                      <a:graphic xmlns:a="http://schemas.openxmlformats.org/drawingml/2006/main">
                        <a:graphicData uri="http://schemas.microsoft.com/office/word/2010/wordprocessingShape">
                          <wps:wsp>
                            <wps:cNvSpPr/>
                            <wps:spPr>
                              <a:xfrm>
                                <a:off x="0" y="0"/>
                                <a:ext cx="1905000" cy="254000"/>
                              </a:xfrm>
                              <a:prstGeom prst="rect">
                                <a:avLst/>
                              </a:prstGeom>
                              <a:solidFill>
                                <a:srgbClr val="FFFFFF"/>
                              </a:solidFill>
                              <a:ln w="25400">
                                <a:noFill/>
                              </a:ln>
                            </wps:spPr>
                            <wps:bodyPr anchor="ctr" upright="true"/>
                          </wps:wsp>
                        </a:graphicData>
                      </a:graphic>
                    </wp:anchor>
                  </w:drawing>
                </mc:Choice>
                <mc:Fallback>
                  <w:pict>
                    <v:rect id="RQ" o:spid="_x0000_s1026" o:spt="1" style="position:absolute;left:0pt;margin-left:167.9pt;margin-top:45.15pt;height:20pt;width:150pt;z-index:-251652096;v-text-anchor:middle;mso-width-relative:page;mso-height-relative:page;" fillcolor="#FFFFFF" filled="t" stroked="f" coordsize="21600,21600" o:gfxdata="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WAAAAZHJzL1BLAQIUABQAAAAIAIdO4kBIojhd0wAAAAoBAAAPAAAA&#10;AAAAAAEAIAAAADgAAABkcnMvZG93bnJldi54bWxQSwECFAAUAAAACACHTuJAqKLHcJIBAAAlAwAA&#10;DgAAAAAAAAABACAAAAA4AQAAZHJzL2Uyb0RvYy54bWxQSwUGAAAAAAYABgBZAQAAPAUAAAAA&#10;">
                      <v:fill on="t" focussize="0,0"/>
                      <v:stroke on="f" weight="2pt"/>
                      <v:imagedata o:title=""/>
                      <o:lock v:ext="edit" aspectratio="f"/>
                      <w10:anchorlock/>
                    </v:rect>
                  </w:pict>
                </mc:Fallback>
              </mc:AlternateContent>
            </w:r>
            <w:r>
              <w:rPr>
                <w:rFonts w:hint="eastAsia"/>
                <w:kern w:val="2"/>
              </w:rPr>
              <mc:AlternateContent>
                <mc:Choice Requires="wps">
                  <w:drawing>
                    <wp:anchor distT="0" distB="0" distL="114300" distR="114300" simplePos="0" relativeHeight="251663360" behindDoc="1" locked="0" layoutInCell="1" allowOverlap="1">
                      <wp:simplePos x="0" y="0"/>
                      <wp:positionH relativeFrom="column">
                        <wp:posOffset>2386330</wp:posOffset>
                      </wp:positionH>
                      <wp:positionV relativeFrom="paragraph">
                        <wp:posOffset>255905</wp:posOffset>
                      </wp:positionV>
                      <wp:extent cx="1270000" cy="304800"/>
                      <wp:effectExtent l="0" t="0" r="6350" b="0"/>
                      <wp:wrapNone/>
                      <wp:docPr id="7" name="LB"/>
                      <wp:cNvGraphicFramePr/>
                      <a:graphic xmlns:a="http://schemas.openxmlformats.org/drawingml/2006/main">
                        <a:graphicData uri="http://schemas.microsoft.com/office/word/2010/wordprocessingShape">
                          <wps:wsp>
                            <wps:cNvSpPr/>
                            <wps:spPr>
                              <a:xfrm>
                                <a:off x="0" y="0"/>
                                <a:ext cx="1270000" cy="304800"/>
                              </a:xfrm>
                              <a:prstGeom prst="rect">
                                <a:avLst/>
                              </a:prstGeom>
                              <a:solidFill>
                                <a:srgbClr val="FFFFFF"/>
                              </a:solidFill>
                              <a:ln w="25400">
                                <a:noFill/>
                              </a:ln>
                            </wps:spPr>
                            <wps:bodyPr anchor="ctr" upright="true"/>
                          </wps:wsp>
                        </a:graphicData>
                      </a:graphic>
                    </wp:anchor>
                  </w:drawing>
                </mc:Choice>
                <mc:Fallback>
                  <w:pict>
                    <v:rect id="LB" o:spid="_x0000_s1026" o:spt="1" style="position:absolute;left:0pt;margin-left:187.9pt;margin-top:20.15pt;height:24pt;width:100pt;z-index:-251653120;v-text-anchor:middle;mso-width-relative:page;mso-height-relative:page;" fillcolor="#FFFFFF" filled="t" stroked="f" coordsize="21600,21600" o:gfxdata="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WAAAAZHJzL1BLAQIUABQAAAAIAIdO4kCNIEcv1AAAAAkB&#10;AAAPAAAAAAAAAAEAIAAAADgAAABkcnMvZG93bnJldi54bWxQSwECFAAUAAAACACHTuJAvT9H75cB&#10;AAAlAwAADgAAAAAAAAABACAAAAA5AQAAZHJzL2Uyb0RvYy54bWxQSwUGAAAAAAYABgBZAQAAQgUA&#10;AAAA&#10;">
                      <v:fill on="t" focussize="0,0"/>
                      <v:stroke on="f" weight="2pt"/>
                      <v:imagedata o:title=""/>
                      <o:lock v:ext="edit" aspectratio="f"/>
                    </v:rect>
                  </w:pict>
                </mc:Fallback>
              </mc:AlternateContent>
            </w:r>
            <w:bookmarkStart w:id="9" w:name="LB"/>
            <w:r>
              <w:rPr>
                <w:rFonts w:hint="eastAsia"/>
                <w:kern w:val="2"/>
              </w:rPr>
              <w:fldChar w:fldCharType="begin">
                <w:ffData>
                  <w:name w:val="LB"/>
                  <w:enabled/>
                  <w:calcOnExit w:val="0"/>
                  <w:ddList>
                    <w:listEntry w:val="（征求意见稿）"/>
                    <w:listEntry w:val="文稿版次选择"/>
                    <w:listEntry w:val="（草案）"/>
                    <w:listEntry w:val="（工作组讨论稿）"/>
                    <w:listEntry w:val="（送审讨论稿）"/>
                    <w:listEntry w:val="（送审稿）"/>
                    <w:listEntry w:val="（报批稿）"/>
                  </w:ddList>
                </w:ffData>
              </w:fldChar>
            </w:r>
            <w:r>
              <w:rPr>
                <w:rFonts w:hint="eastAsia"/>
                <w:kern w:val="2"/>
              </w:rPr>
              <w:instrText xml:space="preserve">FORMDROPDOWN</w:instrText>
            </w:r>
            <w:r>
              <w:rPr>
                <w:kern w:val="2"/>
              </w:rPr>
              <w:fldChar w:fldCharType="separate"/>
            </w:r>
            <w:r>
              <w:rPr>
                <w:rFonts w:hint="eastAsia"/>
                <w:kern w:val="2"/>
              </w:rPr>
              <w:fldChar w:fldCharType="end"/>
            </w:r>
            <w:bookmarkEnd w:id="9"/>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629" w:type="dxa"/>
            <w:tcBorders>
              <w:top w:val="nil"/>
              <w:left w:val="nil"/>
              <w:bottom w:val="nil"/>
              <w:right w:val="nil"/>
            </w:tcBorders>
            <w:shd w:val="clear" w:color="auto" w:fill="auto"/>
          </w:tcPr>
          <w:p>
            <w:pPr>
              <w:pStyle w:val="85"/>
              <w:framePr/>
              <w:rPr>
                <w:kern w:val="2"/>
              </w:rPr>
            </w:pPr>
            <w:bookmarkStart w:id="10" w:name="WCRQ"/>
            <w:r>
              <w:rPr>
                <w:rFonts w:hint="eastAsia"/>
                <w:kern w:val="2"/>
              </w:rPr>
              <w:fldChar w:fldCharType="begin">
                <w:ffData>
                  <w:name w:val="WCRQ"/>
                  <w:enabled/>
                  <w:calcOnExit w:val="0"/>
                  <w:textInput>
                    <w:default w:val="（2024年9月）"/>
                  </w:textInput>
                </w:ffData>
              </w:fldChar>
            </w:r>
            <w:r>
              <w:rPr>
                <w:rFonts w:hint="eastAsia"/>
                <w:kern w:val="2"/>
              </w:rPr>
              <w:instrText xml:space="preserve">FORMTEXT</w:instrText>
            </w:r>
            <w:r>
              <w:rPr>
                <w:rFonts w:hint="eastAsia"/>
                <w:kern w:val="2"/>
              </w:rPr>
              <w:fldChar w:fldCharType="separate"/>
            </w:r>
            <w:r>
              <w:rPr>
                <w:rFonts w:hint="eastAsia"/>
                <w:kern w:val="2"/>
              </w:rPr>
              <w:t>（2024年9月）</w:t>
            </w:r>
            <w:r>
              <w:rPr>
                <w:rFonts w:hint="eastAsia"/>
                <w:kern w:val="2"/>
              </w:rPr>
              <w:fldChar w:fldCharType="end"/>
            </w:r>
            <w:bookmarkEnd w:id="10"/>
          </w:p>
        </w:tc>
      </w:tr>
    </w:tbl>
    <w:p>
      <w:pPr>
        <w:pStyle w:val="133"/>
        <w:framePr/>
        <w:rPr>
          <w:rFonts w:ascii="黑体" w:hAnsi="黑体"/>
        </w:rPr>
      </w:pPr>
      <w:r>
        <w:rPr>
          <w:rFonts w:ascii="黑体" w:hAnsi="黑体"/>
        </w:rPr>
        <w:fldChar w:fldCharType="begin">
          <w:ffData>
            <w:name w:val="FY"/>
            <w:enabled/>
            <w:calcOnExit w:val="0"/>
            <w:textInput>
              <w:default w:val="××××"/>
              <w:maxLength w:val="4"/>
            </w:textInput>
          </w:ffData>
        </w:fldChar>
      </w:r>
      <w:bookmarkStart w:id="11" w:name="FY"/>
      <w:r>
        <w:rPr>
          <w:rFonts w:ascii="黑体" w:hAnsi="黑体"/>
        </w:rPr>
        <w:instrText xml:space="preserve"> FORMTEXT </w:instrText>
      </w:r>
      <w:r>
        <w:rPr>
          <w:rFonts w:ascii="黑体" w:hAnsi="黑体"/>
        </w:rPr>
        <w:fldChar w:fldCharType="separate"/>
      </w:r>
      <w:r>
        <w:rPr>
          <w:rFonts w:ascii="黑体" w:hAnsi="黑体"/>
        </w:rPr>
        <w:t>××××</w:t>
      </w:r>
      <w:r>
        <w:rPr>
          <w:rFonts w:ascii="黑体" w:hAnsi="黑体"/>
        </w:rPr>
        <w:fldChar w:fldCharType="end"/>
      </w:r>
      <w:bookmarkEnd w:id="11"/>
      <w:r>
        <w:rPr>
          <w:rFonts w:ascii="黑体" w:hAnsi="黑体"/>
        </w:rPr>
        <w:t xml:space="preserve"> - </w:t>
      </w:r>
      <w:r>
        <w:rPr>
          <w:rFonts w:ascii="黑体" w:hAnsi="黑体"/>
        </w:rPr>
        <w:fldChar w:fldCharType="begin">
          <w:ffData>
            <w:name w:val="FM"/>
            <w:enabled/>
            <w:calcOnExit w:val="0"/>
            <w:entryMacro w:val="ShowHelp8"/>
            <w:textInput>
              <w:default w:val="××"/>
              <w:maxLength w:val="2"/>
            </w:textInput>
          </w:ffData>
        </w:fldChar>
      </w:r>
      <w:r>
        <w:rPr>
          <w:rFonts w:ascii="黑体" w:hAnsi="黑体"/>
        </w:rPr>
        <w:instrText xml:space="preserve"> FORMTEXT </w:instrText>
      </w:r>
      <w:r>
        <w:rPr>
          <w:rFonts w:ascii="黑体" w:hAnsi="黑体"/>
        </w:rPr>
        <w:fldChar w:fldCharType="separate"/>
      </w:r>
      <w:r>
        <w:rPr>
          <w:rFonts w:ascii="黑体" w:hAnsi="黑体"/>
        </w:rPr>
        <w:t>××</w:t>
      </w:r>
      <w:r>
        <w:rPr>
          <w:rFonts w:ascii="黑体" w:hAnsi="黑体"/>
        </w:rPr>
        <w:fldChar w:fldCharType="end"/>
      </w:r>
      <w:r>
        <w:rPr>
          <w:rFonts w:ascii="黑体" w:hAnsi="黑体"/>
        </w:rPr>
        <w:t xml:space="preserve"> - </w:t>
      </w:r>
      <w:r>
        <w:rPr>
          <w:rFonts w:ascii="黑体" w:hAnsi="黑体"/>
        </w:rPr>
        <w:fldChar w:fldCharType="begin">
          <w:ffData>
            <w:name w:val="FD"/>
            <w:enabled/>
            <w:calcOnExit w:val="0"/>
            <w:entryMacro w:val="ShowHelp8"/>
            <w:textInput>
              <w:default w:val="××"/>
              <w:maxLength w:val="2"/>
            </w:textInput>
          </w:ffData>
        </w:fldChar>
      </w:r>
      <w:bookmarkStart w:id="12" w:name="FD"/>
      <w:r>
        <w:rPr>
          <w:rFonts w:ascii="黑体" w:hAnsi="黑体"/>
        </w:rPr>
        <w:instrText xml:space="preserve"> FORMTEXT </w:instrText>
      </w:r>
      <w:r>
        <w:rPr>
          <w:rFonts w:ascii="黑体" w:hAnsi="黑体"/>
        </w:rPr>
        <w:fldChar w:fldCharType="separate"/>
      </w:r>
      <w:r>
        <w:rPr>
          <w:rFonts w:ascii="黑体" w:hAnsi="黑体"/>
        </w:rPr>
        <w:t>××</w:t>
      </w:r>
      <w:r>
        <w:rPr>
          <w:rFonts w:ascii="黑体" w:hAnsi="黑体"/>
        </w:rPr>
        <w:fldChar w:fldCharType="end"/>
      </w:r>
      <w:bookmarkEnd w:id="12"/>
      <w:r>
        <w:rPr>
          <w:rFonts w:hint="eastAsia" w:ascii="黑体" w:hAnsi="黑体"/>
        </w:rPr>
        <w:t>发布</w:t>
      </w:r>
      <w:r>
        <w:rPr>
          <w:rFonts w:ascii="黑体" w:hAnsi="黑体"/>
        </w:rPr>
        <mc:AlternateContent>
          <mc:Choice Requires="wps">
            <w:drawing>
              <wp:anchor distT="0" distB="0" distL="114300" distR="114300" simplePos="0" relativeHeight="251660288" behindDoc="0" locked="0" layoutInCell="1" allowOverlap="1">
                <wp:simplePos x="0" y="0"/>
                <wp:positionH relativeFrom="column">
                  <wp:posOffset>-635</wp:posOffset>
                </wp:positionH>
                <wp:positionV relativeFrom="paragraph">
                  <wp:posOffset>2339975</wp:posOffset>
                </wp:positionV>
                <wp:extent cx="6120130" cy="0"/>
                <wp:effectExtent l="0" t="0" r="0" b="0"/>
                <wp:wrapNone/>
                <wp:docPr id="3" name="直接连接符 2"/>
                <wp:cNvGraphicFramePr/>
                <a:graphic xmlns:a="http://schemas.openxmlformats.org/drawingml/2006/main">
                  <a:graphicData uri="http://schemas.microsoft.com/office/word/2010/wordprocessingShape">
                    <wps:wsp>
                      <wps:cNvCnPr/>
                      <wps:spPr>
                        <a:xfrm>
                          <a:off x="0" y="0"/>
                          <a:ext cx="6120000" cy="0"/>
                        </a:xfrm>
                        <a:prstGeom prst="line">
                          <a:avLst/>
                        </a:prstGeom>
                        <a:ln>
                          <a:solidFill>
                            <a:srgbClr val="000000"/>
                          </a:solidFill>
                        </a:ln>
                        <a:effectLst/>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直接连接符 2" o:spid="_x0000_s1026" o:spt="20" style="position:absolute;left:0pt;margin-left:-0.05pt;margin-top:184.25pt;height:0pt;width:481.9pt;z-index:251660288;mso-width-relative:page;mso-height-relative:page;" filled="f" stroked="t" coordsize="21600,21600" o:gfxdata="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FgAAAGRycy9QSwECFAAUAAAACACHTuJAQkHiX9cAAAAJAQAADwAAAAAAAAAB&#10;ACAAAAA4AAAAZHJzL2Rvd25yZXYueG1sUEsBAhQAFAAAAAgAh07iQMDIH03CAQAAWgMAAA4AAAAA&#10;AAAAAQAgAAAAPAEAAGRycy9lMm9Eb2MueG1sUEsFBgAAAAAGAAYAWQEAAHAFAAAAAA==&#10;">
                <v:fill on="f" focussize="0,0"/>
                <v:stroke color="#000000 [3204]" joinstyle="round"/>
                <v:imagedata o:title=""/>
                <o:lock v:ext="edit" aspectratio="f"/>
              </v:line>
            </w:pict>
          </mc:Fallback>
        </mc:AlternateContent>
      </w:r>
      <w:r>
        <w:rPr>
          <w:rFonts w:ascii="黑体" w:hAnsi="黑体"/>
        </w:rPr>
        <mc:AlternateContent>
          <mc:Choice Requires="wps">
            <w:drawing>
              <wp:anchor distT="0" distB="0" distL="114300" distR="114300" simplePos="0" relativeHeight="251659264" behindDoc="0" locked="0" layoutInCell="1" allowOverlap="1">
                <wp:simplePos x="0" y="0"/>
                <wp:positionH relativeFrom="column">
                  <wp:posOffset>-635</wp:posOffset>
                </wp:positionH>
                <wp:positionV relativeFrom="paragraph">
                  <wp:posOffset>8891905</wp:posOffset>
                </wp:positionV>
                <wp:extent cx="6120130" cy="0"/>
                <wp:effectExtent l="0" t="0" r="0" b="0"/>
                <wp:wrapNone/>
                <wp:docPr id="2" name="直接连接符 1"/>
                <wp:cNvGraphicFramePr/>
                <a:graphic xmlns:a="http://schemas.openxmlformats.org/drawingml/2006/main">
                  <a:graphicData uri="http://schemas.microsoft.com/office/word/2010/wordprocessingShape">
                    <wps:wsp>
                      <wps:cNvCnPr/>
                      <wps:spPr>
                        <a:xfrm>
                          <a:off x="0" y="0"/>
                          <a:ext cx="6120000" cy="0"/>
                        </a:xfrm>
                        <a:prstGeom prst="line">
                          <a:avLst/>
                        </a:prstGeom>
                        <a:ln>
                          <a:solidFill>
                            <a:srgbClr val="000000"/>
                          </a:solidFill>
                        </a:ln>
                        <a:effectLst/>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直接连接符 1" o:spid="_x0000_s1026" o:spt="20" style="position:absolute;left:0pt;margin-left:-0.05pt;margin-top:700.15pt;height:0pt;width:481.9pt;z-index:251659264;mso-width-relative:page;mso-height-relative:page;" filled="f" stroked="t" coordsize="21600,21600" o:gfxdata="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BYAAABkcnMvUEsBAhQAFAAAAAgAh07iQNvFufPWAAAACwEAAA8AAAAAAAAAAQAg&#10;AAAAOAAAAGRycy9kb3ducmV2LnhtbFBLAQIUABQAAAAIAIdO4kBSDV5pwQEAAFoDAAAOAAAAAAAA&#10;AAEAIAAAADsBAABkcnMvZTJvRG9jLnhtbFBLBQYAAAAABgAGAFkBAABuBQAAAAA=&#10;">
                <v:fill on="f" focussize="0,0"/>
                <v:stroke color="#000000 [3204]" joinstyle="round"/>
                <v:imagedata o:title=""/>
                <o:lock v:ext="edit" aspectratio="f"/>
              </v:line>
            </w:pict>
          </mc:Fallback>
        </mc:AlternateContent>
      </w:r>
    </w:p>
    <w:p>
      <w:pPr>
        <w:pStyle w:val="134"/>
        <w:framePr/>
        <w:rPr>
          <w:rFonts w:ascii="黑体" w:hAnsi="黑体"/>
        </w:rPr>
      </w:pPr>
      <w:r>
        <w:rPr>
          <w:rFonts w:ascii="黑体" w:hAnsi="黑体"/>
        </w:rPr>
        <w:fldChar w:fldCharType="begin">
          <w:ffData>
            <w:name w:val="SY"/>
            <w:enabled/>
            <w:calcOnExit w:val="0"/>
            <w:textInput>
              <w:default w:val="××××"/>
              <w:maxLength w:val="4"/>
            </w:textInput>
          </w:ffData>
        </w:fldChar>
      </w:r>
      <w:bookmarkStart w:id="13" w:name="SY"/>
      <w:r>
        <w:rPr>
          <w:rFonts w:ascii="黑体" w:hAnsi="黑体"/>
        </w:rPr>
        <w:instrText xml:space="preserve"> FORMTEXT </w:instrText>
      </w:r>
      <w:r>
        <w:rPr>
          <w:rFonts w:ascii="黑体" w:hAnsi="黑体"/>
        </w:rPr>
        <w:fldChar w:fldCharType="separate"/>
      </w:r>
      <w:r>
        <w:rPr>
          <w:rFonts w:ascii="黑体" w:hAnsi="黑体"/>
        </w:rPr>
        <w:t>××××</w:t>
      </w:r>
      <w:r>
        <w:rPr>
          <w:rFonts w:ascii="黑体" w:hAnsi="黑体"/>
        </w:rPr>
        <w:fldChar w:fldCharType="end"/>
      </w:r>
      <w:bookmarkEnd w:id="13"/>
      <w:r>
        <w:rPr>
          <w:rFonts w:ascii="黑体" w:hAnsi="黑体"/>
        </w:rPr>
        <w:t xml:space="preserve"> - </w:t>
      </w:r>
      <w:r>
        <w:rPr>
          <w:rFonts w:ascii="黑体" w:hAnsi="黑体"/>
        </w:rPr>
        <w:fldChar w:fldCharType="begin">
          <w:ffData>
            <w:name w:val="SM"/>
            <w:enabled/>
            <w:calcOnExit w:val="0"/>
            <w:entryMacro w:val="ShowHelp9"/>
            <w:textInput>
              <w:default w:val="××"/>
              <w:maxLength w:val="2"/>
            </w:textInput>
          </w:ffData>
        </w:fldChar>
      </w:r>
      <w:bookmarkStart w:id="14" w:name="SM"/>
      <w:r>
        <w:rPr>
          <w:rFonts w:ascii="黑体" w:hAnsi="黑体"/>
        </w:rPr>
        <w:instrText xml:space="preserve"> FORMTEXT </w:instrText>
      </w:r>
      <w:r>
        <w:rPr>
          <w:rFonts w:ascii="黑体" w:hAnsi="黑体"/>
        </w:rPr>
        <w:fldChar w:fldCharType="separate"/>
      </w:r>
      <w:r>
        <w:rPr>
          <w:rFonts w:ascii="黑体" w:hAnsi="黑体"/>
        </w:rPr>
        <w:t>××</w:t>
      </w:r>
      <w:r>
        <w:rPr>
          <w:rFonts w:ascii="黑体" w:hAnsi="黑体"/>
        </w:rPr>
        <w:fldChar w:fldCharType="end"/>
      </w:r>
      <w:bookmarkEnd w:id="14"/>
      <w:r>
        <w:rPr>
          <w:rFonts w:ascii="黑体" w:hAnsi="黑体"/>
        </w:rPr>
        <w:t xml:space="preserve"> - </w:t>
      </w:r>
      <w:r>
        <w:rPr>
          <w:rFonts w:ascii="黑体" w:hAnsi="黑体"/>
        </w:rPr>
        <w:fldChar w:fldCharType="begin">
          <w:ffData>
            <w:name w:val="SD"/>
            <w:enabled/>
            <w:calcOnExit w:val="0"/>
            <w:entryMacro w:val="ShowHelp9"/>
            <w:textInput>
              <w:default w:val="××"/>
              <w:maxLength w:val="2"/>
            </w:textInput>
          </w:ffData>
        </w:fldChar>
      </w:r>
      <w:bookmarkStart w:id="15" w:name="SD"/>
      <w:r>
        <w:rPr>
          <w:rFonts w:ascii="黑体" w:hAnsi="黑体"/>
        </w:rPr>
        <w:instrText xml:space="preserve"> FORMTEXT </w:instrText>
      </w:r>
      <w:r>
        <w:rPr>
          <w:rFonts w:ascii="黑体" w:hAnsi="黑体"/>
        </w:rPr>
        <w:fldChar w:fldCharType="separate"/>
      </w:r>
      <w:r>
        <w:rPr>
          <w:rFonts w:ascii="黑体" w:hAnsi="黑体"/>
        </w:rPr>
        <w:t>××</w:t>
      </w:r>
      <w:r>
        <w:rPr>
          <w:rFonts w:ascii="黑体" w:hAnsi="黑体"/>
        </w:rPr>
        <w:fldChar w:fldCharType="end"/>
      </w:r>
      <w:bookmarkEnd w:id="15"/>
      <w:r>
        <w:rPr>
          <w:rFonts w:hint="eastAsia" w:ascii="黑体" w:hAnsi="黑体"/>
        </w:rPr>
        <w:t>实施</w:t>
      </w:r>
    </w:p>
    <w:p>
      <w:pPr>
        <w:pStyle w:val="114"/>
        <w:framePr/>
      </w:pPr>
      <w:r>
        <w:fldChar w:fldCharType="begin">
          <w:ffData>
            <w:name w:val="fm"/>
            <w:enabled/>
            <w:calcOnExit w:val="0"/>
            <w:textInput/>
          </w:ffData>
        </w:fldChar>
      </w:r>
      <w:bookmarkStart w:id="16" w:name="fm"/>
      <w:r>
        <w:instrText xml:space="preserve"> FORMTEXT </w:instrText>
      </w:r>
      <w:r>
        <w:fldChar w:fldCharType="separate"/>
      </w:r>
      <w:r>
        <w:rPr>
          <w:rFonts w:hint="eastAsia"/>
        </w:rPr>
        <w:t>北京市市场监督</w:t>
      </w:r>
      <w:r>
        <w:t>管理局</w:t>
      </w:r>
      <w:r>
        <w:fldChar w:fldCharType="end"/>
      </w:r>
      <w:bookmarkEnd w:id="16"/>
      <w:r>
        <w:t xml:space="preserve"> </w:t>
      </w:r>
      <w:r>
        <w:rPr>
          <w:rStyle w:val="76"/>
        </w:rPr>
        <w:t xml:space="preserve"> </w:t>
      </w:r>
      <w:r>
        <w:rPr>
          <w:rStyle w:val="76"/>
          <w:rFonts w:hint="eastAsia"/>
        </w:rPr>
        <w:t>发布</w:t>
      </w:r>
    </w:p>
    <w:p>
      <w:pPr>
        <w:pStyle w:val="24"/>
        <w:sectPr>
          <w:headerReference r:id="rId3" w:type="even"/>
          <w:footerReference r:id="rId4" w:type="even"/>
          <w:pgSz w:w="11906" w:h="16838"/>
          <w:pgMar w:top="567" w:right="1134" w:bottom="1134" w:left="1417" w:header="0" w:footer="0" w:gutter="0"/>
          <w:pgNumType w:fmt="upperRoman" w:start="1"/>
          <w:cols w:space="425" w:num="1"/>
          <w:docGrid w:type="lines" w:linePitch="312" w:charSpace="0"/>
        </w:sectPr>
      </w:pPr>
      <w:r>
        <mc:AlternateContent>
          <mc:Choice Requires="wps">
            <w:drawing>
              <wp:anchor distT="0" distB="0" distL="114300" distR="114300" simplePos="0" relativeHeight="251665408" behindDoc="1" locked="0" layoutInCell="1" allowOverlap="1">
                <wp:simplePos x="0" y="0"/>
                <wp:positionH relativeFrom="column">
                  <wp:posOffset>-66675</wp:posOffset>
                </wp:positionH>
                <wp:positionV relativeFrom="paragraph">
                  <wp:posOffset>396240</wp:posOffset>
                </wp:positionV>
                <wp:extent cx="866775" cy="198120"/>
                <wp:effectExtent l="0" t="0" r="9525" b="11430"/>
                <wp:wrapNone/>
                <wp:docPr id="9" name="BAH"/>
                <wp:cNvGraphicFramePr/>
                <a:graphic xmlns:a="http://schemas.openxmlformats.org/drawingml/2006/main">
                  <a:graphicData uri="http://schemas.microsoft.com/office/word/2010/wordprocessingShape">
                    <wps:wsp>
                      <wps:cNvSpPr/>
                      <wps:spPr>
                        <a:xfrm>
                          <a:off x="0" y="0"/>
                          <a:ext cx="866775" cy="198120"/>
                        </a:xfrm>
                        <a:prstGeom prst="rect">
                          <a:avLst/>
                        </a:prstGeom>
                        <a:solidFill>
                          <a:srgbClr val="FFFFFF"/>
                        </a:solidFill>
                        <a:ln w="25400">
                          <a:noFill/>
                        </a:ln>
                      </wps:spPr>
                      <wps:bodyPr anchor="ctr" upright="true"/>
                    </wps:wsp>
                  </a:graphicData>
                </a:graphic>
              </wp:anchor>
            </w:drawing>
          </mc:Choice>
          <mc:Fallback>
            <w:pict>
              <v:rect id="BAH" o:spid="_x0000_s1026" o:spt="1" style="position:absolute;left:0pt;margin-left:-5.25pt;margin-top:31.2pt;height:15.6pt;width:68.25pt;z-index:-251651072;v-text-anchor:middle;mso-width-relative:page;mso-height-relative:page;" fillcolor="#FFFFFF" filled="t" stroked="f" coordsize="21600,21600" o:gfxdata="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">
                <v:fill on="t" focussize="0,0"/>
                <v:stroke on="f" weight="2pt"/>
                <v:imagedata o:title=""/>
                <o:lock v:ext="edit" aspectratio="f"/>
              </v:rect>
            </w:pict>
          </mc:Fallback>
        </mc:AlternateContent>
      </w:r>
      <w:r>
        <mc:AlternateContent>
          <mc:Choice Requires="wps">
            <w:drawing>
              <wp:anchor distT="0" distB="0" distL="114300" distR="114300" simplePos="0" relativeHeight="251662336" behindDoc="0" locked="0" layoutInCell="1" allowOverlap="1">
                <wp:simplePos x="0" y="0"/>
                <wp:positionH relativeFrom="column">
                  <wp:posOffset>-635</wp:posOffset>
                </wp:positionH>
                <wp:positionV relativeFrom="paragraph">
                  <wp:posOffset>2339975</wp:posOffset>
                </wp:positionV>
                <wp:extent cx="6120130" cy="0"/>
                <wp:effectExtent l="0" t="0" r="0" b="0"/>
                <wp:wrapNone/>
                <wp:docPr id="5" name="直接连接符 4"/>
                <wp:cNvGraphicFramePr/>
                <a:graphic xmlns:a="http://schemas.openxmlformats.org/drawingml/2006/main">
                  <a:graphicData uri="http://schemas.microsoft.com/office/word/2010/wordprocessingShape">
                    <wps:wsp>
                      <wps:cNvCnPr/>
                      <wps:spPr>
                        <a:xfrm>
                          <a:off x="0" y="0"/>
                          <a:ext cx="6120000" cy="0"/>
                        </a:xfrm>
                        <a:prstGeom prst="line">
                          <a:avLst/>
                        </a:prstGeom>
                        <a:ln>
                          <a:solidFill>
                            <a:srgbClr val="000000"/>
                          </a:solidFill>
                        </a:ln>
                        <a:effectLst/>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直接连接符 4" o:spid="_x0000_s1026" o:spt="20" style="position:absolute;left:0pt;margin-left:-0.05pt;margin-top:184.25pt;height:0pt;width:481.9pt;z-index:251662336;mso-width-relative:page;mso-height-relative:page;" filled="f" stroked="t" coordsize="21600,21600" o:gfxdata="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FgAAAGRycy9QSwECFAAUAAAACACHTuJAQkHiX9cAAAAJAQAADwAAAAAAAAAB&#10;ACAAAAA4AAAAZHJzL2Rvd25yZXYueG1sUEsBAhQAFAAAAAgAh07iQIz+ZsnCAQAAWgMAAA4AAAAA&#10;AAAAAQAgAAAAPAEAAGRycy9lMm9Eb2MueG1sUEsFBgAAAAAGAAYAWQEAAHAFAAAAAA==&#10;">
                <v:fill on="f" focussize="0,0"/>
                <v:stroke color="#000000 [3204]" joinstyle="round"/>
                <v:imagedata o:title=""/>
                <o:lock v:ext="edit" aspectratio="f"/>
              </v:line>
            </w:pict>
          </mc:Fallback>
        </mc:AlternateContent>
      </w:r>
      <w:r>
        <mc:AlternateContent>
          <mc:Choice Requires="wps">
            <w:drawing>
              <wp:anchor distT="0" distB="0" distL="114300" distR="114300" simplePos="0" relativeHeight="251661312" behindDoc="0" locked="0" layoutInCell="1" allowOverlap="1">
                <wp:simplePos x="0" y="0"/>
                <wp:positionH relativeFrom="column">
                  <wp:posOffset>-635</wp:posOffset>
                </wp:positionH>
                <wp:positionV relativeFrom="paragraph">
                  <wp:posOffset>8891905</wp:posOffset>
                </wp:positionV>
                <wp:extent cx="6120130" cy="0"/>
                <wp:effectExtent l="0" t="0" r="0" b="0"/>
                <wp:wrapNone/>
                <wp:docPr id="4" name="直接连接符 3"/>
                <wp:cNvGraphicFramePr/>
                <a:graphic xmlns:a="http://schemas.openxmlformats.org/drawingml/2006/main">
                  <a:graphicData uri="http://schemas.microsoft.com/office/word/2010/wordprocessingShape">
                    <wps:wsp>
                      <wps:cNvCnPr/>
                      <wps:spPr>
                        <a:xfrm>
                          <a:off x="0" y="0"/>
                          <a:ext cx="6120000" cy="0"/>
                        </a:xfrm>
                        <a:prstGeom prst="line">
                          <a:avLst/>
                        </a:prstGeom>
                        <a:ln>
                          <a:solidFill>
                            <a:srgbClr val="000000"/>
                          </a:solidFill>
                        </a:ln>
                        <a:effectLst/>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直接连接符 3" o:spid="_x0000_s1026" o:spt="20" style="position:absolute;left:0pt;margin-left:-0.05pt;margin-top:700.15pt;height:0pt;width:481.9pt;z-index:251661312;mso-width-relative:page;mso-height-relative:page;" filled="f" stroked="t" coordsize="21600,21600" o:gfxdata="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WAAAAZHJzL1BLAQIUABQAAAAIAIdO4kDbxbnz1gAAAAsBAAAPAAAAAAAAAAEA&#10;IAAAADgAAABkcnMvZG93bnJldi54bWxQSwECFAAUAAAACACHTuJA/l2M2cIBAABaAwAADgAAAAAA&#10;AAABACAAAAA7AQAAZHJzL2Uyb0RvYy54bWxQSwUGAAAAAAYABgBZAQAAbwUAAAAA&#10;">
                <v:fill on="f" focussize="0,0"/>
                <v:stroke color="#000000 [3204]" joinstyle="round"/>
                <v:imagedata o:title=""/>
                <o:lock v:ext="edit" aspectratio="f"/>
              </v:line>
            </w:pict>
          </mc:Fallback>
        </mc:AlternateContent>
      </w:r>
      <w:r>
        <w:rPr>
          <w:rFonts w:hint="eastAsia"/>
        </w:rPr>
        <w:t xml:space="preserve">                                                                                                                                                                                                                                                                  </w:t>
      </w:r>
    </w:p>
    <w:p>
      <w:pPr>
        <w:pStyle w:val="53"/>
      </w:pPr>
      <w:r>
        <w:rPr>
          <w:rFonts w:hint="eastAsia"/>
        </w:rPr>
        <w:t>目</w:t>
      </w:r>
      <w:r>
        <w:rPr>
          <w:rFonts w:hAnsi="黑体"/>
        </w:rPr>
        <w:t>  </w:t>
      </w:r>
      <w:r>
        <w:rPr>
          <w:rFonts w:hint="eastAsia"/>
        </w:rPr>
        <w:t>次</w:t>
      </w:r>
    </w:p>
    <w:p>
      <w:pPr>
        <w:pStyle w:val="20"/>
        <w:spacing w:before="78" w:after="78"/>
      </w:pPr>
      <w:r>
        <w:fldChar w:fldCharType="begin" w:fldLock="1"/>
      </w:r>
      <w:r>
        <w:instrText xml:space="preserve"> </w:instrText>
      </w:r>
      <w:r>
        <w:rPr>
          <w:rFonts w:hint="eastAsia"/>
        </w:rPr>
        <w:instrText xml:space="preserve">TOC \h \z \t"前言、引言标题,1,参考文献、索引标题,1,章标题,1,参考文献,1,附录标识,1,一级条标题, 3,二级条标题, 4" \* MERGEFORMAT</w:instrText>
      </w:r>
      <w:r>
        <w:instrText xml:space="preserve"> </w:instrText>
      </w:r>
      <w:r>
        <w:fldChar w:fldCharType="separate"/>
      </w:r>
      <w:r>
        <w:fldChar w:fldCharType="begin"/>
      </w:r>
      <w:r>
        <w:instrText xml:space="preserve"> HYPERLINK \l "_Toc17878125" </w:instrText>
      </w:r>
      <w:r>
        <w:fldChar w:fldCharType="separate"/>
      </w:r>
      <w:r>
        <w:rPr>
          <w:rStyle w:val="41"/>
          <w:color w:val="auto"/>
        </w:rPr>
        <w:t>前言</w:t>
      </w:r>
      <w:r>
        <w:tab/>
      </w:r>
      <w:r>
        <w:fldChar w:fldCharType="begin" w:fldLock="1"/>
      </w:r>
      <w:r>
        <w:instrText xml:space="preserve"> PAGEREF _Toc17878125 \h </w:instrText>
      </w:r>
      <w:r>
        <w:fldChar w:fldCharType="separate"/>
      </w:r>
      <w:r>
        <w:t>II</w:t>
      </w:r>
      <w:r>
        <w:fldChar w:fldCharType="end"/>
      </w:r>
      <w:r>
        <w:fldChar w:fldCharType="end"/>
      </w:r>
    </w:p>
    <w:p>
      <w:pPr>
        <w:pStyle w:val="20"/>
        <w:spacing w:before="78" w:after="78"/>
      </w:pPr>
      <w:r>
        <w:fldChar w:fldCharType="begin"/>
      </w:r>
      <w:r>
        <w:instrText xml:space="preserve"> HYPERLINK \l "_Toc17878125" </w:instrText>
      </w:r>
      <w:r>
        <w:fldChar w:fldCharType="separate"/>
      </w:r>
      <w:r>
        <w:rPr>
          <w:rStyle w:val="41"/>
          <w:rFonts w:hint="eastAsia"/>
          <w:color w:val="auto"/>
        </w:rPr>
        <w:t>引</w:t>
      </w:r>
      <w:r>
        <w:rPr>
          <w:rStyle w:val="41"/>
          <w:color w:val="auto"/>
        </w:rPr>
        <w:t>言</w:t>
      </w:r>
      <w:r>
        <w:tab/>
      </w:r>
      <w:r>
        <w:fldChar w:fldCharType="begin"/>
      </w:r>
      <w:r>
        <w:instrText xml:space="preserve"> = 3 \* ROMAN \* MERGEFORMAT </w:instrText>
      </w:r>
      <w:r>
        <w:fldChar w:fldCharType="separate"/>
      </w:r>
      <w:r>
        <w:t>III</w:t>
      </w:r>
      <w:r>
        <w:fldChar w:fldCharType="end"/>
      </w:r>
      <w:r>
        <w:fldChar w:fldCharType="end"/>
      </w:r>
    </w:p>
    <w:p>
      <w:pPr>
        <w:pStyle w:val="20"/>
        <w:spacing w:before="78" w:after="78"/>
        <w:rPr>
          <w:rFonts w:asciiTheme="minorHAnsi" w:hAnsiTheme="minorHAnsi" w:eastAsiaTheme="minorEastAsia" w:cstheme="minorBidi"/>
          <w:szCs w:val="22"/>
        </w:rPr>
      </w:pPr>
      <w:r>
        <w:fldChar w:fldCharType="begin"/>
      </w:r>
      <w:r>
        <w:instrText xml:space="preserve"> HYPERLINK \l "_Toc17878127" </w:instrText>
      </w:r>
      <w:r>
        <w:fldChar w:fldCharType="separate"/>
      </w:r>
      <w:r>
        <w:rPr>
          <w:rStyle w:val="41"/>
          <w:color w:val="auto"/>
        </w:rPr>
        <w:t>1　范围</w:t>
      </w:r>
      <w:r>
        <w:tab/>
      </w:r>
      <w:r>
        <w:fldChar w:fldCharType="begin" w:fldLock="1"/>
      </w:r>
      <w:r>
        <w:instrText xml:space="preserve"> PAGEREF _Toc17878127 \h </w:instrText>
      </w:r>
      <w:r>
        <w:fldChar w:fldCharType="separate"/>
      </w:r>
      <w:r>
        <w:t>1</w:t>
      </w:r>
      <w:r>
        <w:fldChar w:fldCharType="end"/>
      </w:r>
      <w:r>
        <w:fldChar w:fldCharType="end"/>
      </w:r>
    </w:p>
    <w:p>
      <w:pPr>
        <w:pStyle w:val="20"/>
        <w:spacing w:before="78" w:after="78"/>
        <w:rPr>
          <w:rFonts w:asciiTheme="minorHAnsi" w:hAnsiTheme="minorHAnsi" w:eastAsiaTheme="minorEastAsia" w:cstheme="minorBidi"/>
          <w:szCs w:val="22"/>
        </w:rPr>
      </w:pPr>
      <w:r>
        <w:fldChar w:fldCharType="begin"/>
      </w:r>
      <w:r>
        <w:instrText xml:space="preserve"> HYPERLINK \l "_Toc17878128" </w:instrText>
      </w:r>
      <w:r>
        <w:fldChar w:fldCharType="separate"/>
      </w:r>
      <w:r>
        <w:rPr>
          <w:rStyle w:val="41"/>
          <w:color w:val="auto"/>
        </w:rPr>
        <w:t>2　规范性引用文件</w:t>
      </w:r>
      <w:r>
        <w:tab/>
      </w:r>
      <w:r>
        <w:fldChar w:fldCharType="begin" w:fldLock="1"/>
      </w:r>
      <w:r>
        <w:instrText xml:space="preserve"> PAGEREF _Toc17878128 \h </w:instrText>
      </w:r>
      <w:r>
        <w:fldChar w:fldCharType="separate"/>
      </w:r>
      <w:r>
        <w:t>1</w:t>
      </w:r>
      <w:r>
        <w:fldChar w:fldCharType="end"/>
      </w:r>
      <w:r>
        <w:fldChar w:fldCharType="end"/>
      </w:r>
    </w:p>
    <w:p>
      <w:pPr>
        <w:pStyle w:val="20"/>
        <w:spacing w:before="78" w:after="78"/>
      </w:pPr>
      <w:r>
        <w:fldChar w:fldCharType="begin"/>
      </w:r>
      <w:r>
        <w:instrText xml:space="preserve"> HYPERLINK \l "_Toc17878129" </w:instrText>
      </w:r>
      <w:r>
        <w:fldChar w:fldCharType="separate"/>
      </w:r>
      <w:r>
        <w:rPr>
          <w:rStyle w:val="41"/>
          <w:color w:val="auto"/>
        </w:rPr>
        <w:t>3</w:t>
      </w:r>
      <w:r>
        <w:rPr>
          <w:rStyle w:val="41"/>
          <w:rFonts w:hint="eastAsia"/>
          <w:color w:val="auto"/>
        </w:rPr>
        <w:t xml:space="preserve">  术语和定义</w:t>
      </w:r>
      <w:r>
        <w:tab/>
      </w:r>
      <w:r>
        <w:fldChar w:fldCharType="begin" w:fldLock="1"/>
      </w:r>
      <w:r>
        <w:instrText xml:space="preserve"> PAGEREF _Toc17878129 \h </w:instrText>
      </w:r>
      <w:r>
        <w:fldChar w:fldCharType="separate"/>
      </w:r>
      <w:r>
        <w:t>1</w:t>
      </w:r>
      <w:r>
        <w:fldChar w:fldCharType="end"/>
      </w:r>
      <w:r>
        <w:fldChar w:fldCharType="end"/>
      </w:r>
    </w:p>
    <w:p>
      <w:pPr>
        <w:pStyle w:val="20"/>
        <w:spacing w:before="78" w:after="78"/>
      </w:pPr>
      <w:r>
        <w:fldChar w:fldCharType="begin"/>
      </w:r>
      <w:r>
        <w:instrText xml:space="preserve"> HYPERLINK \l "_Toc17878129" </w:instrText>
      </w:r>
      <w:r>
        <w:fldChar w:fldCharType="separate"/>
      </w:r>
      <w:r>
        <w:rPr>
          <w:rStyle w:val="41"/>
          <w:rFonts w:hint="eastAsia"/>
          <w:color w:val="auto"/>
        </w:rPr>
        <w:t>4  机关单位反食品浪费工作要求</w:t>
      </w:r>
      <w:r>
        <w:tab/>
      </w:r>
      <w:r>
        <w:t>2</w:t>
      </w:r>
      <w:r>
        <w:fldChar w:fldCharType="end"/>
      </w:r>
    </w:p>
    <w:p>
      <w:pPr>
        <w:pStyle w:val="20"/>
        <w:spacing w:before="78" w:after="78"/>
        <w:ind w:left="210" w:leftChars="100"/>
      </w:pPr>
      <w:r>
        <w:fldChar w:fldCharType="begin"/>
      </w:r>
      <w:r>
        <w:instrText xml:space="preserve"> HYPERLINK \l "_Toc17878129" </w:instrText>
      </w:r>
      <w:r>
        <w:fldChar w:fldCharType="separate"/>
      </w:r>
      <w:r>
        <w:rPr>
          <w:rStyle w:val="41"/>
          <w:rFonts w:hint="eastAsia"/>
          <w:color w:val="auto"/>
        </w:rPr>
        <w:t>4.1  组织管理</w:t>
      </w:r>
      <w:r>
        <w:tab/>
      </w:r>
      <w:r>
        <w:rPr>
          <w:rFonts w:hint="eastAsia"/>
        </w:rPr>
        <w:t>2</w:t>
      </w:r>
      <w:r>
        <w:rPr>
          <w:rFonts w:hint="eastAsia"/>
        </w:rPr>
        <w:fldChar w:fldCharType="end"/>
      </w:r>
    </w:p>
    <w:p>
      <w:pPr>
        <w:pStyle w:val="20"/>
        <w:spacing w:before="78" w:after="78"/>
        <w:ind w:left="210" w:leftChars="100"/>
      </w:pPr>
      <w:r>
        <w:fldChar w:fldCharType="begin"/>
      </w:r>
      <w:r>
        <w:instrText xml:space="preserve"> HYPERLINK \l "_Toc17878129" </w:instrText>
      </w:r>
      <w:r>
        <w:fldChar w:fldCharType="separate"/>
      </w:r>
      <w:r>
        <w:rPr>
          <w:rStyle w:val="41"/>
          <w:rFonts w:hint="eastAsia"/>
          <w:color w:val="auto"/>
        </w:rPr>
        <w:t>4.2  制度建设</w:t>
      </w:r>
      <w:r>
        <w:tab/>
      </w:r>
      <w:r>
        <w:rPr>
          <w:rFonts w:hint="eastAsia"/>
        </w:rPr>
        <w:t>2</w:t>
      </w:r>
      <w:r>
        <w:rPr>
          <w:rFonts w:hint="eastAsia"/>
        </w:rPr>
        <w:fldChar w:fldCharType="end"/>
      </w:r>
    </w:p>
    <w:p>
      <w:pPr>
        <w:pStyle w:val="20"/>
        <w:spacing w:before="78" w:after="78"/>
        <w:ind w:left="210" w:leftChars="100"/>
      </w:pPr>
      <w:r>
        <w:fldChar w:fldCharType="begin"/>
      </w:r>
      <w:r>
        <w:instrText xml:space="preserve"> HYPERLINK \l "_Toc17878129" </w:instrText>
      </w:r>
      <w:r>
        <w:fldChar w:fldCharType="separate"/>
      </w:r>
      <w:r>
        <w:rPr>
          <w:rStyle w:val="41"/>
          <w:rFonts w:hint="eastAsia"/>
          <w:color w:val="auto"/>
        </w:rPr>
        <w:t>4.3  宣传教育</w:t>
      </w:r>
      <w:r>
        <w:tab/>
      </w:r>
      <w:r>
        <w:t>2</w:t>
      </w:r>
      <w:r>
        <w:fldChar w:fldCharType="end"/>
      </w:r>
    </w:p>
    <w:p>
      <w:pPr>
        <w:pStyle w:val="20"/>
        <w:spacing w:before="78" w:after="78"/>
        <w:ind w:left="210" w:leftChars="100"/>
      </w:pPr>
      <w:r>
        <w:fldChar w:fldCharType="begin"/>
      </w:r>
      <w:r>
        <w:instrText xml:space="preserve"> HYPERLINK \l "_Toc17878129" </w:instrText>
      </w:r>
      <w:r>
        <w:fldChar w:fldCharType="separate"/>
      </w:r>
      <w:r>
        <w:rPr>
          <w:rStyle w:val="41"/>
          <w:rFonts w:hint="eastAsia"/>
          <w:color w:val="auto"/>
        </w:rPr>
        <w:t>4.4  监督管理</w:t>
      </w:r>
      <w:r>
        <w:tab/>
      </w:r>
      <w:r>
        <w:t>2</w:t>
      </w:r>
      <w:r>
        <w:fldChar w:fldCharType="end"/>
      </w:r>
    </w:p>
    <w:p>
      <w:pPr>
        <w:pStyle w:val="20"/>
        <w:spacing w:before="78" w:after="78"/>
      </w:pPr>
      <w:r>
        <w:fldChar w:fldCharType="begin"/>
      </w:r>
      <w:r>
        <w:instrText xml:space="preserve"> HYPERLINK \l "_Toc17878129" </w:instrText>
      </w:r>
      <w:r>
        <w:fldChar w:fldCharType="separate"/>
      </w:r>
      <w:r>
        <w:rPr>
          <w:rStyle w:val="41"/>
          <w:rFonts w:hint="eastAsia"/>
          <w:color w:val="auto"/>
        </w:rPr>
        <w:t>5  机关食堂餐饮过程反食品浪费管理要求</w:t>
      </w:r>
      <w:r>
        <w:tab/>
      </w:r>
      <w:r>
        <w:rPr>
          <w:rFonts w:hint="eastAsia"/>
        </w:rPr>
        <w:t>3</w:t>
      </w:r>
      <w:r>
        <w:rPr>
          <w:rFonts w:hint="eastAsia"/>
        </w:rPr>
        <w:fldChar w:fldCharType="end"/>
      </w:r>
    </w:p>
    <w:p>
      <w:pPr>
        <w:pStyle w:val="20"/>
        <w:spacing w:before="78" w:after="78"/>
        <w:ind w:left="210" w:leftChars="100"/>
      </w:pPr>
      <w:r>
        <w:fldChar w:fldCharType="begin"/>
      </w:r>
      <w:r>
        <w:instrText xml:space="preserve"> HYPERLINK \l "_Toc17878129" </w:instrText>
      </w:r>
      <w:r>
        <w:fldChar w:fldCharType="separate"/>
      </w:r>
      <w:r>
        <w:rPr>
          <w:rStyle w:val="41"/>
          <w:rFonts w:hint="eastAsia"/>
          <w:color w:val="auto"/>
        </w:rPr>
        <w:t>5.1  采购环节</w:t>
      </w:r>
      <w:r>
        <w:tab/>
      </w:r>
      <w:r>
        <w:rPr>
          <w:rFonts w:hint="eastAsia"/>
        </w:rPr>
        <w:t>3</w:t>
      </w:r>
      <w:r>
        <w:rPr>
          <w:rFonts w:hint="eastAsia"/>
        </w:rPr>
        <w:fldChar w:fldCharType="end"/>
      </w:r>
    </w:p>
    <w:p>
      <w:pPr>
        <w:pStyle w:val="20"/>
        <w:spacing w:before="78" w:after="78"/>
        <w:ind w:left="210" w:leftChars="100"/>
      </w:pPr>
      <w:r>
        <w:fldChar w:fldCharType="begin"/>
      </w:r>
      <w:r>
        <w:instrText xml:space="preserve"> HYPERLINK \l "_Toc17878129" </w:instrText>
      </w:r>
      <w:r>
        <w:fldChar w:fldCharType="separate"/>
      </w:r>
      <w:r>
        <w:rPr>
          <w:rStyle w:val="41"/>
          <w:rFonts w:hint="eastAsia"/>
          <w:color w:val="auto"/>
        </w:rPr>
        <w:t>5.2  储存环节</w:t>
      </w:r>
      <w:r>
        <w:tab/>
      </w:r>
      <w:r>
        <w:rPr>
          <w:rFonts w:hint="eastAsia"/>
        </w:rPr>
        <w:t>3</w:t>
      </w:r>
      <w:r>
        <w:rPr>
          <w:rFonts w:hint="eastAsia"/>
        </w:rPr>
        <w:fldChar w:fldCharType="end"/>
      </w:r>
    </w:p>
    <w:p>
      <w:pPr>
        <w:pStyle w:val="20"/>
        <w:spacing w:before="78" w:after="78"/>
        <w:ind w:left="210" w:leftChars="100"/>
      </w:pPr>
      <w:r>
        <w:fldChar w:fldCharType="begin"/>
      </w:r>
      <w:r>
        <w:instrText xml:space="preserve"> HYPERLINK \l "_Toc17878129" </w:instrText>
      </w:r>
      <w:r>
        <w:fldChar w:fldCharType="separate"/>
      </w:r>
      <w:r>
        <w:rPr>
          <w:rStyle w:val="41"/>
          <w:rFonts w:hint="eastAsia"/>
          <w:color w:val="auto"/>
        </w:rPr>
        <w:t>5.3  备餐环节</w:t>
      </w:r>
      <w:r>
        <w:tab/>
      </w:r>
      <w:r>
        <w:t>3</w:t>
      </w:r>
      <w:r>
        <w:fldChar w:fldCharType="end"/>
      </w:r>
    </w:p>
    <w:p>
      <w:pPr>
        <w:pStyle w:val="20"/>
        <w:spacing w:before="78" w:after="78"/>
        <w:ind w:left="210" w:leftChars="100"/>
      </w:pPr>
      <w:r>
        <w:fldChar w:fldCharType="begin"/>
      </w:r>
      <w:r>
        <w:instrText xml:space="preserve"> HYPERLINK \l "_Toc17878129" </w:instrText>
      </w:r>
      <w:r>
        <w:fldChar w:fldCharType="separate"/>
      </w:r>
      <w:r>
        <w:rPr>
          <w:rStyle w:val="41"/>
          <w:rFonts w:hint="eastAsia"/>
          <w:color w:val="auto"/>
        </w:rPr>
        <w:t>5.4  制餐环节</w:t>
      </w:r>
      <w:r>
        <w:tab/>
      </w:r>
      <w:r>
        <w:rPr>
          <w:rFonts w:hint="eastAsia"/>
        </w:rPr>
        <w:t>4</w:t>
      </w:r>
      <w:r>
        <w:rPr>
          <w:rFonts w:hint="eastAsia"/>
        </w:rPr>
        <w:fldChar w:fldCharType="end"/>
      </w:r>
    </w:p>
    <w:p>
      <w:pPr>
        <w:pStyle w:val="20"/>
        <w:spacing w:before="78" w:after="78"/>
        <w:ind w:left="210" w:leftChars="100"/>
      </w:pPr>
      <w:r>
        <w:fldChar w:fldCharType="begin"/>
      </w:r>
      <w:r>
        <w:instrText xml:space="preserve"> HYPERLINK \l "_Toc17878129" </w:instrText>
      </w:r>
      <w:r>
        <w:fldChar w:fldCharType="separate"/>
      </w:r>
      <w:r>
        <w:rPr>
          <w:rStyle w:val="41"/>
          <w:rFonts w:hint="eastAsia"/>
          <w:color w:val="auto"/>
        </w:rPr>
        <w:t>5.5  供餐环节</w:t>
      </w:r>
      <w:r>
        <w:tab/>
      </w:r>
      <w:r>
        <w:rPr>
          <w:rFonts w:hint="eastAsia"/>
        </w:rPr>
        <w:t>4</w:t>
      </w:r>
      <w:r>
        <w:rPr>
          <w:rFonts w:hint="eastAsia"/>
        </w:rPr>
        <w:fldChar w:fldCharType="end"/>
      </w:r>
    </w:p>
    <w:p>
      <w:pPr>
        <w:pStyle w:val="20"/>
        <w:spacing w:before="78" w:after="78"/>
        <w:ind w:left="210" w:leftChars="100"/>
      </w:pPr>
      <w:r>
        <w:fldChar w:fldCharType="begin"/>
      </w:r>
      <w:r>
        <w:instrText xml:space="preserve"> HYPERLINK \l "_Toc17878129" </w:instrText>
      </w:r>
      <w:r>
        <w:fldChar w:fldCharType="separate"/>
      </w:r>
      <w:r>
        <w:rPr>
          <w:rStyle w:val="41"/>
          <w:rFonts w:hint="eastAsia"/>
          <w:color w:val="auto"/>
        </w:rPr>
        <w:t>5.6  用餐环节</w:t>
      </w:r>
      <w:r>
        <w:tab/>
      </w:r>
      <w:r>
        <w:rPr>
          <w:rFonts w:hint="eastAsia"/>
        </w:rPr>
        <w:t>4</w:t>
      </w:r>
      <w:r>
        <w:rPr>
          <w:rFonts w:hint="eastAsia"/>
        </w:rPr>
        <w:fldChar w:fldCharType="end"/>
      </w:r>
    </w:p>
    <w:p>
      <w:pPr>
        <w:pStyle w:val="20"/>
        <w:spacing w:before="78" w:after="78"/>
        <w:ind w:left="210" w:leftChars="100"/>
      </w:pPr>
      <w:r>
        <w:fldChar w:fldCharType="begin"/>
      </w:r>
      <w:r>
        <w:instrText xml:space="preserve"> HYPERLINK \l "_Toc17878129" </w:instrText>
      </w:r>
      <w:r>
        <w:fldChar w:fldCharType="separate"/>
      </w:r>
      <w:r>
        <w:rPr>
          <w:rStyle w:val="41"/>
          <w:rFonts w:hint="eastAsia"/>
          <w:color w:val="auto"/>
        </w:rPr>
        <w:t>5.7  餐后环节</w:t>
      </w:r>
      <w:r>
        <w:tab/>
      </w:r>
      <w:r>
        <w:rPr>
          <w:rFonts w:hint="eastAsia"/>
        </w:rPr>
        <w:t>4</w:t>
      </w:r>
      <w:r>
        <w:rPr>
          <w:rFonts w:hint="eastAsia"/>
        </w:rPr>
        <w:fldChar w:fldCharType="end"/>
      </w:r>
    </w:p>
    <w:p>
      <w:pPr>
        <w:pStyle w:val="20"/>
        <w:spacing w:before="78" w:after="78"/>
        <w:ind w:left="210" w:leftChars="100"/>
      </w:pPr>
      <w:r>
        <w:fldChar w:fldCharType="begin"/>
      </w:r>
      <w:r>
        <w:instrText xml:space="preserve"> HYPERLINK \l "_Toc17878129" </w:instrText>
      </w:r>
      <w:r>
        <w:fldChar w:fldCharType="separate"/>
      </w:r>
      <w:r>
        <w:rPr>
          <w:rStyle w:val="41"/>
          <w:rFonts w:hint="eastAsia"/>
          <w:color w:val="auto"/>
        </w:rPr>
        <w:t>5.8  厨余垃圾处理环节</w:t>
      </w:r>
      <w:r>
        <w:tab/>
      </w:r>
      <w:r>
        <w:rPr>
          <w:rFonts w:hint="eastAsia"/>
        </w:rPr>
        <w:t>4</w:t>
      </w:r>
      <w:r>
        <w:rPr>
          <w:rFonts w:hint="eastAsia"/>
        </w:rPr>
        <w:fldChar w:fldCharType="end"/>
      </w:r>
    </w:p>
    <w:p>
      <w:pPr>
        <w:pStyle w:val="20"/>
        <w:spacing w:before="78" w:after="78"/>
        <w:ind w:left="210" w:leftChars="100"/>
      </w:pPr>
      <w:r>
        <w:fldChar w:fldCharType="begin"/>
      </w:r>
      <w:r>
        <w:instrText xml:space="preserve"> HYPERLINK \l "_Toc17878129" </w:instrText>
      </w:r>
      <w:r>
        <w:fldChar w:fldCharType="separate"/>
      </w:r>
      <w:r>
        <w:rPr>
          <w:rStyle w:val="41"/>
          <w:rFonts w:hint="eastAsia"/>
          <w:color w:val="auto"/>
        </w:rPr>
        <w:t>5.9  业务培训环节</w:t>
      </w:r>
      <w:r>
        <w:tab/>
      </w:r>
      <w:r>
        <w:rPr>
          <w:rFonts w:hint="eastAsia"/>
        </w:rPr>
        <w:t>5</w:t>
      </w:r>
      <w:r>
        <w:rPr>
          <w:rFonts w:hint="eastAsia"/>
        </w:rPr>
        <w:fldChar w:fldCharType="end"/>
      </w:r>
    </w:p>
    <w:p>
      <w:pPr>
        <w:pStyle w:val="20"/>
        <w:spacing w:before="78" w:after="78"/>
        <w:ind w:left="210" w:leftChars="100"/>
      </w:pPr>
      <w:r>
        <w:fldChar w:fldCharType="begin"/>
      </w:r>
      <w:r>
        <w:instrText xml:space="preserve"> HYPERLINK \l "_Toc17878129" </w:instrText>
      </w:r>
      <w:r>
        <w:fldChar w:fldCharType="separate"/>
      </w:r>
      <w:r>
        <w:rPr>
          <w:rStyle w:val="41"/>
          <w:rFonts w:hint="eastAsia"/>
          <w:color w:val="auto"/>
        </w:rPr>
        <w:t>5.10  监测环节</w:t>
      </w:r>
      <w:r>
        <w:tab/>
      </w:r>
      <w:r>
        <w:rPr>
          <w:rFonts w:hint="eastAsia"/>
        </w:rPr>
        <w:t>5</w:t>
      </w:r>
      <w:r>
        <w:rPr>
          <w:rFonts w:hint="eastAsia"/>
        </w:rPr>
        <w:fldChar w:fldCharType="end"/>
      </w:r>
    </w:p>
    <w:p>
      <w:pPr>
        <w:pStyle w:val="20"/>
        <w:spacing w:before="78" w:after="78"/>
        <w:rPr>
          <w:rFonts w:asciiTheme="minorHAnsi" w:hAnsiTheme="minorHAnsi" w:eastAsiaTheme="minorEastAsia" w:cstheme="minorBidi"/>
          <w:szCs w:val="22"/>
        </w:rPr>
      </w:pPr>
      <w:r>
        <w:fldChar w:fldCharType="begin"/>
      </w:r>
      <w:r>
        <w:instrText xml:space="preserve"> HYPERLINK \l "_Toc17878130" </w:instrText>
      </w:r>
      <w:r>
        <w:fldChar w:fldCharType="separate"/>
      </w:r>
      <w:r>
        <w:rPr>
          <w:rStyle w:val="41"/>
          <w:color w:val="auto"/>
        </w:rPr>
        <w:t>附录A（</w:t>
      </w:r>
      <w:r>
        <w:rPr>
          <w:rStyle w:val="41"/>
          <w:rFonts w:hint="eastAsia"/>
          <w:color w:val="auto"/>
        </w:rPr>
        <w:t>资料性</w:t>
      </w:r>
      <w:r>
        <w:rPr>
          <w:rStyle w:val="41"/>
          <w:color w:val="auto"/>
        </w:rPr>
        <w:t>）　</w:t>
      </w:r>
      <w:r>
        <w:rPr>
          <w:rStyle w:val="41"/>
          <w:rFonts w:hint="eastAsia"/>
          <w:color w:val="auto"/>
        </w:rPr>
        <w:t>制餐区厨余垃圾台账模板</w:t>
      </w:r>
      <w:r>
        <w:tab/>
      </w:r>
      <w:r>
        <w:t>6</w:t>
      </w:r>
      <w:r>
        <w:fldChar w:fldCharType="end"/>
      </w:r>
    </w:p>
    <w:p>
      <w:pPr>
        <w:pStyle w:val="20"/>
        <w:spacing w:before="78" w:after="78"/>
        <w:rPr>
          <w:rFonts w:asciiTheme="minorHAnsi" w:hAnsiTheme="minorHAnsi" w:eastAsiaTheme="minorEastAsia" w:cstheme="minorBidi"/>
          <w:szCs w:val="22"/>
        </w:rPr>
      </w:pPr>
      <w:r>
        <w:fldChar w:fldCharType="begin"/>
      </w:r>
      <w:r>
        <w:instrText xml:space="preserve"> HYPERLINK \l "_Toc17878130" </w:instrText>
      </w:r>
      <w:r>
        <w:fldChar w:fldCharType="separate"/>
      </w:r>
      <w:r>
        <w:rPr>
          <w:rStyle w:val="41"/>
          <w:color w:val="auto"/>
        </w:rPr>
        <w:t>附录</w:t>
      </w:r>
      <w:r>
        <w:rPr>
          <w:rStyle w:val="41"/>
          <w:rFonts w:hint="eastAsia"/>
          <w:color w:val="auto"/>
        </w:rPr>
        <w:t>B</w:t>
      </w:r>
      <w:r>
        <w:rPr>
          <w:rStyle w:val="41"/>
          <w:color w:val="auto"/>
        </w:rPr>
        <w:t>（</w:t>
      </w:r>
      <w:r>
        <w:rPr>
          <w:rStyle w:val="41"/>
          <w:rFonts w:hint="eastAsia"/>
          <w:color w:val="auto"/>
        </w:rPr>
        <w:t>资料性</w:t>
      </w:r>
      <w:r>
        <w:rPr>
          <w:rStyle w:val="41"/>
          <w:color w:val="auto"/>
        </w:rPr>
        <w:t>）　</w:t>
      </w:r>
      <w:r>
        <w:rPr>
          <w:rStyle w:val="41"/>
          <w:rFonts w:hint="eastAsia"/>
          <w:color w:val="auto"/>
        </w:rPr>
        <w:t>机关食堂厨余垃圾台账模板</w:t>
      </w:r>
      <w:r>
        <w:tab/>
      </w:r>
      <w:r>
        <w:rPr>
          <w:rFonts w:hint="eastAsia"/>
        </w:rPr>
        <w:t>7</w:t>
      </w:r>
      <w:r>
        <w:rPr>
          <w:rFonts w:hint="eastAsia"/>
        </w:rPr>
        <w:fldChar w:fldCharType="end"/>
      </w:r>
    </w:p>
    <w:p>
      <w:pPr>
        <w:pStyle w:val="20"/>
        <w:spacing w:before="78" w:after="78"/>
        <w:rPr>
          <w:rFonts w:asciiTheme="minorHAnsi" w:hAnsiTheme="minorHAnsi" w:eastAsiaTheme="minorEastAsia" w:cstheme="minorBidi"/>
          <w:szCs w:val="22"/>
        </w:rPr>
      </w:pPr>
      <w:r>
        <w:fldChar w:fldCharType="begin"/>
      </w:r>
      <w:r>
        <w:instrText xml:space="preserve"> HYPERLINK \l "_Toc17878130" </w:instrText>
      </w:r>
      <w:r>
        <w:fldChar w:fldCharType="separate"/>
      </w:r>
      <w:r>
        <w:rPr>
          <w:rStyle w:val="41"/>
          <w:color w:val="auto"/>
        </w:rPr>
        <w:t>附录</w:t>
      </w:r>
      <w:r>
        <w:rPr>
          <w:rStyle w:val="41"/>
          <w:rFonts w:hint="eastAsia"/>
          <w:color w:val="auto"/>
        </w:rPr>
        <w:t>C</w:t>
      </w:r>
      <w:r>
        <w:rPr>
          <w:rStyle w:val="41"/>
          <w:color w:val="auto"/>
        </w:rPr>
        <w:t>（</w:t>
      </w:r>
      <w:r>
        <w:rPr>
          <w:rStyle w:val="41"/>
          <w:rFonts w:hint="eastAsia"/>
          <w:color w:val="auto"/>
        </w:rPr>
        <w:t>资料性</w:t>
      </w:r>
      <w:r>
        <w:rPr>
          <w:rStyle w:val="41"/>
          <w:color w:val="auto"/>
        </w:rPr>
        <w:t>）　</w:t>
      </w:r>
      <w:r>
        <w:rPr>
          <w:rStyle w:val="41"/>
          <w:rFonts w:hint="eastAsia"/>
          <w:color w:val="auto"/>
        </w:rPr>
        <w:t>食品浪费系数测量方法</w:t>
      </w:r>
      <w:r>
        <w:tab/>
      </w:r>
      <w:r>
        <w:rPr>
          <w:rFonts w:hint="eastAsia"/>
        </w:rPr>
        <w:t>8</w:t>
      </w:r>
      <w:r>
        <w:rPr>
          <w:rFonts w:hint="eastAsia"/>
        </w:rPr>
        <w:fldChar w:fldCharType="end"/>
      </w:r>
    </w:p>
    <w:p>
      <w:pPr>
        <w:pStyle w:val="20"/>
        <w:spacing w:before="78" w:after="78"/>
        <w:rPr>
          <w:rFonts w:asciiTheme="minorHAnsi" w:hAnsiTheme="minorHAnsi" w:eastAsiaTheme="minorEastAsia" w:cstheme="minorBidi"/>
          <w:szCs w:val="22"/>
        </w:rPr>
      </w:pPr>
      <w:r>
        <w:fldChar w:fldCharType="begin"/>
      </w:r>
      <w:r>
        <w:instrText xml:space="preserve"> HYPERLINK \l "_Toc17878130" </w:instrText>
      </w:r>
      <w:r>
        <w:fldChar w:fldCharType="separate"/>
      </w:r>
      <w:r>
        <w:rPr>
          <w:rStyle w:val="41"/>
          <w:rFonts w:hint="eastAsia"/>
          <w:color w:val="auto"/>
        </w:rPr>
        <w:t>参考文献</w:t>
      </w:r>
      <w:r>
        <w:tab/>
      </w:r>
      <w:r>
        <w:rPr>
          <w:rFonts w:hint="eastAsia"/>
        </w:rPr>
        <w:t>9</w:t>
      </w:r>
      <w:r>
        <w:rPr>
          <w:rFonts w:hint="eastAsia"/>
        </w:rPr>
        <w:fldChar w:fldCharType="end"/>
      </w:r>
    </w:p>
    <w:p>
      <w:pPr>
        <w:pStyle w:val="20"/>
        <w:spacing w:before="78" w:after="78"/>
        <w:rPr>
          <w:rFonts w:asciiTheme="minorHAnsi" w:hAnsiTheme="minorHAnsi" w:cstheme="minorBidi"/>
          <w:szCs w:val="22"/>
        </w:rPr>
      </w:pPr>
    </w:p>
    <w:p>
      <w:pPr>
        <w:pStyle w:val="24"/>
      </w:pPr>
      <w:r>
        <w:fldChar w:fldCharType="end"/>
      </w:r>
    </w:p>
    <w:p>
      <w:pPr>
        <w:pStyle w:val="115"/>
        <w:tabs>
          <w:tab w:val="left" w:pos="1105"/>
          <w:tab w:val="center" w:pos="4677"/>
        </w:tabs>
        <w:jc w:val="left"/>
      </w:pPr>
      <w:bookmarkStart w:id="17" w:name="_Toc17878125"/>
      <w:r>
        <w:tab/>
      </w:r>
      <w:r>
        <w:tab/>
      </w:r>
      <w:r>
        <w:rPr>
          <w:rFonts w:hint="eastAsia"/>
        </w:rPr>
        <w:t>前</w:t>
      </w:r>
      <w:bookmarkStart w:id="18" w:name="BKQY"/>
      <w:r>
        <w:rPr>
          <w:rFonts w:hAnsi="黑体"/>
        </w:rPr>
        <w:t>  </w:t>
      </w:r>
      <w:r>
        <w:rPr>
          <w:rFonts w:hint="eastAsia"/>
        </w:rPr>
        <w:t>言</w:t>
      </w:r>
      <w:bookmarkEnd w:id="17"/>
      <w:bookmarkEnd w:id="18"/>
    </w:p>
    <w:p>
      <w:pPr>
        <w:pStyle w:val="24"/>
      </w:pPr>
      <w:r>
        <w:rPr>
          <w:rFonts w:hint="eastAsia"/>
        </w:rPr>
        <w:t>本</w:t>
      </w:r>
      <w:r>
        <w:t>文件按照</w:t>
      </w:r>
      <w:r>
        <w:rPr>
          <w:rFonts w:hint="eastAsia"/>
        </w:rPr>
        <w:t>GB/T 1.1—2020《标准化</w:t>
      </w:r>
      <w:r>
        <w:t>工作导则</w:t>
      </w:r>
      <w:r>
        <w:rPr>
          <w:rFonts w:hint="eastAsia"/>
        </w:rPr>
        <w:t xml:space="preserve"> 第1部分</w:t>
      </w:r>
      <w:r>
        <w:t>：标准化文件的结构和起草规则</w:t>
      </w:r>
      <w:r>
        <w:rPr>
          <w:rFonts w:hint="eastAsia"/>
        </w:rPr>
        <w:t>》的</w:t>
      </w:r>
      <w:r>
        <w:t>规定起草。</w:t>
      </w:r>
    </w:p>
    <w:p>
      <w:pPr>
        <w:pStyle w:val="24"/>
      </w:pPr>
      <w:r>
        <w:rPr>
          <w:rFonts w:hint="eastAsia"/>
        </w:rPr>
        <w:t>本文件的内容涉及“一种基于图像法的食物浪费评估方法及系统”专利（证书编号为ZL202210531915.</w:t>
      </w:r>
      <w:r>
        <w:t>X</w:t>
      </w:r>
      <w:r>
        <w:rPr>
          <w:rFonts w:hint="eastAsia"/>
        </w:rPr>
        <w:t>），专利持有人声明放弃因本地方标准实施而产生的与该专利权相关的权利，并已出具《关于北京市地方标准&lt;机关食堂反食品浪费管理规范&gt;中专利权的声明》。</w:t>
      </w:r>
    </w:p>
    <w:p>
      <w:pPr>
        <w:pStyle w:val="24"/>
      </w:pPr>
      <w:r>
        <w:rPr>
          <w:rFonts w:hint="eastAsia"/>
        </w:rPr>
        <w:t>本</w:t>
      </w:r>
      <w:r>
        <w:t>文件由</w:t>
      </w:r>
      <w:r>
        <w:rPr>
          <w:rFonts w:hint="eastAsia"/>
        </w:rPr>
        <w:t>北京市机关事务管理局提出并归口</w:t>
      </w:r>
      <w:r>
        <w:t>。</w:t>
      </w:r>
    </w:p>
    <w:p>
      <w:pPr>
        <w:pStyle w:val="24"/>
      </w:pPr>
      <w:r>
        <w:rPr>
          <w:rFonts w:hint="eastAsia"/>
        </w:rPr>
        <w:t>本文件由北京市机关事务管理局组织实施。</w:t>
      </w:r>
    </w:p>
    <w:p>
      <w:pPr>
        <w:pStyle w:val="24"/>
      </w:pPr>
      <w:r>
        <w:rPr>
          <w:rFonts w:hint="eastAsia"/>
        </w:rPr>
        <w:t>本</w:t>
      </w:r>
      <w:r>
        <w:t>文件起草单位：</w:t>
      </w:r>
    </w:p>
    <w:p>
      <w:pPr>
        <w:pStyle w:val="24"/>
      </w:pPr>
      <w:r>
        <w:rPr>
          <w:rFonts w:hint="eastAsia"/>
        </w:rPr>
        <w:t>本</w:t>
      </w:r>
      <w:r>
        <w:t>文件主要起草人：</w:t>
      </w:r>
    </w:p>
    <w:p>
      <w:r>
        <w:br w:type="page"/>
      </w:r>
    </w:p>
    <w:p>
      <w:pPr>
        <w:pStyle w:val="115"/>
        <w:tabs>
          <w:tab w:val="left" w:pos="1105"/>
          <w:tab w:val="center" w:pos="4677"/>
        </w:tabs>
        <w:jc w:val="left"/>
      </w:pPr>
      <w:r>
        <w:tab/>
      </w:r>
      <w:r>
        <w:tab/>
      </w:r>
      <w:r>
        <w:rPr>
          <w:rFonts w:hint="eastAsia"/>
        </w:rPr>
        <w:t>引</w:t>
      </w:r>
      <w:r>
        <w:rPr>
          <w:rFonts w:hAnsi="黑体"/>
        </w:rPr>
        <w:t>  </w:t>
      </w:r>
      <w:r>
        <w:rPr>
          <w:rFonts w:hint="eastAsia"/>
        </w:rPr>
        <w:t xml:space="preserve">言 </w:t>
      </w:r>
    </w:p>
    <w:p>
      <w:pPr>
        <w:pStyle w:val="24"/>
      </w:pPr>
      <w:r>
        <w:rPr>
          <w:rFonts w:hint="eastAsia"/>
        </w:rPr>
        <w:t>为贯彻落实《中华人民共和国反食品浪费法》，科学规范开展机关食堂反食品浪费工作，全面推行机关食堂反食品浪费工作成效评估和通报制度，制定本文件。</w:t>
      </w:r>
    </w:p>
    <w:p>
      <w:pPr>
        <w:pStyle w:val="24"/>
      </w:pPr>
      <w:r>
        <w:rPr>
          <w:rFonts w:hint="eastAsia"/>
        </w:rPr>
        <w:t>本文件的发布机构提请注意，声明符合本文件时，可能涉及到发明专利ZL202210531915.</w:t>
      </w:r>
      <w:r>
        <w:t>X</w:t>
      </w:r>
      <w:r>
        <w:rPr>
          <w:rFonts w:hint="eastAsia"/>
        </w:rPr>
        <w:t>“一种基于图像法的食物浪费评估方法及系统”相关的专利的使用。</w:t>
      </w:r>
    </w:p>
    <w:p>
      <w:pPr>
        <w:pStyle w:val="24"/>
      </w:pPr>
      <w:r>
        <w:rPr>
          <w:rFonts w:hint="eastAsia"/>
        </w:rPr>
        <w:t>本文件的发布机构对于该专利的真实性、有效性和范围无任何立场。</w:t>
      </w:r>
    </w:p>
    <w:p>
      <w:pPr>
        <w:pStyle w:val="24"/>
      </w:pPr>
      <w:r>
        <w:rPr>
          <w:rFonts w:hint="eastAsia"/>
        </w:rPr>
        <w:t>该专利权人已向本文件的发布机构声明，放弃因实施本文件而产生的专利号为ZL202210531915.</w:t>
      </w:r>
      <w:r>
        <w:t>X</w:t>
      </w:r>
      <w:r>
        <w:rPr>
          <w:rFonts w:hint="eastAsia"/>
        </w:rPr>
        <w:t>“一种基于图像法的食物浪费评估方法及系统”的专利权。该专利权人的声明己在文件的发布机构备案。</w:t>
      </w:r>
    </w:p>
    <w:p>
      <w:pPr>
        <w:pStyle w:val="24"/>
      </w:pPr>
      <w:r>
        <w:rPr>
          <w:rFonts w:hint="eastAsia"/>
        </w:rPr>
        <w:t>该专利持有人的声明已在本文件的发布机构备案。相关信息可以通过以下联系方式获得：</w:t>
      </w:r>
    </w:p>
    <w:p>
      <w:pPr>
        <w:pStyle w:val="24"/>
      </w:pPr>
      <w:r>
        <w:rPr>
          <w:rFonts w:hint="eastAsia"/>
        </w:rPr>
        <w:t>专利持有人姓名：中国科学院地理科学与资源研究所；中国地质博物馆。</w:t>
      </w:r>
    </w:p>
    <w:p>
      <w:pPr>
        <w:pStyle w:val="24"/>
      </w:pPr>
      <w:r>
        <w:rPr>
          <w:rFonts w:hint="eastAsia"/>
        </w:rPr>
        <w:t>地址：北京市朝阳区大屯路甲11号。</w:t>
      </w:r>
    </w:p>
    <w:p>
      <w:pPr>
        <w:pStyle w:val="24"/>
        <w:rPr>
          <w:color w:val="FF0000"/>
        </w:rPr>
      </w:pPr>
      <w:r>
        <w:rPr>
          <w:rFonts w:hint="eastAsia"/>
        </w:rPr>
        <w:t>请注意除上述专利外，本文件的某些内容仍可能涉及专利。本文件的发布机构不承担识别这些专利的责任。</w:t>
      </w:r>
    </w:p>
    <w:p>
      <w:pPr>
        <w:pStyle w:val="115"/>
        <w:tabs>
          <w:tab w:val="left" w:pos="25"/>
          <w:tab w:val="center" w:pos="4677"/>
        </w:tabs>
        <w:jc w:val="left"/>
        <w:rPr>
          <w:color w:val="FF0000"/>
        </w:rPr>
        <w:sectPr>
          <w:headerReference r:id="rId5" w:type="default"/>
          <w:footerReference r:id="rId6" w:type="default"/>
          <w:pgSz w:w="11906" w:h="16838"/>
          <w:pgMar w:top="567" w:right="1134" w:bottom="1134" w:left="1417" w:header="1418" w:footer="1134" w:gutter="0"/>
          <w:pgNumType w:fmt="upperRoman" w:start="1"/>
          <w:cols w:space="425" w:num="1"/>
          <w:formProt w:val="0"/>
          <w:docGrid w:type="lines" w:linePitch="312" w:charSpace="0"/>
        </w:sectPr>
      </w:pPr>
    </w:p>
    <w:p>
      <w:pPr>
        <w:pStyle w:val="140"/>
      </w:pPr>
      <w:sdt>
        <w:sdtPr>
          <w:rPr>
            <w:szCs w:val="21"/>
          </w:rPr>
          <w:alias w:val="标准名称"/>
          <w:tag w:val="标准名称"/>
          <w:id w:val="1795105741"/>
          <w:lock w:val="sdtLocked"/>
          <w:placeholder>
            <w:docPart w:val="111"/>
          </w:placeholder>
          <w:text w:multiLine="1"/>
        </w:sdtPr>
        <w:sdtEndPr>
          <w:rPr>
            <w:szCs w:val="21"/>
          </w:rPr>
        </w:sdtEndPr>
        <w:sdtContent>
          <w:r>
            <w:rPr>
              <w:rFonts w:hint="eastAsia"/>
              <w:szCs w:val="21"/>
            </w:rPr>
            <w:t>机关食堂反食品浪费管理规范</w:t>
          </w:r>
        </w:sdtContent>
      </w:sdt>
      <w:bookmarkStart w:id="19" w:name="StandardName"/>
      <w:bookmarkEnd w:id="19"/>
    </w:p>
    <w:p>
      <w:pPr>
        <w:pStyle w:val="48"/>
        <w:spacing w:before="312" w:after="312"/>
      </w:pPr>
      <w:bookmarkStart w:id="20" w:name="_Toc17878127"/>
      <w:r>
        <w:rPr>
          <w:rFonts w:hint="eastAsia"/>
        </w:rPr>
        <w:t>范围</w:t>
      </w:r>
      <w:bookmarkEnd w:id="20"/>
    </w:p>
    <w:p>
      <w:pPr>
        <w:pStyle w:val="24"/>
      </w:pPr>
      <w:r>
        <w:rPr>
          <w:rFonts w:hint="eastAsia"/>
        </w:rPr>
        <w:t>本文件规定了</w:t>
      </w:r>
      <w:r>
        <w:rPr>
          <w:rFonts w:hint="eastAsia" w:hAnsi="宋体"/>
        </w:rPr>
        <w:t>机关单位开展反食品浪费工作要求，机关食堂餐饮过程反食品浪费主要措施</w:t>
      </w:r>
      <w:r>
        <w:rPr>
          <w:rFonts w:hint="eastAsia"/>
        </w:rPr>
        <w:t>等内容。</w:t>
      </w:r>
    </w:p>
    <w:p>
      <w:pPr>
        <w:pStyle w:val="24"/>
      </w:pPr>
      <w:r>
        <w:rPr>
          <w:rFonts w:hint="eastAsia"/>
        </w:rPr>
        <w:t>本文件</w:t>
      </w:r>
      <w:r>
        <w:t>适用于</w:t>
      </w:r>
      <w:r>
        <w:rPr>
          <w:rFonts w:hint="eastAsia"/>
        </w:rPr>
        <w:t>各级党的机关、人大机关、行政机关、政协机关、监察机关、审判机关、检察机关，工会、共青团、妇联等人民团体和参照公务员法管理的事业单位</w:t>
      </w:r>
      <w:r>
        <w:rPr>
          <w:rFonts w:hint="eastAsia" w:hAnsi="宋体"/>
        </w:rPr>
        <w:t>开展食堂反食品浪费工作。</w:t>
      </w:r>
    </w:p>
    <w:p>
      <w:pPr>
        <w:pStyle w:val="48"/>
        <w:spacing w:before="312" w:after="312"/>
      </w:pPr>
      <w:bookmarkStart w:id="21" w:name="_Toc17878128"/>
      <w:r>
        <w:rPr>
          <w:rFonts w:hint="eastAsia"/>
        </w:rPr>
        <w:t>规范性引用文件</w:t>
      </w:r>
      <w:bookmarkEnd w:id="21"/>
    </w:p>
    <w:p>
      <w:pPr>
        <w:pStyle w:val="24"/>
      </w:pPr>
      <w:r>
        <w:rPr>
          <w:rFonts w:hint="eastAsia"/>
        </w:rPr>
        <w:t>下列</w:t>
      </w:r>
      <w:r>
        <w:t>文件中的内容通过文中的规范性引用而构成本文件必不可少的条款。其中</w:t>
      </w:r>
      <w:r>
        <w:rPr>
          <w:rFonts w:hint="eastAsia"/>
        </w:rPr>
        <w:t>，</w:t>
      </w:r>
      <w:r>
        <w:t>注日期的引用文件，仅该日期对应的版本适用于本文件；不注日期的引用文件，</w:t>
      </w:r>
      <w:r>
        <w:rPr>
          <w:rFonts w:hint="eastAsia"/>
        </w:rPr>
        <w:t>其</w:t>
      </w:r>
      <w:r>
        <w:t>最新版本（</w:t>
      </w:r>
      <w:r>
        <w:rPr>
          <w:rFonts w:hint="eastAsia"/>
        </w:rPr>
        <w:t>包括</w:t>
      </w:r>
      <w:r>
        <w:t>所有的修改</w:t>
      </w:r>
      <w:r>
        <w:rPr>
          <w:rFonts w:hint="eastAsia"/>
        </w:rPr>
        <w:t>单</w:t>
      </w:r>
      <w:r>
        <w:t>）</w:t>
      </w:r>
      <w:r>
        <w:rPr>
          <w:rFonts w:hint="eastAsia"/>
        </w:rPr>
        <w:t>适用于</w:t>
      </w:r>
      <w:r>
        <w:t>本文件。</w:t>
      </w:r>
    </w:p>
    <w:p>
      <w:pPr>
        <w:pStyle w:val="24"/>
      </w:pPr>
      <w:r>
        <w:rPr>
          <w:rFonts w:hint="eastAsia"/>
        </w:rPr>
        <w:t>GB 31654</w:t>
      </w:r>
      <w:r>
        <w:t xml:space="preserve"> </w:t>
      </w:r>
      <w:r>
        <w:rPr>
          <w:rFonts w:hint="eastAsia"/>
        </w:rPr>
        <w:t>食品安全国家标准 餐饮服务通用卫生规范</w:t>
      </w:r>
    </w:p>
    <w:p>
      <w:pPr>
        <w:pStyle w:val="145"/>
        <w:ind w:firstLine="420"/>
      </w:pPr>
      <w:r>
        <w:rPr>
          <w:rFonts w:hint="eastAsia"/>
        </w:rPr>
        <w:t>D</w:t>
      </w:r>
      <w:r>
        <w:t xml:space="preserve">B11/T 2033 </w:t>
      </w:r>
      <w:r>
        <w:rPr>
          <w:rFonts w:hint="eastAsia"/>
        </w:rPr>
        <w:t>餐厨垃圾源头减量操作要求</w:t>
      </w:r>
    </w:p>
    <w:p>
      <w:pPr>
        <w:pStyle w:val="48"/>
        <w:spacing w:before="312" w:after="312"/>
      </w:pPr>
      <w:bookmarkStart w:id="22" w:name="_Toc17878129"/>
      <w:bookmarkEnd w:id="22"/>
      <w:r>
        <w:rPr>
          <w:rFonts w:hint="eastAsia"/>
        </w:rPr>
        <w:t>术语</w:t>
      </w:r>
      <w:r>
        <w:t>和定义</w:t>
      </w:r>
    </w:p>
    <w:p>
      <w:pPr>
        <w:pStyle w:val="24"/>
      </w:pPr>
      <w:r>
        <w:rPr>
          <w:rFonts w:hint="eastAsia"/>
        </w:rPr>
        <w:t>下列</w:t>
      </w:r>
      <w:r>
        <w:t>术语和定义适用于本文件。</w:t>
      </w:r>
    </w:p>
    <w:p>
      <w:pPr>
        <w:pStyle w:val="48"/>
        <w:numPr>
          <w:ilvl w:val="0"/>
          <w:numId w:val="0"/>
        </w:numPr>
        <w:spacing w:before="156" w:beforeLines="50" w:after="156" w:afterLines="50"/>
      </w:pPr>
      <w:r>
        <w:rPr>
          <w:rFonts w:hint="eastAsia"/>
        </w:rPr>
        <w:t>3.1</w:t>
      </w:r>
    </w:p>
    <w:p>
      <w:pPr>
        <w:pStyle w:val="24"/>
        <w:rPr>
          <w:rFonts w:ascii="黑体" w:hAnsi="黑体" w:eastAsia="黑体"/>
        </w:rPr>
      </w:pPr>
      <w:r>
        <w:rPr>
          <w:rFonts w:hint="eastAsia" w:ascii="黑体" w:hAnsi="黑体" w:eastAsia="黑体"/>
        </w:rPr>
        <w:t>机关食堂 Party and government organ canteen</w:t>
      </w:r>
    </w:p>
    <w:p>
      <w:pPr>
        <w:pStyle w:val="145"/>
        <w:spacing w:before="156" w:beforeLines="50" w:after="156" w:afterLines="50"/>
        <w:ind w:firstLine="424" w:firstLineChars="202"/>
      </w:pPr>
      <w:r>
        <w:rPr>
          <w:rFonts w:hint="eastAsia"/>
        </w:rPr>
        <w:t>供机关干部职工用餐的场所，一般具有集中供餐、固定内部场所等特点。</w:t>
      </w:r>
    </w:p>
    <w:p>
      <w:pPr>
        <w:pStyle w:val="24"/>
      </w:pPr>
      <w:r>
        <w:rPr>
          <w:rFonts w:hint="eastAsia"/>
        </w:rPr>
        <w:t>[来源</w:t>
      </w:r>
      <w:r>
        <w:t>：</w:t>
      </w:r>
      <w:r>
        <w:rPr>
          <w:rFonts w:hint="eastAsia"/>
        </w:rPr>
        <w:t>GB/T 42967—2023,3.1，有修改]</w:t>
      </w:r>
    </w:p>
    <w:p>
      <w:pPr>
        <w:pStyle w:val="48"/>
        <w:numPr>
          <w:ilvl w:val="0"/>
          <w:numId w:val="0"/>
        </w:numPr>
        <w:spacing w:before="156" w:beforeLines="50" w:after="156" w:afterLines="50"/>
      </w:pPr>
      <w:r>
        <w:rPr>
          <w:rFonts w:hint="eastAsia"/>
        </w:rPr>
        <w:t>3.2</w:t>
      </w:r>
    </w:p>
    <w:p>
      <w:pPr>
        <w:pStyle w:val="24"/>
        <w:rPr>
          <w:rFonts w:ascii="黑体" w:hAnsi="黑体" w:eastAsia="黑体"/>
        </w:rPr>
      </w:pPr>
      <w:r>
        <w:rPr>
          <w:rFonts w:hint="eastAsia" w:ascii="黑体" w:hAnsi="黑体" w:eastAsia="黑体"/>
        </w:rPr>
        <w:t>反食品浪费 preventing food waste</w:t>
      </w:r>
    </w:p>
    <w:p>
      <w:pPr>
        <w:pStyle w:val="145"/>
        <w:spacing w:before="156" w:beforeLines="50" w:after="156" w:afterLines="50"/>
        <w:ind w:firstLine="424" w:firstLineChars="202"/>
      </w:pPr>
      <w:r>
        <w:rPr>
          <w:rFonts w:hint="eastAsia"/>
        </w:rPr>
        <w:t>对可安全食用或饮用的食品，通过一定的手段，避免因不合理利用导致食品数量减少或者质量下降等一系列活动。</w:t>
      </w:r>
    </w:p>
    <w:p>
      <w:pPr>
        <w:pStyle w:val="145"/>
        <w:ind w:firstLine="420"/>
      </w:pPr>
      <w:r>
        <w:rPr>
          <w:rFonts w:hint="eastAsia"/>
        </w:rPr>
        <w:t>[来源：GB/T 41568—2022，</w:t>
      </w:r>
      <w:r>
        <w:t>6</w:t>
      </w:r>
      <w:r>
        <w:rPr>
          <w:rFonts w:hint="eastAsia"/>
        </w:rPr>
        <w:t>.</w:t>
      </w:r>
      <w:r>
        <w:t>6</w:t>
      </w:r>
      <w:r>
        <w:rPr>
          <w:rFonts w:hint="eastAsia"/>
        </w:rPr>
        <w:t>.</w:t>
      </w:r>
      <w:r>
        <w:t>1]</w:t>
      </w:r>
    </w:p>
    <w:p>
      <w:pPr>
        <w:pStyle w:val="48"/>
        <w:numPr>
          <w:ilvl w:val="0"/>
          <w:numId w:val="0"/>
        </w:numPr>
        <w:spacing w:before="156" w:beforeLines="50" w:after="156" w:afterLines="50"/>
      </w:pPr>
      <w:r>
        <w:rPr>
          <w:rFonts w:hint="eastAsia"/>
        </w:rPr>
        <w:t>3.3</w:t>
      </w:r>
    </w:p>
    <w:p>
      <w:pPr>
        <w:pStyle w:val="24"/>
        <w:rPr>
          <w:rFonts w:ascii="黑体" w:hAnsi="黑体" w:eastAsia="黑体"/>
        </w:rPr>
      </w:pPr>
      <w:r>
        <w:rPr>
          <w:rFonts w:hint="eastAsia" w:ascii="黑体" w:hAnsi="黑体" w:eastAsia="黑体"/>
        </w:rPr>
        <w:t>厨余垃圾 canteen food waste</w:t>
      </w:r>
    </w:p>
    <w:p>
      <w:pPr>
        <w:pStyle w:val="145"/>
        <w:spacing w:before="156" w:beforeLines="50" w:after="156" w:afterLines="50"/>
        <w:ind w:firstLine="425" w:firstLineChars="202"/>
      </w:pPr>
      <w:r>
        <w:rPr>
          <w:b/>
          <w:bCs/>
        </w:rPr>
        <w:t>机关食堂</w:t>
      </w:r>
      <w:r>
        <w:rPr>
          <w:rFonts w:hint="eastAsia"/>
          <w:b/>
          <w:bCs/>
        </w:rPr>
        <w:t>（3.</w:t>
      </w:r>
      <w:r>
        <w:rPr>
          <w:b/>
          <w:bCs/>
        </w:rPr>
        <w:t>1</w:t>
      </w:r>
      <w:r>
        <w:rPr>
          <w:rFonts w:hint="eastAsia"/>
          <w:b/>
          <w:bCs/>
        </w:rPr>
        <w:t>）</w:t>
      </w:r>
      <w:r>
        <w:t>在食品加工、饮食服务、单位供餐等活动中产生的食物残渣、食品加工废料和废弃食用油脂。</w:t>
      </w:r>
    </w:p>
    <w:p>
      <w:pPr>
        <w:pStyle w:val="145"/>
        <w:spacing w:before="156" w:beforeLines="50" w:after="156" w:afterLines="50"/>
        <w:ind w:firstLine="424" w:firstLineChars="202"/>
      </w:pPr>
      <w:r>
        <w:rPr>
          <w:rFonts w:hint="eastAsia"/>
        </w:rPr>
        <w:t>[来源：GB/T 42967—2023,3.3]</w:t>
      </w:r>
    </w:p>
    <w:p>
      <w:pPr>
        <w:pStyle w:val="48"/>
        <w:numPr>
          <w:ilvl w:val="0"/>
          <w:numId w:val="0"/>
        </w:numPr>
        <w:spacing w:before="156" w:beforeLines="50" w:after="156" w:afterLines="50"/>
      </w:pPr>
      <w:r>
        <w:rPr>
          <w:rFonts w:hint="eastAsia"/>
        </w:rPr>
        <w:t>3.4</w:t>
      </w:r>
    </w:p>
    <w:p>
      <w:pPr>
        <w:pStyle w:val="146"/>
        <w:numPr>
          <w:ilvl w:val="0"/>
          <w:numId w:val="0"/>
        </w:numPr>
        <w:ind w:left="420"/>
        <w:rPr>
          <w:rFonts w:ascii="黑体" w:hAnsi="黑体" w:eastAsia="黑体"/>
        </w:rPr>
      </w:pPr>
      <w:r>
        <w:rPr>
          <w:rFonts w:hint="eastAsia" w:ascii="黑体" w:hAnsi="黑体" w:eastAsia="黑体"/>
        </w:rPr>
        <w:t>食品浪费系数</w:t>
      </w:r>
      <w:r>
        <w:rPr>
          <w:rFonts w:ascii="黑体" w:hAnsi="黑体" w:eastAsia="黑体"/>
        </w:rPr>
        <w:t xml:space="preserve"> </w:t>
      </w:r>
      <w:r>
        <w:rPr>
          <w:rFonts w:hint="eastAsia" w:ascii="黑体" w:hAnsi="黑体" w:eastAsia="黑体"/>
        </w:rPr>
        <w:t>food waste index</w:t>
      </w:r>
    </w:p>
    <w:p>
      <w:pPr>
        <w:pStyle w:val="145"/>
        <w:spacing w:before="156" w:beforeLines="50" w:after="156" w:afterLines="50"/>
        <w:ind w:firstLine="425" w:firstLineChars="202"/>
      </w:pPr>
      <w:r>
        <w:rPr>
          <w:rFonts w:hint="eastAsia"/>
          <w:b/>
          <w:bCs/>
        </w:rPr>
        <w:t>厨余垃圾（3.3）</w:t>
      </w:r>
      <w:r>
        <w:rPr>
          <w:rFonts w:hint="eastAsia"/>
        </w:rPr>
        <w:t>中被浪费食品（不包括骨头、果皮等不可食用部分）占厨余垃圾的比例。</w:t>
      </w:r>
    </w:p>
    <w:p>
      <w:pPr>
        <w:pStyle w:val="145"/>
        <w:spacing w:before="156" w:beforeLines="50" w:after="156" w:afterLines="50"/>
        <w:ind w:firstLine="424" w:firstLineChars="202"/>
      </w:pPr>
      <w:r>
        <w:rPr>
          <w:rFonts w:hint="eastAsia"/>
        </w:rPr>
        <w:t>[来源：GB/T 42967—2023,3.4，有修改]</w:t>
      </w:r>
    </w:p>
    <w:p>
      <w:pPr>
        <w:pStyle w:val="48"/>
        <w:spacing w:before="312" w:after="312"/>
      </w:pPr>
      <w:r>
        <w:rPr>
          <w:rFonts w:hint="eastAsia"/>
        </w:rPr>
        <w:t>机关单位反食品浪费工作要求</w:t>
      </w:r>
    </w:p>
    <w:p>
      <w:pPr>
        <w:pStyle w:val="45"/>
      </w:pPr>
      <w:r>
        <w:rPr>
          <w:rFonts w:hint="eastAsia"/>
        </w:rPr>
        <w:t>组织管理</w:t>
      </w:r>
    </w:p>
    <w:p>
      <w:pPr>
        <w:pStyle w:val="49"/>
        <w:numPr>
          <w:ilvl w:val="2"/>
          <w:numId w:val="19"/>
        </w:numPr>
        <w:spacing w:before="156" w:after="156"/>
        <w:rPr>
          <w:rFonts w:ascii="宋体" w:hAnsi="宋体" w:eastAsia="宋体"/>
        </w:rPr>
      </w:pPr>
      <w:r>
        <w:rPr>
          <w:rFonts w:hint="eastAsia" w:ascii="宋体" w:hAnsi="宋体" w:eastAsia="宋体"/>
        </w:rPr>
        <w:t>机关食堂管理单位应成立反食品浪费领导小组和相关工作机构，组织、协调和监督反食品浪费相关工作。</w:t>
      </w:r>
    </w:p>
    <w:p>
      <w:pPr>
        <w:pStyle w:val="49"/>
        <w:numPr>
          <w:ilvl w:val="2"/>
          <w:numId w:val="19"/>
        </w:numPr>
        <w:spacing w:before="156" w:after="156"/>
        <w:rPr>
          <w:rFonts w:ascii="宋体" w:hAnsi="宋体" w:eastAsia="宋体"/>
        </w:rPr>
      </w:pPr>
      <w:r>
        <w:rPr>
          <w:rFonts w:hint="eastAsia" w:ascii="宋体" w:hAnsi="宋体" w:eastAsia="宋体"/>
        </w:rPr>
        <w:t>机关食堂管理单位应明确食堂反食品浪费管理工作部门，负责制定并落实反食品浪费相关制度、实施方案以及具体措施；机关食堂就餐单位应遵循食堂管理单位要求，协助落实。</w:t>
      </w:r>
    </w:p>
    <w:p>
      <w:pPr>
        <w:pStyle w:val="49"/>
        <w:numPr>
          <w:ilvl w:val="2"/>
          <w:numId w:val="19"/>
        </w:numPr>
        <w:spacing w:before="156" w:after="156"/>
        <w:rPr>
          <w:rFonts w:ascii="宋体" w:hAnsi="宋体" w:eastAsia="宋体"/>
        </w:rPr>
      </w:pPr>
      <w:r>
        <w:rPr>
          <w:rFonts w:hint="eastAsia" w:ascii="宋体" w:hAnsi="宋体" w:eastAsia="宋体"/>
        </w:rPr>
        <w:t>机关食堂管理单位应设置反食品浪费管理岗位，明确岗位职责，并安排熟知食堂餐饮业务的专人负责。岗位职责包括但不限于：</w:t>
      </w:r>
    </w:p>
    <w:p>
      <w:pPr>
        <w:pStyle w:val="31"/>
        <w:numPr>
          <w:ilvl w:val="0"/>
          <w:numId w:val="20"/>
        </w:numPr>
        <w:spacing w:beforeAutospacing="0"/>
        <w:ind w:hanging="420"/>
        <w:rPr>
          <w:rFonts w:hint="default"/>
        </w:rPr>
      </w:pPr>
      <w:r>
        <w:rPr>
          <w:rFonts w:cs="宋体"/>
          <w:sz w:val="21"/>
          <w:szCs w:val="21"/>
          <w:lang w:bidi="ar"/>
        </w:rPr>
        <w:t>监督管理食堂各环节、各点位反食品浪费措施的实施；</w:t>
      </w:r>
    </w:p>
    <w:p>
      <w:pPr>
        <w:pStyle w:val="31"/>
        <w:numPr>
          <w:ilvl w:val="0"/>
          <w:numId w:val="20"/>
        </w:numPr>
        <w:spacing w:beforeAutospacing="0"/>
        <w:ind w:hanging="420"/>
        <w:rPr>
          <w:rFonts w:hint="default"/>
        </w:rPr>
      </w:pPr>
      <w:r>
        <w:rPr>
          <w:rFonts w:cs="宋体"/>
          <w:sz w:val="21"/>
          <w:szCs w:val="21"/>
          <w:lang w:bidi="ar"/>
        </w:rPr>
        <w:t>监控、跟踪及纠正日常食品浪费行为；</w:t>
      </w:r>
    </w:p>
    <w:p>
      <w:pPr>
        <w:pStyle w:val="31"/>
        <w:numPr>
          <w:ilvl w:val="0"/>
          <w:numId w:val="20"/>
        </w:numPr>
        <w:spacing w:beforeAutospacing="0"/>
        <w:ind w:hanging="420"/>
        <w:rPr>
          <w:rFonts w:hint="default"/>
        </w:rPr>
      </w:pPr>
      <w:r>
        <w:rPr>
          <w:rFonts w:cs="宋体"/>
          <w:sz w:val="21"/>
          <w:szCs w:val="21"/>
          <w:lang w:bidi="ar"/>
        </w:rPr>
        <w:t>营造反食品浪费宣传氛围；</w:t>
      </w:r>
    </w:p>
    <w:p>
      <w:pPr>
        <w:pStyle w:val="31"/>
        <w:numPr>
          <w:ilvl w:val="0"/>
          <w:numId w:val="20"/>
        </w:numPr>
        <w:spacing w:beforeAutospacing="0"/>
        <w:ind w:hanging="420"/>
        <w:rPr>
          <w:rFonts w:hint="default"/>
        </w:rPr>
      </w:pPr>
      <w:r>
        <w:rPr>
          <w:rFonts w:cs="宋体"/>
          <w:sz w:val="21"/>
          <w:szCs w:val="21"/>
          <w:lang w:bidi="ar"/>
        </w:rPr>
        <w:t>组织开展反食品浪费相关培训等。</w:t>
      </w:r>
    </w:p>
    <w:p>
      <w:pPr>
        <w:pStyle w:val="49"/>
        <w:numPr>
          <w:ilvl w:val="2"/>
          <w:numId w:val="19"/>
        </w:numPr>
        <w:spacing w:before="156" w:after="156"/>
        <w:rPr>
          <w:rFonts w:ascii="宋体" w:hAnsi="宋体" w:eastAsia="宋体"/>
        </w:rPr>
      </w:pPr>
      <w:r>
        <w:rPr>
          <w:rFonts w:hint="eastAsia" w:ascii="宋体" w:hAnsi="宋体" w:eastAsia="宋体"/>
        </w:rPr>
        <w:t>实行餐饮服务外包的机关食堂，应由引进的餐饮服务企业明确专门机构和人员，在机关食堂管理单位指导下，开展食堂反食品浪费工作。应通过规章制度或合同约定，对餐饮服务企业明确提出反食品浪费管理目标和服务要求。</w:t>
      </w:r>
    </w:p>
    <w:p>
      <w:pPr>
        <w:pStyle w:val="49"/>
        <w:numPr>
          <w:ilvl w:val="2"/>
          <w:numId w:val="19"/>
        </w:numPr>
        <w:spacing w:before="156" w:after="156"/>
        <w:rPr>
          <w:rFonts w:ascii="宋体" w:hAnsi="宋体" w:eastAsia="宋体"/>
        </w:rPr>
      </w:pPr>
      <w:r>
        <w:rPr>
          <w:rFonts w:hint="eastAsia" w:ascii="宋体" w:hAnsi="宋体" w:eastAsia="宋体"/>
        </w:rPr>
        <w:t>机关食堂管理单位应借助“北京市机关食堂反食品浪费信息管理系统”推动反食品浪费工作，倡导通过信息化技术手段开展工作，宜技术创新和管理创新。</w:t>
      </w:r>
    </w:p>
    <w:p>
      <w:pPr>
        <w:pStyle w:val="49"/>
        <w:numPr>
          <w:ilvl w:val="2"/>
          <w:numId w:val="19"/>
        </w:numPr>
        <w:spacing w:before="156" w:after="156"/>
        <w:rPr>
          <w:rFonts w:ascii="宋体" w:hAnsi="宋体" w:eastAsia="宋体"/>
        </w:rPr>
      </w:pPr>
      <w:r>
        <w:rPr>
          <w:rFonts w:hint="eastAsia" w:ascii="宋体" w:hAnsi="宋体" w:eastAsia="宋体"/>
        </w:rPr>
        <w:t>鼓励通过大数据、云计算、物联网、人工智能等先进技术，推进绿色智慧机关食堂建设。</w:t>
      </w:r>
    </w:p>
    <w:p>
      <w:pPr>
        <w:pStyle w:val="45"/>
      </w:pPr>
      <w:r>
        <w:rPr>
          <w:rFonts w:hint="eastAsia"/>
        </w:rPr>
        <w:t>制度建设</w:t>
      </w:r>
    </w:p>
    <w:p>
      <w:pPr>
        <w:pStyle w:val="49"/>
        <w:numPr>
          <w:ilvl w:val="2"/>
          <w:numId w:val="19"/>
        </w:numPr>
        <w:spacing w:before="156" w:after="156"/>
        <w:rPr>
          <w:rFonts w:ascii="宋体" w:hAnsi="宋体" w:eastAsia="宋体"/>
        </w:rPr>
      </w:pPr>
      <w:r>
        <w:rPr>
          <w:rFonts w:hint="eastAsia" w:ascii="宋体" w:hAnsi="宋体" w:eastAsia="宋体"/>
        </w:rPr>
        <w:t>机关食堂管理单位及就餐单位应将厉行节约反对浪费教育作为作风建设的重要内容，纳入干部教育培训、选拔作用、考核评价、管理监督和单位日常管理之中，建立健全常态化工作机制。</w:t>
      </w:r>
    </w:p>
    <w:p>
      <w:pPr>
        <w:pStyle w:val="49"/>
        <w:numPr>
          <w:ilvl w:val="2"/>
          <w:numId w:val="19"/>
        </w:numPr>
        <w:spacing w:before="156" w:after="156"/>
        <w:rPr>
          <w:rFonts w:ascii="宋体" w:hAnsi="宋体" w:eastAsia="宋体"/>
        </w:rPr>
      </w:pPr>
      <w:r>
        <w:rPr>
          <w:rFonts w:hint="eastAsia" w:ascii="宋体" w:hAnsi="宋体" w:eastAsia="宋体"/>
        </w:rPr>
        <w:t>机关食堂管理单位应建立健全机关食堂反食品浪费管理及能源资源节约制度，明确具体措施，并纳入制度体系。</w:t>
      </w:r>
    </w:p>
    <w:p>
      <w:pPr>
        <w:pStyle w:val="49"/>
        <w:numPr>
          <w:ilvl w:val="2"/>
          <w:numId w:val="19"/>
        </w:numPr>
        <w:spacing w:before="156" w:after="156"/>
        <w:rPr>
          <w:rFonts w:ascii="宋体" w:hAnsi="宋体" w:eastAsia="宋体"/>
        </w:rPr>
      </w:pPr>
      <w:r>
        <w:rPr>
          <w:rFonts w:hint="eastAsia" w:ascii="宋体" w:hAnsi="宋体" w:eastAsia="宋体"/>
        </w:rPr>
        <w:t>机关食堂管理单位宜推进食堂标准化建设，督促食堂建立健全反食品浪费关键环节流程和操作的标准与规范。包括但不限于：食品采购、储存、备餐、制餐、供餐、用餐、餐后、厨余垃圾处理、业务培训、监测管理等环节及节粮、节能、节水等方面。</w:t>
      </w:r>
    </w:p>
    <w:p>
      <w:pPr>
        <w:pStyle w:val="45"/>
      </w:pPr>
      <w:r>
        <w:rPr>
          <w:rFonts w:hint="eastAsia"/>
        </w:rPr>
        <w:t>宣传教育</w:t>
      </w:r>
    </w:p>
    <w:p>
      <w:pPr>
        <w:pStyle w:val="49"/>
        <w:numPr>
          <w:ilvl w:val="2"/>
          <w:numId w:val="21"/>
        </w:numPr>
        <w:spacing w:before="156" w:after="156"/>
        <w:rPr>
          <w:rFonts w:ascii="宋体" w:hAnsi="宋体" w:eastAsia="宋体"/>
        </w:rPr>
      </w:pPr>
      <w:r>
        <w:rPr>
          <w:rFonts w:hint="eastAsia" w:ascii="宋体" w:hAnsi="宋体" w:eastAsia="宋体"/>
        </w:rPr>
        <w:t>机关单位应将日常宣传和集中宣传相结合，不断创新宣传形式和宣传载体，营造浪费可耻、节约为荣的氛围。</w:t>
      </w:r>
    </w:p>
    <w:p>
      <w:pPr>
        <w:pStyle w:val="31"/>
        <w:numPr>
          <w:ilvl w:val="0"/>
          <w:numId w:val="22"/>
        </w:numPr>
        <w:ind w:hanging="420"/>
        <w:rPr>
          <w:rFonts w:hint="default" w:cs="宋体"/>
          <w:szCs w:val="21"/>
          <w:lang w:bidi="ar"/>
        </w:rPr>
      </w:pPr>
      <w:r>
        <w:rPr>
          <w:rFonts w:cs="宋体"/>
          <w:sz w:val="21"/>
          <w:szCs w:val="21"/>
          <w:lang w:bidi="ar"/>
        </w:rPr>
        <w:t>应在公共区域开展反食品浪费宣传，利用单位宣传窗、电子屏、官方网站、客户端、公众号等载体宣传发布反食品浪费有关内容。</w:t>
      </w:r>
    </w:p>
    <w:p>
      <w:pPr>
        <w:pStyle w:val="31"/>
        <w:numPr>
          <w:ilvl w:val="0"/>
          <w:numId w:val="22"/>
        </w:numPr>
        <w:ind w:hanging="420"/>
        <w:rPr>
          <w:rFonts w:hint="default" w:cs="宋体"/>
          <w:szCs w:val="21"/>
          <w:lang w:bidi="ar"/>
        </w:rPr>
      </w:pPr>
      <w:r>
        <w:rPr>
          <w:rFonts w:cs="宋体"/>
          <w:sz w:val="21"/>
          <w:szCs w:val="21"/>
          <w:lang w:bidi="ar"/>
        </w:rPr>
        <w:t>应开展世界粮食日等集中宣传活动，向机关干部职工普及反食品浪费法律、制度、知识等。</w:t>
      </w:r>
    </w:p>
    <w:p>
      <w:pPr>
        <w:pStyle w:val="31"/>
        <w:numPr>
          <w:ilvl w:val="0"/>
          <w:numId w:val="22"/>
        </w:numPr>
        <w:ind w:hanging="420"/>
        <w:rPr>
          <w:rFonts w:hint="default" w:cs="宋体"/>
          <w:szCs w:val="21"/>
          <w:lang w:bidi="ar"/>
        </w:rPr>
      </w:pPr>
      <w:r>
        <w:rPr>
          <w:rFonts w:cs="宋体"/>
          <w:sz w:val="21"/>
          <w:szCs w:val="21"/>
          <w:lang w:bidi="ar"/>
        </w:rPr>
        <w:t>应在食堂入口、制餐区、取餐区、用餐区、餐盘回收区等关键区域开展反食品浪费提示与宣传。</w:t>
      </w:r>
    </w:p>
    <w:p>
      <w:pPr>
        <w:pStyle w:val="49"/>
        <w:numPr>
          <w:ilvl w:val="2"/>
          <w:numId w:val="21"/>
        </w:numPr>
        <w:spacing w:before="156" w:after="156"/>
        <w:rPr>
          <w:rFonts w:ascii="宋体" w:hAnsi="宋体" w:eastAsia="宋体"/>
        </w:rPr>
      </w:pPr>
      <w:r>
        <w:rPr>
          <w:rFonts w:hint="eastAsia" w:ascii="宋体" w:hAnsi="宋体" w:eastAsia="宋体"/>
        </w:rPr>
        <w:t>应加强对不同环节反食品浪费相关主体的教育指导工作。</w:t>
      </w:r>
    </w:p>
    <w:p>
      <w:pPr>
        <w:pStyle w:val="31"/>
        <w:numPr>
          <w:ilvl w:val="0"/>
          <w:numId w:val="23"/>
        </w:numPr>
        <w:ind w:hanging="420"/>
        <w:rPr>
          <w:rFonts w:hint="default" w:cs="宋体"/>
          <w:szCs w:val="21"/>
          <w:lang w:bidi="ar"/>
        </w:rPr>
      </w:pPr>
      <w:r>
        <w:rPr>
          <w:rFonts w:cs="宋体"/>
          <w:sz w:val="21"/>
          <w:szCs w:val="21"/>
          <w:lang w:bidi="ar"/>
        </w:rPr>
        <w:t>机关食堂管理单位与就餐单位应将反食品浪费纳入机关干部职工入职、日常培训内容。</w:t>
      </w:r>
    </w:p>
    <w:p>
      <w:pPr>
        <w:pStyle w:val="31"/>
        <w:numPr>
          <w:ilvl w:val="0"/>
          <w:numId w:val="23"/>
        </w:numPr>
        <w:ind w:hanging="420"/>
        <w:rPr>
          <w:rFonts w:hint="default" w:cs="宋体"/>
          <w:szCs w:val="21"/>
          <w:lang w:bidi="ar"/>
        </w:rPr>
      </w:pPr>
      <w:r>
        <w:rPr>
          <w:rFonts w:cs="宋体"/>
          <w:sz w:val="21"/>
          <w:szCs w:val="21"/>
          <w:lang w:bidi="ar"/>
        </w:rPr>
        <w:t>机关食堂管理单位应定期对负责反食品浪费监管人员的培训指导，及时传达标准制度，定期培训。</w:t>
      </w:r>
    </w:p>
    <w:p>
      <w:pPr>
        <w:pStyle w:val="45"/>
      </w:pPr>
      <w:r>
        <w:rPr>
          <w:rFonts w:hint="eastAsia"/>
        </w:rPr>
        <w:t>监督管理</w:t>
      </w:r>
    </w:p>
    <w:p>
      <w:pPr>
        <w:pStyle w:val="49"/>
        <w:numPr>
          <w:ilvl w:val="2"/>
          <w:numId w:val="21"/>
        </w:numPr>
        <w:spacing w:before="156" w:after="156"/>
      </w:pPr>
      <w:r>
        <w:rPr>
          <w:rFonts w:hint="eastAsia" w:ascii="宋体" w:hAnsi="宋体" w:eastAsia="宋体"/>
        </w:rPr>
        <w:t>机关食堂管理单位应实施机关食堂反食品浪费工作成效评估和通报制度，定期评估食堂反食品浪费工作成效，</w:t>
      </w:r>
      <w:r>
        <w:rPr>
          <w:rFonts w:hint="eastAsia" w:ascii="宋体" w:hAnsi="宋体" w:eastAsia="宋体"/>
          <w:szCs w:val="20"/>
        </w:rPr>
        <w:t>宜邀其他第三方机构等进行监督。</w:t>
      </w:r>
    </w:p>
    <w:p>
      <w:pPr>
        <w:pStyle w:val="49"/>
        <w:numPr>
          <w:ilvl w:val="2"/>
          <w:numId w:val="21"/>
        </w:numPr>
        <w:spacing w:before="156" w:after="156"/>
        <w:rPr>
          <w:rFonts w:ascii="宋体" w:hAnsi="宋体" w:eastAsia="宋体"/>
        </w:rPr>
      </w:pPr>
      <w:r>
        <w:rPr>
          <w:rFonts w:hint="eastAsia" w:ascii="宋体" w:hAnsi="宋体" w:eastAsia="宋体"/>
        </w:rPr>
        <w:t>评估后应及时通报食堂评估结果，表扬工作成效突出的部门和个人，通报批评造成严重食品浪费或反食品浪费工作落实不到位的干部职工和部门。评估结果应及时向本级机关事务管理部门报送。</w:t>
      </w:r>
    </w:p>
    <w:p>
      <w:pPr>
        <w:pStyle w:val="49"/>
        <w:numPr>
          <w:ilvl w:val="2"/>
          <w:numId w:val="21"/>
        </w:numPr>
        <w:spacing w:before="156" w:after="156"/>
        <w:rPr>
          <w:rFonts w:ascii="宋体" w:hAnsi="宋体" w:eastAsia="宋体"/>
          <w:szCs w:val="20"/>
        </w:rPr>
      </w:pPr>
      <w:r>
        <w:rPr>
          <w:rFonts w:hint="eastAsia" w:ascii="宋体" w:hAnsi="宋体" w:eastAsia="宋体"/>
        </w:rPr>
        <w:t>机关食堂管理单位应宣传推介典型经验做法；督促机关食堂针对成效评估发现的问题，及时整改。</w:t>
      </w:r>
    </w:p>
    <w:p>
      <w:pPr>
        <w:pStyle w:val="48"/>
        <w:numPr>
          <w:ilvl w:val="0"/>
          <w:numId w:val="21"/>
        </w:numPr>
        <w:spacing w:before="312" w:after="312"/>
      </w:pPr>
      <w:r>
        <w:rPr>
          <w:rFonts w:hint="eastAsia"/>
        </w:rPr>
        <w:t>机关食堂餐饮过程反食品浪费管理要求</w:t>
      </w:r>
    </w:p>
    <w:p>
      <w:pPr>
        <w:pStyle w:val="45"/>
        <w:numPr>
          <w:ilvl w:val="1"/>
          <w:numId w:val="21"/>
        </w:numPr>
      </w:pPr>
      <w:r>
        <w:rPr>
          <w:rFonts w:hint="eastAsia"/>
        </w:rPr>
        <w:t>采购环节</w:t>
      </w:r>
    </w:p>
    <w:p>
      <w:pPr>
        <w:pStyle w:val="49"/>
        <w:numPr>
          <w:ilvl w:val="2"/>
          <w:numId w:val="24"/>
        </w:numPr>
        <w:spacing w:before="156" w:after="156"/>
        <w:rPr>
          <w:rFonts w:ascii="宋体" w:hAnsi="宋体" w:eastAsia="宋体"/>
          <w:szCs w:val="20"/>
        </w:rPr>
      </w:pPr>
      <w:r>
        <w:rPr>
          <w:rFonts w:hint="eastAsia" w:ascii="宋体" w:hAnsi="宋体" w:eastAsia="宋体"/>
          <w:szCs w:val="20"/>
        </w:rPr>
        <w:t>宜选择信誉良好的供应商，</w:t>
      </w:r>
      <w:bookmarkStart w:id="28" w:name="_GoBack"/>
      <w:bookmarkEnd w:id="28"/>
      <w:r>
        <w:rPr>
          <w:rFonts w:hint="eastAsia" w:ascii="宋体" w:hAnsi="宋体" w:eastAsia="宋体"/>
          <w:szCs w:val="20"/>
        </w:rPr>
        <w:t>鼓励建立相对固定的供货渠道，</w:t>
      </w:r>
      <w:r>
        <w:rPr>
          <w:rFonts w:hint="eastAsia" w:ascii="宋体" w:hAnsi="宋体" w:eastAsia="宋体"/>
          <w:szCs w:val="20"/>
          <w:lang w:val="en-US" w:eastAsia="zh-CN"/>
        </w:rPr>
        <w:t>建立供应商评价和退出机制。规模较大的食堂，宜确定多家供应商或建立供应商名录，通过比价的方式采购质优价廉的食品</w:t>
      </w:r>
      <w:r>
        <w:rPr>
          <w:rFonts w:hint="eastAsia" w:ascii="宋体" w:hAnsi="宋体" w:eastAsia="宋体"/>
          <w:szCs w:val="20"/>
        </w:rPr>
        <w:t>。</w:t>
      </w:r>
    </w:p>
    <w:p>
      <w:pPr>
        <w:pStyle w:val="49"/>
        <w:numPr>
          <w:ilvl w:val="2"/>
          <w:numId w:val="21"/>
        </w:numPr>
        <w:spacing w:before="156" w:after="156"/>
        <w:rPr>
          <w:rFonts w:ascii="宋体" w:hAnsi="宋体" w:eastAsia="宋体"/>
          <w:szCs w:val="20"/>
        </w:rPr>
      </w:pPr>
      <w:r>
        <w:rPr>
          <w:rFonts w:hint="eastAsia" w:ascii="宋体" w:hAnsi="宋体" w:eastAsia="宋体"/>
          <w:szCs w:val="20"/>
        </w:rPr>
        <w:t>宜根据营养食谱、用餐人数、食品储存条件和储存场所环境，制定采购计划，合理安排采购周期和采购食品数量。</w:t>
      </w:r>
    </w:p>
    <w:p>
      <w:pPr>
        <w:pStyle w:val="49"/>
        <w:numPr>
          <w:ilvl w:val="2"/>
          <w:numId w:val="21"/>
        </w:numPr>
        <w:spacing w:before="156" w:after="156"/>
        <w:rPr>
          <w:rFonts w:ascii="宋体" w:hAnsi="宋体" w:eastAsia="宋体"/>
          <w:szCs w:val="20"/>
        </w:rPr>
      </w:pPr>
      <w:r>
        <w:rPr>
          <w:rFonts w:hint="eastAsia" w:ascii="宋体" w:hAnsi="宋体" w:eastAsia="宋体"/>
          <w:szCs w:val="20"/>
        </w:rPr>
        <w:t>鼓励采购当地应季食材，生鲜食品宜“少采勤采”“即采即用”。</w:t>
      </w:r>
    </w:p>
    <w:p>
      <w:pPr>
        <w:pStyle w:val="49"/>
        <w:numPr>
          <w:ilvl w:val="2"/>
          <w:numId w:val="21"/>
        </w:numPr>
        <w:spacing w:before="156" w:after="156"/>
        <w:rPr>
          <w:rFonts w:ascii="宋体" w:hAnsi="宋体" w:eastAsia="宋体"/>
          <w:szCs w:val="20"/>
        </w:rPr>
      </w:pPr>
      <w:r>
        <w:rPr>
          <w:rFonts w:hint="eastAsia" w:ascii="宋体" w:hAnsi="宋体" w:eastAsia="宋体"/>
          <w:szCs w:val="20"/>
        </w:rPr>
        <w:t>应优化配送时间和方式，减少中间环节，提高配送效率。</w:t>
      </w:r>
    </w:p>
    <w:p>
      <w:pPr>
        <w:pStyle w:val="49"/>
        <w:numPr>
          <w:ilvl w:val="2"/>
          <w:numId w:val="21"/>
        </w:numPr>
        <w:spacing w:before="156" w:after="156"/>
      </w:pPr>
      <w:r>
        <w:rPr>
          <w:rFonts w:hint="eastAsia" w:ascii="宋体" w:hAnsi="宋体" w:eastAsia="宋体"/>
          <w:szCs w:val="20"/>
        </w:rPr>
        <w:t>宜建立多方验收制度，食堂管理员、厨师长、库管员、供应商等共同参与验收。</w:t>
      </w:r>
    </w:p>
    <w:p>
      <w:pPr>
        <w:pStyle w:val="49"/>
        <w:numPr>
          <w:ilvl w:val="2"/>
          <w:numId w:val="21"/>
        </w:numPr>
        <w:spacing w:before="156" w:after="156"/>
      </w:pPr>
      <w:r>
        <w:rPr>
          <w:rFonts w:hint="eastAsia" w:ascii="宋体" w:hAnsi="宋体" w:eastAsia="宋体"/>
          <w:szCs w:val="20"/>
        </w:rPr>
        <w:t>食品到货后，应按照G</w:t>
      </w:r>
      <w:r>
        <w:rPr>
          <w:rFonts w:ascii="宋体" w:hAnsi="宋体" w:eastAsia="宋体"/>
          <w:szCs w:val="20"/>
        </w:rPr>
        <w:t>B 31654</w:t>
      </w:r>
      <w:r>
        <w:rPr>
          <w:rFonts w:hint="eastAsia" w:ascii="宋体" w:hAnsi="宋体" w:eastAsia="宋体"/>
          <w:szCs w:val="20"/>
        </w:rPr>
        <w:t>的规定验收，生鲜食品还应通过外观、气味辨识等方式验收，及时退回有质量问题的食材。</w:t>
      </w:r>
    </w:p>
    <w:p>
      <w:pPr>
        <w:pStyle w:val="45"/>
        <w:numPr>
          <w:ilvl w:val="1"/>
          <w:numId w:val="21"/>
        </w:numPr>
      </w:pPr>
      <w:r>
        <w:rPr>
          <w:rFonts w:hint="eastAsia"/>
        </w:rPr>
        <w:t>储存环节</w:t>
      </w:r>
    </w:p>
    <w:p>
      <w:pPr>
        <w:pStyle w:val="49"/>
        <w:numPr>
          <w:ilvl w:val="2"/>
          <w:numId w:val="21"/>
        </w:numPr>
        <w:spacing w:before="156" w:after="156"/>
        <w:rPr>
          <w:rFonts w:ascii="宋体" w:hAnsi="宋体" w:eastAsia="宋体"/>
          <w:szCs w:val="20"/>
        </w:rPr>
      </w:pPr>
      <w:r>
        <w:rPr>
          <w:rFonts w:hint="eastAsia" w:ascii="宋体" w:hAnsi="宋体" w:eastAsia="宋体"/>
          <w:szCs w:val="20"/>
        </w:rPr>
        <w:t>应保持储存场所卫生整洁，定期开展设施设备维护保养，做好防潮、防尘、防蝇、防鼠等措施和温度、湿度、照度控制。</w:t>
      </w:r>
    </w:p>
    <w:p>
      <w:pPr>
        <w:pStyle w:val="49"/>
        <w:numPr>
          <w:ilvl w:val="2"/>
          <w:numId w:val="21"/>
        </w:numPr>
        <w:spacing w:before="156" w:after="156"/>
      </w:pPr>
      <w:r>
        <w:rPr>
          <w:rFonts w:hint="eastAsia" w:ascii="宋体" w:hAnsi="宋体" w:eastAsia="宋体"/>
          <w:szCs w:val="20"/>
        </w:rPr>
        <w:t>应执行出入库清单制度，及时签收、登记、存储货物。</w:t>
      </w:r>
    </w:p>
    <w:p>
      <w:pPr>
        <w:pStyle w:val="49"/>
        <w:numPr>
          <w:ilvl w:val="2"/>
          <w:numId w:val="21"/>
        </w:numPr>
        <w:spacing w:before="156" w:after="156"/>
      </w:pPr>
      <w:r>
        <w:rPr>
          <w:rFonts w:hint="eastAsia" w:ascii="宋体" w:hAnsi="宋体" w:eastAsia="宋体"/>
          <w:szCs w:val="20"/>
        </w:rPr>
        <w:t>应分区、分架、分类、离墙、离地存放食品，定期检查整理。</w:t>
      </w:r>
    </w:p>
    <w:p>
      <w:pPr>
        <w:pStyle w:val="49"/>
        <w:numPr>
          <w:ilvl w:val="2"/>
          <w:numId w:val="21"/>
        </w:numPr>
        <w:spacing w:before="156" w:after="156"/>
        <w:rPr>
          <w:rFonts w:ascii="宋体" w:hAnsi="宋体" w:eastAsia="宋体"/>
          <w:szCs w:val="20"/>
        </w:rPr>
      </w:pPr>
      <w:r>
        <w:rPr>
          <w:rFonts w:hint="eastAsia" w:ascii="宋体" w:hAnsi="宋体" w:eastAsia="宋体"/>
          <w:szCs w:val="20"/>
        </w:rPr>
        <w:t>食品原料、半成品、成品应分隔或分离储存</w:t>
      </w:r>
    </w:p>
    <w:p>
      <w:pPr>
        <w:pStyle w:val="49"/>
        <w:numPr>
          <w:ilvl w:val="2"/>
          <w:numId w:val="21"/>
        </w:numPr>
        <w:spacing w:before="156" w:after="156"/>
        <w:rPr>
          <w:rFonts w:ascii="宋体" w:hAnsi="宋体" w:eastAsia="宋体"/>
          <w:szCs w:val="20"/>
        </w:rPr>
      </w:pPr>
      <w:r>
        <w:rPr>
          <w:rFonts w:hint="eastAsia" w:ascii="宋体" w:hAnsi="宋体" w:eastAsia="宋体"/>
          <w:szCs w:val="20"/>
        </w:rPr>
        <w:t>应掌握食品正确的储存方法，科学存储。</w:t>
      </w:r>
    </w:p>
    <w:p>
      <w:pPr>
        <w:pStyle w:val="49"/>
        <w:numPr>
          <w:ilvl w:val="2"/>
          <w:numId w:val="21"/>
        </w:numPr>
        <w:spacing w:before="156" w:after="156"/>
        <w:rPr>
          <w:rFonts w:ascii="宋体" w:hAnsi="宋体" w:eastAsia="宋体"/>
          <w:szCs w:val="20"/>
        </w:rPr>
      </w:pPr>
      <w:r>
        <w:rPr>
          <w:rFonts w:hint="eastAsia" w:ascii="宋体" w:hAnsi="宋体" w:eastAsia="宋体"/>
          <w:szCs w:val="20"/>
        </w:rPr>
        <w:t>应定期盘点库存，遵循先进、先出、先用原则，做好食品期效管理，杜绝食品过期变质。</w:t>
      </w:r>
    </w:p>
    <w:p>
      <w:pPr>
        <w:pStyle w:val="45"/>
        <w:numPr>
          <w:ilvl w:val="1"/>
          <w:numId w:val="21"/>
        </w:numPr>
      </w:pPr>
      <w:r>
        <w:rPr>
          <w:rFonts w:hint="eastAsia"/>
        </w:rPr>
        <w:t>备餐环节</w:t>
      </w:r>
    </w:p>
    <w:p>
      <w:pPr>
        <w:pStyle w:val="49"/>
        <w:numPr>
          <w:ilvl w:val="2"/>
          <w:numId w:val="21"/>
        </w:numPr>
        <w:spacing w:before="156" w:after="156"/>
        <w:rPr>
          <w:rFonts w:ascii="宋体" w:hAnsi="宋体" w:eastAsia="宋体"/>
          <w:szCs w:val="20"/>
        </w:rPr>
      </w:pPr>
      <w:r>
        <w:rPr>
          <w:rFonts w:hint="eastAsia" w:ascii="宋体" w:hAnsi="宋体" w:eastAsia="宋体"/>
          <w:szCs w:val="20"/>
        </w:rPr>
        <w:t>应实施用餐人数餐前统计或测算，根据就餐人数合理安排食品数量。</w:t>
      </w:r>
    </w:p>
    <w:p>
      <w:pPr>
        <w:pStyle w:val="49"/>
        <w:numPr>
          <w:ilvl w:val="2"/>
          <w:numId w:val="21"/>
        </w:numPr>
        <w:spacing w:before="156" w:after="156"/>
        <w:rPr>
          <w:rFonts w:ascii="宋体" w:hAnsi="宋体" w:eastAsia="宋体"/>
          <w:szCs w:val="20"/>
        </w:rPr>
      </w:pPr>
      <w:r>
        <w:rPr>
          <w:rFonts w:hint="eastAsia" w:ascii="宋体" w:hAnsi="宋体" w:eastAsia="宋体"/>
          <w:szCs w:val="20"/>
        </w:rPr>
        <w:t>宜根据营养均衡，合理膳食，科学制定食谱。</w:t>
      </w:r>
    </w:p>
    <w:p>
      <w:pPr>
        <w:pStyle w:val="49"/>
        <w:numPr>
          <w:ilvl w:val="2"/>
          <w:numId w:val="21"/>
        </w:numPr>
        <w:spacing w:before="156" w:after="156"/>
        <w:rPr>
          <w:rFonts w:ascii="宋体" w:hAnsi="宋体" w:eastAsia="宋体"/>
          <w:szCs w:val="20"/>
        </w:rPr>
      </w:pPr>
      <w:r>
        <w:rPr>
          <w:rFonts w:hint="eastAsia" w:ascii="宋体" w:hAnsi="宋体" w:eastAsia="宋体"/>
          <w:szCs w:val="20"/>
        </w:rPr>
        <w:t>应根据菜品质量和口味反馈结果，及时调整菜品。</w:t>
      </w:r>
    </w:p>
    <w:p>
      <w:pPr>
        <w:pStyle w:val="49"/>
        <w:numPr>
          <w:ilvl w:val="2"/>
          <w:numId w:val="21"/>
        </w:numPr>
        <w:spacing w:before="156" w:after="156"/>
        <w:rPr>
          <w:rFonts w:ascii="宋体" w:hAnsi="宋体" w:eastAsia="宋体"/>
          <w:szCs w:val="20"/>
        </w:rPr>
      </w:pPr>
      <w:r>
        <w:rPr>
          <w:rFonts w:hint="eastAsia" w:ascii="宋体" w:hAnsi="宋体" w:eastAsia="宋体"/>
          <w:szCs w:val="20"/>
        </w:rPr>
        <w:t>如有公务接待、会议、培训等公务活动，提前沟通了解需求，做好针对性备餐。</w:t>
      </w:r>
    </w:p>
    <w:p>
      <w:pPr>
        <w:pStyle w:val="45"/>
        <w:numPr>
          <w:ilvl w:val="1"/>
          <w:numId w:val="21"/>
        </w:numPr>
      </w:pPr>
      <w:r>
        <w:rPr>
          <w:rFonts w:hint="eastAsia"/>
        </w:rPr>
        <w:t>制餐环节</w:t>
      </w:r>
    </w:p>
    <w:p>
      <w:pPr>
        <w:pStyle w:val="49"/>
        <w:numPr>
          <w:ilvl w:val="2"/>
          <w:numId w:val="21"/>
        </w:numPr>
        <w:spacing w:before="156" w:after="156"/>
        <w:rPr>
          <w:rFonts w:ascii="宋体" w:hAnsi="宋体" w:eastAsia="宋体"/>
          <w:szCs w:val="20"/>
        </w:rPr>
      </w:pPr>
      <w:r>
        <w:rPr>
          <w:rFonts w:hint="eastAsia" w:ascii="宋体" w:hAnsi="宋体" w:eastAsia="宋体"/>
          <w:szCs w:val="20"/>
        </w:rPr>
        <w:t>应充分利用食材，提高原材料利用率，做好边角料再利用，推广一料多菜，不使用食品装饰菜品。</w:t>
      </w:r>
    </w:p>
    <w:p>
      <w:pPr>
        <w:pStyle w:val="49"/>
        <w:numPr>
          <w:ilvl w:val="2"/>
          <w:numId w:val="21"/>
        </w:numPr>
        <w:spacing w:before="156" w:after="156"/>
        <w:rPr>
          <w:rFonts w:ascii="宋体" w:hAnsi="宋体" w:eastAsia="宋体"/>
          <w:szCs w:val="20"/>
        </w:rPr>
      </w:pPr>
      <w:r>
        <w:rPr>
          <w:rFonts w:hint="eastAsia" w:ascii="宋体" w:hAnsi="宋体" w:eastAsia="宋体"/>
          <w:szCs w:val="20"/>
        </w:rPr>
        <w:t>食材清洗和解冻过程应注意控制用水量，避免长流水、大水量冲洗。</w:t>
      </w:r>
    </w:p>
    <w:p>
      <w:pPr>
        <w:pStyle w:val="49"/>
        <w:numPr>
          <w:ilvl w:val="2"/>
          <w:numId w:val="21"/>
        </w:numPr>
        <w:spacing w:before="156" w:after="156"/>
        <w:rPr>
          <w:rFonts w:ascii="宋体" w:hAnsi="宋体" w:eastAsia="宋体"/>
          <w:szCs w:val="20"/>
        </w:rPr>
      </w:pPr>
      <w:r>
        <w:rPr>
          <w:rFonts w:hint="eastAsia" w:ascii="宋体" w:hAnsi="宋体" w:eastAsia="宋体"/>
          <w:szCs w:val="20"/>
        </w:rPr>
        <w:t>宜提供少油少盐少糖的健康营养餐食。</w:t>
      </w:r>
    </w:p>
    <w:p>
      <w:pPr>
        <w:pStyle w:val="49"/>
        <w:numPr>
          <w:ilvl w:val="2"/>
          <w:numId w:val="21"/>
        </w:numPr>
        <w:spacing w:before="156" w:after="156"/>
        <w:rPr>
          <w:rFonts w:ascii="宋体" w:hAnsi="宋体" w:eastAsia="宋体"/>
          <w:szCs w:val="20"/>
        </w:rPr>
      </w:pPr>
      <w:r>
        <w:rPr>
          <w:rFonts w:hint="eastAsia" w:ascii="宋体" w:hAnsi="宋体" w:eastAsia="宋体"/>
          <w:szCs w:val="20"/>
        </w:rPr>
        <w:t>应分批错时，合理规划出菜时间，推行大锅备菜、小锅续供。</w:t>
      </w:r>
    </w:p>
    <w:p>
      <w:pPr>
        <w:pStyle w:val="49"/>
        <w:numPr>
          <w:ilvl w:val="2"/>
          <w:numId w:val="21"/>
        </w:numPr>
        <w:spacing w:before="156" w:after="156"/>
        <w:rPr>
          <w:rFonts w:ascii="宋体" w:hAnsi="宋体" w:eastAsia="宋体"/>
          <w:szCs w:val="20"/>
        </w:rPr>
      </w:pPr>
      <w:r>
        <w:rPr>
          <w:rFonts w:hint="eastAsia" w:ascii="宋体" w:hAnsi="宋体" w:eastAsia="宋体"/>
          <w:szCs w:val="20"/>
        </w:rPr>
        <w:t>应使用节水、节电、节气等设备和灶具，鼓励建设全电厨房。</w:t>
      </w:r>
    </w:p>
    <w:p>
      <w:pPr>
        <w:pStyle w:val="49"/>
        <w:numPr>
          <w:ilvl w:val="2"/>
          <w:numId w:val="21"/>
        </w:numPr>
        <w:spacing w:before="156" w:after="156"/>
        <w:rPr>
          <w:rFonts w:ascii="宋体" w:hAnsi="宋体" w:eastAsia="宋体"/>
          <w:szCs w:val="20"/>
        </w:rPr>
      </w:pPr>
      <w:r>
        <w:rPr>
          <w:rFonts w:hint="eastAsia" w:ascii="宋体" w:hAnsi="宋体" w:eastAsia="宋体"/>
          <w:szCs w:val="20"/>
        </w:rPr>
        <w:t>保持地面、墙壁、设备等清洁，工作人员应符合食品卫生规定，穿着干净整洁。</w:t>
      </w:r>
    </w:p>
    <w:p>
      <w:pPr>
        <w:pStyle w:val="49"/>
        <w:numPr>
          <w:ilvl w:val="2"/>
          <w:numId w:val="21"/>
        </w:numPr>
        <w:spacing w:before="156" w:after="156"/>
        <w:rPr>
          <w:rFonts w:ascii="宋体" w:hAnsi="宋体" w:eastAsia="宋体"/>
          <w:szCs w:val="20"/>
        </w:rPr>
      </w:pPr>
      <w:r>
        <w:rPr>
          <w:rFonts w:hint="eastAsia" w:ascii="宋体" w:hAnsi="宋体" w:eastAsia="宋体"/>
          <w:szCs w:val="20"/>
        </w:rPr>
        <w:t>宜制定食材损耗指标，做好制餐区厨余垃圾统计工作，台账模板可参考附录A。</w:t>
      </w:r>
    </w:p>
    <w:p>
      <w:pPr>
        <w:pStyle w:val="45"/>
        <w:numPr>
          <w:ilvl w:val="1"/>
          <w:numId w:val="21"/>
        </w:numPr>
      </w:pPr>
      <w:r>
        <w:rPr>
          <w:rFonts w:hint="eastAsia"/>
        </w:rPr>
        <w:t>供餐环节</w:t>
      </w:r>
    </w:p>
    <w:p>
      <w:pPr>
        <w:pStyle w:val="49"/>
        <w:numPr>
          <w:ilvl w:val="2"/>
          <w:numId w:val="21"/>
        </w:numPr>
        <w:spacing w:before="156" w:after="156"/>
        <w:rPr>
          <w:rFonts w:ascii="宋体" w:hAnsi="宋体" w:eastAsia="宋体"/>
          <w:szCs w:val="20"/>
        </w:rPr>
      </w:pPr>
      <w:r>
        <w:rPr>
          <w:rFonts w:hint="eastAsia" w:ascii="宋体" w:hAnsi="宋体" w:eastAsia="宋体"/>
          <w:szCs w:val="20"/>
        </w:rPr>
        <w:t>应结合实际情况，合理设置自选、自助等供餐方式。</w:t>
      </w:r>
    </w:p>
    <w:p>
      <w:pPr>
        <w:pStyle w:val="49"/>
        <w:numPr>
          <w:ilvl w:val="2"/>
          <w:numId w:val="21"/>
        </w:numPr>
        <w:spacing w:before="156" w:after="156"/>
        <w:rPr>
          <w:rFonts w:ascii="宋体" w:hAnsi="宋体" w:eastAsia="宋体"/>
          <w:szCs w:val="20"/>
        </w:rPr>
      </w:pPr>
      <w:r>
        <w:rPr>
          <w:rFonts w:hint="eastAsia" w:ascii="宋体" w:hAnsi="宋体" w:eastAsia="宋体"/>
          <w:szCs w:val="20"/>
        </w:rPr>
        <w:t>应根据不同时段的就餐人数分批供餐、按需补餐和调整餐线。</w:t>
      </w:r>
    </w:p>
    <w:p>
      <w:pPr>
        <w:pStyle w:val="49"/>
        <w:numPr>
          <w:ilvl w:val="2"/>
          <w:numId w:val="21"/>
        </w:numPr>
        <w:spacing w:before="156" w:after="156"/>
        <w:rPr>
          <w:rFonts w:ascii="宋体" w:hAnsi="宋体" w:eastAsia="宋体"/>
          <w:szCs w:val="20"/>
        </w:rPr>
      </w:pPr>
      <w:r>
        <w:rPr>
          <w:rFonts w:hint="eastAsia" w:ascii="宋体" w:hAnsi="宋体" w:eastAsia="宋体"/>
          <w:szCs w:val="20"/>
        </w:rPr>
        <w:t>非自助供餐方式应提供半份、小份的菜品（主食）服务。</w:t>
      </w:r>
    </w:p>
    <w:p>
      <w:pPr>
        <w:pStyle w:val="49"/>
        <w:numPr>
          <w:ilvl w:val="0"/>
          <w:numId w:val="0"/>
        </w:numPr>
        <w:spacing w:before="156" w:after="156"/>
        <w:ind w:firstLine="420" w:firstLineChars="200"/>
        <w:rPr>
          <w:rFonts w:ascii="宋体" w:hAnsi="宋体" w:eastAsia="宋体"/>
          <w:szCs w:val="20"/>
        </w:rPr>
      </w:pPr>
      <w:r>
        <w:rPr>
          <w:rFonts w:hint="eastAsia" w:ascii="宋体" w:hAnsi="宋体" w:eastAsia="宋体"/>
          <w:szCs w:val="20"/>
        </w:rPr>
        <w:t>注：半份菜（主食）是正常提供菜品（主食）的</w:t>
      </w:r>
      <m:oMath>
        <m:f>
          <m:fPr>
            <m:type m:val="lin"/>
            <m:ctrlPr>
              <w:rPr>
                <w:rFonts w:ascii="Cambria Math" w:hAnsi="Cambria Math"/>
                <w:i/>
                <w:szCs w:val="20"/>
              </w:rPr>
            </m:ctrlPr>
          </m:fPr>
          <m:num>
            <m:r>
              <m:rPr/>
              <w:rPr>
                <w:rFonts w:ascii="Cambria Math" w:hAnsi="Cambria Math"/>
                <w:szCs w:val="20"/>
              </w:rPr>
              <m:t>1</m:t>
            </m:r>
            <m:ctrlPr>
              <w:rPr>
                <w:rFonts w:ascii="Cambria Math" w:hAnsi="Cambria Math"/>
                <w:i/>
                <w:szCs w:val="20"/>
              </w:rPr>
            </m:ctrlPr>
          </m:num>
          <m:den>
            <m:r>
              <m:rPr/>
              <w:rPr>
                <w:rFonts w:ascii="Cambria Math" w:hAnsi="Cambria Math"/>
                <w:szCs w:val="20"/>
              </w:rPr>
              <m:t>2</m:t>
            </m:r>
            <m:ctrlPr>
              <w:rPr>
                <w:rFonts w:ascii="Cambria Math" w:hAnsi="Cambria Math"/>
                <w:i/>
                <w:szCs w:val="20"/>
              </w:rPr>
            </m:ctrlPr>
          </m:den>
        </m:f>
      </m:oMath>
      <w:r>
        <w:rPr>
          <w:rFonts w:hint="eastAsia" w:ascii="宋体" w:hAnsi="宋体" w:eastAsia="宋体"/>
          <w:szCs w:val="20"/>
        </w:rPr>
        <w:t>的量；小份菜（主食）是正常提供菜品（主食）的</w:t>
      </w:r>
      <m:oMath>
        <m:f>
          <m:fPr>
            <m:type m:val="lin"/>
            <m:ctrlPr>
              <w:rPr>
                <w:rFonts w:ascii="Cambria Math" w:hAnsi="Cambria Math"/>
                <w:i/>
                <w:szCs w:val="20"/>
              </w:rPr>
            </m:ctrlPr>
          </m:fPr>
          <m:num>
            <m:r>
              <m:rPr/>
              <w:rPr>
                <w:rFonts w:ascii="Cambria Math" w:hAnsi="Cambria Math"/>
                <w:szCs w:val="20"/>
              </w:rPr>
              <m:t>1</m:t>
            </m:r>
            <m:ctrlPr>
              <w:rPr>
                <w:rFonts w:ascii="Cambria Math" w:hAnsi="Cambria Math"/>
                <w:i/>
                <w:szCs w:val="20"/>
              </w:rPr>
            </m:ctrlPr>
          </m:num>
          <m:den>
            <m:r>
              <m:rPr/>
              <w:rPr>
                <w:rFonts w:ascii="Cambria Math" w:hAnsi="Cambria Math"/>
                <w:szCs w:val="20"/>
              </w:rPr>
              <m:t>3</m:t>
            </m:r>
            <m:ctrlPr>
              <w:rPr>
                <w:rFonts w:ascii="Cambria Math" w:hAnsi="Cambria Math"/>
                <w:i/>
                <w:szCs w:val="20"/>
              </w:rPr>
            </m:ctrlPr>
          </m:den>
        </m:f>
      </m:oMath>
      <w:r>
        <w:rPr>
          <w:rFonts w:hint="eastAsia" w:ascii="宋体" w:hAnsi="宋体" w:eastAsia="宋体"/>
          <w:szCs w:val="20"/>
        </w:rPr>
        <w:t>三分之一的量。</w:t>
      </w:r>
    </w:p>
    <w:p>
      <w:pPr>
        <w:pStyle w:val="49"/>
        <w:numPr>
          <w:ilvl w:val="2"/>
          <w:numId w:val="21"/>
        </w:numPr>
        <w:spacing w:before="156" w:after="156"/>
        <w:rPr>
          <w:rFonts w:ascii="宋体" w:hAnsi="宋体" w:eastAsia="宋体"/>
          <w:szCs w:val="20"/>
        </w:rPr>
      </w:pPr>
      <w:r>
        <w:rPr>
          <w:rFonts w:hint="eastAsia" w:ascii="宋体" w:hAnsi="宋体" w:eastAsia="宋体"/>
          <w:szCs w:val="20"/>
        </w:rPr>
        <w:t>不使用不可降解的一次性餐具，餐具宜不同规格和容量，优先使用小尺寸餐具。</w:t>
      </w:r>
    </w:p>
    <w:p>
      <w:pPr>
        <w:pStyle w:val="49"/>
        <w:numPr>
          <w:ilvl w:val="2"/>
          <w:numId w:val="21"/>
        </w:numPr>
        <w:spacing w:before="156" w:after="156"/>
        <w:rPr>
          <w:rFonts w:ascii="宋体" w:hAnsi="宋体" w:eastAsia="宋体"/>
          <w:szCs w:val="20"/>
        </w:rPr>
      </w:pPr>
      <w:r>
        <w:rPr>
          <w:rFonts w:hint="eastAsia" w:ascii="宋体" w:hAnsi="宋体" w:eastAsia="宋体"/>
          <w:szCs w:val="20"/>
        </w:rPr>
        <w:t>菜品应标明口味、主要原材料、辅料、主要营养素等信息。</w:t>
      </w:r>
    </w:p>
    <w:p>
      <w:pPr>
        <w:pStyle w:val="49"/>
        <w:numPr>
          <w:ilvl w:val="2"/>
          <w:numId w:val="21"/>
        </w:numPr>
        <w:spacing w:before="156" w:after="156"/>
        <w:rPr>
          <w:rFonts w:ascii="宋体" w:hAnsi="宋体" w:eastAsia="宋体"/>
          <w:szCs w:val="20"/>
        </w:rPr>
      </w:pPr>
      <w:r>
        <w:rPr>
          <w:rFonts w:hint="eastAsia" w:ascii="宋体" w:hAnsi="宋体" w:eastAsia="宋体"/>
          <w:szCs w:val="20"/>
        </w:rPr>
        <w:t>应提示、提醒适量取餐。</w:t>
      </w:r>
    </w:p>
    <w:p>
      <w:pPr>
        <w:pStyle w:val="45"/>
        <w:numPr>
          <w:ilvl w:val="1"/>
          <w:numId w:val="21"/>
        </w:numPr>
      </w:pPr>
      <w:r>
        <w:rPr>
          <w:rFonts w:hint="eastAsia"/>
        </w:rPr>
        <w:t>用餐环节</w:t>
      </w:r>
    </w:p>
    <w:p>
      <w:pPr>
        <w:pStyle w:val="49"/>
        <w:numPr>
          <w:ilvl w:val="2"/>
          <w:numId w:val="24"/>
        </w:numPr>
        <w:spacing w:before="156" w:after="156"/>
        <w:rPr>
          <w:rFonts w:ascii="宋体" w:hAnsi="宋体" w:eastAsia="宋体"/>
          <w:szCs w:val="20"/>
        </w:rPr>
      </w:pPr>
      <w:r>
        <w:rPr>
          <w:rFonts w:hint="eastAsia" w:ascii="宋体" w:hAnsi="宋体" w:eastAsia="宋体"/>
          <w:szCs w:val="20"/>
          <w:lang w:val="en-US" w:eastAsia="zh-CN"/>
        </w:rPr>
        <w:t>倡导</w:t>
      </w:r>
      <w:r>
        <w:rPr>
          <w:rFonts w:hint="eastAsia" w:ascii="宋体" w:hAnsi="宋体" w:eastAsia="宋体" w:cs="Times New Roman"/>
          <w:szCs w:val="20"/>
          <w:lang w:val="en-US" w:eastAsia="zh-CN"/>
        </w:rPr>
        <w:t>利用</w:t>
      </w:r>
      <w:r>
        <w:rPr>
          <w:rFonts w:hint="eastAsia" w:ascii="宋体" w:hAnsi="宋体" w:eastAsia="宋体" w:cs="Times New Roman"/>
          <w:szCs w:val="20"/>
        </w:rPr>
        <w:t>自然光</w:t>
      </w:r>
      <w:r>
        <w:rPr>
          <w:rFonts w:hint="eastAsia" w:ascii="宋体" w:hAnsi="宋体" w:eastAsia="宋体"/>
          <w:szCs w:val="20"/>
        </w:rPr>
        <w:t>，控制</w:t>
      </w:r>
      <w:r>
        <w:rPr>
          <w:rFonts w:hint="eastAsia" w:ascii="宋体" w:hAnsi="宋体" w:eastAsia="宋体" w:cs="Times New Roman"/>
          <w:szCs w:val="20"/>
        </w:rPr>
        <w:t>开灯数量</w:t>
      </w:r>
      <w:r>
        <w:rPr>
          <w:rFonts w:hint="eastAsia" w:ascii="宋体" w:hAnsi="宋体" w:eastAsia="宋体"/>
          <w:szCs w:val="20"/>
        </w:rPr>
        <w:t>，选用节能灯具</w:t>
      </w:r>
      <w:r>
        <w:rPr>
          <w:rFonts w:hint="eastAsia" w:ascii="宋体" w:hAnsi="宋体" w:eastAsia="宋体"/>
          <w:szCs w:val="20"/>
          <w:lang w:eastAsia="zh-CN"/>
        </w:rPr>
        <w:t>；</w:t>
      </w:r>
      <w:r>
        <w:rPr>
          <w:rFonts w:hint="eastAsia" w:ascii="宋体" w:hAnsi="宋体" w:eastAsia="宋体"/>
          <w:szCs w:val="20"/>
          <w:lang w:val="en-US" w:eastAsia="zh-CN"/>
        </w:rPr>
        <w:t>公共区域夏季</w:t>
      </w:r>
      <w:r>
        <w:rPr>
          <w:rFonts w:hint="eastAsia" w:ascii="宋体" w:hAnsi="宋体" w:eastAsia="宋体"/>
          <w:szCs w:val="20"/>
        </w:rPr>
        <w:t>空调</w:t>
      </w:r>
      <w:r>
        <w:rPr>
          <w:rFonts w:hint="eastAsia" w:ascii="宋体" w:hAnsi="宋体" w:eastAsia="宋体"/>
          <w:szCs w:val="20"/>
          <w:lang w:eastAsia="zh-CN"/>
        </w:rPr>
        <w:t>供冷时室内</w:t>
      </w:r>
      <w:r>
        <w:rPr>
          <w:rFonts w:hint="eastAsia" w:ascii="宋体" w:hAnsi="宋体" w:eastAsia="宋体"/>
          <w:szCs w:val="20"/>
        </w:rPr>
        <w:t>温度不低于</w:t>
      </w:r>
      <w:r>
        <w:rPr>
          <w:rFonts w:ascii="宋体" w:hAnsi="宋体" w:eastAsia="宋体"/>
          <w:szCs w:val="20"/>
        </w:rPr>
        <w:t>26</w:t>
      </w:r>
      <w:r>
        <w:rPr>
          <w:rFonts w:hint="eastAsia" w:ascii="宋体" w:hAnsi="宋体" w:eastAsia="宋体" w:cs="Times New Roman"/>
          <w:szCs w:val="20"/>
        </w:rPr>
        <w:t>℃</w:t>
      </w:r>
      <w:r>
        <w:rPr>
          <w:rFonts w:hint="eastAsia" w:ascii="宋体" w:hAnsi="宋体" w:eastAsia="宋体"/>
          <w:szCs w:val="20"/>
        </w:rPr>
        <w:t>，</w:t>
      </w:r>
      <w:r>
        <w:rPr>
          <w:rFonts w:hint="eastAsia" w:ascii="宋体" w:hAnsi="宋体" w:eastAsia="宋体"/>
          <w:szCs w:val="20"/>
          <w:lang w:eastAsia="zh-CN"/>
        </w:rPr>
        <w:t>冬季</w:t>
      </w:r>
      <w:r>
        <w:rPr>
          <w:rFonts w:hint="eastAsia" w:ascii="宋体" w:hAnsi="宋体" w:eastAsia="宋体"/>
          <w:szCs w:val="20"/>
        </w:rPr>
        <w:t>空调供暖</w:t>
      </w:r>
      <w:r>
        <w:rPr>
          <w:rFonts w:hint="eastAsia" w:ascii="宋体" w:hAnsi="宋体" w:eastAsia="宋体"/>
          <w:szCs w:val="20"/>
          <w:lang w:eastAsia="zh-CN"/>
        </w:rPr>
        <w:t>时室内温度</w:t>
      </w:r>
      <w:r>
        <w:rPr>
          <w:rFonts w:hint="eastAsia" w:ascii="宋体" w:hAnsi="宋体" w:eastAsia="宋体"/>
          <w:szCs w:val="20"/>
        </w:rPr>
        <w:t>不高于</w:t>
      </w:r>
      <w:r>
        <w:rPr>
          <w:rFonts w:ascii="宋体" w:hAnsi="宋体" w:eastAsia="宋体"/>
          <w:szCs w:val="20"/>
        </w:rPr>
        <w:t>20</w:t>
      </w:r>
      <w:r>
        <w:rPr>
          <w:rFonts w:hint="eastAsia" w:ascii="宋体" w:hAnsi="宋体" w:eastAsia="宋体" w:cs="Times New Roman"/>
          <w:szCs w:val="20"/>
        </w:rPr>
        <w:t>℃。</w:t>
      </w:r>
    </w:p>
    <w:p>
      <w:pPr>
        <w:pStyle w:val="49"/>
        <w:numPr>
          <w:ilvl w:val="2"/>
          <w:numId w:val="21"/>
        </w:numPr>
        <w:spacing w:before="156" w:after="156"/>
        <w:rPr>
          <w:rFonts w:ascii="宋体" w:hAnsi="宋体" w:eastAsia="宋体"/>
          <w:szCs w:val="20"/>
        </w:rPr>
      </w:pPr>
      <w:r>
        <w:rPr>
          <w:rFonts w:hint="eastAsia" w:ascii="宋体" w:hAnsi="宋体" w:eastAsia="宋体"/>
          <w:szCs w:val="20"/>
        </w:rPr>
        <w:t>宜按就餐人数合理配置就餐座位，座位数满足全部就餐人员在规定就餐时间内就餐的需求；如受条件限制，应分批次、分时段依次就餐。</w:t>
      </w:r>
    </w:p>
    <w:p>
      <w:pPr>
        <w:pStyle w:val="49"/>
        <w:numPr>
          <w:ilvl w:val="2"/>
          <w:numId w:val="21"/>
        </w:numPr>
        <w:spacing w:before="156" w:after="156"/>
        <w:rPr>
          <w:rFonts w:ascii="宋体" w:hAnsi="宋体" w:eastAsia="宋体"/>
          <w:szCs w:val="20"/>
        </w:rPr>
      </w:pPr>
      <w:r>
        <w:rPr>
          <w:rFonts w:hint="eastAsia" w:ascii="宋体" w:hAnsi="宋体" w:eastAsia="宋体"/>
          <w:szCs w:val="20"/>
        </w:rPr>
        <w:t>鼓励由就餐单位干部职工成立“志愿服务队”、“光盘监督岗”等，引导就餐人员健康饮食、适量取餐，践行光盘行动。</w:t>
      </w:r>
    </w:p>
    <w:p>
      <w:pPr>
        <w:pStyle w:val="49"/>
        <w:numPr>
          <w:ilvl w:val="2"/>
          <w:numId w:val="21"/>
        </w:numPr>
        <w:spacing w:before="156" w:after="156"/>
        <w:rPr>
          <w:rFonts w:ascii="宋体" w:hAnsi="宋体" w:eastAsia="宋体"/>
          <w:szCs w:val="20"/>
        </w:rPr>
      </w:pPr>
      <w:r>
        <w:rPr>
          <w:rFonts w:hint="eastAsia" w:ascii="宋体" w:hAnsi="宋体" w:eastAsia="宋体"/>
          <w:szCs w:val="20"/>
        </w:rPr>
        <w:t>应通过提示、监督、巡查，劝阻食品浪费行为。</w:t>
      </w:r>
    </w:p>
    <w:p>
      <w:pPr>
        <w:pStyle w:val="49"/>
        <w:numPr>
          <w:ilvl w:val="2"/>
          <w:numId w:val="21"/>
        </w:numPr>
        <w:spacing w:before="156" w:after="156"/>
        <w:rPr>
          <w:rFonts w:ascii="宋体" w:hAnsi="宋体" w:eastAsia="宋体"/>
          <w:szCs w:val="20"/>
        </w:rPr>
      </w:pPr>
      <w:r>
        <w:rPr>
          <w:rFonts w:hint="eastAsia" w:ascii="宋体" w:hAnsi="宋体" w:eastAsia="宋体"/>
          <w:szCs w:val="20"/>
        </w:rPr>
        <w:t>倡导按需取用餐纸，节约用纸。</w:t>
      </w:r>
    </w:p>
    <w:p>
      <w:pPr>
        <w:pStyle w:val="45"/>
        <w:numPr>
          <w:ilvl w:val="1"/>
          <w:numId w:val="21"/>
        </w:numPr>
      </w:pPr>
      <w:r>
        <w:rPr>
          <w:rFonts w:hint="eastAsia"/>
        </w:rPr>
        <w:t>餐后环节</w:t>
      </w:r>
    </w:p>
    <w:p>
      <w:pPr>
        <w:pStyle w:val="49"/>
        <w:numPr>
          <w:ilvl w:val="2"/>
          <w:numId w:val="21"/>
        </w:numPr>
        <w:spacing w:before="156" w:after="156"/>
        <w:rPr>
          <w:rFonts w:ascii="宋体" w:hAnsi="宋体" w:eastAsia="宋体"/>
          <w:szCs w:val="20"/>
        </w:rPr>
      </w:pPr>
      <w:r>
        <w:rPr>
          <w:rFonts w:hint="eastAsia" w:ascii="宋体" w:hAnsi="宋体" w:eastAsia="宋体"/>
          <w:szCs w:val="20"/>
        </w:rPr>
        <w:t>应在餐盘回收处等关键点位安装视频监控设备，定期对浪费行为追溯取证。</w:t>
      </w:r>
    </w:p>
    <w:p>
      <w:pPr>
        <w:pStyle w:val="49"/>
        <w:numPr>
          <w:ilvl w:val="2"/>
          <w:numId w:val="21"/>
        </w:numPr>
        <w:spacing w:before="156" w:after="156"/>
        <w:rPr>
          <w:rFonts w:ascii="宋体" w:hAnsi="宋体" w:eastAsia="宋体"/>
          <w:szCs w:val="20"/>
        </w:rPr>
      </w:pPr>
      <w:r>
        <w:rPr>
          <w:rFonts w:hint="eastAsia" w:ascii="宋体" w:hAnsi="宋体" w:eastAsia="宋体"/>
          <w:szCs w:val="20"/>
        </w:rPr>
        <w:t>应分类设置厨余垃圾、其他垃圾投放容器，设置分类投放指引，引导精准投放。</w:t>
      </w:r>
    </w:p>
    <w:p>
      <w:pPr>
        <w:pStyle w:val="49"/>
        <w:numPr>
          <w:ilvl w:val="2"/>
          <w:numId w:val="21"/>
        </w:numPr>
        <w:spacing w:before="156" w:after="156"/>
        <w:rPr>
          <w:rFonts w:ascii="宋体" w:hAnsi="宋体" w:eastAsia="宋体"/>
          <w:szCs w:val="20"/>
        </w:rPr>
      </w:pPr>
      <w:r>
        <w:rPr>
          <w:rFonts w:hint="eastAsia" w:ascii="宋体" w:hAnsi="宋体" w:eastAsia="宋体"/>
          <w:szCs w:val="20"/>
        </w:rPr>
        <w:t>应在安全、卫生的前提下合理储存、处理上期未消费食品。</w:t>
      </w:r>
    </w:p>
    <w:p>
      <w:pPr>
        <w:pStyle w:val="49"/>
        <w:numPr>
          <w:ilvl w:val="2"/>
          <w:numId w:val="21"/>
        </w:numPr>
        <w:spacing w:before="156" w:after="156"/>
        <w:rPr>
          <w:rFonts w:ascii="宋体" w:hAnsi="宋体" w:eastAsia="宋体"/>
          <w:szCs w:val="20"/>
        </w:rPr>
      </w:pPr>
      <w:r>
        <w:rPr>
          <w:rFonts w:hint="eastAsia" w:ascii="宋体" w:hAnsi="宋体" w:eastAsia="宋体"/>
          <w:szCs w:val="20"/>
        </w:rPr>
        <w:t>应定期对菜品剩余情况进行统计分析，明确需要调整的菜品及原因。</w:t>
      </w:r>
    </w:p>
    <w:p>
      <w:pPr>
        <w:pStyle w:val="49"/>
        <w:numPr>
          <w:ilvl w:val="2"/>
          <w:numId w:val="21"/>
        </w:numPr>
        <w:spacing w:before="156" w:after="156"/>
        <w:rPr>
          <w:rFonts w:ascii="宋体" w:hAnsi="宋体" w:eastAsia="宋体"/>
          <w:szCs w:val="20"/>
        </w:rPr>
      </w:pPr>
      <w:r>
        <w:rPr>
          <w:rFonts w:hint="eastAsia" w:ascii="宋体" w:hAnsi="宋体" w:eastAsia="宋体"/>
          <w:szCs w:val="20"/>
        </w:rPr>
        <w:t>应开展用餐满意度调查，建立菜品质量和口味反馈渠道。</w:t>
      </w:r>
    </w:p>
    <w:p>
      <w:pPr>
        <w:pStyle w:val="45"/>
        <w:numPr>
          <w:ilvl w:val="1"/>
          <w:numId w:val="21"/>
        </w:numPr>
      </w:pPr>
      <w:r>
        <w:rPr>
          <w:rFonts w:hint="eastAsia"/>
        </w:rPr>
        <w:t>厨余垃圾处理环节</w:t>
      </w:r>
    </w:p>
    <w:p>
      <w:pPr>
        <w:pStyle w:val="49"/>
        <w:spacing w:before="156" w:after="156"/>
        <w:rPr>
          <w:rFonts w:ascii="宋体" w:hAnsi="宋体" w:eastAsia="宋体"/>
          <w:szCs w:val="20"/>
        </w:rPr>
      </w:pPr>
      <w:r>
        <w:rPr>
          <w:rFonts w:hint="eastAsia" w:ascii="宋体" w:hAnsi="宋体" w:eastAsia="宋体"/>
          <w:szCs w:val="20"/>
        </w:rPr>
        <w:t>厨余垃圾宜固液分离和油水分离，有条件单位宜安装厨余垃圾源头减量设备，减量设备应符合</w:t>
      </w:r>
      <w:r>
        <w:rPr>
          <w:rFonts w:ascii="宋体" w:hAnsi="宋体" w:eastAsia="宋体"/>
          <w:szCs w:val="20"/>
        </w:rPr>
        <w:t>DB11/T 2033</w:t>
      </w:r>
      <w:r>
        <w:rPr>
          <w:rFonts w:hint="eastAsia" w:ascii="宋体" w:hAnsi="宋体" w:eastAsia="宋体"/>
          <w:szCs w:val="20"/>
        </w:rPr>
        <w:t>规定。</w:t>
      </w:r>
    </w:p>
    <w:p>
      <w:pPr>
        <w:pStyle w:val="49"/>
        <w:spacing w:before="156" w:after="156"/>
        <w:rPr>
          <w:rFonts w:ascii="宋体" w:hAnsi="宋体" w:eastAsia="宋体"/>
          <w:szCs w:val="20"/>
        </w:rPr>
      </w:pPr>
      <w:r>
        <w:rPr>
          <w:rFonts w:hint="eastAsia" w:ascii="宋体" w:hAnsi="宋体" w:eastAsia="宋体"/>
          <w:szCs w:val="20"/>
        </w:rPr>
        <w:t>应与具备资质的专业机构签订厨余垃圾收运合同，实施统一收运处置。</w:t>
      </w:r>
    </w:p>
    <w:p>
      <w:pPr>
        <w:pStyle w:val="49"/>
        <w:spacing w:before="156" w:after="156"/>
        <w:rPr>
          <w:rFonts w:ascii="宋体" w:hAnsi="宋体" w:eastAsia="宋体"/>
          <w:szCs w:val="20"/>
        </w:rPr>
      </w:pPr>
      <w:r>
        <w:rPr>
          <w:rFonts w:hint="eastAsia" w:ascii="宋体" w:hAnsi="宋体" w:eastAsia="宋体"/>
          <w:szCs w:val="20"/>
        </w:rPr>
        <w:t>应规范建立厨余垃圾台账，台账模板见附录B。</w:t>
      </w:r>
    </w:p>
    <w:p>
      <w:pPr>
        <w:pStyle w:val="45"/>
      </w:pPr>
      <w:r>
        <w:rPr>
          <w:rFonts w:hint="eastAsia"/>
        </w:rPr>
        <w:t>业务培训环节</w:t>
      </w:r>
    </w:p>
    <w:p>
      <w:pPr>
        <w:pStyle w:val="49"/>
        <w:numPr>
          <w:ilvl w:val="2"/>
          <w:numId w:val="21"/>
        </w:numPr>
        <w:spacing w:before="156" w:after="156"/>
        <w:rPr>
          <w:rFonts w:ascii="宋体" w:hAnsi="宋体" w:eastAsia="宋体"/>
          <w:szCs w:val="20"/>
        </w:rPr>
      </w:pPr>
      <w:r>
        <w:rPr>
          <w:rFonts w:hint="eastAsia" w:ascii="宋体" w:hAnsi="宋体" w:eastAsia="宋体"/>
          <w:szCs w:val="20"/>
        </w:rPr>
        <w:t>应提高烹饪人员厨艺水平，</w:t>
      </w:r>
      <w:r>
        <w:rPr>
          <w:rFonts w:ascii="宋体" w:hAnsi="宋体" w:eastAsia="宋体"/>
          <w:szCs w:val="20"/>
        </w:rPr>
        <w:t>定期开展技能培训和考核</w:t>
      </w:r>
      <w:r>
        <w:rPr>
          <w:rFonts w:hint="eastAsia" w:ascii="宋体" w:hAnsi="宋体" w:eastAsia="宋体"/>
          <w:szCs w:val="20"/>
        </w:rPr>
        <w:t>。</w:t>
      </w:r>
    </w:p>
    <w:p>
      <w:pPr>
        <w:pStyle w:val="49"/>
        <w:spacing w:before="156" w:after="156"/>
        <w:rPr>
          <w:rFonts w:ascii="宋体" w:hAnsi="宋体" w:eastAsia="宋体"/>
          <w:szCs w:val="20"/>
        </w:rPr>
      </w:pPr>
      <w:r>
        <w:rPr>
          <w:rFonts w:hint="eastAsia" w:ascii="宋体" w:hAnsi="宋体" w:eastAsia="宋体"/>
        </w:rPr>
        <w:t>应定期对食堂工作人员开展反食品浪费培训，使其熟练掌握节约食品的方式方法，具备反食品浪费的意识和能力。</w:t>
      </w:r>
    </w:p>
    <w:p>
      <w:pPr>
        <w:pStyle w:val="45"/>
      </w:pPr>
      <w:r>
        <w:rPr>
          <w:rFonts w:hint="eastAsia"/>
        </w:rPr>
        <w:t>监测环节</w:t>
      </w:r>
    </w:p>
    <w:p>
      <w:pPr>
        <w:pStyle w:val="49"/>
        <w:spacing w:before="156" w:after="156"/>
        <w:rPr>
          <w:rFonts w:ascii="宋体" w:hAnsi="宋体" w:eastAsia="宋体"/>
          <w:szCs w:val="20"/>
        </w:rPr>
      </w:pPr>
      <w:r>
        <w:rPr>
          <w:rFonts w:hint="eastAsia" w:ascii="宋体" w:hAnsi="宋体" w:eastAsia="宋体"/>
        </w:rPr>
        <w:t>应定期监测食堂食品浪费情况，记录食品浪费系数，留存照片等资料，测量方法可参考附录C。</w:t>
      </w:r>
    </w:p>
    <w:p>
      <w:pPr>
        <w:pStyle w:val="49"/>
        <w:spacing w:before="156" w:after="156"/>
        <w:rPr>
          <w:rFonts w:ascii="宋体" w:hAnsi="宋体" w:eastAsia="宋体"/>
          <w:szCs w:val="20"/>
        </w:rPr>
      </w:pPr>
      <w:r>
        <w:rPr>
          <w:rFonts w:hint="eastAsia" w:ascii="宋体" w:hAnsi="宋体" w:eastAsia="宋体"/>
        </w:rPr>
        <w:t>应定期开展食堂反食品浪费工作自查，针对自查发现的问题及时整改。</w:t>
      </w:r>
    </w:p>
    <w:p>
      <w:pPr>
        <w:pStyle w:val="49"/>
        <w:spacing w:before="156" w:after="156"/>
        <w:rPr>
          <w:rFonts w:ascii="宋体" w:hAnsi="宋体" w:eastAsia="宋体"/>
          <w:szCs w:val="20"/>
        </w:rPr>
      </w:pPr>
      <w:r>
        <w:rPr>
          <w:rFonts w:hint="eastAsia" w:ascii="宋体" w:hAnsi="宋体" w:eastAsia="宋体"/>
          <w:szCs w:val="20"/>
        </w:rPr>
        <w:t>应将反食品浪费纳入食堂工作人员考评，对造成食品浪费的人员进行相应的惩罚。</w:t>
      </w:r>
    </w:p>
    <w:p>
      <w:pPr>
        <w:pStyle w:val="49"/>
        <w:spacing w:before="156" w:after="156"/>
        <w:rPr>
          <w:rFonts w:ascii="宋体" w:hAnsi="宋体" w:eastAsia="宋体"/>
          <w:szCs w:val="20"/>
        </w:rPr>
      </w:pPr>
      <w:r>
        <w:rPr>
          <w:rFonts w:hint="eastAsia" w:ascii="宋体" w:hAnsi="宋体" w:eastAsia="宋体"/>
          <w:szCs w:val="20"/>
        </w:rPr>
        <w:t>应建立食堂反食品浪费工作档案，档案内容包括不限于：</w:t>
      </w:r>
    </w:p>
    <w:p>
      <w:pPr>
        <w:pStyle w:val="31"/>
        <w:numPr>
          <w:ilvl w:val="0"/>
          <w:numId w:val="25"/>
        </w:numPr>
        <w:ind w:hanging="420"/>
        <w:rPr>
          <w:rFonts w:hint="default" w:cs="宋体"/>
          <w:sz w:val="21"/>
          <w:szCs w:val="21"/>
          <w:lang w:bidi="ar"/>
        </w:rPr>
      </w:pPr>
      <w:r>
        <w:rPr>
          <w:rFonts w:cs="宋体"/>
          <w:sz w:val="21"/>
          <w:szCs w:val="21"/>
          <w:lang w:bidi="ar"/>
        </w:rPr>
        <w:t>设备检测及运行记录</w:t>
      </w:r>
    </w:p>
    <w:p>
      <w:pPr>
        <w:pStyle w:val="31"/>
        <w:numPr>
          <w:ilvl w:val="0"/>
          <w:numId w:val="25"/>
        </w:numPr>
        <w:ind w:hanging="420"/>
        <w:rPr>
          <w:rFonts w:hint="default" w:cs="宋体"/>
          <w:sz w:val="21"/>
          <w:szCs w:val="21"/>
          <w:lang w:bidi="ar"/>
        </w:rPr>
      </w:pPr>
      <w:r>
        <w:rPr>
          <w:rFonts w:cs="宋体"/>
          <w:sz w:val="21"/>
          <w:szCs w:val="21"/>
          <w:lang w:bidi="ar"/>
        </w:rPr>
        <w:t>采购计划目录</w:t>
      </w:r>
    </w:p>
    <w:p>
      <w:pPr>
        <w:pStyle w:val="31"/>
        <w:numPr>
          <w:ilvl w:val="0"/>
          <w:numId w:val="25"/>
        </w:numPr>
        <w:ind w:hanging="420"/>
        <w:rPr>
          <w:rFonts w:hint="default" w:cs="宋体"/>
          <w:sz w:val="21"/>
          <w:szCs w:val="21"/>
          <w:lang w:bidi="ar"/>
        </w:rPr>
      </w:pPr>
      <w:r>
        <w:rPr>
          <w:rFonts w:cs="宋体"/>
          <w:sz w:val="21"/>
          <w:szCs w:val="21"/>
          <w:lang w:bidi="ar"/>
        </w:rPr>
        <w:t>采购食材相关票据</w:t>
      </w:r>
    </w:p>
    <w:p>
      <w:pPr>
        <w:pStyle w:val="31"/>
        <w:numPr>
          <w:ilvl w:val="0"/>
          <w:numId w:val="25"/>
        </w:numPr>
        <w:ind w:hanging="420"/>
        <w:rPr>
          <w:rFonts w:hint="default" w:cs="宋体"/>
          <w:sz w:val="21"/>
          <w:szCs w:val="21"/>
          <w:lang w:bidi="ar"/>
        </w:rPr>
      </w:pPr>
      <w:r>
        <w:rPr>
          <w:rFonts w:cs="宋体"/>
          <w:sz w:val="21"/>
          <w:szCs w:val="21"/>
          <w:lang w:bidi="ar"/>
        </w:rPr>
        <w:t>出入库清单、存货盘点表等</w:t>
      </w:r>
    </w:p>
    <w:p>
      <w:pPr>
        <w:pStyle w:val="31"/>
        <w:numPr>
          <w:ilvl w:val="0"/>
          <w:numId w:val="25"/>
        </w:numPr>
        <w:ind w:hanging="420"/>
        <w:rPr>
          <w:rFonts w:hint="default" w:cs="宋体"/>
          <w:sz w:val="21"/>
          <w:szCs w:val="21"/>
          <w:lang w:bidi="ar"/>
        </w:rPr>
      </w:pPr>
      <w:r>
        <w:rPr>
          <w:rFonts w:cs="宋体"/>
          <w:sz w:val="21"/>
          <w:szCs w:val="21"/>
          <w:lang w:bidi="ar"/>
        </w:rPr>
        <w:t>用餐满意度调查记录</w:t>
      </w:r>
    </w:p>
    <w:p>
      <w:pPr>
        <w:pStyle w:val="31"/>
        <w:numPr>
          <w:ilvl w:val="0"/>
          <w:numId w:val="25"/>
        </w:numPr>
        <w:ind w:hanging="420"/>
        <w:rPr>
          <w:rFonts w:hint="default" w:cs="宋体"/>
          <w:sz w:val="21"/>
          <w:szCs w:val="21"/>
          <w:lang w:bidi="ar"/>
        </w:rPr>
      </w:pPr>
      <w:r>
        <w:rPr>
          <w:rFonts w:cs="宋体"/>
          <w:sz w:val="21"/>
          <w:szCs w:val="21"/>
          <w:lang w:bidi="ar"/>
        </w:rPr>
        <w:t>宣传、培训及会议记录</w:t>
      </w:r>
    </w:p>
    <w:p>
      <w:pPr>
        <w:pStyle w:val="31"/>
        <w:numPr>
          <w:ilvl w:val="0"/>
          <w:numId w:val="25"/>
        </w:numPr>
        <w:ind w:hanging="420"/>
        <w:rPr>
          <w:rFonts w:hint="default" w:cs="宋体"/>
          <w:sz w:val="21"/>
          <w:szCs w:val="21"/>
          <w:lang w:bidi="ar"/>
        </w:rPr>
      </w:pPr>
      <w:r>
        <w:rPr>
          <w:rFonts w:cs="宋体"/>
          <w:sz w:val="21"/>
          <w:szCs w:val="21"/>
          <w:lang w:bidi="ar"/>
        </w:rPr>
        <w:t>厨余垃圾台账</w:t>
      </w:r>
    </w:p>
    <w:p>
      <w:pPr>
        <w:pStyle w:val="31"/>
        <w:numPr>
          <w:ilvl w:val="0"/>
          <w:numId w:val="25"/>
        </w:numPr>
        <w:ind w:hanging="420"/>
        <w:rPr>
          <w:rFonts w:hint="default" w:cs="宋体"/>
          <w:sz w:val="21"/>
          <w:szCs w:val="21"/>
          <w:lang w:bidi="ar"/>
        </w:rPr>
      </w:pPr>
      <w:r>
        <w:rPr>
          <w:rFonts w:cs="宋体"/>
          <w:sz w:val="21"/>
          <w:szCs w:val="21"/>
          <w:lang w:bidi="ar"/>
        </w:rPr>
        <w:t>食品浪费系数记录及照片等资料</w:t>
      </w:r>
    </w:p>
    <w:p>
      <w:pPr>
        <w:pStyle w:val="24"/>
        <w:ind w:firstLine="0" w:firstLineChars="0"/>
        <w:sectPr>
          <w:headerReference r:id="rId7" w:type="default"/>
          <w:footerReference r:id="rId9" w:type="default"/>
          <w:headerReference r:id="rId8" w:type="even"/>
          <w:footerReference r:id="rId10" w:type="even"/>
          <w:pgSz w:w="11906" w:h="16838"/>
          <w:pgMar w:top="567" w:right="1134" w:bottom="1134" w:left="1417" w:header="1418" w:footer="1134" w:gutter="0"/>
          <w:pgNumType w:start="1"/>
          <w:cols w:space="425" w:num="1"/>
          <w:formProt w:val="0"/>
          <w:docGrid w:type="lines" w:linePitch="312" w:charSpace="0"/>
        </w:sectPr>
      </w:pPr>
    </w:p>
    <w:p>
      <w:pPr>
        <w:pStyle w:val="101"/>
      </w:pPr>
    </w:p>
    <w:p>
      <w:pPr>
        <w:pStyle w:val="89"/>
        <w:numPr>
          <w:ilvl w:val="0"/>
          <w:numId w:val="0"/>
        </w:numPr>
        <w:ind w:left="811" w:hanging="448"/>
      </w:pPr>
      <w:r>
        <w:rPr>
          <w:rFonts w:hint="eastAsia"/>
        </w:rPr>
        <w:t>A</w:t>
      </w:r>
    </w:p>
    <w:p>
      <w:pPr>
        <w:pStyle w:val="91"/>
        <w:numPr>
          <w:ilvl w:val="0"/>
          <w:numId w:val="0"/>
        </w:numPr>
        <w:tabs>
          <w:tab w:val="clear" w:pos="360"/>
        </w:tabs>
        <w:spacing w:beforeLines="0" w:afterLines="0"/>
        <w:rPr>
          <w:rFonts w:asciiTheme="minorEastAsia" w:hAnsiTheme="minorEastAsia" w:eastAsiaTheme="minorEastAsia"/>
        </w:rPr>
      </w:pPr>
    </w:p>
    <w:p>
      <w:pPr>
        <w:pStyle w:val="87"/>
      </w:pPr>
      <w:r>
        <w:br w:type="textWrapping"/>
      </w:r>
      <w:r>
        <w:rPr>
          <w:rFonts w:hint="eastAsia"/>
        </w:rPr>
        <w:t>（资料</w:t>
      </w:r>
      <w:r>
        <w:t>性</w:t>
      </w:r>
      <w:r>
        <w:rPr>
          <w:rFonts w:hint="eastAsia"/>
        </w:rPr>
        <w:t>）</w:t>
      </w:r>
      <w:r>
        <w:br w:type="textWrapping"/>
      </w:r>
      <w:r>
        <w:rPr>
          <w:rFonts w:hint="eastAsia"/>
        </w:rPr>
        <w:t>制餐区厨余垃圾统计模板</w:t>
      </w:r>
    </w:p>
    <w:p>
      <w:pPr>
        <w:pStyle w:val="24"/>
      </w:pPr>
      <w:r>
        <w:rPr>
          <w:rFonts w:hint="eastAsia"/>
        </w:rPr>
        <w:t>制餐区厨余垃圾台账模板见表 A.1。</w:t>
      </w:r>
    </w:p>
    <w:p>
      <w:pPr>
        <w:pStyle w:val="24"/>
      </w:pPr>
    </w:p>
    <w:p>
      <w:pPr>
        <w:pStyle w:val="90"/>
        <w:numPr>
          <w:ilvl w:val="1"/>
          <w:numId w:val="0"/>
        </w:numPr>
        <w:spacing w:before="156" w:after="156"/>
      </w:pPr>
      <w:r>
        <w:t>表A.1　</w:t>
      </w:r>
      <w:r>
        <w:rPr>
          <w:rFonts w:hint="eastAsia"/>
        </w:rPr>
        <w:t>制餐区厨余垃圾统计模板</w:t>
      </w:r>
    </w:p>
    <w:p>
      <w:pPr>
        <w:pStyle w:val="24"/>
      </w:pPr>
      <w:r>
        <w:rPr>
          <w:rFonts w:hint="eastAsia" w:hAnsi="宋体" w:cs="宋体"/>
          <w:szCs w:val="21"/>
        </w:rPr>
        <w:t>食堂名称：</w:t>
      </w:r>
      <w:r>
        <w:rPr>
          <w:rFonts w:hint="eastAsia" w:hAnsi="宋体" w:cs="宋体"/>
          <w:szCs w:val="21"/>
          <w:u w:val="single"/>
        </w:rPr>
        <w:t xml:space="preserve">                      </w:t>
      </w:r>
      <w:r>
        <w:rPr>
          <w:rFonts w:hint="eastAsia" w:hAnsi="宋体" w:cs="宋体"/>
          <w:szCs w:val="21"/>
        </w:rPr>
        <w:t xml:space="preserve"> </w:t>
      </w:r>
      <w:r>
        <w:rPr>
          <w:rFonts w:hAnsi="宋体" w:cs="宋体"/>
          <w:szCs w:val="21"/>
        </w:rPr>
        <w:t xml:space="preserve">        </w:t>
      </w:r>
      <w:r>
        <w:rPr>
          <w:rFonts w:hint="eastAsia" w:hAnsi="宋体" w:cs="宋体"/>
          <w:szCs w:val="21"/>
        </w:rPr>
        <w:t xml:space="preserve">         </w:t>
      </w:r>
      <w:r>
        <w:rPr>
          <w:rFonts w:hAnsi="宋体" w:cs="宋体"/>
          <w:szCs w:val="21"/>
        </w:rPr>
        <w:t xml:space="preserve"> </w:t>
      </w:r>
      <w:r>
        <w:rPr>
          <w:rFonts w:hint="eastAsia" w:hAnsi="宋体" w:cs="宋体"/>
          <w:szCs w:val="21"/>
        </w:rPr>
        <w:t>管理机构名称：</w:t>
      </w:r>
      <w:r>
        <w:rPr>
          <w:rFonts w:hint="eastAsia" w:hAnsi="宋体" w:cs="宋体"/>
          <w:szCs w:val="21"/>
          <w:u w:val="single"/>
        </w:rPr>
        <w:t xml:space="preserve">                          </w:t>
      </w:r>
      <w:r>
        <w:rPr>
          <w:rFonts w:hint="eastAsia" w:hAnsi="宋体" w:cs="宋体"/>
          <w:szCs w:val="21"/>
        </w:rPr>
        <w:t xml:space="preserve"> </w:t>
      </w:r>
      <w:r>
        <w:rPr>
          <w:rFonts w:hAnsi="宋体" w:cs="宋体"/>
          <w:szCs w:val="21"/>
        </w:rPr>
        <w:t xml:space="preserve">        </w:t>
      </w:r>
      <w:r>
        <w:rPr>
          <w:rFonts w:hint="eastAsia" w:hAnsi="宋体" w:cs="宋体"/>
          <w:szCs w:val="21"/>
        </w:rPr>
        <w:t xml:space="preserve">      食材类型：</w:t>
      </w:r>
      <w:r>
        <w:rPr>
          <w:rFonts w:hint="eastAsia" w:hAnsi="宋体" w:cs="宋体"/>
          <w:szCs w:val="21"/>
        </w:rPr>
        <w:sym w:font="Wingdings 2" w:char="00A3"/>
      </w:r>
      <w:r>
        <w:rPr>
          <w:rFonts w:hint="eastAsia" w:hAnsi="宋体" w:cs="宋体"/>
          <w:szCs w:val="21"/>
        </w:rPr>
        <w:t>净菜</w:t>
      </w:r>
      <w:r>
        <w:rPr>
          <w:rFonts w:hAnsi="宋体" w:cs="宋体"/>
          <w:szCs w:val="21"/>
        </w:rPr>
        <w:t xml:space="preserve">  </w:t>
      </w:r>
      <w:r>
        <w:rPr>
          <w:rFonts w:hAnsi="宋体" w:cs="宋体"/>
          <w:szCs w:val="21"/>
        </w:rPr>
        <w:sym w:font="Wingdings 2" w:char="00A3"/>
      </w:r>
      <w:r>
        <w:rPr>
          <w:rFonts w:hint="eastAsia" w:hAnsi="宋体" w:cs="宋体"/>
          <w:szCs w:val="21"/>
        </w:rPr>
        <w:t>非净菜</w:t>
      </w:r>
    </w:p>
    <w:tbl>
      <w:tblPr>
        <w:tblStyle w:val="34"/>
        <w:tblW w:w="156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2070"/>
        <w:gridCol w:w="2344"/>
        <w:gridCol w:w="3260"/>
        <w:gridCol w:w="2552"/>
        <w:gridCol w:w="1701"/>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3" w:hRule="atLeast"/>
          <w:jc w:val="center"/>
        </w:trPr>
        <w:tc>
          <w:tcPr>
            <w:tcW w:w="2268" w:type="dxa"/>
            <w:tcBorders>
              <w:top w:val="single" w:color="auto" w:sz="4" w:space="0"/>
              <w:left w:val="single" w:color="auto" w:sz="4" w:space="0"/>
              <w:bottom w:val="single" w:color="auto" w:sz="4" w:space="0"/>
              <w:right w:val="single" w:color="auto" w:sz="4" w:space="0"/>
            </w:tcBorders>
            <w:shd w:val="clear" w:color="auto" w:fill="D7D7D7"/>
            <w:tcMar>
              <w:top w:w="0" w:type="dxa"/>
              <w:left w:w="108" w:type="dxa"/>
              <w:bottom w:w="0" w:type="dxa"/>
              <w:right w:w="108" w:type="dxa"/>
            </w:tcMar>
            <w:vAlign w:val="center"/>
          </w:tcPr>
          <w:p>
            <w:pPr>
              <w:spacing w:line="300" w:lineRule="exact"/>
              <w:jc w:val="center"/>
              <w:rPr>
                <w:rFonts w:ascii="宋体" w:hAnsi="宋体" w:cs="宋体"/>
                <w:szCs w:val="21"/>
              </w:rPr>
            </w:pPr>
            <w:r>
              <w:rPr>
                <w:rFonts w:hint="eastAsia" w:ascii="宋体" w:hAnsi="宋体" w:cs="宋体"/>
                <w:szCs w:val="21"/>
              </w:rPr>
              <w:t>日  期</w:t>
            </w:r>
          </w:p>
        </w:tc>
        <w:tc>
          <w:tcPr>
            <w:tcW w:w="2070" w:type="dxa"/>
            <w:tcBorders>
              <w:top w:val="single" w:color="auto" w:sz="4" w:space="0"/>
              <w:left w:val="single" w:color="auto" w:sz="4" w:space="0"/>
              <w:bottom w:val="single" w:color="auto" w:sz="4" w:space="0"/>
              <w:right w:val="single" w:color="auto" w:sz="4" w:space="0"/>
            </w:tcBorders>
            <w:shd w:val="clear" w:color="auto" w:fill="D7D7D7"/>
            <w:tcMar>
              <w:top w:w="0" w:type="dxa"/>
              <w:left w:w="108" w:type="dxa"/>
              <w:bottom w:w="0" w:type="dxa"/>
              <w:right w:w="108" w:type="dxa"/>
            </w:tcMar>
            <w:vAlign w:val="center"/>
          </w:tcPr>
          <w:p>
            <w:pPr>
              <w:spacing w:line="300" w:lineRule="exact"/>
              <w:jc w:val="center"/>
              <w:rPr>
                <w:rFonts w:ascii="宋体" w:hAnsi="宋体" w:cs="宋体"/>
                <w:szCs w:val="21"/>
              </w:rPr>
            </w:pPr>
            <w:r>
              <w:rPr>
                <w:rFonts w:hint="eastAsia" w:ascii="宋体" w:hAnsi="宋体" w:cs="宋体"/>
                <w:szCs w:val="21"/>
              </w:rPr>
              <w:t>食材名称</w:t>
            </w:r>
          </w:p>
        </w:tc>
        <w:tc>
          <w:tcPr>
            <w:tcW w:w="2344" w:type="dxa"/>
            <w:tcBorders>
              <w:top w:val="single" w:color="auto" w:sz="4" w:space="0"/>
              <w:left w:val="single" w:color="auto" w:sz="4" w:space="0"/>
              <w:bottom w:val="single" w:color="auto" w:sz="4" w:space="0"/>
              <w:right w:val="single" w:color="auto" w:sz="4" w:space="0"/>
            </w:tcBorders>
            <w:shd w:val="clear" w:color="auto" w:fill="D7D7D7"/>
            <w:tcMar>
              <w:top w:w="0" w:type="dxa"/>
              <w:left w:w="108" w:type="dxa"/>
              <w:bottom w:w="0" w:type="dxa"/>
              <w:right w:w="108" w:type="dxa"/>
            </w:tcMar>
            <w:vAlign w:val="center"/>
          </w:tcPr>
          <w:p>
            <w:pPr>
              <w:spacing w:line="300" w:lineRule="exact"/>
              <w:jc w:val="center"/>
              <w:rPr>
                <w:rFonts w:ascii="宋体" w:hAnsi="宋体" w:cs="宋体"/>
                <w:szCs w:val="21"/>
              </w:rPr>
            </w:pPr>
            <w:r>
              <w:rPr>
                <w:rFonts w:hint="eastAsia" w:ascii="宋体" w:hAnsi="宋体" w:cs="宋体"/>
                <w:szCs w:val="21"/>
              </w:rPr>
              <w:t>食材重量（千克）</w:t>
            </w:r>
          </w:p>
        </w:tc>
        <w:tc>
          <w:tcPr>
            <w:tcW w:w="3260" w:type="dxa"/>
            <w:tcBorders>
              <w:top w:val="single" w:color="auto" w:sz="4" w:space="0"/>
              <w:left w:val="single" w:color="auto" w:sz="4" w:space="0"/>
              <w:bottom w:val="single" w:color="auto" w:sz="4" w:space="0"/>
              <w:right w:val="single" w:color="auto" w:sz="4" w:space="0"/>
            </w:tcBorders>
            <w:shd w:val="clear" w:color="auto" w:fill="D7D7D7"/>
            <w:tcMar>
              <w:top w:w="0" w:type="dxa"/>
              <w:left w:w="108" w:type="dxa"/>
              <w:bottom w:w="0" w:type="dxa"/>
              <w:right w:w="108" w:type="dxa"/>
            </w:tcMar>
            <w:vAlign w:val="center"/>
          </w:tcPr>
          <w:p>
            <w:pPr>
              <w:spacing w:line="300" w:lineRule="exact"/>
              <w:jc w:val="center"/>
              <w:rPr>
                <w:rFonts w:ascii="宋体" w:hAnsi="宋体" w:cs="宋体"/>
                <w:szCs w:val="21"/>
              </w:rPr>
            </w:pPr>
            <w:r>
              <w:rPr>
                <w:rFonts w:hint="eastAsia" w:ascii="宋体" w:hAnsi="宋体" w:cs="宋体"/>
                <w:szCs w:val="21"/>
              </w:rPr>
              <w:t>厨余垃圾重量（千克）</w:t>
            </w:r>
          </w:p>
        </w:tc>
        <w:tc>
          <w:tcPr>
            <w:tcW w:w="2552" w:type="dxa"/>
            <w:tcBorders>
              <w:top w:val="single" w:color="auto" w:sz="4" w:space="0"/>
              <w:left w:val="single" w:color="auto" w:sz="4" w:space="0"/>
              <w:bottom w:val="single" w:color="auto" w:sz="4" w:space="0"/>
              <w:right w:val="single" w:color="auto" w:sz="4" w:space="0"/>
            </w:tcBorders>
            <w:shd w:val="clear" w:color="auto" w:fill="D7D7D7"/>
            <w:tcMar>
              <w:top w:w="0" w:type="dxa"/>
              <w:left w:w="108" w:type="dxa"/>
              <w:bottom w:w="0" w:type="dxa"/>
              <w:right w:w="108" w:type="dxa"/>
            </w:tcMar>
            <w:vAlign w:val="center"/>
          </w:tcPr>
          <w:p>
            <w:pPr>
              <w:spacing w:line="300" w:lineRule="exact"/>
              <w:jc w:val="center"/>
              <w:rPr>
                <w:rFonts w:ascii="宋体" w:hAnsi="宋体" w:cs="宋体"/>
                <w:szCs w:val="21"/>
              </w:rPr>
            </w:pPr>
            <w:r>
              <w:rPr>
                <w:rFonts w:hint="eastAsia" w:ascii="宋体" w:hAnsi="宋体" w:cs="宋体"/>
                <w:szCs w:val="21"/>
              </w:rPr>
              <w:t>损耗比例（%）</w:t>
            </w:r>
          </w:p>
        </w:tc>
        <w:tc>
          <w:tcPr>
            <w:tcW w:w="1701" w:type="dxa"/>
            <w:tcBorders>
              <w:top w:val="single" w:color="auto" w:sz="4" w:space="0"/>
              <w:left w:val="single" w:color="auto" w:sz="4" w:space="0"/>
              <w:bottom w:val="single" w:color="auto" w:sz="4" w:space="0"/>
              <w:right w:val="single" w:color="auto" w:sz="4" w:space="0"/>
            </w:tcBorders>
            <w:shd w:val="clear" w:color="auto" w:fill="D7D7D7"/>
            <w:tcMar>
              <w:top w:w="0" w:type="dxa"/>
              <w:left w:w="108" w:type="dxa"/>
              <w:bottom w:w="0" w:type="dxa"/>
              <w:right w:w="108" w:type="dxa"/>
            </w:tcMar>
            <w:vAlign w:val="center"/>
          </w:tcPr>
          <w:p>
            <w:pPr>
              <w:spacing w:line="300" w:lineRule="exact"/>
              <w:jc w:val="center"/>
              <w:rPr>
                <w:rFonts w:ascii="宋体" w:hAnsi="宋体" w:cs="宋体"/>
                <w:szCs w:val="21"/>
              </w:rPr>
            </w:pPr>
            <w:r>
              <w:rPr>
                <w:rFonts w:hint="eastAsia" w:ascii="宋体" w:hAnsi="宋体" w:cs="宋体"/>
                <w:szCs w:val="21"/>
              </w:rPr>
              <w:t>记录员</w:t>
            </w:r>
          </w:p>
        </w:tc>
        <w:tc>
          <w:tcPr>
            <w:tcW w:w="1417" w:type="dxa"/>
            <w:tcBorders>
              <w:top w:val="single" w:color="auto" w:sz="4" w:space="0"/>
              <w:left w:val="single" w:color="auto" w:sz="4" w:space="0"/>
              <w:bottom w:val="single" w:color="auto" w:sz="4" w:space="0"/>
              <w:right w:val="single" w:color="auto" w:sz="4" w:space="0"/>
            </w:tcBorders>
            <w:shd w:val="clear" w:color="auto" w:fill="D7D7D7"/>
            <w:tcMar>
              <w:top w:w="0" w:type="dxa"/>
              <w:left w:w="108" w:type="dxa"/>
              <w:bottom w:w="0" w:type="dxa"/>
              <w:right w:w="108" w:type="dxa"/>
            </w:tcMar>
            <w:vAlign w:val="center"/>
          </w:tcPr>
          <w:p>
            <w:pPr>
              <w:spacing w:line="300" w:lineRule="exact"/>
              <w:jc w:val="center"/>
              <w:rPr>
                <w:rFonts w:ascii="宋体" w:hAnsi="宋体" w:cs="宋体"/>
                <w:szCs w:val="21"/>
              </w:rPr>
            </w:pPr>
            <w:r>
              <w:rPr>
                <w:rFonts w:hint="eastAsia" w:ascii="宋体" w:hAnsi="宋体" w:cs="宋体"/>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exact"/>
          <w:jc w:val="center"/>
        </w:trPr>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rFonts w:ascii="宋体" w:hAnsi="宋体" w:cs="宋体"/>
                <w:szCs w:val="21"/>
              </w:rPr>
            </w:pPr>
          </w:p>
        </w:tc>
        <w:tc>
          <w:tcPr>
            <w:tcW w:w="207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rFonts w:ascii="宋体" w:hAnsi="宋体" w:cs="宋体"/>
                <w:szCs w:val="21"/>
              </w:rPr>
            </w:pPr>
          </w:p>
        </w:tc>
        <w:tc>
          <w:tcPr>
            <w:tcW w:w="234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rFonts w:ascii="宋体" w:hAnsi="宋体" w:cs="宋体"/>
                <w:szCs w:val="21"/>
              </w:rPr>
            </w:pPr>
          </w:p>
        </w:tc>
        <w:tc>
          <w:tcPr>
            <w:tcW w:w="326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rFonts w:ascii="宋体" w:hAnsi="宋体" w:cs="宋体"/>
                <w:szCs w:val="21"/>
              </w:rPr>
            </w:pPr>
          </w:p>
        </w:tc>
        <w:tc>
          <w:tcPr>
            <w:tcW w:w="255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rFonts w:ascii="宋体" w:hAnsi="宋体" w:cs="宋体"/>
                <w:szCs w:val="21"/>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spacing w:line="300" w:lineRule="exact"/>
              <w:jc w:val="center"/>
              <w:rPr>
                <w:rFonts w:ascii="宋体" w:hAnsi="宋体" w:cs="宋体"/>
                <w:szCs w:val="21"/>
              </w:rPr>
            </w:pPr>
          </w:p>
        </w:tc>
        <w:tc>
          <w:tcPr>
            <w:tcW w:w="14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exact"/>
          <w:jc w:val="center"/>
        </w:trPr>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rFonts w:ascii="宋体" w:hAnsi="宋体" w:cs="宋体"/>
                <w:szCs w:val="21"/>
              </w:rPr>
            </w:pPr>
          </w:p>
        </w:tc>
        <w:tc>
          <w:tcPr>
            <w:tcW w:w="207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rFonts w:ascii="宋体" w:hAnsi="宋体" w:cs="宋体"/>
                <w:szCs w:val="21"/>
              </w:rPr>
            </w:pPr>
          </w:p>
        </w:tc>
        <w:tc>
          <w:tcPr>
            <w:tcW w:w="234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rFonts w:ascii="宋体" w:hAnsi="宋体" w:cs="宋体"/>
                <w:szCs w:val="21"/>
              </w:rPr>
            </w:pPr>
          </w:p>
        </w:tc>
        <w:tc>
          <w:tcPr>
            <w:tcW w:w="326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rFonts w:ascii="宋体" w:hAnsi="宋体" w:cs="宋体"/>
                <w:szCs w:val="21"/>
              </w:rPr>
            </w:pPr>
          </w:p>
        </w:tc>
        <w:tc>
          <w:tcPr>
            <w:tcW w:w="255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rFonts w:ascii="宋体" w:hAnsi="宋体" w:cs="宋体"/>
                <w:szCs w:val="21"/>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rFonts w:ascii="宋体" w:hAnsi="宋体" w:cs="宋体"/>
                <w:szCs w:val="21"/>
              </w:rPr>
            </w:pPr>
          </w:p>
        </w:tc>
        <w:tc>
          <w:tcPr>
            <w:tcW w:w="14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rFonts w:ascii="宋体" w:hAnsi="宋体" w:cs="宋体"/>
                <w:szCs w:val="21"/>
              </w:rPr>
            </w:pPr>
          </w:p>
        </w:tc>
        <w:tc>
          <w:tcPr>
            <w:tcW w:w="207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rFonts w:ascii="宋体" w:hAnsi="宋体" w:cs="宋体"/>
                <w:szCs w:val="21"/>
              </w:rPr>
            </w:pPr>
          </w:p>
        </w:tc>
        <w:tc>
          <w:tcPr>
            <w:tcW w:w="234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rFonts w:ascii="宋体" w:hAnsi="宋体" w:cs="宋体"/>
                <w:szCs w:val="21"/>
              </w:rPr>
            </w:pPr>
          </w:p>
        </w:tc>
        <w:tc>
          <w:tcPr>
            <w:tcW w:w="326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rFonts w:ascii="宋体" w:hAnsi="宋体" w:cs="宋体"/>
                <w:szCs w:val="21"/>
              </w:rPr>
            </w:pPr>
          </w:p>
        </w:tc>
        <w:tc>
          <w:tcPr>
            <w:tcW w:w="255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rFonts w:ascii="宋体" w:hAnsi="宋体" w:cs="宋体"/>
                <w:szCs w:val="21"/>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rFonts w:ascii="宋体" w:hAnsi="宋体" w:cs="宋体"/>
                <w:szCs w:val="21"/>
              </w:rPr>
            </w:pPr>
          </w:p>
        </w:tc>
        <w:tc>
          <w:tcPr>
            <w:tcW w:w="14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exact"/>
          <w:jc w:val="center"/>
        </w:trPr>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rFonts w:ascii="宋体" w:hAnsi="宋体" w:cs="宋体"/>
                <w:szCs w:val="21"/>
              </w:rPr>
            </w:pPr>
          </w:p>
        </w:tc>
        <w:tc>
          <w:tcPr>
            <w:tcW w:w="207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rFonts w:ascii="宋体" w:hAnsi="宋体" w:cs="宋体"/>
                <w:szCs w:val="21"/>
              </w:rPr>
            </w:pPr>
          </w:p>
        </w:tc>
        <w:tc>
          <w:tcPr>
            <w:tcW w:w="234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rFonts w:ascii="宋体" w:hAnsi="宋体" w:cs="宋体"/>
                <w:szCs w:val="21"/>
              </w:rPr>
            </w:pPr>
          </w:p>
        </w:tc>
        <w:tc>
          <w:tcPr>
            <w:tcW w:w="326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rFonts w:ascii="宋体" w:hAnsi="宋体" w:cs="宋体"/>
                <w:szCs w:val="21"/>
              </w:rPr>
            </w:pPr>
          </w:p>
        </w:tc>
        <w:tc>
          <w:tcPr>
            <w:tcW w:w="255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rFonts w:ascii="宋体" w:hAnsi="宋体" w:cs="宋体"/>
                <w:szCs w:val="21"/>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rFonts w:ascii="宋体" w:hAnsi="宋体" w:cs="宋体"/>
                <w:szCs w:val="21"/>
              </w:rPr>
            </w:pPr>
          </w:p>
        </w:tc>
        <w:tc>
          <w:tcPr>
            <w:tcW w:w="14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exact"/>
          <w:jc w:val="center"/>
        </w:trPr>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rFonts w:ascii="宋体" w:hAnsi="宋体" w:cs="宋体"/>
                <w:szCs w:val="21"/>
              </w:rPr>
            </w:pPr>
          </w:p>
        </w:tc>
        <w:tc>
          <w:tcPr>
            <w:tcW w:w="207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rFonts w:ascii="宋体" w:hAnsi="宋体" w:cs="宋体"/>
                <w:szCs w:val="21"/>
              </w:rPr>
            </w:pPr>
          </w:p>
        </w:tc>
        <w:tc>
          <w:tcPr>
            <w:tcW w:w="234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rFonts w:ascii="宋体" w:hAnsi="宋体" w:cs="宋体"/>
                <w:szCs w:val="21"/>
              </w:rPr>
            </w:pPr>
          </w:p>
        </w:tc>
        <w:tc>
          <w:tcPr>
            <w:tcW w:w="326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rFonts w:ascii="宋体" w:hAnsi="宋体" w:cs="宋体"/>
                <w:szCs w:val="21"/>
              </w:rPr>
            </w:pPr>
          </w:p>
        </w:tc>
        <w:tc>
          <w:tcPr>
            <w:tcW w:w="255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rFonts w:ascii="宋体" w:hAnsi="宋体" w:cs="宋体"/>
                <w:szCs w:val="21"/>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rFonts w:ascii="宋体" w:hAnsi="宋体" w:cs="宋体"/>
                <w:szCs w:val="21"/>
              </w:rPr>
            </w:pPr>
          </w:p>
        </w:tc>
        <w:tc>
          <w:tcPr>
            <w:tcW w:w="14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exact"/>
          <w:jc w:val="center"/>
        </w:trPr>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rFonts w:ascii="宋体" w:hAnsi="宋体" w:cs="宋体"/>
                <w:szCs w:val="21"/>
              </w:rPr>
            </w:pPr>
          </w:p>
        </w:tc>
        <w:tc>
          <w:tcPr>
            <w:tcW w:w="207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rFonts w:ascii="宋体" w:hAnsi="宋体" w:cs="宋体"/>
                <w:szCs w:val="21"/>
              </w:rPr>
            </w:pPr>
          </w:p>
        </w:tc>
        <w:tc>
          <w:tcPr>
            <w:tcW w:w="234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rFonts w:ascii="宋体" w:hAnsi="宋体" w:cs="宋体"/>
                <w:szCs w:val="21"/>
              </w:rPr>
            </w:pPr>
          </w:p>
        </w:tc>
        <w:tc>
          <w:tcPr>
            <w:tcW w:w="326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rFonts w:ascii="宋体" w:hAnsi="宋体" w:cs="宋体"/>
                <w:szCs w:val="21"/>
              </w:rPr>
            </w:pPr>
          </w:p>
        </w:tc>
        <w:tc>
          <w:tcPr>
            <w:tcW w:w="255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rFonts w:ascii="宋体" w:hAnsi="宋体" w:cs="宋体"/>
                <w:szCs w:val="21"/>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rFonts w:ascii="宋体" w:hAnsi="宋体" w:cs="宋体"/>
                <w:szCs w:val="21"/>
              </w:rPr>
            </w:pPr>
          </w:p>
        </w:tc>
        <w:tc>
          <w:tcPr>
            <w:tcW w:w="14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exact"/>
          <w:jc w:val="center"/>
        </w:trPr>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rFonts w:ascii="宋体" w:hAnsi="宋体" w:cs="宋体"/>
                <w:szCs w:val="21"/>
              </w:rPr>
            </w:pPr>
          </w:p>
        </w:tc>
        <w:tc>
          <w:tcPr>
            <w:tcW w:w="207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rFonts w:ascii="宋体" w:hAnsi="宋体" w:cs="宋体"/>
                <w:szCs w:val="21"/>
              </w:rPr>
            </w:pPr>
          </w:p>
        </w:tc>
        <w:tc>
          <w:tcPr>
            <w:tcW w:w="234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rFonts w:ascii="宋体" w:hAnsi="宋体" w:cs="宋体"/>
                <w:szCs w:val="21"/>
              </w:rPr>
            </w:pPr>
          </w:p>
        </w:tc>
        <w:tc>
          <w:tcPr>
            <w:tcW w:w="326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rFonts w:ascii="宋体" w:hAnsi="宋体" w:cs="宋体"/>
                <w:szCs w:val="21"/>
              </w:rPr>
            </w:pPr>
          </w:p>
        </w:tc>
        <w:tc>
          <w:tcPr>
            <w:tcW w:w="255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rFonts w:ascii="宋体" w:hAnsi="宋体" w:cs="宋体"/>
                <w:szCs w:val="21"/>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rFonts w:ascii="宋体" w:hAnsi="宋体" w:cs="宋体"/>
                <w:szCs w:val="21"/>
              </w:rPr>
            </w:pPr>
          </w:p>
        </w:tc>
        <w:tc>
          <w:tcPr>
            <w:tcW w:w="14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rFonts w:ascii="宋体" w:hAnsi="宋体" w:cs="宋体"/>
                <w:szCs w:val="21"/>
              </w:rPr>
            </w:pPr>
          </w:p>
        </w:tc>
      </w:tr>
    </w:tbl>
    <w:p>
      <w:pPr>
        <w:spacing w:line="280" w:lineRule="exact"/>
        <w:ind w:left="-1273" w:leftChars="-606" w:right="-1459" w:rightChars="-695" w:firstLine="1050" w:firstLineChars="392"/>
        <w:rPr>
          <w:rFonts w:ascii="方正黑体简体" w:hAnsi="方正黑体简体" w:eastAsia="方正黑体简体"/>
          <w:spacing w:val="-6"/>
          <w:sz w:val="28"/>
        </w:rPr>
      </w:pPr>
    </w:p>
    <w:p>
      <w:pPr>
        <w:pStyle w:val="24"/>
        <w:ind w:firstLine="0" w:firstLineChars="0"/>
        <w:sectPr>
          <w:pgSz w:w="16838" w:h="11906" w:orient="landscape"/>
          <w:pgMar w:top="1417" w:right="567" w:bottom="1134" w:left="1134" w:header="1418" w:footer="1134" w:gutter="0"/>
          <w:cols w:space="425" w:num="1"/>
          <w:formProt w:val="0"/>
          <w:docGrid w:type="lines" w:linePitch="312" w:charSpace="0"/>
        </w:sectPr>
      </w:pPr>
    </w:p>
    <w:p>
      <w:pPr>
        <w:pStyle w:val="87"/>
      </w:pPr>
      <w:r>
        <w:br w:type="textWrapping"/>
      </w:r>
      <w:bookmarkStart w:id="23" w:name="_Toc17878130"/>
      <w:r>
        <w:rPr>
          <w:rFonts w:hint="eastAsia"/>
        </w:rPr>
        <w:t>（资料</w:t>
      </w:r>
      <w:r>
        <w:t>性</w:t>
      </w:r>
      <w:r>
        <w:rPr>
          <w:rFonts w:hint="eastAsia"/>
        </w:rPr>
        <w:t>）</w:t>
      </w:r>
      <w:r>
        <w:br w:type="textWrapping"/>
      </w:r>
      <w:bookmarkEnd w:id="23"/>
      <w:r>
        <w:rPr>
          <w:rFonts w:hint="eastAsia"/>
        </w:rPr>
        <w:t>机关食堂厨余垃圾台账模板</w:t>
      </w:r>
    </w:p>
    <w:p>
      <w:pPr>
        <w:pStyle w:val="24"/>
      </w:pPr>
      <w:r>
        <w:rPr>
          <w:rFonts w:hint="eastAsia"/>
        </w:rPr>
        <w:t>机关食堂厨余垃圾台账模板见表 B.1。</w:t>
      </w:r>
    </w:p>
    <w:p>
      <w:pPr>
        <w:pStyle w:val="90"/>
        <w:numPr>
          <w:ilvl w:val="1"/>
          <w:numId w:val="0"/>
        </w:numPr>
        <w:spacing w:before="156" w:after="156"/>
        <w:ind w:left="567" w:hanging="567"/>
      </w:pPr>
      <w:r>
        <w:t>表</w:t>
      </w:r>
      <w:r>
        <w:rPr>
          <w:rFonts w:hint="eastAsia"/>
        </w:rPr>
        <w:t>B</w:t>
      </w:r>
      <w:r>
        <w:t>.1　</w:t>
      </w:r>
      <w:r>
        <w:rPr>
          <w:rFonts w:hint="eastAsia"/>
        </w:rPr>
        <w:t>机关食堂厨余垃圾台账模板</w:t>
      </w:r>
    </w:p>
    <w:p>
      <w:pPr>
        <w:spacing w:line="600" w:lineRule="exact"/>
        <w:ind w:firstLine="424" w:firstLineChars="202"/>
        <w:rPr>
          <w:rFonts w:ascii="宋体" w:hAnsi="宋体" w:cs="宋体"/>
          <w:szCs w:val="21"/>
        </w:rPr>
      </w:pPr>
      <w:bookmarkStart w:id="24" w:name="_Toc387397148"/>
      <w:bookmarkEnd w:id="24"/>
      <w:r>
        <w:rPr>
          <w:rFonts w:hint="eastAsia" w:ascii="宋体" w:hAnsi="宋体" w:cs="宋体"/>
          <w:szCs w:val="21"/>
        </w:rPr>
        <w:t>食堂名称：</w:t>
      </w:r>
      <w:r>
        <w:rPr>
          <w:rFonts w:hint="eastAsia" w:ascii="宋体" w:hAnsi="宋体" w:cs="宋体"/>
          <w:szCs w:val="21"/>
          <w:u w:val="single"/>
        </w:rPr>
        <w:t xml:space="preserve">                      </w:t>
      </w:r>
      <w:r>
        <w:rPr>
          <w:rFonts w:hint="eastAsia" w:ascii="宋体" w:hAnsi="宋体" w:cs="宋体"/>
          <w:szCs w:val="21"/>
        </w:rPr>
        <w:t xml:space="preserve"> </w:t>
      </w:r>
      <w:r>
        <w:rPr>
          <w:rFonts w:ascii="宋体" w:hAnsi="宋体" w:cs="宋体"/>
          <w:szCs w:val="21"/>
        </w:rPr>
        <w:t xml:space="preserve">        </w:t>
      </w:r>
      <w:r>
        <w:rPr>
          <w:rFonts w:hint="eastAsia" w:ascii="宋体" w:hAnsi="宋体" w:cs="宋体"/>
          <w:szCs w:val="21"/>
        </w:rPr>
        <w:t xml:space="preserve">         </w:t>
      </w:r>
      <w:r>
        <w:rPr>
          <w:rFonts w:ascii="宋体" w:hAnsi="宋体" w:cs="宋体"/>
          <w:szCs w:val="21"/>
        </w:rPr>
        <w:t xml:space="preserve"> </w:t>
      </w:r>
      <w:r>
        <w:rPr>
          <w:rFonts w:hint="eastAsia" w:ascii="宋体" w:hAnsi="宋体" w:cs="宋体"/>
          <w:szCs w:val="21"/>
        </w:rPr>
        <w:t>管理机构名称：</w:t>
      </w:r>
      <w:r>
        <w:rPr>
          <w:rFonts w:hint="eastAsia" w:ascii="宋体" w:hAnsi="宋体" w:cs="宋体"/>
          <w:szCs w:val="21"/>
          <w:u w:val="single"/>
        </w:rPr>
        <w:t xml:space="preserve">                          </w:t>
      </w:r>
      <w:r>
        <w:rPr>
          <w:rFonts w:hint="eastAsia" w:ascii="宋体" w:hAnsi="宋体" w:cs="宋体"/>
          <w:szCs w:val="21"/>
        </w:rPr>
        <w:t xml:space="preserve"> </w:t>
      </w:r>
      <w:r>
        <w:rPr>
          <w:rFonts w:ascii="宋体" w:hAnsi="宋体" w:cs="宋体"/>
          <w:szCs w:val="21"/>
        </w:rPr>
        <w:t xml:space="preserve">        </w:t>
      </w:r>
      <w:r>
        <w:rPr>
          <w:rFonts w:hint="eastAsia" w:ascii="宋体" w:hAnsi="宋体" w:cs="宋体"/>
          <w:szCs w:val="21"/>
        </w:rPr>
        <w:t xml:space="preserve">       </w:t>
      </w:r>
      <w:r>
        <w:rPr>
          <w:rFonts w:ascii="宋体" w:hAnsi="宋体" w:cs="宋体"/>
          <w:szCs w:val="21"/>
        </w:rPr>
        <w:t xml:space="preserve">  </w:t>
      </w:r>
      <w:r>
        <w:rPr>
          <w:rFonts w:hint="eastAsia" w:ascii="宋体" w:hAnsi="宋体" w:cs="宋体"/>
          <w:szCs w:val="21"/>
        </w:rPr>
        <w:t xml:space="preserve"> 供餐方式：</w:t>
      </w:r>
      <w:r>
        <w:rPr>
          <w:rFonts w:hint="eastAsia" w:ascii="宋体" w:hAnsi="宋体" w:cs="宋体"/>
          <w:szCs w:val="21"/>
        </w:rPr>
        <w:sym w:font="Wingdings 2" w:char="00A3"/>
      </w:r>
      <w:r>
        <w:rPr>
          <w:rFonts w:hint="eastAsia" w:ascii="宋体" w:hAnsi="宋体" w:cs="宋体"/>
          <w:szCs w:val="21"/>
        </w:rPr>
        <w:t>自助</w:t>
      </w:r>
      <w:r>
        <w:rPr>
          <w:rFonts w:ascii="宋体" w:hAnsi="宋体" w:cs="宋体"/>
          <w:szCs w:val="21"/>
        </w:rPr>
        <w:t xml:space="preserve">  </w:t>
      </w:r>
      <w:r>
        <w:rPr>
          <w:rFonts w:ascii="宋体" w:hAnsi="宋体" w:cs="宋体"/>
          <w:szCs w:val="21"/>
        </w:rPr>
        <w:sym w:font="Wingdings 2" w:char="00A3"/>
      </w:r>
      <w:r>
        <w:rPr>
          <w:rFonts w:hint="eastAsia" w:ascii="宋体" w:hAnsi="宋体" w:cs="宋体"/>
          <w:szCs w:val="21"/>
        </w:rPr>
        <w:t>非自助</w:t>
      </w:r>
    </w:p>
    <w:tbl>
      <w:tblPr>
        <w:tblStyle w:val="34"/>
        <w:tblpPr w:leftFromText="180" w:rightFromText="180" w:vertAnchor="text" w:horzAnchor="margin" w:tblpX="279" w:tblpY="202"/>
        <w:tblOverlap w:val="never"/>
        <w:tblW w:w="157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1432"/>
        <w:gridCol w:w="2110"/>
        <w:gridCol w:w="1840"/>
        <w:gridCol w:w="2603"/>
        <w:gridCol w:w="2382"/>
        <w:gridCol w:w="2240"/>
        <w:gridCol w:w="19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3" w:hRule="atLeast"/>
        </w:trPr>
        <w:tc>
          <w:tcPr>
            <w:tcW w:w="1134" w:type="dxa"/>
            <w:tcBorders>
              <w:top w:val="single" w:color="auto" w:sz="4" w:space="0"/>
              <w:left w:val="single" w:color="auto" w:sz="4" w:space="0"/>
              <w:bottom w:val="single" w:color="auto" w:sz="4" w:space="0"/>
              <w:right w:val="single" w:color="auto" w:sz="4" w:space="0"/>
            </w:tcBorders>
            <w:shd w:val="clear" w:color="auto" w:fill="D7D7D7"/>
            <w:tcMar>
              <w:top w:w="0" w:type="dxa"/>
              <w:left w:w="108" w:type="dxa"/>
              <w:bottom w:w="0" w:type="dxa"/>
              <w:right w:w="108" w:type="dxa"/>
            </w:tcMar>
            <w:vAlign w:val="center"/>
          </w:tcPr>
          <w:p>
            <w:pPr>
              <w:spacing w:line="300" w:lineRule="exact"/>
              <w:jc w:val="center"/>
              <w:rPr>
                <w:rFonts w:ascii="宋体" w:hAnsi="宋体" w:cs="宋体"/>
                <w:szCs w:val="21"/>
              </w:rPr>
            </w:pPr>
            <w:r>
              <w:rPr>
                <w:rFonts w:hint="eastAsia" w:ascii="宋体" w:hAnsi="宋体" w:cs="宋体"/>
                <w:szCs w:val="21"/>
              </w:rPr>
              <w:t>日  期</w:t>
            </w:r>
          </w:p>
        </w:tc>
        <w:tc>
          <w:tcPr>
            <w:tcW w:w="1432" w:type="dxa"/>
            <w:tcBorders>
              <w:top w:val="single" w:color="auto" w:sz="4" w:space="0"/>
              <w:left w:val="single" w:color="auto" w:sz="4" w:space="0"/>
              <w:bottom w:val="single" w:color="auto" w:sz="4" w:space="0"/>
              <w:right w:val="single" w:color="auto" w:sz="4" w:space="0"/>
            </w:tcBorders>
            <w:shd w:val="clear" w:color="auto" w:fill="D7D7D7"/>
            <w:tcMar>
              <w:top w:w="0" w:type="dxa"/>
              <w:left w:w="108" w:type="dxa"/>
              <w:bottom w:w="0" w:type="dxa"/>
              <w:right w:w="108" w:type="dxa"/>
            </w:tcMar>
            <w:vAlign w:val="center"/>
          </w:tcPr>
          <w:p>
            <w:pPr>
              <w:spacing w:line="300" w:lineRule="exact"/>
              <w:ind w:left="-819" w:leftChars="-390" w:firstLine="819" w:firstLineChars="390"/>
              <w:jc w:val="center"/>
              <w:rPr>
                <w:rFonts w:ascii="宋体" w:hAnsi="宋体" w:cs="宋体"/>
                <w:szCs w:val="21"/>
              </w:rPr>
            </w:pPr>
            <w:r>
              <w:rPr>
                <w:rFonts w:hint="eastAsia" w:ascii="宋体" w:hAnsi="宋体" w:cs="宋体"/>
                <w:szCs w:val="21"/>
              </w:rPr>
              <w:t>时段</w:t>
            </w:r>
          </w:p>
        </w:tc>
        <w:tc>
          <w:tcPr>
            <w:tcW w:w="2110" w:type="dxa"/>
            <w:tcBorders>
              <w:top w:val="single" w:color="auto" w:sz="4" w:space="0"/>
              <w:left w:val="single" w:color="auto" w:sz="4" w:space="0"/>
              <w:bottom w:val="single" w:color="auto" w:sz="4" w:space="0"/>
              <w:right w:val="single" w:color="auto" w:sz="4" w:space="0"/>
            </w:tcBorders>
            <w:shd w:val="clear" w:color="auto" w:fill="D7D7D7"/>
            <w:tcMar>
              <w:top w:w="0" w:type="dxa"/>
              <w:left w:w="108" w:type="dxa"/>
              <w:bottom w:w="0" w:type="dxa"/>
              <w:right w:w="108" w:type="dxa"/>
            </w:tcMar>
            <w:vAlign w:val="center"/>
          </w:tcPr>
          <w:p>
            <w:pPr>
              <w:spacing w:line="300" w:lineRule="exact"/>
              <w:jc w:val="center"/>
              <w:rPr>
                <w:rFonts w:ascii="宋体" w:hAnsi="宋体" w:cs="宋体"/>
                <w:szCs w:val="21"/>
              </w:rPr>
            </w:pPr>
            <w:r>
              <w:rPr>
                <w:rFonts w:hint="eastAsia" w:ascii="宋体" w:hAnsi="宋体" w:cs="宋体"/>
                <w:szCs w:val="21"/>
              </w:rPr>
              <w:t>用餐人数（人次）</w:t>
            </w:r>
          </w:p>
        </w:tc>
        <w:tc>
          <w:tcPr>
            <w:tcW w:w="1840" w:type="dxa"/>
            <w:tcBorders>
              <w:top w:val="single" w:color="auto" w:sz="4" w:space="0"/>
              <w:left w:val="single" w:color="auto" w:sz="4" w:space="0"/>
              <w:bottom w:val="single" w:color="auto" w:sz="4" w:space="0"/>
              <w:right w:val="single" w:color="auto" w:sz="4" w:space="0"/>
            </w:tcBorders>
            <w:shd w:val="clear" w:color="auto" w:fill="D7D7D7"/>
            <w:tcMar>
              <w:top w:w="0" w:type="dxa"/>
              <w:left w:w="108" w:type="dxa"/>
              <w:bottom w:w="0" w:type="dxa"/>
              <w:right w:w="108" w:type="dxa"/>
            </w:tcMar>
            <w:vAlign w:val="center"/>
          </w:tcPr>
          <w:p>
            <w:pPr>
              <w:spacing w:line="300" w:lineRule="exact"/>
              <w:jc w:val="center"/>
              <w:rPr>
                <w:rFonts w:ascii="宋体" w:hAnsi="宋体" w:cs="宋体"/>
                <w:szCs w:val="21"/>
              </w:rPr>
            </w:pPr>
            <w:r>
              <w:rPr>
                <w:rFonts w:hint="eastAsia" w:ascii="宋体" w:hAnsi="宋体" w:cs="宋体"/>
                <w:szCs w:val="21"/>
              </w:rPr>
              <w:t>食品浪费系数</w:t>
            </w:r>
          </w:p>
        </w:tc>
        <w:tc>
          <w:tcPr>
            <w:tcW w:w="2603" w:type="dxa"/>
            <w:tcBorders>
              <w:top w:val="single" w:color="auto" w:sz="4" w:space="0"/>
              <w:left w:val="single" w:color="auto" w:sz="4" w:space="0"/>
              <w:bottom w:val="single" w:color="auto" w:sz="4" w:space="0"/>
              <w:right w:val="single" w:color="auto" w:sz="4" w:space="0"/>
            </w:tcBorders>
            <w:shd w:val="clear" w:color="auto" w:fill="D7D7D7"/>
            <w:tcMar>
              <w:top w:w="0" w:type="dxa"/>
              <w:left w:w="108" w:type="dxa"/>
              <w:bottom w:w="0" w:type="dxa"/>
              <w:right w:w="108" w:type="dxa"/>
            </w:tcMar>
            <w:vAlign w:val="center"/>
          </w:tcPr>
          <w:p>
            <w:pPr>
              <w:spacing w:line="300" w:lineRule="exact"/>
              <w:jc w:val="center"/>
              <w:rPr>
                <w:rFonts w:ascii="宋体" w:hAnsi="宋体" w:cs="宋体"/>
                <w:szCs w:val="21"/>
              </w:rPr>
            </w:pPr>
            <w:r>
              <w:rPr>
                <w:rFonts w:hint="eastAsia" w:ascii="宋体" w:hAnsi="宋体" w:cs="宋体"/>
                <w:szCs w:val="21"/>
              </w:rPr>
              <w:t>用餐区厨余垃圾重量</w:t>
            </w:r>
          </w:p>
          <w:p>
            <w:pPr>
              <w:spacing w:line="300" w:lineRule="exact"/>
              <w:jc w:val="center"/>
              <w:rPr>
                <w:rFonts w:ascii="宋体" w:hAnsi="宋体" w:cs="宋体"/>
                <w:szCs w:val="21"/>
              </w:rPr>
            </w:pPr>
            <w:r>
              <w:rPr>
                <w:rFonts w:hint="eastAsia" w:ascii="宋体" w:hAnsi="宋体" w:cs="宋体"/>
                <w:szCs w:val="21"/>
              </w:rPr>
              <w:t>（千克）</w:t>
            </w:r>
          </w:p>
        </w:tc>
        <w:tc>
          <w:tcPr>
            <w:tcW w:w="2382" w:type="dxa"/>
            <w:tcBorders>
              <w:top w:val="single" w:color="auto" w:sz="4" w:space="0"/>
              <w:left w:val="single" w:color="auto" w:sz="4" w:space="0"/>
              <w:bottom w:val="single" w:color="auto" w:sz="4" w:space="0"/>
              <w:right w:val="single" w:color="auto" w:sz="4" w:space="0"/>
            </w:tcBorders>
            <w:shd w:val="clear" w:color="auto" w:fill="D7D7D7"/>
            <w:tcMar>
              <w:top w:w="0" w:type="dxa"/>
              <w:left w:w="108" w:type="dxa"/>
              <w:bottom w:w="0" w:type="dxa"/>
              <w:right w:w="108" w:type="dxa"/>
            </w:tcMar>
            <w:vAlign w:val="center"/>
          </w:tcPr>
          <w:p>
            <w:pPr>
              <w:spacing w:line="300" w:lineRule="exact"/>
              <w:jc w:val="center"/>
              <w:rPr>
                <w:rFonts w:ascii="宋体" w:hAnsi="宋体" w:cs="宋体"/>
                <w:szCs w:val="21"/>
              </w:rPr>
            </w:pPr>
            <w:r>
              <w:rPr>
                <w:rFonts w:hint="eastAsia" w:ascii="宋体" w:hAnsi="宋体" w:cs="宋体"/>
                <w:szCs w:val="21"/>
              </w:rPr>
              <w:t>制餐区厨余垃圾重量</w:t>
            </w:r>
          </w:p>
          <w:p>
            <w:pPr>
              <w:spacing w:line="300" w:lineRule="exact"/>
              <w:jc w:val="center"/>
              <w:rPr>
                <w:rFonts w:ascii="宋体" w:hAnsi="宋体" w:cs="宋体"/>
                <w:szCs w:val="21"/>
              </w:rPr>
            </w:pPr>
            <w:r>
              <w:rPr>
                <w:rFonts w:hint="eastAsia" w:ascii="宋体" w:hAnsi="宋体" w:cs="宋体"/>
                <w:szCs w:val="21"/>
              </w:rPr>
              <w:t>（千克）</w:t>
            </w:r>
          </w:p>
        </w:tc>
        <w:tc>
          <w:tcPr>
            <w:tcW w:w="2240" w:type="dxa"/>
            <w:tcBorders>
              <w:top w:val="single" w:color="auto" w:sz="4" w:space="0"/>
              <w:left w:val="single" w:color="auto" w:sz="4" w:space="0"/>
              <w:bottom w:val="single" w:color="auto" w:sz="4" w:space="0"/>
              <w:right w:val="single" w:color="auto" w:sz="4" w:space="0"/>
            </w:tcBorders>
            <w:shd w:val="clear" w:color="auto" w:fill="D7D7D7"/>
            <w:tcMar>
              <w:top w:w="0" w:type="dxa"/>
              <w:left w:w="108" w:type="dxa"/>
              <w:bottom w:w="0" w:type="dxa"/>
              <w:right w:w="108" w:type="dxa"/>
            </w:tcMar>
            <w:vAlign w:val="center"/>
          </w:tcPr>
          <w:p>
            <w:pPr>
              <w:spacing w:line="300" w:lineRule="exact"/>
              <w:jc w:val="center"/>
              <w:rPr>
                <w:rFonts w:ascii="宋体" w:hAnsi="宋体" w:cs="宋体"/>
                <w:szCs w:val="21"/>
              </w:rPr>
            </w:pPr>
            <w:r>
              <w:rPr>
                <w:rFonts w:hint="eastAsia" w:ascii="宋体" w:hAnsi="宋体" w:cs="宋体"/>
                <w:szCs w:val="21"/>
              </w:rPr>
              <w:t>厨余垃圾总重量</w:t>
            </w:r>
          </w:p>
          <w:p>
            <w:pPr>
              <w:spacing w:line="300" w:lineRule="exact"/>
              <w:jc w:val="center"/>
              <w:rPr>
                <w:rFonts w:ascii="宋体" w:hAnsi="宋体" w:cs="宋体"/>
                <w:szCs w:val="21"/>
              </w:rPr>
            </w:pPr>
            <w:r>
              <w:rPr>
                <w:rFonts w:hint="eastAsia" w:ascii="宋体" w:hAnsi="宋体" w:cs="宋体"/>
                <w:szCs w:val="21"/>
              </w:rPr>
              <w:t>（千克）</w:t>
            </w:r>
          </w:p>
        </w:tc>
        <w:tc>
          <w:tcPr>
            <w:tcW w:w="1989" w:type="dxa"/>
            <w:tcBorders>
              <w:top w:val="single" w:color="auto" w:sz="4" w:space="0"/>
              <w:left w:val="single" w:color="auto" w:sz="4" w:space="0"/>
              <w:bottom w:val="single" w:color="auto" w:sz="4" w:space="0"/>
              <w:right w:val="single" w:color="auto" w:sz="4" w:space="0"/>
            </w:tcBorders>
            <w:shd w:val="clear" w:color="auto" w:fill="D7D7D7"/>
            <w:tcMar>
              <w:top w:w="0" w:type="dxa"/>
              <w:left w:w="108" w:type="dxa"/>
              <w:bottom w:w="0" w:type="dxa"/>
              <w:right w:w="108" w:type="dxa"/>
            </w:tcMar>
            <w:vAlign w:val="center"/>
          </w:tcPr>
          <w:p>
            <w:pPr>
              <w:spacing w:line="300" w:lineRule="exact"/>
              <w:jc w:val="center"/>
              <w:rPr>
                <w:rFonts w:ascii="宋体" w:hAnsi="宋体" w:cs="宋体"/>
                <w:szCs w:val="21"/>
              </w:rPr>
            </w:pPr>
            <w:r>
              <w:rPr>
                <w:rFonts w:hint="eastAsia" w:ascii="宋体" w:hAnsi="宋体" w:cs="宋体"/>
                <w:szCs w:val="21"/>
              </w:rPr>
              <w:t>记录员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exact"/>
        </w:trPr>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rFonts w:ascii="宋体" w:hAnsi="宋体" w:cs="宋体"/>
                <w:szCs w:val="21"/>
              </w:rPr>
            </w:pPr>
          </w:p>
        </w:tc>
        <w:tc>
          <w:tcPr>
            <w:tcW w:w="143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rFonts w:ascii="宋体" w:hAnsi="宋体" w:cs="宋体"/>
                <w:szCs w:val="21"/>
              </w:rPr>
            </w:pPr>
          </w:p>
        </w:tc>
        <w:tc>
          <w:tcPr>
            <w:tcW w:w="211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rFonts w:ascii="宋体" w:hAnsi="宋体" w:cs="宋体"/>
                <w:szCs w:val="21"/>
              </w:rPr>
            </w:pPr>
          </w:p>
        </w:tc>
        <w:tc>
          <w:tcPr>
            <w:tcW w:w="184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rFonts w:ascii="宋体" w:hAnsi="宋体" w:cs="宋体"/>
                <w:szCs w:val="21"/>
              </w:rPr>
            </w:pPr>
          </w:p>
        </w:tc>
        <w:tc>
          <w:tcPr>
            <w:tcW w:w="260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rFonts w:ascii="宋体" w:hAnsi="宋体" w:cs="宋体"/>
                <w:szCs w:val="21"/>
              </w:rPr>
            </w:pPr>
          </w:p>
        </w:tc>
        <w:tc>
          <w:tcPr>
            <w:tcW w:w="238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rFonts w:ascii="宋体" w:hAnsi="宋体" w:cs="宋体"/>
                <w:szCs w:val="21"/>
              </w:rPr>
            </w:pPr>
          </w:p>
        </w:tc>
        <w:tc>
          <w:tcPr>
            <w:tcW w:w="224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rFonts w:ascii="宋体" w:hAnsi="宋体" w:cs="宋体"/>
                <w:szCs w:val="21"/>
              </w:rPr>
            </w:pP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exact"/>
        </w:trPr>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rFonts w:ascii="宋体" w:hAnsi="宋体" w:cs="宋体"/>
                <w:szCs w:val="21"/>
              </w:rPr>
            </w:pPr>
          </w:p>
        </w:tc>
        <w:tc>
          <w:tcPr>
            <w:tcW w:w="143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rFonts w:ascii="宋体" w:hAnsi="宋体" w:cs="宋体"/>
                <w:szCs w:val="21"/>
              </w:rPr>
            </w:pPr>
          </w:p>
        </w:tc>
        <w:tc>
          <w:tcPr>
            <w:tcW w:w="211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rFonts w:ascii="宋体" w:hAnsi="宋体" w:cs="宋体"/>
                <w:szCs w:val="21"/>
              </w:rPr>
            </w:pPr>
          </w:p>
        </w:tc>
        <w:tc>
          <w:tcPr>
            <w:tcW w:w="184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rFonts w:ascii="宋体" w:hAnsi="宋体" w:cs="宋体"/>
                <w:szCs w:val="21"/>
              </w:rPr>
            </w:pPr>
          </w:p>
        </w:tc>
        <w:tc>
          <w:tcPr>
            <w:tcW w:w="260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rFonts w:ascii="宋体" w:hAnsi="宋体" w:cs="宋体"/>
                <w:szCs w:val="21"/>
              </w:rPr>
            </w:pPr>
          </w:p>
        </w:tc>
        <w:tc>
          <w:tcPr>
            <w:tcW w:w="238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rFonts w:ascii="宋体" w:hAnsi="宋体" w:cs="宋体"/>
                <w:szCs w:val="21"/>
              </w:rPr>
            </w:pPr>
          </w:p>
        </w:tc>
        <w:tc>
          <w:tcPr>
            <w:tcW w:w="224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rFonts w:ascii="宋体" w:hAnsi="宋体" w:cs="宋体"/>
                <w:szCs w:val="21"/>
              </w:rPr>
            </w:pP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rFonts w:ascii="宋体" w:hAnsi="宋体" w:cs="宋体"/>
                <w:szCs w:val="21"/>
              </w:rPr>
            </w:pPr>
          </w:p>
        </w:tc>
        <w:tc>
          <w:tcPr>
            <w:tcW w:w="143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rFonts w:ascii="宋体" w:hAnsi="宋体" w:cs="宋体"/>
                <w:szCs w:val="21"/>
              </w:rPr>
            </w:pPr>
          </w:p>
        </w:tc>
        <w:tc>
          <w:tcPr>
            <w:tcW w:w="211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rFonts w:ascii="宋体" w:hAnsi="宋体" w:cs="宋体"/>
                <w:szCs w:val="21"/>
              </w:rPr>
            </w:pPr>
          </w:p>
        </w:tc>
        <w:tc>
          <w:tcPr>
            <w:tcW w:w="184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rFonts w:ascii="宋体" w:hAnsi="宋体" w:cs="宋体"/>
                <w:szCs w:val="21"/>
              </w:rPr>
            </w:pPr>
          </w:p>
        </w:tc>
        <w:tc>
          <w:tcPr>
            <w:tcW w:w="260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rFonts w:ascii="宋体" w:hAnsi="宋体" w:cs="宋体"/>
                <w:szCs w:val="21"/>
              </w:rPr>
            </w:pPr>
          </w:p>
        </w:tc>
        <w:tc>
          <w:tcPr>
            <w:tcW w:w="238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rFonts w:ascii="宋体" w:hAnsi="宋体" w:cs="宋体"/>
                <w:szCs w:val="21"/>
              </w:rPr>
            </w:pPr>
          </w:p>
        </w:tc>
        <w:tc>
          <w:tcPr>
            <w:tcW w:w="224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rFonts w:ascii="宋体" w:hAnsi="宋体" w:cs="宋体"/>
                <w:szCs w:val="21"/>
              </w:rPr>
            </w:pP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rFonts w:ascii="宋体" w:hAnsi="宋体" w:cs="宋体"/>
                <w:szCs w:val="21"/>
              </w:rPr>
            </w:pPr>
          </w:p>
        </w:tc>
        <w:tc>
          <w:tcPr>
            <w:tcW w:w="143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rFonts w:ascii="宋体" w:hAnsi="宋体" w:cs="宋体"/>
                <w:szCs w:val="21"/>
              </w:rPr>
            </w:pPr>
          </w:p>
        </w:tc>
        <w:tc>
          <w:tcPr>
            <w:tcW w:w="211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rFonts w:ascii="宋体" w:hAnsi="宋体" w:cs="宋体"/>
                <w:szCs w:val="21"/>
              </w:rPr>
            </w:pPr>
          </w:p>
        </w:tc>
        <w:tc>
          <w:tcPr>
            <w:tcW w:w="184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rFonts w:ascii="宋体" w:hAnsi="宋体" w:cs="宋体"/>
                <w:szCs w:val="21"/>
              </w:rPr>
            </w:pPr>
          </w:p>
        </w:tc>
        <w:tc>
          <w:tcPr>
            <w:tcW w:w="260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rFonts w:ascii="宋体" w:hAnsi="宋体" w:cs="宋体"/>
                <w:szCs w:val="21"/>
              </w:rPr>
            </w:pPr>
          </w:p>
        </w:tc>
        <w:tc>
          <w:tcPr>
            <w:tcW w:w="238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rFonts w:ascii="宋体" w:hAnsi="宋体" w:cs="宋体"/>
                <w:szCs w:val="21"/>
              </w:rPr>
            </w:pPr>
          </w:p>
        </w:tc>
        <w:tc>
          <w:tcPr>
            <w:tcW w:w="224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rFonts w:ascii="宋体" w:hAnsi="宋体" w:cs="宋体"/>
                <w:szCs w:val="21"/>
              </w:rPr>
            </w:pP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rFonts w:ascii="宋体" w:hAnsi="宋体" w:cs="宋体"/>
                <w:szCs w:val="21"/>
              </w:rPr>
            </w:pPr>
          </w:p>
        </w:tc>
        <w:tc>
          <w:tcPr>
            <w:tcW w:w="143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rFonts w:ascii="宋体" w:hAnsi="宋体" w:cs="宋体"/>
                <w:szCs w:val="21"/>
              </w:rPr>
            </w:pPr>
          </w:p>
        </w:tc>
        <w:tc>
          <w:tcPr>
            <w:tcW w:w="211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rFonts w:ascii="宋体" w:hAnsi="宋体" w:cs="宋体"/>
                <w:szCs w:val="21"/>
              </w:rPr>
            </w:pPr>
          </w:p>
        </w:tc>
        <w:tc>
          <w:tcPr>
            <w:tcW w:w="184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rFonts w:ascii="宋体" w:hAnsi="宋体" w:cs="宋体"/>
                <w:szCs w:val="21"/>
              </w:rPr>
            </w:pPr>
          </w:p>
        </w:tc>
        <w:tc>
          <w:tcPr>
            <w:tcW w:w="260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rFonts w:ascii="宋体" w:hAnsi="宋体" w:cs="宋体"/>
                <w:szCs w:val="21"/>
              </w:rPr>
            </w:pPr>
          </w:p>
        </w:tc>
        <w:tc>
          <w:tcPr>
            <w:tcW w:w="238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rFonts w:ascii="宋体" w:hAnsi="宋体" w:cs="宋体"/>
                <w:szCs w:val="21"/>
              </w:rPr>
            </w:pPr>
          </w:p>
        </w:tc>
        <w:tc>
          <w:tcPr>
            <w:tcW w:w="224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rFonts w:ascii="宋体" w:hAnsi="宋体" w:cs="宋体"/>
                <w:szCs w:val="21"/>
              </w:rPr>
            </w:pP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rFonts w:ascii="宋体" w:hAnsi="宋体" w:cs="宋体"/>
                <w:szCs w:val="21"/>
              </w:rPr>
            </w:pPr>
          </w:p>
        </w:tc>
        <w:tc>
          <w:tcPr>
            <w:tcW w:w="143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rFonts w:ascii="宋体" w:hAnsi="宋体" w:cs="宋体"/>
                <w:szCs w:val="21"/>
              </w:rPr>
            </w:pPr>
          </w:p>
        </w:tc>
        <w:tc>
          <w:tcPr>
            <w:tcW w:w="211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rFonts w:ascii="宋体" w:hAnsi="宋体" w:cs="宋体"/>
                <w:szCs w:val="21"/>
              </w:rPr>
            </w:pPr>
          </w:p>
        </w:tc>
        <w:tc>
          <w:tcPr>
            <w:tcW w:w="184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rFonts w:ascii="宋体" w:hAnsi="宋体" w:cs="宋体"/>
                <w:szCs w:val="21"/>
              </w:rPr>
            </w:pPr>
          </w:p>
        </w:tc>
        <w:tc>
          <w:tcPr>
            <w:tcW w:w="260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rFonts w:ascii="宋体" w:hAnsi="宋体" w:cs="宋体"/>
                <w:szCs w:val="21"/>
              </w:rPr>
            </w:pPr>
          </w:p>
        </w:tc>
        <w:tc>
          <w:tcPr>
            <w:tcW w:w="238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rFonts w:ascii="宋体" w:hAnsi="宋体" w:cs="宋体"/>
                <w:szCs w:val="21"/>
              </w:rPr>
            </w:pPr>
          </w:p>
        </w:tc>
        <w:tc>
          <w:tcPr>
            <w:tcW w:w="224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rFonts w:ascii="宋体" w:hAnsi="宋体" w:cs="宋体"/>
                <w:szCs w:val="21"/>
              </w:rPr>
            </w:pP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exact"/>
        </w:trPr>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rFonts w:ascii="宋体" w:hAnsi="宋体" w:cs="宋体"/>
                <w:szCs w:val="21"/>
              </w:rPr>
            </w:pPr>
          </w:p>
        </w:tc>
        <w:tc>
          <w:tcPr>
            <w:tcW w:w="143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rFonts w:ascii="宋体" w:hAnsi="宋体" w:cs="宋体"/>
                <w:szCs w:val="21"/>
              </w:rPr>
            </w:pPr>
          </w:p>
        </w:tc>
        <w:tc>
          <w:tcPr>
            <w:tcW w:w="211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rFonts w:ascii="宋体" w:hAnsi="宋体" w:cs="宋体"/>
                <w:szCs w:val="21"/>
              </w:rPr>
            </w:pPr>
          </w:p>
        </w:tc>
        <w:tc>
          <w:tcPr>
            <w:tcW w:w="184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rFonts w:ascii="宋体" w:hAnsi="宋体" w:cs="宋体"/>
                <w:szCs w:val="21"/>
              </w:rPr>
            </w:pPr>
          </w:p>
        </w:tc>
        <w:tc>
          <w:tcPr>
            <w:tcW w:w="260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rFonts w:ascii="宋体" w:hAnsi="宋体" w:cs="宋体"/>
                <w:szCs w:val="21"/>
              </w:rPr>
            </w:pPr>
          </w:p>
        </w:tc>
        <w:tc>
          <w:tcPr>
            <w:tcW w:w="238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rFonts w:ascii="宋体" w:hAnsi="宋体" w:cs="宋体"/>
                <w:szCs w:val="21"/>
              </w:rPr>
            </w:pPr>
          </w:p>
        </w:tc>
        <w:tc>
          <w:tcPr>
            <w:tcW w:w="224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rFonts w:ascii="宋体" w:hAnsi="宋体" w:cs="宋体"/>
                <w:szCs w:val="21"/>
              </w:rPr>
            </w:pP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jc w:val="center"/>
              <w:rPr>
                <w:rFonts w:ascii="宋体" w:hAnsi="宋体" w:cs="宋体"/>
                <w:szCs w:val="21"/>
              </w:rPr>
            </w:pPr>
          </w:p>
        </w:tc>
      </w:tr>
    </w:tbl>
    <w:p/>
    <w:p>
      <w:pPr>
        <w:sectPr>
          <w:pgSz w:w="16838" w:h="11906" w:orient="landscape"/>
          <w:pgMar w:top="1134" w:right="1134" w:bottom="1417" w:left="567" w:header="1418" w:footer="1134" w:gutter="0"/>
          <w:cols w:space="425" w:num="1"/>
          <w:formProt w:val="0"/>
          <w:docGrid w:type="lines" w:linePitch="312" w:charSpace="0"/>
        </w:sectPr>
      </w:pPr>
    </w:p>
    <w:p>
      <w:pPr>
        <w:pStyle w:val="87"/>
      </w:pPr>
      <w:r>
        <w:br w:type="textWrapping"/>
      </w:r>
      <w:r>
        <w:rPr>
          <w:rFonts w:hint="eastAsia"/>
        </w:rPr>
        <w:t>（资料</w:t>
      </w:r>
      <w:r>
        <w:t>性</w:t>
      </w:r>
      <w:r>
        <w:rPr>
          <w:rFonts w:hint="eastAsia"/>
        </w:rPr>
        <w:t>）</w:t>
      </w:r>
      <w:r>
        <w:br w:type="textWrapping"/>
      </w:r>
      <w:r>
        <w:rPr>
          <w:rFonts w:hint="eastAsia" w:ascii="宋体" w:hAnsi="宋体" w:cs="宋体"/>
          <w:szCs w:val="21"/>
        </w:rPr>
        <w:t>食品浪费系数测量方法</w:t>
      </w:r>
    </w:p>
    <w:p>
      <w:pPr>
        <w:pStyle w:val="105"/>
        <w:spacing w:before="312" w:after="312"/>
        <w:rPr>
          <w:rFonts w:hAnsi="黑体"/>
        </w:rPr>
      </w:pPr>
      <w:r>
        <w:rPr>
          <w:rFonts w:hint="eastAsia" w:hAnsi="黑体"/>
        </w:rPr>
        <w:t>图像法</w:t>
      </w:r>
    </w:p>
    <w:p>
      <w:pPr>
        <w:pStyle w:val="106"/>
        <w:tabs>
          <w:tab w:val="clear" w:pos="360"/>
        </w:tabs>
        <w:spacing w:before="156" w:after="156"/>
        <w:rPr>
          <w:rFonts w:asciiTheme="minorEastAsia" w:hAnsiTheme="minorEastAsia" w:eastAsiaTheme="minorEastAsia"/>
        </w:rPr>
      </w:pPr>
      <w:r>
        <w:rPr>
          <w:rFonts w:hint="eastAsia" w:asciiTheme="minorEastAsia" w:hAnsiTheme="minorEastAsia" w:eastAsiaTheme="minorEastAsia"/>
        </w:rPr>
        <w:t>测量对象：用餐区厨余垃圾收集容器。</w:t>
      </w:r>
    </w:p>
    <w:p>
      <w:pPr>
        <w:pStyle w:val="106"/>
        <w:tabs>
          <w:tab w:val="clear" w:pos="360"/>
        </w:tabs>
        <w:spacing w:before="156" w:after="156"/>
        <w:rPr>
          <w:rFonts w:asciiTheme="minorEastAsia" w:hAnsiTheme="minorEastAsia" w:eastAsiaTheme="minorEastAsia"/>
        </w:rPr>
      </w:pPr>
      <w:r>
        <w:rPr>
          <w:rFonts w:hint="eastAsia" w:asciiTheme="minorEastAsia" w:hAnsiTheme="minorEastAsia" w:eastAsiaTheme="minorEastAsia"/>
        </w:rPr>
        <w:t>测量时间：开餐半小时，用餐高峰期，用餐结束后。</w:t>
      </w:r>
    </w:p>
    <w:p>
      <w:pPr>
        <w:pStyle w:val="106"/>
        <w:tabs>
          <w:tab w:val="clear" w:pos="360"/>
        </w:tabs>
        <w:spacing w:before="156" w:after="156"/>
        <w:rPr>
          <w:rFonts w:asciiTheme="minorEastAsia" w:hAnsiTheme="minorEastAsia" w:eastAsiaTheme="minorEastAsia"/>
        </w:rPr>
      </w:pPr>
      <w:r>
        <w:rPr>
          <w:rFonts w:hint="eastAsia" w:asciiTheme="minorEastAsia" w:hAnsiTheme="minorEastAsia" w:eastAsiaTheme="minorEastAsia"/>
        </w:rPr>
        <w:t>测量流程如下：</w:t>
      </w:r>
    </w:p>
    <w:p>
      <w:pPr>
        <w:pStyle w:val="158"/>
        <w:numPr>
          <w:ilvl w:val="0"/>
          <w:numId w:val="26"/>
        </w:numPr>
        <w:ind w:firstLineChars="0"/>
        <w:rPr>
          <w:rFonts w:ascii="宋体" w:hAnsi="宋体" w:cs="宋体"/>
          <w:kern w:val="0"/>
          <w:szCs w:val="21"/>
          <w:lang w:bidi="ar"/>
        </w:rPr>
      </w:pPr>
      <w:r>
        <w:rPr>
          <w:rFonts w:hint="eastAsia" w:ascii="宋体" w:hAnsi="宋体" w:cs="宋体"/>
          <w:kern w:val="0"/>
          <w:szCs w:val="21"/>
          <w:lang w:bidi="ar"/>
        </w:rPr>
        <w:t>将厨余垃圾收集容器内厨余垃圾沥水沥油后，搅拌平铺，俯拍照片；</w:t>
      </w:r>
    </w:p>
    <w:p>
      <w:pPr>
        <w:pStyle w:val="158"/>
        <w:numPr>
          <w:ilvl w:val="0"/>
          <w:numId w:val="26"/>
        </w:numPr>
        <w:ind w:firstLineChars="0"/>
        <w:rPr>
          <w:rFonts w:ascii="宋体" w:hAnsi="宋体" w:cs="宋体"/>
          <w:kern w:val="0"/>
          <w:szCs w:val="21"/>
          <w:lang w:bidi="ar"/>
        </w:rPr>
      </w:pPr>
      <w:r>
        <w:rPr>
          <w:rFonts w:hint="eastAsia" w:ascii="宋体" w:hAnsi="宋体" w:cs="宋体"/>
          <w:kern w:val="0"/>
          <w:szCs w:val="21"/>
          <w:lang w:bidi="ar"/>
        </w:rPr>
        <w:t>打开“光盘助手”软件，勾绘照片内被浪费食品轮廓以及厨余垃圾堆积轮廓面积，得到食品浪费系数；</w:t>
      </w:r>
    </w:p>
    <w:p>
      <w:pPr>
        <w:pStyle w:val="158"/>
        <w:numPr>
          <w:ilvl w:val="0"/>
          <w:numId w:val="26"/>
        </w:numPr>
        <w:ind w:firstLineChars="0"/>
        <w:rPr>
          <w:rFonts w:ascii="宋体" w:hAnsi="宋体" w:cs="宋体"/>
          <w:kern w:val="0"/>
          <w:szCs w:val="21"/>
          <w:lang w:bidi="ar"/>
        </w:rPr>
      </w:pPr>
      <w:r>
        <w:rPr>
          <w:rFonts w:hint="eastAsia" w:asciiTheme="minorEastAsia" w:hAnsiTheme="minorEastAsia" w:eastAsiaTheme="minorEastAsia"/>
        </w:rPr>
        <w:t>留存照片，记录食品浪费系数。</w:t>
      </w:r>
    </w:p>
    <w:p>
      <w:pPr>
        <w:pStyle w:val="105"/>
        <w:tabs>
          <w:tab w:val="clear" w:pos="360"/>
        </w:tabs>
        <w:spacing w:before="156" w:beforeLines="50" w:after="156" w:afterLines="50"/>
        <w:rPr>
          <w:rFonts w:hAnsi="黑体"/>
        </w:rPr>
      </w:pPr>
      <w:r>
        <w:rPr>
          <w:rFonts w:hint="eastAsia" w:hAnsi="黑体"/>
        </w:rPr>
        <w:t>称重法</w:t>
      </w:r>
    </w:p>
    <w:p>
      <w:pPr>
        <w:pStyle w:val="106"/>
        <w:tabs>
          <w:tab w:val="clear" w:pos="360"/>
        </w:tabs>
        <w:spacing w:before="156" w:after="156"/>
        <w:rPr>
          <w:rFonts w:asciiTheme="minorEastAsia" w:hAnsiTheme="minorEastAsia" w:eastAsiaTheme="minorEastAsia"/>
        </w:rPr>
      </w:pPr>
      <w:r>
        <w:rPr>
          <w:rFonts w:hint="eastAsia" w:asciiTheme="minorEastAsia" w:hAnsiTheme="minorEastAsia" w:eastAsiaTheme="minorEastAsia"/>
        </w:rPr>
        <w:t>测量对象：采取等距抽样方法。</w:t>
      </w:r>
    </w:p>
    <w:p>
      <w:pPr>
        <w:pStyle w:val="106"/>
        <w:tabs>
          <w:tab w:val="clear" w:pos="360"/>
        </w:tabs>
        <w:spacing w:before="156" w:after="156"/>
        <w:rPr>
          <w:rFonts w:asciiTheme="minorEastAsia" w:hAnsiTheme="minorEastAsia" w:eastAsiaTheme="minorEastAsia"/>
        </w:rPr>
      </w:pPr>
      <w:r>
        <w:rPr>
          <w:rFonts w:hint="eastAsia" w:asciiTheme="minorEastAsia" w:hAnsiTheme="minorEastAsia" w:eastAsiaTheme="minorEastAsia"/>
        </w:rPr>
        <w:t>测量方法：分别对样本餐盘中被浪费食品和厨余垃圾称重。</w:t>
      </w:r>
    </w:p>
    <w:p>
      <w:pPr>
        <w:pStyle w:val="106"/>
        <w:tabs>
          <w:tab w:val="clear" w:pos="360"/>
        </w:tabs>
        <w:spacing w:before="156" w:after="156"/>
        <w:rPr>
          <w:rFonts w:asciiTheme="minorEastAsia" w:hAnsiTheme="minorEastAsia" w:eastAsiaTheme="minorEastAsia"/>
        </w:rPr>
      </w:pPr>
      <w:r>
        <w:rPr>
          <w:rFonts w:hint="eastAsia" w:asciiTheme="minorEastAsia" w:hAnsiTheme="minorEastAsia" w:eastAsiaTheme="minorEastAsia"/>
        </w:rPr>
        <w:t>计算公式：</w:t>
      </w:r>
    </w:p>
    <w:p>
      <w:pPr>
        <w:pStyle w:val="24"/>
        <w:jc w:val="right"/>
      </w:pPr>
      <m:oMath>
        <m:r>
          <m:rPr/>
          <w:rPr>
            <w:rFonts w:ascii="Cambria Math" w:hAnsi="Cambria Math"/>
          </w:rPr>
          <m:t>β=</m:t>
        </m:r>
        <m:f>
          <m:fPr>
            <m:ctrlPr>
              <w:rPr>
                <w:rFonts w:ascii="Cambria Math" w:hAnsi="Cambria Math"/>
                <w:i/>
              </w:rPr>
            </m:ctrlPr>
          </m:fPr>
          <m:num>
            <m:nary>
              <m:naryPr>
                <m:chr m:val="∑"/>
                <m:limLoc m:val="undOvr"/>
                <m:ctrlPr>
                  <w:rPr>
                    <w:rFonts w:ascii="Cambria Math" w:hAnsi="Cambria Math"/>
                    <w:i/>
                  </w:rPr>
                </m:ctrlPr>
              </m:naryPr>
              <m:sub>
                <m:r>
                  <m:rPr/>
                  <w:rPr>
                    <w:rFonts w:ascii="Cambria Math" w:hAnsi="Cambria Math"/>
                  </w:rPr>
                  <m:t>i=1</m:t>
                </m:r>
                <m:ctrlPr>
                  <w:rPr>
                    <w:rFonts w:ascii="Cambria Math" w:hAnsi="Cambria Math"/>
                    <w:i/>
                  </w:rPr>
                </m:ctrlPr>
              </m:sub>
              <m:sup>
                <m:r>
                  <m:rPr/>
                  <w:rPr>
                    <w:rFonts w:ascii="Cambria Math" w:hAnsi="Cambria Math"/>
                  </w:rPr>
                  <m:t>n</m:t>
                </m:r>
                <m:ctrlPr>
                  <w:rPr>
                    <w:rFonts w:ascii="Cambria Math" w:hAnsi="Cambria Math"/>
                    <w:i/>
                  </w:rPr>
                </m:ctrlPr>
              </m:sup>
              <m:e>
                <m:sSub>
                  <m:sSubPr>
                    <m:ctrlPr>
                      <w:rPr>
                        <w:rFonts w:ascii="Cambria Math" w:hAnsi="Cambria Math"/>
                        <w:i/>
                      </w:rPr>
                    </m:ctrlPr>
                  </m:sSubPr>
                  <m:e>
                    <m:r>
                      <m:rPr/>
                      <w:rPr>
                        <w:rFonts w:ascii="Cambria Math" w:hAnsi="Cambria Math"/>
                      </w:rPr>
                      <m:t>W</m:t>
                    </m:r>
                    <m:ctrlPr>
                      <w:rPr>
                        <w:rFonts w:ascii="Cambria Math" w:hAnsi="Cambria Math"/>
                        <w:i/>
                      </w:rPr>
                    </m:ctrlPr>
                  </m:e>
                  <m:sub>
                    <m:r>
                      <m:rPr/>
                      <w:rPr>
                        <w:rFonts w:ascii="Cambria Math" w:hAnsi="Cambria Math"/>
                      </w:rPr>
                      <m:t>i</m:t>
                    </m:r>
                    <m:ctrlPr>
                      <w:rPr>
                        <w:rFonts w:ascii="Cambria Math" w:hAnsi="Cambria Math"/>
                        <w:i/>
                      </w:rPr>
                    </m:ctrlPr>
                  </m:sub>
                </m:sSub>
                <m:ctrlPr>
                  <w:rPr>
                    <w:rFonts w:ascii="Cambria Math" w:hAnsi="Cambria Math"/>
                    <w:i/>
                  </w:rPr>
                </m:ctrlPr>
              </m:e>
            </m:nary>
            <m:ctrlPr>
              <w:rPr>
                <w:rFonts w:ascii="Cambria Math" w:hAnsi="Cambria Math"/>
                <w:i/>
              </w:rPr>
            </m:ctrlPr>
          </m:num>
          <m:den>
            <m:nary>
              <m:naryPr>
                <m:chr m:val="∑"/>
                <m:limLoc m:val="undOvr"/>
                <m:ctrlPr>
                  <w:rPr>
                    <w:rFonts w:ascii="Cambria Math" w:hAnsi="Cambria Math"/>
                    <w:i/>
                  </w:rPr>
                </m:ctrlPr>
              </m:naryPr>
              <m:sub>
                <m:r>
                  <m:rPr/>
                  <w:rPr>
                    <w:rFonts w:ascii="Cambria Math" w:hAnsi="Cambria Math"/>
                  </w:rPr>
                  <m:t>i=1</m:t>
                </m:r>
                <m:ctrlPr>
                  <w:rPr>
                    <w:rFonts w:ascii="Cambria Math" w:hAnsi="Cambria Math"/>
                    <w:i/>
                  </w:rPr>
                </m:ctrlPr>
              </m:sub>
              <m:sup>
                <m:r>
                  <m:rPr/>
                  <w:rPr>
                    <w:rFonts w:ascii="Cambria Math" w:hAnsi="Cambria Math"/>
                  </w:rPr>
                  <m:t>n</m:t>
                </m:r>
                <m:ctrlPr>
                  <w:rPr>
                    <w:rFonts w:ascii="Cambria Math" w:hAnsi="Cambria Math"/>
                    <w:i/>
                  </w:rPr>
                </m:ctrlPr>
              </m:sup>
              <m:e>
                <m:sSub>
                  <m:sSubPr>
                    <m:ctrlPr>
                      <w:rPr>
                        <w:rFonts w:ascii="Cambria Math" w:hAnsi="Cambria Math"/>
                        <w:i/>
                      </w:rPr>
                    </m:ctrlPr>
                  </m:sSubPr>
                  <m:e>
                    <m:r>
                      <m:rPr/>
                      <w:rPr>
                        <w:rFonts w:ascii="Cambria Math" w:hAnsi="Cambria Math"/>
                      </w:rPr>
                      <m:t>G</m:t>
                    </m:r>
                    <m:ctrlPr>
                      <w:rPr>
                        <w:rFonts w:ascii="Cambria Math" w:hAnsi="Cambria Math"/>
                        <w:i/>
                      </w:rPr>
                    </m:ctrlPr>
                  </m:e>
                  <m:sub>
                    <m:r>
                      <m:rPr/>
                      <w:rPr>
                        <w:rFonts w:ascii="Cambria Math" w:hAnsi="Cambria Math"/>
                      </w:rPr>
                      <m:t>i</m:t>
                    </m:r>
                    <m:ctrlPr>
                      <w:rPr>
                        <w:rFonts w:ascii="Cambria Math" w:hAnsi="Cambria Math"/>
                        <w:i/>
                      </w:rPr>
                    </m:ctrlPr>
                  </m:sub>
                </m:sSub>
                <m:ctrlPr>
                  <w:rPr>
                    <w:rFonts w:ascii="Cambria Math" w:hAnsi="Cambria Math"/>
                    <w:i/>
                  </w:rPr>
                </m:ctrlPr>
              </m:e>
            </m:nary>
            <m:ctrlPr>
              <w:rPr>
                <w:rFonts w:ascii="Cambria Math" w:hAnsi="Cambria Math"/>
                <w:i/>
              </w:rPr>
            </m:ctrlPr>
          </m:den>
        </m:f>
      </m:oMath>
      <w:r>
        <w:rPr>
          <w:rFonts w:hint="eastAsia" w:hAnsi="Cambria Math"/>
        </w:rPr>
        <w:t xml:space="preserve">                                   （1）</w:t>
      </w:r>
    </w:p>
    <w:p>
      <w:pPr>
        <w:pStyle w:val="24"/>
        <w:jc w:val="left"/>
      </w:pPr>
    </w:p>
    <w:p>
      <w:pPr>
        <w:pStyle w:val="24"/>
        <w:jc w:val="left"/>
      </w:pPr>
      <w:r>
        <w:rPr>
          <w:rFonts w:hint="eastAsia"/>
        </w:rPr>
        <w:t>式中</w:t>
      </w:r>
      <w:r>
        <w:t>：</w:t>
      </w:r>
    </w:p>
    <w:p>
      <w:pPr>
        <w:pStyle w:val="24"/>
        <w:ind w:left="424" w:leftChars="202" w:firstLine="0" w:firstLineChars="0"/>
        <w:jc w:val="left"/>
        <w:rPr>
          <w:rFonts w:hAnsi="宋体"/>
        </w:rPr>
      </w:pPr>
      <m:oMath>
        <m:r>
          <m:rPr/>
          <w:rPr>
            <w:rFonts w:ascii="Cambria Math" w:hAnsi="Cambria Math"/>
          </w:rPr>
          <m:t>β</m:t>
        </m:r>
      </m:oMath>
      <w:r>
        <w:rPr>
          <w:rFonts w:hint="eastAsia" w:hAnsi="宋体"/>
        </w:rPr>
        <w:t xml:space="preserve"> ——食品浪费系数；</w:t>
      </w:r>
    </w:p>
    <w:p>
      <w:pPr>
        <w:pStyle w:val="24"/>
        <w:ind w:firstLine="424" w:firstLineChars="202"/>
        <w:jc w:val="left"/>
        <w:rPr>
          <w:rFonts w:hAnsi="宋体"/>
        </w:rPr>
      </w:pPr>
      <m:oMath>
        <m:sSub>
          <m:sSubPr>
            <m:ctrlPr>
              <w:rPr>
                <w:rFonts w:ascii="Cambria Math" w:hAnsi="Cambria Math"/>
                <w:i/>
              </w:rPr>
            </m:ctrlPr>
          </m:sSubPr>
          <m:e>
            <m:r>
              <m:rPr/>
              <w:rPr>
                <w:rFonts w:ascii="Cambria Math" w:hAnsi="Cambria Math"/>
              </w:rPr>
              <m:t>W</m:t>
            </m:r>
            <m:ctrlPr>
              <w:rPr>
                <w:rFonts w:ascii="Cambria Math" w:hAnsi="Cambria Math"/>
                <w:i/>
              </w:rPr>
            </m:ctrlPr>
          </m:e>
          <m:sub>
            <m:r>
              <m:rPr/>
              <w:rPr>
                <w:rFonts w:ascii="Cambria Math" w:hAnsi="Cambria Math"/>
              </w:rPr>
              <m:t>i</m:t>
            </m:r>
            <m:ctrlPr>
              <w:rPr>
                <w:rFonts w:ascii="Cambria Math" w:hAnsi="Cambria Math"/>
                <w:i/>
              </w:rPr>
            </m:ctrlPr>
          </m:sub>
        </m:sSub>
      </m:oMath>
      <w:r>
        <w:rPr>
          <w:rFonts w:hint="eastAsia" w:hAnsi="宋体"/>
        </w:rPr>
        <w:t xml:space="preserve"> ——样本餐盘中被浪费食品的重量，</w:t>
      </w:r>
      <w:r>
        <w:rPr>
          <w:rFonts w:hAnsi="宋体"/>
        </w:rPr>
        <w:t>单位为</w:t>
      </w:r>
      <w:r>
        <w:rPr>
          <w:rFonts w:hint="eastAsia" w:hAnsi="宋体"/>
        </w:rPr>
        <w:t>克（g）；</w:t>
      </w:r>
    </w:p>
    <w:p>
      <w:pPr>
        <w:pStyle w:val="24"/>
        <w:ind w:left="424" w:leftChars="202" w:firstLine="0" w:firstLineChars="0"/>
        <w:jc w:val="left"/>
        <w:rPr>
          <w:rFonts w:hAnsi="宋体"/>
        </w:rPr>
      </w:pPr>
      <m:oMath>
        <m:sSub>
          <m:sSubPr>
            <m:ctrlPr>
              <w:rPr>
                <w:rFonts w:ascii="Cambria Math" w:hAnsi="Cambria Math"/>
                <w:i/>
              </w:rPr>
            </m:ctrlPr>
          </m:sSubPr>
          <m:e>
            <m:r>
              <m:rPr/>
              <w:rPr>
                <w:rFonts w:ascii="Cambria Math" w:hAnsi="Cambria Math"/>
              </w:rPr>
              <m:t>G</m:t>
            </m:r>
            <m:ctrlPr>
              <w:rPr>
                <w:rFonts w:ascii="Cambria Math" w:hAnsi="Cambria Math"/>
                <w:i/>
              </w:rPr>
            </m:ctrlPr>
          </m:e>
          <m:sub>
            <m:r>
              <m:rPr/>
              <w:rPr>
                <w:rFonts w:ascii="Cambria Math" w:hAnsi="Cambria Math"/>
              </w:rPr>
              <m:t>i</m:t>
            </m:r>
            <m:ctrlPr>
              <w:rPr>
                <w:rFonts w:ascii="Cambria Math" w:hAnsi="Cambria Math"/>
                <w:i/>
              </w:rPr>
            </m:ctrlPr>
          </m:sub>
        </m:sSub>
      </m:oMath>
      <w:r>
        <w:rPr>
          <w:rFonts w:hint="eastAsia" w:hAnsi="宋体"/>
        </w:rPr>
        <w:t xml:space="preserve"> ——样本餐盘中厨余垃圾的重量，</w:t>
      </w:r>
      <w:r>
        <w:rPr>
          <w:rFonts w:hAnsi="宋体"/>
        </w:rPr>
        <w:t>单位为</w:t>
      </w:r>
      <w:r>
        <w:rPr>
          <w:rFonts w:hint="eastAsia" w:hAnsi="宋体"/>
        </w:rPr>
        <w:t>克（g）；</w:t>
      </w:r>
    </w:p>
    <w:p>
      <w:pPr>
        <w:pStyle w:val="24"/>
        <w:ind w:left="424" w:leftChars="202" w:firstLine="0" w:firstLineChars="0"/>
        <w:jc w:val="left"/>
        <w:rPr>
          <w:rFonts w:hAnsi="宋体"/>
          <w:i/>
        </w:rPr>
      </w:pPr>
      <m:oMath>
        <m:r>
          <m:rPr/>
          <w:rPr>
            <w:rFonts w:hint="eastAsia" w:ascii="Cambria Math" w:hAnsi="Cambria Math"/>
          </w:rPr>
          <m:t>n</m:t>
        </m:r>
      </m:oMath>
      <w:r>
        <w:rPr>
          <w:rFonts w:hint="eastAsia" w:hAnsi="宋体"/>
        </w:rPr>
        <w:t xml:space="preserve"> ——样本餐盘数。</w:t>
      </w:r>
    </w:p>
    <w:p>
      <w:pPr>
        <w:pStyle w:val="91"/>
        <w:numPr>
          <w:ilvl w:val="0"/>
          <w:numId w:val="0"/>
        </w:numPr>
        <w:tabs>
          <w:tab w:val="clear" w:pos="360"/>
        </w:tabs>
        <w:spacing w:beforeLines="0" w:afterLines="0"/>
        <w:rPr>
          <w:rFonts w:asciiTheme="minorEastAsia" w:hAnsiTheme="minorEastAsia" w:eastAsiaTheme="minorEastAsia"/>
        </w:rPr>
        <w:sectPr>
          <w:pgSz w:w="11906" w:h="16838"/>
          <w:pgMar w:top="567" w:right="1134" w:bottom="1134" w:left="1417" w:header="1418" w:footer="1134" w:gutter="0"/>
          <w:cols w:space="425" w:num="1"/>
          <w:formProt w:val="0"/>
          <w:docGrid w:type="lines" w:linePitch="312" w:charSpace="0"/>
        </w:sectPr>
      </w:pPr>
    </w:p>
    <w:p>
      <w:pPr>
        <w:pStyle w:val="74"/>
        <w:rPr>
          <w:color w:val="FF0000"/>
        </w:rPr>
      </w:pPr>
      <w:bookmarkStart w:id="25" w:name="_Toc24287"/>
      <w:bookmarkEnd w:id="25"/>
      <w:bookmarkStart w:id="26" w:name="_Toc17878131"/>
      <w:bookmarkStart w:id="27" w:name="BKCKWX"/>
      <w:r>
        <w:rPr>
          <w:rFonts w:hint="eastAsia"/>
        </w:rPr>
        <w:t>参</w:t>
      </w:r>
      <w:r>
        <w:rPr>
          <w:rFonts w:hAnsi="黑体"/>
        </w:rPr>
        <w:t> </w:t>
      </w:r>
      <w:r>
        <w:rPr>
          <w:rFonts w:hint="eastAsia"/>
        </w:rPr>
        <w:t>考</w:t>
      </w:r>
      <w:r>
        <w:rPr>
          <w:rFonts w:hAnsi="黑体"/>
        </w:rPr>
        <w:t> </w:t>
      </w:r>
      <w:r>
        <w:rPr>
          <w:rFonts w:hint="eastAsia"/>
        </w:rPr>
        <w:t>文</w:t>
      </w:r>
      <w:r>
        <w:rPr>
          <w:rFonts w:hAnsi="黑体"/>
        </w:rPr>
        <w:t> </w:t>
      </w:r>
      <w:r>
        <w:rPr>
          <w:rFonts w:hint="eastAsia"/>
        </w:rPr>
        <w:t>献</w:t>
      </w:r>
      <w:bookmarkEnd w:id="26"/>
      <w:bookmarkEnd w:id="27"/>
    </w:p>
    <w:p>
      <w:pPr>
        <w:pStyle w:val="24"/>
        <w:rPr>
          <w:color w:val="auto"/>
        </w:rPr>
      </w:pPr>
      <w:r>
        <w:rPr>
          <w:rFonts w:hint="eastAsia"/>
        </w:rPr>
        <w:t>[1</w:t>
      </w:r>
      <w:r>
        <w:rPr>
          <w:color w:val="auto"/>
        </w:rPr>
        <w:t>] GB/T 42967</w:t>
      </w:r>
      <w:r>
        <w:rPr>
          <w:rFonts w:hint="eastAsia"/>
          <w:color w:val="auto"/>
        </w:rPr>
        <w:t>-2023</w:t>
      </w:r>
      <w:r>
        <w:rPr>
          <w:color w:val="auto"/>
        </w:rPr>
        <w:t xml:space="preserve"> </w:t>
      </w:r>
      <w:r>
        <w:rPr>
          <w:rFonts w:hint="eastAsia"/>
          <w:color w:val="auto"/>
        </w:rPr>
        <w:t>机关食堂反食品浪费工作指南</w:t>
      </w:r>
    </w:p>
    <w:p>
      <w:pPr>
        <w:pStyle w:val="24"/>
        <w:rPr>
          <w:color w:val="auto"/>
        </w:rPr>
      </w:pPr>
      <w:r>
        <w:rPr>
          <w:rFonts w:hint="eastAsia"/>
          <w:color w:val="auto"/>
        </w:rPr>
        <w:t>[2</w:t>
      </w:r>
      <w:r>
        <w:rPr>
          <w:color w:val="auto"/>
        </w:rPr>
        <w:t xml:space="preserve">] </w:t>
      </w:r>
      <w:r>
        <w:rPr>
          <w:rFonts w:hint="eastAsia"/>
          <w:color w:val="auto"/>
        </w:rPr>
        <w:t>GB/T 29118-2021节约型机关评价导则</w:t>
      </w:r>
    </w:p>
    <w:p>
      <w:pPr>
        <w:pStyle w:val="24"/>
        <w:rPr>
          <w:color w:val="auto"/>
        </w:rPr>
      </w:pPr>
      <w:r>
        <w:rPr>
          <w:rFonts w:hint="eastAsia"/>
          <w:color w:val="auto"/>
        </w:rPr>
        <w:t>[3</w:t>
      </w:r>
      <w:r>
        <w:rPr>
          <w:color w:val="auto"/>
        </w:rPr>
        <w:t xml:space="preserve">] </w:t>
      </w:r>
      <w:r>
        <w:rPr>
          <w:rFonts w:hint="eastAsia"/>
          <w:color w:val="auto"/>
        </w:rPr>
        <w:t>GB/T 40042-2021《绿色餐饮经营与管理》</w:t>
      </w:r>
    </w:p>
    <w:p>
      <w:pPr>
        <w:pStyle w:val="24"/>
        <w:rPr>
          <w:rFonts w:asciiTheme="minorEastAsia" w:hAnsiTheme="minorEastAsia" w:eastAsiaTheme="minorEastAsia"/>
          <w:color w:val="auto"/>
          <w:szCs w:val="21"/>
        </w:rPr>
      </w:pPr>
      <w:r>
        <w:rPr>
          <w:rFonts w:hint="eastAsia"/>
          <w:color w:val="auto"/>
        </w:rPr>
        <w:t>[4</w:t>
      </w:r>
      <w:r>
        <w:rPr>
          <w:color w:val="auto"/>
        </w:rPr>
        <w:t>]</w:t>
      </w:r>
      <w:r>
        <w:rPr>
          <w:rFonts w:hint="eastAsia"/>
          <w:color w:val="auto"/>
        </w:rPr>
        <w:t xml:space="preserve"> 国家市场监督管理总局.市场监管总局关于发布餐饮服务食品安全操作规范的公告（国家市场监督管理总局公告 2018年 第12号）.</w:t>
      </w:r>
      <w:r>
        <w:rPr>
          <w:color w:val="auto"/>
        </w:rPr>
        <w:t>2018</w:t>
      </w:r>
      <w:r>
        <w:rPr>
          <w:rFonts w:hint="eastAsia"/>
          <w:color w:val="auto"/>
        </w:rPr>
        <w:t>年6月22日.</w:t>
      </w:r>
    </w:p>
    <w:p>
      <w:pPr>
        <w:pStyle w:val="24"/>
      </w:pPr>
      <w:r>
        <w:rPr>
          <w:rFonts w:hint="eastAsia"/>
        </w:rPr>
        <w:t>[5</w:t>
      </w:r>
      <w:r>
        <w:t>] GB/T 41568</w:t>
      </w:r>
      <w:r>
        <w:rPr>
          <w:rFonts w:hint="eastAsia"/>
        </w:rPr>
        <w:t>-2022</w:t>
      </w:r>
      <w:r>
        <w:t xml:space="preserve"> </w:t>
      </w:r>
      <w:r>
        <w:rPr>
          <w:rFonts w:hint="eastAsia"/>
        </w:rPr>
        <w:t xml:space="preserve">机关事务管理 </w:t>
      </w:r>
      <w:r>
        <w:t xml:space="preserve"> </w:t>
      </w:r>
      <w:r>
        <w:rPr>
          <w:rFonts w:hint="eastAsia"/>
        </w:rPr>
        <w:t>术语</w:t>
      </w:r>
    </w:p>
    <w:p>
      <w:pPr>
        <w:pStyle w:val="24"/>
        <w:rPr>
          <w:rFonts w:asciiTheme="minorEastAsia" w:hAnsiTheme="minorEastAsia" w:eastAsiaTheme="minorEastAsia"/>
          <w:color w:val="FF0000"/>
          <w:szCs w:val="21"/>
        </w:rPr>
      </w:pPr>
      <w:r>
        <w:t>[</w:t>
      </w:r>
      <w:r>
        <w:rPr>
          <w:rFonts w:hint="eastAsia"/>
        </w:rPr>
        <w:t>6</w:t>
      </w:r>
      <w:r>
        <w:t xml:space="preserve">] </w:t>
      </w:r>
      <w:r>
        <w:rPr>
          <w:rFonts w:hint="eastAsia"/>
        </w:rPr>
        <w:t>北京市城市管理委员会,北京市发展和改革委员会,北京市财政局,北京市市场监督管理局.关于加强本市非居民厨余垃圾计量收费管理工作的通知.京管发〔2021〕19号.</w:t>
      </w:r>
      <w:r>
        <w:t>2021</w:t>
      </w:r>
      <w:r>
        <w:rPr>
          <w:rFonts w:hint="eastAsia"/>
        </w:rPr>
        <w:t>年9月1日.</w:t>
      </w:r>
    </w:p>
    <w:p>
      <w:pPr>
        <w:pStyle w:val="132"/>
        <w:framePr/>
      </w:pPr>
      <w:r>
        <w:t>________________________________</w:t>
      </w:r>
    </w:p>
    <w:p>
      <w:pPr>
        <w:tabs>
          <w:tab w:val="left" w:pos="218"/>
        </w:tabs>
        <w:jc w:val="left"/>
      </w:pPr>
    </w:p>
    <w:sectPr>
      <w:pgSz w:w="11906" w:h="16838"/>
      <w:pgMar w:top="1134" w:right="1417" w:bottom="567" w:left="1134" w:header="1418" w:footer="1134" w:gutter="0"/>
      <w:cols w:space="425" w:num="1"/>
      <w:formProt w:val="0"/>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Arial">
    <w:altName w:val="Times New Roman"/>
    <w:panose1 w:val="020B0604020202020204"/>
    <w:charset w:val="00"/>
    <w:family w:val="swiss"/>
    <w:pitch w:val="default"/>
    <w:sig w:usb0="00000000" w:usb1="00000000" w:usb2="00000009" w:usb3="00000000" w:csb0="000001FF" w:csb1="00000000"/>
  </w:font>
  <w:font w:name="等线">
    <w:altName w:val="宋体"/>
    <w:panose1 w:val="02010600030101010101"/>
    <w:charset w:val="86"/>
    <w:family w:val="auto"/>
    <w:pitch w:val="default"/>
    <w:sig w:usb0="00000000" w:usb1="00000000" w:usb2="00000016" w:usb3="00000000" w:csb0="0004000F" w:csb1="00000000"/>
  </w:font>
  <w:font w:name="Cambria">
    <w:altName w:val="Noto Sans Syriac Eastern"/>
    <w:panose1 w:val="02040503050406030204"/>
    <w:charset w:val="00"/>
    <w:family w:val="roman"/>
    <w:pitch w:val="default"/>
    <w:sig w:usb0="00000000" w:usb1="00000000" w:usb2="02000000" w:usb3="00000000" w:csb0="0000019F" w:csb1="00000000"/>
  </w:font>
  <w:font w:name="Cambria Math">
    <w:altName w:val="DejaVu Math TeX Gyre"/>
    <w:panose1 w:val="02040503050406030204"/>
    <w:charset w:val="00"/>
    <w:family w:val="roman"/>
    <w:pitch w:val="default"/>
    <w:sig w:usb0="00000000" w:usb1="00000000" w:usb2="02000000" w:usb3="00000000" w:csb0="0000019F" w:csb1="00000000"/>
  </w:font>
  <w:font w:name="Wingdings 2">
    <w:panose1 w:val="05020102010507070707"/>
    <w:charset w:val="02"/>
    <w:family w:val="roman"/>
    <w:pitch w:val="default"/>
    <w:sig w:usb0="00000000" w:usb1="00000000" w:usb2="00000000" w:usb3="00000000" w:csb0="80000000" w:csb1="00000000"/>
  </w:font>
  <w:font w:name="方正黑体简体">
    <w:altName w:val="方正楷体简体"/>
    <w:panose1 w:val="00000000000000000000"/>
    <w:charset w:val="86"/>
    <w:family w:val="auto"/>
    <w:pitch w:val="default"/>
    <w:sig w:usb0="00000000" w:usb1="00000000" w:usb2="00000000" w:usb3="00000000" w:csb0="00040000" w:csb1="00000000"/>
  </w:font>
  <w:font w:name="文泉驿微米黑">
    <w:panose1 w:val="020B0606030804020204"/>
    <w:charset w:val="86"/>
    <w:family w:val="auto"/>
    <w:pitch w:val="default"/>
    <w:sig w:usb0="E10002EF" w:usb1="6BDFFCFB" w:usb2="00800036" w:usb3="00000000" w:csb0="603E019F" w:csb1="DFD70000"/>
  </w:font>
  <w:font w:name="DejaVu Sans">
    <w:panose1 w:val="020B0603030804020204"/>
    <w:charset w:val="00"/>
    <w:family w:val="auto"/>
    <w:pitch w:val="default"/>
    <w:sig w:usb0="E7006EFF" w:usb1="D200FDFF" w:usb2="0A246029" w:usb3="0400200C" w:csb0="600001FF" w:csb1="DFFF0000"/>
  </w:font>
  <w:font w:name="NanumGothic">
    <w:panose1 w:val="020D0604000000000000"/>
    <w:charset w:val="81"/>
    <w:family w:val="auto"/>
    <w:pitch w:val="default"/>
    <w:sig w:usb0="900002A7" w:usb1="29D7FCFB" w:usb2="00000010" w:usb3="00000000" w:csb0="00080001" w:csb1="00000000"/>
  </w:font>
  <w:font w:name="DejaVu Math TeX Gyre">
    <w:panose1 w:val="02000503000000000000"/>
    <w:charset w:val="00"/>
    <w:family w:val="auto"/>
    <w:pitch w:val="default"/>
    <w:sig w:usb0="A10000EF" w:usb1="4201F9EE" w:usb2="02000000" w:usb3="00000000" w:csb0="60000193" w:csb1="0DD40000"/>
  </w:font>
  <w:font w:name="方正楷体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1"/>
      <w:jc w:val="right"/>
    </w:pPr>
    <w:r>
      <w:fldChar w:fldCharType="begin"/>
    </w:r>
    <w:r>
      <w:instrText xml:space="preserve"> PAGE  \* MERGEFORMAT </w:instrText>
    </w:r>
    <w:r>
      <w:fldChar w:fldCharType="separate"/>
    </w:r>
    <w:r>
      <w:t>II</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pPr>
    <w:r>
      <w:fldChar w:fldCharType="begin"/>
    </w:r>
    <w:r>
      <w:instrText xml:space="preserve"> PAGE  \* MERGEFORMAT </w:instrText>
    </w:r>
    <w:r>
      <w:fldChar w:fldCharType="separate"/>
    </w:r>
    <w:r>
      <w:t>III</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pPr>
    <w:r>
      <w:fldChar w:fldCharType="begin"/>
    </w:r>
    <w:r>
      <w:instrText xml:space="preserve"> PAGE  \* MERGEFORMAT </w:instrText>
    </w:r>
    <w:r>
      <w:fldChar w:fldCharType="separate"/>
    </w:r>
    <w:r>
      <w:t>7</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1"/>
    </w:pPr>
    <w:r>
      <w:fldChar w:fldCharType="begin"/>
    </w:r>
    <w:r>
      <w:instrText xml:space="preserve"> PAGE  \* MERGEFORMAT </w:instrText>
    </w:r>
    <w:r>
      <w:fldChar w:fldCharType="separate"/>
    </w:r>
    <w:r>
      <w:t>10</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2"/>
      <w:jc w:val="right"/>
    </w:pPr>
    <w:r>
      <w:t>DB11/T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rPr>
        <w:rFonts w:hAnsi="黑体"/>
      </w:rPr>
    </w:pPr>
    <w:r>
      <w:rPr>
        <w:rFonts w:hAnsi="黑体"/>
      </w:rPr>
      <w:t>DB11/T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r>
      <w:t>DB11/T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2"/>
    </w:pPr>
    <w:r>
      <w:t>DB11/T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7924F43"/>
    <w:multiLevelType w:val="multilevel"/>
    <w:tmpl w:val="C7924F43"/>
    <w:lvl w:ilvl="0" w:tentative="0">
      <w:start w:val="1"/>
      <w:numFmt w:val="lowerLetter"/>
      <w:lvlText w:val="%1)"/>
      <w:lvlJc w:val="left"/>
      <w:pPr>
        <w:tabs>
          <w:tab w:val="left" w:pos="840"/>
        </w:tabs>
        <w:ind w:left="839" w:hanging="419"/>
      </w:pPr>
      <w:rPr>
        <w:rFonts w:hint="eastAsia" w:ascii="宋体" w:hAnsi="宋体" w:eastAsia="宋体" w:cs="宋体"/>
        <w:b w:val="0"/>
        <w:i w:val="0"/>
        <w:sz w:val="21"/>
        <w:szCs w:val="21"/>
      </w:rPr>
    </w:lvl>
    <w:lvl w:ilvl="1" w:tentative="0">
      <w:start w:val="1"/>
      <w:numFmt w:val="decimal"/>
      <w:lvlText w:val="%2)"/>
      <w:lvlJc w:val="left"/>
      <w:pPr>
        <w:tabs>
          <w:tab w:val="left" w:pos="1260"/>
        </w:tabs>
        <w:ind w:left="1259" w:hanging="419"/>
      </w:pPr>
      <w:rPr>
        <w:rFonts w:hint="eastAsia" w:ascii="宋体" w:hAnsi="宋体" w:eastAsia="宋体" w:cs="宋体"/>
      </w:rPr>
    </w:lvl>
    <w:lvl w:ilvl="2" w:tentative="0">
      <w:start w:val="1"/>
      <w:numFmt w:val="decimal"/>
      <w:lvlText w:val="(%3)"/>
      <w:lvlJc w:val="left"/>
      <w:pPr>
        <w:tabs>
          <w:tab w:val="left" w:pos="0"/>
        </w:tabs>
        <w:ind w:left="1679" w:hanging="420"/>
      </w:pPr>
      <w:rPr>
        <w:rFonts w:hint="eastAsia" w:ascii="宋体" w:hAnsi="宋体" w:eastAsia="宋体" w:cs="宋体"/>
        <w:b w:val="0"/>
        <w:i w:val="0"/>
        <w:sz w:val="21"/>
        <w:szCs w:val="21"/>
      </w:rPr>
    </w:lvl>
    <w:lvl w:ilvl="3" w:tentative="0">
      <w:start w:val="1"/>
      <w:numFmt w:val="decimal"/>
      <w:lvlText w:val="%4."/>
      <w:lvlJc w:val="left"/>
      <w:pPr>
        <w:tabs>
          <w:tab w:val="left" w:pos="2100"/>
        </w:tabs>
        <w:ind w:left="2099" w:hanging="419"/>
      </w:pPr>
      <w:rPr>
        <w:rFonts w:hint="eastAsia" w:ascii="宋体" w:hAnsi="宋体" w:eastAsia="宋体" w:cs="宋体"/>
      </w:rPr>
    </w:lvl>
    <w:lvl w:ilvl="4" w:tentative="0">
      <w:start w:val="1"/>
      <w:numFmt w:val="lowerLetter"/>
      <w:lvlText w:val="%5)"/>
      <w:lvlJc w:val="left"/>
      <w:pPr>
        <w:tabs>
          <w:tab w:val="left" w:pos="2520"/>
        </w:tabs>
        <w:ind w:left="2519" w:hanging="419"/>
      </w:pPr>
      <w:rPr>
        <w:rFonts w:hint="eastAsia" w:ascii="宋体" w:hAnsi="宋体" w:eastAsia="宋体" w:cs="宋体"/>
      </w:rPr>
    </w:lvl>
    <w:lvl w:ilvl="5" w:tentative="0">
      <w:start w:val="1"/>
      <w:numFmt w:val="lowerRoman"/>
      <w:lvlText w:val="%6."/>
      <w:lvlJc w:val="right"/>
      <w:pPr>
        <w:tabs>
          <w:tab w:val="left" w:pos="2940"/>
        </w:tabs>
        <w:ind w:left="2939" w:hanging="419"/>
      </w:pPr>
      <w:rPr>
        <w:rFonts w:hint="eastAsia" w:ascii="宋体" w:hAnsi="宋体" w:eastAsia="宋体" w:cs="宋体"/>
      </w:rPr>
    </w:lvl>
    <w:lvl w:ilvl="6" w:tentative="0">
      <w:start w:val="1"/>
      <w:numFmt w:val="decimal"/>
      <w:lvlText w:val="%7."/>
      <w:lvlJc w:val="left"/>
      <w:pPr>
        <w:tabs>
          <w:tab w:val="left" w:pos="3360"/>
        </w:tabs>
        <w:ind w:left="3359" w:hanging="419"/>
      </w:pPr>
      <w:rPr>
        <w:rFonts w:hint="eastAsia" w:ascii="宋体" w:hAnsi="宋体" w:eastAsia="宋体" w:cs="宋体"/>
      </w:rPr>
    </w:lvl>
    <w:lvl w:ilvl="7" w:tentative="0">
      <w:start w:val="1"/>
      <w:numFmt w:val="lowerLetter"/>
      <w:lvlText w:val="%8)"/>
      <w:lvlJc w:val="left"/>
      <w:pPr>
        <w:tabs>
          <w:tab w:val="left" w:pos="3780"/>
        </w:tabs>
        <w:ind w:left="3779" w:hanging="419"/>
      </w:pPr>
      <w:rPr>
        <w:rFonts w:hint="eastAsia" w:ascii="宋体" w:hAnsi="宋体" w:eastAsia="宋体" w:cs="宋体"/>
      </w:rPr>
    </w:lvl>
    <w:lvl w:ilvl="8" w:tentative="0">
      <w:start w:val="1"/>
      <w:numFmt w:val="lowerRoman"/>
      <w:lvlText w:val="%9."/>
      <w:lvlJc w:val="right"/>
      <w:pPr>
        <w:tabs>
          <w:tab w:val="left" w:pos="4200"/>
        </w:tabs>
        <w:ind w:left="4199" w:hanging="419"/>
      </w:pPr>
      <w:rPr>
        <w:rFonts w:hint="eastAsia" w:ascii="宋体" w:hAnsi="宋体" w:eastAsia="宋体" w:cs="宋体"/>
      </w:rPr>
    </w:lvl>
  </w:abstractNum>
  <w:abstractNum w:abstractNumId="1">
    <w:nsid w:val="EFD75382"/>
    <w:multiLevelType w:val="multilevel"/>
    <w:tmpl w:val="EFD75382"/>
    <w:lvl w:ilvl="0" w:tentative="0">
      <w:start w:val="1"/>
      <w:numFmt w:val="none"/>
      <w:suff w:val="nothing"/>
      <w:lvlText w:val="%1"/>
      <w:lvlJc w:val="left"/>
      <w:pPr>
        <w:ind w:left="0" w:firstLine="0"/>
      </w:pPr>
      <w:rPr>
        <w:rFonts w:hint="eastAsia"/>
      </w:rPr>
    </w:lvl>
    <w:lvl w:ilvl="1" w:tentative="0">
      <w:start w:val="1"/>
      <w:numFmt w:val="decimal"/>
      <w:pStyle w:val="149"/>
      <w:suff w:val="nothing"/>
      <w:lvlText w:val="%1%2　"/>
      <w:lvlJc w:val="left"/>
      <w:pPr>
        <w:ind w:left="0" w:firstLine="0"/>
      </w:pPr>
      <w:rPr>
        <w:rFonts w:hint="eastAsia" w:ascii="黑体" w:eastAsia="黑体"/>
        <w:b w:val="0"/>
        <w:i w:val="0"/>
        <w:sz w:val="21"/>
      </w:rPr>
    </w:lvl>
    <w:lvl w:ilvl="2" w:tentative="0">
      <w:start w:val="1"/>
      <w:numFmt w:val="decimal"/>
      <w:pStyle w:val="148"/>
      <w:suff w:val="nothing"/>
      <w:lvlText w:val="%1%2.%3　"/>
      <w:lvlJc w:val="left"/>
      <w:pPr>
        <w:ind w:left="156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suff w:val="nothing"/>
      <w:lvlText w:val="%1%2.%3.%4　"/>
      <w:lvlJc w:val="left"/>
      <w:pPr>
        <w:ind w:left="1702" w:firstLine="0"/>
      </w:pPr>
      <w:rPr>
        <w:rFonts w:hint="eastAsia" w:ascii="黑体" w:eastAsia="黑体"/>
        <w:b w:val="0"/>
        <w:i w:val="0"/>
        <w:sz w:val="21"/>
      </w:rPr>
    </w:lvl>
    <w:lvl w:ilvl="4" w:tentative="0">
      <w:start w:val="1"/>
      <w:numFmt w:val="decimal"/>
      <w:suff w:val="nothing"/>
      <w:lvlText w:val="%1%2.%3.%4.%5　"/>
      <w:lvlJc w:val="left"/>
      <w:pPr>
        <w:ind w:left="1418" w:firstLine="0"/>
      </w:pPr>
      <w:rPr>
        <w:rFonts w:hint="eastAsia" w:ascii="黑体" w:eastAsia="黑体"/>
        <w:b w:val="0"/>
        <w:i w:val="0"/>
        <w:sz w:val="21"/>
      </w:rPr>
    </w:lvl>
    <w:lvl w:ilvl="5" w:tentative="0">
      <w:start w:val="1"/>
      <w:numFmt w:val="decimal"/>
      <w:suff w:val="nothing"/>
      <w:lvlText w:val="%1%2.%3.%4.%5.%6　"/>
      <w:lvlJc w:val="left"/>
      <w:pPr>
        <w:ind w:left="2552"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
    <w:nsid w:val="03BECDFC"/>
    <w:multiLevelType w:val="multilevel"/>
    <w:tmpl w:val="03BECDFC"/>
    <w:lvl w:ilvl="0" w:tentative="0">
      <w:start w:val="1"/>
      <w:numFmt w:val="lowerLetter"/>
      <w:lvlText w:val="%1)"/>
      <w:lvlJc w:val="left"/>
      <w:pPr>
        <w:tabs>
          <w:tab w:val="left" w:pos="840"/>
        </w:tabs>
        <w:ind w:left="839" w:hanging="419"/>
      </w:pPr>
      <w:rPr>
        <w:rFonts w:hint="eastAsia" w:ascii="宋体" w:hAnsi="宋体" w:eastAsia="宋体" w:cs="宋体"/>
        <w:b w:val="0"/>
        <w:i w:val="0"/>
        <w:sz w:val="21"/>
        <w:szCs w:val="21"/>
      </w:rPr>
    </w:lvl>
    <w:lvl w:ilvl="1" w:tentative="0">
      <w:start w:val="1"/>
      <w:numFmt w:val="decimal"/>
      <w:lvlText w:val="%2)"/>
      <w:lvlJc w:val="left"/>
      <w:pPr>
        <w:tabs>
          <w:tab w:val="left" w:pos="1260"/>
        </w:tabs>
        <w:ind w:left="1259" w:hanging="419"/>
      </w:pPr>
      <w:rPr>
        <w:rFonts w:hint="eastAsia" w:ascii="宋体" w:hAnsi="宋体" w:eastAsia="宋体" w:cs="宋体"/>
      </w:rPr>
    </w:lvl>
    <w:lvl w:ilvl="2" w:tentative="0">
      <w:start w:val="1"/>
      <w:numFmt w:val="decimal"/>
      <w:lvlText w:val="(%3)"/>
      <w:lvlJc w:val="left"/>
      <w:pPr>
        <w:tabs>
          <w:tab w:val="left" w:pos="0"/>
        </w:tabs>
        <w:ind w:left="1679" w:hanging="420"/>
      </w:pPr>
      <w:rPr>
        <w:rFonts w:hint="eastAsia" w:ascii="宋体" w:hAnsi="宋体" w:eastAsia="宋体" w:cs="宋体"/>
        <w:b w:val="0"/>
        <w:i w:val="0"/>
        <w:sz w:val="21"/>
        <w:szCs w:val="21"/>
      </w:rPr>
    </w:lvl>
    <w:lvl w:ilvl="3" w:tentative="0">
      <w:start w:val="1"/>
      <w:numFmt w:val="decimal"/>
      <w:lvlText w:val="%4."/>
      <w:lvlJc w:val="left"/>
      <w:pPr>
        <w:tabs>
          <w:tab w:val="left" w:pos="2100"/>
        </w:tabs>
        <w:ind w:left="2099" w:hanging="419"/>
      </w:pPr>
      <w:rPr>
        <w:rFonts w:hint="eastAsia" w:ascii="宋体" w:hAnsi="宋体" w:eastAsia="宋体" w:cs="宋体"/>
      </w:rPr>
    </w:lvl>
    <w:lvl w:ilvl="4" w:tentative="0">
      <w:start w:val="1"/>
      <w:numFmt w:val="lowerLetter"/>
      <w:lvlText w:val="%5)"/>
      <w:lvlJc w:val="left"/>
      <w:pPr>
        <w:tabs>
          <w:tab w:val="left" w:pos="2520"/>
        </w:tabs>
        <w:ind w:left="2519" w:hanging="419"/>
      </w:pPr>
      <w:rPr>
        <w:rFonts w:hint="eastAsia" w:ascii="宋体" w:hAnsi="宋体" w:eastAsia="宋体" w:cs="宋体"/>
      </w:rPr>
    </w:lvl>
    <w:lvl w:ilvl="5" w:tentative="0">
      <w:start w:val="1"/>
      <w:numFmt w:val="lowerRoman"/>
      <w:lvlText w:val="%6."/>
      <w:lvlJc w:val="right"/>
      <w:pPr>
        <w:tabs>
          <w:tab w:val="left" w:pos="2940"/>
        </w:tabs>
        <w:ind w:left="2939" w:hanging="419"/>
      </w:pPr>
      <w:rPr>
        <w:rFonts w:hint="eastAsia" w:ascii="宋体" w:hAnsi="宋体" w:eastAsia="宋体" w:cs="宋体"/>
      </w:rPr>
    </w:lvl>
    <w:lvl w:ilvl="6" w:tentative="0">
      <w:start w:val="1"/>
      <w:numFmt w:val="decimal"/>
      <w:lvlText w:val="%7."/>
      <w:lvlJc w:val="left"/>
      <w:pPr>
        <w:tabs>
          <w:tab w:val="left" w:pos="3360"/>
        </w:tabs>
        <w:ind w:left="3359" w:hanging="419"/>
      </w:pPr>
      <w:rPr>
        <w:rFonts w:hint="eastAsia" w:ascii="宋体" w:hAnsi="宋体" w:eastAsia="宋体" w:cs="宋体"/>
      </w:rPr>
    </w:lvl>
    <w:lvl w:ilvl="7" w:tentative="0">
      <w:start w:val="1"/>
      <w:numFmt w:val="lowerLetter"/>
      <w:lvlText w:val="%8)"/>
      <w:lvlJc w:val="left"/>
      <w:pPr>
        <w:tabs>
          <w:tab w:val="left" w:pos="3780"/>
        </w:tabs>
        <w:ind w:left="3779" w:hanging="419"/>
      </w:pPr>
      <w:rPr>
        <w:rFonts w:hint="eastAsia" w:ascii="宋体" w:hAnsi="宋体" w:eastAsia="宋体" w:cs="宋体"/>
      </w:rPr>
    </w:lvl>
    <w:lvl w:ilvl="8" w:tentative="0">
      <w:start w:val="1"/>
      <w:numFmt w:val="lowerRoman"/>
      <w:lvlText w:val="%9."/>
      <w:lvlJc w:val="right"/>
      <w:pPr>
        <w:tabs>
          <w:tab w:val="left" w:pos="4200"/>
        </w:tabs>
        <w:ind w:left="4199" w:hanging="419"/>
      </w:pPr>
      <w:rPr>
        <w:rFonts w:hint="eastAsia" w:ascii="宋体" w:hAnsi="宋体" w:eastAsia="宋体" w:cs="宋体"/>
      </w:rPr>
    </w:lvl>
  </w:abstractNum>
  <w:abstractNum w:abstractNumId="3">
    <w:nsid w:val="0A952887"/>
    <w:multiLevelType w:val="multilevel"/>
    <w:tmpl w:val="0A952887"/>
    <w:lvl w:ilvl="0" w:tentative="0">
      <w:start w:val="1"/>
      <w:numFmt w:val="decimal"/>
      <w:pStyle w:val="68"/>
      <w:suff w:val="nothing"/>
      <w:lvlText w:val="注%1："/>
      <w:lvlJc w:val="left"/>
      <w:pPr>
        <w:ind w:left="0" w:firstLine="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4">
    <w:nsid w:val="0F805D97"/>
    <w:multiLevelType w:val="multilevel"/>
    <w:tmpl w:val="0F805D97"/>
    <w:lvl w:ilvl="0" w:tentative="0">
      <w:start w:val="1"/>
      <w:numFmt w:val="none"/>
      <w:pStyle w:val="60"/>
      <w:suff w:val="nothing"/>
      <w:lvlText w:val="注%1："/>
      <w:lvlJc w:val="left"/>
      <w:pPr>
        <w:ind w:left="0" w:firstLine="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5">
    <w:nsid w:val="13ED42FB"/>
    <w:multiLevelType w:val="multilevel"/>
    <w:tmpl w:val="13ED42FB"/>
    <w:lvl w:ilvl="0" w:tentative="0">
      <w:start w:val="1"/>
      <w:numFmt w:val="lowerLetter"/>
      <w:lvlText w:val="%1)"/>
      <w:lvlJc w:val="left"/>
      <w:pPr>
        <w:tabs>
          <w:tab w:val="left" w:pos="840"/>
        </w:tabs>
        <w:ind w:left="839" w:hanging="419"/>
      </w:pPr>
      <w:rPr>
        <w:rFonts w:hint="eastAsia" w:ascii="宋体" w:hAnsi="宋体" w:eastAsia="宋体" w:cs="宋体"/>
        <w:b w:val="0"/>
        <w:i w:val="0"/>
        <w:sz w:val="21"/>
        <w:szCs w:val="21"/>
      </w:rPr>
    </w:lvl>
    <w:lvl w:ilvl="1" w:tentative="0">
      <w:start w:val="1"/>
      <w:numFmt w:val="decimal"/>
      <w:lvlText w:val="%2)"/>
      <w:lvlJc w:val="left"/>
      <w:pPr>
        <w:tabs>
          <w:tab w:val="left" w:pos="1260"/>
        </w:tabs>
        <w:ind w:left="1259" w:hanging="419"/>
      </w:pPr>
      <w:rPr>
        <w:rFonts w:hint="eastAsia" w:ascii="宋体" w:hAnsi="宋体" w:eastAsia="宋体" w:cs="宋体"/>
      </w:rPr>
    </w:lvl>
    <w:lvl w:ilvl="2" w:tentative="0">
      <w:start w:val="1"/>
      <w:numFmt w:val="decimal"/>
      <w:lvlText w:val="(%3)"/>
      <w:lvlJc w:val="left"/>
      <w:pPr>
        <w:tabs>
          <w:tab w:val="left" w:pos="0"/>
        </w:tabs>
        <w:ind w:left="1679" w:hanging="420"/>
      </w:pPr>
      <w:rPr>
        <w:rFonts w:hint="eastAsia" w:ascii="宋体" w:hAnsi="宋体" w:eastAsia="宋体" w:cs="宋体"/>
        <w:b w:val="0"/>
        <w:i w:val="0"/>
        <w:sz w:val="21"/>
        <w:szCs w:val="21"/>
      </w:rPr>
    </w:lvl>
    <w:lvl w:ilvl="3" w:tentative="0">
      <w:start w:val="1"/>
      <w:numFmt w:val="decimal"/>
      <w:lvlText w:val="%4."/>
      <w:lvlJc w:val="left"/>
      <w:pPr>
        <w:tabs>
          <w:tab w:val="left" w:pos="2100"/>
        </w:tabs>
        <w:ind w:left="2099" w:hanging="419"/>
      </w:pPr>
      <w:rPr>
        <w:rFonts w:hint="eastAsia" w:ascii="宋体" w:hAnsi="宋体" w:eastAsia="宋体" w:cs="宋体"/>
      </w:rPr>
    </w:lvl>
    <w:lvl w:ilvl="4" w:tentative="0">
      <w:start w:val="1"/>
      <w:numFmt w:val="lowerLetter"/>
      <w:lvlText w:val="%5)"/>
      <w:lvlJc w:val="left"/>
      <w:pPr>
        <w:tabs>
          <w:tab w:val="left" w:pos="2520"/>
        </w:tabs>
        <w:ind w:left="2519" w:hanging="419"/>
      </w:pPr>
      <w:rPr>
        <w:rFonts w:hint="eastAsia" w:ascii="宋体" w:hAnsi="宋体" w:eastAsia="宋体" w:cs="宋体"/>
      </w:rPr>
    </w:lvl>
    <w:lvl w:ilvl="5" w:tentative="0">
      <w:start w:val="1"/>
      <w:numFmt w:val="lowerRoman"/>
      <w:lvlText w:val="%6."/>
      <w:lvlJc w:val="right"/>
      <w:pPr>
        <w:tabs>
          <w:tab w:val="left" w:pos="2940"/>
        </w:tabs>
        <w:ind w:left="2939" w:hanging="419"/>
      </w:pPr>
      <w:rPr>
        <w:rFonts w:hint="eastAsia" w:ascii="宋体" w:hAnsi="宋体" w:eastAsia="宋体" w:cs="宋体"/>
      </w:rPr>
    </w:lvl>
    <w:lvl w:ilvl="6" w:tentative="0">
      <w:start w:val="1"/>
      <w:numFmt w:val="decimal"/>
      <w:lvlText w:val="%7."/>
      <w:lvlJc w:val="left"/>
      <w:pPr>
        <w:tabs>
          <w:tab w:val="left" w:pos="3360"/>
        </w:tabs>
        <w:ind w:left="3359" w:hanging="419"/>
      </w:pPr>
      <w:rPr>
        <w:rFonts w:hint="eastAsia" w:ascii="宋体" w:hAnsi="宋体" w:eastAsia="宋体" w:cs="宋体"/>
      </w:rPr>
    </w:lvl>
    <w:lvl w:ilvl="7" w:tentative="0">
      <w:start w:val="1"/>
      <w:numFmt w:val="lowerLetter"/>
      <w:lvlText w:val="%8)"/>
      <w:lvlJc w:val="left"/>
      <w:pPr>
        <w:tabs>
          <w:tab w:val="left" w:pos="3780"/>
        </w:tabs>
        <w:ind w:left="3779" w:hanging="419"/>
      </w:pPr>
      <w:rPr>
        <w:rFonts w:hint="eastAsia" w:ascii="宋体" w:hAnsi="宋体" w:eastAsia="宋体" w:cs="宋体"/>
      </w:rPr>
    </w:lvl>
    <w:lvl w:ilvl="8" w:tentative="0">
      <w:start w:val="1"/>
      <w:numFmt w:val="lowerRoman"/>
      <w:lvlText w:val="%9."/>
      <w:lvlJc w:val="right"/>
      <w:pPr>
        <w:tabs>
          <w:tab w:val="left" w:pos="4200"/>
        </w:tabs>
        <w:ind w:left="4199" w:hanging="419"/>
      </w:pPr>
      <w:rPr>
        <w:rFonts w:hint="eastAsia" w:ascii="宋体" w:hAnsi="宋体" w:eastAsia="宋体" w:cs="宋体"/>
      </w:rPr>
    </w:lvl>
  </w:abstractNum>
  <w:abstractNum w:abstractNumId="6">
    <w:nsid w:val="1FC91163"/>
    <w:multiLevelType w:val="multilevel"/>
    <w:tmpl w:val="1FC91163"/>
    <w:lvl w:ilvl="0" w:tentative="0">
      <w:start w:val="1"/>
      <w:numFmt w:val="decimal"/>
      <w:pStyle w:val="48"/>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45"/>
      <w:suff w:val="nothing"/>
      <w:lvlText w:val="%1.%2　"/>
      <w:lvlJc w:val="left"/>
      <w:pPr>
        <w:ind w:left="0"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rPr>
    </w:lvl>
    <w:lvl w:ilvl="2" w:tentative="0">
      <w:start w:val="1"/>
      <w:numFmt w:val="decimal"/>
      <w:pStyle w:val="49"/>
      <w:suff w:val="nothing"/>
      <w:lvlText w:val="%1.%2.%3　"/>
      <w:lvlJc w:val="left"/>
      <w:pPr>
        <w:ind w:left="0" w:firstLine="0"/>
      </w:pPr>
      <w:rPr>
        <w:rFonts w:hint="default" w:ascii="宋体" w:hAnsi="宋体" w:eastAsia="宋体" w:cs="宋体"/>
        <w:b w:val="0"/>
        <w:bCs w:val="0"/>
        <w:i w:val="0"/>
        <w:sz w:val="21"/>
        <w:highlight w:val="none"/>
      </w:rPr>
    </w:lvl>
    <w:lvl w:ilvl="3" w:tentative="0">
      <w:start w:val="1"/>
      <w:numFmt w:val="decimal"/>
      <w:pStyle w:val="54"/>
      <w:suff w:val="nothing"/>
      <w:lvlText w:val="%1.%2.%3.%4　"/>
      <w:lvlJc w:val="left"/>
      <w:pPr>
        <w:ind w:left="0" w:firstLine="0"/>
      </w:pPr>
      <w:rPr>
        <w:rFonts w:hint="eastAsia" w:ascii="黑体" w:hAnsi="Times New Roman" w:eastAsia="黑体"/>
        <w:b w:val="0"/>
        <w:i w:val="0"/>
        <w:sz w:val="21"/>
      </w:rPr>
    </w:lvl>
    <w:lvl w:ilvl="4" w:tentative="0">
      <w:start w:val="1"/>
      <w:numFmt w:val="decimal"/>
      <w:pStyle w:val="58"/>
      <w:suff w:val="nothing"/>
      <w:lvlText w:val="%1.%2.%3.%4.%5　"/>
      <w:lvlJc w:val="left"/>
      <w:pPr>
        <w:ind w:left="0" w:firstLine="0"/>
      </w:pPr>
      <w:rPr>
        <w:rFonts w:hint="eastAsia" w:ascii="黑体" w:hAnsi="Times New Roman" w:eastAsia="黑体"/>
        <w:b w:val="0"/>
        <w:i w:val="0"/>
        <w:sz w:val="21"/>
      </w:rPr>
    </w:lvl>
    <w:lvl w:ilvl="5" w:tentative="0">
      <w:start w:val="1"/>
      <w:numFmt w:val="decimal"/>
      <w:pStyle w:val="59"/>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7">
    <w:nsid w:val="24B435DB"/>
    <w:multiLevelType w:val="multilevel"/>
    <w:tmpl w:val="24B435DB"/>
    <w:lvl w:ilvl="0" w:tentative="0">
      <w:start w:val="1"/>
      <w:numFmt w:val="lowerLetter"/>
      <w:pStyle w:val="124"/>
      <w:suff w:val="nothing"/>
      <w:lvlText w:val="%1   "/>
      <w:lvlJc w:val="left"/>
      <w:pPr>
        <w:ind w:left="544" w:hanging="181"/>
      </w:pPr>
      <w:rPr>
        <w:rFonts w:hint="eastAsia" w:ascii="宋体" w:eastAsia="宋体"/>
        <w:b w:val="0"/>
        <w:i w:val="0"/>
        <w:sz w:val="18"/>
        <w:vertAlign w:val="superscript"/>
      </w:rPr>
    </w:lvl>
    <w:lvl w:ilvl="1" w:tentative="0">
      <w:start w:val="1"/>
      <w:numFmt w:val="lowerLetter"/>
      <w:lvlText w:val="%2"/>
      <w:lvlJc w:val="left"/>
      <w:pPr>
        <w:tabs>
          <w:tab w:val="left" w:pos="57"/>
        </w:tabs>
        <w:ind w:left="363" w:hanging="363"/>
      </w:pPr>
      <w:rPr>
        <w:rFonts w:hint="eastAsia"/>
      </w:rPr>
    </w:lvl>
    <w:lvl w:ilvl="2" w:tentative="0">
      <w:start w:val="1"/>
      <w:numFmt w:val="lowerRoman"/>
      <w:lvlText w:val="%3."/>
      <w:lvlJc w:val="right"/>
      <w:pPr>
        <w:tabs>
          <w:tab w:val="left" w:pos="57"/>
        </w:tabs>
        <w:ind w:left="363" w:hanging="363"/>
      </w:pPr>
      <w:rPr>
        <w:rFonts w:hint="eastAsia"/>
      </w:rPr>
    </w:lvl>
    <w:lvl w:ilvl="3" w:tentative="0">
      <w:start w:val="1"/>
      <w:numFmt w:val="decimal"/>
      <w:lvlText w:val="%4."/>
      <w:lvlJc w:val="left"/>
      <w:pPr>
        <w:tabs>
          <w:tab w:val="left" w:pos="57"/>
        </w:tabs>
        <w:ind w:left="363" w:hanging="363"/>
      </w:pPr>
      <w:rPr>
        <w:rFonts w:hint="eastAsia"/>
      </w:rPr>
    </w:lvl>
    <w:lvl w:ilvl="4" w:tentative="0">
      <w:start w:val="1"/>
      <w:numFmt w:val="lowerLetter"/>
      <w:lvlText w:val="%5)"/>
      <w:lvlJc w:val="left"/>
      <w:pPr>
        <w:tabs>
          <w:tab w:val="left" w:pos="57"/>
        </w:tabs>
        <w:ind w:left="363" w:hanging="363"/>
      </w:pPr>
      <w:rPr>
        <w:rFonts w:hint="eastAsia"/>
      </w:rPr>
    </w:lvl>
    <w:lvl w:ilvl="5" w:tentative="0">
      <w:start w:val="1"/>
      <w:numFmt w:val="lowerRoman"/>
      <w:lvlText w:val="%6."/>
      <w:lvlJc w:val="right"/>
      <w:pPr>
        <w:tabs>
          <w:tab w:val="left" w:pos="57"/>
        </w:tabs>
        <w:ind w:left="363" w:hanging="363"/>
      </w:pPr>
      <w:rPr>
        <w:rFonts w:hint="eastAsia"/>
      </w:rPr>
    </w:lvl>
    <w:lvl w:ilvl="6" w:tentative="0">
      <w:start w:val="1"/>
      <w:numFmt w:val="decimal"/>
      <w:lvlText w:val="%7."/>
      <w:lvlJc w:val="left"/>
      <w:pPr>
        <w:tabs>
          <w:tab w:val="left" w:pos="57"/>
        </w:tabs>
        <w:ind w:left="363" w:hanging="363"/>
      </w:pPr>
      <w:rPr>
        <w:rFonts w:hint="eastAsia"/>
      </w:rPr>
    </w:lvl>
    <w:lvl w:ilvl="7" w:tentative="0">
      <w:start w:val="1"/>
      <w:numFmt w:val="lowerLetter"/>
      <w:lvlText w:val="%8)"/>
      <w:lvlJc w:val="left"/>
      <w:pPr>
        <w:tabs>
          <w:tab w:val="left" w:pos="57"/>
        </w:tabs>
        <w:ind w:left="363" w:hanging="363"/>
      </w:pPr>
      <w:rPr>
        <w:rFonts w:hint="eastAsia"/>
      </w:rPr>
    </w:lvl>
    <w:lvl w:ilvl="8" w:tentative="0">
      <w:start w:val="1"/>
      <w:numFmt w:val="lowerRoman"/>
      <w:lvlText w:val="%9."/>
      <w:lvlJc w:val="right"/>
      <w:pPr>
        <w:tabs>
          <w:tab w:val="left" w:pos="57"/>
        </w:tabs>
        <w:ind w:left="363" w:hanging="363"/>
      </w:pPr>
      <w:rPr>
        <w:rFonts w:hint="eastAsia"/>
      </w:rPr>
    </w:lvl>
  </w:abstractNum>
  <w:abstractNum w:abstractNumId="8">
    <w:nsid w:val="29707437"/>
    <w:multiLevelType w:val="multilevel"/>
    <w:tmpl w:val="29707437"/>
    <w:lvl w:ilvl="0" w:tentative="0">
      <w:start w:val="1"/>
      <w:numFmt w:val="none"/>
      <w:pStyle w:val="67"/>
      <w:suff w:val="nothing"/>
      <w:lvlText w:val="%1注："/>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9">
    <w:nsid w:val="2A8F7113"/>
    <w:multiLevelType w:val="multilevel"/>
    <w:tmpl w:val="2A8F7113"/>
    <w:lvl w:ilvl="0" w:tentative="0">
      <w:start w:val="1"/>
      <w:numFmt w:val="upperLetter"/>
      <w:pStyle w:val="101"/>
      <w:suff w:val="space"/>
      <w:lvlText w:val="%1"/>
      <w:lvlJc w:val="left"/>
      <w:pPr>
        <w:ind w:left="623" w:hanging="425"/>
      </w:pPr>
      <w:rPr>
        <w:rFonts w:hint="eastAsia"/>
      </w:rPr>
    </w:lvl>
    <w:lvl w:ilvl="1" w:tentative="0">
      <w:start w:val="1"/>
      <w:numFmt w:val="decimal"/>
      <w:pStyle w:val="102"/>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10">
    <w:nsid w:val="2C5917C3"/>
    <w:multiLevelType w:val="multilevel"/>
    <w:tmpl w:val="2C5917C3"/>
    <w:lvl w:ilvl="0" w:tentative="0">
      <w:start w:val="1"/>
      <w:numFmt w:val="none"/>
      <w:pStyle w:val="51"/>
      <w:suff w:val="nothing"/>
      <w:lvlText w:val="%1——"/>
      <w:lvlJc w:val="left"/>
      <w:pPr>
        <w:ind w:left="833" w:hanging="408"/>
      </w:pPr>
      <w:rPr>
        <w:rFonts w:hint="eastAsia"/>
      </w:rPr>
    </w:lvl>
    <w:lvl w:ilvl="1" w:tentative="0">
      <w:start w:val="1"/>
      <w:numFmt w:val="bullet"/>
      <w:pStyle w:val="52"/>
      <w:lvlText w:val=""/>
      <w:lvlJc w:val="left"/>
      <w:pPr>
        <w:tabs>
          <w:tab w:val="left" w:pos="760"/>
        </w:tabs>
        <w:ind w:left="1264" w:hanging="413"/>
      </w:pPr>
      <w:rPr>
        <w:rFonts w:hint="default" w:ascii="Symbol" w:hAnsi="Symbol"/>
        <w:color w:val="auto"/>
      </w:rPr>
    </w:lvl>
    <w:lvl w:ilvl="2" w:tentative="0">
      <w:start w:val="1"/>
      <w:numFmt w:val="bullet"/>
      <w:pStyle w:val="63"/>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D733618"/>
    <w:multiLevelType w:val="multilevel"/>
    <w:tmpl w:val="3D733618"/>
    <w:lvl w:ilvl="0" w:tentative="0">
      <w:start w:val="1"/>
      <w:numFmt w:val="decimal"/>
      <w:pStyle w:val="25"/>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12">
    <w:nsid w:val="44C50F90"/>
    <w:multiLevelType w:val="multilevel"/>
    <w:tmpl w:val="44C50F90"/>
    <w:lvl w:ilvl="0" w:tentative="0">
      <w:start w:val="1"/>
      <w:numFmt w:val="lowerLetter"/>
      <w:pStyle w:val="62"/>
      <w:lvlText w:val="%1)"/>
      <w:lvlJc w:val="left"/>
      <w:pPr>
        <w:tabs>
          <w:tab w:val="left" w:pos="840"/>
        </w:tabs>
        <w:ind w:left="839" w:hanging="419"/>
      </w:pPr>
      <w:rPr>
        <w:rFonts w:hint="eastAsia" w:ascii="宋体" w:eastAsia="宋体"/>
        <w:b w:val="0"/>
        <w:i w:val="0"/>
        <w:sz w:val="21"/>
        <w:szCs w:val="21"/>
      </w:rPr>
    </w:lvl>
    <w:lvl w:ilvl="1" w:tentative="0">
      <w:start w:val="1"/>
      <w:numFmt w:val="decimal"/>
      <w:pStyle w:val="57"/>
      <w:lvlText w:val="%2)"/>
      <w:lvlJc w:val="left"/>
      <w:pPr>
        <w:tabs>
          <w:tab w:val="left" w:pos="1260"/>
        </w:tabs>
        <w:ind w:left="1259" w:hanging="419"/>
      </w:pPr>
      <w:rPr>
        <w:rFonts w:hint="eastAsia"/>
      </w:rPr>
    </w:lvl>
    <w:lvl w:ilvl="2" w:tentative="0">
      <w:start w:val="1"/>
      <w:numFmt w:val="decimal"/>
      <w:pStyle w:val="64"/>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983687A"/>
    <w:multiLevelType w:val="multilevel"/>
    <w:tmpl w:val="4983687A"/>
    <w:lvl w:ilvl="0" w:tentative="0">
      <w:start w:val="1"/>
      <w:numFmt w:val="lowerLetter"/>
      <w:lvlText w:val="%1)"/>
      <w:lvlJc w:val="left"/>
      <w:pPr>
        <w:tabs>
          <w:tab w:val="left" w:pos="840"/>
        </w:tabs>
        <w:ind w:left="839" w:hanging="419"/>
      </w:pPr>
      <w:rPr>
        <w:rFonts w:hint="eastAsia" w:ascii="宋体" w:hAnsi="宋体" w:eastAsia="宋体" w:cs="宋体"/>
        <w:b w:val="0"/>
        <w:i w:val="0"/>
        <w:sz w:val="21"/>
        <w:szCs w:val="21"/>
      </w:rPr>
    </w:lvl>
    <w:lvl w:ilvl="1" w:tentative="0">
      <w:start w:val="1"/>
      <w:numFmt w:val="decimal"/>
      <w:lvlText w:val="%2)"/>
      <w:lvlJc w:val="left"/>
      <w:pPr>
        <w:tabs>
          <w:tab w:val="left" w:pos="1260"/>
        </w:tabs>
        <w:ind w:left="1259" w:hanging="419"/>
      </w:pPr>
      <w:rPr>
        <w:rFonts w:hint="eastAsia" w:ascii="宋体" w:hAnsi="宋体" w:eastAsia="宋体" w:cs="宋体"/>
      </w:rPr>
    </w:lvl>
    <w:lvl w:ilvl="2" w:tentative="0">
      <w:start w:val="1"/>
      <w:numFmt w:val="decimal"/>
      <w:lvlText w:val="(%3)"/>
      <w:lvlJc w:val="left"/>
      <w:pPr>
        <w:tabs>
          <w:tab w:val="left" w:pos="0"/>
        </w:tabs>
        <w:ind w:left="1679" w:hanging="420"/>
      </w:pPr>
      <w:rPr>
        <w:rFonts w:hint="eastAsia" w:ascii="宋体" w:hAnsi="宋体" w:eastAsia="宋体" w:cs="宋体"/>
        <w:b w:val="0"/>
        <w:i w:val="0"/>
        <w:sz w:val="21"/>
        <w:szCs w:val="21"/>
      </w:rPr>
    </w:lvl>
    <w:lvl w:ilvl="3" w:tentative="0">
      <w:start w:val="1"/>
      <w:numFmt w:val="decimal"/>
      <w:lvlText w:val="%4."/>
      <w:lvlJc w:val="left"/>
      <w:pPr>
        <w:tabs>
          <w:tab w:val="left" w:pos="2100"/>
        </w:tabs>
        <w:ind w:left="2099" w:hanging="419"/>
      </w:pPr>
      <w:rPr>
        <w:rFonts w:hint="eastAsia" w:ascii="宋体" w:hAnsi="宋体" w:eastAsia="宋体" w:cs="宋体"/>
      </w:rPr>
    </w:lvl>
    <w:lvl w:ilvl="4" w:tentative="0">
      <w:start w:val="1"/>
      <w:numFmt w:val="lowerLetter"/>
      <w:lvlText w:val="%5)"/>
      <w:lvlJc w:val="left"/>
      <w:pPr>
        <w:tabs>
          <w:tab w:val="left" w:pos="2520"/>
        </w:tabs>
        <w:ind w:left="2519" w:hanging="419"/>
      </w:pPr>
      <w:rPr>
        <w:rFonts w:hint="eastAsia" w:ascii="宋体" w:hAnsi="宋体" w:eastAsia="宋体" w:cs="宋体"/>
      </w:rPr>
    </w:lvl>
    <w:lvl w:ilvl="5" w:tentative="0">
      <w:start w:val="1"/>
      <w:numFmt w:val="lowerRoman"/>
      <w:lvlText w:val="%6."/>
      <w:lvlJc w:val="right"/>
      <w:pPr>
        <w:tabs>
          <w:tab w:val="left" w:pos="2940"/>
        </w:tabs>
        <w:ind w:left="2939" w:hanging="419"/>
      </w:pPr>
      <w:rPr>
        <w:rFonts w:hint="eastAsia" w:ascii="宋体" w:hAnsi="宋体" w:eastAsia="宋体" w:cs="宋体"/>
      </w:rPr>
    </w:lvl>
    <w:lvl w:ilvl="6" w:tentative="0">
      <w:start w:val="1"/>
      <w:numFmt w:val="decimal"/>
      <w:lvlText w:val="%7."/>
      <w:lvlJc w:val="left"/>
      <w:pPr>
        <w:tabs>
          <w:tab w:val="left" w:pos="3360"/>
        </w:tabs>
        <w:ind w:left="3359" w:hanging="419"/>
      </w:pPr>
      <w:rPr>
        <w:rFonts w:hint="eastAsia" w:ascii="宋体" w:hAnsi="宋体" w:eastAsia="宋体" w:cs="宋体"/>
      </w:rPr>
    </w:lvl>
    <w:lvl w:ilvl="7" w:tentative="0">
      <w:start w:val="1"/>
      <w:numFmt w:val="lowerLetter"/>
      <w:lvlText w:val="%8)"/>
      <w:lvlJc w:val="left"/>
      <w:pPr>
        <w:tabs>
          <w:tab w:val="left" w:pos="3780"/>
        </w:tabs>
        <w:ind w:left="3779" w:hanging="419"/>
      </w:pPr>
      <w:rPr>
        <w:rFonts w:hint="eastAsia" w:ascii="宋体" w:hAnsi="宋体" w:eastAsia="宋体" w:cs="宋体"/>
      </w:rPr>
    </w:lvl>
    <w:lvl w:ilvl="8" w:tentative="0">
      <w:start w:val="1"/>
      <w:numFmt w:val="lowerRoman"/>
      <w:lvlText w:val="%9."/>
      <w:lvlJc w:val="right"/>
      <w:pPr>
        <w:tabs>
          <w:tab w:val="left" w:pos="4200"/>
        </w:tabs>
        <w:ind w:left="4199" w:hanging="419"/>
      </w:pPr>
      <w:rPr>
        <w:rFonts w:hint="eastAsia" w:ascii="宋体" w:hAnsi="宋体" w:eastAsia="宋体" w:cs="宋体"/>
      </w:rPr>
    </w:lvl>
  </w:abstractNum>
  <w:abstractNum w:abstractNumId="14">
    <w:nsid w:val="520F62E9"/>
    <w:multiLevelType w:val="multilevel"/>
    <w:tmpl w:val="520F62E9"/>
    <w:lvl w:ilvl="0" w:tentative="0">
      <w:start w:val="1"/>
      <w:numFmt w:val="decimal"/>
      <w:pStyle w:val="131"/>
      <w:suff w:val="nothing"/>
      <w:lvlText w:val="图%1　"/>
      <w:lvlJc w:val="left"/>
      <w:pPr>
        <w:ind w:left="0" w:firstLine="0"/>
      </w:pPr>
      <w:rPr>
        <w:rFonts w:hint="eastAsia"/>
      </w:rPr>
    </w:lvl>
    <w:lvl w:ilvl="1" w:tentative="0">
      <w:start w:val="1"/>
      <w:numFmt w:val="decimal"/>
      <w:lvlText w:val="%1.%2"/>
      <w:lvlJc w:val="left"/>
      <w:pPr>
        <w:ind w:left="992" w:hanging="567"/>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5">
    <w:nsid w:val="5E63562F"/>
    <w:multiLevelType w:val="multilevel"/>
    <w:tmpl w:val="5E63562F"/>
    <w:lvl w:ilvl="0" w:tentative="0">
      <w:start w:val="1"/>
      <w:numFmt w:val="decimal"/>
      <w:pStyle w:val="61"/>
      <w:suff w:val="nothing"/>
      <w:lvlText w:val="注%1："/>
      <w:lvlJc w:val="left"/>
      <w:pPr>
        <w:ind w:left="0" w:firstLine="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16">
    <w:nsid w:val="60A413E1"/>
    <w:multiLevelType w:val="multilevel"/>
    <w:tmpl w:val="60A413E1"/>
    <w:lvl w:ilvl="0" w:tentative="0">
      <w:start w:val="1"/>
      <w:numFmt w:val="lowerLetter"/>
      <w:lvlText w:val="%1)"/>
      <w:lvlJc w:val="left"/>
      <w:pPr>
        <w:tabs>
          <w:tab w:val="left" w:pos="840"/>
        </w:tabs>
        <w:ind w:left="839" w:hanging="419"/>
      </w:pPr>
      <w:rPr>
        <w:rFonts w:hint="eastAsia" w:ascii="宋体" w:hAnsi="宋体" w:eastAsia="宋体" w:cs="宋体"/>
        <w:b w:val="0"/>
        <w:i w:val="0"/>
        <w:sz w:val="21"/>
        <w:szCs w:val="21"/>
      </w:rPr>
    </w:lvl>
    <w:lvl w:ilvl="1" w:tentative="0">
      <w:start w:val="1"/>
      <w:numFmt w:val="decimal"/>
      <w:lvlText w:val="%2)"/>
      <w:lvlJc w:val="left"/>
      <w:pPr>
        <w:tabs>
          <w:tab w:val="left" w:pos="1260"/>
        </w:tabs>
        <w:ind w:left="1259" w:hanging="419"/>
      </w:pPr>
      <w:rPr>
        <w:rFonts w:hint="eastAsia" w:ascii="宋体" w:hAnsi="宋体" w:eastAsia="宋体" w:cs="宋体"/>
      </w:rPr>
    </w:lvl>
    <w:lvl w:ilvl="2" w:tentative="0">
      <w:start w:val="1"/>
      <w:numFmt w:val="decimal"/>
      <w:lvlText w:val="(%3)"/>
      <w:lvlJc w:val="left"/>
      <w:pPr>
        <w:tabs>
          <w:tab w:val="left" w:pos="0"/>
        </w:tabs>
        <w:ind w:left="1679" w:hanging="420"/>
      </w:pPr>
      <w:rPr>
        <w:rFonts w:hint="eastAsia" w:ascii="宋体" w:hAnsi="宋体" w:eastAsia="宋体" w:cs="宋体"/>
        <w:b w:val="0"/>
        <w:i w:val="0"/>
        <w:sz w:val="21"/>
        <w:szCs w:val="21"/>
      </w:rPr>
    </w:lvl>
    <w:lvl w:ilvl="3" w:tentative="0">
      <w:start w:val="1"/>
      <w:numFmt w:val="decimal"/>
      <w:lvlText w:val="%4."/>
      <w:lvlJc w:val="left"/>
      <w:pPr>
        <w:tabs>
          <w:tab w:val="left" w:pos="2100"/>
        </w:tabs>
        <w:ind w:left="2099" w:hanging="419"/>
      </w:pPr>
      <w:rPr>
        <w:rFonts w:hint="eastAsia" w:ascii="宋体" w:hAnsi="宋体" w:eastAsia="宋体" w:cs="宋体"/>
      </w:rPr>
    </w:lvl>
    <w:lvl w:ilvl="4" w:tentative="0">
      <w:start w:val="1"/>
      <w:numFmt w:val="lowerLetter"/>
      <w:lvlText w:val="%5)"/>
      <w:lvlJc w:val="left"/>
      <w:pPr>
        <w:tabs>
          <w:tab w:val="left" w:pos="2520"/>
        </w:tabs>
        <w:ind w:left="2519" w:hanging="419"/>
      </w:pPr>
      <w:rPr>
        <w:rFonts w:hint="eastAsia" w:ascii="宋体" w:hAnsi="宋体" w:eastAsia="宋体" w:cs="宋体"/>
      </w:rPr>
    </w:lvl>
    <w:lvl w:ilvl="5" w:tentative="0">
      <w:start w:val="1"/>
      <w:numFmt w:val="lowerRoman"/>
      <w:lvlText w:val="%6."/>
      <w:lvlJc w:val="right"/>
      <w:pPr>
        <w:tabs>
          <w:tab w:val="left" w:pos="2940"/>
        </w:tabs>
        <w:ind w:left="2939" w:hanging="419"/>
      </w:pPr>
      <w:rPr>
        <w:rFonts w:hint="eastAsia" w:ascii="宋体" w:hAnsi="宋体" w:eastAsia="宋体" w:cs="宋体"/>
      </w:rPr>
    </w:lvl>
    <w:lvl w:ilvl="6" w:tentative="0">
      <w:start w:val="1"/>
      <w:numFmt w:val="decimal"/>
      <w:lvlText w:val="%7."/>
      <w:lvlJc w:val="left"/>
      <w:pPr>
        <w:tabs>
          <w:tab w:val="left" w:pos="3360"/>
        </w:tabs>
        <w:ind w:left="3359" w:hanging="419"/>
      </w:pPr>
      <w:rPr>
        <w:rFonts w:hint="eastAsia" w:ascii="宋体" w:hAnsi="宋体" w:eastAsia="宋体" w:cs="宋体"/>
      </w:rPr>
    </w:lvl>
    <w:lvl w:ilvl="7" w:tentative="0">
      <w:start w:val="1"/>
      <w:numFmt w:val="lowerLetter"/>
      <w:lvlText w:val="%8)"/>
      <w:lvlJc w:val="left"/>
      <w:pPr>
        <w:tabs>
          <w:tab w:val="left" w:pos="3780"/>
        </w:tabs>
        <w:ind w:left="3779" w:hanging="419"/>
      </w:pPr>
      <w:rPr>
        <w:rFonts w:hint="eastAsia" w:ascii="宋体" w:hAnsi="宋体" w:eastAsia="宋体" w:cs="宋体"/>
      </w:rPr>
    </w:lvl>
    <w:lvl w:ilvl="8" w:tentative="0">
      <w:start w:val="1"/>
      <w:numFmt w:val="lowerRoman"/>
      <w:lvlText w:val="%9."/>
      <w:lvlJc w:val="right"/>
      <w:pPr>
        <w:tabs>
          <w:tab w:val="left" w:pos="4200"/>
        </w:tabs>
        <w:ind w:left="4199" w:hanging="419"/>
      </w:pPr>
      <w:rPr>
        <w:rFonts w:hint="eastAsia" w:ascii="宋体" w:hAnsi="宋体" w:eastAsia="宋体" w:cs="宋体"/>
      </w:rPr>
    </w:lvl>
  </w:abstractNum>
  <w:abstractNum w:abstractNumId="17">
    <w:nsid w:val="60B55DC2"/>
    <w:multiLevelType w:val="multilevel"/>
    <w:tmpl w:val="60B55DC2"/>
    <w:lvl w:ilvl="0" w:tentative="0">
      <w:start w:val="1"/>
      <w:numFmt w:val="upperLetter"/>
      <w:pStyle w:val="89"/>
      <w:lvlText w:val="%1"/>
      <w:lvlJc w:val="left"/>
      <w:pPr>
        <w:tabs>
          <w:tab w:val="left" w:pos="0"/>
        </w:tabs>
        <w:ind w:left="0" w:hanging="425"/>
      </w:pPr>
      <w:rPr>
        <w:rFonts w:hint="eastAsia"/>
      </w:rPr>
    </w:lvl>
    <w:lvl w:ilvl="1" w:tentative="0">
      <w:start w:val="1"/>
      <w:numFmt w:val="decimal"/>
      <w:pStyle w:val="90"/>
      <w:suff w:val="nothing"/>
      <w:lvlText w:val="表%1.%2　"/>
      <w:lvlJc w:val="left"/>
      <w:pPr>
        <w:ind w:left="567" w:hanging="567"/>
      </w:pPr>
      <w:rPr>
        <w:rFonts w:hint="default"/>
        <w:color w:val="auto"/>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18">
    <w:nsid w:val="63404DBE"/>
    <w:multiLevelType w:val="multilevel"/>
    <w:tmpl w:val="63404DBE"/>
    <w:lvl w:ilvl="0" w:tentative="0">
      <w:start w:val="1"/>
      <w:numFmt w:val="none"/>
      <w:pStyle w:val="55"/>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19">
    <w:nsid w:val="63AF7EBF"/>
    <w:multiLevelType w:val="multilevel"/>
    <w:tmpl w:val="63AF7EBF"/>
    <w:lvl w:ilvl="0" w:tentative="0">
      <w:start w:val="1"/>
      <w:numFmt w:val="decimal"/>
      <w:pStyle w:val="129"/>
      <w:suff w:val="nothing"/>
      <w:lvlText w:val="表%1　"/>
      <w:lvlJc w:val="left"/>
      <w:pPr>
        <w:ind w:left="0" w:firstLine="0"/>
      </w:pPr>
      <w:rPr>
        <w:rFonts w:hint="eastAsia"/>
      </w:rPr>
    </w:lvl>
    <w:lvl w:ilvl="1" w:tentative="0">
      <w:start w:val="1"/>
      <w:numFmt w:val="decimal"/>
      <w:lvlText w:val="%1.%2"/>
      <w:lvlJc w:val="left"/>
      <w:pPr>
        <w:ind w:left="992" w:hanging="567"/>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657D3FBC"/>
    <w:multiLevelType w:val="multilevel"/>
    <w:tmpl w:val="657D3FBC"/>
    <w:lvl w:ilvl="0" w:tentative="0">
      <w:start w:val="1"/>
      <w:numFmt w:val="upperLetter"/>
      <w:pStyle w:val="87"/>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105"/>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106"/>
      <w:suff w:val="nothing"/>
      <w:lvlText w:val="%1.%2.%3　"/>
      <w:lvlJc w:val="left"/>
      <w:pPr>
        <w:ind w:left="0" w:firstLine="0"/>
      </w:pPr>
      <w:rPr>
        <w:rFonts w:hint="eastAsia" w:ascii="黑体" w:hAnsi="Times New Roman" w:eastAsia="黑体"/>
        <w:b w:val="0"/>
        <w:i w:val="0"/>
        <w:sz w:val="21"/>
      </w:rPr>
    </w:lvl>
    <w:lvl w:ilvl="3" w:tentative="0">
      <w:start w:val="1"/>
      <w:numFmt w:val="decimal"/>
      <w:pStyle w:val="91"/>
      <w:suff w:val="nothing"/>
      <w:lvlText w:val="%1.%2.%3.%4　"/>
      <w:lvlJc w:val="left"/>
      <w:pPr>
        <w:ind w:left="0" w:firstLine="0"/>
      </w:pPr>
      <w:rPr>
        <w:rFonts w:hint="eastAsia" w:ascii="黑体" w:hAnsi="Times New Roman" w:eastAsia="黑体"/>
        <w:b w:val="0"/>
        <w:i w:val="0"/>
        <w:sz w:val="21"/>
      </w:rPr>
    </w:lvl>
    <w:lvl w:ilvl="4" w:tentative="0">
      <w:start w:val="1"/>
      <w:numFmt w:val="decimal"/>
      <w:pStyle w:val="96"/>
      <w:suff w:val="nothing"/>
      <w:lvlText w:val="%1.%2.%3.%4.%5　"/>
      <w:lvlJc w:val="left"/>
      <w:pPr>
        <w:ind w:left="0" w:firstLine="0"/>
      </w:pPr>
      <w:rPr>
        <w:rFonts w:hint="eastAsia" w:ascii="黑体" w:hAnsi="Times New Roman" w:eastAsia="黑体"/>
        <w:b w:val="0"/>
        <w:i w:val="0"/>
        <w:sz w:val="21"/>
      </w:rPr>
    </w:lvl>
    <w:lvl w:ilvl="5" w:tentative="0">
      <w:start w:val="1"/>
      <w:numFmt w:val="decimal"/>
      <w:pStyle w:val="99"/>
      <w:suff w:val="nothing"/>
      <w:lvlText w:val="%1.%2.%3.%4.%5.%6　"/>
      <w:lvlJc w:val="left"/>
      <w:pPr>
        <w:ind w:left="0" w:firstLine="0"/>
      </w:pPr>
      <w:rPr>
        <w:rFonts w:hint="eastAsia" w:ascii="黑体" w:hAnsi="Times New Roman" w:eastAsia="黑体"/>
        <w:b w:val="0"/>
        <w:i w:val="0"/>
        <w:sz w:val="21"/>
      </w:rPr>
    </w:lvl>
    <w:lvl w:ilvl="6" w:tentative="0">
      <w:start w:val="1"/>
      <w:numFmt w:val="decimal"/>
      <w:pStyle w:val="103"/>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1">
    <w:nsid w:val="6AB870ED"/>
    <w:multiLevelType w:val="multilevel"/>
    <w:tmpl w:val="6AB870ED"/>
    <w:lvl w:ilvl="0" w:tentative="0">
      <w:start w:val="1"/>
      <w:numFmt w:val="decimal"/>
      <w:pStyle w:val="65"/>
      <w:suff w:val="nothing"/>
      <w:lvlText w:val="示例%1："/>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22">
    <w:nsid w:val="6D6C07CD"/>
    <w:multiLevelType w:val="multilevel"/>
    <w:tmpl w:val="6D6C07CD"/>
    <w:lvl w:ilvl="0" w:tentative="0">
      <w:start w:val="1"/>
      <w:numFmt w:val="lowerLetter"/>
      <w:pStyle w:val="108"/>
      <w:lvlText w:val="%1)"/>
      <w:lvlJc w:val="left"/>
      <w:pPr>
        <w:tabs>
          <w:tab w:val="left" w:pos="839"/>
        </w:tabs>
        <w:ind w:left="839" w:hanging="419"/>
      </w:pPr>
      <w:rPr>
        <w:rFonts w:hint="eastAsia" w:ascii="宋体" w:eastAsia="宋体"/>
        <w:b w:val="0"/>
        <w:i w:val="0"/>
        <w:sz w:val="21"/>
      </w:rPr>
    </w:lvl>
    <w:lvl w:ilvl="1" w:tentative="0">
      <w:start w:val="1"/>
      <w:numFmt w:val="decimal"/>
      <w:pStyle w:val="98"/>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num w:numId="1">
    <w:abstractNumId w:val="11"/>
  </w:num>
  <w:num w:numId="2">
    <w:abstractNumId w:val="6"/>
  </w:num>
  <w:num w:numId="3">
    <w:abstractNumId w:val="10"/>
  </w:num>
  <w:num w:numId="4">
    <w:abstractNumId w:val="18"/>
  </w:num>
  <w:num w:numId="5">
    <w:abstractNumId w:val="12"/>
  </w:num>
  <w:num w:numId="6">
    <w:abstractNumId w:val="4"/>
  </w:num>
  <w:num w:numId="7">
    <w:abstractNumId w:val="15"/>
  </w:num>
  <w:num w:numId="8">
    <w:abstractNumId w:val="21"/>
  </w:num>
  <w:num w:numId="9">
    <w:abstractNumId w:val="8"/>
  </w:num>
  <w:num w:numId="10">
    <w:abstractNumId w:val="3"/>
  </w:num>
  <w:num w:numId="11">
    <w:abstractNumId w:val="20"/>
  </w:num>
  <w:num w:numId="12">
    <w:abstractNumId w:val="17"/>
  </w:num>
  <w:num w:numId="13">
    <w:abstractNumId w:val="22"/>
  </w:num>
  <w:num w:numId="14">
    <w:abstractNumId w:val="9"/>
  </w:num>
  <w:num w:numId="15">
    <w:abstractNumId w:val="7"/>
  </w:num>
  <w:num w:numId="16">
    <w:abstractNumId w:val="19"/>
  </w:num>
  <w:num w:numId="17">
    <w:abstractNumId w:val="14"/>
  </w:num>
  <w:num w:numId="18">
    <w:abstractNumId w:val="1"/>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num>
  <w:num w:numId="23">
    <w:abstractNumId w:val="16"/>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mirrorMargins w:val="true"/>
  <w:bordersDoNotSurroundHeader w:val="true"/>
  <w:bordersDoNotSurroundFooter w:val="true"/>
  <w:documentProtection w:edit="forms" w:enforcement="0"/>
  <w:defaultTabStop w:val="420"/>
  <w:evenAndOddHeaders w:val="true"/>
  <w:drawingGridHorizontalSpacing w:val="105"/>
  <w:drawingGridVerticalSpacing w:val="156"/>
  <w:noPunctuationKerning w:val="true"/>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I4MjFjODMzZjcyZjgwNWViMTI4MzNhMzNjY2U2OTAifQ=="/>
  </w:docVars>
  <w:rsids>
    <w:rsidRoot w:val="00035925"/>
    <w:rsid w:val="00000244"/>
    <w:rsid w:val="00000BB3"/>
    <w:rsid w:val="0000185F"/>
    <w:rsid w:val="00004B91"/>
    <w:rsid w:val="00004E32"/>
    <w:rsid w:val="0000555E"/>
    <w:rsid w:val="0000586F"/>
    <w:rsid w:val="00007DEE"/>
    <w:rsid w:val="00013D86"/>
    <w:rsid w:val="00013E02"/>
    <w:rsid w:val="0002143C"/>
    <w:rsid w:val="00025A65"/>
    <w:rsid w:val="00025F0C"/>
    <w:rsid w:val="00026C31"/>
    <w:rsid w:val="00027280"/>
    <w:rsid w:val="000320A7"/>
    <w:rsid w:val="000325EA"/>
    <w:rsid w:val="0003407E"/>
    <w:rsid w:val="0003480F"/>
    <w:rsid w:val="00035925"/>
    <w:rsid w:val="00036C2C"/>
    <w:rsid w:val="00041AEB"/>
    <w:rsid w:val="00044D1D"/>
    <w:rsid w:val="00045A7C"/>
    <w:rsid w:val="00055371"/>
    <w:rsid w:val="000554A6"/>
    <w:rsid w:val="00056A24"/>
    <w:rsid w:val="0005758F"/>
    <w:rsid w:val="00057CE5"/>
    <w:rsid w:val="000607A3"/>
    <w:rsid w:val="00061805"/>
    <w:rsid w:val="000657F7"/>
    <w:rsid w:val="00067CDF"/>
    <w:rsid w:val="00071DB2"/>
    <w:rsid w:val="00074FBE"/>
    <w:rsid w:val="0007762A"/>
    <w:rsid w:val="0008172F"/>
    <w:rsid w:val="00081F6E"/>
    <w:rsid w:val="00083A09"/>
    <w:rsid w:val="0009005E"/>
    <w:rsid w:val="000900BB"/>
    <w:rsid w:val="000918A9"/>
    <w:rsid w:val="00091A39"/>
    <w:rsid w:val="00092001"/>
    <w:rsid w:val="00092618"/>
    <w:rsid w:val="00092857"/>
    <w:rsid w:val="00092BD8"/>
    <w:rsid w:val="00094425"/>
    <w:rsid w:val="000964C7"/>
    <w:rsid w:val="000979D9"/>
    <w:rsid w:val="000A20A9"/>
    <w:rsid w:val="000A48B1"/>
    <w:rsid w:val="000B20D4"/>
    <w:rsid w:val="000B2F0E"/>
    <w:rsid w:val="000B3143"/>
    <w:rsid w:val="000B405D"/>
    <w:rsid w:val="000B68FA"/>
    <w:rsid w:val="000C2BE6"/>
    <w:rsid w:val="000C6B05"/>
    <w:rsid w:val="000C6DD6"/>
    <w:rsid w:val="000C73D4"/>
    <w:rsid w:val="000D3D4C"/>
    <w:rsid w:val="000D4F51"/>
    <w:rsid w:val="000D718B"/>
    <w:rsid w:val="000E01EB"/>
    <w:rsid w:val="000E0C46"/>
    <w:rsid w:val="000E15EE"/>
    <w:rsid w:val="000E1A08"/>
    <w:rsid w:val="000F030C"/>
    <w:rsid w:val="000F129C"/>
    <w:rsid w:val="000F174F"/>
    <w:rsid w:val="001040CE"/>
    <w:rsid w:val="00104E29"/>
    <w:rsid w:val="001056DE"/>
    <w:rsid w:val="0011090E"/>
    <w:rsid w:val="001124C0"/>
    <w:rsid w:val="00113CCF"/>
    <w:rsid w:val="00117A25"/>
    <w:rsid w:val="00121293"/>
    <w:rsid w:val="0013175F"/>
    <w:rsid w:val="00132283"/>
    <w:rsid w:val="0013364D"/>
    <w:rsid w:val="001343BB"/>
    <w:rsid w:val="00142247"/>
    <w:rsid w:val="00143E03"/>
    <w:rsid w:val="001512B4"/>
    <w:rsid w:val="00153A26"/>
    <w:rsid w:val="00154705"/>
    <w:rsid w:val="00155C90"/>
    <w:rsid w:val="001620A5"/>
    <w:rsid w:val="00164E53"/>
    <w:rsid w:val="00165D35"/>
    <w:rsid w:val="0016699D"/>
    <w:rsid w:val="001670D9"/>
    <w:rsid w:val="00175159"/>
    <w:rsid w:val="00175AD7"/>
    <w:rsid w:val="00176208"/>
    <w:rsid w:val="0017780C"/>
    <w:rsid w:val="001813B2"/>
    <w:rsid w:val="0018211B"/>
    <w:rsid w:val="00183FE1"/>
    <w:rsid w:val="001840D3"/>
    <w:rsid w:val="00184782"/>
    <w:rsid w:val="00187A8A"/>
    <w:rsid w:val="001900F8"/>
    <w:rsid w:val="00190F0C"/>
    <w:rsid w:val="00191258"/>
    <w:rsid w:val="00192680"/>
    <w:rsid w:val="00193037"/>
    <w:rsid w:val="00193375"/>
    <w:rsid w:val="00193A2C"/>
    <w:rsid w:val="001A288E"/>
    <w:rsid w:val="001A2A91"/>
    <w:rsid w:val="001A496F"/>
    <w:rsid w:val="001B36ED"/>
    <w:rsid w:val="001B4613"/>
    <w:rsid w:val="001B5532"/>
    <w:rsid w:val="001B6DC2"/>
    <w:rsid w:val="001B754B"/>
    <w:rsid w:val="001C149C"/>
    <w:rsid w:val="001C21AC"/>
    <w:rsid w:val="001C2FA4"/>
    <w:rsid w:val="001C3689"/>
    <w:rsid w:val="001C47BA"/>
    <w:rsid w:val="001C59EA"/>
    <w:rsid w:val="001D172E"/>
    <w:rsid w:val="001D3556"/>
    <w:rsid w:val="001D406C"/>
    <w:rsid w:val="001D41EE"/>
    <w:rsid w:val="001D4BEB"/>
    <w:rsid w:val="001D71E6"/>
    <w:rsid w:val="001E0380"/>
    <w:rsid w:val="001E0B1B"/>
    <w:rsid w:val="001E13B1"/>
    <w:rsid w:val="001E1E6E"/>
    <w:rsid w:val="001E2153"/>
    <w:rsid w:val="001F3A19"/>
    <w:rsid w:val="001F7E9A"/>
    <w:rsid w:val="002009E4"/>
    <w:rsid w:val="00201053"/>
    <w:rsid w:val="0020251B"/>
    <w:rsid w:val="002073D3"/>
    <w:rsid w:val="00211861"/>
    <w:rsid w:val="00215D48"/>
    <w:rsid w:val="0021624B"/>
    <w:rsid w:val="0022185E"/>
    <w:rsid w:val="0022689B"/>
    <w:rsid w:val="00227FED"/>
    <w:rsid w:val="0023030A"/>
    <w:rsid w:val="0023037E"/>
    <w:rsid w:val="00230F08"/>
    <w:rsid w:val="00234467"/>
    <w:rsid w:val="00235BE6"/>
    <w:rsid w:val="002361E3"/>
    <w:rsid w:val="00237D8D"/>
    <w:rsid w:val="00241DA2"/>
    <w:rsid w:val="00247FEE"/>
    <w:rsid w:val="00250E7D"/>
    <w:rsid w:val="002523DB"/>
    <w:rsid w:val="002527DD"/>
    <w:rsid w:val="00252DAA"/>
    <w:rsid w:val="002565D5"/>
    <w:rsid w:val="002622C0"/>
    <w:rsid w:val="00277068"/>
    <w:rsid w:val="002778AE"/>
    <w:rsid w:val="0028269A"/>
    <w:rsid w:val="00283590"/>
    <w:rsid w:val="00285B22"/>
    <w:rsid w:val="00286973"/>
    <w:rsid w:val="00287674"/>
    <w:rsid w:val="002938A4"/>
    <w:rsid w:val="00294D80"/>
    <w:rsid w:val="00294E70"/>
    <w:rsid w:val="002954B8"/>
    <w:rsid w:val="00296424"/>
    <w:rsid w:val="002967B2"/>
    <w:rsid w:val="002A1924"/>
    <w:rsid w:val="002A63DA"/>
    <w:rsid w:val="002A7420"/>
    <w:rsid w:val="002A7A7E"/>
    <w:rsid w:val="002B0F12"/>
    <w:rsid w:val="002B1308"/>
    <w:rsid w:val="002B4554"/>
    <w:rsid w:val="002B707C"/>
    <w:rsid w:val="002C72D8"/>
    <w:rsid w:val="002D11FA"/>
    <w:rsid w:val="002D17BC"/>
    <w:rsid w:val="002D19A4"/>
    <w:rsid w:val="002D6352"/>
    <w:rsid w:val="002E0D49"/>
    <w:rsid w:val="002E0DDF"/>
    <w:rsid w:val="002E2088"/>
    <w:rsid w:val="002E2906"/>
    <w:rsid w:val="002E5635"/>
    <w:rsid w:val="002E64C3"/>
    <w:rsid w:val="002E6A2C"/>
    <w:rsid w:val="002F035E"/>
    <w:rsid w:val="002F0FE8"/>
    <w:rsid w:val="002F1D8C"/>
    <w:rsid w:val="002F21DA"/>
    <w:rsid w:val="002F34B8"/>
    <w:rsid w:val="002F6B78"/>
    <w:rsid w:val="002F71D8"/>
    <w:rsid w:val="00301F39"/>
    <w:rsid w:val="0030320F"/>
    <w:rsid w:val="00303D27"/>
    <w:rsid w:val="00305BEE"/>
    <w:rsid w:val="00313962"/>
    <w:rsid w:val="003149A2"/>
    <w:rsid w:val="00316192"/>
    <w:rsid w:val="00320F6F"/>
    <w:rsid w:val="003234E0"/>
    <w:rsid w:val="00325926"/>
    <w:rsid w:val="00327A8A"/>
    <w:rsid w:val="003339A3"/>
    <w:rsid w:val="00335B59"/>
    <w:rsid w:val="0033636F"/>
    <w:rsid w:val="00336610"/>
    <w:rsid w:val="00341F5C"/>
    <w:rsid w:val="00343D23"/>
    <w:rsid w:val="00343F73"/>
    <w:rsid w:val="00345060"/>
    <w:rsid w:val="003451FB"/>
    <w:rsid w:val="00352629"/>
    <w:rsid w:val="0035323B"/>
    <w:rsid w:val="00353D19"/>
    <w:rsid w:val="0035785A"/>
    <w:rsid w:val="003609D2"/>
    <w:rsid w:val="00363F22"/>
    <w:rsid w:val="00364940"/>
    <w:rsid w:val="00375564"/>
    <w:rsid w:val="00376489"/>
    <w:rsid w:val="003815F7"/>
    <w:rsid w:val="00383191"/>
    <w:rsid w:val="00386DED"/>
    <w:rsid w:val="00387D36"/>
    <w:rsid w:val="003912E7"/>
    <w:rsid w:val="00393947"/>
    <w:rsid w:val="00395141"/>
    <w:rsid w:val="00395D78"/>
    <w:rsid w:val="003A0E27"/>
    <w:rsid w:val="003A2275"/>
    <w:rsid w:val="003A6A4F"/>
    <w:rsid w:val="003A7088"/>
    <w:rsid w:val="003B00DF"/>
    <w:rsid w:val="003B02BD"/>
    <w:rsid w:val="003B1275"/>
    <w:rsid w:val="003B1778"/>
    <w:rsid w:val="003B1E8E"/>
    <w:rsid w:val="003B533D"/>
    <w:rsid w:val="003C11CB"/>
    <w:rsid w:val="003C3017"/>
    <w:rsid w:val="003C31E0"/>
    <w:rsid w:val="003C6A77"/>
    <w:rsid w:val="003C75F3"/>
    <w:rsid w:val="003C78A3"/>
    <w:rsid w:val="003D1CAD"/>
    <w:rsid w:val="003D36AB"/>
    <w:rsid w:val="003D5F9D"/>
    <w:rsid w:val="003E1867"/>
    <w:rsid w:val="003E5729"/>
    <w:rsid w:val="003E724E"/>
    <w:rsid w:val="003F1D40"/>
    <w:rsid w:val="003F22BB"/>
    <w:rsid w:val="003F2A5B"/>
    <w:rsid w:val="003F4709"/>
    <w:rsid w:val="003F4EE0"/>
    <w:rsid w:val="003F5559"/>
    <w:rsid w:val="00400473"/>
    <w:rsid w:val="00400A62"/>
    <w:rsid w:val="00402153"/>
    <w:rsid w:val="00402E26"/>
    <w:rsid w:val="00402FC1"/>
    <w:rsid w:val="004200D9"/>
    <w:rsid w:val="004208B1"/>
    <w:rsid w:val="004233C0"/>
    <w:rsid w:val="00425082"/>
    <w:rsid w:val="00431DEB"/>
    <w:rsid w:val="00434AFB"/>
    <w:rsid w:val="00435DE6"/>
    <w:rsid w:val="0044259D"/>
    <w:rsid w:val="004439D9"/>
    <w:rsid w:val="00446B29"/>
    <w:rsid w:val="004524BE"/>
    <w:rsid w:val="00453F9A"/>
    <w:rsid w:val="00454CC3"/>
    <w:rsid w:val="00464903"/>
    <w:rsid w:val="00471E91"/>
    <w:rsid w:val="00474079"/>
    <w:rsid w:val="00474675"/>
    <w:rsid w:val="0047470C"/>
    <w:rsid w:val="00477884"/>
    <w:rsid w:val="004826C0"/>
    <w:rsid w:val="00484C88"/>
    <w:rsid w:val="004870E4"/>
    <w:rsid w:val="00491C3C"/>
    <w:rsid w:val="00495076"/>
    <w:rsid w:val="004A203E"/>
    <w:rsid w:val="004A35F9"/>
    <w:rsid w:val="004A4662"/>
    <w:rsid w:val="004A7E02"/>
    <w:rsid w:val="004B157A"/>
    <w:rsid w:val="004B24C1"/>
    <w:rsid w:val="004B3092"/>
    <w:rsid w:val="004B43EC"/>
    <w:rsid w:val="004B49B1"/>
    <w:rsid w:val="004B557C"/>
    <w:rsid w:val="004B5747"/>
    <w:rsid w:val="004C292F"/>
    <w:rsid w:val="004C2B86"/>
    <w:rsid w:val="004C657F"/>
    <w:rsid w:val="004C6609"/>
    <w:rsid w:val="004C7449"/>
    <w:rsid w:val="004D2475"/>
    <w:rsid w:val="004D306F"/>
    <w:rsid w:val="004D4B02"/>
    <w:rsid w:val="004D4F76"/>
    <w:rsid w:val="004E4B13"/>
    <w:rsid w:val="004E4B8C"/>
    <w:rsid w:val="004E5A47"/>
    <w:rsid w:val="004F2EF3"/>
    <w:rsid w:val="00502F78"/>
    <w:rsid w:val="005036E2"/>
    <w:rsid w:val="00503892"/>
    <w:rsid w:val="00510280"/>
    <w:rsid w:val="005118C4"/>
    <w:rsid w:val="00513D73"/>
    <w:rsid w:val="005148B3"/>
    <w:rsid w:val="00514A43"/>
    <w:rsid w:val="00514AFA"/>
    <w:rsid w:val="00515E9C"/>
    <w:rsid w:val="005174E5"/>
    <w:rsid w:val="00520898"/>
    <w:rsid w:val="005211E6"/>
    <w:rsid w:val="00522393"/>
    <w:rsid w:val="00522620"/>
    <w:rsid w:val="00525656"/>
    <w:rsid w:val="00525BBD"/>
    <w:rsid w:val="00525BF3"/>
    <w:rsid w:val="00525DF5"/>
    <w:rsid w:val="00534C02"/>
    <w:rsid w:val="0054044C"/>
    <w:rsid w:val="00541DA1"/>
    <w:rsid w:val="0054264B"/>
    <w:rsid w:val="00543786"/>
    <w:rsid w:val="00545192"/>
    <w:rsid w:val="00545A49"/>
    <w:rsid w:val="005463CC"/>
    <w:rsid w:val="00546D0D"/>
    <w:rsid w:val="0055153A"/>
    <w:rsid w:val="005527D7"/>
    <w:rsid w:val="005533D7"/>
    <w:rsid w:val="00554B63"/>
    <w:rsid w:val="00562CF6"/>
    <w:rsid w:val="0056544B"/>
    <w:rsid w:val="00567177"/>
    <w:rsid w:val="005703DE"/>
    <w:rsid w:val="005710BC"/>
    <w:rsid w:val="00571CD5"/>
    <w:rsid w:val="005723F5"/>
    <w:rsid w:val="005755F1"/>
    <w:rsid w:val="00577AE9"/>
    <w:rsid w:val="00582BBE"/>
    <w:rsid w:val="0058464E"/>
    <w:rsid w:val="0058650E"/>
    <w:rsid w:val="005A01CB"/>
    <w:rsid w:val="005A19A9"/>
    <w:rsid w:val="005A384E"/>
    <w:rsid w:val="005A58FF"/>
    <w:rsid w:val="005A5EAF"/>
    <w:rsid w:val="005A6491"/>
    <w:rsid w:val="005A64C0"/>
    <w:rsid w:val="005A731B"/>
    <w:rsid w:val="005B0B34"/>
    <w:rsid w:val="005B1985"/>
    <w:rsid w:val="005B3C11"/>
    <w:rsid w:val="005B4594"/>
    <w:rsid w:val="005B7280"/>
    <w:rsid w:val="005C1C28"/>
    <w:rsid w:val="005C3A32"/>
    <w:rsid w:val="005C43D0"/>
    <w:rsid w:val="005C6DB5"/>
    <w:rsid w:val="005D3077"/>
    <w:rsid w:val="005D3842"/>
    <w:rsid w:val="005D4D63"/>
    <w:rsid w:val="005E0482"/>
    <w:rsid w:val="005E140F"/>
    <w:rsid w:val="005E19E7"/>
    <w:rsid w:val="005E2392"/>
    <w:rsid w:val="005F3CD8"/>
    <w:rsid w:val="0060073E"/>
    <w:rsid w:val="00601622"/>
    <w:rsid w:val="0060789B"/>
    <w:rsid w:val="0061037E"/>
    <w:rsid w:val="006131CE"/>
    <w:rsid w:val="00613FAA"/>
    <w:rsid w:val="00616C36"/>
    <w:rsid w:val="0061716C"/>
    <w:rsid w:val="006171AF"/>
    <w:rsid w:val="00617868"/>
    <w:rsid w:val="006243A1"/>
    <w:rsid w:val="00626005"/>
    <w:rsid w:val="0063176E"/>
    <w:rsid w:val="00632E56"/>
    <w:rsid w:val="006353F9"/>
    <w:rsid w:val="00635CBA"/>
    <w:rsid w:val="00636EFC"/>
    <w:rsid w:val="00637D40"/>
    <w:rsid w:val="0064307F"/>
    <w:rsid w:val="0064338B"/>
    <w:rsid w:val="00646542"/>
    <w:rsid w:val="006501D4"/>
    <w:rsid w:val="006504F4"/>
    <w:rsid w:val="0065366F"/>
    <w:rsid w:val="00654BC9"/>
    <w:rsid w:val="006552FD"/>
    <w:rsid w:val="00656F0B"/>
    <w:rsid w:val="0065721B"/>
    <w:rsid w:val="00660155"/>
    <w:rsid w:val="0066305C"/>
    <w:rsid w:val="00663733"/>
    <w:rsid w:val="00663AF3"/>
    <w:rsid w:val="0066427D"/>
    <w:rsid w:val="00666B6C"/>
    <w:rsid w:val="00677B54"/>
    <w:rsid w:val="00682682"/>
    <w:rsid w:val="00682702"/>
    <w:rsid w:val="00692368"/>
    <w:rsid w:val="00695192"/>
    <w:rsid w:val="006A2EBC"/>
    <w:rsid w:val="006A327C"/>
    <w:rsid w:val="006A5EA0"/>
    <w:rsid w:val="006A783B"/>
    <w:rsid w:val="006A7B33"/>
    <w:rsid w:val="006B32DF"/>
    <w:rsid w:val="006B497F"/>
    <w:rsid w:val="006B4E13"/>
    <w:rsid w:val="006B75DD"/>
    <w:rsid w:val="006C047C"/>
    <w:rsid w:val="006C3B25"/>
    <w:rsid w:val="006C3D8B"/>
    <w:rsid w:val="006C65D0"/>
    <w:rsid w:val="006C65D5"/>
    <w:rsid w:val="006C67E0"/>
    <w:rsid w:val="006C7ABA"/>
    <w:rsid w:val="006D0A13"/>
    <w:rsid w:val="006D0D60"/>
    <w:rsid w:val="006D1122"/>
    <w:rsid w:val="006D317E"/>
    <w:rsid w:val="006D3B1E"/>
    <w:rsid w:val="006D3C00"/>
    <w:rsid w:val="006E06AD"/>
    <w:rsid w:val="006E1206"/>
    <w:rsid w:val="006E34AB"/>
    <w:rsid w:val="006E3675"/>
    <w:rsid w:val="006E4A7F"/>
    <w:rsid w:val="006E6D31"/>
    <w:rsid w:val="006F0967"/>
    <w:rsid w:val="006F2274"/>
    <w:rsid w:val="006F64A0"/>
    <w:rsid w:val="0070038F"/>
    <w:rsid w:val="007027B1"/>
    <w:rsid w:val="0070286C"/>
    <w:rsid w:val="00704C12"/>
    <w:rsid w:val="00704DF6"/>
    <w:rsid w:val="0070641D"/>
    <w:rsid w:val="0070651C"/>
    <w:rsid w:val="00712970"/>
    <w:rsid w:val="007132A3"/>
    <w:rsid w:val="0071475A"/>
    <w:rsid w:val="00716421"/>
    <w:rsid w:val="00721419"/>
    <w:rsid w:val="007224F2"/>
    <w:rsid w:val="00724EFB"/>
    <w:rsid w:val="00726575"/>
    <w:rsid w:val="00730310"/>
    <w:rsid w:val="00730CB3"/>
    <w:rsid w:val="00740A49"/>
    <w:rsid w:val="007419C3"/>
    <w:rsid w:val="00746559"/>
    <w:rsid w:val="007467A7"/>
    <w:rsid w:val="007469DD"/>
    <w:rsid w:val="0074741B"/>
    <w:rsid w:val="0074759E"/>
    <w:rsid w:val="007478EA"/>
    <w:rsid w:val="0075415C"/>
    <w:rsid w:val="00757097"/>
    <w:rsid w:val="007606CB"/>
    <w:rsid w:val="00761E8B"/>
    <w:rsid w:val="00763502"/>
    <w:rsid w:val="007656A2"/>
    <w:rsid w:val="007779E4"/>
    <w:rsid w:val="00780DE2"/>
    <w:rsid w:val="0078180B"/>
    <w:rsid w:val="00786AA4"/>
    <w:rsid w:val="007913AB"/>
    <w:rsid w:val="007914F7"/>
    <w:rsid w:val="00795C73"/>
    <w:rsid w:val="007A1414"/>
    <w:rsid w:val="007A1B8F"/>
    <w:rsid w:val="007A4809"/>
    <w:rsid w:val="007B1625"/>
    <w:rsid w:val="007B36FE"/>
    <w:rsid w:val="007B44D0"/>
    <w:rsid w:val="007B620D"/>
    <w:rsid w:val="007B706E"/>
    <w:rsid w:val="007B71EB"/>
    <w:rsid w:val="007C0748"/>
    <w:rsid w:val="007C6205"/>
    <w:rsid w:val="007C686A"/>
    <w:rsid w:val="007C7151"/>
    <w:rsid w:val="007C728E"/>
    <w:rsid w:val="007D0BE0"/>
    <w:rsid w:val="007D204F"/>
    <w:rsid w:val="007D2C53"/>
    <w:rsid w:val="007D3BAD"/>
    <w:rsid w:val="007D3D60"/>
    <w:rsid w:val="007E1980"/>
    <w:rsid w:val="007E36EF"/>
    <w:rsid w:val="007E3DB0"/>
    <w:rsid w:val="007E4B76"/>
    <w:rsid w:val="007E5043"/>
    <w:rsid w:val="007E5EA8"/>
    <w:rsid w:val="007F0CF1"/>
    <w:rsid w:val="007F12A5"/>
    <w:rsid w:val="007F2D74"/>
    <w:rsid w:val="007F3FB7"/>
    <w:rsid w:val="007F4CF1"/>
    <w:rsid w:val="007F5430"/>
    <w:rsid w:val="007F5D89"/>
    <w:rsid w:val="007F6744"/>
    <w:rsid w:val="007F758D"/>
    <w:rsid w:val="007F7D52"/>
    <w:rsid w:val="0080484A"/>
    <w:rsid w:val="00805589"/>
    <w:rsid w:val="008057A5"/>
    <w:rsid w:val="00805E2F"/>
    <w:rsid w:val="0080654C"/>
    <w:rsid w:val="008071C6"/>
    <w:rsid w:val="00817A00"/>
    <w:rsid w:val="00820B95"/>
    <w:rsid w:val="00825891"/>
    <w:rsid w:val="00831631"/>
    <w:rsid w:val="0083228D"/>
    <w:rsid w:val="00833D07"/>
    <w:rsid w:val="0083428C"/>
    <w:rsid w:val="00835DB3"/>
    <w:rsid w:val="0083617B"/>
    <w:rsid w:val="00836342"/>
    <w:rsid w:val="00836A2D"/>
    <w:rsid w:val="008371BD"/>
    <w:rsid w:val="008374AD"/>
    <w:rsid w:val="00840EBF"/>
    <w:rsid w:val="00841AC3"/>
    <w:rsid w:val="008422EF"/>
    <w:rsid w:val="008504A8"/>
    <w:rsid w:val="00851470"/>
    <w:rsid w:val="00851B58"/>
    <w:rsid w:val="0085282E"/>
    <w:rsid w:val="00861C06"/>
    <w:rsid w:val="00864242"/>
    <w:rsid w:val="00867088"/>
    <w:rsid w:val="00867538"/>
    <w:rsid w:val="0087184C"/>
    <w:rsid w:val="0087198C"/>
    <w:rsid w:val="00872C1F"/>
    <w:rsid w:val="00873B42"/>
    <w:rsid w:val="00875367"/>
    <w:rsid w:val="00877CB0"/>
    <w:rsid w:val="008803E6"/>
    <w:rsid w:val="008805AC"/>
    <w:rsid w:val="00880D1A"/>
    <w:rsid w:val="008833B6"/>
    <w:rsid w:val="00884468"/>
    <w:rsid w:val="008856D8"/>
    <w:rsid w:val="0088612F"/>
    <w:rsid w:val="00892E82"/>
    <w:rsid w:val="00893277"/>
    <w:rsid w:val="00895FA9"/>
    <w:rsid w:val="008A1035"/>
    <w:rsid w:val="008A6E08"/>
    <w:rsid w:val="008B2B1B"/>
    <w:rsid w:val="008B70BD"/>
    <w:rsid w:val="008C03A5"/>
    <w:rsid w:val="008C0BE9"/>
    <w:rsid w:val="008C1B58"/>
    <w:rsid w:val="008C39AE"/>
    <w:rsid w:val="008C40DF"/>
    <w:rsid w:val="008C590D"/>
    <w:rsid w:val="008C736E"/>
    <w:rsid w:val="008D2BFD"/>
    <w:rsid w:val="008D447E"/>
    <w:rsid w:val="008D7566"/>
    <w:rsid w:val="008E031B"/>
    <w:rsid w:val="008E0560"/>
    <w:rsid w:val="008E2D8C"/>
    <w:rsid w:val="008E401F"/>
    <w:rsid w:val="008E7029"/>
    <w:rsid w:val="008E7EF6"/>
    <w:rsid w:val="008F1F98"/>
    <w:rsid w:val="008F2340"/>
    <w:rsid w:val="008F2790"/>
    <w:rsid w:val="008F6758"/>
    <w:rsid w:val="00901478"/>
    <w:rsid w:val="00904075"/>
    <w:rsid w:val="009040DD"/>
    <w:rsid w:val="00905B47"/>
    <w:rsid w:val="0090690F"/>
    <w:rsid w:val="00910CE9"/>
    <w:rsid w:val="00911391"/>
    <w:rsid w:val="00911D95"/>
    <w:rsid w:val="0091331C"/>
    <w:rsid w:val="009137BD"/>
    <w:rsid w:val="0091503D"/>
    <w:rsid w:val="00920839"/>
    <w:rsid w:val="00923BEB"/>
    <w:rsid w:val="00925DB2"/>
    <w:rsid w:val="009279DE"/>
    <w:rsid w:val="00927AB9"/>
    <w:rsid w:val="00927B37"/>
    <w:rsid w:val="00930116"/>
    <w:rsid w:val="00930625"/>
    <w:rsid w:val="009325CC"/>
    <w:rsid w:val="00937583"/>
    <w:rsid w:val="00941082"/>
    <w:rsid w:val="009419D3"/>
    <w:rsid w:val="0094212C"/>
    <w:rsid w:val="00944853"/>
    <w:rsid w:val="0094609D"/>
    <w:rsid w:val="0094666A"/>
    <w:rsid w:val="0095378C"/>
    <w:rsid w:val="00954689"/>
    <w:rsid w:val="0095472A"/>
    <w:rsid w:val="0096085A"/>
    <w:rsid w:val="00960A1B"/>
    <w:rsid w:val="009617C9"/>
    <w:rsid w:val="00961C93"/>
    <w:rsid w:val="00962B4E"/>
    <w:rsid w:val="00965324"/>
    <w:rsid w:val="009704E1"/>
    <w:rsid w:val="0097091E"/>
    <w:rsid w:val="009760D3"/>
    <w:rsid w:val="00977132"/>
    <w:rsid w:val="00981A4B"/>
    <w:rsid w:val="00982250"/>
    <w:rsid w:val="00982501"/>
    <w:rsid w:val="00983D33"/>
    <w:rsid w:val="00984358"/>
    <w:rsid w:val="00984F83"/>
    <w:rsid w:val="009877D3"/>
    <w:rsid w:val="009915E6"/>
    <w:rsid w:val="00994E8F"/>
    <w:rsid w:val="009951DC"/>
    <w:rsid w:val="009959BB"/>
    <w:rsid w:val="00997158"/>
    <w:rsid w:val="009A0827"/>
    <w:rsid w:val="009A3A7C"/>
    <w:rsid w:val="009A5D33"/>
    <w:rsid w:val="009A7D84"/>
    <w:rsid w:val="009B2323"/>
    <w:rsid w:val="009B2ADB"/>
    <w:rsid w:val="009B34BB"/>
    <w:rsid w:val="009B43BA"/>
    <w:rsid w:val="009B603A"/>
    <w:rsid w:val="009C2D0E"/>
    <w:rsid w:val="009C3018"/>
    <w:rsid w:val="009C3DAC"/>
    <w:rsid w:val="009C42E0"/>
    <w:rsid w:val="009C53B5"/>
    <w:rsid w:val="009C6107"/>
    <w:rsid w:val="009C7A9B"/>
    <w:rsid w:val="009D3230"/>
    <w:rsid w:val="009D5362"/>
    <w:rsid w:val="009E1415"/>
    <w:rsid w:val="009E6116"/>
    <w:rsid w:val="009E69EA"/>
    <w:rsid w:val="009E7E25"/>
    <w:rsid w:val="009F4944"/>
    <w:rsid w:val="00A02E43"/>
    <w:rsid w:val="00A05368"/>
    <w:rsid w:val="00A065F9"/>
    <w:rsid w:val="00A06CD4"/>
    <w:rsid w:val="00A07011"/>
    <w:rsid w:val="00A07F34"/>
    <w:rsid w:val="00A132C5"/>
    <w:rsid w:val="00A22154"/>
    <w:rsid w:val="00A24058"/>
    <w:rsid w:val="00A25C38"/>
    <w:rsid w:val="00A26108"/>
    <w:rsid w:val="00A35824"/>
    <w:rsid w:val="00A36BBE"/>
    <w:rsid w:val="00A37C20"/>
    <w:rsid w:val="00A37C8C"/>
    <w:rsid w:val="00A40D9E"/>
    <w:rsid w:val="00A41DF7"/>
    <w:rsid w:val="00A420B1"/>
    <w:rsid w:val="00A42ECA"/>
    <w:rsid w:val="00A4307A"/>
    <w:rsid w:val="00A46001"/>
    <w:rsid w:val="00A46DEF"/>
    <w:rsid w:val="00A47EBB"/>
    <w:rsid w:val="00A51CDD"/>
    <w:rsid w:val="00A563F8"/>
    <w:rsid w:val="00A56BBA"/>
    <w:rsid w:val="00A57635"/>
    <w:rsid w:val="00A6730D"/>
    <w:rsid w:val="00A71625"/>
    <w:rsid w:val="00A71B9B"/>
    <w:rsid w:val="00A72C1F"/>
    <w:rsid w:val="00A73F90"/>
    <w:rsid w:val="00A751C7"/>
    <w:rsid w:val="00A75D62"/>
    <w:rsid w:val="00A80008"/>
    <w:rsid w:val="00A84CE5"/>
    <w:rsid w:val="00A87844"/>
    <w:rsid w:val="00A91C86"/>
    <w:rsid w:val="00A9227B"/>
    <w:rsid w:val="00A97A55"/>
    <w:rsid w:val="00AA038C"/>
    <w:rsid w:val="00AA52C9"/>
    <w:rsid w:val="00AA69AF"/>
    <w:rsid w:val="00AA7A09"/>
    <w:rsid w:val="00AB015F"/>
    <w:rsid w:val="00AB1CC9"/>
    <w:rsid w:val="00AB3B50"/>
    <w:rsid w:val="00AC05B1"/>
    <w:rsid w:val="00AC450C"/>
    <w:rsid w:val="00AD340B"/>
    <w:rsid w:val="00AD356C"/>
    <w:rsid w:val="00AD3E3C"/>
    <w:rsid w:val="00AE2914"/>
    <w:rsid w:val="00AE2C40"/>
    <w:rsid w:val="00AE6D15"/>
    <w:rsid w:val="00AE7023"/>
    <w:rsid w:val="00AE78AA"/>
    <w:rsid w:val="00AF0EF3"/>
    <w:rsid w:val="00AF1F49"/>
    <w:rsid w:val="00AF2D81"/>
    <w:rsid w:val="00AF52BE"/>
    <w:rsid w:val="00B0161B"/>
    <w:rsid w:val="00B04182"/>
    <w:rsid w:val="00B05ECF"/>
    <w:rsid w:val="00B07AE3"/>
    <w:rsid w:val="00B11430"/>
    <w:rsid w:val="00B12A5D"/>
    <w:rsid w:val="00B16C49"/>
    <w:rsid w:val="00B242F4"/>
    <w:rsid w:val="00B2477A"/>
    <w:rsid w:val="00B24D1C"/>
    <w:rsid w:val="00B30072"/>
    <w:rsid w:val="00B30481"/>
    <w:rsid w:val="00B30B4C"/>
    <w:rsid w:val="00B3312F"/>
    <w:rsid w:val="00B353EB"/>
    <w:rsid w:val="00B4016F"/>
    <w:rsid w:val="00B407AC"/>
    <w:rsid w:val="00B439C4"/>
    <w:rsid w:val="00B44C68"/>
    <w:rsid w:val="00B4535E"/>
    <w:rsid w:val="00B52093"/>
    <w:rsid w:val="00B52A8C"/>
    <w:rsid w:val="00B541A4"/>
    <w:rsid w:val="00B54707"/>
    <w:rsid w:val="00B548F6"/>
    <w:rsid w:val="00B56155"/>
    <w:rsid w:val="00B62F11"/>
    <w:rsid w:val="00B62F2D"/>
    <w:rsid w:val="00B63042"/>
    <w:rsid w:val="00B636A8"/>
    <w:rsid w:val="00B665C6"/>
    <w:rsid w:val="00B72AD8"/>
    <w:rsid w:val="00B74441"/>
    <w:rsid w:val="00B758A5"/>
    <w:rsid w:val="00B805AF"/>
    <w:rsid w:val="00B82BD5"/>
    <w:rsid w:val="00B869EC"/>
    <w:rsid w:val="00B92383"/>
    <w:rsid w:val="00B9261C"/>
    <w:rsid w:val="00B9397A"/>
    <w:rsid w:val="00B9633D"/>
    <w:rsid w:val="00B967D5"/>
    <w:rsid w:val="00BA2EBE"/>
    <w:rsid w:val="00BB0F28"/>
    <w:rsid w:val="00BB3DC5"/>
    <w:rsid w:val="00BB458A"/>
    <w:rsid w:val="00BB5EA0"/>
    <w:rsid w:val="00BB693F"/>
    <w:rsid w:val="00BB6C11"/>
    <w:rsid w:val="00BC5953"/>
    <w:rsid w:val="00BD00D3"/>
    <w:rsid w:val="00BD0C9D"/>
    <w:rsid w:val="00BD1526"/>
    <w:rsid w:val="00BD1659"/>
    <w:rsid w:val="00BD2E1D"/>
    <w:rsid w:val="00BD35D6"/>
    <w:rsid w:val="00BD3AA9"/>
    <w:rsid w:val="00BD4A18"/>
    <w:rsid w:val="00BD6DB2"/>
    <w:rsid w:val="00BD6F86"/>
    <w:rsid w:val="00BD73A1"/>
    <w:rsid w:val="00BE11CF"/>
    <w:rsid w:val="00BE21AB"/>
    <w:rsid w:val="00BE55CB"/>
    <w:rsid w:val="00BE7067"/>
    <w:rsid w:val="00BF3BB2"/>
    <w:rsid w:val="00BF617A"/>
    <w:rsid w:val="00C0379D"/>
    <w:rsid w:val="00C03931"/>
    <w:rsid w:val="00C05FE3"/>
    <w:rsid w:val="00C11DA9"/>
    <w:rsid w:val="00C20ECF"/>
    <w:rsid w:val="00C2136D"/>
    <w:rsid w:val="00C214EE"/>
    <w:rsid w:val="00C2226F"/>
    <w:rsid w:val="00C22B2E"/>
    <w:rsid w:val="00C2314B"/>
    <w:rsid w:val="00C244A0"/>
    <w:rsid w:val="00C24971"/>
    <w:rsid w:val="00C25355"/>
    <w:rsid w:val="00C26BE5"/>
    <w:rsid w:val="00C26E4D"/>
    <w:rsid w:val="00C27909"/>
    <w:rsid w:val="00C27B03"/>
    <w:rsid w:val="00C314E1"/>
    <w:rsid w:val="00C34397"/>
    <w:rsid w:val="00C40503"/>
    <w:rsid w:val="00C4095D"/>
    <w:rsid w:val="00C41396"/>
    <w:rsid w:val="00C57A9C"/>
    <w:rsid w:val="00C601D2"/>
    <w:rsid w:val="00C6166B"/>
    <w:rsid w:val="00C65BCC"/>
    <w:rsid w:val="00C66970"/>
    <w:rsid w:val="00C702CF"/>
    <w:rsid w:val="00C71F4D"/>
    <w:rsid w:val="00C72BD0"/>
    <w:rsid w:val="00C77588"/>
    <w:rsid w:val="00C85C5D"/>
    <w:rsid w:val="00C8691C"/>
    <w:rsid w:val="00C86CB4"/>
    <w:rsid w:val="00C93D34"/>
    <w:rsid w:val="00C96295"/>
    <w:rsid w:val="00C96364"/>
    <w:rsid w:val="00CA03DF"/>
    <w:rsid w:val="00CA168A"/>
    <w:rsid w:val="00CA2097"/>
    <w:rsid w:val="00CA357E"/>
    <w:rsid w:val="00CA44F9"/>
    <w:rsid w:val="00CA4A69"/>
    <w:rsid w:val="00CB2260"/>
    <w:rsid w:val="00CB722E"/>
    <w:rsid w:val="00CC3E0C"/>
    <w:rsid w:val="00CC58D3"/>
    <w:rsid w:val="00CC784D"/>
    <w:rsid w:val="00CD13A1"/>
    <w:rsid w:val="00CD3EF2"/>
    <w:rsid w:val="00CE0188"/>
    <w:rsid w:val="00CF1E15"/>
    <w:rsid w:val="00CF7725"/>
    <w:rsid w:val="00D00A8D"/>
    <w:rsid w:val="00D016C2"/>
    <w:rsid w:val="00D03268"/>
    <w:rsid w:val="00D0337B"/>
    <w:rsid w:val="00D05FCF"/>
    <w:rsid w:val="00D07777"/>
    <w:rsid w:val="00D079B2"/>
    <w:rsid w:val="00D114E9"/>
    <w:rsid w:val="00D14185"/>
    <w:rsid w:val="00D17CD8"/>
    <w:rsid w:val="00D226E2"/>
    <w:rsid w:val="00D2527C"/>
    <w:rsid w:val="00D313B3"/>
    <w:rsid w:val="00D341A3"/>
    <w:rsid w:val="00D34505"/>
    <w:rsid w:val="00D35763"/>
    <w:rsid w:val="00D35B8E"/>
    <w:rsid w:val="00D37DC7"/>
    <w:rsid w:val="00D40F07"/>
    <w:rsid w:val="00D4146D"/>
    <w:rsid w:val="00D429C6"/>
    <w:rsid w:val="00D44801"/>
    <w:rsid w:val="00D47748"/>
    <w:rsid w:val="00D5178F"/>
    <w:rsid w:val="00D518DF"/>
    <w:rsid w:val="00D54B0F"/>
    <w:rsid w:val="00D54CC3"/>
    <w:rsid w:val="00D6041A"/>
    <w:rsid w:val="00D61258"/>
    <w:rsid w:val="00D633EB"/>
    <w:rsid w:val="00D67E10"/>
    <w:rsid w:val="00D71FC7"/>
    <w:rsid w:val="00D736AC"/>
    <w:rsid w:val="00D747AA"/>
    <w:rsid w:val="00D75A7E"/>
    <w:rsid w:val="00D82FF7"/>
    <w:rsid w:val="00D83C6F"/>
    <w:rsid w:val="00D84271"/>
    <w:rsid w:val="00D847FE"/>
    <w:rsid w:val="00D86B9C"/>
    <w:rsid w:val="00D86CDA"/>
    <w:rsid w:val="00D900CD"/>
    <w:rsid w:val="00D90A39"/>
    <w:rsid w:val="00D91872"/>
    <w:rsid w:val="00D964EA"/>
    <w:rsid w:val="00D966D0"/>
    <w:rsid w:val="00DA0C59"/>
    <w:rsid w:val="00DA3991"/>
    <w:rsid w:val="00DA72A1"/>
    <w:rsid w:val="00DA7F95"/>
    <w:rsid w:val="00DB01F1"/>
    <w:rsid w:val="00DB3222"/>
    <w:rsid w:val="00DB7E6C"/>
    <w:rsid w:val="00DC0949"/>
    <w:rsid w:val="00DC4F68"/>
    <w:rsid w:val="00DC5E64"/>
    <w:rsid w:val="00DC64B0"/>
    <w:rsid w:val="00DC6B1E"/>
    <w:rsid w:val="00DD252A"/>
    <w:rsid w:val="00DD26FF"/>
    <w:rsid w:val="00DD5949"/>
    <w:rsid w:val="00DD5A29"/>
    <w:rsid w:val="00DD5D9D"/>
    <w:rsid w:val="00DE35CB"/>
    <w:rsid w:val="00DF0EF0"/>
    <w:rsid w:val="00DF21E9"/>
    <w:rsid w:val="00DF22C7"/>
    <w:rsid w:val="00DF5588"/>
    <w:rsid w:val="00DF5CC9"/>
    <w:rsid w:val="00E005D3"/>
    <w:rsid w:val="00E00F14"/>
    <w:rsid w:val="00E01CB8"/>
    <w:rsid w:val="00E049E3"/>
    <w:rsid w:val="00E062DE"/>
    <w:rsid w:val="00E06386"/>
    <w:rsid w:val="00E075C5"/>
    <w:rsid w:val="00E1051A"/>
    <w:rsid w:val="00E111F3"/>
    <w:rsid w:val="00E11668"/>
    <w:rsid w:val="00E118E7"/>
    <w:rsid w:val="00E122B7"/>
    <w:rsid w:val="00E150DF"/>
    <w:rsid w:val="00E16C9B"/>
    <w:rsid w:val="00E21B55"/>
    <w:rsid w:val="00E221D3"/>
    <w:rsid w:val="00E24EB4"/>
    <w:rsid w:val="00E27BC0"/>
    <w:rsid w:val="00E30635"/>
    <w:rsid w:val="00E320ED"/>
    <w:rsid w:val="00E33AFB"/>
    <w:rsid w:val="00E34218"/>
    <w:rsid w:val="00E4008C"/>
    <w:rsid w:val="00E4555B"/>
    <w:rsid w:val="00E46282"/>
    <w:rsid w:val="00E5216E"/>
    <w:rsid w:val="00E5529C"/>
    <w:rsid w:val="00E64E43"/>
    <w:rsid w:val="00E657C6"/>
    <w:rsid w:val="00E75D40"/>
    <w:rsid w:val="00E7770A"/>
    <w:rsid w:val="00E81965"/>
    <w:rsid w:val="00E81A88"/>
    <w:rsid w:val="00E82344"/>
    <w:rsid w:val="00E84C82"/>
    <w:rsid w:val="00E84D64"/>
    <w:rsid w:val="00E856C8"/>
    <w:rsid w:val="00E87408"/>
    <w:rsid w:val="00E87CF7"/>
    <w:rsid w:val="00E914C4"/>
    <w:rsid w:val="00E929DA"/>
    <w:rsid w:val="00E934F5"/>
    <w:rsid w:val="00E96961"/>
    <w:rsid w:val="00E976F2"/>
    <w:rsid w:val="00EA0121"/>
    <w:rsid w:val="00EA72EC"/>
    <w:rsid w:val="00EB11CB"/>
    <w:rsid w:val="00EB1C71"/>
    <w:rsid w:val="00EB275A"/>
    <w:rsid w:val="00EB57CA"/>
    <w:rsid w:val="00EB786A"/>
    <w:rsid w:val="00EC1578"/>
    <w:rsid w:val="00EC1BFC"/>
    <w:rsid w:val="00EC1C72"/>
    <w:rsid w:val="00EC3356"/>
    <w:rsid w:val="00EC3CC9"/>
    <w:rsid w:val="00EC5D85"/>
    <w:rsid w:val="00EC680A"/>
    <w:rsid w:val="00ED511C"/>
    <w:rsid w:val="00ED7229"/>
    <w:rsid w:val="00EE25CB"/>
    <w:rsid w:val="00EE2BED"/>
    <w:rsid w:val="00EE374B"/>
    <w:rsid w:val="00EE3DB6"/>
    <w:rsid w:val="00EE4A87"/>
    <w:rsid w:val="00EF2869"/>
    <w:rsid w:val="00EF67BD"/>
    <w:rsid w:val="00EF6DC8"/>
    <w:rsid w:val="00F05D60"/>
    <w:rsid w:val="00F07224"/>
    <w:rsid w:val="00F07FD3"/>
    <w:rsid w:val="00F11BB5"/>
    <w:rsid w:val="00F1296C"/>
    <w:rsid w:val="00F1417B"/>
    <w:rsid w:val="00F14A99"/>
    <w:rsid w:val="00F1712D"/>
    <w:rsid w:val="00F17A17"/>
    <w:rsid w:val="00F208A0"/>
    <w:rsid w:val="00F2115E"/>
    <w:rsid w:val="00F27B3D"/>
    <w:rsid w:val="00F30ABD"/>
    <w:rsid w:val="00F34728"/>
    <w:rsid w:val="00F34B99"/>
    <w:rsid w:val="00F3567A"/>
    <w:rsid w:val="00F40B02"/>
    <w:rsid w:val="00F41E81"/>
    <w:rsid w:val="00F42987"/>
    <w:rsid w:val="00F508D5"/>
    <w:rsid w:val="00F51720"/>
    <w:rsid w:val="00F51CF2"/>
    <w:rsid w:val="00F52DAB"/>
    <w:rsid w:val="00F543F0"/>
    <w:rsid w:val="00F55E3E"/>
    <w:rsid w:val="00F56BD5"/>
    <w:rsid w:val="00F57601"/>
    <w:rsid w:val="00F645F0"/>
    <w:rsid w:val="00F6654F"/>
    <w:rsid w:val="00F66940"/>
    <w:rsid w:val="00F7028B"/>
    <w:rsid w:val="00F73F99"/>
    <w:rsid w:val="00F75F80"/>
    <w:rsid w:val="00F81D29"/>
    <w:rsid w:val="00F851E6"/>
    <w:rsid w:val="00F863C8"/>
    <w:rsid w:val="00F90BE5"/>
    <w:rsid w:val="00F91C4D"/>
    <w:rsid w:val="00F92FD9"/>
    <w:rsid w:val="00F97969"/>
    <w:rsid w:val="00FA37B1"/>
    <w:rsid w:val="00FA3E0B"/>
    <w:rsid w:val="00FA5C60"/>
    <w:rsid w:val="00FA5EF7"/>
    <w:rsid w:val="00FA6684"/>
    <w:rsid w:val="00FA731E"/>
    <w:rsid w:val="00FA7BD0"/>
    <w:rsid w:val="00FB0E6D"/>
    <w:rsid w:val="00FB1DCF"/>
    <w:rsid w:val="00FB2B38"/>
    <w:rsid w:val="00FB61CE"/>
    <w:rsid w:val="00FB7A07"/>
    <w:rsid w:val="00FC04CC"/>
    <w:rsid w:val="00FC1C08"/>
    <w:rsid w:val="00FC2066"/>
    <w:rsid w:val="00FC417F"/>
    <w:rsid w:val="00FC6358"/>
    <w:rsid w:val="00FD1381"/>
    <w:rsid w:val="00FD320D"/>
    <w:rsid w:val="00FD636F"/>
    <w:rsid w:val="00FE1B98"/>
    <w:rsid w:val="00FE23DE"/>
    <w:rsid w:val="00FF0F00"/>
    <w:rsid w:val="00FF1801"/>
    <w:rsid w:val="00FF6842"/>
    <w:rsid w:val="0157007E"/>
    <w:rsid w:val="019B34F1"/>
    <w:rsid w:val="020329C3"/>
    <w:rsid w:val="020400EB"/>
    <w:rsid w:val="03F67248"/>
    <w:rsid w:val="04E12D5D"/>
    <w:rsid w:val="04E61B5C"/>
    <w:rsid w:val="05356E23"/>
    <w:rsid w:val="05D90BCF"/>
    <w:rsid w:val="069A1417"/>
    <w:rsid w:val="06DA075B"/>
    <w:rsid w:val="074D717F"/>
    <w:rsid w:val="08915791"/>
    <w:rsid w:val="09B71227"/>
    <w:rsid w:val="0A7E11C5"/>
    <w:rsid w:val="0AD41965"/>
    <w:rsid w:val="0B0C6306"/>
    <w:rsid w:val="0B2941AB"/>
    <w:rsid w:val="0B9F0C29"/>
    <w:rsid w:val="0BA13F3D"/>
    <w:rsid w:val="0CB61863"/>
    <w:rsid w:val="0DA463B3"/>
    <w:rsid w:val="0DAD4E1B"/>
    <w:rsid w:val="0F370F9B"/>
    <w:rsid w:val="0FDFE074"/>
    <w:rsid w:val="11477335"/>
    <w:rsid w:val="11CC3396"/>
    <w:rsid w:val="11DE5260"/>
    <w:rsid w:val="121C3151"/>
    <w:rsid w:val="128D50B2"/>
    <w:rsid w:val="15656E90"/>
    <w:rsid w:val="15F747E1"/>
    <w:rsid w:val="168E04EE"/>
    <w:rsid w:val="16EF0253"/>
    <w:rsid w:val="17574CF6"/>
    <w:rsid w:val="17707C11"/>
    <w:rsid w:val="17724CFC"/>
    <w:rsid w:val="17742506"/>
    <w:rsid w:val="18716D59"/>
    <w:rsid w:val="18E6320F"/>
    <w:rsid w:val="1B985DE5"/>
    <w:rsid w:val="1C7F7983"/>
    <w:rsid w:val="1C8B4472"/>
    <w:rsid w:val="1C9C0B0B"/>
    <w:rsid w:val="1DE93281"/>
    <w:rsid w:val="20B3763C"/>
    <w:rsid w:val="220B4F4D"/>
    <w:rsid w:val="22521696"/>
    <w:rsid w:val="23D96DC6"/>
    <w:rsid w:val="24AF6C26"/>
    <w:rsid w:val="25E53A11"/>
    <w:rsid w:val="261F5535"/>
    <w:rsid w:val="27F9741F"/>
    <w:rsid w:val="28085CE1"/>
    <w:rsid w:val="282E0646"/>
    <w:rsid w:val="28B27332"/>
    <w:rsid w:val="2963504F"/>
    <w:rsid w:val="29BB6FF2"/>
    <w:rsid w:val="2A0F7B8F"/>
    <w:rsid w:val="2A5065EA"/>
    <w:rsid w:val="2BA2569A"/>
    <w:rsid w:val="2BC2163A"/>
    <w:rsid w:val="2C697D08"/>
    <w:rsid w:val="2EE8585B"/>
    <w:rsid w:val="300E12F2"/>
    <w:rsid w:val="305C56E5"/>
    <w:rsid w:val="30E360F6"/>
    <w:rsid w:val="314074A4"/>
    <w:rsid w:val="31EE033E"/>
    <w:rsid w:val="31EF0CAF"/>
    <w:rsid w:val="32237EEC"/>
    <w:rsid w:val="32436DEB"/>
    <w:rsid w:val="32E64E60"/>
    <w:rsid w:val="33D4015C"/>
    <w:rsid w:val="33FD796C"/>
    <w:rsid w:val="349F6E14"/>
    <w:rsid w:val="34CA3574"/>
    <w:rsid w:val="34CF7FE8"/>
    <w:rsid w:val="35425F45"/>
    <w:rsid w:val="357224A8"/>
    <w:rsid w:val="357379FB"/>
    <w:rsid w:val="36B323CB"/>
    <w:rsid w:val="37177676"/>
    <w:rsid w:val="381B6C7B"/>
    <w:rsid w:val="383B2EA0"/>
    <w:rsid w:val="38DC57DF"/>
    <w:rsid w:val="38EE6601"/>
    <w:rsid w:val="3D0D3B1B"/>
    <w:rsid w:val="3D4150C0"/>
    <w:rsid w:val="3DF83393"/>
    <w:rsid w:val="3E166D09"/>
    <w:rsid w:val="3E66679D"/>
    <w:rsid w:val="3F165ACD"/>
    <w:rsid w:val="3F620D12"/>
    <w:rsid w:val="3F830C89"/>
    <w:rsid w:val="40EC4D8A"/>
    <w:rsid w:val="41202904"/>
    <w:rsid w:val="414307E1"/>
    <w:rsid w:val="4156050F"/>
    <w:rsid w:val="41A623E5"/>
    <w:rsid w:val="42E924B6"/>
    <w:rsid w:val="43302ED5"/>
    <w:rsid w:val="433B4241"/>
    <w:rsid w:val="442742D8"/>
    <w:rsid w:val="449F30C2"/>
    <w:rsid w:val="4614088C"/>
    <w:rsid w:val="47F620EF"/>
    <w:rsid w:val="47FC60B5"/>
    <w:rsid w:val="484D2BCE"/>
    <w:rsid w:val="4912270F"/>
    <w:rsid w:val="495F53D4"/>
    <w:rsid w:val="49622405"/>
    <w:rsid w:val="4AFD3C08"/>
    <w:rsid w:val="4B910729"/>
    <w:rsid w:val="4BBF7FF2"/>
    <w:rsid w:val="4C6A7B1C"/>
    <w:rsid w:val="4CAA17AB"/>
    <w:rsid w:val="4ED0324E"/>
    <w:rsid w:val="4F35384A"/>
    <w:rsid w:val="4F7E3B05"/>
    <w:rsid w:val="506A5923"/>
    <w:rsid w:val="52AF4676"/>
    <w:rsid w:val="5338405F"/>
    <w:rsid w:val="550B7314"/>
    <w:rsid w:val="552F56E3"/>
    <w:rsid w:val="557650C0"/>
    <w:rsid w:val="559C03A2"/>
    <w:rsid w:val="561E7341"/>
    <w:rsid w:val="573B036F"/>
    <w:rsid w:val="57B37B20"/>
    <w:rsid w:val="57EE3633"/>
    <w:rsid w:val="583F3E8F"/>
    <w:rsid w:val="59086FF4"/>
    <w:rsid w:val="590A19D5"/>
    <w:rsid w:val="59597D14"/>
    <w:rsid w:val="597650F7"/>
    <w:rsid w:val="5A3E208E"/>
    <w:rsid w:val="5A8826BF"/>
    <w:rsid w:val="5B184523"/>
    <w:rsid w:val="5B7AEA0C"/>
    <w:rsid w:val="5BDC6015"/>
    <w:rsid w:val="5CB43976"/>
    <w:rsid w:val="5CB70498"/>
    <w:rsid w:val="5CF50FC0"/>
    <w:rsid w:val="5DD829B1"/>
    <w:rsid w:val="5E192A8C"/>
    <w:rsid w:val="5E9DB036"/>
    <w:rsid w:val="5ED74E21"/>
    <w:rsid w:val="5FB62DFE"/>
    <w:rsid w:val="60134202"/>
    <w:rsid w:val="615A7643"/>
    <w:rsid w:val="625F38F5"/>
    <w:rsid w:val="629B6AD0"/>
    <w:rsid w:val="633443D1"/>
    <w:rsid w:val="63A51C9D"/>
    <w:rsid w:val="63FD2609"/>
    <w:rsid w:val="64AB6C39"/>
    <w:rsid w:val="64CB6B6D"/>
    <w:rsid w:val="65982E30"/>
    <w:rsid w:val="65B85280"/>
    <w:rsid w:val="669B2BD8"/>
    <w:rsid w:val="679A656E"/>
    <w:rsid w:val="67A7295A"/>
    <w:rsid w:val="67AD6352"/>
    <w:rsid w:val="67B26749"/>
    <w:rsid w:val="67BC5BC7"/>
    <w:rsid w:val="69AF6B9C"/>
    <w:rsid w:val="69F17C5C"/>
    <w:rsid w:val="6B4D1FC7"/>
    <w:rsid w:val="6B632BFF"/>
    <w:rsid w:val="6BDFE279"/>
    <w:rsid w:val="6C1653E3"/>
    <w:rsid w:val="6D050AA7"/>
    <w:rsid w:val="6DB1683D"/>
    <w:rsid w:val="6DC24EEE"/>
    <w:rsid w:val="6DF3170E"/>
    <w:rsid w:val="6E3657C6"/>
    <w:rsid w:val="6E3C26AA"/>
    <w:rsid w:val="6EED7D49"/>
    <w:rsid w:val="6F4F630E"/>
    <w:rsid w:val="6F6A3CD1"/>
    <w:rsid w:val="6FC860C0"/>
    <w:rsid w:val="6FD97CC8"/>
    <w:rsid w:val="6FDF512A"/>
    <w:rsid w:val="6FFD90F8"/>
    <w:rsid w:val="705D0EFE"/>
    <w:rsid w:val="709541F4"/>
    <w:rsid w:val="71E77CC8"/>
    <w:rsid w:val="720D425E"/>
    <w:rsid w:val="73FB4CB6"/>
    <w:rsid w:val="74156498"/>
    <w:rsid w:val="74873610"/>
    <w:rsid w:val="74E72C8F"/>
    <w:rsid w:val="760B72B1"/>
    <w:rsid w:val="77FADB94"/>
    <w:rsid w:val="78591FAB"/>
    <w:rsid w:val="78FED31C"/>
    <w:rsid w:val="7A681183"/>
    <w:rsid w:val="7AD7039B"/>
    <w:rsid w:val="7B040692"/>
    <w:rsid w:val="7B8008E5"/>
    <w:rsid w:val="7CF404F4"/>
    <w:rsid w:val="7D001439"/>
    <w:rsid w:val="7D450D50"/>
    <w:rsid w:val="7D605B8A"/>
    <w:rsid w:val="7DAF30C1"/>
    <w:rsid w:val="7DC20CC7"/>
    <w:rsid w:val="7EB77328"/>
    <w:rsid w:val="7F6D458E"/>
    <w:rsid w:val="7FEA5BDF"/>
    <w:rsid w:val="7FEC1957"/>
    <w:rsid w:val="7FFF0222"/>
    <w:rsid w:val="AF2EACA3"/>
    <w:rsid w:val="B5FFC6FA"/>
    <w:rsid w:val="BA7B23C6"/>
    <w:rsid w:val="D9BBD3F4"/>
    <w:rsid w:val="DD7D98A7"/>
    <w:rsid w:val="E354DC2C"/>
    <w:rsid w:val="ECFD588F"/>
    <w:rsid w:val="ED79E346"/>
    <w:rsid w:val="EEEB7046"/>
    <w:rsid w:val="EEFBD283"/>
    <w:rsid w:val="EF7A9637"/>
    <w:rsid w:val="EFF5BE2B"/>
    <w:rsid w:val="F37938E3"/>
    <w:rsid w:val="F5DDCCBF"/>
    <w:rsid w:val="F5F6DFA2"/>
    <w:rsid w:val="F7FFB2FC"/>
    <w:rsid w:val="FBFDCE1B"/>
    <w:rsid w:val="FF3B495D"/>
    <w:rsid w:val="FF75C9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semiHidden="0" w:name="footnote text"/>
    <w:lsdException w:qFormat="1" w:uiPriority="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iPriority="0" w:name="annotation reference"/>
    <w:lsdException w:uiPriority="0" w:name="line number"/>
    <w:lsdException w:qFormat="1" w:unhideWhenUsed="0" w:uiPriority="0" w:semiHidden="0" w:name="page number"/>
    <w:lsdException w:qFormat="1" w:unhideWhenUsed="0" w:uiPriority="0" w:name="endnote reference"/>
    <w:lsdException w:qFormat="1" w:unhideWhenUsed="0"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52"/>
    <w:qFormat/>
    <w:uiPriority w:val="0"/>
    <w:pPr>
      <w:keepNext/>
      <w:keepLines/>
      <w:spacing w:before="340" w:after="330" w:line="578" w:lineRule="auto"/>
      <w:outlineLvl w:val="0"/>
    </w:pPr>
    <w:rPr>
      <w:b/>
      <w:bCs/>
      <w:kern w:val="44"/>
      <w:sz w:val="44"/>
      <w:szCs w:val="44"/>
    </w:rPr>
  </w:style>
  <w:style w:type="paragraph" w:styleId="3">
    <w:name w:val="heading 2"/>
    <w:basedOn w:val="1"/>
    <w:next w:val="1"/>
    <w:semiHidden/>
    <w:unhideWhenUsed/>
    <w:qFormat/>
    <w:uiPriority w:val="0"/>
    <w:pPr>
      <w:spacing w:beforeAutospacing="1" w:afterAutospacing="1"/>
      <w:jc w:val="left"/>
      <w:outlineLvl w:val="1"/>
    </w:pPr>
    <w:rPr>
      <w:rFonts w:hint="eastAsia" w:ascii="宋体" w:hAnsi="宋体"/>
      <w:b/>
      <w:bCs/>
      <w:kern w:val="0"/>
      <w:sz w:val="36"/>
      <w:szCs w:val="36"/>
    </w:rPr>
  </w:style>
  <w:style w:type="character" w:default="1" w:styleId="36">
    <w:name w:val="Default Paragraph Font"/>
    <w:semiHidden/>
    <w:unhideWhenUsed/>
    <w:qFormat/>
    <w:uiPriority w:val="1"/>
  </w:style>
  <w:style w:type="table" w:default="1" w:styleId="34">
    <w:name w:val="Normal Table"/>
    <w:semiHidden/>
    <w:unhideWhenUsed/>
    <w:qFormat/>
    <w:uiPriority w:val="99"/>
    <w:tblPr>
      <w:tblCellMar>
        <w:top w:w="0" w:type="dxa"/>
        <w:left w:w="108" w:type="dxa"/>
        <w:bottom w:w="0" w:type="dxa"/>
        <w:right w:w="108" w:type="dxa"/>
      </w:tblCellMar>
    </w:tblPr>
  </w:style>
  <w:style w:type="paragraph" w:styleId="4">
    <w:name w:val="toc 7"/>
    <w:basedOn w:val="1"/>
    <w:next w:val="1"/>
    <w:semiHidden/>
    <w:qFormat/>
    <w:uiPriority w:val="0"/>
    <w:pPr>
      <w:tabs>
        <w:tab w:val="right" w:leader="dot" w:pos="9241"/>
      </w:tabs>
      <w:ind w:firstLine="505" w:firstLineChars="500"/>
      <w:jc w:val="left"/>
    </w:pPr>
    <w:rPr>
      <w:rFonts w:ascii="宋体"/>
      <w:szCs w:val="21"/>
    </w:rPr>
  </w:style>
  <w:style w:type="paragraph" w:styleId="5">
    <w:name w:val="index 8"/>
    <w:basedOn w:val="1"/>
    <w:next w:val="1"/>
    <w:qFormat/>
    <w:uiPriority w:val="0"/>
    <w:pPr>
      <w:ind w:left="1680" w:hanging="210"/>
      <w:jc w:val="left"/>
    </w:pPr>
    <w:rPr>
      <w:rFonts w:ascii="Calibri" w:hAnsi="Calibri"/>
      <w:sz w:val="20"/>
      <w:szCs w:val="20"/>
    </w:rPr>
  </w:style>
  <w:style w:type="paragraph" w:styleId="6">
    <w:name w:val="caption"/>
    <w:basedOn w:val="1"/>
    <w:next w:val="1"/>
    <w:qFormat/>
    <w:uiPriority w:val="0"/>
    <w:pPr>
      <w:spacing w:before="152" w:after="160"/>
    </w:pPr>
    <w:rPr>
      <w:rFonts w:ascii="Arial" w:hAnsi="Arial" w:eastAsia="黑体" w:cs="Arial"/>
      <w:sz w:val="20"/>
      <w:szCs w:val="20"/>
    </w:rPr>
  </w:style>
  <w:style w:type="paragraph" w:styleId="7">
    <w:name w:val="index 5"/>
    <w:basedOn w:val="1"/>
    <w:next w:val="1"/>
    <w:qFormat/>
    <w:uiPriority w:val="0"/>
    <w:pPr>
      <w:ind w:left="1050" w:hanging="210"/>
      <w:jc w:val="left"/>
    </w:pPr>
    <w:rPr>
      <w:rFonts w:ascii="Calibri" w:hAnsi="Calibri"/>
      <w:sz w:val="20"/>
      <w:szCs w:val="20"/>
    </w:rPr>
  </w:style>
  <w:style w:type="paragraph" w:styleId="8">
    <w:name w:val="Document Map"/>
    <w:basedOn w:val="1"/>
    <w:semiHidden/>
    <w:qFormat/>
    <w:uiPriority w:val="0"/>
    <w:pPr>
      <w:shd w:val="clear" w:color="auto" w:fill="000080"/>
    </w:pPr>
  </w:style>
  <w:style w:type="paragraph" w:styleId="9">
    <w:name w:val="annotation text"/>
    <w:basedOn w:val="1"/>
    <w:link w:val="154"/>
    <w:semiHidden/>
    <w:unhideWhenUsed/>
    <w:qFormat/>
    <w:uiPriority w:val="0"/>
    <w:pPr>
      <w:jc w:val="left"/>
    </w:pPr>
  </w:style>
  <w:style w:type="paragraph" w:styleId="10">
    <w:name w:val="index 6"/>
    <w:basedOn w:val="1"/>
    <w:next w:val="1"/>
    <w:qFormat/>
    <w:uiPriority w:val="0"/>
    <w:pPr>
      <w:ind w:left="1260" w:hanging="210"/>
      <w:jc w:val="left"/>
    </w:pPr>
    <w:rPr>
      <w:rFonts w:ascii="Calibri" w:hAnsi="Calibri"/>
      <w:sz w:val="20"/>
      <w:szCs w:val="20"/>
    </w:rPr>
  </w:style>
  <w:style w:type="paragraph" w:styleId="11">
    <w:name w:val="index 4"/>
    <w:basedOn w:val="1"/>
    <w:next w:val="1"/>
    <w:qFormat/>
    <w:uiPriority w:val="0"/>
    <w:pPr>
      <w:ind w:left="840" w:hanging="210"/>
      <w:jc w:val="left"/>
    </w:pPr>
    <w:rPr>
      <w:rFonts w:ascii="Calibri" w:hAnsi="Calibri"/>
      <w:sz w:val="20"/>
      <w:szCs w:val="20"/>
    </w:rPr>
  </w:style>
  <w:style w:type="paragraph" w:styleId="12">
    <w:name w:val="toc 5"/>
    <w:basedOn w:val="1"/>
    <w:next w:val="1"/>
    <w:semiHidden/>
    <w:qFormat/>
    <w:uiPriority w:val="0"/>
    <w:pPr>
      <w:tabs>
        <w:tab w:val="right" w:leader="dot" w:pos="9241"/>
      </w:tabs>
      <w:ind w:firstLine="300" w:firstLineChars="300"/>
      <w:jc w:val="left"/>
    </w:pPr>
    <w:rPr>
      <w:rFonts w:ascii="宋体"/>
      <w:szCs w:val="21"/>
    </w:rPr>
  </w:style>
  <w:style w:type="paragraph" w:styleId="13">
    <w:name w:val="toc 3"/>
    <w:basedOn w:val="1"/>
    <w:next w:val="1"/>
    <w:qFormat/>
    <w:uiPriority w:val="39"/>
    <w:pPr>
      <w:tabs>
        <w:tab w:val="right" w:leader="dot" w:pos="9241"/>
      </w:tabs>
      <w:ind w:firstLine="102" w:firstLineChars="100"/>
      <w:jc w:val="left"/>
    </w:pPr>
    <w:rPr>
      <w:rFonts w:ascii="宋体"/>
      <w:szCs w:val="21"/>
    </w:rPr>
  </w:style>
  <w:style w:type="paragraph" w:styleId="14">
    <w:name w:val="toc 8"/>
    <w:basedOn w:val="1"/>
    <w:next w:val="1"/>
    <w:semiHidden/>
    <w:qFormat/>
    <w:uiPriority w:val="0"/>
    <w:pPr>
      <w:tabs>
        <w:tab w:val="right" w:leader="dot" w:pos="9241"/>
      </w:tabs>
      <w:ind w:firstLine="607" w:firstLineChars="600"/>
      <w:jc w:val="left"/>
    </w:pPr>
    <w:rPr>
      <w:rFonts w:ascii="宋体"/>
      <w:szCs w:val="21"/>
    </w:rPr>
  </w:style>
  <w:style w:type="paragraph" w:styleId="15">
    <w:name w:val="index 3"/>
    <w:basedOn w:val="1"/>
    <w:next w:val="1"/>
    <w:qFormat/>
    <w:uiPriority w:val="0"/>
    <w:pPr>
      <w:ind w:left="630" w:hanging="210"/>
      <w:jc w:val="left"/>
    </w:pPr>
    <w:rPr>
      <w:rFonts w:ascii="Calibri" w:hAnsi="Calibri"/>
      <w:sz w:val="20"/>
      <w:szCs w:val="20"/>
    </w:rPr>
  </w:style>
  <w:style w:type="paragraph" w:styleId="16">
    <w:name w:val="endnote text"/>
    <w:basedOn w:val="1"/>
    <w:semiHidden/>
    <w:qFormat/>
    <w:uiPriority w:val="0"/>
    <w:pPr>
      <w:snapToGrid w:val="0"/>
      <w:jc w:val="left"/>
    </w:pPr>
  </w:style>
  <w:style w:type="paragraph" w:styleId="17">
    <w:name w:val="Balloon Text"/>
    <w:basedOn w:val="1"/>
    <w:link w:val="144"/>
    <w:qFormat/>
    <w:uiPriority w:val="0"/>
    <w:rPr>
      <w:sz w:val="18"/>
      <w:szCs w:val="18"/>
    </w:rPr>
  </w:style>
  <w:style w:type="paragraph" w:styleId="18">
    <w:name w:val="footer"/>
    <w:basedOn w:val="1"/>
    <w:qFormat/>
    <w:uiPriority w:val="0"/>
    <w:pPr>
      <w:snapToGrid w:val="0"/>
      <w:ind w:right="210" w:rightChars="100"/>
      <w:jc w:val="right"/>
    </w:pPr>
    <w:rPr>
      <w:sz w:val="18"/>
      <w:szCs w:val="18"/>
    </w:rPr>
  </w:style>
  <w:style w:type="paragraph" w:styleId="19">
    <w:name w:val="header"/>
    <w:basedOn w:val="1"/>
    <w:qFormat/>
    <w:uiPriority w:val="0"/>
    <w:pPr>
      <w:snapToGrid w:val="0"/>
      <w:jc w:val="left"/>
    </w:pPr>
    <w:rPr>
      <w:sz w:val="18"/>
      <w:szCs w:val="18"/>
    </w:rPr>
  </w:style>
  <w:style w:type="paragraph" w:styleId="20">
    <w:name w:val="toc 1"/>
    <w:basedOn w:val="1"/>
    <w:next w:val="1"/>
    <w:qFormat/>
    <w:uiPriority w:val="39"/>
    <w:pPr>
      <w:tabs>
        <w:tab w:val="right" w:leader="dot" w:pos="9241"/>
      </w:tabs>
      <w:spacing w:beforeLines="25" w:afterLines="25"/>
      <w:jc w:val="left"/>
    </w:pPr>
    <w:rPr>
      <w:rFonts w:ascii="宋体"/>
      <w:szCs w:val="21"/>
    </w:rPr>
  </w:style>
  <w:style w:type="paragraph" w:styleId="21">
    <w:name w:val="toc 4"/>
    <w:basedOn w:val="1"/>
    <w:next w:val="1"/>
    <w:semiHidden/>
    <w:qFormat/>
    <w:uiPriority w:val="0"/>
    <w:pPr>
      <w:tabs>
        <w:tab w:val="right" w:leader="dot" w:pos="9241"/>
      </w:tabs>
      <w:ind w:firstLine="198" w:firstLineChars="200"/>
      <w:jc w:val="left"/>
    </w:pPr>
    <w:rPr>
      <w:rFonts w:ascii="宋体"/>
      <w:szCs w:val="21"/>
    </w:rPr>
  </w:style>
  <w:style w:type="paragraph" w:styleId="22">
    <w:name w:val="index heading"/>
    <w:basedOn w:val="1"/>
    <w:next w:val="23"/>
    <w:qFormat/>
    <w:uiPriority w:val="0"/>
    <w:pPr>
      <w:spacing w:before="120" w:after="120"/>
      <w:jc w:val="center"/>
    </w:pPr>
    <w:rPr>
      <w:rFonts w:ascii="Calibri" w:hAnsi="Calibri"/>
      <w:b/>
      <w:bCs/>
      <w:iCs/>
      <w:szCs w:val="20"/>
    </w:rPr>
  </w:style>
  <w:style w:type="paragraph" w:styleId="23">
    <w:name w:val="index 1"/>
    <w:basedOn w:val="1"/>
    <w:next w:val="24"/>
    <w:qFormat/>
    <w:uiPriority w:val="0"/>
    <w:pPr>
      <w:tabs>
        <w:tab w:val="right" w:leader="dot" w:pos="9299"/>
      </w:tabs>
      <w:jc w:val="left"/>
    </w:pPr>
    <w:rPr>
      <w:rFonts w:ascii="宋体"/>
      <w:szCs w:val="21"/>
    </w:rPr>
  </w:style>
  <w:style w:type="paragraph" w:customStyle="1" w:styleId="24">
    <w:name w:val="段"/>
    <w:link w:val="44"/>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25">
    <w:name w:val="footnote text"/>
    <w:basedOn w:val="1"/>
    <w:qFormat/>
    <w:uiPriority w:val="0"/>
    <w:pPr>
      <w:numPr>
        <w:ilvl w:val="0"/>
        <w:numId w:val="1"/>
      </w:numPr>
      <w:snapToGrid w:val="0"/>
      <w:jc w:val="left"/>
    </w:pPr>
    <w:rPr>
      <w:rFonts w:ascii="宋体"/>
      <w:sz w:val="18"/>
      <w:szCs w:val="18"/>
    </w:rPr>
  </w:style>
  <w:style w:type="paragraph" w:styleId="26">
    <w:name w:val="toc 6"/>
    <w:basedOn w:val="1"/>
    <w:next w:val="1"/>
    <w:semiHidden/>
    <w:qFormat/>
    <w:uiPriority w:val="0"/>
    <w:pPr>
      <w:tabs>
        <w:tab w:val="right" w:leader="dot" w:pos="9241"/>
      </w:tabs>
      <w:ind w:firstLine="403" w:firstLineChars="400"/>
      <w:jc w:val="left"/>
    </w:pPr>
    <w:rPr>
      <w:rFonts w:ascii="宋体"/>
      <w:szCs w:val="21"/>
    </w:rPr>
  </w:style>
  <w:style w:type="paragraph" w:styleId="27">
    <w:name w:val="index 7"/>
    <w:basedOn w:val="1"/>
    <w:next w:val="1"/>
    <w:qFormat/>
    <w:uiPriority w:val="0"/>
    <w:pPr>
      <w:ind w:left="1470" w:hanging="210"/>
      <w:jc w:val="left"/>
    </w:pPr>
    <w:rPr>
      <w:rFonts w:ascii="Calibri" w:hAnsi="Calibri"/>
      <w:sz w:val="20"/>
      <w:szCs w:val="20"/>
    </w:rPr>
  </w:style>
  <w:style w:type="paragraph" w:styleId="28">
    <w:name w:val="index 9"/>
    <w:basedOn w:val="1"/>
    <w:next w:val="1"/>
    <w:qFormat/>
    <w:uiPriority w:val="0"/>
    <w:pPr>
      <w:ind w:left="1890" w:hanging="210"/>
      <w:jc w:val="left"/>
    </w:pPr>
    <w:rPr>
      <w:rFonts w:ascii="Calibri" w:hAnsi="Calibri"/>
      <w:sz w:val="20"/>
      <w:szCs w:val="20"/>
    </w:rPr>
  </w:style>
  <w:style w:type="paragraph" w:styleId="29">
    <w:name w:val="toc 2"/>
    <w:basedOn w:val="1"/>
    <w:next w:val="1"/>
    <w:qFormat/>
    <w:uiPriority w:val="39"/>
    <w:pPr>
      <w:tabs>
        <w:tab w:val="right" w:leader="dot" w:pos="9241"/>
      </w:tabs>
    </w:pPr>
    <w:rPr>
      <w:rFonts w:ascii="宋体"/>
      <w:szCs w:val="21"/>
    </w:rPr>
  </w:style>
  <w:style w:type="paragraph" w:styleId="30">
    <w:name w:val="toc 9"/>
    <w:basedOn w:val="1"/>
    <w:next w:val="1"/>
    <w:semiHidden/>
    <w:qFormat/>
    <w:uiPriority w:val="0"/>
    <w:pPr>
      <w:ind w:left="1470"/>
      <w:jc w:val="left"/>
    </w:pPr>
    <w:rPr>
      <w:sz w:val="20"/>
      <w:szCs w:val="20"/>
    </w:rPr>
  </w:style>
  <w:style w:type="paragraph" w:styleId="31">
    <w:name w:val="Normal (Web)"/>
    <w:basedOn w:val="1"/>
    <w:unhideWhenUsed/>
    <w:qFormat/>
    <w:uiPriority w:val="0"/>
    <w:pPr>
      <w:widowControl/>
      <w:spacing w:beforeAutospacing="1" w:afterAutospacing="1"/>
      <w:jc w:val="left"/>
    </w:pPr>
    <w:rPr>
      <w:rFonts w:hint="eastAsia" w:ascii="宋体" w:hAnsi="宋体"/>
      <w:kern w:val="0"/>
      <w:sz w:val="24"/>
    </w:rPr>
  </w:style>
  <w:style w:type="paragraph" w:styleId="32">
    <w:name w:val="index 2"/>
    <w:basedOn w:val="1"/>
    <w:next w:val="1"/>
    <w:qFormat/>
    <w:uiPriority w:val="0"/>
    <w:pPr>
      <w:ind w:left="420" w:hanging="210"/>
      <w:jc w:val="left"/>
    </w:pPr>
    <w:rPr>
      <w:rFonts w:ascii="Calibri" w:hAnsi="Calibri"/>
      <w:sz w:val="20"/>
      <w:szCs w:val="20"/>
    </w:rPr>
  </w:style>
  <w:style w:type="paragraph" w:styleId="33">
    <w:name w:val="annotation subject"/>
    <w:basedOn w:val="9"/>
    <w:next w:val="9"/>
    <w:link w:val="155"/>
    <w:semiHidden/>
    <w:unhideWhenUsed/>
    <w:qFormat/>
    <w:uiPriority w:val="0"/>
    <w:rPr>
      <w:b/>
      <w:bCs/>
    </w:rPr>
  </w:style>
  <w:style w:type="table" w:styleId="35">
    <w:name w:val="Table Grid"/>
    <w:basedOn w:val="34"/>
    <w:qFormat/>
    <w:uiPriority w:val="0"/>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7">
    <w:name w:val="Strong"/>
    <w:basedOn w:val="36"/>
    <w:qFormat/>
    <w:uiPriority w:val="22"/>
    <w:rPr>
      <w:b/>
      <w:bCs/>
    </w:rPr>
  </w:style>
  <w:style w:type="character" w:styleId="38">
    <w:name w:val="endnote reference"/>
    <w:semiHidden/>
    <w:qFormat/>
    <w:uiPriority w:val="0"/>
    <w:rPr>
      <w:vertAlign w:val="superscript"/>
    </w:rPr>
  </w:style>
  <w:style w:type="character" w:styleId="39">
    <w:name w:val="page number"/>
    <w:qFormat/>
    <w:uiPriority w:val="0"/>
    <w:rPr>
      <w:rFonts w:ascii="Times New Roman" w:hAnsi="Times New Roman" w:eastAsia="宋体"/>
      <w:sz w:val="18"/>
    </w:rPr>
  </w:style>
  <w:style w:type="character" w:styleId="40">
    <w:name w:val="FollowedHyperlink"/>
    <w:qFormat/>
    <w:uiPriority w:val="0"/>
    <w:rPr>
      <w:color w:val="800080"/>
      <w:u w:val="single"/>
    </w:rPr>
  </w:style>
  <w:style w:type="character" w:styleId="41">
    <w:name w:val="Hyperlink"/>
    <w:qFormat/>
    <w:uiPriority w:val="99"/>
    <w:rPr>
      <w:color w:val="0000FF"/>
      <w:spacing w:val="0"/>
      <w:w w:val="100"/>
      <w:szCs w:val="21"/>
      <w:u w:val="single"/>
    </w:rPr>
  </w:style>
  <w:style w:type="character" w:styleId="42">
    <w:name w:val="annotation reference"/>
    <w:basedOn w:val="36"/>
    <w:semiHidden/>
    <w:unhideWhenUsed/>
    <w:qFormat/>
    <w:uiPriority w:val="0"/>
    <w:rPr>
      <w:sz w:val="21"/>
      <w:szCs w:val="21"/>
    </w:rPr>
  </w:style>
  <w:style w:type="character" w:styleId="43">
    <w:name w:val="footnote reference"/>
    <w:semiHidden/>
    <w:qFormat/>
    <w:uiPriority w:val="0"/>
    <w:rPr>
      <w:vertAlign w:val="superscript"/>
    </w:rPr>
  </w:style>
  <w:style w:type="character" w:customStyle="1" w:styleId="44">
    <w:name w:val="段 Char"/>
    <w:link w:val="24"/>
    <w:qFormat/>
    <w:uiPriority w:val="0"/>
    <w:rPr>
      <w:rFonts w:ascii="宋体"/>
      <w:sz w:val="21"/>
      <w:lang w:val="en-US" w:eastAsia="zh-CN" w:bidi="ar-SA"/>
    </w:rPr>
  </w:style>
  <w:style w:type="paragraph" w:customStyle="1" w:styleId="45">
    <w:name w:val="一级条标题"/>
    <w:next w:val="24"/>
    <w:qFormat/>
    <w:uiPriority w:val="0"/>
    <w:pPr>
      <w:numPr>
        <w:ilvl w:val="1"/>
        <w:numId w:val="2"/>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46">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47">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48">
    <w:name w:val="章标题"/>
    <w:next w:val="24"/>
    <w:qFormat/>
    <w:uiPriority w:val="0"/>
    <w:pPr>
      <w:numPr>
        <w:ilvl w:val="0"/>
        <w:numId w:val="2"/>
      </w:numPr>
      <w:spacing w:beforeLines="100" w:afterLines="100"/>
      <w:jc w:val="both"/>
      <w:outlineLvl w:val="1"/>
    </w:pPr>
    <w:rPr>
      <w:rFonts w:ascii="黑体" w:hAnsi="Times New Roman" w:eastAsia="黑体" w:cs="Times New Roman"/>
      <w:sz w:val="21"/>
      <w:lang w:val="en-US" w:eastAsia="zh-CN" w:bidi="ar-SA"/>
    </w:rPr>
  </w:style>
  <w:style w:type="paragraph" w:customStyle="1" w:styleId="49">
    <w:name w:val="二级条标题"/>
    <w:basedOn w:val="45"/>
    <w:next w:val="24"/>
    <w:qFormat/>
    <w:uiPriority w:val="0"/>
    <w:pPr>
      <w:numPr>
        <w:ilvl w:val="2"/>
      </w:numPr>
      <w:spacing w:before="50" w:after="50"/>
      <w:outlineLvl w:val="3"/>
    </w:pPr>
  </w:style>
  <w:style w:type="paragraph" w:customStyle="1" w:styleId="50">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51">
    <w:name w:val="列项——（一级）"/>
    <w:qFormat/>
    <w:uiPriority w:val="0"/>
    <w:pPr>
      <w:widowControl w:val="0"/>
      <w:numPr>
        <w:ilvl w:val="0"/>
        <w:numId w:val="3"/>
      </w:numPr>
      <w:jc w:val="both"/>
    </w:pPr>
    <w:rPr>
      <w:rFonts w:ascii="宋体" w:hAnsi="Times New Roman" w:eastAsia="宋体" w:cs="Times New Roman"/>
      <w:sz w:val="21"/>
      <w:lang w:val="en-US" w:eastAsia="zh-CN" w:bidi="ar-SA"/>
    </w:rPr>
  </w:style>
  <w:style w:type="paragraph" w:customStyle="1" w:styleId="52">
    <w:name w:val="列项●（二级）"/>
    <w:qFormat/>
    <w:uiPriority w:val="0"/>
    <w:pPr>
      <w:numPr>
        <w:ilvl w:val="1"/>
        <w:numId w:val="3"/>
      </w:numPr>
      <w:tabs>
        <w:tab w:val="left" w:pos="840"/>
      </w:tabs>
      <w:jc w:val="both"/>
    </w:pPr>
    <w:rPr>
      <w:rFonts w:ascii="宋体" w:hAnsi="Times New Roman" w:eastAsia="宋体" w:cs="Times New Roman"/>
      <w:sz w:val="21"/>
      <w:lang w:val="en-US" w:eastAsia="zh-CN" w:bidi="ar-SA"/>
    </w:rPr>
  </w:style>
  <w:style w:type="paragraph" w:customStyle="1" w:styleId="53">
    <w:name w:val="目次、标准名称标题"/>
    <w:basedOn w:val="1"/>
    <w:next w:val="24"/>
    <w:link w:val="142"/>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54">
    <w:name w:val="三级条标题"/>
    <w:basedOn w:val="49"/>
    <w:next w:val="24"/>
    <w:qFormat/>
    <w:uiPriority w:val="0"/>
    <w:pPr>
      <w:numPr>
        <w:ilvl w:val="3"/>
      </w:numPr>
      <w:outlineLvl w:val="4"/>
    </w:pPr>
  </w:style>
  <w:style w:type="paragraph" w:customStyle="1" w:styleId="55">
    <w:name w:val="示例"/>
    <w:next w:val="56"/>
    <w:qFormat/>
    <w:uiPriority w:val="0"/>
    <w:pPr>
      <w:widowControl w:val="0"/>
      <w:numPr>
        <w:ilvl w:val="0"/>
        <w:numId w:val="4"/>
      </w:numPr>
      <w:jc w:val="both"/>
    </w:pPr>
    <w:rPr>
      <w:rFonts w:ascii="宋体" w:hAnsi="Times New Roman" w:eastAsia="宋体" w:cs="Times New Roman"/>
      <w:sz w:val="18"/>
      <w:szCs w:val="18"/>
      <w:lang w:val="en-US" w:eastAsia="zh-CN" w:bidi="ar-SA"/>
    </w:rPr>
  </w:style>
  <w:style w:type="paragraph" w:customStyle="1" w:styleId="56">
    <w:name w:val="示例内容"/>
    <w:qFormat/>
    <w:uiPriority w:val="0"/>
    <w:pPr>
      <w:ind w:firstLine="200" w:firstLineChars="200"/>
    </w:pPr>
    <w:rPr>
      <w:rFonts w:ascii="宋体" w:hAnsi="Times New Roman" w:eastAsia="宋体" w:cs="Times New Roman"/>
      <w:sz w:val="18"/>
      <w:szCs w:val="18"/>
      <w:lang w:val="en-US" w:eastAsia="zh-CN" w:bidi="ar-SA"/>
    </w:rPr>
  </w:style>
  <w:style w:type="paragraph" w:customStyle="1" w:styleId="57">
    <w:name w:val="数字编号列项（二级）"/>
    <w:qFormat/>
    <w:uiPriority w:val="0"/>
    <w:pPr>
      <w:numPr>
        <w:ilvl w:val="1"/>
        <w:numId w:val="5"/>
      </w:numPr>
      <w:jc w:val="both"/>
    </w:pPr>
    <w:rPr>
      <w:rFonts w:ascii="宋体" w:hAnsi="Times New Roman" w:eastAsia="宋体" w:cs="Times New Roman"/>
      <w:sz w:val="21"/>
      <w:lang w:val="en-US" w:eastAsia="zh-CN" w:bidi="ar-SA"/>
    </w:rPr>
  </w:style>
  <w:style w:type="paragraph" w:customStyle="1" w:styleId="58">
    <w:name w:val="四级条标题"/>
    <w:basedOn w:val="54"/>
    <w:next w:val="24"/>
    <w:qFormat/>
    <w:uiPriority w:val="0"/>
    <w:pPr>
      <w:numPr>
        <w:ilvl w:val="4"/>
      </w:numPr>
      <w:outlineLvl w:val="5"/>
    </w:pPr>
  </w:style>
  <w:style w:type="paragraph" w:customStyle="1" w:styleId="59">
    <w:name w:val="五级条标题"/>
    <w:basedOn w:val="58"/>
    <w:next w:val="24"/>
    <w:qFormat/>
    <w:uiPriority w:val="0"/>
    <w:pPr>
      <w:numPr>
        <w:ilvl w:val="5"/>
      </w:numPr>
      <w:outlineLvl w:val="6"/>
    </w:pPr>
  </w:style>
  <w:style w:type="paragraph" w:customStyle="1" w:styleId="60">
    <w:name w:val="注："/>
    <w:next w:val="24"/>
    <w:qFormat/>
    <w:uiPriority w:val="0"/>
    <w:pPr>
      <w:widowControl w:val="0"/>
      <w:numPr>
        <w:ilvl w:val="0"/>
        <w:numId w:val="6"/>
      </w:numPr>
      <w:autoSpaceDE w:val="0"/>
      <w:autoSpaceDN w:val="0"/>
      <w:ind w:left="726" w:hanging="363"/>
      <w:jc w:val="both"/>
    </w:pPr>
    <w:rPr>
      <w:rFonts w:ascii="宋体" w:hAnsi="Times New Roman" w:eastAsia="宋体" w:cs="Times New Roman"/>
      <w:sz w:val="18"/>
      <w:szCs w:val="18"/>
      <w:lang w:val="en-US" w:eastAsia="zh-CN" w:bidi="ar-SA"/>
    </w:rPr>
  </w:style>
  <w:style w:type="paragraph" w:customStyle="1" w:styleId="61">
    <w:name w:val="注×："/>
    <w:qFormat/>
    <w:uiPriority w:val="0"/>
    <w:pPr>
      <w:widowControl w:val="0"/>
      <w:numPr>
        <w:ilvl w:val="0"/>
        <w:numId w:val="7"/>
      </w:numPr>
      <w:autoSpaceDE w:val="0"/>
      <w:autoSpaceDN w:val="0"/>
      <w:ind w:left="811" w:hanging="448"/>
      <w:jc w:val="both"/>
    </w:pPr>
    <w:rPr>
      <w:rFonts w:ascii="宋体" w:hAnsi="Times New Roman" w:eastAsia="宋体" w:cs="Times New Roman"/>
      <w:sz w:val="18"/>
      <w:szCs w:val="18"/>
      <w:lang w:val="en-US" w:eastAsia="zh-CN" w:bidi="ar-SA"/>
    </w:rPr>
  </w:style>
  <w:style w:type="paragraph" w:customStyle="1" w:styleId="62">
    <w:name w:val="字母编号列项（一级）"/>
    <w:qFormat/>
    <w:uiPriority w:val="0"/>
    <w:pPr>
      <w:numPr>
        <w:ilvl w:val="0"/>
        <w:numId w:val="5"/>
      </w:numPr>
      <w:jc w:val="both"/>
    </w:pPr>
    <w:rPr>
      <w:rFonts w:ascii="宋体" w:hAnsi="Times New Roman" w:eastAsia="宋体" w:cs="Times New Roman"/>
      <w:sz w:val="21"/>
      <w:lang w:val="en-US" w:eastAsia="zh-CN" w:bidi="ar-SA"/>
    </w:rPr>
  </w:style>
  <w:style w:type="paragraph" w:customStyle="1" w:styleId="63">
    <w:name w:val="列项◆（三级）"/>
    <w:basedOn w:val="1"/>
    <w:qFormat/>
    <w:uiPriority w:val="0"/>
    <w:pPr>
      <w:numPr>
        <w:ilvl w:val="2"/>
        <w:numId w:val="3"/>
      </w:numPr>
    </w:pPr>
    <w:rPr>
      <w:rFonts w:ascii="宋体"/>
      <w:szCs w:val="21"/>
    </w:rPr>
  </w:style>
  <w:style w:type="paragraph" w:customStyle="1" w:styleId="64">
    <w:name w:val="编号列项（三级）"/>
    <w:qFormat/>
    <w:uiPriority w:val="0"/>
    <w:pPr>
      <w:numPr>
        <w:ilvl w:val="2"/>
        <w:numId w:val="5"/>
      </w:numPr>
    </w:pPr>
    <w:rPr>
      <w:rFonts w:ascii="宋体" w:hAnsi="Times New Roman" w:eastAsia="宋体" w:cs="Times New Roman"/>
      <w:sz w:val="21"/>
      <w:lang w:val="en-US" w:eastAsia="zh-CN" w:bidi="ar-SA"/>
    </w:rPr>
  </w:style>
  <w:style w:type="paragraph" w:customStyle="1" w:styleId="65">
    <w:name w:val="示例×："/>
    <w:basedOn w:val="48"/>
    <w:qFormat/>
    <w:uiPriority w:val="0"/>
    <w:pPr>
      <w:numPr>
        <w:numId w:val="8"/>
      </w:numPr>
      <w:spacing w:beforeLines="0" w:afterLines="0"/>
      <w:outlineLvl w:val="9"/>
    </w:pPr>
    <w:rPr>
      <w:rFonts w:ascii="宋体" w:eastAsia="宋体"/>
      <w:sz w:val="18"/>
      <w:szCs w:val="18"/>
    </w:rPr>
  </w:style>
  <w:style w:type="paragraph" w:customStyle="1" w:styleId="66">
    <w:name w:val="二级无"/>
    <w:basedOn w:val="49"/>
    <w:qFormat/>
    <w:uiPriority w:val="0"/>
    <w:pPr>
      <w:spacing w:beforeLines="0" w:afterLines="0"/>
    </w:pPr>
    <w:rPr>
      <w:rFonts w:ascii="宋体" w:eastAsia="宋体"/>
    </w:rPr>
  </w:style>
  <w:style w:type="paragraph" w:customStyle="1" w:styleId="67">
    <w:name w:val="注：（正文）"/>
    <w:basedOn w:val="60"/>
    <w:next w:val="24"/>
    <w:qFormat/>
    <w:uiPriority w:val="0"/>
    <w:pPr>
      <w:numPr>
        <w:numId w:val="9"/>
      </w:numPr>
      <w:ind w:left="726" w:hanging="363"/>
    </w:pPr>
  </w:style>
  <w:style w:type="paragraph" w:customStyle="1" w:styleId="68">
    <w:name w:val="注×：（正文）"/>
    <w:qFormat/>
    <w:uiPriority w:val="0"/>
    <w:pPr>
      <w:numPr>
        <w:ilvl w:val="0"/>
        <w:numId w:val="10"/>
      </w:numPr>
      <w:ind w:left="811" w:hanging="448"/>
      <w:jc w:val="both"/>
    </w:pPr>
    <w:rPr>
      <w:rFonts w:ascii="宋体" w:hAnsi="Times New Roman" w:eastAsia="宋体" w:cs="Times New Roman"/>
      <w:sz w:val="18"/>
      <w:szCs w:val="18"/>
      <w:lang w:val="en-US" w:eastAsia="zh-CN" w:bidi="ar-SA"/>
    </w:rPr>
  </w:style>
  <w:style w:type="paragraph" w:customStyle="1" w:styleId="69">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70">
    <w:name w:val="标准称谓"/>
    <w:next w:val="1"/>
    <w:qFormat/>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48"/>
      <w:lang w:val="en-US" w:eastAsia="zh-CN" w:bidi="ar-SA"/>
    </w:rPr>
  </w:style>
  <w:style w:type="paragraph" w:customStyle="1" w:styleId="71">
    <w:name w:val="标准书脚_偶数页"/>
    <w:qFormat/>
    <w:uiPriority w:val="0"/>
    <w:pPr>
      <w:spacing w:before="120"/>
      <w:ind w:left="221"/>
    </w:pPr>
    <w:rPr>
      <w:rFonts w:ascii="宋体" w:hAnsi="Times New Roman" w:eastAsia="宋体" w:cs="Times New Roman"/>
      <w:sz w:val="18"/>
      <w:szCs w:val="18"/>
      <w:lang w:val="en-US" w:eastAsia="zh-CN" w:bidi="ar-SA"/>
    </w:rPr>
  </w:style>
  <w:style w:type="paragraph" w:customStyle="1" w:styleId="72">
    <w:name w:val="标准书眉_偶数页"/>
    <w:basedOn w:val="47"/>
    <w:next w:val="1"/>
    <w:qFormat/>
    <w:uiPriority w:val="0"/>
    <w:pPr>
      <w:jc w:val="left"/>
    </w:pPr>
  </w:style>
  <w:style w:type="paragraph" w:customStyle="1" w:styleId="73">
    <w:name w:val="标准书眉一"/>
    <w:qFormat/>
    <w:uiPriority w:val="0"/>
    <w:pPr>
      <w:jc w:val="both"/>
    </w:pPr>
    <w:rPr>
      <w:rFonts w:ascii="Times New Roman" w:hAnsi="Times New Roman" w:eastAsia="宋体" w:cs="Times New Roman"/>
      <w:lang w:val="en-US" w:eastAsia="zh-CN" w:bidi="ar-SA"/>
    </w:rPr>
  </w:style>
  <w:style w:type="paragraph" w:customStyle="1" w:styleId="74">
    <w:name w:val="参考文献"/>
    <w:basedOn w:val="1"/>
    <w:next w:val="2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75">
    <w:name w:val="参考文献、索引标题"/>
    <w:basedOn w:val="1"/>
    <w:next w:val="24"/>
    <w:qFormat/>
    <w:uiPriority w:val="0"/>
    <w:pPr>
      <w:keepNext/>
      <w:pageBreakBefore/>
      <w:widowControl/>
      <w:shd w:val="clear" w:color="FFFFFF" w:fill="FFFFFF"/>
      <w:spacing w:before="640" w:after="200"/>
      <w:jc w:val="center"/>
      <w:outlineLvl w:val="0"/>
    </w:pPr>
    <w:rPr>
      <w:rFonts w:ascii="黑体" w:eastAsia="黑体"/>
      <w:kern w:val="0"/>
      <w:szCs w:val="20"/>
    </w:rPr>
  </w:style>
  <w:style w:type="character" w:customStyle="1" w:styleId="76">
    <w:name w:val="发布"/>
    <w:qFormat/>
    <w:uiPriority w:val="0"/>
    <w:rPr>
      <w:rFonts w:ascii="黑体" w:eastAsia="黑体"/>
      <w:spacing w:val="85"/>
      <w:w w:val="100"/>
      <w:position w:val="3"/>
      <w:sz w:val="28"/>
      <w:szCs w:val="28"/>
    </w:rPr>
  </w:style>
  <w:style w:type="paragraph" w:customStyle="1" w:styleId="77">
    <w:name w:val="发布部门"/>
    <w:next w:val="24"/>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78">
    <w:name w:val="发布日期"/>
    <w:qFormat/>
    <w:uiPriority w:val="0"/>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79">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80">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81">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82">
    <w:name w:val="封面标准英文名称"/>
    <w:basedOn w:val="81"/>
    <w:qFormat/>
    <w:uiPriority w:val="0"/>
    <w:pPr>
      <w:framePr/>
      <w:spacing w:before="370" w:line="400" w:lineRule="exact"/>
    </w:pPr>
    <w:rPr>
      <w:rFonts w:ascii="Times New Roman"/>
      <w:sz w:val="28"/>
      <w:szCs w:val="28"/>
    </w:rPr>
  </w:style>
  <w:style w:type="paragraph" w:customStyle="1" w:styleId="83">
    <w:name w:val="封面一致性程度标识"/>
    <w:basedOn w:val="82"/>
    <w:qFormat/>
    <w:uiPriority w:val="0"/>
    <w:pPr>
      <w:framePr/>
      <w:spacing w:before="440"/>
    </w:pPr>
    <w:rPr>
      <w:rFonts w:ascii="宋体" w:eastAsia="宋体"/>
    </w:rPr>
  </w:style>
  <w:style w:type="paragraph" w:customStyle="1" w:styleId="84">
    <w:name w:val="封面标准文稿类别"/>
    <w:basedOn w:val="83"/>
    <w:qFormat/>
    <w:uiPriority w:val="0"/>
    <w:pPr>
      <w:framePr/>
      <w:spacing w:after="160" w:line="240" w:lineRule="auto"/>
    </w:pPr>
    <w:rPr>
      <w:sz w:val="24"/>
    </w:rPr>
  </w:style>
  <w:style w:type="paragraph" w:customStyle="1" w:styleId="85">
    <w:name w:val="封面标准文稿编辑信息"/>
    <w:basedOn w:val="84"/>
    <w:qFormat/>
    <w:uiPriority w:val="0"/>
    <w:pPr>
      <w:framePr/>
      <w:spacing w:before="180" w:line="180" w:lineRule="exact"/>
    </w:pPr>
    <w:rPr>
      <w:sz w:val="21"/>
    </w:rPr>
  </w:style>
  <w:style w:type="paragraph" w:customStyle="1" w:styleId="86">
    <w:name w:val="封面正文"/>
    <w:qFormat/>
    <w:uiPriority w:val="0"/>
    <w:pPr>
      <w:jc w:val="both"/>
    </w:pPr>
    <w:rPr>
      <w:rFonts w:ascii="Times New Roman" w:hAnsi="Times New Roman" w:eastAsia="宋体" w:cs="Times New Roman"/>
      <w:lang w:val="en-US" w:eastAsia="zh-CN" w:bidi="ar-SA"/>
    </w:rPr>
  </w:style>
  <w:style w:type="paragraph" w:customStyle="1" w:styleId="87">
    <w:name w:val="附录标识"/>
    <w:basedOn w:val="1"/>
    <w:next w:val="24"/>
    <w:qFormat/>
    <w:uiPriority w:val="0"/>
    <w:pPr>
      <w:keepNext/>
      <w:widowControl/>
      <w:numPr>
        <w:ilvl w:val="0"/>
        <w:numId w:val="11"/>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88">
    <w:name w:val="附录标题"/>
    <w:basedOn w:val="24"/>
    <w:next w:val="24"/>
    <w:qFormat/>
    <w:uiPriority w:val="0"/>
    <w:pPr>
      <w:ind w:firstLine="0" w:firstLineChars="0"/>
      <w:jc w:val="center"/>
    </w:pPr>
    <w:rPr>
      <w:rFonts w:ascii="黑体" w:eastAsia="黑体"/>
    </w:rPr>
  </w:style>
  <w:style w:type="paragraph" w:customStyle="1" w:styleId="89">
    <w:name w:val="附录表标号"/>
    <w:basedOn w:val="1"/>
    <w:next w:val="24"/>
    <w:qFormat/>
    <w:uiPriority w:val="0"/>
    <w:pPr>
      <w:numPr>
        <w:ilvl w:val="0"/>
        <w:numId w:val="12"/>
      </w:numPr>
      <w:tabs>
        <w:tab w:val="clear" w:pos="0"/>
      </w:tabs>
      <w:spacing w:line="14" w:lineRule="exact"/>
      <w:ind w:left="811" w:hanging="448"/>
      <w:jc w:val="center"/>
      <w:outlineLvl w:val="0"/>
    </w:pPr>
    <w:rPr>
      <w:color w:val="FFFFFF"/>
    </w:rPr>
  </w:style>
  <w:style w:type="paragraph" w:customStyle="1" w:styleId="90">
    <w:name w:val="附录表标题"/>
    <w:basedOn w:val="1"/>
    <w:next w:val="24"/>
    <w:qFormat/>
    <w:uiPriority w:val="0"/>
    <w:pPr>
      <w:numPr>
        <w:ilvl w:val="1"/>
        <w:numId w:val="12"/>
      </w:numPr>
      <w:tabs>
        <w:tab w:val="left" w:pos="180"/>
      </w:tabs>
      <w:spacing w:beforeLines="50" w:afterLines="50"/>
      <w:ind w:left="0" w:firstLine="0"/>
      <w:jc w:val="center"/>
    </w:pPr>
    <w:rPr>
      <w:rFonts w:ascii="黑体" w:eastAsia="黑体"/>
      <w:szCs w:val="21"/>
    </w:rPr>
  </w:style>
  <w:style w:type="paragraph" w:customStyle="1" w:styleId="91">
    <w:name w:val="附录二级条标题"/>
    <w:basedOn w:val="1"/>
    <w:next w:val="24"/>
    <w:qFormat/>
    <w:uiPriority w:val="0"/>
    <w:pPr>
      <w:widowControl/>
      <w:numPr>
        <w:ilvl w:val="3"/>
        <w:numId w:val="11"/>
      </w:numPr>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92">
    <w:name w:val="附录二级无"/>
    <w:basedOn w:val="91"/>
    <w:qFormat/>
    <w:uiPriority w:val="0"/>
    <w:pPr>
      <w:tabs>
        <w:tab w:val="clear" w:pos="360"/>
      </w:tabs>
      <w:spacing w:beforeLines="0" w:afterLines="0"/>
    </w:pPr>
    <w:rPr>
      <w:rFonts w:ascii="宋体" w:eastAsia="宋体"/>
      <w:szCs w:val="21"/>
    </w:rPr>
  </w:style>
  <w:style w:type="paragraph" w:customStyle="1" w:styleId="93">
    <w:name w:val="附录公式"/>
    <w:basedOn w:val="24"/>
    <w:next w:val="24"/>
    <w:link w:val="94"/>
    <w:qFormat/>
    <w:uiPriority w:val="0"/>
  </w:style>
  <w:style w:type="character" w:customStyle="1" w:styleId="94">
    <w:name w:val="附录公式 Char"/>
    <w:basedOn w:val="44"/>
    <w:link w:val="93"/>
    <w:qFormat/>
    <w:uiPriority w:val="0"/>
    <w:rPr>
      <w:rFonts w:ascii="宋体"/>
      <w:sz w:val="21"/>
      <w:lang w:val="en-US" w:eastAsia="zh-CN" w:bidi="ar-SA"/>
    </w:rPr>
  </w:style>
  <w:style w:type="paragraph" w:customStyle="1" w:styleId="95">
    <w:name w:val="附录公式编号制表符"/>
    <w:basedOn w:val="1"/>
    <w:next w:val="24"/>
    <w:qFormat/>
    <w:uiPriority w:val="0"/>
    <w:pPr>
      <w:widowControl/>
      <w:tabs>
        <w:tab w:val="center" w:pos="4201"/>
        <w:tab w:val="right" w:leader="dot" w:pos="9298"/>
      </w:tabs>
      <w:autoSpaceDE w:val="0"/>
      <w:autoSpaceDN w:val="0"/>
    </w:pPr>
    <w:rPr>
      <w:rFonts w:ascii="宋体"/>
      <w:kern w:val="0"/>
      <w:szCs w:val="20"/>
    </w:rPr>
  </w:style>
  <w:style w:type="paragraph" w:customStyle="1" w:styleId="96">
    <w:name w:val="附录三级条标题"/>
    <w:basedOn w:val="91"/>
    <w:next w:val="24"/>
    <w:qFormat/>
    <w:uiPriority w:val="0"/>
    <w:pPr>
      <w:numPr>
        <w:ilvl w:val="4"/>
      </w:numPr>
      <w:outlineLvl w:val="4"/>
    </w:pPr>
  </w:style>
  <w:style w:type="paragraph" w:customStyle="1" w:styleId="97">
    <w:name w:val="附录三级无"/>
    <w:basedOn w:val="96"/>
    <w:qFormat/>
    <w:uiPriority w:val="0"/>
    <w:pPr>
      <w:tabs>
        <w:tab w:val="clear" w:pos="360"/>
      </w:tabs>
      <w:spacing w:beforeLines="0" w:afterLines="0"/>
    </w:pPr>
    <w:rPr>
      <w:rFonts w:ascii="宋体" w:eastAsia="宋体"/>
      <w:szCs w:val="21"/>
    </w:rPr>
  </w:style>
  <w:style w:type="paragraph" w:customStyle="1" w:styleId="98">
    <w:name w:val="附录数字编号列项（二级）"/>
    <w:qFormat/>
    <w:uiPriority w:val="0"/>
    <w:pPr>
      <w:numPr>
        <w:ilvl w:val="1"/>
        <w:numId w:val="13"/>
      </w:numPr>
    </w:pPr>
    <w:rPr>
      <w:rFonts w:ascii="宋体" w:hAnsi="Times New Roman" w:eastAsia="宋体" w:cs="Times New Roman"/>
      <w:sz w:val="21"/>
      <w:lang w:val="en-US" w:eastAsia="zh-CN" w:bidi="ar-SA"/>
    </w:rPr>
  </w:style>
  <w:style w:type="paragraph" w:customStyle="1" w:styleId="99">
    <w:name w:val="附录四级条标题"/>
    <w:basedOn w:val="96"/>
    <w:next w:val="24"/>
    <w:qFormat/>
    <w:uiPriority w:val="0"/>
    <w:pPr>
      <w:numPr>
        <w:ilvl w:val="5"/>
      </w:numPr>
      <w:outlineLvl w:val="5"/>
    </w:pPr>
  </w:style>
  <w:style w:type="paragraph" w:customStyle="1" w:styleId="100">
    <w:name w:val="附录四级无"/>
    <w:basedOn w:val="99"/>
    <w:qFormat/>
    <w:uiPriority w:val="0"/>
    <w:pPr>
      <w:tabs>
        <w:tab w:val="clear" w:pos="360"/>
      </w:tabs>
      <w:spacing w:beforeLines="0" w:afterLines="0"/>
    </w:pPr>
    <w:rPr>
      <w:rFonts w:ascii="宋体" w:eastAsia="宋体"/>
      <w:szCs w:val="21"/>
    </w:rPr>
  </w:style>
  <w:style w:type="paragraph" w:customStyle="1" w:styleId="101">
    <w:name w:val="附录图标号"/>
    <w:basedOn w:val="1"/>
    <w:qFormat/>
    <w:uiPriority w:val="0"/>
    <w:pPr>
      <w:keepNext/>
      <w:pageBreakBefore/>
      <w:widowControl/>
      <w:numPr>
        <w:ilvl w:val="0"/>
        <w:numId w:val="14"/>
      </w:numPr>
      <w:spacing w:line="14" w:lineRule="exact"/>
      <w:ind w:left="0" w:firstLine="363"/>
      <w:jc w:val="center"/>
      <w:outlineLvl w:val="0"/>
    </w:pPr>
    <w:rPr>
      <w:color w:val="FFFFFF"/>
    </w:rPr>
  </w:style>
  <w:style w:type="paragraph" w:customStyle="1" w:styleId="102">
    <w:name w:val="附录图标题"/>
    <w:basedOn w:val="1"/>
    <w:next w:val="24"/>
    <w:qFormat/>
    <w:uiPriority w:val="0"/>
    <w:pPr>
      <w:numPr>
        <w:ilvl w:val="1"/>
        <w:numId w:val="14"/>
      </w:numPr>
      <w:tabs>
        <w:tab w:val="left" w:pos="363"/>
      </w:tabs>
      <w:spacing w:beforeLines="50" w:afterLines="50"/>
      <w:ind w:left="0" w:firstLine="0"/>
      <w:jc w:val="center"/>
    </w:pPr>
    <w:rPr>
      <w:rFonts w:ascii="黑体" w:eastAsia="黑体"/>
      <w:szCs w:val="21"/>
    </w:rPr>
  </w:style>
  <w:style w:type="paragraph" w:customStyle="1" w:styleId="103">
    <w:name w:val="附录五级条标题"/>
    <w:basedOn w:val="99"/>
    <w:next w:val="24"/>
    <w:qFormat/>
    <w:uiPriority w:val="0"/>
    <w:pPr>
      <w:numPr>
        <w:ilvl w:val="6"/>
      </w:numPr>
      <w:outlineLvl w:val="6"/>
    </w:pPr>
  </w:style>
  <w:style w:type="paragraph" w:customStyle="1" w:styleId="104">
    <w:name w:val="附录五级无"/>
    <w:basedOn w:val="103"/>
    <w:qFormat/>
    <w:uiPriority w:val="0"/>
    <w:pPr>
      <w:tabs>
        <w:tab w:val="clear" w:pos="360"/>
      </w:tabs>
      <w:spacing w:beforeLines="0" w:afterLines="0"/>
    </w:pPr>
    <w:rPr>
      <w:rFonts w:ascii="宋体" w:eastAsia="宋体"/>
      <w:szCs w:val="21"/>
    </w:rPr>
  </w:style>
  <w:style w:type="paragraph" w:customStyle="1" w:styleId="105">
    <w:name w:val="附录章标题"/>
    <w:next w:val="24"/>
    <w:qFormat/>
    <w:uiPriority w:val="0"/>
    <w:pPr>
      <w:numPr>
        <w:ilvl w:val="1"/>
        <w:numId w:val="11"/>
      </w:numPr>
      <w:tabs>
        <w:tab w:val="left" w:pos="360"/>
      </w:tabs>
      <w:wordWrap w:val="0"/>
      <w:overflowPunct w:val="0"/>
      <w:autoSpaceDE w:val="0"/>
      <w:spacing w:beforeLines="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106">
    <w:name w:val="附录一级条标题"/>
    <w:basedOn w:val="105"/>
    <w:next w:val="24"/>
    <w:qFormat/>
    <w:uiPriority w:val="0"/>
    <w:pPr>
      <w:numPr>
        <w:ilvl w:val="2"/>
      </w:numPr>
      <w:autoSpaceDN w:val="0"/>
      <w:spacing w:beforeLines="50" w:afterLines="50"/>
      <w:outlineLvl w:val="2"/>
    </w:pPr>
  </w:style>
  <w:style w:type="paragraph" w:customStyle="1" w:styleId="107">
    <w:name w:val="附录一级无"/>
    <w:basedOn w:val="106"/>
    <w:qFormat/>
    <w:uiPriority w:val="0"/>
    <w:pPr>
      <w:tabs>
        <w:tab w:val="clear" w:pos="360"/>
      </w:tabs>
      <w:spacing w:beforeLines="0" w:afterLines="0"/>
    </w:pPr>
    <w:rPr>
      <w:rFonts w:ascii="宋体" w:eastAsia="宋体"/>
      <w:szCs w:val="21"/>
    </w:rPr>
  </w:style>
  <w:style w:type="paragraph" w:customStyle="1" w:styleId="108">
    <w:name w:val="附录字母编号列项（一级）"/>
    <w:qFormat/>
    <w:uiPriority w:val="0"/>
    <w:pPr>
      <w:numPr>
        <w:ilvl w:val="0"/>
        <w:numId w:val="13"/>
      </w:numPr>
    </w:pPr>
    <w:rPr>
      <w:rFonts w:ascii="宋体" w:hAnsi="Times New Roman" w:eastAsia="宋体" w:cs="Times New Roman"/>
      <w:sz w:val="21"/>
      <w:lang w:val="en-US" w:eastAsia="zh-CN" w:bidi="ar-SA"/>
    </w:rPr>
  </w:style>
  <w:style w:type="paragraph" w:customStyle="1" w:styleId="109">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110">
    <w:name w:val="列项说明数字编号"/>
    <w:qFormat/>
    <w:uiPriority w:val="0"/>
    <w:pPr>
      <w:ind w:left="600" w:leftChars="400" w:hanging="200" w:hangingChars="200"/>
    </w:pPr>
    <w:rPr>
      <w:rFonts w:ascii="宋体" w:hAnsi="Times New Roman" w:eastAsia="宋体" w:cs="Times New Roman"/>
      <w:sz w:val="21"/>
      <w:lang w:val="en-US" w:eastAsia="zh-CN" w:bidi="ar-SA"/>
    </w:rPr>
  </w:style>
  <w:style w:type="paragraph" w:customStyle="1" w:styleId="11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12">
    <w:name w:val="其他标准标志"/>
    <w:basedOn w:val="69"/>
    <w:qFormat/>
    <w:uiPriority w:val="0"/>
    <w:pPr>
      <w:framePr w:w="6101" w:vAnchor="page" w:hAnchor="page" w:x="4673" w:y="942"/>
    </w:pPr>
    <w:rPr>
      <w:w w:val="130"/>
    </w:rPr>
  </w:style>
  <w:style w:type="paragraph" w:customStyle="1" w:styleId="113">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114">
    <w:name w:val="其他发布部门"/>
    <w:basedOn w:val="77"/>
    <w:qFormat/>
    <w:uiPriority w:val="0"/>
    <w:pPr>
      <w:framePr w:y="15310"/>
      <w:spacing w:line="0" w:lineRule="atLeast"/>
    </w:pPr>
    <w:rPr>
      <w:rFonts w:ascii="黑体" w:eastAsia="黑体"/>
      <w:b w:val="0"/>
    </w:rPr>
  </w:style>
  <w:style w:type="paragraph" w:customStyle="1" w:styleId="115">
    <w:name w:val="前言、引言标题"/>
    <w:next w:val="24"/>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116">
    <w:name w:val="三级无"/>
    <w:basedOn w:val="54"/>
    <w:qFormat/>
    <w:uiPriority w:val="0"/>
    <w:pPr>
      <w:spacing w:beforeLines="0" w:afterLines="0"/>
    </w:pPr>
    <w:rPr>
      <w:rFonts w:ascii="宋体" w:eastAsia="宋体"/>
    </w:rPr>
  </w:style>
  <w:style w:type="paragraph" w:customStyle="1" w:styleId="117">
    <w:name w:val="实施日期"/>
    <w:qFormat/>
    <w:uiPriority w:val="0"/>
    <w:pPr>
      <w:framePr w:w="3997" w:h="471" w:hRule="exact" w:vSpace="181" w:wrap="around" w:vAnchor="page" w:hAnchor="page" w:x="7089" w:y="14097"/>
      <w:jc w:val="right"/>
    </w:pPr>
    <w:rPr>
      <w:rFonts w:ascii="Times New Roman" w:hAnsi="Times New Roman" w:eastAsia="黑体" w:cs="Times New Roman"/>
      <w:sz w:val="28"/>
      <w:lang w:val="en-US" w:eastAsia="zh-CN" w:bidi="ar-SA"/>
    </w:rPr>
  </w:style>
  <w:style w:type="paragraph" w:customStyle="1" w:styleId="118">
    <w:name w:val="示例后文字"/>
    <w:basedOn w:val="24"/>
    <w:next w:val="24"/>
    <w:qFormat/>
    <w:uiPriority w:val="0"/>
    <w:pPr>
      <w:ind w:firstLine="360"/>
    </w:pPr>
    <w:rPr>
      <w:sz w:val="18"/>
    </w:rPr>
  </w:style>
  <w:style w:type="paragraph" w:customStyle="1" w:styleId="119">
    <w:name w:val="首示例"/>
    <w:next w:val="24"/>
    <w:link w:val="120"/>
    <w:qFormat/>
    <w:uiPriority w:val="0"/>
    <w:pPr>
      <w:tabs>
        <w:tab w:val="left" w:pos="360"/>
      </w:tabs>
    </w:pPr>
    <w:rPr>
      <w:rFonts w:ascii="宋体" w:hAnsi="宋体" w:eastAsia="宋体" w:cs="Times New Roman"/>
      <w:kern w:val="2"/>
      <w:sz w:val="18"/>
      <w:szCs w:val="18"/>
      <w:lang w:val="en-US" w:eastAsia="zh-CN" w:bidi="ar-SA"/>
    </w:rPr>
  </w:style>
  <w:style w:type="character" w:customStyle="1" w:styleId="120">
    <w:name w:val="首示例 Char"/>
    <w:link w:val="119"/>
    <w:qFormat/>
    <w:uiPriority w:val="0"/>
    <w:rPr>
      <w:rFonts w:ascii="宋体" w:hAnsi="宋体"/>
      <w:kern w:val="2"/>
      <w:sz w:val="18"/>
      <w:szCs w:val="18"/>
    </w:rPr>
  </w:style>
  <w:style w:type="paragraph" w:customStyle="1" w:styleId="121">
    <w:name w:val="四级无"/>
    <w:basedOn w:val="58"/>
    <w:qFormat/>
    <w:uiPriority w:val="0"/>
    <w:pPr>
      <w:spacing w:beforeLines="0" w:afterLines="0"/>
    </w:pPr>
    <w:rPr>
      <w:rFonts w:ascii="宋体" w:eastAsia="宋体"/>
    </w:rPr>
  </w:style>
  <w:style w:type="paragraph" w:customStyle="1" w:styleId="122">
    <w:name w:val="条文脚注"/>
    <w:basedOn w:val="25"/>
    <w:qFormat/>
    <w:uiPriority w:val="0"/>
    <w:pPr>
      <w:numPr>
        <w:numId w:val="0"/>
      </w:numPr>
      <w:jc w:val="both"/>
    </w:pPr>
  </w:style>
  <w:style w:type="paragraph" w:customStyle="1" w:styleId="123">
    <w:name w:val="图标脚注说明"/>
    <w:basedOn w:val="24"/>
    <w:qFormat/>
    <w:uiPriority w:val="0"/>
    <w:pPr>
      <w:ind w:left="840" w:hanging="420" w:firstLineChars="0"/>
    </w:pPr>
    <w:rPr>
      <w:sz w:val="18"/>
      <w:szCs w:val="18"/>
    </w:rPr>
  </w:style>
  <w:style w:type="paragraph" w:customStyle="1" w:styleId="124">
    <w:name w:val="图表脚注说明"/>
    <w:basedOn w:val="1"/>
    <w:qFormat/>
    <w:uiPriority w:val="0"/>
    <w:pPr>
      <w:numPr>
        <w:ilvl w:val="0"/>
        <w:numId w:val="15"/>
      </w:numPr>
    </w:pPr>
    <w:rPr>
      <w:rFonts w:ascii="宋体"/>
      <w:sz w:val="18"/>
      <w:szCs w:val="18"/>
    </w:rPr>
  </w:style>
  <w:style w:type="paragraph" w:customStyle="1" w:styleId="125">
    <w:name w:val="图的脚注"/>
    <w:next w:val="24"/>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paragraph" w:customStyle="1" w:styleId="126">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127">
    <w:name w:val="五级无"/>
    <w:basedOn w:val="59"/>
    <w:qFormat/>
    <w:uiPriority w:val="0"/>
    <w:pPr>
      <w:spacing w:beforeLines="0" w:afterLines="0"/>
    </w:pPr>
    <w:rPr>
      <w:rFonts w:ascii="宋体" w:eastAsia="宋体"/>
    </w:rPr>
  </w:style>
  <w:style w:type="paragraph" w:customStyle="1" w:styleId="128">
    <w:name w:val="一级无"/>
    <w:basedOn w:val="45"/>
    <w:qFormat/>
    <w:uiPriority w:val="0"/>
    <w:pPr>
      <w:spacing w:beforeLines="0" w:afterLines="0"/>
    </w:pPr>
    <w:rPr>
      <w:rFonts w:ascii="宋体" w:eastAsia="宋体"/>
    </w:rPr>
  </w:style>
  <w:style w:type="paragraph" w:customStyle="1" w:styleId="129">
    <w:name w:val="正文表标题"/>
    <w:next w:val="24"/>
    <w:qFormat/>
    <w:uiPriority w:val="0"/>
    <w:pPr>
      <w:numPr>
        <w:ilvl w:val="0"/>
        <w:numId w:val="16"/>
      </w:numPr>
      <w:spacing w:beforeLines="50" w:afterLines="50"/>
      <w:jc w:val="center"/>
    </w:pPr>
    <w:rPr>
      <w:rFonts w:ascii="黑体" w:hAnsi="Times New Roman" w:eastAsia="黑体" w:cs="Times New Roman"/>
      <w:sz w:val="21"/>
      <w:lang w:val="en-US" w:eastAsia="zh-CN" w:bidi="ar-SA"/>
    </w:rPr>
  </w:style>
  <w:style w:type="paragraph" w:customStyle="1" w:styleId="130">
    <w:name w:val="正文公式编号制表符"/>
    <w:basedOn w:val="24"/>
    <w:next w:val="24"/>
    <w:qFormat/>
    <w:uiPriority w:val="0"/>
    <w:pPr>
      <w:ind w:firstLine="0" w:firstLineChars="0"/>
    </w:pPr>
  </w:style>
  <w:style w:type="paragraph" w:customStyle="1" w:styleId="131">
    <w:name w:val="正文图标题"/>
    <w:next w:val="24"/>
    <w:qFormat/>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32">
    <w:name w:val="终结线"/>
    <w:basedOn w:val="1"/>
    <w:qFormat/>
    <w:uiPriority w:val="0"/>
    <w:pPr>
      <w:framePr w:hSpace="181" w:vSpace="181" w:wrap="around" w:vAnchor="text" w:hAnchor="margin" w:xAlign="center" w:y="285"/>
    </w:pPr>
  </w:style>
  <w:style w:type="paragraph" w:customStyle="1" w:styleId="133">
    <w:name w:val="其他发布日期"/>
    <w:qFormat/>
    <w:uiPriority w:val="0"/>
    <w:pPr>
      <w:framePr w:w="3997" w:h="471" w:hRule="exact" w:vSpace="181" w:wrap="around" w:vAnchor="page" w:hAnchor="page" w:x="1419" w:y="14097" w:anchorLock="1"/>
    </w:pPr>
    <w:rPr>
      <w:rFonts w:ascii="Times New Roman" w:hAnsi="Times New Roman" w:eastAsia="黑体" w:cs="Times New Roman"/>
      <w:sz w:val="28"/>
      <w:lang w:val="en-US" w:eastAsia="zh-CN" w:bidi="ar-SA"/>
    </w:rPr>
  </w:style>
  <w:style w:type="paragraph" w:customStyle="1" w:styleId="134">
    <w:name w:val="其他实施日期"/>
    <w:basedOn w:val="117"/>
    <w:qFormat/>
    <w:uiPriority w:val="0"/>
    <w:pPr>
      <w:framePr/>
    </w:pPr>
  </w:style>
  <w:style w:type="paragraph" w:customStyle="1" w:styleId="135">
    <w:name w:val="封面标准名称2"/>
    <w:basedOn w:val="81"/>
    <w:qFormat/>
    <w:uiPriority w:val="0"/>
    <w:pPr>
      <w:framePr w:y="4469"/>
      <w:spacing w:beforeLines="630"/>
    </w:pPr>
  </w:style>
  <w:style w:type="paragraph" w:customStyle="1" w:styleId="136">
    <w:name w:val="封面标准英文名称2"/>
    <w:basedOn w:val="82"/>
    <w:qFormat/>
    <w:uiPriority w:val="0"/>
    <w:pPr>
      <w:framePr w:y="4469"/>
    </w:pPr>
  </w:style>
  <w:style w:type="paragraph" w:customStyle="1" w:styleId="137">
    <w:name w:val="封面一致性程度标识2"/>
    <w:basedOn w:val="83"/>
    <w:qFormat/>
    <w:uiPriority w:val="0"/>
    <w:pPr>
      <w:framePr w:y="4469"/>
    </w:pPr>
  </w:style>
  <w:style w:type="paragraph" w:customStyle="1" w:styleId="138">
    <w:name w:val="封面标准文稿类别2"/>
    <w:basedOn w:val="84"/>
    <w:qFormat/>
    <w:uiPriority w:val="0"/>
    <w:pPr>
      <w:framePr w:y="4469"/>
    </w:pPr>
  </w:style>
  <w:style w:type="paragraph" w:customStyle="1" w:styleId="139">
    <w:name w:val="封面标准文稿编辑信息2"/>
    <w:basedOn w:val="85"/>
    <w:qFormat/>
    <w:uiPriority w:val="0"/>
    <w:pPr>
      <w:framePr w:y="4469"/>
    </w:pPr>
  </w:style>
  <w:style w:type="paragraph" w:customStyle="1" w:styleId="140">
    <w:name w:val="标准名称"/>
    <w:basedOn w:val="53"/>
    <w:link w:val="143"/>
    <w:qFormat/>
    <w:uiPriority w:val="0"/>
  </w:style>
  <w:style w:type="character" w:customStyle="1" w:styleId="141">
    <w:name w:val="占位符文本1"/>
    <w:basedOn w:val="36"/>
    <w:semiHidden/>
    <w:qFormat/>
    <w:uiPriority w:val="99"/>
    <w:rPr>
      <w:color w:val="808080"/>
    </w:rPr>
  </w:style>
  <w:style w:type="character" w:customStyle="1" w:styleId="142">
    <w:name w:val="目次、标准名称标题 Char"/>
    <w:basedOn w:val="36"/>
    <w:link w:val="53"/>
    <w:qFormat/>
    <w:uiPriority w:val="0"/>
    <w:rPr>
      <w:rFonts w:ascii="黑体" w:eastAsia="黑体"/>
      <w:sz w:val="32"/>
      <w:shd w:val="clear" w:color="FFFFFF" w:fill="FFFFFF"/>
    </w:rPr>
  </w:style>
  <w:style w:type="character" w:customStyle="1" w:styleId="143">
    <w:name w:val="标准名称 Char"/>
    <w:basedOn w:val="142"/>
    <w:link w:val="140"/>
    <w:qFormat/>
    <w:uiPriority w:val="0"/>
    <w:rPr>
      <w:rFonts w:ascii="黑体" w:eastAsia="黑体"/>
      <w:sz w:val="32"/>
      <w:shd w:val="clear" w:color="FFFFFF" w:fill="FFFFFF"/>
    </w:rPr>
  </w:style>
  <w:style w:type="character" w:customStyle="1" w:styleId="144">
    <w:name w:val="批注框文本 Char"/>
    <w:basedOn w:val="36"/>
    <w:link w:val="17"/>
    <w:qFormat/>
    <w:uiPriority w:val="0"/>
    <w:rPr>
      <w:kern w:val="2"/>
      <w:sz w:val="18"/>
      <w:szCs w:val="18"/>
    </w:rPr>
  </w:style>
  <w:style w:type="paragraph" w:customStyle="1" w:styleId="145">
    <w:name w:val="标准文件_段"/>
    <w:basedOn w:val="1"/>
    <w:qFormat/>
    <w:uiPriority w:val="0"/>
    <w:pPr>
      <w:widowControl/>
      <w:autoSpaceDE w:val="0"/>
      <w:autoSpaceDN w:val="0"/>
      <w:ind w:firstLine="200" w:firstLineChars="200"/>
    </w:pPr>
    <w:rPr>
      <w:rFonts w:ascii="宋体"/>
      <w:kern w:val="0"/>
      <w:szCs w:val="21"/>
    </w:rPr>
  </w:style>
  <w:style w:type="paragraph" w:customStyle="1" w:styleId="146">
    <w:name w:val="标准文件_术语条一"/>
    <w:basedOn w:val="147"/>
    <w:next w:val="145"/>
    <w:qFormat/>
    <w:uiPriority w:val="0"/>
    <w:pPr>
      <w:ind w:left="1560"/>
    </w:pPr>
  </w:style>
  <w:style w:type="paragraph" w:customStyle="1" w:styleId="147">
    <w:name w:val="标准文件_一级无标题"/>
    <w:basedOn w:val="148"/>
    <w:qFormat/>
    <w:uiPriority w:val="0"/>
    <w:pPr>
      <w:spacing w:beforeLines="0" w:afterLines="0"/>
      <w:outlineLvl w:val="9"/>
    </w:pPr>
    <w:rPr>
      <w:rFonts w:ascii="宋体" w:eastAsia="宋体"/>
    </w:rPr>
  </w:style>
  <w:style w:type="paragraph" w:customStyle="1" w:styleId="148">
    <w:name w:val="标准文件_一级条标题"/>
    <w:basedOn w:val="149"/>
    <w:next w:val="145"/>
    <w:qFormat/>
    <w:uiPriority w:val="0"/>
    <w:pPr>
      <w:numPr>
        <w:ilvl w:val="2"/>
      </w:numPr>
      <w:spacing w:beforeLines="50" w:afterLines="50"/>
      <w:ind w:left="0"/>
      <w:outlineLvl w:val="1"/>
    </w:pPr>
  </w:style>
  <w:style w:type="paragraph" w:customStyle="1" w:styleId="149">
    <w:name w:val="标准文件_章标题"/>
    <w:next w:val="145"/>
    <w:qFormat/>
    <w:uiPriority w:val="0"/>
    <w:pPr>
      <w:numPr>
        <w:ilvl w:val="1"/>
        <w:numId w:val="18"/>
      </w:numPr>
      <w:spacing w:beforeLines="100" w:afterLines="100"/>
      <w:jc w:val="both"/>
      <w:outlineLvl w:val="0"/>
    </w:pPr>
    <w:rPr>
      <w:rFonts w:ascii="黑体" w:hAnsi="Times New Roman" w:eastAsia="黑体" w:cs="Times New Roman"/>
      <w:sz w:val="21"/>
      <w:lang w:val="en-US" w:eastAsia="zh-CN" w:bidi="ar-SA"/>
    </w:rPr>
  </w:style>
  <w:style w:type="paragraph" w:customStyle="1" w:styleId="150">
    <w:name w:val="标准文件_二级条标题"/>
    <w:basedOn w:val="1"/>
    <w:next w:val="1"/>
    <w:qFormat/>
    <w:uiPriority w:val="0"/>
    <w:pPr>
      <w:spacing w:beforeLines="50" w:afterLines="50"/>
      <w:ind w:left="1702"/>
      <w:outlineLvl w:val="2"/>
    </w:pPr>
    <w:rPr>
      <w:rFonts w:hint="eastAsia" w:ascii="黑体" w:eastAsia="黑体"/>
      <w:kern w:val="0"/>
      <w:szCs w:val="21"/>
    </w:rPr>
  </w:style>
  <w:style w:type="paragraph" w:customStyle="1" w:styleId="151">
    <w:name w:val="msolistparagraph"/>
    <w:basedOn w:val="1"/>
    <w:qFormat/>
    <w:uiPriority w:val="0"/>
    <w:pPr>
      <w:ind w:firstLine="420" w:firstLineChars="200"/>
    </w:pPr>
    <w:rPr>
      <w:rFonts w:hint="eastAsia" w:ascii="等线" w:hAnsi="等线" w:eastAsia="等线"/>
      <w:szCs w:val="22"/>
    </w:rPr>
  </w:style>
  <w:style w:type="character" w:customStyle="1" w:styleId="152">
    <w:name w:val="标题 1 Char"/>
    <w:basedOn w:val="36"/>
    <w:link w:val="2"/>
    <w:qFormat/>
    <w:uiPriority w:val="0"/>
    <w:rPr>
      <w:rFonts w:ascii="Times New Roman" w:hAnsi="Times New Roman" w:eastAsia="宋体" w:cs="Times New Roman"/>
      <w:b/>
      <w:bCs/>
      <w:kern w:val="44"/>
      <w:sz w:val="44"/>
      <w:szCs w:val="44"/>
    </w:rPr>
  </w:style>
  <w:style w:type="paragraph" w:customStyle="1" w:styleId="153">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76092" w:themeColor="accent1" w:themeShade="BF"/>
      <w:kern w:val="0"/>
      <w:sz w:val="32"/>
      <w:szCs w:val="32"/>
    </w:rPr>
  </w:style>
  <w:style w:type="character" w:customStyle="1" w:styleId="154">
    <w:name w:val="批注文字 Char"/>
    <w:basedOn w:val="36"/>
    <w:link w:val="9"/>
    <w:semiHidden/>
    <w:qFormat/>
    <w:uiPriority w:val="0"/>
    <w:rPr>
      <w:rFonts w:ascii="Times New Roman" w:hAnsi="Times New Roman" w:eastAsia="宋体" w:cs="Times New Roman"/>
      <w:kern w:val="2"/>
      <w:sz w:val="21"/>
      <w:szCs w:val="24"/>
    </w:rPr>
  </w:style>
  <w:style w:type="character" w:customStyle="1" w:styleId="155">
    <w:name w:val="批注主题 Char"/>
    <w:basedOn w:val="154"/>
    <w:link w:val="33"/>
    <w:semiHidden/>
    <w:qFormat/>
    <w:uiPriority w:val="0"/>
    <w:rPr>
      <w:rFonts w:ascii="Times New Roman" w:hAnsi="Times New Roman" w:eastAsia="宋体" w:cs="Times New Roman"/>
      <w:b/>
      <w:bCs/>
      <w:kern w:val="2"/>
      <w:sz w:val="21"/>
      <w:szCs w:val="24"/>
    </w:rPr>
  </w:style>
  <w:style w:type="paragraph" w:customStyle="1" w:styleId="156">
    <w:name w:val="修订1"/>
    <w:hidden/>
    <w:semiHidden/>
    <w:qFormat/>
    <w:uiPriority w:val="99"/>
    <w:rPr>
      <w:rFonts w:ascii="Times New Roman" w:hAnsi="Times New Roman" w:eastAsia="宋体" w:cs="Times New Roman"/>
      <w:kern w:val="2"/>
      <w:sz w:val="21"/>
      <w:szCs w:val="24"/>
      <w:lang w:val="en-US" w:eastAsia="zh-CN" w:bidi="ar-SA"/>
    </w:rPr>
  </w:style>
  <w:style w:type="character" w:styleId="157">
    <w:name w:val="Placeholder Text"/>
    <w:basedOn w:val="36"/>
    <w:semiHidden/>
    <w:qFormat/>
    <w:uiPriority w:val="99"/>
    <w:rPr>
      <w:color w:val="666666"/>
    </w:rPr>
  </w:style>
  <w:style w:type="paragraph" w:styleId="158">
    <w:name w:val="List Paragraph"/>
    <w:basedOn w:val="1"/>
    <w:qFormat/>
    <w:uiPriority w:val="99"/>
    <w:pPr>
      <w:ind w:firstLine="420" w:firstLineChars="200"/>
    </w:pPr>
  </w:style>
  <w:style w:type="paragraph" w:customStyle="1" w:styleId="159">
    <w:name w:val="修订2"/>
    <w:hidden/>
    <w:semiHidden/>
    <w:qFormat/>
    <w:uiPriority w:val="99"/>
    <w:rPr>
      <w:rFonts w:ascii="Times New Roman" w:hAnsi="Times New Roman" w:eastAsia="宋体" w:cs="Times New Roman"/>
      <w:kern w:val="2"/>
      <w:sz w:val="21"/>
      <w:szCs w:val="24"/>
      <w:lang w:val="en-US"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glossaryDocument" Target="glossary/document.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111"/>
        <w:style w:val=""/>
        <w:category>
          <w:name w:val="常规"/>
          <w:gallery w:val="placeholder"/>
        </w:category>
        <w:types>
          <w:type w:val="bbPlcHdr"/>
        </w:types>
        <w:behaviors>
          <w:behavior w:val="content"/>
        </w:behaviors>
        <w:description w:val=""/>
        <w:guid w:val="{028989F2-0355-49D4-BDA6-4D56B5D374C0}"/>
      </w:docPartPr>
      <w:docPartBody>
        <w:p>
          <w:pPr>
            <w:pStyle w:val="5"/>
          </w:pPr>
          <w:r>
            <w:rPr>
              <w:rStyle w:val="4"/>
              <w:rFonts w:hint="eastAsia"/>
            </w:rPr>
            <w:t>标准名称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true"/>
  <w:bordersDoNotSurroundFooter w:val="true"/>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113A"/>
    <w:rsid w:val="0000555E"/>
    <w:rsid w:val="0002647A"/>
    <w:rsid w:val="0002653F"/>
    <w:rsid w:val="0004372F"/>
    <w:rsid w:val="00080DE3"/>
    <w:rsid w:val="00087E40"/>
    <w:rsid w:val="000B56BB"/>
    <w:rsid w:val="000C73CF"/>
    <w:rsid w:val="000D39C7"/>
    <w:rsid w:val="00101FD0"/>
    <w:rsid w:val="001132F9"/>
    <w:rsid w:val="00114ABC"/>
    <w:rsid w:val="00125833"/>
    <w:rsid w:val="00136B77"/>
    <w:rsid w:val="001C16E0"/>
    <w:rsid w:val="002068C7"/>
    <w:rsid w:val="0022029E"/>
    <w:rsid w:val="00251126"/>
    <w:rsid w:val="00287713"/>
    <w:rsid w:val="002A15DF"/>
    <w:rsid w:val="002D7C47"/>
    <w:rsid w:val="003166ED"/>
    <w:rsid w:val="00323E80"/>
    <w:rsid w:val="003344F3"/>
    <w:rsid w:val="003372E5"/>
    <w:rsid w:val="003750AF"/>
    <w:rsid w:val="003B27A9"/>
    <w:rsid w:val="003C3AEF"/>
    <w:rsid w:val="00416E6C"/>
    <w:rsid w:val="00424B60"/>
    <w:rsid w:val="00430F92"/>
    <w:rsid w:val="004C23EE"/>
    <w:rsid w:val="004F113A"/>
    <w:rsid w:val="004F19F0"/>
    <w:rsid w:val="004F1EC5"/>
    <w:rsid w:val="00504B95"/>
    <w:rsid w:val="00515A81"/>
    <w:rsid w:val="00525CE1"/>
    <w:rsid w:val="005335DD"/>
    <w:rsid w:val="00542D79"/>
    <w:rsid w:val="0058425F"/>
    <w:rsid w:val="00595E09"/>
    <w:rsid w:val="005A3C73"/>
    <w:rsid w:val="006331E5"/>
    <w:rsid w:val="006453B1"/>
    <w:rsid w:val="006462C5"/>
    <w:rsid w:val="00646BC3"/>
    <w:rsid w:val="00674FBA"/>
    <w:rsid w:val="006B2898"/>
    <w:rsid w:val="006D02E4"/>
    <w:rsid w:val="006D05A0"/>
    <w:rsid w:val="006F1B62"/>
    <w:rsid w:val="007216E9"/>
    <w:rsid w:val="00786424"/>
    <w:rsid w:val="007A0207"/>
    <w:rsid w:val="007C6ACB"/>
    <w:rsid w:val="007D3FAA"/>
    <w:rsid w:val="007D489E"/>
    <w:rsid w:val="007E2797"/>
    <w:rsid w:val="00800293"/>
    <w:rsid w:val="00820E7E"/>
    <w:rsid w:val="00874996"/>
    <w:rsid w:val="008774E0"/>
    <w:rsid w:val="008A4466"/>
    <w:rsid w:val="008D1688"/>
    <w:rsid w:val="008E024D"/>
    <w:rsid w:val="008F0268"/>
    <w:rsid w:val="00902EF8"/>
    <w:rsid w:val="00937631"/>
    <w:rsid w:val="009805D7"/>
    <w:rsid w:val="00982DAC"/>
    <w:rsid w:val="00990F3F"/>
    <w:rsid w:val="009B16B1"/>
    <w:rsid w:val="009C69C5"/>
    <w:rsid w:val="00A423E1"/>
    <w:rsid w:val="00A94E45"/>
    <w:rsid w:val="00AC3109"/>
    <w:rsid w:val="00AD6808"/>
    <w:rsid w:val="00B00C16"/>
    <w:rsid w:val="00B30DC8"/>
    <w:rsid w:val="00B36625"/>
    <w:rsid w:val="00B717AC"/>
    <w:rsid w:val="00BC67AA"/>
    <w:rsid w:val="00C762F3"/>
    <w:rsid w:val="00C875D2"/>
    <w:rsid w:val="00CB0B2B"/>
    <w:rsid w:val="00CF09DB"/>
    <w:rsid w:val="00D4454B"/>
    <w:rsid w:val="00D65DD7"/>
    <w:rsid w:val="00DA4409"/>
    <w:rsid w:val="00DB5033"/>
    <w:rsid w:val="00DF079E"/>
    <w:rsid w:val="00E95A08"/>
    <w:rsid w:val="00EA15BD"/>
    <w:rsid w:val="00EA32AC"/>
    <w:rsid w:val="00EE4902"/>
    <w:rsid w:val="00F34716"/>
    <w:rsid w:val="00F4328C"/>
    <w:rsid w:val="00F4726D"/>
    <w:rsid w:val="00F93653"/>
    <w:rsid w:val="00FB547F"/>
    <w:rsid w:val="00FF0B73"/>
    <w:rsid w:val="00FF0E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cs="Times New Roman" w:asciiTheme="minorHAnsi" w:hAnsiTheme="minorHAnsi" w:eastAsiaTheme="minorEastAsia"/>
      <w:kern w:val="2"/>
      <w:sz w:val="3276"/>
      <w:szCs w:val="3276"/>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customStyle="1" w:styleId="4">
    <w:name w:val="占位符文本1"/>
    <w:basedOn w:val="2"/>
    <w:semiHidden/>
    <w:qFormat/>
    <w:uiPriority w:val="99"/>
    <w:rPr>
      <w:color w:val="808080"/>
    </w:rPr>
  </w:style>
  <w:style w:type="paragraph" w:customStyle="1" w:styleId="5">
    <w:name w:val="1112"/>
    <w:qFormat/>
    <w:uiPriority w:val="0"/>
    <w:pPr>
      <w:keepNext/>
      <w:pageBreakBefore/>
      <w:shd w:val="clear" w:color="FFFFFF" w:fill="FFFFFF"/>
      <w:spacing w:before="640" w:after="560" w:line="460" w:lineRule="exact"/>
      <w:jc w:val="center"/>
      <w:outlineLvl w:val="0"/>
    </w:pPr>
    <w:rPr>
      <w:rFonts w:ascii="黑体" w:hAnsi="Times New Roman" w:eastAsia="黑体" w:cs="Times New Roman"/>
      <w:sz w:val="32"/>
      <w:lang w:val="en-US" w:eastAsia="zh-CN" w:bidi="ar-SA"/>
    </w:rPr>
  </w:style>
  <w:style w:type="character" w:styleId="6">
    <w:name w:val="Placeholder Text"/>
    <w:basedOn w:val="2"/>
    <w:semiHidden/>
    <w:qFormat/>
    <w:uiPriority w:val="99"/>
    <w:rPr>
      <w:color w:val="666666"/>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zle</Company>
  <Pages>1</Pages>
  <Words>1186</Words>
  <Characters>6766</Characters>
  <Lines>56</Lines>
  <Paragraphs>15</Paragraphs>
  <TotalTime>3</TotalTime>
  <ScaleCrop>false</ScaleCrop>
  <LinksUpToDate>false</LinksUpToDate>
  <CharactersWithSpaces>7937</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2024-09-19T14:12:00Z</dcterms:created>
  <dc:creator>CNIS</dc:creator>
  <cp:lastModifiedBy>王璐</cp:lastModifiedBy>
  <cp:lastPrinted>2024-01-24T06:20:00Z</cp:lastPrinted>
  <dcterms:modified xsi:type="dcterms:W3CDTF">2024-09-20T19:58:09Z</dcterms:modified>
  <dc:title>标准名称</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D46E36CCBA014A8ABC92E5C214569408_13</vt:lpwstr>
  </property>
</Properties>
</file>