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bookmarkStart w:id="129" w:name="_GoBack"/>
            <w:bookmarkEnd w:id="129"/>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27.010 "/>
                  </w:textInput>
                </w:ffData>
              </w:fldChar>
            </w:r>
            <w:r>
              <w:rPr>
                <w:rFonts w:ascii="黑体" w:hAnsi="黑体" w:eastAsia="黑体"/>
                <w:sz w:val="21"/>
                <w:szCs w:val="21"/>
              </w:rPr>
              <w:instrText xml:space="preserve"> </w:instrText>
            </w:r>
            <w:bookmarkStart w:id="0" w:name="ICS"/>
            <w:r>
              <w:rPr>
                <w:rFonts w:ascii="黑体" w:hAnsi="黑体" w:eastAsia="黑体"/>
                <w:sz w:val="21"/>
                <w:szCs w:val="21"/>
              </w:rPr>
              <w:instrText xml:space="preserve">FORMTEXT </w:instrText>
            </w:r>
            <w:r>
              <w:rPr>
                <w:rFonts w:ascii="黑体" w:hAnsi="黑体" w:eastAsia="黑体"/>
                <w:sz w:val="21"/>
                <w:szCs w:val="21"/>
              </w:rPr>
              <w:fldChar w:fldCharType="separate"/>
            </w:r>
            <w:r>
              <w:rPr>
                <w:rFonts w:ascii="黑体" w:hAnsi="黑体" w:eastAsia="黑体"/>
                <w:sz w:val="21"/>
                <w:szCs w:val="21"/>
              </w:rPr>
              <w:t xml:space="preserve">27.010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F 01</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3"/>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11</w:t>
            </w:r>
            <w:r>
              <w:fldChar w:fldCharType="end"/>
            </w:r>
            <w:bookmarkEnd w:id="3"/>
          </w:p>
        </w:tc>
      </w:tr>
    </w:tbl>
    <w:p>
      <w:pPr>
        <w:pStyle w:val="54"/>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北京市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9"/>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11/T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200"/>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4"/>
        <w:framePr w:w="9639" w:h="6976" w:hRule="exact" w:hSpace="0" w:vSpace="0" w:hAnchor="page" w:y="6408"/>
        <w:jc w:val="center"/>
        <w:rPr>
          <w:rFonts w:ascii="黑体" w:hAnsi="黑体" w:eastAsia="黑体"/>
          <w:b w:val="0"/>
          <w:bCs w:val="0"/>
          <w:w w:val="100"/>
        </w:rPr>
      </w:pPr>
    </w:p>
    <w:p>
      <w:pPr>
        <w:pStyle w:val="20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能源计量器具配备和管理规范 机关</w:t>
      </w:r>
      <w:r>
        <w:fldChar w:fldCharType="end"/>
      </w:r>
      <w:bookmarkEnd w:id="9"/>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equipping and managing of the measuring instrument of government organs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textAlignment w:val="bottom"/>
        <w:rPr>
          <w:rFonts w:eastAsia="黑体"/>
          <w:szCs w:val="28"/>
        </w:rPr>
      </w:pPr>
    </w:p>
    <w:p>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7"/>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8"/>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5"/>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北京市市场监督管理局</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5"/>
        <w:spacing w:after="468"/>
        <w:rPr>
          <w:rFonts w:hint="eastAsia"/>
        </w:rPr>
      </w:pPr>
      <w:bookmarkStart w:id="21" w:name="BookMark1"/>
      <w:bookmarkStart w:id="22" w:name="_Toc165214722"/>
      <w:bookmarkStart w:id="23" w:name="_Toc175572666"/>
      <w:bookmarkStart w:id="24" w:name="_Toc148082327"/>
      <w:bookmarkStart w:id="25" w:name="_Toc165214691"/>
      <w:bookmarkStart w:id="26" w:name="_Toc175572596"/>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"_Toc177216772" </w:instrText>
      </w:r>
      <w:r>
        <w:fldChar w:fldCharType="separate"/>
      </w:r>
      <w:r>
        <w:rPr>
          <w:rStyle w:val="35"/>
        </w:rPr>
        <w:t>前言</w:t>
      </w:r>
      <w:r>
        <w:tab/>
      </w:r>
      <w:r>
        <w:fldChar w:fldCharType="begin"/>
      </w:r>
      <w:r>
        <w:instrText xml:space="preserve"> PAGEREF _Toc177216772 \h </w:instrText>
      </w:r>
      <w:r>
        <w:fldChar w:fldCharType="separate"/>
      </w:r>
      <w:r>
        <w:t>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"_Toc177216773" </w:instrText>
      </w:r>
      <w:r>
        <w:fldChar w:fldCharType="separate"/>
      </w:r>
      <w:r>
        <w:rPr>
          <w:rStyle w:val="35"/>
        </w:rPr>
        <w:t>1  范围</w:t>
      </w:r>
      <w:r>
        <w:tab/>
      </w:r>
      <w:r>
        <w:fldChar w:fldCharType="begin"/>
      </w:r>
      <w:r>
        <w:instrText xml:space="preserve"> PAGEREF _Toc177216773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"_Toc177216774" </w:instrText>
      </w:r>
      <w:r>
        <w:fldChar w:fldCharType="separate"/>
      </w:r>
      <w:r>
        <w:rPr>
          <w:rStyle w:val="35"/>
        </w:rPr>
        <w:t>2  规范性引用文件</w:t>
      </w:r>
      <w:r>
        <w:tab/>
      </w:r>
      <w:r>
        <w:fldChar w:fldCharType="begin"/>
      </w:r>
      <w:r>
        <w:instrText xml:space="preserve"> PAGEREF _Toc177216774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"_Toc177216775" </w:instrText>
      </w:r>
      <w:r>
        <w:fldChar w:fldCharType="separate"/>
      </w:r>
      <w:r>
        <w:rPr>
          <w:rStyle w:val="35"/>
        </w:rPr>
        <w:t>3  术语和定义</w:t>
      </w:r>
      <w:r>
        <w:tab/>
      </w:r>
      <w:r>
        <w:fldChar w:fldCharType="begin"/>
      </w:r>
      <w:r>
        <w:instrText xml:space="preserve"> PAGEREF _Toc177216775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"_Toc177216776" </w:instrText>
      </w:r>
      <w:r>
        <w:fldChar w:fldCharType="separate"/>
      </w:r>
      <w:r>
        <w:rPr>
          <w:rStyle w:val="35"/>
        </w:rPr>
        <w:t>4  能源计量的种类和范围</w:t>
      </w:r>
      <w:r>
        <w:tab/>
      </w:r>
      <w:r>
        <w:fldChar w:fldCharType="begin"/>
      </w:r>
      <w:r>
        <w:instrText xml:space="preserve"> PAGEREF _Toc177216776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"_Toc177216777" </w:instrText>
      </w:r>
      <w:r>
        <w:fldChar w:fldCharType="separate"/>
      </w:r>
      <w:r>
        <w:rPr>
          <w:rStyle w:val="35"/>
        </w:rPr>
        <w:t>5  能源计量器具的配备原则</w:t>
      </w:r>
      <w:r>
        <w:tab/>
      </w:r>
      <w:r>
        <w:fldChar w:fldCharType="begin"/>
      </w:r>
      <w:r>
        <w:instrText xml:space="preserve"> PAGEREF _Toc177216777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"_Toc177216778" </w:instrText>
      </w:r>
      <w:r>
        <w:fldChar w:fldCharType="separate"/>
      </w:r>
      <w:r>
        <w:rPr>
          <w:rStyle w:val="35"/>
        </w:rPr>
        <w:t>6  能源计量器具的配备要求</w:t>
      </w:r>
      <w:r>
        <w:tab/>
      </w:r>
      <w:r>
        <w:fldChar w:fldCharType="begin"/>
      </w:r>
      <w:r>
        <w:instrText xml:space="preserve"> PAGEREF _Toc177216778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"_Toc177216779" </w:instrText>
      </w:r>
      <w:r>
        <w:fldChar w:fldCharType="separate"/>
      </w:r>
      <w:r>
        <w:rPr>
          <w:rStyle w:val="35"/>
        </w:rPr>
        <w:t>7  能源计量的管理要求</w:t>
      </w:r>
      <w:r>
        <w:tab/>
      </w:r>
      <w:r>
        <w:fldChar w:fldCharType="begin"/>
      </w:r>
      <w:r>
        <w:instrText xml:space="preserve"> PAGEREF _Toc177216779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"_Toc177216780" </w:instrText>
      </w:r>
      <w:r>
        <w:fldChar w:fldCharType="separate"/>
      </w:r>
      <w:r>
        <w:rPr>
          <w:rStyle w:val="35"/>
        </w:rPr>
        <w:t>8  能源计量的数据要求</w:t>
      </w:r>
      <w:r>
        <w:tab/>
      </w:r>
      <w:r>
        <w:fldChar w:fldCharType="begin"/>
      </w:r>
      <w:r>
        <w:instrText xml:space="preserve"> PAGEREF _Toc177216780 \h </w:instrText>
      </w:r>
      <w:r>
        <w:fldChar w:fldCharType="separate"/>
      </w:r>
      <w:r>
        <w:t>5</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"_Toc177216781" </w:instrText>
      </w:r>
      <w:r>
        <w:fldChar w:fldCharType="separate"/>
      </w:r>
      <w:r>
        <w:rPr>
          <w:rStyle w:val="35"/>
        </w:rPr>
        <w:t>附录A（资料性）  机关规模分类表</w:t>
      </w:r>
      <w:r>
        <w:tab/>
      </w:r>
      <w:r>
        <w:fldChar w:fldCharType="begin"/>
      </w:r>
      <w:r>
        <w:instrText xml:space="preserve"> PAGEREF _Toc177216781 \h </w:instrText>
      </w:r>
      <w:r>
        <w:fldChar w:fldCharType="separate"/>
      </w:r>
      <w:r>
        <w:t>6</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"_Toc177216782" </w:instrText>
      </w:r>
      <w:r>
        <w:fldChar w:fldCharType="separate"/>
      </w:r>
      <w:r>
        <w:rPr>
          <w:rStyle w:val="35"/>
        </w:rPr>
        <w:t>附录B（资料性）  能源计量器具配备情况统计汇总表</w:t>
      </w:r>
      <w:r>
        <w:tab/>
      </w:r>
      <w:r>
        <w:fldChar w:fldCharType="begin"/>
      </w:r>
      <w:r>
        <w:instrText xml:space="preserve"> PAGEREF _Toc177216782 \h </w:instrText>
      </w:r>
      <w:r>
        <w:fldChar w:fldCharType="separate"/>
      </w:r>
      <w:r>
        <w:t>7</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"_Toc177216783" </w:instrText>
      </w:r>
      <w:r>
        <w:fldChar w:fldCharType="separate"/>
      </w:r>
      <w:r>
        <w:rPr>
          <w:rStyle w:val="35"/>
        </w:rPr>
        <w:t>附录C（资料性）  计量器具一览表模板</w:t>
      </w:r>
      <w:r>
        <w:tab/>
      </w:r>
      <w:r>
        <w:fldChar w:fldCharType="begin"/>
      </w:r>
      <w:r>
        <w:instrText xml:space="preserve"> PAGEREF _Toc177216783 \h </w:instrText>
      </w:r>
      <w:r>
        <w:fldChar w:fldCharType="separate"/>
      </w:r>
      <w:r>
        <w:t>9</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"_Toc177216784" </w:instrText>
      </w:r>
      <w:r>
        <w:fldChar w:fldCharType="separate"/>
      </w:r>
      <w:r>
        <w:rPr>
          <w:rStyle w:val="35"/>
        </w:rPr>
        <w:t>附录D（资料性）  数据采集记录模板</w:t>
      </w:r>
      <w:r>
        <w:tab/>
      </w:r>
      <w:r>
        <w:fldChar w:fldCharType="begin"/>
      </w:r>
      <w:r>
        <w:instrText xml:space="preserve"> PAGEREF _Toc177216784 \h </w:instrText>
      </w:r>
      <w:r>
        <w:fldChar w:fldCharType="separate"/>
      </w:r>
      <w:r>
        <w:t>10</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"_Toc177216785" </w:instrText>
      </w:r>
      <w:r>
        <w:fldChar w:fldCharType="separate"/>
      </w:r>
      <w:r>
        <w:rPr>
          <w:rStyle w:val="35"/>
        </w:rPr>
        <w:t>参考文献</w:t>
      </w:r>
      <w:r>
        <w:tab/>
      </w:r>
      <w:r>
        <w:fldChar w:fldCharType="begin"/>
      </w:r>
      <w:r>
        <w:instrText xml:space="preserve"> PAGEREF _Toc177216785 \h </w:instrText>
      </w:r>
      <w:r>
        <w:fldChar w:fldCharType="separate"/>
      </w:r>
      <w:r>
        <w:t>11</w:t>
      </w:r>
      <w:r>
        <w:fldChar w:fldCharType="end"/>
      </w:r>
      <w:r>
        <w:fldChar w:fldCharType="end"/>
      </w:r>
    </w:p>
    <w:p>
      <w:pPr>
        <w:pStyle w:val="95"/>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3"/>
        <w:spacing w:before="900" w:after="468"/>
      </w:pPr>
      <w:bookmarkStart w:id="27" w:name="_Toc177216772"/>
      <w:bookmarkStart w:id="28" w:name="BookMark2"/>
      <w:r>
        <w:rPr>
          <w:spacing w:val="320"/>
        </w:rPr>
        <w:t>前</w:t>
      </w:r>
      <w:r>
        <w:t>言</w:t>
      </w:r>
      <w:bookmarkEnd w:id="22"/>
      <w:bookmarkEnd w:id="23"/>
      <w:bookmarkEnd w:id="24"/>
      <w:bookmarkEnd w:id="25"/>
      <w:bookmarkEnd w:id="26"/>
      <w:bookmarkEnd w:id="27"/>
    </w:p>
    <w:p>
      <w:pPr>
        <w:pStyle w:val="60"/>
        <w:ind w:firstLine="420"/>
      </w:pPr>
      <w:r>
        <w:rPr>
          <w:rFonts w:hint="eastAsia"/>
        </w:rPr>
        <w:t>本文件按照GB/T 1.1—2020《标准化工作导则  第1部分：标准化文件的结构和起草规则》的规定起草。</w:t>
      </w:r>
    </w:p>
    <w:p>
      <w:pPr>
        <w:pStyle w:val="60"/>
        <w:ind w:firstLine="420"/>
      </w:pPr>
      <w:r>
        <w:rPr>
          <w:rFonts w:hint="eastAsia"/>
        </w:rPr>
        <w:t>本文件由北京市机关事务管理局、北京市市场监督管理局、北京市发展和改革委员会提出并归口。</w:t>
      </w:r>
    </w:p>
    <w:p>
      <w:pPr>
        <w:pStyle w:val="60"/>
        <w:ind w:firstLine="420"/>
      </w:pPr>
      <w:r>
        <w:rPr>
          <w:rFonts w:hint="eastAsia"/>
        </w:rPr>
        <w:t>本文件由北京市机关事务管理局组织实施。</w:t>
      </w:r>
    </w:p>
    <w:p>
      <w:pPr>
        <w:pStyle w:val="60"/>
        <w:ind w:firstLine="420"/>
      </w:pPr>
      <w:r>
        <w:rPr>
          <w:rFonts w:hint="eastAsia"/>
        </w:rPr>
        <w:t>本文件起草单位：</w:t>
      </w:r>
    </w:p>
    <w:p>
      <w:pPr>
        <w:pStyle w:val="60"/>
        <w:ind w:firstLine="420"/>
      </w:pPr>
      <w:r>
        <w:rPr>
          <w:rFonts w:hint="eastAsia"/>
        </w:rPr>
        <w:t>本文件主要起草人：</w:t>
      </w:r>
    </w:p>
    <w:p>
      <w:pPr>
        <w:pStyle w:val="60"/>
        <w:ind w:firstLine="420"/>
      </w:pPr>
    </w:p>
    <w:p>
      <w:pPr>
        <w:pStyle w:val="60"/>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pPr>
        <w:spacing w:line="20" w:lineRule="exact"/>
        <w:jc w:val="center"/>
        <w:rPr>
          <w:rFonts w:ascii="黑体" w:hAnsi="黑体" w:eastAsia="黑体"/>
          <w:sz w:val="32"/>
          <w:szCs w:val="32"/>
        </w:rPr>
      </w:pPr>
      <w:bookmarkStart w:id="29" w:name="BookMark4"/>
    </w:p>
    <w:p>
      <w:pPr>
        <w:spacing w:line="20" w:lineRule="exact"/>
        <w:jc w:val="center"/>
        <w:rPr>
          <w:rFonts w:ascii="黑体" w:hAnsi="黑体" w:eastAsia="黑体"/>
          <w:sz w:val="32"/>
          <w:szCs w:val="32"/>
        </w:rPr>
      </w:pPr>
    </w:p>
    <w:sdt>
      <w:sdtPr>
        <w:tag w:val="NEW_STAND_NAME"/>
        <w:id w:val="595910757"/>
        <w:lock w:val="sdtLocked"/>
        <w:placeholder>
          <w:docPart w:val="2308CBFEE6794D22ACD7B4DF80777991"/>
        </w:placeholder>
      </w:sdtPr>
      <w:sdtContent>
        <w:p>
          <w:pPr>
            <w:pStyle w:val="181"/>
            <w:spacing w:before="3" w:beforeLines="1" w:after="686" w:afterLines="220"/>
          </w:pPr>
          <w:bookmarkStart w:id="30" w:name="NEW_STAND_NAME"/>
          <w:r>
            <w:rPr>
              <w:rFonts w:hint="eastAsia"/>
            </w:rPr>
            <w:t>能源计量器具配备和管理规范</w:t>
          </w:r>
          <w:r>
            <w:t xml:space="preserve"> 机关</w:t>
          </w:r>
        </w:p>
      </w:sdtContent>
    </w:sdt>
    <w:bookmarkEnd w:id="30"/>
    <w:p>
      <w:pPr>
        <w:pStyle w:val="108"/>
        <w:spacing w:before="312" w:after="312"/>
      </w:pPr>
      <w:bookmarkStart w:id="31" w:name="_Toc165214723"/>
      <w:bookmarkStart w:id="32" w:name="_Toc97191423"/>
      <w:bookmarkStart w:id="33" w:name="_Toc148082328"/>
      <w:bookmarkStart w:id="34" w:name="_Toc165214692"/>
      <w:bookmarkStart w:id="35" w:name="_Toc26648465"/>
      <w:bookmarkStart w:id="36" w:name="_Toc175572667"/>
      <w:bookmarkStart w:id="37" w:name="_Toc26718930"/>
      <w:bookmarkStart w:id="38" w:name="_Toc177216773"/>
      <w:bookmarkStart w:id="39" w:name="_Toc175572597"/>
      <w:bookmarkStart w:id="40" w:name="_Toc17233325"/>
      <w:bookmarkStart w:id="41" w:name="_Toc26986530"/>
      <w:bookmarkStart w:id="42" w:name="_Toc24884211"/>
      <w:bookmarkStart w:id="43" w:name="_Toc17233333"/>
      <w:bookmarkStart w:id="44" w:name="_Toc26986771"/>
      <w:bookmarkStart w:id="45" w:name="_Toc24884218"/>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60"/>
        <w:ind w:firstLine="420"/>
      </w:pPr>
      <w:bookmarkStart w:id="46" w:name="_Toc17233334"/>
      <w:bookmarkStart w:id="47" w:name="_Toc24884219"/>
      <w:bookmarkStart w:id="48" w:name="_Toc17233326"/>
      <w:bookmarkStart w:id="49" w:name="_Toc26648466"/>
      <w:bookmarkStart w:id="50" w:name="_Toc24884212"/>
      <w:r>
        <w:rPr>
          <w:rFonts w:hint="eastAsia"/>
        </w:rPr>
        <w:t>本文件规定了机关能源计量的种类和范围、能源计量器具的配备原则、配备要求和能源计量的管理要求、数据要求。</w:t>
      </w:r>
    </w:p>
    <w:p>
      <w:pPr>
        <w:pStyle w:val="60"/>
        <w:ind w:firstLine="420"/>
      </w:pPr>
      <w:r>
        <w:rPr>
          <w:rFonts w:hint="eastAsia"/>
        </w:rPr>
        <w:t>本文件适用于党的机关、人大机关、行政机关、政协机关、监察机关、审判机关、检察机关及工会、共青团、妇联等人民团体和参照公务员法管理的事业单位，其他机构可参照执行。</w:t>
      </w:r>
    </w:p>
    <w:p>
      <w:pPr>
        <w:pStyle w:val="108"/>
        <w:spacing w:before="312" w:after="312"/>
      </w:pPr>
      <w:bookmarkStart w:id="51" w:name="_Toc165214693"/>
      <w:bookmarkStart w:id="52" w:name="_Toc175572668"/>
      <w:bookmarkStart w:id="53" w:name="_Toc26718931"/>
      <w:bookmarkStart w:id="54" w:name="_Toc148082329"/>
      <w:bookmarkStart w:id="55" w:name="_Toc97191424"/>
      <w:bookmarkStart w:id="56" w:name="_Toc26986772"/>
      <w:bookmarkStart w:id="57" w:name="_Toc26986531"/>
      <w:bookmarkStart w:id="58" w:name="_Toc177216774"/>
      <w:bookmarkStart w:id="59" w:name="_Toc165214724"/>
      <w:bookmarkStart w:id="60" w:name="_Toc175572598"/>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59D409E1955C4CEC84C93ED08494BE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0"/>
        <w:ind w:firstLine="420"/>
      </w:pPr>
      <w:r>
        <w:rPr>
          <w:rFonts w:hint="eastAsia"/>
        </w:rPr>
        <w:t>GB 17167 用能单位能源计量器具配备和管理通则</w:t>
      </w:r>
    </w:p>
    <w:p>
      <w:pPr>
        <w:pStyle w:val="60"/>
        <w:ind w:firstLine="420"/>
      </w:pPr>
      <w:r>
        <w:t xml:space="preserve">GB/T 23833 </w:t>
      </w:r>
      <w:r>
        <w:rPr>
          <w:rFonts w:hint="eastAsia"/>
        </w:rPr>
        <w:t>商品条码 资产编码与条码表示</w:t>
      </w:r>
    </w:p>
    <w:p>
      <w:pPr>
        <w:pStyle w:val="60"/>
        <w:ind w:firstLine="420"/>
      </w:pPr>
      <w:r>
        <w:rPr>
          <w:rFonts w:hint="eastAsia"/>
        </w:rPr>
        <w:t>DB11/T 1769 用水单位水计量与统计管理规范</w:t>
      </w:r>
    </w:p>
    <w:p>
      <w:pPr>
        <w:pStyle w:val="60"/>
        <w:ind w:firstLine="420"/>
      </w:pPr>
      <w:r>
        <w:t xml:space="preserve">DB11/T 2223 </w:t>
      </w:r>
      <w:r>
        <w:rPr>
          <w:rFonts w:hint="eastAsia"/>
        </w:rPr>
        <w:t>公共机构能源资源消费统计管理规范</w:t>
      </w:r>
    </w:p>
    <w:p>
      <w:pPr>
        <w:pStyle w:val="108"/>
        <w:spacing w:before="312" w:after="312"/>
      </w:pPr>
      <w:bookmarkStart w:id="61" w:name="_Toc165214725"/>
      <w:bookmarkStart w:id="62" w:name="_Toc177216775"/>
      <w:bookmarkStart w:id="63" w:name="_Toc175572599"/>
      <w:bookmarkStart w:id="64" w:name="_Toc165214694"/>
      <w:bookmarkStart w:id="65" w:name="_Toc175572669"/>
      <w:bookmarkStart w:id="66" w:name="_Toc97191425"/>
      <w:bookmarkStart w:id="67" w:name="_Toc148082330"/>
      <w:r>
        <w:rPr>
          <w:rFonts w:hint="eastAsia"/>
          <w:szCs w:val="21"/>
        </w:rPr>
        <w:t>术语和定义</w:t>
      </w:r>
      <w:bookmarkEnd w:id="61"/>
      <w:bookmarkEnd w:id="62"/>
      <w:bookmarkEnd w:id="63"/>
      <w:bookmarkEnd w:id="64"/>
      <w:bookmarkEnd w:id="65"/>
      <w:bookmarkEnd w:id="66"/>
      <w:bookmarkEnd w:id="67"/>
    </w:p>
    <w:sdt>
      <w:sdtPr>
        <w:rPr>
          <w:rFonts w:hint="eastAsia"/>
        </w:rPr>
        <w:id w:val="-1909835108"/>
        <w:placeholder>
          <w:docPart w:val="6F449DF8F0E64827BFA8535B274266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60"/>
            <w:ind w:firstLine="420"/>
          </w:pPr>
          <w:bookmarkStart w:id="68" w:name="_Toc26986532"/>
          <w:bookmarkEnd w:id="68"/>
          <w:r>
            <w:rPr>
              <w:rFonts w:hint="eastAsia"/>
            </w:rPr>
            <w:t xml:space="preserve"> GB 17167、DB11/T 1769、DB11/T 2223界定的术语和定义适用于本文件。</w:t>
          </w:r>
        </w:p>
      </w:sdtContent>
    </w:sdt>
    <w:p>
      <w:pPr>
        <w:pStyle w:val="108"/>
        <w:spacing w:before="312" w:after="312"/>
      </w:pPr>
      <w:bookmarkStart w:id="69" w:name="_Toc165214695"/>
      <w:bookmarkStart w:id="70" w:name="_Toc175572670"/>
      <w:bookmarkStart w:id="71" w:name="_Toc177216776"/>
      <w:bookmarkStart w:id="72" w:name="_Toc165214726"/>
      <w:bookmarkStart w:id="73" w:name="_Toc175572600"/>
      <w:bookmarkStart w:id="74" w:name="_Toc148082331"/>
      <w:r>
        <w:rPr>
          <w:rFonts w:hint="eastAsia"/>
        </w:rPr>
        <w:t>能源计量的种类和范围</w:t>
      </w:r>
      <w:bookmarkEnd w:id="69"/>
      <w:bookmarkEnd w:id="70"/>
      <w:bookmarkEnd w:id="71"/>
      <w:bookmarkEnd w:id="72"/>
      <w:bookmarkEnd w:id="73"/>
      <w:bookmarkEnd w:id="74"/>
    </w:p>
    <w:p>
      <w:pPr>
        <w:pStyle w:val="109"/>
        <w:spacing w:before="156" w:after="156"/>
      </w:pPr>
      <w:bookmarkStart w:id="75" w:name="_Toc148082332"/>
      <w:r>
        <w:rPr>
          <w:rFonts w:hint="eastAsia"/>
        </w:rPr>
        <w:t>计量能源资源种类</w:t>
      </w:r>
      <w:bookmarkEnd w:id="75"/>
    </w:p>
    <w:p>
      <w:pPr>
        <w:pStyle w:val="60"/>
        <w:ind w:firstLine="420"/>
        <w:rPr>
          <w:color w:val="000000" w:themeColor="text1"/>
          <w14:textFill>
            <w14:solidFill>
              <w14:schemeClr w14:val="tx1"/>
            </w14:solidFill>
          </w14:textFill>
        </w:rPr>
      </w:pPr>
      <w:r>
        <w:rPr>
          <w:rFonts w:hint="eastAsia"/>
        </w:rPr>
        <w:t>能源资源的种类包括电力、热力、天然气、成品油、水资源</w:t>
      </w:r>
      <w:r>
        <w:rPr>
          <w:rFonts w:hint="eastAsia"/>
          <w:color w:val="000000" w:themeColor="text1"/>
          <w14:textFill>
            <w14:solidFill>
              <w14:schemeClr w14:val="tx1"/>
            </w14:solidFill>
          </w14:textFill>
        </w:rPr>
        <w:t>、载能工质等。</w:t>
      </w:r>
    </w:p>
    <w:p>
      <w:pPr>
        <w:pStyle w:val="109"/>
        <w:spacing w:before="156" w:after="156"/>
      </w:pPr>
      <w:bookmarkStart w:id="76" w:name="_Toc148082333"/>
      <w:r>
        <w:rPr>
          <w:rFonts w:hint="eastAsia"/>
        </w:rPr>
        <w:t>能源计量的范围</w:t>
      </w:r>
      <w:bookmarkEnd w:id="76"/>
    </w:p>
    <w:p>
      <w:pPr>
        <w:pStyle w:val="60"/>
        <w:ind w:firstLine="420"/>
      </w:pPr>
      <w:r>
        <w:rPr>
          <w:rFonts w:hint="eastAsia"/>
        </w:rPr>
        <w:t>能源计量的范围包括以下各项：</w:t>
      </w:r>
    </w:p>
    <w:p>
      <w:pPr>
        <w:pStyle w:val="178"/>
      </w:pPr>
      <w:r>
        <w:rPr>
          <w:rFonts w:hint="eastAsia"/>
        </w:rPr>
        <w:t>输入机关、功能区（独立建筑）以及主要用能设备的能源、水资源及载能工质；</w:t>
      </w:r>
    </w:p>
    <w:p>
      <w:pPr>
        <w:pStyle w:val="178"/>
      </w:pPr>
      <w:r>
        <w:rPr>
          <w:rFonts w:hint="eastAsia"/>
        </w:rPr>
        <w:t>输出机关、功能区（独立建筑）以及主要用能设备的能源、水资源及载能工质；</w:t>
      </w:r>
    </w:p>
    <w:p>
      <w:pPr>
        <w:pStyle w:val="178"/>
      </w:pPr>
      <w:r>
        <w:rPr>
          <w:rFonts w:hint="eastAsia"/>
        </w:rPr>
        <w:t>机关、功能区（独立建筑）以及主要用能设备使用（消耗）的能源、水资源及载能工质；</w:t>
      </w:r>
    </w:p>
    <w:p>
      <w:pPr>
        <w:pStyle w:val="178"/>
      </w:pPr>
      <w:r>
        <w:rPr>
          <w:rFonts w:hint="eastAsia"/>
        </w:rPr>
        <w:t>机关自产的能源、回收利用的余能资源、水资源等。</w:t>
      </w:r>
    </w:p>
    <w:p>
      <w:pPr>
        <w:pStyle w:val="178"/>
        <w:numPr>
          <w:ilvl w:val="255"/>
          <w:numId w:val="0"/>
        </w:numPr>
        <w:ind w:left="425"/>
      </w:pPr>
      <w:r>
        <w:rPr>
          <w:rFonts w:hint="eastAsia" w:ascii="黑体" w:hAnsi="黑体" w:eastAsia="黑体"/>
          <w:color w:val="000000"/>
          <w:sz w:val="18"/>
          <w:szCs w:val="18"/>
        </w:rPr>
        <w:t>注：</w:t>
      </w:r>
      <w:r>
        <w:rPr>
          <w:rFonts w:hint="eastAsia" w:hAnsi="宋体"/>
          <w:color w:val="000000"/>
          <w:sz w:val="18"/>
          <w:szCs w:val="18"/>
        </w:rPr>
        <w:t>载能工质是指</w:t>
      </w:r>
      <w:r>
        <w:rPr>
          <w:rFonts w:hAnsi="宋体"/>
          <w:color w:val="000000"/>
          <w:sz w:val="18"/>
          <w:szCs w:val="18"/>
        </w:rPr>
        <w:t>由于本身状态参数的变化而能够吸收或放出能量的介质，即介质是能量的载体</w:t>
      </w:r>
      <w:r>
        <w:rPr>
          <w:rFonts w:hint="eastAsia" w:hAnsi="宋体"/>
          <w:color w:val="000000"/>
          <w:sz w:val="18"/>
          <w:szCs w:val="18"/>
        </w:rPr>
        <w:t>，例如：</w:t>
      </w:r>
      <w:r>
        <w:rPr>
          <w:rFonts w:hAnsi="宋体"/>
          <w:color w:val="000000"/>
          <w:sz w:val="18"/>
          <w:szCs w:val="18"/>
        </w:rPr>
        <w:t>水蒸气</w:t>
      </w:r>
      <w:r>
        <w:rPr>
          <w:rFonts w:hint="eastAsia" w:hAnsi="宋体"/>
          <w:color w:val="000000"/>
          <w:sz w:val="18"/>
          <w:szCs w:val="18"/>
        </w:rPr>
        <w:t>、供冷和采暖用冷热水、压缩空气等。</w:t>
      </w:r>
    </w:p>
    <w:p>
      <w:pPr>
        <w:pStyle w:val="108"/>
        <w:spacing w:before="312" w:after="312"/>
      </w:pPr>
      <w:bookmarkStart w:id="77" w:name="_Toc177216777"/>
      <w:bookmarkStart w:id="78" w:name="_Toc148082334"/>
      <w:bookmarkStart w:id="79" w:name="_Toc165214696"/>
      <w:bookmarkStart w:id="80" w:name="_Toc175572671"/>
      <w:bookmarkStart w:id="81" w:name="_Toc165214727"/>
      <w:bookmarkStart w:id="82" w:name="_Toc175572601"/>
      <w:r>
        <w:rPr>
          <w:rFonts w:hint="eastAsia"/>
        </w:rPr>
        <w:t>能源计量器具的配备原则</w:t>
      </w:r>
      <w:bookmarkEnd w:id="77"/>
      <w:bookmarkEnd w:id="78"/>
      <w:bookmarkEnd w:id="79"/>
      <w:bookmarkEnd w:id="80"/>
      <w:bookmarkEnd w:id="81"/>
      <w:bookmarkEnd w:id="82"/>
    </w:p>
    <w:p>
      <w:pPr>
        <w:pStyle w:val="166"/>
      </w:pPr>
      <w:r>
        <w:rPr>
          <w:rFonts w:hint="eastAsia"/>
        </w:rPr>
        <w:t>满足机关能源和水资源分类计量的要求。</w:t>
      </w:r>
    </w:p>
    <w:p>
      <w:pPr>
        <w:pStyle w:val="166"/>
      </w:pPr>
      <w:r>
        <w:rPr>
          <w:rFonts w:hint="eastAsia"/>
        </w:rPr>
        <w:t>满足机关能源和水资源分户、分区计量的要求。</w:t>
      </w:r>
    </w:p>
    <w:p>
      <w:pPr>
        <w:pStyle w:val="166"/>
      </w:pPr>
      <w:r>
        <w:rPr>
          <w:rFonts w:hint="eastAsia"/>
        </w:rPr>
        <w:t>满足主要用能设备（系统）、主要用水设备（系统）单独计量的要求。</w:t>
      </w:r>
    </w:p>
    <w:p>
      <w:pPr>
        <w:pStyle w:val="166"/>
      </w:pPr>
      <w:r>
        <w:rPr>
          <w:rFonts w:hint="eastAsia"/>
          <w:color w:val="000000" w:themeColor="text1"/>
          <w14:textFill>
            <w14:solidFill>
              <w14:schemeClr w14:val="tx1"/>
            </w14:solidFill>
          </w14:textFill>
        </w:rPr>
        <w:t>满足机关实现能源精细化管理的要求。</w:t>
      </w:r>
    </w:p>
    <w:p>
      <w:pPr>
        <w:pStyle w:val="108"/>
        <w:spacing w:before="312" w:after="312"/>
      </w:pPr>
      <w:bookmarkStart w:id="83" w:name="_Toc170215356"/>
      <w:bookmarkEnd w:id="83"/>
      <w:bookmarkStart w:id="84" w:name="_Toc175572602"/>
      <w:bookmarkStart w:id="85" w:name="_Toc177216778"/>
      <w:bookmarkStart w:id="86" w:name="_Toc175572672"/>
      <w:bookmarkStart w:id="87" w:name="_Toc165214697"/>
      <w:bookmarkStart w:id="88" w:name="_Toc148082335"/>
      <w:bookmarkStart w:id="89" w:name="_Toc165214728"/>
      <w:r>
        <w:rPr>
          <w:rFonts w:hint="eastAsia"/>
        </w:rPr>
        <w:t>能源计量器具的配备要求</w:t>
      </w:r>
      <w:bookmarkEnd w:id="84"/>
      <w:bookmarkEnd w:id="85"/>
      <w:bookmarkEnd w:id="86"/>
      <w:bookmarkEnd w:id="87"/>
      <w:bookmarkEnd w:id="88"/>
      <w:bookmarkEnd w:id="89"/>
    </w:p>
    <w:p>
      <w:pPr>
        <w:pStyle w:val="109"/>
        <w:spacing w:before="156" w:after="156"/>
      </w:pPr>
      <w:r>
        <w:rPr>
          <w:rFonts w:hint="eastAsia"/>
        </w:rPr>
        <w:t>一般要求</w:t>
      </w:r>
    </w:p>
    <w:p>
      <w:pPr>
        <w:pStyle w:val="169"/>
      </w:pPr>
      <w:r>
        <w:rPr>
          <w:rFonts w:hint="eastAsia"/>
          <w:color w:val="000000" w:themeColor="text1"/>
          <w14:textFill>
            <w14:solidFill>
              <w14:schemeClr w14:val="tx1"/>
            </w14:solidFill>
          </w14:textFill>
        </w:rPr>
        <w:t>应满足</w:t>
      </w:r>
      <w:r>
        <w:rPr>
          <w:color w:val="000000" w:themeColor="text1"/>
          <w14:textFill>
            <w14:solidFill>
              <w14:schemeClr w14:val="tx1"/>
            </w14:solidFill>
          </w14:textFill>
        </w:rPr>
        <w:t>DB11/T 2223</w:t>
      </w:r>
      <w:r>
        <w:rPr>
          <w:rFonts w:hAnsi="宋体"/>
          <w:color w:val="000000" w:themeColor="text1"/>
          <w:szCs w:val="21"/>
          <w14:textFill>
            <w14:solidFill>
              <w14:schemeClr w14:val="tx1"/>
            </w14:solidFill>
          </w14:textFill>
        </w:rPr>
        <w:t>中能源监测</w:t>
      </w:r>
      <w:r>
        <w:rPr>
          <w:rFonts w:hint="eastAsia"/>
          <w:color w:val="000000" w:themeColor="text1"/>
          <w14:textFill>
            <w14:solidFill>
              <w14:schemeClr w14:val="tx1"/>
            </w14:solidFill>
          </w14:textFill>
        </w:rPr>
        <w:t>要求，实现能源和水资源统计分析、用能水平评价及碳排放计算的要求。</w:t>
      </w:r>
    </w:p>
    <w:p>
      <w:pPr>
        <w:pStyle w:val="169"/>
      </w:pPr>
      <w:r>
        <w:rPr>
          <w:rFonts w:hint="eastAsia"/>
        </w:rPr>
        <w:t>新建建筑和既有建筑进行改造时，应配备冷热量计量器具。</w:t>
      </w:r>
    </w:p>
    <w:p>
      <w:pPr>
        <w:pStyle w:val="169"/>
      </w:pPr>
      <w:r>
        <w:rPr>
          <w:rFonts w:hint="eastAsia"/>
        </w:rPr>
        <w:t>宜满足主要用能设备（系统）运行能效评价的要求。</w:t>
      </w:r>
    </w:p>
    <w:p>
      <w:pPr>
        <w:pStyle w:val="169"/>
      </w:pPr>
      <w:r>
        <w:rPr>
          <w:rFonts w:hint="eastAsia"/>
        </w:rPr>
        <w:t>宜配备必要的便携式计量器具，以满足能源计量自检自查要求。</w:t>
      </w:r>
    </w:p>
    <w:p>
      <w:pPr>
        <w:pStyle w:val="169"/>
      </w:pPr>
      <w:r>
        <w:rPr>
          <w:rFonts w:hint="eastAsia"/>
          <w:color w:val="000000" w:themeColor="text1"/>
          <w14:textFill>
            <w14:solidFill>
              <w14:schemeClr w14:val="tx1"/>
            </w14:solidFill>
          </w14:textFill>
        </w:rPr>
        <w:t>鼓励配备具有自动采集和远程传输功能的能源计量器具。</w:t>
      </w:r>
    </w:p>
    <w:p>
      <w:pPr>
        <w:pStyle w:val="109"/>
        <w:spacing w:before="156" w:after="156"/>
      </w:pPr>
      <w:bookmarkStart w:id="90" w:name="_Toc148082336"/>
      <w:r>
        <w:rPr>
          <w:rFonts w:hint="eastAsia"/>
        </w:rPr>
        <w:t>分类</w:t>
      </w:r>
      <w:r>
        <w:t>计量</w:t>
      </w:r>
    </w:p>
    <w:p>
      <w:pPr>
        <w:pStyle w:val="60"/>
        <w:spacing w:before="156" w:after="156"/>
        <w:ind w:firstLine="420"/>
      </w:pPr>
      <w:r>
        <w:rPr>
          <w:rFonts w:hint="eastAsia"/>
        </w:rPr>
        <w:t>不同品种能源和来自不同水源的水资源应单独计量。</w:t>
      </w:r>
    </w:p>
    <w:p>
      <w:pPr>
        <w:pStyle w:val="109"/>
        <w:spacing w:before="156" w:after="156"/>
      </w:pPr>
      <w:r>
        <w:rPr>
          <w:rFonts w:hint="eastAsia"/>
        </w:rPr>
        <w:t>分户</w:t>
      </w:r>
      <w:r>
        <w:t>计量</w:t>
      </w:r>
      <w:bookmarkEnd w:id="90"/>
    </w:p>
    <w:p>
      <w:pPr>
        <w:pStyle w:val="60"/>
        <w:ind w:firstLine="420"/>
      </w:pPr>
      <w:r>
        <w:rPr>
          <w:rFonts w:hint="eastAsia"/>
        </w:rPr>
        <w:t>进出能源独立核算机关的各类能源和水资源应单独计量。</w:t>
      </w:r>
      <w:bookmarkStart w:id="91" w:name="_Toc148082337"/>
    </w:p>
    <w:p>
      <w:pPr>
        <w:pStyle w:val="109"/>
        <w:spacing w:before="156" w:after="156"/>
      </w:pPr>
      <w:r>
        <w:rPr>
          <w:rFonts w:hint="eastAsia"/>
        </w:rPr>
        <w:t>分区计量</w:t>
      </w:r>
      <w:bookmarkEnd w:id="91"/>
    </w:p>
    <w:p>
      <w:pPr>
        <w:pStyle w:val="169"/>
      </w:pPr>
      <w:r>
        <w:rPr>
          <w:rFonts w:hint="eastAsia"/>
        </w:rPr>
        <w:t>拥有多栋建筑的机关，其每栋建筑的能源消耗量应单独计量。</w:t>
      </w:r>
    </w:p>
    <w:p>
      <w:pPr>
        <w:pStyle w:val="169"/>
      </w:pPr>
      <w:r>
        <w:rPr>
          <w:rFonts w:hint="eastAsia"/>
        </w:rPr>
        <w:t>机关内能源和水资源消耗量（或功率）大于或等于GB</w:t>
      </w:r>
      <w:r>
        <w:t xml:space="preserve"> </w:t>
      </w:r>
      <w:r>
        <w:rPr>
          <w:rFonts w:hint="eastAsia"/>
        </w:rPr>
        <w:t>17167规定的主要次级用能单位能源消耗量（或功率）限定值的功能区应单独计量。</w:t>
      </w:r>
    </w:p>
    <w:p>
      <w:pPr>
        <w:pStyle w:val="169"/>
      </w:pPr>
      <w:r>
        <w:rPr>
          <w:rFonts w:hint="eastAsia"/>
        </w:rPr>
        <w:t>机关内数据中心、办事大厅、展览大厅、监控中心、调度中心、印刷厂等业务区，其能源消耗量应单独计量。</w:t>
      </w:r>
    </w:p>
    <w:p>
      <w:pPr>
        <w:pStyle w:val="169"/>
      </w:pPr>
      <w:r>
        <w:rPr>
          <w:rFonts w:hint="eastAsia"/>
        </w:rPr>
        <w:t>大型和中型机关的食堂、公共浴室能源和水资源消耗量应单独计量。</w:t>
      </w:r>
      <w:r>
        <w:rPr>
          <w:rFonts w:hint="eastAsia"/>
          <w:color w:val="000000" w:themeColor="text1"/>
          <w14:textFill>
            <w14:solidFill>
              <w14:schemeClr w14:val="tx1"/>
            </w14:solidFill>
          </w14:textFill>
        </w:rPr>
        <w:t>机关规模的划分见附录</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w:t>
      </w:r>
    </w:p>
    <w:p>
      <w:pPr>
        <w:pStyle w:val="169"/>
      </w:pPr>
      <w:r>
        <w:rPr>
          <w:rFonts w:hint="eastAsia"/>
        </w:rPr>
        <w:t>提供后勤保障服务的功能区，如制冷机房、锅炉房、生活热水机房、给水泵房、采暖换热站、公寓、大型洗涤间等，其能源和水资源消耗量应单独计量。</w:t>
      </w:r>
    </w:p>
    <w:p>
      <w:pPr>
        <w:pStyle w:val="169"/>
      </w:pPr>
      <w:r>
        <w:rPr>
          <w:rFonts w:hint="eastAsia"/>
        </w:rPr>
        <w:t>绿化用水、景观用水、供暖及空调补水等应单独计量。</w:t>
      </w:r>
    </w:p>
    <w:p>
      <w:pPr>
        <w:pStyle w:val="169"/>
      </w:pPr>
      <w:r>
        <w:rPr>
          <w:rFonts w:hint="eastAsia"/>
        </w:rPr>
        <w:t>机关对外服务及外包场所的能源和水资源消耗量应单独计量。</w:t>
      </w:r>
    </w:p>
    <w:p>
      <w:pPr>
        <w:pStyle w:val="169"/>
      </w:pPr>
      <w:r>
        <w:rPr>
          <w:rFonts w:hint="eastAsia"/>
        </w:rPr>
        <w:t>两个（含）以上在同一栋建筑或同一个区域不同建筑内集中办公的机关，各机关的能源消耗量宜分别计量。</w:t>
      </w:r>
    </w:p>
    <w:p>
      <w:pPr>
        <w:pStyle w:val="109"/>
        <w:spacing w:before="156" w:after="156"/>
      </w:pPr>
      <w:r>
        <w:rPr>
          <w:rFonts w:hint="eastAsia"/>
        </w:rPr>
        <w:t>其它情形</w:t>
      </w:r>
    </w:p>
    <w:p>
      <w:pPr>
        <w:pStyle w:val="169"/>
      </w:pPr>
      <w:r>
        <w:rPr>
          <w:rFonts w:hint="eastAsia"/>
        </w:rPr>
        <w:t>充电桩的电力消耗量应单独计量。</w:t>
      </w:r>
    </w:p>
    <w:p>
      <w:pPr>
        <w:pStyle w:val="169"/>
      </w:pPr>
      <w:r>
        <w:rPr>
          <w:rFonts w:hint="eastAsia"/>
        </w:rPr>
        <w:t>可再生能源、再生水、中水的生产和使用应单独计量。</w:t>
      </w:r>
    </w:p>
    <w:p>
      <w:pPr>
        <w:pStyle w:val="169"/>
      </w:pPr>
      <w:r>
        <w:rPr>
          <w:rFonts w:hint="eastAsia"/>
        </w:rPr>
        <w:t>应相关部门要求承担的市政配套设施及服务，如景观展示、道路清扫、市政绿化等能源和水资源消耗量应单独计量。</w:t>
      </w:r>
    </w:p>
    <w:p>
      <w:pPr>
        <w:pStyle w:val="169"/>
      </w:pPr>
      <w:r>
        <w:rPr>
          <w:rFonts w:hint="eastAsia"/>
        </w:rPr>
        <w:t>正在建设或维修改造的区域能源和水资源消耗量应单独计量。</w:t>
      </w:r>
    </w:p>
    <w:p>
      <w:pPr>
        <w:pStyle w:val="109"/>
        <w:spacing w:before="156" w:after="156"/>
      </w:pPr>
      <w:bookmarkStart w:id="92" w:name="_Toc148082338"/>
      <w:r>
        <w:rPr>
          <w:rFonts w:hint="eastAsia"/>
        </w:rPr>
        <w:t>主要</w:t>
      </w:r>
      <w:r>
        <w:t>用能设备</w:t>
      </w:r>
      <w:bookmarkEnd w:id="92"/>
    </w:p>
    <w:p>
      <w:pPr>
        <w:pStyle w:val="169"/>
      </w:pPr>
      <w:r>
        <w:rPr>
          <w:rFonts w:hint="eastAsia"/>
        </w:rPr>
        <w:t>大型和中型机关的主要用能设备，如中央空调制冷机组、热泵机组、电梯、锅炉等，其能源和水资源消耗量应单独计量。</w:t>
      </w:r>
    </w:p>
    <w:p>
      <w:pPr>
        <w:pStyle w:val="169"/>
      </w:pPr>
      <w:r>
        <w:rPr>
          <w:rFonts w:hint="eastAsia"/>
        </w:rPr>
        <w:t>符合表1和表2要求的用能和用水设备应单独计量。</w:t>
      </w:r>
    </w:p>
    <w:p>
      <w:pPr>
        <w:pStyle w:val="116"/>
        <w:spacing w:before="156" w:after="156"/>
      </w:pPr>
      <w:r>
        <w:rPr>
          <w:rFonts w:hint="eastAsia"/>
        </w:rPr>
        <w:t>机关固定用电设备功率限定值</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vAlign w:val="center"/>
          </w:tcPr>
          <w:p>
            <w:pPr>
              <w:pStyle w:val="182"/>
            </w:pPr>
            <w:r>
              <w:rPr>
                <w:rFonts w:hint="eastAsia"/>
              </w:rPr>
              <w:t>使用时间/(h/a)</w:t>
            </w:r>
          </w:p>
        </w:tc>
        <w:tc>
          <w:tcPr>
            <w:tcW w:w="2333" w:type="dxa"/>
            <w:tcBorders>
              <w:top w:val="single" w:color="auto" w:sz="8" w:space="0"/>
              <w:bottom w:val="single" w:color="auto" w:sz="8" w:space="0"/>
            </w:tcBorders>
            <w:shd w:val="clear" w:color="auto" w:fill="auto"/>
            <w:vAlign w:val="center"/>
          </w:tcPr>
          <w:p>
            <w:pPr>
              <w:pStyle w:val="182"/>
            </w:pPr>
            <w:r>
              <w:t>&lt;400</w:t>
            </w:r>
          </w:p>
        </w:tc>
        <w:tc>
          <w:tcPr>
            <w:tcW w:w="2333" w:type="dxa"/>
            <w:tcBorders>
              <w:top w:val="single" w:color="auto" w:sz="8" w:space="0"/>
              <w:bottom w:val="single" w:color="auto" w:sz="8" w:space="0"/>
            </w:tcBorders>
            <w:shd w:val="clear" w:color="auto" w:fill="auto"/>
            <w:vAlign w:val="center"/>
          </w:tcPr>
          <w:p>
            <w:pPr>
              <w:pStyle w:val="182"/>
            </w:pPr>
            <w:r>
              <w:rPr>
                <w:rFonts w:hint="eastAsia"/>
              </w:rPr>
              <w:t>400～2000</w:t>
            </w:r>
          </w:p>
        </w:tc>
        <w:tc>
          <w:tcPr>
            <w:tcW w:w="2334" w:type="dxa"/>
            <w:tcBorders>
              <w:top w:val="single" w:color="auto" w:sz="8" w:space="0"/>
              <w:bottom w:val="single" w:color="auto" w:sz="8" w:space="0"/>
            </w:tcBorders>
            <w:shd w:val="clear" w:color="auto" w:fill="auto"/>
            <w:vAlign w:val="center"/>
          </w:tcPr>
          <w:p>
            <w:pPr>
              <w:pStyle w:val="182"/>
            </w:pPr>
            <w:r>
              <w:t>&gt;2000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bottom w:val="single" w:color="auto" w:sz="8" w:space="0"/>
            </w:tcBorders>
            <w:shd w:val="clear" w:color="auto" w:fill="auto"/>
            <w:vAlign w:val="center"/>
          </w:tcPr>
          <w:p>
            <w:pPr>
              <w:pStyle w:val="182"/>
            </w:pPr>
            <w:r>
              <w:rPr>
                <w:rFonts w:hint="eastAsia"/>
              </w:rPr>
              <w:t>额定功率/kW</w:t>
            </w:r>
          </w:p>
        </w:tc>
        <w:tc>
          <w:tcPr>
            <w:tcW w:w="2333" w:type="dxa"/>
            <w:tcBorders>
              <w:top w:val="single" w:color="auto" w:sz="8" w:space="0"/>
              <w:bottom w:val="single" w:color="auto" w:sz="8" w:space="0"/>
            </w:tcBorders>
            <w:shd w:val="clear" w:color="auto" w:fill="auto"/>
            <w:vAlign w:val="center"/>
          </w:tcPr>
          <w:p>
            <w:pPr>
              <w:pStyle w:val="182"/>
            </w:pPr>
            <w:r>
              <w:t>&gt;50</w:t>
            </w:r>
          </w:p>
        </w:tc>
        <w:tc>
          <w:tcPr>
            <w:tcW w:w="2333" w:type="dxa"/>
            <w:tcBorders>
              <w:top w:val="single" w:color="auto" w:sz="8" w:space="0"/>
              <w:bottom w:val="single" w:color="auto" w:sz="8" w:space="0"/>
            </w:tcBorders>
            <w:shd w:val="clear" w:color="auto" w:fill="auto"/>
            <w:vAlign w:val="center"/>
          </w:tcPr>
          <w:p>
            <w:pPr>
              <w:pStyle w:val="182"/>
            </w:pPr>
            <w:r>
              <w:rPr>
                <w:rFonts w:hint="eastAsia"/>
              </w:rPr>
              <w:t>20～50</w:t>
            </w:r>
          </w:p>
        </w:tc>
        <w:tc>
          <w:tcPr>
            <w:tcW w:w="2334" w:type="dxa"/>
            <w:tcBorders>
              <w:top w:val="single" w:color="auto" w:sz="8" w:space="0"/>
              <w:bottom w:val="single" w:color="auto" w:sz="8" w:space="0"/>
            </w:tcBorders>
            <w:shd w:val="clear" w:color="auto" w:fill="auto"/>
            <w:vAlign w:val="center"/>
          </w:tcPr>
          <w:p>
            <w:pPr>
              <w:pStyle w:val="182"/>
            </w:pPr>
            <w:r>
              <w:rPr>
                <w:rFonts w:hint="eastAsia"/>
              </w:rPr>
              <w:t>10～20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auto" w:sz="8" w:space="0"/>
              <w:bottom w:val="single" w:color="auto" w:sz="8" w:space="0"/>
            </w:tcBorders>
            <w:shd w:val="clear" w:color="auto" w:fill="auto"/>
            <w:vAlign w:val="center"/>
          </w:tcPr>
          <w:p>
            <w:pPr>
              <w:pStyle w:val="184"/>
            </w:pPr>
            <w:r>
              <w:rPr>
                <w:rFonts w:hint="eastAsia"/>
              </w:rPr>
              <w:t>表中a是法定计量单位中“年”的符号。</w:t>
            </w:r>
          </w:p>
          <w:p>
            <w:pPr>
              <w:pStyle w:val="184"/>
            </w:pPr>
            <w:r>
              <w:rPr>
                <w:rFonts w:hint="eastAsia"/>
              </w:rPr>
              <w:t>对于备用的固定用电设备，可以与在用设备合并计量。</w:t>
            </w:r>
          </w:p>
          <w:p>
            <w:pPr>
              <w:pStyle w:val="184"/>
            </w:pPr>
            <w:r>
              <w:rPr>
                <w:rFonts w:hint="eastAsia"/>
              </w:rPr>
              <w:t>对于消防、防汛等应急使用设备，可以不予计量。</w:t>
            </w:r>
          </w:p>
        </w:tc>
      </w:tr>
    </w:tbl>
    <w:p>
      <w:pPr>
        <w:pStyle w:val="116"/>
        <w:spacing w:before="156" w:after="156"/>
      </w:pPr>
      <w:bookmarkStart w:id="93" w:name="_Toc148082339"/>
      <w:r>
        <w:rPr>
          <w:rFonts w:hint="eastAsia"/>
        </w:rPr>
        <w:t>机关固定用能用水设备（不含电力）能源消耗量（或功率）限定值</w:t>
      </w:r>
    </w:p>
    <w:tbl>
      <w:tblPr>
        <w:tblStyle w:val="30"/>
        <w:tblW w:w="93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9"/>
        <w:gridCol w:w="1930"/>
        <w:gridCol w:w="1186"/>
        <w:gridCol w:w="1559"/>
        <w:gridCol w:w="1559"/>
        <w:gridCol w:w="15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能源资源种类</w:t>
            </w:r>
          </w:p>
        </w:tc>
        <w:tc>
          <w:tcPr>
            <w:tcW w:w="1930" w:type="dxa"/>
            <w:tcBorders>
              <w:top w:val="single" w:color="auto" w:sz="8" w:space="0"/>
              <w:bottom w:val="single" w:color="auto" w:sz="8" w:space="0"/>
            </w:tcBorders>
            <w:shd w:val="clear" w:color="auto" w:fill="auto"/>
            <w:vAlign w:val="center"/>
          </w:tcPr>
          <w:p>
            <w:pPr>
              <w:pStyle w:val="182"/>
              <w:ind w:left="181" w:leftChars="86"/>
            </w:pPr>
            <w:r>
              <w:rPr>
                <w:rFonts w:hint="eastAsia"/>
              </w:rPr>
              <w:t>成品油、燃料油、石油气</w:t>
            </w:r>
          </w:p>
        </w:tc>
        <w:tc>
          <w:tcPr>
            <w:tcW w:w="1186" w:type="dxa"/>
            <w:tcBorders>
              <w:top w:val="single" w:color="auto" w:sz="8" w:space="0"/>
              <w:bottom w:val="single" w:color="auto" w:sz="8" w:space="0"/>
            </w:tcBorders>
            <w:shd w:val="clear" w:color="auto" w:fill="auto"/>
            <w:vAlign w:val="center"/>
          </w:tcPr>
          <w:p>
            <w:pPr>
              <w:pStyle w:val="182"/>
              <w:ind w:left="181" w:leftChars="86"/>
            </w:pPr>
            <w:r>
              <w:rPr>
                <w:rFonts w:hint="eastAsia"/>
              </w:rPr>
              <w:t>天然气</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热力</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水</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其他能源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单位</w:t>
            </w:r>
          </w:p>
        </w:tc>
        <w:tc>
          <w:tcPr>
            <w:tcW w:w="1930" w:type="dxa"/>
            <w:tcBorders>
              <w:top w:val="single" w:color="auto" w:sz="8" w:space="0"/>
              <w:bottom w:val="single" w:color="auto" w:sz="8" w:space="0"/>
            </w:tcBorders>
            <w:shd w:val="clear" w:color="auto" w:fill="auto"/>
            <w:vAlign w:val="center"/>
          </w:tcPr>
          <w:p>
            <w:pPr>
              <w:pStyle w:val="182"/>
              <w:ind w:left="181" w:leftChars="86"/>
            </w:pPr>
            <w:r>
              <w:rPr>
                <w:rFonts w:hint="eastAsia"/>
              </w:rPr>
              <w:t>t/h</w:t>
            </w:r>
          </w:p>
        </w:tc>
        <w:tc>
          <w:tcPr>
            <w:tcW w:w="1186" w:type="dxa"/>
            <w:tcBorders>
              <w:top w:val="single" w:color="auto" w:sz="8" w:space="0"/>
              <w:bottom w:val="single" w:color="auto" w:sz="8" w:space="0"/>
            </w:tcBorders>
            <w:shd w:val="clear" w:color="auto" w:fill="auto"/>
            <w:vAlign w:val="center"/>
          </w:tcPr>
          <w:p>
            <w:pPr>
              <w:pStyle w:val="182"/>
              <w:ind w:left="181" w:leftChars="86"/>
            </w:pPr>
            <w:r>
              <w:rPr>
                <w:rFonts w:hint="eastAsia"/>
              </w:rPr>
              <w:t>m</w:t>
            </w:r>
            <w:r>
              <w:rPr>
                <w:vertAlign w:val="superscript"/>
              </w:rPr>
              <w:t>3</w:t>
            </w:r>
            <w:r>
              <w:t>/</w:t>
            </w:r>
            <w:r>
              <w:rPr>
                <w:rFonts w:hint="eastAsia"/>
              </w:rPr>
              <w:t>h</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MW</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m</w:t>
            </w:r>
            <w:r>
              <w:rPr>
                <w:rFonts w:hint="eastAsia"/>
                <w:vertAlign w:val="superscript"/>
              </w:rPr>
              <w:t>3</w:t>
            </w:r>
            <w:r>
              <w:rPr>
                <w:rFonts w:hint="eastAsia"/>
              </w:rPr>
              <w:t>/h</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GJ/h</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限定值</w:t>
            </w:r>
          </w:p>
        </w:tc>
        <w:tc>
          <w:tcPr>
            <w:tcW w:w="1930" w:type="dxa"/>
            <w:tcBorders>
              <w:top w:val="single" w:color="auto" w:sz="8" w:space="0"/>
              <w:bottom w:val="single" w:color="auto" w:sz="8" w:space="0"/>
            </w:tcBorders>
            <w:shd w:val="clear" w:color="auto" w:fill="auto"/>
            <w:vAlign w:val="center"/>
          </w:tcPr>
          <w:p>
            <w:pPr>
              <w:pStyle w:val="182"/>
              <w:ind w:left="181" w:leftChars="86"/>
            </w:pPr>
            <w:r>
              <w:rPr>
                <w:rFonts w:hint="eastAsia"/>
              </w:rPr>
              <w:t>0.5</w:t>
            </w:r>
          </w:p>
        </w:tc>
        <w:tc>
          <w:tcPr>
            <w:tcW w:w="1186" w:type="dxa"/>
            <w:tcBorders>
              <w:top w:val="single" w:color="auto" w:sz="8" w:space="0"/>
              <w:bottom w:val="single" w:color="auto" w:sz="8" w:space="0"/>
            </w:tcBorders>
            <w:shd w:val="clear" w:color="auto" w:fill="auto"/>
            <w:vAlign w:val="center"/>
          </w:tcPr>
          <w:p>
            <w:pPr>
              <w:pStyle w:val="182"/>
              <w:ind w:left="181" w:leftChars="86"/>
            </w:pPr>
            <w:r>
              <w:rPr>
                <w:rFonts w:hint="eastAsia"/>
              </w:rPr>
              <w:t>100</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7</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1</w:t>
            </w:r>
          </w:p>
        </w:tc>
        <w:tc>
          <w:tcPr>
            <w:tcW w:w="1559" w:type="dxa"/>
            <w:tcBorders>
              <w:top w:val="single" w:color="auto" w:sz="8" w:space="0"/>
              <w:bottom w:val="single" w:color="auto" w:sz="8" w:space="0"/>
            </w:tcBorders>
            <w:shd w:val="clear" w:color="auto" w:fill="auto"/>
            <w:vAlign w:val="center"/>
          </w:tcPr>
          <w:p>
            <w:pPr>
              <w:pStyle w:val="182"/>
              <w:ind w:left="181" w:leftChars="86"/>
            </w:pPr>
            <w:r>
              <w:rPr>
                <w:rFonts w:hint="eastAsia"/>
              </w:rPr>
              <w:t>29.31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52" w:type="dxa"/>
            <w:gridSpan w:val="6"/>
            <w:tcBorders>
              <w:top w:val="single" w:color="auto" w:sz="8" w:space="0"/>
              <w:bottom w:val="single" w:color="auto" w:sz="8" w:space="0"/>
            </w:tcBorders>
            <w:shd w:val="clear" w:color="auto" w:fill="auto"/>
            <w:vAlign w:val="center"/>
          </w:tcPr>
          <w:p>
            <w:pPr>
              <w:pStyle w:val="184"/>
              <w:numPr>
                <w:ilvl w:val="0"/>
                <w:numId w:val="32"/>
              </w:numPr>
            </w:pPr>
            <w:r>
              <w:rPr>
                <w:rFonts w:hint="eastAsia"/>
              </w:rPr>
              <w:t>表中m</w:t>
            </w:r>
            <w:r>
              <w:rPr>
                <w:rFonts w:hint="eastAsia"/>
                <w:vertAlign w:val="superscript"/>
              </w:rPr>
              <w:t>3</w:t>
            </w:r>
            <w:r>
              <w:rPr>
                <w:rFonts w:hint="eastAsia"/>
              </w:rPr>
              <w:t>指在标准状态下。</w:t>
            </w:r>
          </w:p>
          <w:p>
            <w:pPr>
              <w:pStyle w:val="184"/>
            </w:pPr>
            <w:r>
              <w:rPr>
                <w:rFonts w:hint="eastAsia"/>
              </w:rPr>
              <w:t>29.31GJ相当于1t标准煤。“其它”指某一种能源，而非其他各类能源的总和，应按其能源等价值计算。</w:t>
            </w:r>
          </w:p>
          <w:p>
            <w:pPr>
              <w:pStyle w:val="184"/>
            </w:pPr>
            <w:r>
              <w:rPr>
                <w:rFonts w:hint="eastAsia"/>
              </w:rPr>
              <w:t>对于可单独进行能源计量考核的用能单元（装置、系统、区域等），如果用能单元已配备了能源计量器具，用能单元中的主要用能设备可以不再单独配备能源计量器具。</w:t>
            </w:r>
          </w:p>
          <w:p>
            <w:pPr>
              <w:pStyle w:val="184"/>
            </w:pPr>
            <w:r>
              <w:rPr>
                <w:rFonts w:hint="eastAsia"/>
              </w:rPr>
              <w:t>对于集中管理同类用能设备的用能单元（锅炉房、泵房等），如果用能单元已配备了能源计量器具，用能单元中的主要用能设备可以不再单独配备能源计量器具。</w:t>
            </w:r>
          </w:p>
        </w:tc>
      </w:tr>
    </w:tbl>
    <w:p>
      <w:pPr>
        <w:pStyle w:val="169"/>
      </w:pPr>
      <w:r>
        <w:rPr>
          <w:rFonts w:hint="eastAsia"/>
        </w:rPr>
        <w:t>有条件的机关宜单独计量照明系统电力消耗量。</w:t>
      </w:r>
    </w:p>
    <w:p>
      <w:pPr>
        <w:pStyle w:val="109"/>
        <w:spacing w:before="156" w:after="156"/>
      </w:pPr>
      <w:r>
        <w:rPr>
          <w:rFonts w:hint="eastAsia"/>
        </w:rPr>
        <w:t>配备</w:t>
      </w:r>
      <w:r>
        <w:t>率要求</w:t>
      </w:r>
      <w:bookmarkEnd w:id="93"/>
    </w:p>
    <w:p>
      <w:pPr>
        <w:pStyle w:val="69"/>
        <w:tabs>
          <w:tab w:val="left" w:pos="3990"/>
        </w:tabs>
        <w:spacing w:before="156" w:after="156"/>
        <w:ind w:left="3606" w:hanging="3605" w:hangingChars="1717"/>
        <w:jc w:val="left"/>
      </w:pPr>
      <w:r>
        <w:rPr>
          <w:rFonts w:hint="eastAsia"/>
        </w:rPr>
        <w:t>计算</w:t>
      </w:r>
      <w:r>
        <w:t>方法</w:t>
      </w:r>
    </w:p>
    <w:p>
      <w:pPr>
        <w:pStyle w:val="60"/>
        <w:ind w:firstLine="420"/>
      </w:pPr>
      <w:r>
        <w:rPr>
          <w:rFonts w:hint="eastAsia"/>
          <w:lang w:eastAsia="zh-CN"/>
        </w:rPr>
        <w:t>应汇总并统计已</w:t>
      </w:r>
      <w:r>
        <w:rPr>
          <w:rFonts w:hint="eastAsia"/>
        </w:rPr>
        <w:t>配备的能源计量器具，形成能源计量器具配备情况统计汇总表，见附录B</w:t>
      </w:r>
      <w:r>
        <w:rPr>
          <w:rFonts w:hint="eastAsia"/>
          <w:lang w:eastAsia="zh-CN"/>
        </w:rPr>
        <w:t>，</w:t>
      </w:r>
      <w:r>
        <w:rPr>
          <w:rFonts w:hint="eastAsia"/>
        </w:rPr>
        <w:t>按公式（1）计算能源计量器具的配备率：</w:t>
      </w:r>
      <w:r>
        <w:tab/>
      </w:r>
    </w:p>
    <w:p>
      <w:pPr>
        <w:pStyle w:val="117"/>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p</m:t>
            </m:r>
            <m:ctrlPr>
              <w:rPr>
                <w:rFonts w:ascii="Cambria Math" w:hAnsi="Cambria Math"/>
                <w:i/>
              </w:rPr>
            </m:ctrlP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rPr>
            </m:ctrlPr>
          </m:den>
        </m:f>
        <m:r>
          <m:rPr>
            <m:sty m:val="p"/>
          </m:rPr>
          <w:rPr>
            <w:rFonts w:ascii="Cambria Math" w:hAnsi="Cambria Math"/>
          </w:rPr>
          <m:t>×100%</m:t>
        </m:r>
      </m:oMath>
      <w:r>
        <w:rPr>
          <w:rFonts w:ascii="微软雅黑" w:hAnsi="微软雅黑" w:eastAsia="微软雅黑"/>
        </w:rPr>
        <w:tab/>
      </w:r>
      <w:r>
        <w:t>(</w:t>
      </w:r>
      <w:r>
        <w:fldChar w:fldCharType="begin"/>
      </w:r>
      <w:r>
        <w:instrText xml:space="preserve"> AUTONUM </w:instrText>
      </w:r>
      <w:r>
        <w:fldChar w:fldCharType="end"/>
      </w:r>
      <w:r>
        <w:t>)</w:t>
      </w:r>
    </w:p>
    <w:p>
      <w:pPr>
        <w:pStyle w:val="59"/>
        <w:ind w:firstLine="420"/>
      </w:pPr>
      <w:r>
        <w:rPr>
          <w:rFonts w:hint="eastAsia"/>
        </w:rPr>
        <w:t>式中：</w:t>
      </w:r>
    </w:p>
    <w:p>
      <w:pPr>
        <w:pStyle w:val="60"/>
        <w:ind w:firstLine="420"/>
      </w:pPr>
      <w:r>
        <w:rPr>
          <w:i/>
        </w:rPr>
        <w:t>R</w:t>
      </w:r>
      <w:r>
        <w:rPr>
          <w:i/>
          <w:vertAlign w:val="subscript"/>
        </w:rPr>
        <w:t>p</w:t>
      </w:r>
      <w:r>
        <w:t>——</w:t>
      </w:r>
      <w:r>
        <w:rPr>
          <w:rFonts w:hint="eastAsia"/>
        </w:rPr>
        <w:t>机关能源计量器具配备率，%；</w:t>
      </w:r>
    </w:p>
    <w:p>
      <w:pPr>
        <w:pStyle w:val="60"/>
        <w:ind w:firstLine="420"/>
        <w:rPr>
          <w:i/>
        </w:rPr>
      </w:pPr>
      <w:r>
        <w:rPr>
          <w:i/>
        </w:rPr>
        <w:t>N</w:t>
      </w:r>
      <w:r>
        <w:rPr>
          <w:i/>
          <w:vertAlign w:val="subscript"/>
        </w:rPr>
        <w:t>s</w:t>
      </w:r>
      <w:r>
        <w:t>——</w:t>
      </w:r>
      <w:r>
        <w:rPr>
          <w:rFonts w:hint="eastAsia"/>
        </w:rPr>
        <w:t>机关能源计量器具的实际配备数量；</w:t>
      </w:r>
    </w:p>
    <w:p>
      <w:pPr>
        <w:pStyle w:val="60"/>
        <w:ind w:firstLine="420"/>
      </w:pPr>
      <w:r>
        <w:rPr>
          <w:i/>
        </w:rPr>
        <w:t>N</w:t>
      </w:r>
      <w:r>
        <w:rPr>
          <w:i/>
          <w:vertAlign w:val="subscript"/>
        </w:rPr>
        <w:t>l</w:t>
      </w:r>
      <w:r>
        <w:t>——</w:t>
      </w:r>
      <w:r>
        <w:rPr>
          <w:rFonts w:hint="eastAsia"/>
        </w:rPr>
        <w:t>机关根据第5章和6</w:t>
      </w:r>
      <w:r>
        <w:t>.1</w:t>
      </w:r>
      <w:r>
        <w:rPr>
          <w:rFonts w:hint="eastAsia" w:hAnsi="宋体"/>
        </w:rPr>
        <w:t>～</w:t>
      </w:r>
      <w:r>
        <w:t>6.6</w:t>
      </w:r>
      <w:r>
        <w:rPr>
          <w:rFonts w:hint="eastAsia"/>
        </w:rPr>
        <w:t>相关配备原则和要求，应配备的能源计量器具数量。</w:t>
      </w:r>
    </w:p>
    <w:p>
      <w:pPr>
        <w:pStyle w:val="69"/>
        <w:spacing w:before="156" w:after="156"/>
        <w:ind w:left="3826" w:hanging="3826" w:hangingChars="1822"/>
      </w:pPr>
      <w:r>
        <w:rPr>
          <w:rFonts w:hint="eastAsia"/>
        </w:rPr>
        <w:t>配备</w:t>
      </w:r>
      <w:r>
        <w:t>率要求</w:t>
      </w:r>
    </w:p>
    <w:p>
      <w:pPr>
        <w:pStyle w:val="60"/>
        <w:ind w:firstLine="420"/>
      </w:pPr>
      <w:r>
        <w:rPr>
          <w:rFonts w:hint="eastAsia"/>
        </w:rPr>
        <w:t>机关能源计量器具的配备率应符合表</w:t>
      </w:r>
      <w:r>
        <w:t>3</w:t>
      </w:r>
      <w:r>
        <w:rPr>
          <w:rFonts w:hint="eastAsia"/>
        </w:rPr>
        <w:t>要求。</w:t>
      </w:r>
    </w:p>
    <w:p>
      <w:pPr>
        <w:pStyle w:val="116"/>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机关能源计量器具配备率要求</w:t>
      </w:r>
    </w:p>
    <w:p>
      <w:pPr>
        <w:pStyle w:val="182"/>
        <w:jc w:val="right"/>
      </w:pPr>
      <w:r>
        <w:rPr>
          <w:rFonts w:hint="eastAsia"/>
        </w:rPr>
        <w:t>单位为%</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4"/>
        <w:gridCol w:w="1334"/>
        <w:gridCol w:w="1334"/>
        <w:gridCol w:w="1333"/>
        <w:gridCol w:w="1333"/>
        <w:gridCol w:w="1333"/>
        <w:gridCol w:w="13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4" w:type="dxa"/>
            <w:vMerge w:val="restart"/>
            <w:tcBorders>
              <w:top w:val="single" w:color="auto" w:sz="8" w:space="0"/>
            </w:tcBorders>
            <w:shd w:val="clear" w:color="auto" w:fill="auto"/>
            <w:vAlign w:val="center"/>
          </w:tcPr>
          <w:p>
            <w:pPr>
              <w:pStyle w:val="182"/>
            </w:pPr>
            <w:r>
              <w:rPr>
                <w:rFonts w:hint="eastAsia"/>
              </w:rPr>
              <w:t>能源种类</w:t>
            </w:r>
          </w:p>
        </w:tc>
        <w:tc>
          <w:tcPr>
            <w:tcW w:w="2668" w:type="dxa"/>
            <w:gridSpan w:val="2"/>
            <w:tcBorders>
              <w:top w:val="single" w:color="auto" w:sz="8" w:space="0"/>
              <w:bottom w:val="single" w:color="auto" w:sz="8" w:space="0"/>
            </w:tcBorders>
            <w:shd w:val="clear" w:color="auto" w:fill="auto"/>
            <w:vAlign w:val="center"/>
          </w:tcPr>
          <w:p>
            <w:pPr>
              <w:pStyle w:val="182"/>
            </w:pPr>
            <w:r>
              <w:rPr>
                <w:rFonts w:hint="eastAsia"/>
              </w:rPr>
              <w:t>分户计量</w:t>
            </w:r>
          </w:p>
        </w:tc>
        <w:tc>
          <w:tcPr>
            <w:tcW w:w="2666" w:type="dxa"/>
            <w:gridSpan w:val="2"/>
            <w:tcBorders>
              <w:top w:val="single" w:color="auto" w:sz="8" w:space="0"/>
              <w:bottom w:val="single" w:color="auto" w:sz="8" w:space="0"/>
            </w:tcBorders>
            <w:shd w:val="clear" w:color="auto" w:fill="auto"/>
            <w:vAlign w:val="center"/>
          </w:tcPr>
          <w:p>
            <w:pPr>
              <w:pStyle w:val="182"/>
            </w:pPr>
            <w:r>
              <w:rPr>
                <w:rFonts w:hint="eastAsia"/>
              </w:rPr>
              <w:t>分区计量</w:t>
            </w:r>
          </w:p>
        </w:tc>
        <w:tc>
          <w:tcPr>
            <w:tcW w:w="2666" w:type="dxa"/>
            <w:gridSpan w:val="2"/>
            <w:tcBorders>
              <w:top w:val="single" w:color="auto" w:sz="8" w:space="0"/>
              <w:bottom w:val="single" w:color="auto" w:sz="8" w:space="0"/>
            </w:tcBorders>
            <w:shd w:val="clear" w:color="auto" w:fill="auto"/>
            <w:vAlign w:val="center"/>
          </w:tcPr>
          <w:p>
            <w:pPr>
              <w:pStyle w:val="182"/>
            </w:pPr>
            <w:r>
              <w:rPr>
                <w:rFonts w:hint="eastAsia"/>
              </w:rPr>
              <w:t>主要用能设备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vMerge w:val="continue"/>
            <w:shd w:val="clear" w:color="auto" w:fill="auto"/>
            <w:vAlign w:val="center"/>
          </w:tcPr>
          <w:p>
            <w:pPr>
              <w:pStyle w:val="182"/>
            </w:pPr>
          </w:p>
        </w:tc>
        <w:tc>
          <w:tcPr>
            <w:tcW w:w="1334" w:type="dxa"/>
            <w:tcBorders>
              <w:top w:val="single" w:color="auto" w:sz="8" w:space="0"/>
            </w:tcBorders>
            <w:shd w:val="clear" w:color="auto" w:fill="auto"/>
            <w:vAlign w:val="center"/>
          </w:tcPr>
          <w:p>
            <w:pPr>
              <w:pStyle w:val="182"/>
            </w:pPr>
            <w:r>
              <w:rPr>
                <w:rFonts w:hint="eastAsia"/>
              </w:rPr>
              <w:t>既有建筑</w:t>
            </w:r>
          </w:p>
        </w:tc>
        <w:tc>
          <w:tcPr>
            <w:tcW w:w="1334" w:type="dxa"/>
            <w:tcBorders>
              <w:top w:val="single" w:color="auto" w:sz="8" w:space="0"/>
            </w:tcBorders>
            <w:shd w:val="clear" w:color="auto" w:fill="auto"/>
            <w:vAlign w:val="center"/>
          </w:tcPr>
          <w:p>
            <w:pPr>
              <w:pStyle w:val="182"/>
            </w:pPr>
            <w:r>
              <w:rPr>
                <w:rFonts w:hint="eastAsia"/>
              </w:rPr>
              <w:t>新建建筑</w:t>
            </w:r>
          </w:p>
        </w:tc>
        <w:tc>
          <w:tcPr>
            <w:tcW w:w="1333" w:type="dxa"/>
            <w:tcBorders>
              <w:top w:val="single" w:color="auto" w:sz="8" w:space="0"/>
            </w:tcBorders>
            <w:shd w:val="clear" w:color="auto" w:fill="auto"/>
            <w:vAlign w:val="center"/>
          </w:tcPr>
          <w:p>
            <w:pPr>
              <w:pStyle w:val="182"/>
            </w:pPr>
            <w:r>
              <w:rPr>
                <w:rFonts w:hint="eastAsia"/>
              </w:rPr>
              <w:t>既有建筑</w:t>
            </w:r>
          </w:p>
        </w:tc>
        <w:tc>
          <w:tcPr>
            <w:tcW w:w="1333" w:type="dxa"/>
            <w:tcBorders>
              <w:top w:val="single" w:color="auto" w:sz="8" w:space="0"/>
            </w:tcBorders>
            <w:shd w:val="clear" w:color="auto" w:fill="auto"/>
            <w:vAlign w:val="center"/>
          </w:tcPr>
          <w:p>
            <w:pPr>
              <w:pStyle w:val="182"/>
            </w:pPr>
            <w:r>
              <w:rPr>
                <w:rFonts w:hint="eastAsia"/>
              </w:rPr>
              <w:t>新建建筑</w:t>
            </w:r>
          </w:p>
        </w:tc>
        <w:tc>
          <w:tcPr>
            <w:tcW w:w="1333" w:type="dxa"/>
            <w:tcBorders>
              <w:top w:val="single" w:color="auto" w:sz="8" w:space="0"/>
            </w:tcBorders>
            <w:shd w:val="clear" w:color="auto" w:fill="auto"/>
            <w:vAlign w:val="center"/>
          </w:tcPr>
          <w:p>
            <w:pPr>
              <w:pStyle w:val="182"/>
            </w:pPr>
            <w:r>
              <w:rPr>
                <w:rFonts w:hint="eastAsia"/>
              </w:rPr>
              <w:t>既有建筑</w:t>
            </w:r>
          </w:p>
        </w:tc>
        <w:tc>
          <w:tcPr>
            <w:tcW w:w="1333" w:type="dxa"/>
            <w:tcBorders>
              <w:top w:val="single" w:color="auto" w:sz="8" w:space="0"/>
            </w:tcBorders>
            <w:shd w:val="clear" w:color="auto" w:fill="auto"/>
            <w:vAlign w:val="center"/>
          </w:tcPr>
          <w:p>
            <w:pPr>
              <w:pStyle w:val="182"/>
            </w:pPr>
            <w:r>
              <w:rPr>
                <w:rFonts w:hint="eastAsia"/>
              </w:rPr>
              <w:t>新建建筑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电力</w:t>
            </w:r>
          </w:p>
        </w:tc>
        <w:tc>
          <w:tcPr>
            <w:tcW w:w="1334" w:type="dxa"/>
            <w:shd w:val="clear" w:color="auto" w:fill="auto"/>
            <w:vAlign w:val="center"/>
          </w:tcPr>
          <w:p>
            <w:pPr>
              <w:pStyle w:val="182"/>
            </w:pPr>
            <w:r>
              <w:t>100</w:t>
            </w:r>
          </w:p>
        </w:tc>
        <w:tc>
          <w:tcPr>
            <w:tcW w:w="1334" w:type="dxa"/>
            <w:shd w:val="clear" w:color="auto" w:fill="auto"/>
            <w:vAlign w:val="center"/>
          </w:tcPr>
          <w:p>
            <w:pPr>
              <w:pStyle w:val="182"/>
            </w:pPr>
            <w:r>
              <w:t>100</w:t>
            </w:r>
          </w:p>
        </w:tc>
        <w:tc>
          <w:tcPr>
            <w:tcW w:w="1333" w:type="dxa"/>
            <w:shd w:val="clear" w:color="auto" w:fill="auto"/>
            <w:vAlign w:val="center"/>
          </w:tcPr>
          <w:p>
            <w:pPr>
              <w:pStyle w:val="182"/>
            </w:pPr>
            <w:r>
              <w:rPr>
                <w:rFonts w:hint="eastAsia"/>
              </w:rPr>
              <w:t>95</w:t>
            </w:r>
          </w:p>
        </w:tc>
        <w:tc>
          <w:tcPr>
            <w:tcW w:w="1333" w:type="dxa"/>
            <w:shd w:val="clear" w:color="auto" w:fill="auto"/>
            <w:vAlign w:val="center"/>
          </w:tcPr>
          <w:p>
            <w:pPr>
              <w:pStyle w:val="182"/>
            </w:pPr>
            <w:r>
              <w:t>100</w:t>
            </w:r>
          </w:p>
        </w:tc>
        <w:tc>
          <w:tcPr>
            <w:tcW w:w="1333" w:type="dxa"/>
            <w:shd w:val="clear" w:color="auto" w:fill="auto"/>
            <w:vAlign w:val="center"/>
          </w:tcPr>
          <w:p>
            <w:pPr>
              <w:pStyle w:val="182"/>
            </w:pPr>
            <w:r>
              <w:t>95</w:t>
            </w:r>
          </w:p>
        </w:tc>
        <w:tc>
          <w:tcPr>
            <w:tcW w:w="1333" w:type="dxa"/>
            <w:shd w:val="clear" w:color="auto" w:fill="auto"/>
            <w:vAlign w:val="center"/>
          </w:tcPr>
          <w:p>
            <w:pPr>
              <w:pStyle w:val="182"/>
            </w:pPr>
            <w:r>
              <w:t>100</w:t>
            </w:r>
          </w:p>
        </w:tc>
      </w:tr>
    </w:tbl>
    <w:p>
      <w:pPr>
        <w:pStyle w:val="116"/>
        <w:numPr>
          <w:ilvl w:val="0"/>
          <w:numId w:val="0"/>
        </w:numPr>
        <w:spacing w:before="156" w:after="156"/>
        <w:rPr>
          <w:color w:val="000000" w:themeColor="text1"/>
          <w14:textFill>
            <w14:solidFill>
              <w14:schemeClr w14:val="tx1"/>
            </w14:solidFill>
          </w14:textFill>
        </w:rPr>
      </w:pPr>
      <w:bookmarkStart w:id="94" w:name="_Toc148082340"/>
      <w:bookmarkStart w:id="95" w:name="_Toc165214698"/>
      <w:bookmarkStart w:id="96" w:name="_Toc165214729"/>
      <w:r>
        <w:rPr>
          <w:rFonts w:hint="eastAsia"/>
          <w:color w:val="000000" w:themeColor="text1"/>
          <w14:textFill>
            <w14:solidFill>
              <w14:schemeClr w14:val="tx1"/>
            </w14:solidFill>
          </w14:textFill>
        </w:rPr>
        <w:t>表3　机关能源计量器具配备率要求（续）</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4"/>
        <w:gridCol w:w="1334"/>
        <w:gridCol w:w="1334"/>
        <w:gridCol w:w="1333"/>
        <w:gridCol w:w="1333"/>
        <w:gridCol w:w="1333"/>
        <w:gridCol w:w="13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4" w:type="dxa"/>
            <w:vMerge w:val="restart"/>
            <w:tcBorders>
              <w:top w:val="single" w:color="auto" w:sz="8" w:space="0"/>
            </w:tcBorders>
            <w:shd w:val="clear" w:color="auto" w:fill="auto"/>
            <w:vAlign w:val="center"/>
          </w:tcPr>
          <w:p>
            <w:pPr>
              <w:pStyle w:val="182"/>
            </w:pPr>
            <w:r>
              <w:rPr>
                <w:rFonts w:hint="eastAsia"/>
              </w:rPr>
              <w:t>能源种类</w:t>
            </w:r>
          </w:p>
        </w:tc>
        <w:tc>
          <w:tcPr>
            <w:tcW w:w="2668" w:type="dxa"/>
            <w:gridSpan w:val="2"/>
            <w:tcBorders>
              <w:top w:val="single" w:color="auto" w:sz="8" w:space="0"/>
              <w:bottom w:val="single" w:color="auto" w:sz="8" w:space="0"/>
            </w:tcBorders>
            <w:shd w:val="clear" w:color="auto" w:fill="auto"/>
            <w:vAlign w:val="center"/>
          </w:tcPr>
          <w:p>
            <w:pPr>
              <w:pStyle w:val="182"/>
            </w:pPr>
            <w:r>
              <w:rPr>
                <w:rFonts w:hint="eastAsia"/>
              </w:rPr>
              <w:t>分户计量</w:t>
            </w:r>
          </w:p>
        </w:tc>
        <w:tc>
          <w:tcPr>
            <w:tcW w:w="2666" w:type="dxa"/>
            <w:gridSpan w:val="2"/>
            <w:tcBorders>
              <w:top w:val="single" w:color="auto" w:sz="8" w:space="0"/>
              <w:bottom w:val="single" w:color="auto" w:sz="8" w:space="0"/>
            </w:tcBorders>
            <w:shd w:val="clear" w:color="auto" w:fill="auto"/>
            <w:vAlign w:val="center"/>
          </w:tcPr>
          <w:p>
            <w:pPr>
              <w:pStyle w:val="182"/>
            </w:pPr>
            <w:r>
              <w:rPr>
                <w:rFonts w:hint="eastAsia"/>
              </w:rPr>
              <w:t>分区计量</w:t>
            </w:r>
          </w:p>
        </w:tc>
        <w:tc>
          <w:tcPr>
            <w:tcW w:w="2666" w:type="dxa"/>
            <w:gridSpan w:val="2"/>
            <w:tcBorders>
              <w:top w:val="single" w:color="auto" w:sz="8" w:space="0"/>
              <w:bottom w:val="single" w:color="auto" w:sz="8" w:space="0"/>
            </w:tcBorders>
            <w:shd w:val="clear" w:color="auto" w:fill="auto"/>
            <w:vAlign w:val="center"/>
          </w:tcPr>
          <w:p>
            <w:pPr>
              <w:pStyle w:val="182"/>
            </w:pPr>
            <w:r>
              <w:rPr>
                <w:rFonts w:hint="eastAsia"/>
              </w:rPr>
              <w:t>主要用能设备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vMerge w:val="continue"/>
            <w:shd w:val="clear" w:color="auto" w:fill="auto"/>
            <w:vAlign w:val="center"/>
          </w:tcPr>
          <w:p>
            <w:pPr>
              <w:pStyle w:val="182"/>
            </w:pPr>
          </w:p>
        </w:tc>
        <w:tc>
          <w:tcPr>
            <w:tcW w:w="1334" w:type="dxa"/>
            <w:tcBorders>
              <w:top w:val="single" w:color="auto" w:sz="8" w:space="0"/>
            </w:tcBorders>
            <w:shd w:val="clear" w:color="auto" w:fill="auto"/>
            <w:vAlign w:val="center"/>
          </w:tcPr>
          <w:p>
            <w:pPr>
              <w:pStyle w:val="182"/>
            </w:pPr>
            <w:r>
              <w:rPr>
                <w:rFonts w:hint="eastAsia"/>
              </w:rPr>
              <w:t>既有建筑</w:t>
            </w:r>
          </w:p>
        </w:tc>
        <w:tc>
          <w:tcPr>
            <w:tcW w:w="1334" w:type="dxa"/>
            <w:tcBorders>
              <w:top w:val="single" w:color="auto" w:sz="8" w:space="0"/>
            </w:tcBorders>
            <w:shd w:val="clear" w:color="auto" w:fill="auto"/>
            <w:vAlign w:val="center"/>
          </w:tcPr>
          <w:p>
            <w:pPr>
              <w:pStyle w:val="182"/>
            </w:pPr>
            <w:r>
              <w:rPr>
                <w:rFonts w:hint="eastAsia"/>
              </w:rPr>
              <w:t>新建建筑</w:t>
            </w:r>
          </w:p>
        </w:tc>
        <w:tc>
          <w:tcPr>
            <w:tcW w:w="1333" w:type="dxa"/>
            <w:tcBorders>
              <w:top w:val="single" w:color="auto" w:sz="8" w:space="0"/>
            </w:tcBorders>
            <w:shd w:val="clear" w:color="auto" w:fill="auto"/>
            <w:vAlign w:val="center"/>
          </w:tcPr>
          <w:p>
            <w:pPr>
              <w:pStyle w:val="182"/>
            </w:pPr>
            <w:r>
              <w:rPr>
                <w:rFonts w:hint="eastAsia"/>
              </w:rPr>
              <w:t>既有建筑</w:t>
            </w:r>
          </w:p>
        </w:tc>
        <w:tc>
          <w:tcPr>
            <w:tcW w:w="1333" w:type="dxa"/>
            <w:tcBorders>
              <w:top w:val="single" w:color="auto" w:sz="8" w:space="0"/>
            </w:tcBorders>
            <w:shd w:val="clear" w:color="auto" w:fill="auto"/>
            <w:vAlign w:val="center"/>
          </w:tcPr>
          <w:p>
            <w:pPr>
              <w:pStyle w:val="182"/>
            </w:pPr>
            <w:r>
              <w:rPr>
                <w:rFonts w:hint="eastAsia"/>
              </w:rPr>
              <w:t>新建建筑</w:t>
            </w:r>
          </w:p>
        </w:tc>
        <w:tc>
          <w:tcPr>
            <w:tcW w:w="1333" w:type="dxa"/>
            <w:tcBorders>
              <w:top w:val="single" w:color="auto" w:sz="8" w:space="0"/>
            </w:tcBorders>
            <w:shd w:val="clear" w:color="auto" w:fill="auto"/>
            <w:vAlign w:val="center"/>
          </w:tcPr>
          <w:p>
            <w:pPr>
              <w:pStyle w:val="182"/>
            </w:pPr>
            <w:r>
              <w:rPr>
                <w:rFonts w:hint="eastAsia"/>
              </w:rPr>
              <w:t>既有建筑</w:t>
            </w:r>
          </w:p>
        </w:tc>
        <w:tc>
          <w:tcPr>
            <w:tcW w:w="1333" w:type="dxa"/>
            <w:tcBorders>
              <w:top w:val="single" w:color="auto" w:sz="8" w:space="0"/>
            </w:tcBorders>
            <w:shd w:val="clear" w:color="auto" w:fill="auto"/>
            <w:vAlign w:val="center"/>
          </w:tcPr>
          <w:p>
            <w:pPr>
              <w:pStyle w:val="182"/>
            </w:pPr>
            <w:r>
              <w:rPr>
                <w:rFonts w:hint="eastAsia"/>
              </w:rPr>
              <w:t>新建建筑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热力</w:t>
            </w:r>
          </w:p>
        </w:tc>
        <w:tc>
          <w:tcPr>
            <w:tcW w:w="1334" w:type="dxa"/>
            <w:shd w:val="clear" w:color="auto" w:fill="auto"/>
            <w:vAlign w:val="center"/>
          </w:tcPr>
          <w:p>
            <w:pPr>
              <w:pStyle w:val="182"/>
            </w:pPr>
            <w:r>
              <w:t>100</w:t>
            </w:r>
          </w:p>
        </w:tc>
        <w:tc>
          <w:tcPr>
            <w:tcW w:w="1334" w:type="dxa"/>
            <w:shd w:val="clear" w:color="auto" w:fill="auto"/>
            <w:vAlign w:val="center"/>
          </w:tcPr>
          <w:p>
            <w:pPr>
              <w:pStyle w:val="182"/>
            </w:pPr>
            <w:r>
              <w:t>100</w:t>
            </w:r>
          </w:p>
        </w:tc>
        <w:tc>
          <w:tcPr>
            <w:tcW w:w="1333" w:type="dxa"/>
            <w:shd w:val="clear" w:color="auto" w:fill="auto"/>
            <w:vAlign w:val="center"/>
          </w:tcPr>
          <w:p>
            <w:pPr>
              <w:pStyle w:val="182"/>
            </w:pPr>
            <w:r>
              <w:t>80</w:t>
            </w:r>
          </w:p>
        </w:tc>
        <w:tc>
          <w:tcPr>
            <w:tcW w:w="1333" w:type="dxa"/>
            <w:shd w:val="clear" w:color="auto" w:fill="auto"/>
            <w:vAlign w:val="center"/>
          </w:tcPr>
          <w:p>
            <w:pPr>
              <w:pStyle w:val="182"/>
            </w:pPr>
            <w:r>
              <w:t>100</w:t>
            </w:r>
          </w:p>
        </w:tc>
        <w:tc>
          <w:tcPr>
            <w:tcW w:w="1333" w:type="dxa"/>
            <w:shd w:val="clear" w:color="auto" w:fill="auto"/>
            <w:vAlign w:val="center"/>
          </w:tcPr>
          <w:p>
            <w:pPr>
              <w:pStyle w:val="182"/>
            </w:pPr>
            <w:r>
              <w:rPr>
                <w:rFonts w:hint="eastAsia"/>
              </w:rPr>
              <w:t>70</w:t>
            </w:r>
          </w:p>
        </w:tc>
        <w:tc>
          <w:tcPr>
            <w:tcW w:w="1333" w:type="dxa"/>
            <w:shd w:val="clear" w:color="auto" w:fill="auto"/>
            <w:vAlign w:val="center"/>
          </w:tcPr>
          <w:p>
            <w:pPr>
              <w:pStyle w:val="182"/>
            </w:pPr>
            <w: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334" w:type="dxa"/>
            <w:shd w:val="clear" w:color="auto" w:fill="auto"/>
            <w:vAlign w:val="center"/>
          </w:tcPr>
          <w:p>
            <w:pPr>
              <w:pStyle w:val="182"/>
            </w:pPr>
            <w:r>
              <w:rPr>
                <w:rFonts w:hint="eastAsia"/>
              </w:rPr>
              <w:t>天然气</w:t>
            </w:r>
          </w:p>
        </w:tc>
        <w:tc>
          <w:tcPr>
            <w:tcW w:w="1334" w:type="dxa"/>
            <w:vAlign w:val="center"/>
          </w:tcPr>
          <w:p>
            <w:pPr>
              <w:pStyle w:val="182"/>
            </w:pPr>
            <w:r>
              <w:t>100</w:t>
            </w:r>
          </w:p>
        </w:tc>
        <w:tc>
          <w:tcPr>
            <w:tcW w:w="1334" w:type="dxa"/>
            <w:vAlign w:val="center"/>
          </w:tcPr>
          <w:p>
            <w:pPr>
              <w:pStyle w:val="182"/>
            </w:pPr>
            <w:r>
              <w:t>100</w:t>
            </w:r>
          </w:p>
        </w:tc>
        <w:tc>
          <w:tcPr>
            <w:tcW w:w="1333" w:type="dxa"/>
            <w:vAlign w:val="center"/>
          </w:tcPr>
          <w:p>
            <w:pPr>
              <w:pStyle w:val="182"/>
            </w:pPr>
            <w:r>
              <w:rPr>
                <w:rFonts w:hint="eastAsia"/>
              </w:rPr>
              <w:t>100</w:t>
            </w:r>
          </w:p>
        </w:tc>
        <w:tc>
          <w:tcPr>
            <w:tcW w:w="1333" w:type="dxa"/>
            <w:vAlign w:val="center"/>
          </w:tcPr>
          <w:p>
            <w:pPr>
              <w:pStyle w:val="182"/>
            </w:pPr>
            <w:r>
              <w:t>100</w:t>
            </w:r>
          </w:p>
        </w:tc>
        <w:tc>
          <w:tcPr>
            <w:tcW w:w="1333" w:type="dxa"/>
            <w:vAlign w:val="center"/>
          </w:tcPr>
          <w:p>
            <w:pPr>
              <w:pStyle w:val="182"/>
            </w:pPr>
            <w:r>
              <w:t>90</w:t>
            </w:r>
          </w:p>
        </w:tc>
        <w:tc>
          <w:tcPr>
            <w:tcW w:w="1333" w:type="dxa"/>
            <w:vAlign w:val="center"/>
          </w:tcPr>
          <w:p>
            <w:pPr>
              <w:pStyle w:val="182"/>
            </w:pPr>
            <w: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成品油、燃料油、石油气</w:t>
            </w:r>
          </w:p>
        </w:tc>
        <w:tc>
          <w:tcPr>
            <w:tcW w:w="1334" w:type="dxa"/>
            <w:vAlign w:val="center"/>
          </w:tcPr>
          <w:p>
            <w:pPr>
              <w:pStyle w:val="182"/>
            </w:pPr>
            <w:r>
              <w:t>100</w:t>
            </w:r>
          </w:p>
        </w:tc>
        <w:tc>
          <w:tcPr>
            <w:tcW w:w="1334" w:type="dxa"/>
            <w:vAlign w:val="center"/>
          </w:tcPr>
          <w:p>
            <w:pPr>
              <w:pStyle w:val="182"/>
            </w:pPr>
            <w:r>
              <w:t>100</w:t>
            </w:r>
          </w:p>
        </w:tc>
        <w:tc>
          <w:tcPr>
            <w:tcW w:w="1333" w:type="dxa"/>
            <w:vAlign w:val="center"/>
          </w:tcPr>
          <w:p>
            <w:pPr>
              <w:pStyle w:val="182"/>
            </w:pPr>
            <w:r>
              <w:rPr>
                <w:rFonts w:hint="eastAsia"/>
              </w:rPr>
              <w:t>100</w:t>
            </w:r>
          </w:p>
        </w:tc>
        <w:tc>
          <w:tcPr>
            <w:tcW w:w="1333" w:type="dxa"/>
            <w:vAlign w:val="center"/>
          </w:tcPr>
          <w:p>
            <w:pPr>
              <w:pStyle w:val="182"/>
            </w:pPr>
            <w:r>
              <w:t>100</w:t>
            </w:r>
          </w:p>
        </w:tc>
        <w:tc>
          <w:tcPr>
            <w:tcW w:w="1333" w:type="dxa"/>
            <w:vAlign w:val="center"/>
          </w:tcPr>
          <w:p>
            <w:pPr>
              <w:pStyle w:val="182"/>
            </w:pPr>
            <w:r>
              <w:t>9</w:t>
            </w:r>
            <w:r>
              <w:rPr>
                <w:rFonts w:hint="eastAsia"/>
              </w:rPr>
              <w:t>5</w:t>
            </w:r>
          </w:p>
        </w:tc>
        <w:tc>
          <w:tcPr>
            <w:tcW w:w="1333" w:type="dxa"/>
            <w:vAlign w:val="center"/>
          </w:tcPr>
          <w:p>
            <w:pPr>
              <w:pStyle w:val="182"/>
            </w:pPr>
            <w: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水资源</w:t>
            </w:r>
          </w:p>
        </w:tc>
        <w:tc>
          <w:tcPr>
            <w:tcW w:w="1334" w:type="dxa"/>
            <w:vAlign w:val="center"/>
          </w:tcPr>
          <w:p>
            <w:pPr>
              <w:pStyle w:val="182"/>
            </w:pPr>
            <w:r>
              <w:rPr>
                <w:rFonts w:hint="eastAsia"/>
              </w:rPr>
              <w:t>100</w:t>
            </w:r>
          </w:p>
        </w:tc>
        <w:tc>
          <w:tcPr>
            <w:tcW w:w="1334" w:type="dxa"/>
            <w:vAlign w:val="center"/>
          </w:tcPr>
          <w:p>
            <w:pPr>
              <w:pStyle w:val="182"/>
            </w:pPr>
            <w:r>
              <w:rPr>
                <w:rFonts w:hint="eastAsia"/>
              </w:rPr>
              <w:t>100</w:t>
            </w:r>
          </w:p>
        </w:tc>
        <w:tc>
          <w:tcPr>
            <w:tcW w:w="1333" w:type="dxa"/>
            <w:vAlign w:val="center"/>
          </w:tcPr>
          <w:p>
            <w:pPr>
              <w:pStyle w:val="182"/>
            </w:pPr>
            <w:r>
              <w:rPr>
                <w:rFonts w:hint="eastAsia"/>
              </w:rPr>
              <w:t>95</w:t>
            </w:r>
          </w:p>
        </w:tc>
        <w:tc>
          <w:tcPr>
            <w:tcW w:w="1333" w:type="dxa"/>
            <w:vAlign w:val="center"/>
          </w:tcPr>
          <w:p>
            <w:pPr>
              <w:pStyle w:val="182"/>
            </w:pPr>
            <w:r>
              <w:rPr>
                <w:rFonts w:hint="eastAsia"/>
              </w:rPr>
              <w:t>100</w:t>
            </w:r>
          </w:p>
        </w:tc>
        <w:tc>
          <w:tcPr>
            <w:tcW w:w="1333" w:type="dxa"/>
            <w:vAlign w:val="center"/>
          </w:tcPr>
          <w:p>
            <w:pPr>
              <w:pStyle w:val="182"/>
            </w:pPr>
            <w:r>
              <w:rPr>
                <w:rFonts w:hint="eastAsia"/>
              </w:rPr>
              <w:t>85</w:t>
            </w:r>
          </w:p>
        </w:tc>
        <w:tc>
          <w:tcPr>
            <w:tcW w:w="1333" w:type="dxa"/>
            <w:vAlign w:val="center"/>
          </w:tcPr>
          <w:p>
            <w:pPr>
              <w:pStyle w:val="182"/>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载能工质</w:t>
            </w:r>
          </w:p>
        </w:tc>
        <w:tc>
          <w:tcPr>
            <w:tcW w:w="1334" w:type="dxa"/>
            <w:vAlign w:val="center"/>
          </w:tcPr>
          <w:p>
            <w:pPr>
              <w:pStyle w:val="182"/>
            </w:pPr>
            <w:r>
              <w:rPr>
                <w:rFonts w:hint="eastAsia"/>
              </w:rPr>
              <w:t>100</w:t>
            </w:r>
          </w:p>
        </w:tc>
        <w:tc>
          <w:tcPr>
            <w:tcW w:w="1334" w:type="dxa"/>
            <w:vAlign w:val="center"/>
          </w:tcPr>
          <w:p>
            <w:pPr>
              <w:pStyle w:val="182"/>
            </w:pPr>
            <w:r>
              <w:rPr>
                <w:rFonts w:hint="eastAsia"/>
              </w:rPr>
              <w:t>100</w:t>
            </w:r>
          </w:p>
        </w:tc>
        <w:tc>
          <w:tcPr>
            <w:tcW w:w="1333" w:type="dxa"/>
            <w:vAlign w:val="center"/>
          </w:tcPr>
          <w:p>
            <w:pPr>
              <w:pStyle w:val="182"/>
            </w:pPr>
            <w:r>
              <w:rPr>
                <w:rFonts w:hint="eastAsia"/>
              </w:rPr>
              <w:t>95</w:t>
            </w:r>
          </w:p>
        </w:tc>
        <w:tc>
          <w:tcPr>
            <w:tcW w:w="1333" w:type="dxa"/>
            <w:vAlign w:val="center"/>
          </w:tcPr>
          <w:p>
            <w:pPr>
              <w:pStyle w:val="182"/>
            </w:pPr>
            <w:r>
              <w:rPr>
                <w:rFonts w:hint="eastAsia"/>
              </w:rPr>
              <w:t>100</w:t>
            </w:r>
          </w:p>
        </w:tc>
        <w:tc>
          <w:tcPr>
            <w:tcW w:w="1333" w:type="dxa"/>
            <w:vAlign w:val="center"/>
          </w:tcPr>
          <w:p>
            <w:pPr>
              <w:pStyle w:val="182"/>
            </w:pPr>
            <w:r>
              <w:rPr>
                <w:rFonts w:hint="eastAsia"/>
              </w:rPr>
              <w:t>80</w:t>
            </w:r>
          </w:p>
        </w:tc>
        <w:tc>
          <w:tcPr>
            <w:tcW w:w="1333" w:type="dxa"/>
            <w:vAlign w:val="center"/>
          </w:tcPr>
          <w:p>
            <w:pPr>
              <w:pStyle w:val="182"/>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334" w:type="dxa"/>
            <w:shd w:val="clear" w:color="auto" w:fill="auto"/>
            <w:vAlign w:val="center"/>
          </w:tcPr>
          <w:p>
            <w:pPr>
              <w:pStyle w:val="182"/>
            </w:pPr>
            <w:r>
              <w:rPr>
                <w:rFonts w:hint="eastAsia"/>
              </w:rPr>
              <w:t>通过可再生能源自产的二次能源</w:t>
            </w:r>
          </w:p>
        </w:tc>
        <w:tc>
          <w:tcPr>
            <w:tcW w:w="1334" w:type="dxa"/>
            <w:vAlign w:val="center"/>
          </w:tcPr>
          <w:p>
            <w:pPr>
              <w:pStyle w:val="182"/>
            </w:pPr>
            <w:r>
              <w:rPr>
                <w:rFonts w:hint="eastAsia"/>
              </w:rPr>
              <w:t>100</w:t>
            </w:r>
          </w:p>
        </w:tc>
        <w:tc>
          <w:tcPr>
            <w:tcW w:w="1334" w:type="dxa"/>
            <w:vAlign w:val="center"/>
          </w:tcPr>
          <w:p>
            <w:pPr>
              <w:pStyle w:val="182"/>
            </w:pPr>
            <w:r>
              <w:rPr>
                <w:rFonts w:hint="eastAsia"/>
              </w:rPr>
              <w:t>100</w:t>
            </w:r>
          </w:p>
        </w:tc>
        <w:tc>
          <w:tcPr>
            <w:tcW w:w="1333" w:type="dxa"/>
            <w:vAlign w:val="center"/>
          </w:tcPr>
          <w:p>
            <w:pPr>
              <w:pStyle w:val="182"/>
            </w:pPr>
            <w:r>
              <w:t>-</w:t>
            </w:r>
          </w:p>
        </w:tc>
        <w:tc>
          <w:tcPr>
            <w:tcW w:w="1333" w:type="dxa"/>
            <w:vAlign w:val="center"/>
          </w:tcPr>
          <w:p>
            <w:pPr>
              <w:pStyle w:val="182"/>
            </w:pPr>
            <w:r>
              <w:t>-</w:t>
            </w:r>
          </w:p>
        </w:tc>
        <w:tc>
          <w:tcPr>
            <w:tcW w:w="1333" w:type="dxa"/>
            <w:vAlign w:val="center"/>
          </w:tcPr>
          <w:p>
            <w:pPr>
              <w:pStyle w:val="182"/>
            </w:pPr>
            <w:r>
              <w:t>-</w:t>
            </w:r>
          </w:p>
        </w:tc>
        <w:tc>
          <w:tcPr>
            <w:tcW w:w="1333" w:type="dxa"/>
            <w:vAlign w:val="center"/>
          </w:tcPr>
          <w:p>
            <w:pPr>
              <w:pStyle w:val="182"/>
            </w:pP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回收利用的余能资源、水资源</w:t>
            </w:r>
          </w:p>
        </w:tc>
        <w:tc>
          <w:tcPr>
            <w:tcW w:w="1334" w:type="dxa"/>
            <w:vAlign w:val="center"/>
          </w:tcPr>
          <w:p>
            <w:pPr>
              <w:pStyle w:val="182"/>
            </w:pPr>
            <w:r>
              <w:rPr>
                <w:rFonts w:hint="eastAsia"/>
              </w:rPr>
              <w:t>90</w:t>
            </w:r>
          </w:p>
        </w:tc>
        <w:tc>
          <w:tcPr>
            <w:tcW w:w="1334" w:type="dxa"/>
            <w:vAlign w:val="center"/>
          </w:tcPr>
          <w:p>
            <w:pPr>
              <w:pStyle w:val="182"/>
            </w:pPr>
            <w:r>
              <w:rPr>
                <w:rFonts w:hint="eastAsia"/>
              </w:rPr>
              <w:t>100</w:t>
            </w:r>
          </w:p>
        </w:tc>
        <w:tc>
          <w:tcPr>
            <w:tcW w:w="1333" w:type="dxa"/>
            <w:vAlign w:val="center"/>
          </w:tcPr>
          <w:p>
            <w:pPr>
              <w:pStyle w:val="182"/>
            </w:pPr>
            <w:r>
              <w:rPr>
                <w:rFonts w:hint="eastAsia"/>
              </w:rPr>
              <w:t>80</w:t>
            </w:r>
          </w:p>
        </w:tc>
        <w:tc>
          <w:tcPr>
            <w:tcW w:w="1333" w:type="dxa"/>
            <w:vAlign w:val="center"/>
          </w:tcPr>
          <w:p>
            <w:pPr>
              <w:pStyle w:val="182"/>
            </w:pPr>
            <w:r>
              <w:rPr>
                <w:rFonts w:hint="eastAsia"/>
              </w:rPr>
              <w:t>100</w:t>
            </w:r>
          </w:p>
        </w:tc>
        <w:tc>
          <w:tcPr>
            <w:tcW w:w="1333" w:type="dxa"/>
            <w:vAlign w:val="center"/>
          </w:tcPr>
          <w:p>
            <w:pPr>
              <w:pStyle w:val="182"/>
            </w:pPr>
            <w:r>
              <w:rPr>
                <w:rFonts w:hint="eastAsia"/>
              </w:rPr>
              <w:t>-</w:t>
            </w:r>
          </w:p>
        </w:tc>
        <w:tc>
          <w:tcPr>
            <w:tcW w:w="1333" w:type="dxa"/>
            <w:vAlign w:val="center"/>
          </w:tcPr>
          <w:p>
            <w:pPr>
              <w:pStyle w:val="182"/>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4" w:type="dxa"/>
            <w:shd w:val="clear" w:color="auto" w:fill="auto"/>
            <w:vAlign w:val="center"/>
          </w:tcPr>
          <w:p>
            <w:pPr>
              <w:pStyle w:val="182"/>
            </w:pPr>
            <w:r>
              <w:rPr>
                <w:rFonts w:hint="eastAsia"/>
              </w:rPr>
              <w:t>其他</w:t>
            </w:r>
          </w:p>
        </w:tc>
        <w:tc>
          <w:tcPr>
            <w:tcW w:w="1334" w:type="dxa"/>
            <w:shd w:val="clear" w:color="auto" w:fill="auto"/>
            <w:vAlign w:val="center"/>
          </w:tcPr>
          <w:p>
            <w:pPr>
              <w:pStyle w:val="182"/>
              <w:ind w:left="181" w:leftChars="86"/>
            </w:pPr>
            <w:r>
              <w:t>-</w:t>
            </w:r>
          </w:p>
        </w:tc>
        <w:tc>
          <w:tcPr>
            <w:tcW w:w="1334" w:type="dxa"/>
            <w:shd w:val="clear" w:color="auto" w:fill="auto"/>
            <w:vAlign w:val="center"/>
          </w:tcPr>
          <w:p>
            <w:pPr>
              <w:pStyle w:val="182"/>
            </w:pPr>
            <w:r>
              <w:rPr>
                <w:rFonts w:hint="eastAsia"/>
              </w:rPr>
              <w:t>100</w:t>
            </w:r>
          </w:p>
        </w:tc>
        <w:tc>
          <w:tcPr>
            <w:tcW w:w="1333" w:type="dxa"/>
            <w:shd w:val="clear" w:color="auto" w:fill="auto"/>
            <w:vAlign w:val="center"/>
          </w:tcPr>
          <w:p>
            <w:pPr>
              <w:pStyle w:val="182"/>
            </w:pPr>
            <w:r>
              <w:t>-</w:t>
            </w:r>
          </w:p>
        </w:tc>
        <w:tc>
          <w:tcPr>
            <w:tcW w:w="1333" w:type="dxa"/>
            <w:shd w:val="clear" w:color="auto" w:fill="auto"/>
            <w:vAlign w:val="center"/>
          </w:tcPr>
          <w:p>
            <w:pPr>
              <w:pStyle w:val="182"/>
            </w:pPr>
            <w:r>
              <w:t>-</w:t>
            </w:r>
          </w:p>
        </w:tc>
        <w:tc>
          <w:tcPr>
            <w:tcW w:w="1333" w:type="dxa"/>
            <w:shd w:val="clear" w:color="auto" w:fill="auto"/>
            <w:vAlign w:val="center"/>
          </w:tcPr>
          <w:p>
            <w:pPr>
              <w:pStyle w:val="182"/>
            </w:pPr>
            <w:r>
              <w:t>-</w:t>
            </w:r>
          </w:p>
        </w:tc>
        <w:tc>
          <w:tcPr>
            <w:tcW w:w="1333" w:type="dxa"/>
            <w:shd w:val="clear" w:color="auto" w:fill="auto"/>
            <w:vAlign w:val="center"/>
          </w:tcPr>
          <w:p>
            <w:pPr>
              <w:pStyle w:val="182"/>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7"/>
            <w:shd w:val="clear" w:color="auto" w:fill="auto"/>
            <w:vAlign w:val="center"/>
          </w:tcPr>
          <w:p>
            <w:pPr>
              <w:pStyle w:val="184"/>
              <w:numPr>
                <w:ilvl w:val="0"/>
                <w:numId w:val="33"/>
              </w:numPr>
            </w:pPr>
            <w:r>
              <w:rPr>
                <w:rFonts w:hint="eastAsia"/>
              </w:rPr>
              <w:t>分户计量的季节性供冷和采暖用蒸汽、冷热水可采用非直接计量载能工质流量的其它计量方式。</w:t>
            </w:r>
          </w:p>
          <w:p>
            <w:pPr>
              <w:pStyle w:val="184"/>
            </w:pPr>
            <w:r>
              <w:rPr>
                <w:rFonts w:hint="eastAsia"/>
              </w:rPr>
              <w:t>分区计量的季节性供暖供冷和采暖用蒸汽、冷热水可以不配备能源计量器具。</w:t>
            </w:r>
          </w:p>
        </w:tc>
      </w:tr>
    </w:tbl>
    <w:p>
      <w:pPr>
        <w:pStyle w:val="69"/>
        <w:spacing w:before="156" w:after="156"/>
        <w:ind w:left="3826" w:hanging="3826" w:hangingChars="1822"/>
      </w:pPr>
      <w:r>
        <w:rPr>
          <w:rFonts w:hint="eastAsia"/>
        </w:rPr>
        <w:t>准确度等级要求</w:t>
      </w:r>
    </w:p>
    <w:p>
      <w:pPr>
        <w:pStyle w:val="60"/>
        <w:ind w:firstLine="420"/>
      </w:pPr>
      <w:r>
        <w:rPr>
          <w:rFonts w:hint="eastAsia"/>
        </w:rPr>
        <w:t>机关配备的计量器具准确度等级应满足GB 17167的要求。</w:t>
      </w:r>
    </w:p>
    <w:p>
      <w:pPr>
        <w:pStyle w:val="108"/>
        <w:spacing w:before="312" w:after="312"/>
      </w:pPr>
      <w:bookmarkStart w:id="97" w:name="_Toc175572603"/>
      <w:bookmarkStart w:id="98" w:name="_Toc175572673"/>
      <w:bookmarkStart w:id="99" w:name="_Toc177216779"/>
      <w:r>
        <w:rPr>
          <w:rFonts w:hint="eastAsia"/>
        </w:rPr>
        <w:t>能源计量的管理要求</w:t>
      </w:r>
      <w:bookmarkEnd w:id="94"/>
      <w:bookmarkEnd w:id="95"/>
      <w:bookmarkEnd w:id="96"/>
      <w:bookmarkEnd w:id="97"/>
      <w:bookmarkEnd w:id="98"/>
      <w:bookmarkEnd w:id="99"/>
    </w:p>
    <w:p>
      <w:pPr>
        <w:pStyle w:val="109"/>
        <w:spacing w:before="156" w:after="156"/>
      </w:pPr>
      <w:bookmarkStart w:id="100" w:name="_Toc148082341"/>
      <w:r>
        <w:rPr>
          <w:rFonts w:hint="eastAsia"/>
        </w:rPr>
        <w:t>能源计量制度</w:t>
      </w:r>
      <w:bookmarkEnd w:id="100"/>
    </w:p>
    <w:p>
      <w:pPr>
        <w:pStyle w:val="60"/>
        <w:ind w:firstLine="420"/>
      </w:pPr>
      <w:r>
        <w:rPr>
          <w:rFonts w:hint="eastAsia"/>
        </w:rPr>
        <w:t>机关应建立能源计量管理制度规范能源计量人员行为、能源计量器具管理和能源计量数据的采集、处理和汇总，具体应包括但不限于以下内容：</w:t>
      </w:r>
    </w:p>
    <w:p>
      <w:pPr>
        <w:pStyle w:val="178"/>
        <w:numPr>
          <w:ilvl w:val="0"/>
          <w:numId w:val="34"/>
        </w:numPr>
      </w:pPr>
      <w:r>
        <w:rPr>
          <w:rFonts w:hint="eastAsia"/>
        </w:rPr>
        <w:t>能源计量管理部门及岗位的职责；</w:t>
      </w:r>
    </w:p>
    <w:p>
      <w:pPr>
        <w:pStyle w:val="178"/>
        <w:numPr>
          <w:ilvl w:val="0"/>
          <w:numId w:val="34"/>
        </w:numPr>
      </w:pPr>
      <w:r>
        <w:rPr>
          <w:rFonts w:hint="eastAsia"/>
        </w:rPr>
        <w:t>能源计量管理人员的培训和考核管理；</w:t>
      </w:r>
    </w:p>
    <w:p>
      <w:pPr>
        <w:pStyle w:val="178"/>
        <w:numPr>
          <w:ilvl w:val="0"/>
          <w:numId w:val="34"/>
        </w:numPr>
      </w:pPr>
      <w:r>
        <w:rPr>
          <w:rFonts w:hint="eastAsia"/>
        </w:rPr>
        <w:t>能源计量器具的档案管理；</w:t>
      </w:r>
    </w:p>
    <w:p>
      <w:pPr>
        <w:pStyle w:val="178"/>
        <w:numPr>
          <w:ilvl w:val="0"/>
          <w:numId w:val="34"/>
        </w:numPr>
      </w:pPr>
      <w:r>
        <w:rPr>
          <w:rFonts w:hint="eastAsia"/>
        </w:rPr>
        <w:t>能源计量器具的新增、更换及报废管理；</w:t>
      </w:r>
    </w:p>
    <w:p>
      <w:pPr>
        <w:pStyle w:val="178"/>
        <w:numPr>
          <w:ilvl w:val="0"/>
          <w:numId w:val="34"/>
        </w:numPr>
      </w:pPr>
      <w:r>
        <w:rPr>
          <w:rFonts w:hint="eastAsia"/>
        </w:rPr>
        <w:t>能源计量器具的使用、维护及保养；</w:t>
      </w:r>
    </w:p>
    <w:p>
      <w:pPr>
        <w:pStyle w:val="178"/>
        <w:numPr>
          <w:ilvl w:val="0"/>
          <w:numId w:val="34"/>
        </w:numPr>
      </w:pPr>
      <w:r>
        <w:rPr>
          <w:rFonts w:hint="eastAsia"/>
        </w:rPr>
        <w:t>能源计量器具的周期评估管理；</w:t>
      </w:r>
    </w:p>
    <w:p>
      <w:pPr>
        <w:pStyle w:val="178"/>
        <w:numPr>
          <w:ilvl w:val="0"/>
          <w:numId w:val="34"/>
        </w:numPr>
      </w:pPr>
      <w:r>
        <w:rPr>
          <w:rFonts w:hint="eastAsia"/>
        </w:rPr>
        <w:t>能源计量数据的采集、统计、分析、报送等。</w:t>
      </w:r>
    </w:p>
    <w:p>
      <w:pPr>
        <w:pStyle w:val="178"/>
        <w:numPr>
          <w:ilvl w:val="0"/>
          <w:numId w:val="34"/>
        </w:numPr>
      </w:pPr>
      <w:r>
        <w:rPr>
          <w:rFonts w:hint="eastAsia"/>
        </w:rPr>
        <w:t>能源计量管理的自查和改进。</w:t>
      </w:r>
    </w:p>
    <w:p>
      <w:pPr>
        <w:pStyle w:val="109"/>
        <w:spacing w:before="156" w:after="156"/>
      </w:pPr>
      <w:bookmarkStart w:id="101" w:name="_Toc148082342"/>
      <w:r>
        <w:rPr>
          <w:rFonts w:hint="eastAsia"/>
        </w:rPr>
        <w:t>能源计量</w:t>
      </w:r>
      <w:r>
        <w:t>人员</w:t>
      </w:r>
      <w:bookmarkEnd w:id="101"/>
    </w:p>
    <w:p>
      <w:pPr>
        <w:pStyle w:val="169"/>
        <w:jc w:val="left"/>
      </w:pPr>
      <w:r>
        <w:rPr>
          <w:rFonts w:hint="eastAsia"/>
        </w:rPr>
        <w:t>机关应指定专（兼）职人员负责本单位能源计量器具的管理，进行能源计量器具的配备、使用、检定(校准）、维修、报废等管理工作。</w:t>
      </w:r>
    </w:p>
    <w:p>
      <w:pPr>
        <w:pStyle w:val="169"/>
        <w:jc w:val="left"/>
      </w:pPr>
      <w:r>
        <w:rPr>
          <w:rFonts w:hint="eastAsia"/>
        </w:rPr>
        <w:t>机关应指定专（兼）职人员负责本单位能源计量数据的采集、统计、分析，保证能源计量数据完整、真实、准确。</w:t>
      </w:r>
    </w:p>
    <w:p>
      <w:pPr>
        <w:pStyle w:val="169"/>
      </w:pPr>
      <w:r>
        <w:rPr>
          <w:rFonts w:hint="eastAsia"/>
        </w:rPr>
        <w:t>机关能源计量管理人员应具有能源计量专业知识，定期接受培训考核。</w:t>
      </w:r>
    </w:p>
    <w:p>
      <w:pPr>
        <w:pStyle w:val="169"/>
      </w:pPr>
      <w:r>
        <w:rPr>
          <w:rFonts w:hint="eastAsia"/>
        </w:rPr>
        <w:t>机关应建立和保存能源计量人员的技术档案。</w:t>
      </w:r>
    </w:p>
    <w:p>
      <w:pPr>
        <w:pStyle w:val="109"/>
        <w:spacing w:before="156" w:after="156"/>
      </w:pPr>
      <w:bookmarkStart w:id="102" w:name="_Toc148082343"/>
      <w:r>
        <w:rPr>
          <w:rFonts w:hint="eastAsia"/>
        </w:rPr>
        <w:t>能源计量器具</w:t>
      </w:r>
      <w:bookmarkEnd w:id="102"/>
    </w:p>
    <w:p>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机关应备有完整的能源计量器具一览表。表中应列出计量器具管理编号、名称、型号规格、准确度等级、生产厂家、出厂编号、测量对象、安装使用位置、状态（合格、在用、停用等），是否需强制管理等，参考格式见附录C。</w:t>
      </w:r>
    </w:p>
    <w:p>
      <w:pPr>
        <w:pStyle w:val="169"/>
      </w:pPr>
      <w:r>
        <w:rPr>
          <w:rFonts w:hint="eastAsia"/>
        </w:rPr>
        <w:t>机关应建立能源计量器具档案，内容包括但不限于以下内容：</w:t>
      </w:r>
    </w:p>
    <w:p>
      <w:pPr>
        <w:pStyle w:val="178"/>
        <w:numPr>
          <w:ilvl w:val="0"/>
          <w:numId w:val="35"/>
        </w:numPr>
      </w:pPr>
      <w:r>
        <w:rPr>
          <w:rFonts w:hint="eastAsia"/>
        </w:rPr>
        <w:t>计量器具使用说明书；</w:t>
      </w:r>
    </w:p>
    <w:p>
      <w:pPr>
        <w:pStyle w:val="178"/>
        <w:numPr>
          <w:ilvl w:val="0"/>
          <w:numId w:val="35"/>
        </w:numPr>
      </w:pPr>
      <w:r>
        <w:rPr>
          <w:rFonts w:hint="eastAsia"/>
        </w:rPr>
        <w:t>计量器具出厂合格证；</w:t>
      </w:r>
    </w:p>
    <w:p>
      <w:pPr>
        <w:pStyle w:val="178"/>
        <w:numPr>
          <w:ilvl w:val="0"/>
          <w:numId w:val="35"/>
        </w:numPr>
      </w:pPr>
      <w:r>
        <w:rPr>
          <w:rFonts w:hint="eastAsia"/>
        </w:rPr>
        <w:t>计量器具最近两个连续周期的检定（测试、校准）证书；</w:t>
      </w:r>
    </w:p>
    <w:p>
      <w:pPr>
        <w:pStyle w:val="178"/>
        <w:numPr>
          <w:ilvl w:val="0"/>
          <w:numId w:val="35"/>
        </w:numPr>
      </w:pPr>
      <w:r>
        <w:rPr>
          <w:rFonts w:hint="eastAsia"/>
        </w:rPr>
        <w:t>计量器具维修保养记录；</w:t>
      </w:r>
    </w:p>
    <w:p>
      <w:pPr>
        <w:pStyle w:val="178"/>
        <w:numPr>
          <w:ilvl w:val="0"/>
          <w:numId w:val="35"/>
        </w:numPr>
      </w:pPr>
      <w:r>
        <w:rPr>
          <w:rFonts w:hint="eastAsia"/>
        </w:rPr>
        <w:t>计量器具其他相关信息。</w:t>
      </w:r>
    </w:p>
    <w:p>
      <w:pPr>
        <w:pStyle w:val="169"/>
      </w:pPr>
      <w:r>
        <w:rPr>
          <w:rFonts w:hint="eastAsia"/>
        </w:rPr>
        <w:t>能源计量器具的使用环境应满足其使用说明书中规定的工作条件和测量范围，按照使用说明书要求正确安装计量器具。</w:t>
      </w:r>
    </w:p>
    <w:p>
      <w:pPr>
        <w:pStyle w:val="169"/>
      </w:pPr>
      <w:r>
        <w:rPr>
          <w:rFonts w:hint="eastAsia"/>
        </w:rPr>
        <w:t>宜</w:t>
      </w:r>
      <w:r>
        <w:rPr>
          <w:rFonts w:hint="eastAsia"/>
          <w:color w:val="000000" w:themeColor="text1"/>
          <w14:textFill>
            <w14:solidFill>
              <w14:schemeClr w14:val="tx1"/>
            </w14:solidFill>
          </w14:textFill>
        </w:rPr>
        <w:t>对能源计量器进行唯一标识，</w:t>
      </w:r>
      <w:r>
        <w:rPr>
          <w:rFonts w:hint="eastAsia"/>
        </w:rPr>
        <w:t>标识可采用一维条码或二维码表</w:t>
      </w:r>
      <w:r>
        <w:t>示</w:t>
      </w:r>
      <w:r>
        <w:rPr>
          <w:rFonts w:hint="eastAsia"/>
        </w:rPr>
        <w:t>,</w:t>
      </w:r>
      <w:r>
        <w:rPr>
          <w:rFonts w:hint="eastAsia"/>
          <w:color w:val="000000" w:themeColor="text1"/>
          <w14:textFill>
            <w14:solidFill>
              <w14:schemeClr w14:val="tx1"/>
            </w14:solidFill>
          </w14:textFill>
        </w:rPr>
        <w:t>编码规则符合</w:t>
      </w:r>
      <w:r>
        <w:t>GB/T 23833</w:t>
      </w:r>
      <w:r>
        <w:rPr>
          <w:rFonts w:hint="eastAsia"/>
        </w:rPr>
        <w:t>要求</w:t>
      </w:r>
      <w:r>
        <w:t>。</w:t>
      </w:r>
    </w:p>
    <w:p>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属于强制管理范畴的能源计量器具应按相关法律法规和计量技术规范经检定或校准并满足6.</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.3的要求。</w:t>
      </w:r>
    </w:p>
    <w:p>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凡属自行校准且自行确定校准间隔的计量器具，应制定有效可行的制度文件（管理程序、自校方法等）作为管理依据并自行实施评估管理。</w:t>
      </w:r>
    </w:p>
    <w:p>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宜采取适宜措施满足能源计量器具拆卸送检和现场检测的需要。</w:t>
      </w:r>
    </w:p>
    <w:p>
      <w:pPr>
        <w:pStyle w:val="169"/>
        <w:rPr>
          <w:color w:val="000000" w:themeColor="text1"/>
          <w14:textFill>
            <w14:solidFill>
              <w14:schemeClr w14:val="tx1"/>
            </w14:solidFill>
          </w14:textFill>
        </w:rPr>
      </w:pPr>
      <w:r>
        <w:rPr>
          <w:rFonts w:hint="eastAsia"/>
          <w:color w:val="000000" w:themeColor="text1"/>
          <w14:textFill>
            <w14:solidFill>
              <w14:schemeClr w14:val="tx1"/>
            </w14:solidFill>
          </w14:textFill>
        </w:rPr>
        <w:t>新装、更换及维修的计量器具在使用前应经相关部门检定或校准，满足相应的准确度等级要求。</w:t>
      </w:r>
    </w:p>
    <w:p>
      <w:pPr>
        <w:pStyle w:val="108"/>
        <w:spacing w:before="312" w:after="312"/>
        <w:rPr>
          <w:color w:val="000000" w:themeColor="text1"/>
          <w14:textFill>
            <w14:solidFill>
              <w14:schemeClr w14:val="tx1"/>
            </w14:solidFill>
          </w14:textFill>
        </w:rPr>
      </w:pPr>
      <w:bookmarkStart w:id="103" w:name="_Toc148082344"/>
      <w:bookmarkStart w:id="104" w:name="_Toc175572674"/>
      <w:bookmarkStart w:id="105" w:name="_Toc177216780"/>
      <w:bookmarkStart w:id="106" w:name="_Toc175572604"/>
      <w:r>
        <w:rPr>
          <w:rFonts w:hint="eastAsia"/>
          <w:color w:val="000000" w:themeColor="text1"/>
          <w14:textFill>
            <w14:solidFill>
              <w14:schemeClr w14:val="tx1"/>
            </w14:solidFill>
          </w14:textFill>
        </w:rPr>
        <w:t>能源计量的数据</w:t>
      </w:r>
      <w:bookmarkEnd w:id="103"/>
      <w:r>
        <w:rPr>
          <w:rFonts w:hint="eastAsia"/>
          <w:color w:val="000000" w:themeColor="text1"/>
          <w14:textFill>
            <w14:solidFill>
              <w14:schemeClr w14:val="tx1"/>
            </w14:solidFill>
          </w14:textFill>
        </w:rPr>
        <w:t>要求</w:t>
      </w:r>
      <w:bookmarkEnd w:id="104"/>
      <w:bookmarkEnd w:id="105"/>
      <w:bookmarkEnd w:id="106"/>
    </w:p>
    <w:p>
      <w:pPr>
        <w:pStyle w:val="166"/>
      </w:pPr>
      <w:r>
        <w:rPr>
          <w:rFonts w:hint="eastAsia"/>
        </w:rPr>
        <w:t>应按照</w:t>
      </w:r>
      <w:r>
        <w:t>DB11/T 2223</w:t>
      </w:r>
      <w:r>
        <w:rPr>
          <w:rFonts w:hint="eastAsia"/>
        </w:rPr>
        <w:t>要求采集、统计、分析、管理能源计量数据，且应能追溯至计量器具示值</w:t>
      </w:r>
      <w:r>
        <w:rPr>
          <w:rFonts w:hint="eastAsia"/>
          <w:color w:val="000000" w:themeColor="text1"/>
          <w14:textFill>
            <w14:solidFill>
              <w14:schemeClr w14:val="tx1"/>
            </w14:solidFill>
          </w14:textFill>
        </w:rPr>
        <w:t>，数据采集记录模板见附录D</w:t>
      </w:r>
      <w:r>
        <w:rPr>
          <w:rFonts w:hint="eastAsia"/>
        </w:rPr>
        <w:t>。</w:t>
      </w:r>
    </w:p>
    <w:p>
      <w:pPr>
        <w:pStyle w:val="166"/>
      </w:pPr>
      <w:r>
        <w:rPr>
          <w:rFonts w:hint="eastAsia"/>
        </w:rPr>
        <w:t>计量数据采集路线和采集时间应稳定。</w:t>
      </w:r>
    </w:p>
    <w:p>
      <w:pPr>
        <w:pStyle w:val="166"/>
      </w:pPr>
      <w:r>
        <w:rPr>
          <w:rFonts w:hint="eastAsia"/>
        </w:rPr>
        <w:t>计量数据采集记录应采用规范的表格式样，原始数据不得随意更改，保证数据完整、真实、准确、可靠。</w:t>
      </w:r>
    </w:p>
    <w:p>
      <w:pPr>
        <w:pStyle w:val="166"/>
      </w:pPr>
      <w:r>
        <w:rPr>
          <w:rFonts w:hint="eastAsia"/>
        </w:rPr>
        <w:t>两个（含）以上在同一栋建筑或同一个区域不同建筑内集中办公，且其能源不能分别计量的机关，</w:t>
      </w:r>
      <w:r>
        <w:t>能源计量数据</w:t>
      </w:r>
      <w:r>
        <w:rPr>
          <w:rFonts w:hint="eastAsia"/>
        </w:rPr>
        <w:t>应按照</w:t>
      </w:r>
      <w:r>
        <w:t>DB11/T 2223</w:t>
      </w:r>
      <w:r>
        <w:rPr>
          <w:rFonts w:hint="eastAsia"/>
        </w:rPr>
        <w:t>要求，优先选择分项计量消费量作为分摊基数，并参考楼层、用能人数、建筑面积、用能设备等因素，确定合理可行的分摊依据进行分摊。</w:t>
      </w:r>
    </w:p>
    <w:p>
      <w:pPr>
        <w:pStyle w:val="166"/>
      </w:pPr>
      <w:r>
        <w:rPr>
          <w:rFonts w:hint="eastAsia"/>
        </w:rPr>
        <w:t>能源计量数据原始记录保存期限应不低于3年。</w:t>
      </w:r>
    </w:p>
    <w:p>
      <w:pPr>
        <w:pStyle w:val="166"/>
      </w:pPr>
      <w:r>
        <w:rPr>
          <w:rFonts w:hint="eastAsia"/>
        </w:rPr>
        <w:t>有条件的机关宜建立能源资源消耗在线监测系统，实现能源计量数据采集、统计分析功能。</w:t>
      </w:r>
    </w:p>
    <w:p>
      <w:pPr>
        <w:pStyle w:val="169"/>
        <w:numPr>
          <w:ilvl w:val="0"/>
          <w:numId w:val="0"/>
        </w:numPr>
      </w:pPr>
    </w:p>
    <w:p>
      <w:pPr>
        <w:pStyle w:val="169"/>
        <w:numPr>
          <w:ilvl w:val="0"/>
          <w:numId w:val="0"/>
        </w:numPr>
        <w:sectPr>
          <w:pgSz w:w="11906" w:h="16838"/>
          <w:pgMar w:top="1928" w:right="1134" w:bottom="1134" w:left="1134" w:header="1418" w:footer="1021" w:gutter="284"/>
          <w:pgNumType w:start="1"/>
          <w:cols w:space="425" w:num="1"/>
          <w:formProt w:val="0"/>
          <w:docGrid w:type="lines" w:linePitch="312" w:charSpace="0"/>
        </w:sectPr>
      </w:pPr>
    </w:p>
    <w:bookmarkEnd w:id="29"/>
    <w:p>
      <w:pPr>
        <w:pStyle w:val="202"/>
        <w:rPr>
          <w:vanish w:val="0"/>
        </w:rPr>
      </w:pPr>
      <w:bookmarkStart w:id="107" w:name="BookMark5"/>
    </w:p>
    <w:p>
      <w:pPr>
        <w:pStyle w:val="203"/>
        <w:rPr>
          <w:vanish w:val="0"/>
        </w:rPr>
      </w:pPr>
    </w:p>
    <w:p>
      <w:pPr>
        <w:pStyle w:val="80"/>
        <w:spacing w:after="156"/>
      </w:pPr>
      <w:r>
        <w:br w:type="textWrapping"/>
      </w:r>
      <w:bookmarkStart w:id="108" w:name="_Toc175572675"/>
      <w:bookmarkStart w:id="109" w:name="_Toc175572605"/>
      <w:bookmarkStart w:id="110" w:name="_Toc177216781"/>
      <w:bookmarkStart w:id="111" w:name="_Toc165214730"/>
      <w:bookmarkStart w:id="112" w:name="_Toc165214699"/>
      <w:bookmarkStart w:id="113" w:name="_Toc148082345"/>
      <w:r>
        <w:rPr>
          <w:rFonts w:hint="eastAsia"/>
        </w:rPr>
        <w:t>（资料性）</w:t>
      </w:r>
      <w:r>
        <w:br w:type="textWrapping"/>
      </w:r>
      <w:r>
        <w:rPr>
          <w:rFonts w:hint="eastAsia"/>
        </w:rPr>
        <w:t>机关规模分类表</w:t>
      </w:r>
      <w:bookmarkEnd w:id="108"/>
      <w:bookmarkEnd w:id="109"/>
      <w:bookmarkEnd w:id="110"/>
      <w:bookmarkEnd w:id="111"/>
      <w:bookmarkEnd w:id="112"/>
      <w:bookmarkEnd w:id="113"/>
    </w:p>
    <w:p>
      <w:pPr>
        <w:pStyle w:val="81"/>
        <w:spacing w:before="156" w:after="156"/>
      </w:pPr>
      <w:r>
        <w:rPr>
          <w:rFonts w:hint="eastAsia"/>
        </w:rPr>
        <w:t>机关规模分类表</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72"/>
        <w:gridCol w:w="46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72" w:type="dxa"/>
            <w:tcBorders>
              <w:top w:val="single" w:color="auto" w:sz="8" w:space="0"/>
              <w:bottom w:val="single" w:color="auto" w:sz="8" w:space="0"/>
            </w:tcBorders>
            <w:shd w:val="clear" w:color="auto" w:fill="auto"/>
            <w:vAlign w:val="center"/>
          </w:tcPr>
          <w:p>
            <w:pPr>
              <w:pStyle w:val="182"/>
            </w:pPr>
            <w:r>
              <w:rPr>
                <w:rFonts w:hint="eastAsia"/>
              </w:rPr>
              <w:t>类别</w:t>
            </w:r>
          </w:p>
        </w:tc>
        <w:tc>
          <w:tcPr>
            <w:tcW w:w="4672" w:type="dxa"/>
            <w:tcBorders>
              <w:top w:val="single" w:color="auto" w:sz="8" w:space="0"/>
              <w:bottom w:val="single" w:color="auto" w:sz="8" w:space="0"/>
            </w:tcBorders>
            <w:shd w:val="clear" w:color="auto" w:fill="auto"/>
            <w:vAlign w:val="center"/>
          </w:tcPr>
          <w:p>
            <w:pPr>
              <w:pStyle w:val="182"/>
            </w:pPr>
            <w:r>
              <w:rPr>
                <w:rFonts w:hint="eastAsia"/>
              </w:rPr>
              <w:t>总建筑面积</w:t>
            </w:r>
            <w:r>
              <w:t>/m</w:t>
            </w:r>
            <w:r>
              <w:rPr>
                <w:vertAlign w:val="superscript"/>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tcBorders>
              <w:top w:val="single" w:color="auto" w:sz="8" w:space="0"/>
            </w:tcBorders>
            <w:shd w:val="clear" w:color="auto" w:fill="auto"/>
            <w:vAlign w:val="center"/>
          </w:tcPr>
          <w:p>
            <w:pPr>
              <w:pStyle w:val="182"/>
            </w:pPr>
            <w:r>
              <w:rPr>
                <w:rFonts w:hint="eastAsia"/>
              </w:rPr>
              <w:t>大型机关</w:t>
            </w:r>
          </w:p>
        </w:tc>
        <w:tc>
          <w:tcPr>
            <w:tcW w:w="4672" w:type="dxa"/>
            <w:tcBorders>
              <w:top w:val="single" w:color="auto" w:sz="8" w:space="0"/>
            </w:tcBorders>
            <w:shd w:val="clear" w:color="auto" w:fill="auto"/>
            <w:vAlign w:val="center"/>
          </w:tcPr>
          <w:p>
            <w:pPr>
              <w:pStyle w:val="182"/>
            </w:pPr>
            <w:r>
              <w:rPr>
                <w:rFonts w:hint="eastAsia"/>
              </w:rPr>
              <w:t>≥20000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82"/>
            </w:pPr>
            <w:r>
              <w:rPr>
                <w:rFonts w:hint="eastAsia"/>
              </w:rPr>
              <w:t>中型机关</w:t>
            </w:r>
          </w:p>
        </w:tc>
        <w:tc>
          <w:tcPr>
            <w:tcW w:w="4672" w:type="dxa"/>
            <w:shd w:val="clear" w:color="auto" w:fill="auto"/>
            <w:vAlign w:val="center"/>
          </w:tcPr>
          <w:p>
            <w:pPr>
              <w:pStyle w:val="182"/>
            </w:pPr>
            <w:r>
              <w:rPr>
                <w:rFonts w:hint="eastAsia"/>
              </w:rPr>
              <w:t>5000～20000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72" w:type="dxa"/>
            <w:shd w:val="clear" w:color="auto" w:fill="auto"/>
            <w:vAlign w:val="center"/>
          </w:tcPr>
          <w:p>
            <w:pPr>
              <w:pStyle w:val="182"/>
            </w:pPr>
            <w:r>
              <w:rPr>
                <w:rFonts w:hint="eastAsia"/>
              </w:rPr>
              <w:t>小型机关</w:t>
            </w:r>
          </w:p>
        </w:tc>
        <w:tc>
          <w:tcPr>
            <w:tcW w:w="4672" w:type="dxa"/>
            <w:shd w:val="clear" w:color="auto" w:fill="auto"/>
            <w:vAlign w:val="center"/>
          </w:tcPr>
          <w:p>
            <w:pPr>
              <w:pStyle w:val="182"/>
            </w:pPr>
            <w:r>
              <w:rPr>
                <w:rFonts w:hint="eastAsia"/>
              </w:rPr>
              <w:t>≤5000</w:t>
            </w:r>
          </w:p>
        </w:tc>
      </w:tr>
    </w:tbl>
    <w:p>
      <w:pPr>
        <w:pStyle w:val="60"/>
        <w:ind w:firstLine="420"/>
      </w:pPr>
    </w:p>
    <w:p>
      <w:pPr>
        <w:pStyle w:val="60"/>
        <w:ind w:firstLine="420"/>
      </w:pPr>
    </w:p>
    <w:p>
      <w:pPr>
        <w:pStyle w:val="60"/>
        <w:ind w:firstLine="420"/>
        <w:sectPr>
          <w:pgSz w:w="11906" w:h="16838"/>
          <w:pgMar w:top="1928" w:right="1134" w:bottom="1134" w:left="1134" w:header="1418" w:footer="1134" w:gutter="284"/>
          <w:cols w:space="425" w:num="1"/>
          <w:formProt w:val="0"/>
          <w:docGrid w:type="lines" w:linePitch="312" w:charSpace="0"/>
        </w:sectPr>
      </w:pPr>
    </w:p>
    <w:p>
      <w:pPr>
        <w:pStyle w:val="202"/>
      </w:pPr>
    </w:p>
    <w:p>
      <w:pPr>
        <w:pStyle w:val="203"/>
      </w:pPr>
    </w:p>
    <w:p>
      <w:pPr>
        <w:pStyle w:val="80"/>
        <w:spacing w:after="156"/>
      </w:pPr>
      <w:r>
        <w:br w:type="textWrapping"/>
      </w:r>
      <w:bookmarkStart w:id="114" w:name="_Toc177216782"/>
      <w:r>
        <w:rPr>
          <w:rFonts w:hint="eastAsia"/>
        </w:rPr>
        <w:t>（资料性）</w:t>
      </w:r>
      <w:r>
        <w:br w:type="textWrapping"/>
      </w:r>
      <w:r>
        <w:rPr>
          <w:rFonts w:hint="eastAsia"/>
        </w:rPr>
        <w:t>能源计量器具配备情况统计汇总表</w:t>
      </w:r>
      <w:bookmarkEnd w:id="114"/>
    </w:p>
    <w:p>
      <w:pPr>
        <w:pStyle w:val="81"/>
        <w:spacing w:before="156" w:after="156"/>
      </w:pPr>
      <w:r>
        <w:rPr>
          <w:rFonts w:hint="eastAsia"/>
        </w:rPr>
        <w:t>能源计量器具配备情况统计汇总表</w:t>
      </w:r>
    </w:p>
    <w:p>
      <w:pPr>
        <w:pStyle w:val="60"/>
        <w:ind w:firstLine="199" w:firstLineChars="95"/>
        <w:rPr>
          <w:rFonts w:hint="eastAsia"/>
        </w:rPr>
      </w:pPr>
      <w:r>
        <w:rPr>
          <w:rFonts w:hint="eastAsia"/>
        </w:rPr>
        <w:t>办公区名称：</w:t>
      </w:r>
      <w:r>
        <w:rPr>
          <w:rFonts w:hint="eastAsia"/>
          <w:u w:val="single"/>
        </w:rPr>
        <w:t xml:space="preserve">                    </w:t>
      </w:r>
      <w:r>
        <w:rPr>
          <w:u w:val="single"/>
        </w:rPr>
        <w:t xml:space="preserve">           </w:t>
      </w:r>
      <w:r>
        <w:t xml:space="preserve">                                                                             </w:t>
      </w:r>
      <w:r>
        <w:rPr>
          <w:rFonts w:hint="eastAsia"/>
        </w:rPr>
        <w:t>单位为台</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268"/>
        <w:gridCol w:w="992"/>
        <w:gridCol w:w="993"/>
        <w:gridCol w:w="992"/>
        <w:gridCol w:w="992"/>
        <w:gridCol w:w="992"/>
        <w:gridCol w:w="993"/>
        <w:gridCol w:w="992"/>
        <w:gridCol w:w="1134"/>
        <w:gridCol w:w="1134"/>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vMerge w:val="restart"/>
            <w:tcBorders>
              <w:top w:val="single" w:color="auto" w:sz="8" w:space="0"/>
            </w:tcBorders>
            <w:shd w:val="clear" w:color="auto" w:fill="auto"/>
            <w:vAlign w:val="center"/>
          </w:tcPr>
          <w:p>
            <w:pPr>
              <w:pStyle w:val="182"/>
            </w:pPr>
            <w:r>
              <w:rPr>
                <w:rFonts w:hint="eastAsia"/>
              </w:rPr>
              <w:t>类型</w:t>
            </w:r>
          </w:p>
        </w:tc>
        <w:tc>
          <w:tcPr>
            <w:tcW w:w="2268" w:type="dxa"/>
            <w:vMerge w:val="restart"/>
            <w:tcBorders>
              <w:top w:val="single" w:color="auto" w:sz="8" w:space="0"/>
            </w:tcBorders>
            <w:shd w:val="clear" w:color="auto" w:fill="auto"/>
            <w:vAlign w:val="center"/>
          </w:tcPr>
          <w:p>
            <w:pPr>
              <w:pStyle w:val="182"/>
            </w:pPr>
            <w:r>
              <w:rPr>
                <w:rFonts w:hint="eastAsia"/>
              </w:rPr>
              <w:t>级或项的名称</w:t>
            </w:r>
          </w:p>
        </w:tc>
        <w:tc>
          <w:tcPr>
            <w:tcW w:w="10206" w:type="dxa"/>
            <w:gridSpan w:val="10"/>
            <w:tcBorders>
              <w:top w:val="single" w:color="auto" w:sz="8" w:space="0"/>
              <w:bottom w:val="single" w:color="auto" w:sz="8" w:space="0"/>
            </w:tcBorders>
            <w:shd w:val="clear" w:color="auto" w:fill="auto"/>
            <w:vAlign w:val="center"/>
          </w:tcPr>
          <w:p>
            <w:pPr>
              <w:pStyle w:val="182"/>
            </w:pPr>
            <w:r>
              <w:rPr>
                <w:rFonts w:hint="eastAsia"/>
              </w:rPr>
              <w:t>配备的计量器具类别及数量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vMerge w:val="continue"/>
            <w:shd w:val="clear" w:color="auto" w:fill="auto"/>
            <w:vAlign w:val="center"/>
          </w:tcPr>
          <w:p>
            <w:pPr>
              <w:pStyle w:val="182"/>
            </w:pPr>
          </w:p>
        </w:tc>
        <w:tc>
          <w:tcPr>
            <w:tcW w:w="1985" w:type="dxa"/>
            <w:gridSpan w:val="2"/>
            <w:tcBorders>
              <w:top w:val="single" w:color="auto" w:sz="8" w:space="0"/>
            </w:tcBorders>
            <w:shd w:val="clear" w:color="auto" w:fill="auto"/>
            <w:vAlign w:val="center"/>
          </w:tcPr>
          <w:p>
            <w:pPr>
              <w:pStyle w:val="182"/>
            </w:pPr>
            <w:r>
              <w:rPr>
                <w:rFonts w:hint="eastAsia"/>
              </w:rPr>
              <w:t>电能表</w:t>
            </w:r>
          </w:p>
        </w:tc>
        <w:tc>
          <w:tcPr>
            <w:tcW w:w="1984" w:type="dxa"/>
            <w:gridSpan w:val="2"/>
            <w:tcBorders>
              <w:top w:val="single" w:color="auto" w:sz="8" w:space="0"/>
            </w:tcBorders>
            <w:shd w:val="clear" w:color="auto" w:fill="auto"/>
            <w:vAlign w:val="center"/>
          </w:tcPr>
          <w:p>
            <w:pPr>
              <w:pStyle w:val="182"/>
            </w:pPr>
            <w:r>
              <w:rPr>
                <w:rFonts w:hint="eastAsia"/>
              </w:rPr>
              <w:t>燃气表</w:t>
            </w:r>
          </w:p>
        </w:tc>
        <w:tc>
          <w:tcPr>
            <w:tcW w:w="1985" w:type="dxa"/>
            <w:gridSpan w:val="2"/>
            <w:tcBorders>
              <w:top w:val="single" w:color="auto" w:sz="8" w:space="0"/>
            </w:tcBorders>
            <w:shd w:val="clear" w:color="auto" w:fill="auto"/>
            <w:vAlign w:val="center"/>
          </w:tcPr>
          <w:p>
            <w:pPr>
              <w:pStyle w:val="182"/>
            </w:pPr>
            <w:r>
              <w:rPr>
                <w:rFonts w:hint="eastAsia"/>
              </w:rPr>
              <w:t>水流量表</w:t>
            </w:r>
          </w:p>
        </w:tc>
        <w:tc>
          <w:tcPr>
            <w:tcW w:w="2126" w:type="dxa"/>
            <w:gridSpan w:val="2"/>
            <w:tcBorders>
              <w:top w:val="single" w:color="auto" w:sz="8" w:space="0"/>
            </w:tcBorders>
            <w:shd w:val="clear" w:color="auto" w:fill="auto"/>
            <w:vAlign w:val="center"/>
          </w:tcPr>
          <w:p>
            <w:pPr>
              <w:pStyle w:val="182"/>
            </w:pPr>
            <w:r>
              <w:rPr>
                <w:rFonts w:hint="eastAsia"/>
              </w:rPr>
              <w:t>热量表</w:t>
            </w:r>
          </w:p>
        </w:tc>
        <w:tc>
          <w:tcPr>
            <w:tcW w:w="2126" w:type="dxa"/>
            <w:gridSpan w:val="2"/>
            <w:tcBorders>
              <w:top w:val="single" w:color="auto" w:sz="8" w:space="0"/>
            </w:tcBorders>
            <w:shd w:val="clear" w:color="auto" w:fill="auto"/>
            <w:vAlign w:val="center"/>
          </w:tcPr>
          <w:p>
            <w:pPr>
              <w:pStyle w:val="182"/>
            </w:pPr>
            <w:r>
              <w:rPr>
                <w:rFonts w:hint="eastAsia"/>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vMerge w:val="continue"/>
            <w:shd w:val="clear" w:color="auto" w:fill="auto"/>
            <w:vAlign w:val="center"/>
          </w:tcPr>
          <w:p>
            <w:pPr>
              <w:pStyle w:val="182"/>
            </w:pPr>
          </w:p>
        </w:tc>
        <w:tc>
          <w:tcPr>
            <w:tcW w:w="992" w:type="dxa"/>
            <w:shd w:val="clear" w:color="auto" w:fill="auto"/>
            <w:vAlign w:val="center"/>
          </w:tcPr>
          <w:p>
            <w:pPr>
              <w:pStyle w:val="182"/>
            </w:pPr>
            <w:r>
              <w:rPr>
                <w:rFonts w:hint="eastAsia"/>
              </w:rPr>
              <w:t>应配数量</w:t>
            </w:r>
          </w:p>
        </w:tc>
        <w:tc>
          <w:tcPr>
            <w:tcW w:w="993" w:type="dxa"/>
            <w:shd w:val="clear" w:color="auto" w:fill="auto"/>
            <w:vAlign w:val="center"/>
          </w:tcPr>
          <w:p>
            <w:pPr>
              <w:pStyle w:val="182"/>
            </w:pPr>
            <w:r>
              <w:rPr>
                <w:rFonts w:hint="eastAsia"/>
              </w:rPr>
              <w:t>实配数量</w:t>
            </w:r>
          </w:p>
        </w:tc>
        <w:tc>
          <w:tcPr>
            <w:tcW w:w="992" w:type="dxa"/>
            <w:shd w:val="clear" w:color="auto" w:fill="auto"/>
            <w:vAlign w:val="center"/>
          </w:tcPr>
          <w:p>
            <w:pPr>
              <w:pStyle w:val="182"/>
            </w:pPr>
            <w:r>
              <w:rPr>
                <w:rFonts w:hint="eastAsia"/>
              </w:rPr>
              <w:t>应配数量</w:t>
            </w:r>
          </w:p>
        </w:tc>
        <w:tc>
          <w:tcPr>
            <w:tcW w:w="992" w:type="dxa"/>
            <w:shd w:val="clear" w:color="auto" w:fill="auto"/>
            <w:vAlign w:val="center"/>
          </w:tcPr>
          <w:p>
            <w:pPr>
              <w:pStyle w:val="182"/>
            </w:pPr>
            <w:r>
              <w:rPr>
                <w:rFonts w:hint="eastAsia"/>
              </w:rPr>
              <w:t>实配数量</w:t>
            </w:r>
          </w:p>
        </w:tc>
        <w:tc>
          <w:tcPr>
            <w:tcW w:w="992" w:type="dxa"/>
            <w:shd w:val="clear" w:color="auto" w:fill="auto"/>
            <w:vAlign w:val="center"/>
          </w:tcPr>
          <w:p>
            <w:pPr>
              <w:pStyle w:val="182"/>
            </w:pPr>
            <w:r>
              <w:rPr>
                <w:rFonts w:hint="eastAsia"/>
              </w:rPr>
              <w:t>应配数量</w:t>
            </w:r>
          </w:p>
        </w:tc>
        <w:tc>
          <w:tcPr>
            <w:tcW w:w="993" w:type="dxa"/>
            <w:shd w:val="clear" w:color="auto" w:fill="auto"/>
            <w:vAlign w:val="center"/>
          </w:tcPr>
          <w:p>
            <w:pPr>
              <w:pStyle w:val="182"/>
            </w:pPr>
            <w:r>
              <w:rPr>
                <w:rFonts w:hint="eastAsia"/>
              </w:rPr>
              <w:t>实配数量</w:t>
            </w:r>
          </w:p>
        </w:tc>
        <w:tc>
          <w:tcPr>
            <w:tcW w:w="992" w:type="dxa"/>
            <w:shd w:val="clear" w:color="auto" w:fill="auto"/>
            <w:vAlign w:val="center"/>
          </w:tcPr>
          <w:p>
            <w:pPr>
              <w:pStyle w:val="182"/>
            </w:pPr>
            <w:r>
              <w:rPr>
                <w:rFonts w:hint="eastAsia"/>
              </w:rPr>
              <w:t>应配数量</w:t>
            </w:r>
          </w:p>
        </w:tc>
        <w:tc>
          <w:tcPr>
            <w:tcW w:w="1134" w:type="dxa"/>
            <w:shd w:val="clear" w:color="auto" w:fill="auto"/>
            <w:vAlign w:val="center"/>
          </w:tcPr>
          <w:p>
            <w:pPr>
              <w:pStyle w:val="182"/>
            </w:pPr>
            <w:r>
              <w:rPr>
                <w:rFonts w:hint="eastAsia"/>
              </w:rPr>
              <w:t>实配数量</w:t>
            </w:r>
          </w:p>
        </w:tc>
        <w:tc>
          <w:tcPr>
            <w:tcW w:w="1134" w:type="dxa"/>
            <w:shd w:val="clear" w:color="auto" w:fill="auto"/>
            <w:vAlign w:val="center"/>
          </w:tcPr>
          <w:p>
            <w:pPr>
              <w:pStyle w:val="182"/>
            </w:pPr>
            <w:r>
              <w:rPr>
                <w:rFonts w:hint="eastAsia"/>
              </w:rPr>
              <w:t>应配数量</w:t>
            </w:r>
          </w:p>
        </w:tc>
        <w:tc>
          <w:tcPr>
            <w:tcW w:w="992" w:type="dxa"/>
            <w:shd w:val="clear" w:color="auto" w:fill="auto"/>
            <w:vAlign w:val="center"/>
          </w:tcPr>
          <w:p>
            <w:pPr>
              <w:pStyle w:val="182"/>
            </w:pPr>
            <w:r>
              <w:rPr>
                <w:rFonts w:hint="eastAsia"/>
              </w:rPr>
              <w:t>实配数量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restart"/>
            <w:shd w:val="clear" w:color="auto" w:fill="auto"/>
            <w:vAlign w:val="center"/>
          </w:tcPr>
          <w:p>
            <w:pPr>
              <w:pStyle w:val="182"/>
            </w:pPr>
            <w:r>
              <w:rPr>
                <w:rFonts w:hint="eastAsia"/>
              </w:rPr>
              <w:t>分户计量</w:t>
            </w:r>
          </w:p>
        </w:tc>
        <w:tc>
          <w:tcPr>
            <w:tcW w:w="2268" w:type="dxa"/>
            <w:tcBorders>
              <w:top w:val="single" w:color="auto" w:sz="4" w:space="0"/>
              <w:left w:val="single" w:color="auto" w:sz="4" w:space="0"/>
              <w:bottom w:val="single" w:color="auto" w:sz="4" w:space="0"/>
              <w:right w:val="single" w:color="auto" w:sz="4" w:space="0"/>
            </w:tcBorders>
            <w:vAlign w:val="center"/>
          </w:tcPr>
          <w:p>
            <w:pPr>
              <w:pStyle w:val="182"/>
            </w:pPr>
            <w:r>
              <w:rPr>
                <w:rFonts w:hint="eastAsia"/>
              </w:rPr>
              <w:t>进入能源独立核算机关</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转供其他单位</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pStyle w:val="182"/>
            </w:pPr>
            <w:r>
              <w:rPr>
                <w:rFonts w:hint="eastAsia"/>
              </w:rPr>
              <w:t>分区计量</w:t>
            </w: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办公区</w:t>
            </w:r>
          </w:p>
          <w:p>
            <w:pPr>
              <w:pStyle w:val="182"/>
              <w:rPr>
                <w:rFonts w:hint="eastAsia"/>
              </w:rPr>
            </w:pPr>
            <w:r>
              <w:rPr>
                <w:rFonts w:hint="eastAsia"/>
              </w:rPr>
              <w:t>（已满足6.4.2能耗限定值）</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会议区</w:t>
            </w:r>
          </w:p>
          <w:p>
            <w:pPr>
              <w:pStyle w:val="182"/>
              <w:rPr>
                <w:rFonts w:hint="eastAsia"/>
              </w:rPr>
            </w:pPr>
            <w:r>
              <w:rPr>
                <w:rFonts w:hint="eastAsia"/>
              </w:rPr>
              <w:t>（已满足6.4.2能耗限定值）</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资料室、档案室</w:t>
            </w:r>
          </w:p>
          <w:p>
            <w:pPr>
              <w:pStyle w:val="182"/>
              <w:rPr>
                <w:rFonts w:hint="eastAsia"/>
              </w:rPr>
            </w:pPr>
            <w:r>
              <w:rPr>
                <w:rFonts w:hint="eastAsia"/>
              </w:rPr>
              <w:t>（已满足6.4.2能耗限定值）</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办事大厅、展览大厅</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监控中心、调度中心</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数据中心</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文印中心</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食堂、浴室</w:t>
            </w:r>
          </w:p>
          <w:p>
            <w:pPr>
              <w:pStyle w:val="182"/>
              <w:rPr>
                <w:rFonts w:hint="eastAsia"/>
              </w:rPr>
            </w:pPr>
            <w:r>
              <w:rPr>
                <w:rFonts w:hint="eastAsia"/>
              </w:rPr>
              <w:t>（大型和中型机关）</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生活热水机房</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锅炉房、采暖换热站</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bl>
    <w:p>
      <w:pPr>
        <w:pStyle w:val="81"/>
        <w:numPr>
          <w:ilvl w:val="1"/>
          <w:numId w:val="36"/>
        </w:numPr>
        <w:spacing w:before="156" w:after="156"/>
        <w:rPr>
          <w:rFonts w:hAnsi="黑体"/>
        </w:rPr>
      </w:pPr>
      <w:r>
        <w:rPr>
          <w:rFonts w:hint="eastAsia"/>
        </w:rPr>
        <w:t>能源计量器具配备情况统计汇总表（续）</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268"/>
        <w:gridCol w:w="992"/>
        <w:gridCol w:w="993"/>
        <w:gridCol w:w="992"/>
        <w:gridCol w:w="992"/>
        <w:gridCol w:w="992"/>
        <w:gridCol w:w="993"/>
        <w:gridCol w:w="992"/>
        <w:gridCol w:w="1134"/>
        <w:gridCol w:w="1134"/>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vMerge w:val="restart"/>
            <w:tcBorders>
              <w:top w:val="single" w:color="auto" w:sz="8" w:space="0"/>
            </w:tcBorders>
            <w:shd w:val="clear" w:color="auto" w:fill="auto"/>
            <w:vAlign w:val="center"/>
          </w:tcPr>
          <w:p>
            <w:pPr>
              <w:pStyle w:val="182"/>
            </w:pPr>
            <w:r>
              <w:rPr>
                <w:rFonts w:hint="eastAsia"/>
              </w:rPr>
              <w:t>类型</w:t>
            </w:r>
          </w:p>
        </w:tc>
        <w:tc>
          <w:tcPr>
            <w:tcW w:w="2268" w:type="dxa"/>
            <w:vMerge w:val="restart"/>
            <w:tcBorders>
              <w:top w:val="single" w:color="auto" w:sz="8" w:space="0"/>
            </w:tcBorders>
            <w:shd w:val="clear" w:color="auto" w:fill="auto"/>
            <w:vAlign w:val="center"/>
          </w:tcPr>
          <w:p>
            <w:pPr>
              <w:pStyle w:val="182"/>
            </w:pPr>
            <w:r>
              <w:rPr>
                <w:rFonts w:hint="eastAsia"/>
              </w:rPr>
              <w:t>级或项的名称</w:t>
            </w:r>
          </w:p>
        </w:tc>
        <w:tc>
          <w:tcPr>
            <w:tcW w:w="10206" w:type="dxa"/>
            <w:gridSpan w:val="10"/>
            <w:tcBorders>
              <w:top w:val="single" w:color="auto" w:sz="8" w:space="0"/>
              <w:bottom w:val="single" w:color="auto" w:sz="8" w:space="0"/>
            </w:tcBorders>
            <w:shd w:val="clear" w:color="auto" w:fill="auto"/>
            <w:vAlign w:val="center"/>
          </w:tcPr>
          <w:p>
            <w:pPr>
              <w:pStyle w:val="182"/>
            </w:pPr>
            <w:r>
              <w:rPr>
                <w:rFonts w:hint="eastAsia"/>
              </w:rPr>
              <w:t>配备的计量器具类别及数量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vMerge w:val="continue"/>
            <w:vAlign w:val="center"/>
          </w:tcPr>
          <w:p>
            <w:pPr>
              <w:pStyle w:val="182"/>
              <w:rPr>
                <w:rFonts w:hint="eastAsia"/>
              </w:rPr>
            </w:pPr>
          </w:p>
        </w:tc>
        <w:tc>
          <w:tcPr>
            <w:tcW w:w="1985" w:type="dxa"/>
            <w:gridSpan w:val="2"/>
            <w:tcBorders>
              <w:top w:val="single" w:color="auto" w:sz="8" w:space="0"/>
            </w:tcBorders>
            <w:shd w:val="clear" w:color="auto" w:fill="auto"/>
            <w:vAlign w:val="center"/>
          </w:tcPr>
          <w:p>
            <w:pPr>
              <w:pStyle w:val="182"/>
            </w:pPr>
            <w:r>
              <w:rPr>
                <w:rFonts w:hint="eastAsia"/>
              </w:rPr>
              <w:t>电能表</w:t>
            </w:r>
          </w:p>
        </w:tc>
        <w:tc>
          <w:tcPr>
            <w:tcW w:w="1984" w:type="dxa"/>
            <w:gridSpan w:val="2"/>
            <w:tcBorders>
              <w:top w:val="single" w:color="auto" w:sz="8" w:space="0"/>
            </w:tcBorders>
            <w:shd w:val="clear" w:color="auto" w:fill="auto"/>
            <w:vAlign w:val="center"/>
          </w:tcPr>
          <w:p>
            <w:pPr>
              <w:pStyle w:val="182"/>
            </w:pPr>
            <w:r>
              <w:rPr>
                <w:rFonts w:hint="eastAsia"/>
              </w:rPr>
              <w:t>燃气表</w:t>
            </w:r>
          </w:p>
        </w:tc>
        <w:tc>
          <w:tcPr>
            <w:tcW w:w="1985" w:type="dxa"/>
            <w:gridSpan w:val="2"/>
            <w:tcBorders>
              <w:top w:val="single" w:color="auto" w:sz="8" w:space="0"/>
            </w:tcBorders>
            <w:shd w:val="clear" w:color="auto" w:fill="auto"/>
            <w:vAlign w:val="center"/>
          </w:tcPr>
          <w:p>
            <w:pPr>
              <w:pStyle w:val="182"/>
            </w:pPr>
            <w:r>
              <w:rPr>
                <w:rFonts w:hint="eastAsia"/>
              </w:rPr>
              <w:t>水流量表</w:t>
            </w:r>
          </w:p>
        </w:tc>
        <w:tc>
          <w:tcPr>
            <w:tcW w:w="2126" w:type="dxa"/>
            <w:gridSpan w:val="2"/>
            <w:shd w:val="clear" w:color="auto" w:fill="auto"/>
            <w:vAlign w:val="center"/>
          </w:tcPr>
          <w:p>
            <w:pPr>
              <w:pStyle w:val="182"/>
            </w:pPr>
            <w:r>
              <w:rPr>
                <w:rFonts w:hint="eastAsia"/>
              </w:rPr>
              <w:t>热量表</w:t>
            </w:r>
          </w:p>
        </w:tc>
        <w:tc>
          <w:tcPr>
            <w:tcW w:w="2126" w:type="dxa"/>
            <w:gridSpan w:val="2"/>
            <w:shd w:val="clear" w:color="auto" w:fill="auto"/>
            <w:vAlign w:val="center"/>
          </w:tcPr>
          <w:p>
            <w:pPr>
              <w:pStyle w:val="182"/>
            </w:pPr>
            <w:r>
              <w:rPr>
                <w:rFonts w:hint="eastAsia"/>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vMerge w:val="continue"/>
            <w:tcBorders>
              <w:bottom w:val="single" w:color="auto" w:sz="4" w:space="0"/>
            </w:tcBorders>
            <w:vAlign w:val="center"/>
          </w:tcPr>
          <w:p>
            <w:pPr>
              <w:pStyle w:val="182"/>
              <w:rPr>
                <w:rFonts w:hint="eastAsia"/>
              </w:rPr>
            </w:pPr>
          </w:p>
        </w:tc>
        <w:tc>
          <w:tcPr>
            <w:tcW w:w="992" w:type="dxa"/>
            <w:shd w:val="clear" w:color="auto" w:fill="auto"/>
            <w:vAlign w:val="center"/>
          </w:tcPr>
          <w:p>
            <w:pPr>
              <w:pStyle w:val="182"/>
            </w:pPr>
            <w:r>
              <w:rPr>
                <w:rFonts w:hint="eastAsia"/>
              </w:rPr>
              <w:t>应配数量</w:t>
            </w:r>
          </w:p>
        </w:tc>
        <w:tc>
          <w:tcPr>
            <w:tcW w:w="993" w:type="dxa"/>
            <w:shd w:val="clear" w:color="auto" w:fill="auto"/>
            <w:vAlign w:val="center"/>
          </w:tcPr>
          <w:p>
            <w:pPr>
              <w:pStyle w:val="182"/>
            </w:pPr>
            <w:r>
              <w:rPr>
                <w:rFonts w:hint="eastAsia"/>
              </w:rPr>
              <w:t>实配数量</w:t>
            </w:r>
          </w:p>
        </w:tc>
        <w:tc>
          <w:tcPr>
            <w:tcW w:w="992" w:type="dxa"/>
            <w:shd w:val="clear" w:color="auto" w:fill="auto"/>
            <w:vAlign w:val="center"/>
          </w:tcPr>
          <w:p>
            <w:pPr>
              <w:pStyle w:val="182"/>
            </w:pPr>
            <w:r>
              <w:rPr>
                <w:rFonts w:hint="eastAsia"/>
              </w:rPr>
              <w:t>应配数量</w:t>
            </w:r>
          </w:p>
        </w:tc>
        <w:tc>
          <w:tcPr>
            <w:tcW w:w="992" w:type="dxa"/>
            <w:shd w:val="clear" w:color="auto" w:fill="auto"/>
            <w:vAlign w:val="center"/>
          </w:tcPr>
          <w:p>
            <w:pPr>
              <w:pStyle w:val="182"/>
            </w:pPr>
            <w:r>
              <w:rPr>
                <w:rFonts w:hint="eastAsia"/>
              </w:rPr>
              <w:t>实配数量</w:t>
            </w:r>
          </w:p>
        </w:tc>
        <w:tc>
          <w:tcPr>
            <w:tcW w:w="992" w:type="dxa"/>
            <w:shd w:val="clear" w:color="auto" w:fill="auto"/>
            <w:vAlign w:val="center"/>
          </w:tcPr>
          <w:p>
            <w:pPr>
              <w:pStyle w:val="182"/>
            </w:pPr>
            <w:r>
              <w:rPr>
                <w:rFonts w:hint="eastAsia"/>
              </w:rPr>
              <w:t>应配数量</w:t>
            </w:r>
          </w:p>
        </w:tc>
        <w:tc>
          <w:tcPr>
            <w:tcW w:w="993" w:type="dxa"/>
            <w:shd w:val="clear" w:color="auto" w:fill="auto"/>
            <w:vAlign w:val="center"/>
          </w:tcPr>
          <w:p>
            <w:pPr>
              <w:pStyle w:val="182"/>
            </w:pPr>
            <w:r>
              <w:rPr>
                <w:rFonts w:hint="eastAsia"/>
              </w:rPr>
              <w:t>实配数量</w:t>
            </w:r>
          </w:p>
        </w:tc>
        <w:tc>
          <w:tcPr>
            <w:tcW w:w="992" w:type="dxa"/>
            <w:shd w:val="clear" w:color="auto" w:fill="auto"/>
            <w:vAlign w:val="center"/>
          </w:tcPr>
          <w:p>
            <w:pPr>
              <w:pStyle w:val="182"/>
            </w:pPr>
            <w:r>
              <w:rPr>
                <w:rFonts w:hint="eastAsia"/>
              </w:rPr>
              <w:t>应配数量</w:t>
            </w:r>
          </w:p>
        </w:tc>
        <w:tc>
          <w:tcPr>
            <w:tcW w:w="1134" w:type="dxa"/>
            <w:shd w:val="clear" w:color="auto" w:fill="auto"/>
            <w:vAlign w:val="center"/>
          </w:tcPr>
          <w:p>
            <w:pPr>
              <w:pStyle w:val="182"/>
            </w:pPr>
            <w:r>
              <w:rPr>
                <w:rFonts w:hint="eastAsia"/>
              </w:rPr>
              <w:t>实配数量</w:t>
            </w:r>
          </w:p>
        </w:tc>
        <w:tc>
          <w:tcPr>
            <w:tcW w:w="1134" w:type="dxa"/>
            <w:shd w:val="clear" w:color="auto" w:fill="auto"/>
            <w:vAlign w:val="center"/>
          </w:tcPr>
          <w:p>
            <w:pPr>
              <w:pStyle w:val="182"/>
            </w:pPr>
            <w:r>
              <w:rPr>
                <w:rFonts w:hint="eastAsia"/>
              </w:rPr>
              <w:t>应配数量</w:t>
            </w:r>
          </w:p>
        </w:tc>
        <w:tc>
          <w:tcPr>
            <w:tcW w:w="992" w:type="dxa"/>
            <w:shd w:val="clear" w:color="auto" w:fill="auto"/>
            <w:vAlign w:val="center"/>
          </w:tcPr>
          <w:p>
            <w:pPr>
              <w:pStyle w:val="182"/>
            </w:pPr>
            <w:r>
              <w:rPr>
                <w:rFonts w:hint="eastAsia"/>
              </w:rPr>
              <w:t>实配数量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restart"/>
            <w:shd w:val="clear" w:color="auto" w:fill="auto"/>
            <w:vAlign w:val="center"/>
          </w:tcPr>
          <w:p>
            <w:pPr>
              <w:pStyle w:val="182"/>
            </w:pPr>
            <w:r>
              <w:rPr>
                <w:rFonts w:hint="eastAsia"/>
              </w:rPr>
              <w:t>分区计量</w:t>
            </w: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制冷机房</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给水泵房</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大型洗涤间</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公寓</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绿化、景观区</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电动汽车充电桩</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市政配套设施</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正在建设或维修改造区</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对外服务/外包区域</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其他</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pStyle w:val="182"/>
            </w:pPr>
            <w:r>
              <w:rPr>
                <w:rFonts w:hint="eastAsia"/>
              </w:rPr>
              <w:t>主要用能设备</w:t>
            </w: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中央空调制冷机组</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热泵机组</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锅炉</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电梯</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其他</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pStyle w:val="182"/>
            </w:pPr>
            <w:r>
              <w:rPr>
                <w:rFonts w:hint="eastAsia"/>
              </w:rPr>
              <w:t>其他项目</w:t>
            </w: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可再生能源项目</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再生水、中水项目</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pStyle w:val="182"/>
            </w:pPr>
          </w:p>
        </w:tc>
        <w:tc>
          <w:tcPr>
            <w:tcW w:w="2268" w:type="dxa"/>
            <w:tcBorders>
              <w:top w:val="single" w:color="auto" w:sz="4" w:space="0"/>
              <w:left w:val="single" w:color="auto" w:sz="4" w:space="0"/>
              <w:bottom w:val="single" w:color="auto" w:sz="4" w:space="0"/>
              <w:right w:val="single" w:color="auto" w:sz="4" w:space="0"/>
            </w:tcBorders>
            <w:vAlign w:val="center"/>
          </w:tcPr>
          <w:p>
            <w:pPr>
              <w:pStyle w:val="182"/>
              <w:rPr>
                <w:rFonts w:hint="eastAsia"/>
              </w:rPr>
            </w:pPr>
            <w:r>
              <w:rPr>
                <w:rFonts w:hint="eastAsia"/>
              </w:rPr>
              <w:t>余能回收利用项目</w:t>
            </w: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2" w:type="dxa"/>
            <w:shd w:val="clear" w:color="auto" w:fill="auto"/>
            <w:vAlign w:val="center"/>
          </w:tcPr>
          <w:p>
            <w:pPr>
              <w:pStyle w:val="182"/>
            </w:pPr>
          </w:p>
        </w:tc>
        <w:tc>
          <w:tcPr>
            <w:tcW w:w="993" w:type="dxa"/>
            <w:shd w:val="clear" w:color="auto" w:fill="auto"/>
            <w:vAlign w:val="center"/>
          </w:tcPr>
          <w:p>
            <w:pPr>
              <w:pStyle w:val="182"/>
            </w:pPr>
          </w:p>
        </w:tc>
        <w:tc>
          <w:tcPr>
            <w:tcW w:w="992" w:type="dxa"/>
            <w:shd w:val="clear" w:color="auto" w:fill="auto"/>
            <w:vAlign w:val="center"/>
          </w:tcPr>
          <w:p>
            <w:pPr>
              <w:pStyle w:val="182"/>
            </w:pPr>
          </w:p>
        </w:tc>
        <w:tc>
          <w:tcPr>
            <w:tcW w:w="1134" w:type="dxa"/>
            <w:shd w:val="clear" w:color="auto" w:fill="auto"/>
            <w:vAlign w:val="center"/>
          </w:tcPr>
          <w:p>
            <w:pPr>
              <w:pStyle w:val="182"/>
            </w:pPr>
          </w:p>
        </w:tc>
        <w:tc>
          <w:tcPr>
            <w:tcW w:w="1134" w:type="dxa"/>
            <w:shd w:val="clear" w:color="auto" w:fill="auto"/>
            <w:vAlign w:val="center"/>
          </w:tcPr>
          <w:p>
            <w:pPr>
              <w:pStyle w:val="182"/>
            </w:pPr>
          </w:p>
        </w:tc>
        <w:tc>
          <w:tcPr>
            <w:tcW w:w="992" w:type="dxa"/>
            <w:shd w:val="clear" w:color="auto" w:fill="auto"/>
            <w:vAlign w:val="center"/>
          </w:tcPr>
          <w:p>
            <w:pPr>
              <w:pStyle w:val="182"/>
            </w:pPr>
          </w:p>
        </w:tc>
      </w:tr>
    </w:tbl>
    <w:p>
      <w:pPr>
        <w:pStyle w:val="60"/>
        <w:ind w:firstLine="420"/>
      </w:pPr>
    </w:p>
    <w:p>
      <w:pPr>
        <w:pStyle w:val="60"/>
        <w:ind w:firstLine="420"/>
      </w:pPr>
    </w:p>
    <w:p>
      <w:pPr>
        <w:pStyle w:val="60"/>
        <w:ind w:firstLine="420"/>
      </w:pPr>
    </w:p>
    <w:p>
      <w:pPr>
        <w:pStyle w:val="60"/>
        <w:ind w:firstLine="420"/>
        <w:sectPr>
          <w:pgSz w:w="16838" w:h="11906" w:orient="landscape"/>
          <w:pgMar w:top="1134" w:right="1928" w:bottom="1134" w:left="1134" w:header="1418" w:footer="1134" w:gutter="284"/>
          <w:cols w:space="425" w:num="1"/>
          <w:formProt w:val="0"/>
          <w:docGrid w:type="lines" w:linePitch="312" w:charSpace="0"/>
        </w:sectPr>
      </w:pPr>
    </w:p>
    <w:p>
      <w:pPr>
        <w:pStyle w:val="202"/>
        <w:rPr>
          <w:vanish w:val="0"/>
        </w:rPr>
      </w:pPr>
    </w:p>
    <w:p>
      <w:pPr>
        <w:pStyle w:val="203"/>
        <w:rPr>
          <w:vanish w:val="0"/>
        </w:rPr>
      </w:pPr>
    </w:p>
    <w:p>
      <w:pPr>
        <w:pStyle w:val="80"/>
        <w:spacing w:after="156"/>
      </w:pPr>
      <w:r>
        <w:br w:type="textWrapping"/>
      </w:r>
      <w:bookmarkStart w:id="115" w:name="_Toc175572676"/>
      <w:bookmarkStart w:id="116" w:name="_Toc175572606"/>
      <w:bookmarkStart w:id="117" w:name="_Toc177216783"/>
      <w:r>
        <w:rPr>
          <w:rFonts w:hint="eastAsia"/>
        </w:rPr>
        <w:t>（资料性）</w:t>
      </w:r>
      <w:r>
        <w:br w:type="textWrapping"/>
      </w:r>
      <w:r>
        <w:rPr>
          <w:rFonts w:hint="eastAsia"/>
        </w:rPr>
        <w:t>计量器具一览表模板</w:t>
      </w:r>
      <w:bookmarkEnd w:id="115"/>
      <w:bookmarkEnd w:id="116"/>
      <w:bookmarkEnd w:id="117"/>
    </w:p>
    <w:p>
      <w:pPr>
        <w:pStyle w:val="81"/>
        <w:spacing w:before="156" w:after="156"/>
      </w:pPr>
      <w:r>
        <w:rPr>
          <w:rFonts w:hint="eastAsia"/>
        </w:rPr>
        <w:t>计量器具一览表</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27"/>
        <w:gridCol w:w="626"/>
        <w:gridCol w:w="626"/>
        <w:gridCol w:w="625"/>
        <w:gridCol w:w="626"/>
        <w:gridCol w:w="626"/>
        <w:gridCol w:w="627"/>
        <w:gridCol w:w="627"/>
        <w:gridCol w:w="627"/>
        <w:gridCol w:w="627"/>
        <w:gridCol w:w="627"/>
        <w:gridCol w:w="627"/>
        <w:gridCol w:w="623"/>
        <w:gridCol w:w="6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27" w:type="dxa"/>
            <w:vMerge w:val="restart"/>
            <w:tcBorders>
              <w:top w:val="single" w:color="auto" w:sz="8" w:space="0"/>
            </w:tcBorders>
            <w:shd w:val="clear" w:color="auto" w:fill="auto"/>
            <w:vAlign w:val="center"/>
          </w:tcPr>
          <w:p>
            <w:pPr>
              <w:pStyle w:val="182"/>
            </w:pPr>
            <w:r>
              <w:rPr>
                <w:rFonts w:hint="eastAsia"/>
              </w:rPr>
              <w:t>序号</w:t>
            </w:r>
          </w:p>
        </w:tc>
        <w:tc>
          <w:tcPr>
            <w:tcW w:w="626" w:type="dxa"/>
            <w:vMerge w:val="restart"/>
            <w:tcBorders>
              <w:top w:val="single" w:color="auto" w:sz="8" w:space="0"/>
            </w:tcBorders>
            <w:vAlign w:val="center"/>
          </w:tcPr>
          <w:p>
            <w:pPr>
              <w:pStyle w:val="182"/>
            </w:pPr>
            <w:r>
              <w:rPr>
                <w:rFonts w:hint="eastAsia"/>
              </w:rPr>
              <w:t>管理</w:t>
            </w:r>
          </w:p>
          <w:p>
            <w:pPr>
              <w:pStyle w:val="182"/>
            </w:pPr>
            <w:r>
              <w:rPr>
                <w:rFonts w:hint="eastAsia"/>
              </w:rPr>
              <w:t>编号</w:t>
            </w:r>
          </w:p>
        </w:tc>
        <w:tc>
          <w:tcPr>
            <w:tcW w:w="626" w:type="dxa"/>
            <w:vMerge w:val="restart"/>
            <w:tcBorders>
              <w:top w:val="single" w:color="auto" w:sz="8" w:space="0"/>
            </w:tcBorders>
            <w:shd w:val="clear" w:color="auto" w:fill="auto"/>
            <w:vAlign w:val="center"/>
          </w:tcPr>
          <w:p>
            <w:pPr>
              <w:pStyle w:val="182"/>
            </w:pPr>
            <w:r>
              <w:rPr>
                <w:rFonts w:hint="eastAsia"/>
              </w:rPr>
              <w:t>名称</w:t>
            </w:r>
          </w:p>
        </w:tc>
        <w:tc>
          <w:tcPr>
            <w:tcW w:w="625" w:type="dxa"/>
            <w:vMerge w:val="restart"/>
            <w:tcBorders>
              <w:top w:val="single" w:color="auto" w:sz="8" w:space="0"/>
            </w:tcBorders>
            <w:shd w:val="clear" w:color="auto" w:fill="auto"/>
            <w:vAlign w:val="center"/>
          </w:tcPr>
          <w:p>
            <w:pPr>
              <w:pStyle w:val="182"/>
            </w:pPr>
            <w:r>
              <w:rPr>
                <w:rFonts w:hint="eastAsia"/>
              </w:rPr>
              <w:t>型号</w:t>
            </w:r>
          </w:p>
          <w:p>
            <w:pPr>
              <w:pStyle w:val="182"/>
            </w:pPr>
            <w:r>
              <w:rPr>
                <w:rFonts w:hint="eastAsia"/>
              </w:rPr>
              <w:t>规格</w:t>
            </w:r>
          </w:p>
        </w:tc>
        <w:tc>
          <w:tcPr>
            <w:tcW w:w="626" w:type="dxa"/>
            <w:vMerge w:val="restart"/>
            <w:tcBorders>
              <w:top w:val="single" w:color="auto" w:sz="8" w:space="0"/>
            </w:tcBorders>
            <w:shd w:val="clear" w:color="auto" w:fill="auto"/>
            <w:vAlign w:val="center"/>
          </w:tcPr>
          <w:p>
            <w:pPr>
              <w:pStyle w:val="182"/>
            </w:pPr>
            <w:r>
              <w:rPr>
                <w:rFonts w:hint="eastAsia"/>
              </w:rPr>
              <w:t>准确度等级</w:t>
            </w:r>
          </w:p>
        </w:tc>
        <w:tc>
          <w:tcPr>
            <w:tcW w:w="626" w:type="dxa"/>
            <w:vMerge w:val="restart"/>
            <w:tcBorders>
              <w:top w:val="single" w:color="auto" w:sz="8" w:space="0"/>
            </w:tcBorders>
            <w:shd w:val="clear" w:color="auto" w:fill="auto"/>
            <w:vAlign w:val="center"/>
          </w:tcPr>
          <w:p>
            <w:pPr>
              <w:pStyle w:val="182"/>
            </w:pPr>
            <w:r>
              <w:rPr>
                <w:rFonts w:hint="eastAsia"/>
              </w:rPr>
              <w:t>生产</w:t>
            </w:r>
          </w:p>
          <w:p>
            <w:pPr>
              <w:pStyle w:val="182"/>
            </w:pPr>
            <w:r>
              <w:rPr>
                <w:rFonts w:hint="eastAsia"/>
              </w:rPr>
              <w:t>厂家</w:t>
            </w:r>
          </w:p>
        </w:tc>
        <w:tc>
          <w:tcPr>
            <w:tcW w:w="627" w:type="dxa"/>
            <w:vMerge w:val="restart"/>
            <w:tcBorders>
              <w:top w:val="single" w:color="auto" w:sz="8" w:space="0"/>
            </w:tcBorders>
            <w:shd w:val="clear" w:color="auto" w:fill="auto"/>
            <w:vAlign w:val="center"/>
          </w:tcPr>
          <w:p>
            <w:pPr>
              <w:pStyle w:val="182"/>
            </w:pPr>
            <w:r>
              <w:rPr>
                <w:rFonts w:hint="eastAsia"/>
              </w:rPr>
              <w:t>出厂</w:t>
            </w:r>
          </w:p>
          <w:p>
            <w:pPr>
              <w:pStyle w:val="182"/>
            </w:pPr>
            <w:r>
              <w:rPr>
                <w:rFonts w:hint="eastAsia"/>
              </w:rPr>
              <w:t>编号</w:t>
            </w:r>
          </w:p>
        </w:tc>
        <w:tc>
          <w:tcPr>
            <w:tcW w:w="627" w:type="dxa"/>
            <w:vMerge w:val="restart"/>
            <w:tcBorders>
              <w:top w:val="single" w:color="auto" w:sz="8" w:space="0"/>
            </w:tcBorders>
            <w:shd w:val="clear" w:color="auto" w:fill="auto"/>
            <w:vAlign w:val="center"/>
          </w:tcPr>
          <w:p>
            <w:pPr>
              <w:pStyle w:val="182"/>
            </w:pPr>
            <w:r>
              <w:rPr>
                <w:rFonts w:hint="eastAsia"/>
              </w:rPr>
              <w:t>测量</w:t>
            </w:r>
          </w:p>
          <w:p>
            <w:pPr>
              <w:pStyle w:val="182"/>
            </w:pPr>
            <w:r>
              <w:rPr>
                <w:rFonts w:hint="eastAsia"/>
              </w:rPr>
              <w:t>对象</w:t>
            </w:r>
          </w:p>
        </w:tc>
        <w:tc>
          <w:tcPr>
            <w:tcW w:w="627" w:type="dxa"/>
            <w:vMerge w:val="restart"/>
            <w:tcBorders>
              <w:top w:val="single" w:color="auto" w:sz="8" w:space="0"/>
            </w:tcBorders>
            <w:shd w:val="clear" w:color="auto" w:fill="auto"/>
            <w:vAlign w:val="center"/>
          </w:tcPr>
          <w:p>
            <w:pPr>
              <w:pStyle w:val="182"/>
            </w:pPr>
            <w:r>
              <w:rPr>
                <w:rFonts w:hint="eastAsia"/>
              </w:rPr>
              <w:t>安装使用位置</w:t>
            </w:r>
          </w:p>
        </w:tc>
        <w:tc>
          <w:tcPr>
            <w:tcW w:w="1881" w:type="dxa"/>
            <w:gridSpan w:val="3"/>
            <w:tcBorders>
              <w:top w:val="single" w:color="auto" w:sz="8" w:space="0"/>
              <w:bottom w:val="single" w:color="auto" w:sz="8" w:space="0"/>
            </w:tcBorders>
            <w:shd w:val="clear" w:color="auto" w:fill="auto"/>
            <w:vAlign w:val="center"/>
          </w:tcPr>
          <w:p>
            <w:pPr>
              <w:pStyle w:val="182"/>
            </w:pPr>
            <w:r>
              <w:rPr>
                <w:rFonts w:hint="eastAsia"/>
              </w:rPr>
              <w:t>状态</w:t>
            </w:r>
          </w:p>
        </w:tc>
        <w:tc>
          <w:tcPr>
            <w:tcW w:w="623" w:type="dxa"/>
            <w:vMerge w:val="restart"/>
            <w:tcBorders>
              <w:top w:val="single" w:color="auto" w:sz="8" w:space="0"/>
            </w:tcBorders>
            <w:shd w:val="clear" w:color="auto" w:fill="auto"/>
            <w:vAlign w:val="center"/>
          </w:tcPr>
          <w:p>
            <w:pPr>
              <w:pStyle w:val="182"/>
            </w:pPr>
            <w:r>
              <w:rPr>
                <w:rFonts w:hint="eastAsia"/>
              </w:rPr>
              <w:t>是否强制管理</w:t>
            </w:r>
          </w:p>
        </w:tc>
        <w:tc>
          <w:tcPr>
            <w:tcW w:w="623" w:type="dxa"/>
            <w:vMerge w:val="restart"/>
            <w:tcBorders>
              <w:top w:val="single" w:color="auto" w:sz="8" w:space="0"/>
            </w:tcBorders>
            <w:shd w:val="clear" w:color="auto" w:fill="auto"/>
            <w:vAlign w:val="center"/>
          </w:tcPr>
          <w:p>
            <w:pPr>
              <w:pStyle w:val="182"/>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7" w:type="dxa"/>
            <w:vMerge w:val="continue"/>
            <w:shd w:val="clear" w:color="auto" w:fill="auto"/>
            <w:vAlign w:val="center"/>
          </w:tcPr>
          <w:p>
            <w:pPr>
              <w:pStyle w:val="182"/>
            </w:pPr>
          </w:p>
        </w:tc>
        <w:tc>
          <w:tcPr>
            <w:tcW w:w="626" w:type="dxa"/>
            <w:vMerge w:val="continue"/>
            <w:vAlign w:val="center"/>
          </w:tcPr>
          <w:p>
            <w:pPr>
              <w:pStyle w:val="182"/>
            </w:pPr>
          </w:p>
        </w:tc>
        <w:tc>
          <w:tcPr>
            <w:tcW w:w="626" w:type="dxa"/>
            <w:vMerge w:val="continue"/>
            <w:shd w:val="clear" w:color="auto" w:fill="auto"/>
            <w:vAlign w:val="center"/>
          </w:tcPr>
          <w:p>
            <w:pPr>
              <w:pStyle w:val="182"/>
            </w:pPr>
          </w:p>
        </w:tc>
        <w:tc>
          <w:tcPr>
            <w:tcW w:w="625" w:type="dxa"/>
            <w:vMerge w:val="continue"/>
            <w:shd w:val="clear" w:color="auto" w:fill="auto"/>
            <w:vAlign w:val="center"/>
          </w:tcPr>
          <w:p>
            <w:pPr>
              <w:pStyle w:val="182"/>
            </w:pPr>
          </w:p>
        </w:tc>
        <w:tc>
          <w:tcPr>
            <w:tcW w:w="626" w:type="dxa"/>
            <w:vMerge w:val="continue"/>
            <w:shd w:val="clear" w:color="auto" w:fill="auto"/>
            <w:vAlign w:val="center"/>
          </w:tcPr>
          <w:p>
            <w:pPr>
              <w:pStyle w:val="182"/>
            </w:pPr>
          </w:p>
        </w:tc>
        <w:tc>
          <w:tcPr>
            <w:tcW w:w="626" w:type="dxa"/>
            <w:vMerge w:val="continue"/>
            <w:shd w:val="clear" w:color="auto" w:fill="auto"/>
            <w:vAlign w:val="center"/>
          </w:tcPr>
          <w:p>
            <w:pPr>
              <w:pStyle w:val="182"/>
            </w:pPr>
          </w:p>
        </w:tc>
        <w:tc>
          <w:tcPr>
            <w:tcW w:w="627" w:type="dxa"/>
            <w:vMerge w:val="continue"/>
            <w:shd w:val="clear" w:color="auto" w:fill="auto"/>
            <w:vAlign w:val="center"/>
          </w:tcPr>
          <w:p>
            <w:pPr>
              <w:pStyle w:val="182"/>
            </w:pPr>
          </w:p>
        </w:tc>
        <w:tc>
          <w:tcPr>
            <w:tcW w:w="627" w:type="dxa"/>
            <w:vMerge w:val="continue"/>
            <w:shd w:val="clear" w:color="auto" w:fill="auto"/>
            <w:vAlign w:val="center"/>
          </w:tcPr>
          <w:p>
            <w:pPr>
              <w:pStyle w:val="182"/>
            </w:pPr>
          </w:p>
        </w:tc>
        <w:tc>
          <w:tcPr>
            <w:tcW w:w="627" w:type="dxa"/>
            <w:vMerge w:val="continue"/>
            <w:shd w:val="clear" w:color="auto" w:fill="auto"/>
            <w:vAlign w:val="center"/>
          </w:tcPr>
          <w:p>
            <w:pPr>
              <w:pStyle w:val="182"/>
            </w:pPr>
          </w:p>
        </w:tc>
        <w:tc>
          <w:tcPr>
            <w:tcW w:w="627" w:type="dxa"/>
            <w:tcBorders>
              <w:top w:val="single" w:color="auto" w:sz="8" w:space="0"/>
            </w:tcBorders>
            <w:shd w:val="clear" w:color="auto" w:fill="auto"/>
            <w:vAlign w:val="center"/>
          </w:tcPr>
          <w:p>
            <w:pPr>
              <w:pStyle w:val="182"/>
            </w:pPr>
            <w:r>
              <w:rPr>
                <w:rFonts w:hint="eastAsia"/>
              </w:rPr>
              <w:t>合格</w:t>
            </w:r>
          </w:p>
        </w:tc>
        <w:tc>
          <w:tcPr>
            <w:tcW w:w="627" w:type="dxa"/>
            <w:tcBorders>
              <w:top w:val="single" w:color="auto" w:sz="8" w:space="0"/>
            </w:tcBorders>
            <w:shd w:val="clear" w:color="auto" w:fill="auto"/>
            <w:vAlign w:val="center"/>
          </w:tcPr>
          <w:p>
            <w:pPr>
              <w:pStyle w:val="182"/>
            </w:pPr>
            <w:r>
              <w:rPr>
                <w:rFonts w:hint="eastAsia"/>
              </w:rPr>
              <w:t>在用</w:t>
            </w:r>
          </w:p>
        </w:tc>
        <w:tc>
          <w:tcPr>
            <w:tcW w:w="627" w:type="dxa"/>
            <w:tcBorders>
              <w:top w:val="single" w:color="auto" w:sz="8" w:space="0"/>
            </w:tcBorders>
            <w:shd w:val="clear" w:color="auto" w:fill="auto"/>
            <w:vAlign w:val="center"/>
          </w:tcPr>
          <w:p>
            <w:pPr>
              <w:pStyle w:val="182"/>
            </w:pPr>
            <w:r>
              <w:rPr>
                <w:rFonts w:hint="eastAsia"/>
              </w:rPr>
              <w:t>停用</w:t>
            </w:r>
          </w:p>
        </w:tc>
        <w:tc>
          <w:tcPr>
            <w:tcW w:w="623" w:type="dxa"/>
            <w:vMerge w:val="continue"/>
            <w:shd w:val="clear" w:color="auto" w:fill="auto"/>
            <w:vAlign w:val="center"/>
          </w:tcPr>
          <w:p>
            <w:pPr>
              <w:pStyle w:val="182"/>
            </w:pPr>
          </w:p>
        </w:tc>
        <w:tc>
          <w:tcPr>
            <w:tcW w:w="623" w:type="dxa"/>
            <w:vMerge w:val="continue"/>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7" w:type="dxa"/>
            <w:shd w:val="clear" w:color="auto" w:fill="auto"/>
            <w:vAlign w:val="center"/>
          </w:tcPr>
          <w:p>
            <w:pPr>
              <w:pStyle w:val="182"/>
            </w:pPr>
            <w:r>
              <w:rPr>
                <w:rFonts w:hint="eastAsia"/>
              </w:rPr>
              <w:t>1</w:t>
            </w:r>
          </w:p>
        </w:tc>
        <w:tc>
          <w:tcPr>
            <w:tcW w:w="626" w:type="dxa"/>
            <w:vAlign w:val="center"/>
          </w:tcPr>
          <w:p>
            <w:pPr>
              <w:pStyle w:val="182"/>
            </w:pPr>
          </w:p>
        </w:tc>
        <w:tc>
          <w:tcPr>
            <w:tcW w:w="626" w:type="dxa"/>
            <w:shd w:val="clear" w:color="auto" w:fill="auto"/>
            <w:vAlign w:val="center"/>
          </w:tcPr>
          <w:p>
            <w:pPr>
              <w:pStyle w:val="182"/>
            </w:pPr>
          </w:p>
        </w:tc>
        <w:tc>
          <w:tcPr>
            <w:tcW w:w="625" w:type="dxa"/>
            <w:shd w:val="clear" w:color="auto" w:fill="auto"/>
            <w:vAlign w:val="center"/>
          </w:tcPr>
          <w:p>
            <w:pPr>
              <w:pStyle w:val="182"/>
            </w:pPr>
          </w:p>
        </w:tc>
        <w:tc>
          <w:tcPr>
            <w:tcW w:w="626" w:type="dxa"/>
            <w:shd w:val="clear" w:color="auto" w:fill="auto"/>
            <w:vAlign w:val="center"/>
          </w:tcPr>
          <w:p>
            <w:pPr>
              <w:pStyle w:val="182"/>
            </w:pPr>
          </w:p>
        </w:tc>
        <w:tc>
          <w:tcPr>
            <w:tcW w:w="626"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3" w:type="dxa"/>
            <w:shd w:val="clear" w:color="auto" w:fill="auto"/>
            <w:vAlign w:val="center"/>
          </w:tcPr>
          <w:p>
            <w:pPr>
              <w:pStyle w:val="182"/>
            </w:pPr>
          </w:p>
        </w:tc>
        <w:tc>
          <w:tcPr>
            <w:tcW w:w="623"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27" w:type="dxa"/>
            <w:shd w:val="clear" w:color="auto" w:fill="auto"/>
            <w:vAlign w:val="center"/>
          </w:tcPr>
          <w:p>
            <w:pPr>
              <w:pStyle w:val="182"/>
            </w:pPr>
            <w:r>
              <w:rPr>
                <w:rFonts w:hint="eastAsia"/>
              </w:rPr>
              <w:t>2</w:t>
            </w:r>
          </w:p>
        </w:tc>
        <w:tc>
          <w:tcPr>
            <w:tcW w:w="626" w:type="dxa"/>
            <w:vAlign w:val="center"/>
          </w:tcPr>
          <w:p>
            <w:pPr>
              <w:pStyle w:val="182"/>
            </w:pPr>
          </w:p>
        </w:tc>
        <w:tc>
          <w:tcPr>
            <w:tcW w:w="626" w:type="dxa"/>
            <w:shd w:val="clear" w:color="auto" w:fill="auto"/>
            <w:vAlign w:val="center"/>
          </w:tcPr>
          <w:p>
            <w:pPr>
              <w:pStyle w:val="182"/>
            </w:pPr>
          </w:p>
        </w:tc>
        <w:tc>
          <w:tcPr>
            <w:tcW w:w="625" w:type="dxa"/>
            <w:shd w:val="clear" w:color="auto" w:fill="auto"/>
            <w:vAlign w:val="center"/>
          </w:tcPr>
          <w:p>
            <w:pPr>
              <w:pStyle w:val="182"/>
            </w:pPr>
          </w:p>
        </w:tc>
        <w:tc>
          <w:tcPr>
            <w:tcW w:w="626" w:type="dxa"/>
            <w:shd w:val="clear" w:color="auto" w:fill="auto"/>
            <w:vAlign w:val="center"/>
          </w:tcPr>
          <w:p>
            <w:pPr>
              <w:pStyle w:val="182"/>
            </w:pPr>
          </w:p>
        </w:tc>
        <w:tc>
          <w:tcPr>
            <w:tcW w:w="626"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3" w:type="dxa"/>
            <w:shd w:val="clear" w:color="auto" w:fill="auto"/>
            <w:vAlign w:val="center"/>
          </w:tcPr>
          <w:p>
            <w:pPr>
              <w:pStyle w:val="182"/>
            </w:pPr>
          </w:p>
        </w:tc>
        <w:tc>
          <w:tcPr>
            <w:tcW w:w="623" w:type="dxa"/>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7" w:type="dxa"/>
            <w:shd w:val="clear" w:color="auto" w:fill="auto"/>
            <w:vAlign w:val="center"/>
          </w:tcPr>
          <w:p>
            <w:pPr>
              <w:pStyle w:val="182"/>
            </w:pPr>
            <w:r>
              <w:rPr>
                <w:rFonts w:ascii="Times New Roman"/>
              </w:rPr>
              <w:t>……</w:t>
            </w:r>
          </w:p>
        </w:tc>
        <w:tc>
          <w:tcPr>
            <w:tcW w:w="626" w:type="dxa"/>
            <w:vAlign w:val="center"/>
          </w:tcPr>
          <w:p>
            <w:pPr>
              <w:pStyle w:val="182"/>
            </w:pPr>
          </w:p>
        </w:tc>
        <w:tc>
          <w:tcPr>
            <w:tcW w:w="626" w:type="dxa"/>
            <w:shd w:val="clear" w:color="auto" w:fill="auto"/>
            <w:vAlign w:val="center"/>
          </w:tcPr>
          <w:p>
            <w:pPr>
              <w:pStyle w:val="182"/>
            </w:pPr>
          </w:p>
        </w:tc>
        <w:tc>
          <w:tcPr>
            <w:tcW w:w="625" w:type="dxa"/>
            <w:shd w:val="clear" w:color="auto" w:fill="auto"/>
            <w:vAlign w:val="center"/>
          </w:tcPr>
          <w:p>
            <w:pPr>
              <w:pStyle w:val="182"/>
            </w:pPr>
          </w:p>
        </w:tc>
        <w:tc>
          <w:tcPr>
            <w:tcW w:w="626" w:type="dxa"/>
            <w:shd w:val="clear" w:color="auto" w:fill="auto"/>
            <w:vAlign w:val="center"/>
          </w:tcPr>
          <w:p>
            <w:pPr>
              <w:pStyle w:val="182"/>
            </w:pPr>
          </w:p>
        </w:tc>
        <w:tc>
          <w:tcPr>
            <w:tcW w:w="626"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7" w:type="dxa"/>
            <w:shd w:val="clear" w:color="auto" w:fill="auto"/>
            <w:vAlign w:val="center"/>
          </w:tcPr>
          <w:p>
            <w:pPr>
              <w:pStyle w:val="182"/>
            </w:pPr>
          </w:p>
        </w:tc>
        <w:tc>
          <w:tcPr>
            <w:tcW w:w="623" w:type="dxa"/>
            <w:shd w:val="clear" w:color="auto" w:fill="auto"/>
            <w:vAlign w:val="center"/>
          </w:tcPr>
          <w:p>
            <w:pPr>
              <w:pStyle w:val="182"/>
            </w:pPr>
          </w:p>
        </w:tc>
        <w:tc>
          <w:tcPr>
            <w:tcW w:w="623" w:type="dxa"/>
            <w:shd w:val="clear" w:color="auto" w:fill="auto"/>
            <w:vAlign w:val="center"/>
          </w:tcPr>
          <w:p>
            <w:pPr>
              <w:pStyle w:val="182"/>
            </w:pPr>
          </w:p>
        </w:tc>
      </w:tr>
    </w:tbl>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sectPr>
          <w:pgSz w:w="11906" w:h="16838"/>
          <w:pgMar w:top="1928" w:right="1134" w:bottom="1134" w:left="1134" w:header="1418" w:footer="1134" w:gutter="284"/>
          <w:cols w:space="425" w:num="1"/>
          <w:formProt w:val="0"/>
          <w:docGrid w:type="lines" w:linePitch="312" w:charSpace="0"/>
        </w:sectPr>
      </w:pPr>
    </w:p>
    <w:p>
      <w:pPr>
        <w:pStyle w:val="202"/>
        <w:rPr>
          <w:vanish w:val="0"/>
        </w:rPr>
      </w:pPr>
    </w:p>
    <w:p>
      <w:pPr>
        <w:pStyle w:val="203"/>
        <w:rPr>
          <w:vanish w:val="0"/>
        </w:rPr>
      </w:pPr>
    </w:p>
    <w:p>
      <w:pPr>
        <w:pStyle w:val="80"/>
        <w:spacing w:after="156"/>
      </w:pPr>
      <w:r>
        <w:br w:type="textWrapping"/>
      </w:r>
      <w:bookmarkStart w:id="118" w:name="_Toc175572607"/>
      <w:bookmarkStart w:id="119" w:name="_Toc175572677"/>
      <w:bookmarkStart w:id="120" w:name="_Toc177216784"/>
      <w:r>
        <w:rPr>
          <w:rFonts w:hint="eastAsia"/>
        </w:rPr>
        <w:t>（资料性）</w:t>
      </w:r>
      <w:r>
        <w:br w:type="textWrapping"/>
      </w:r>
      <w:r>
        <w:rPr>
          <w:rFonts w:hint="eastAsia"/>
        </w:rPr>
        <w:t>数据采集记录模板</w:t>
      </w:r>
      <w:bookmarkEnd w:id="118"/>
      <w:bookmarkEnd w:id="119"/>
      <w:bookmarkEnd w:id="120"/>
    </w:p>
    <w:p>
      <w:pPr>
        <w:pStyle w:val="81"/>
        <w:spacing w:before="156" w:after="156"/>
      </w:pPr>
      <w:r>
        <w:rPr>
          <w:rFonts w:hint="eastAsia"/>
        </w:rPr>
        <w:t>数据采集记录</w:t>
      </w:r>
    </w:p>
    <w:p>
      <w:pPr>
        <w:pStyle w:val="60"/>
        <w:ind w:firstLine="3990" w:firstLineChars="1900"/>
        <w:jc w:val="left"/>
        <w:rPr>
          <w:u w:val="single"/>
        </w:rPr>
      </w:pPr>
      <w:r>
        <w:rPr>
          <w:rFonts w:hint="eastAsia"/>
        </w:rPr>
        <w:t>计量器具编号：</w:t>
      </w:r>
      <w:r>
        <w:rPr>
          <w:u w:val="single"/>
        </w:rPr>
        <w:t xml:space="preserve">              </w:t>
      </w:r>
      <w:r>
        <w:t xml:space="preserve">  </w:t>
      </w:r>
      <w:r>
        <w:rPr>
          <w:rFonts w:hint="eastAsia"/>
        </w:rPr>
        <w:t>安装使用位置：</w:t>
      </w:r>
      <w:r>
        <w:rPr>
          <w:u w:val="single"/>
        </w:rPr>
        <w:t xml:space="preserve">               </w:t>
      </w:r>
      <w:r>
        <w:t xml:space="preserve"> </w:t>
      </w:r>
    </w:p>
    <w:p>
      <w:pPr>
        <w:pStyle w:val="60"/>
        <w:ind w:firstLine="420"/>
        <w:rPr>
          <w:u w:val="single"/>
        </w:rPr>
      </w:pPr>
    </w:p>
    <w:tbl>
      <w:tblPr>
        <w:tblStyle w:val="30"/>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0"/>
        <w:gridCol w:w="1562"/>
        <w:gridCol w:w="1562"/>
        <w:gridCol w:w="1562"/>
        <w:gridCol w:w="1563"/>
        <w:gridCol w:w="1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32" w:type="pct"/>
            <w:tcBorders>
              <w:top w:val="single" w:color="auto" w:sz="8" w:space="0"/>
              <w:bottom w:val="single" w:color="auto" w:sz="8" w:space="0"/>
            </w:tcBorders>
            <w:shd w:val="clear" w:color="auto" w:fill="auto"/>
            <w:vAlign w:val="center"/>
          </w:tcPr>
          <w:p>
            <w:pPr>
              <w:pStyle w:val="182"/>
            </w:pPr>
            <w:r>
              <w:rPr>
                <w:rFonts w:hint="eastAsia"/>
              </w:rPr>
              <w:t>序号</w:t>
            </w:r>
          </w:p>
        </w:tc>
        <w:tc>
          <w:tcPr>
            <w:tcW w:w="833" w:type="pct"/>
            <w:tcBorders>
              <w:top w:val="single" w:color="auto" w:sz="8" w:space="0"/>
              <w:bottom w:val="single" w:color="auto" w:sz="8" w:space="0"/>
            </w:tcBorders>
            <w:shd w:val="clear" w:color="auto" w:fill="auto"/>
            <w:vAlign w:val="center"/>
          </w:tcPr>
          <w:p>
            <w:pPr>
              <w:pStyle w:val="182"/>
            </w:pPr>
            <w:r>
              <w:rPr>
                <w:rFonts w:hint="eastAsia"/>
              </w:rPr>
              <w:t>采集时间</w:t>
            </w:r>
          </w:p>
        </w:tc>
        <w:tc>
          <w:tcPr>
            <w:tcW w:w="833" w:type="pct"/>
            <w:tcBorders>
              <w:top w:val="single" w:color="auto" w:sz="8" w:space="0"/>
              <w:bottom w:val="single" w:color="auto" w:sz="8" w:space="0"/>
            </w:tcBorders>
            <w:shd w:val="clear" w:color="auto" w:fill="auto"/>
            <w:vAlign w:val="center"/>
          </w:tcPr>
          <w:p>
            <w:pPr>
              <w:pStyle w:val="182"/>
            </w:pPr>
            <w:r>
              <w:rPr>
                <w:rFonts w:hint="eastAsia"/>
              </w:rPr>
              <w:t>示值</w:t>
            </w:r>
          </w:p>
        </w:tc>
        <w:tc>
          <w:tcPr>
            <w:tcW w:w="833" w:type="pct"/>
            <w:tcBorders>
              <w:top w:val="single" w:color="auto" w:sz="8" w:space="0"/>
              <w:bottom w:val="single" w:color="auto" w:sz="8" w:space="0"/>
            </w:tcBorders>
            <w:shd w:val="clear" w:color="auto" w:fill="auto"/>
            <w:vAlign w:val="center"/>
          </w:tcPr>
          <w:p>
            <w:pPr>
              <w:pStyle w:val="182"/>
            </w:pPr>
            <w:r>
              <w:rPr>
                <w:rFonts w:hint="eastAsia"/>
              </w:rPr>
              <w:t>计量表倍率</w:t>
            </w:r>
          </w:p>
        </w:tc>
        <w:tc>
          <w:tcPr>
            <w:tcW w:w="833" w:type="pct"/>
            <w:tcBorders>
              <w:top w:val="single" w:color="auto" w:sz="8" w:space="0"/>
              <w:bottom w:val="single" w:color="auto" w:sz="8" w:space="0"/>
            </w:tcBorders>
            <w:shd w:val="clear" w:color="auto" w:fill="auto"/>
            <w:vAlign w:val="center"/>
          </w:tcPr>
          <w:p>
            <w:pPr>
              <w:pStyle w:val="182"/>
            </w:pPr>
            <w:r>
              <w:rPr>
                <w:rFonts w:hint="eastAsia"/>
              </w:rPr>
              <w:t>记录人</w:t>
            </w:r>
          </w:p>
        </w:tc>
        <w:tc>
          <w:tcPr>
            <w:tcW w:w="833" w:type="pct"/>
            <w:tcBorders>
              <w:top w:val="single" w:color="auto" w:sz="8" w:space="0"/>
              <w:bottom w:val="single" w:color="auto" w:sz="8" w:space="0"/>
            </w:tcBorders>
            <w:shd w:val="clear" w:color="auto" w:fill="auto"/>
            <w:vAlign w:val="center"/>
          </w:tcPr>
          <w:p>
            <w:pPr>
              <w:pStyle w:val="182"/>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32" w:type="pct"/>
            <w:tcBorders>
              <w:top w:val="single" w:color="auto" w:sz="8" w:space="0"/>
            </w:tcBorders>
            <w:shd w:val="clear" w:color="auto" w:fill="auto"/>
            <w:vAlign w:val="center"/>
          </w:tcPr>
          <w:p>
            <w:pPr>
              <w:pStyle w:val="182"/>
            </w:pPr>
            <w:r>
              <w:rPr>
                <w:rFonts w:hint="eastAsia"/>
              </w:rPr>
              <w:t>1</w:t>
            </w:r>
          </w:p>
        </w:tc>
        <w:tc>
          <w:tcPr>
            <w:tcW w:w="833" w:type="pct"/>
            <w:tcBorders>
              <w:top w:val="single" w:color="auto" w:sz="8" w:space="0"/>
            </w:tcBorders>
            <w:shd w:val="clear" w:color="auto" w:fill="auto"/>
            <w:vAlign w:val="center"/>
          </w:tcPr>
          <w:p>
            <w:pPr>
              <w:pStyle w:val="182"/>
            </w:pPr>
          </w:p>
        </w:tc>
        <w:tc>
          <w:tcPr>
            <w:tcW w:w="833" w:type="pct"/>
            <w:tcBorders>
              <w:top w:val="single" w:color="auto" w:sz="8" w:space="0"/>
            </w:tcBorders>
            <w:shd w:val="clear" w:color="auto" w:fill="auto"/>
            <w:vAlign w:val="center"/>
          </w:tcPr>
          <w:p>
            <w:pPr>
              <w:pStyle w:val="182"/>
            </w:pPr>
          </w:p>
        </w:tc>
        <w:tc>
          <w:tcPr>
            <w:tcW w:w="833" w:type="pct"/>
            <w:tcBorders>
              <w:top w:val="single" w:color="auto" w:sz="8" w:space="0"/>
            </w:tcBorders>
            <w:shd w:val="clear" w:color="auto" w:fill="auto"/>
            <w:vAlign w:val="center"/>
          </w:tcPr>
          <w:p>
            <w:pPr>
              <w:pStyle w:val="182"/>
            </w:pPr>
          </w:p>
        </w:tc>
        <w:tc>
          <w:tcPr>
            <w:tcW w:w="833" w:type="pct"/>
            <w:tcBorders>
              <w:top w:val="single" w:color="auto" w:sz="8" w:space="0"/>
            </w:tcBorders>
            <w:shd w:val="clear" w:color="auto" w:fill="auto"/>
            <w:vAlign w:val="center"/>
          </w:tcPr>
          <w:p>
            <w:pPr>
              <w:pStyle w:val="182"/>
            </w:pPr>
          </w:p>
        </w:tc>
        <w:tc>
          <w:tcPr>
            <w:tcW w:w="833" w:type="pct"/>
            <w:tcBorders>
              <w:top w:val="single" w:color="auto" w:sz="8" w:space="0"/>
            </w:tcBorders>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32" w:type="pct"/>
            <w:shd w:val="clear" w:color="auto" w:fill="auto"/>
            <w:vAlign w:val="center"/>
          </w:tcPr>
          <w:p>
            <w:pPr>
              <w:pStyle w:val="182"/>
            </w:pPr>
            <w:r>
              <w:rPr>
                <w:rFonts w:hint="eastAsia"/>
              </w:rPr>
              <w:t>2</w:t>
            </w:r>
          </w:p>
        </w:tc>
        <w:tc>
          <w:tcPr>
            <w:tcW w:w="833" w:type="pct"/>
            <w:shd w:val="clear" w:color="auto" w:fill="auto"/>
            <w:vAlign w:val="center"/>
          </w:tcPr>
          <w:p>
            <w:pPr>
              <w:pStyle w:val="182"/>
            </w:pPr>
          </w:p>
        </w:tc>
        <w:tc>
          <w:tcPr>
            <w:tcW w:w="833" w:type="pct"/>
            <w:shd w:val="clear" w:color="auto" w:fill="auto"/>
            <w:vAlign w:val="center"/>
          </w:tcPr>
          <w:p>
            <w:pPr>
              <w:pStyle w:val="182"/>
            </w:pPr>
          </w:p>
        </w:tc>
        <w:tc>
          <w:tcPr>
            <w:tcW w:w="833" w:type="pct"/>
            <w:shd w:val="clear" w:color="auto" w:fill="auto"/>
            <w:vAlign w:val="center"/>
          </w:tcPr>
          <w:p>
            <w:pPr>
              <w:pStyle w:val="182"/>
            </w:pPr>
          </w:p>
        </w:tc>
        <w:tc>
          <w:tcPr>
            <w:tcW w:w="833" w:type="pct"/>
            <w:shd w:val="clear" w:color="auto" w:fill="auto"/>
            <w:vAlign w:val="center"/>
          </w:tcPr>
          <w:p>
            <w:pPr>
              <w:pStyle w:val="182"/>
            </w:pPr>
          </w:p>
        </w:tc>
        <w:tc>
          <w:tcPr>
            <w:tcW w:w="833" w:type="pct"/>
            <w:shd w:val="clear" w:color="auto" w:fill="auto"/>
            <w:vAlign w:val="center"/>
          </w:tcPr>
          <w:p>
            <w:pPr>
              <w:pStyle w:val="182"/>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32" w:type="pct"/>
            <w:shd w:val="clear" w:color="auto" w:fill="auto"/>
            <w:vAlign w:val="center"/>
          </w:tcPr>
          <w:p>
            <w:pPr>
              <w:pStyle w:val="182"/>
            </w:pPr>
            <w:r>
              <w:rPr>
                <w:rFonts w:ascii="Times New Roman"/>
              </w:rPr>
              <w:t>……</w:t>
            </w:r>
          </w:p>
        </w:tc>
        <w:tc>
          <w:tcPr>
            <w:tcW w:w="833" w:type="pct"/>
            <w:shd w:val="clear" w:color="auto" w:fill="auto"/>
            <w:vAlign w:val="center"/>
          </w:tcPr>
          <w:p>
            <w:pPr>
              <w:pStyle w:val="182"/>
            </w:pPr>
          </w:p>
        </w:tc>
        <w:tc>
          <w:tcPr>
            <w:tcW w:w="833" w:type="pct"/>
            <w:shd w:val="clear" w:color="auto" w:fill="auto"/>
            <w:vAlign w:val="center"/>
          </w:tcPr>
          <w:p>
            <w:pPr>
              <w:pStyle w:val="182"/>
            </w:pPr>
          </w:p>
        </w:tc>
        <w:tc>
          <w:tcPr>
            <w:tcW w:w="833" w:type="pct"/>
            <w:shd w:val="clear" w:color="auto" w:fill="auto"/>
            <w:vAlign w:val="center"/>
          </w:tcPr>
          <w:p>
            <w:pPr>
              <w:pStyle w:val="182"/>
            </w:pPr>
          </w:p>
        </w:tc>
        <w:tc>
          <w:tcPr>
            <w:tcW w:w="833" w:type="pct"/>
            <w:shd w:val="clear" w:color="auto" w:fill="auto"/>
            <w:vAlign w:val="center"/>
          </w:tcPr>
          <w:p>
            <w:pPr>
              <w:pStyle w:val="182"/>
            </w:pPr>
          </w:p>
        </w:tc>
        <w:tc>
          <w:tcPr>
            <w:tcW w:w="833" w:type="pct"/>
            <w:shd w:val="clear" w:color="auto" w:fill="auto"/>
            <w:vAlign w:val="center"/>
          </w:tcPr>
          <w:p>
            <w:pPr>
              <w:pStyle w:val="182"/>
            </w:pPr>
          </w:p>
        </w:tc>
      </w:tr>
    </w:tbl>
    <w:p>
      <w:pPr>
        <w:pStyle w:val="60"/>
        <w:ind w:firstLine="420"/>
      </w:pPr>
    </w:p>
    <w:p>
      <w:pPr>
        <w:pStyle w:val="60"/>
        <w:ind w:firstLine="420"/>
      </w:pPr>
    </w:p>
    <w:p>
      <w:pPr>
        <w:pStyle w:val="60"/>
        <w:ind w:firstLine="420"/>
      </w:pPr>
    </w:p>
    <w:p>
      <w:pPr>
        <w:pStyle w:val="60"/>
        <w:ind w:firstLine="420"/>
      </w:pPr>
    </w:p>
    <w:p>
      <w:pPr>
        <w:pStyle w:val="60"/>
        <w:ind w:firstLine="420"/>
      </w:pPr>
    </w:p>
    <w:p>
      <w:pPr>
        <w:pStyle w:val="60"/>
        <w:ind w:firstLine="420"/>
      </w:pPr>
    </w:p>
    <w:bookmarkEnd w:id="107"/>
    <w:p>
      <w:pPr>
        <w:pStyle w:val="60"/>
        <w:ind w:firstLine="420"/>
        <w:sectPr>
          <w:pgSz w:w="11906" w:h="16838"/>
          <w:pgMar w:top="1928" w:right="1134" w:bottom="1134" w:left="1134" w:header="1418" w:footer="1134" w:gutter="284"/>
          <w:cols w:space="425" w:num="1"/>
          <w:formProt w:val="0"/>
          <w:docGrid w:type="lines" w:linePitch="312" w:charSpace="0"/>
        </w:sectPr>
      </w:pPr>
      <w:bookmarkStart w:id="121" w:name="BookMark6"/>
    </w:p>
    <w:p>
      <w:pPr>
        <w:pStyle w:val="67"/>
        <w:spacing w:after="156"/>
      </w:pPr>
      <w:bookmarkStart w:id="122" w:name="_Toc177216785"/>
      <w:bookmarkStart w:id="123" w:name="_Toc165214700"/>
      <w:bookmarkStart w:id="124" w:name="_Toc165214731"/>
      <w:bookmarkStart w:id="125" w:name="_Toc148082346"/>
      <w:bookmarkStart w:id="126" w:name="_Toc175572678"/>
      <w:bookmarkStart w:id="127" w:name="_Toc175572608"/>
      <w:r>
        <w:rPr>
          <w:rFonts w:hint="eastAsia"/>
          <w:spacing w:val="105"/>
        </w:rPr>
        <w:t>参考文</w:t>
      </w:r>
      <w:r>
        <w:rPr>
          <w:rFonts w:hint="eastAsia"/>
        </w:rPr>
        <w:t>献</w:t>
      </w:r>
      <w:bookmarkEnd w:id="122"/>
      <w:bookmarkEnd w:id="123"/>
      <w:bookmarkEnd w:id="124"/>
      <w:bookmarkEnd w:id="125"/>
      <w:bookmarkEnd w:id="126"/>
      <w:bookmarkEnd w:id="127"/>
    </w:p>
    <w:p>
      <w:pPr>
        <w:pStyle w:val="60"/>
        <w:numPr>
          <w:ilvl w:val="0"/>
          <w:numId w:val="37"/>
        </w:numPr>
        <w:ind w:firstLine="420"/>
      </w:pPr>
      <w:r>
        <w:rPr>
          <w:rFonts w:hint="eastAsia"/>
        </w:rPr>
        <w:t>GB/T 24789 用水单位水计量器具配备和管理通则</w:t>
      </w:r>
    </w:p>
    <w:p>
      <w:pPr>
        <w:pStyle w:val="60"/>
        <w:numPr>
          <w:ilvl w:val="0"/>
          <w:numId w:val="37"/>
        </w:numPr>
        <w:ind w:firstLine="420"/>
      </w:pPr>
      <w:r>
        <w:rPr>
          <w:rFonts w:hint="eastAsia"/>
        </w:rPr>
        <w:t xml:space="preserve">GB/T </w:t>
      </w:r>
      <w:r>
        <w:t>29149</w:t>
      </w:r>
      <w:r>
        <w:rPr>
          <w:rFonts w:hint="eastAsia"/>
        </w:rPr>
        <w:t xml:space="preserve"> 公共机构能源资源计量器具配备和管理要求</w:t>
      </w:r>
    </w:p>
    <w:p>
      <w:pPr>
        <w:pStyle w:val="60"/>
        <w:numPr>
          <w:ilvl w:val="0"/>
          <w:numId w:val="37"/>
        </w:numPr>
        <w:ind w:firstLine="420" w:firstLineChars="0"/>
      </w:pPr>
      <w:r>
        <w:rPr>
          <w:rFonts w:hint="eastAsia"/>
        </w:rPr>
        <w:t>JJF 1356</w:t>
      </w:r>
      <w:r>
        <w:t xml:space="preserve"> </w:t>
      </w:r>
      <w:r>
        <w:rPr>
          <w:rFonts w:hint="eastAsia"/>
        </w:rPr>
        <w:t>重点用能单位能源计量审查规范</w:t>
      </w:r>
    </w:p>
    <w:p>
      <w:pPr>
        <w:pStyle w:val="60"/>
        <w:numPr>
          <w:ilvl w:val="0"/>
          <w:numId w:val="37"/>
        </w:numPr>
        <w:ind w:firstLine="420" w:firstLineChars="0"/>
      </w:pPr>
      <w:r>
        <w:rPr>
          <w:rFonts w:hint="eastAsia"/>
        </w:rPr>
        <w:t>DB11/T 1958 党政机关能源消耗定额</w:t>
      </w:r>
    </w:p>
    <w:p>
      <w:pPr>
        <w:pStyle w:val="60"/>
        <w:numPr>
          <w:ilvl w:val="0"/>
          <w:numId w:val="37"/>
        </w:numPr>
        <w:ind w:firstLine="420"/>
      </w:pPr>
      <w:r>
        <w:rPr>
          <w:rFonts w:hint="eastAsia"/>
        </w:rPr>
        <w:t>DB</w:t>
      </w:r>
      <w:r>
        <w:t>11</w:t>
      </w:r>
      <w:r>
        <w:rPr>
          <w:rFonts w:hint="eastAsia"/>
        </w:rPr>
        <w:t>/T 2019 能源计量器具配备和管理规范 数据中心</w:t>
      </w:r>
    </w:p>
    <w:bookmarkEnd w:id="121"/>
    <w:p>
      <w:pPr>
        <w:pStyle w:val="60"/>
        <w:ind w:firstLine="0" w:firstLineChars="0"/>
        <w:jc w:val="center"/>
      </w:pPr>
      <w:bookmarkStart w:id="128"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12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Cambria Math">
    <w:altName w:val="DejaVu Math TeX Gyre"/>
    <w:panose1 w:val="00000000000000000000"/>
    <w:charset w:val="00"/>
    <w:family w:val="roman"/>
    <w:pitch w:val="default"/>
    <w:sig w:usb0="00000000" w:usb1="00000000" w:usb2="00000000"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文泉驿正黑">
    <w:panose1 w:val="02000603000000000000"/>
    <w:charset w:val="86"/>
    <w:family w:val="auto"/>
    <w:pitch w:val="default"/>
    <w:sig w:usb0="900002BF" w:usb1="2BDF7DFB" w:usb2="00000036" w:usb3="00000000" w:csb0="603E000D" w:csb1="D2D7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DB11/T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BF36E5B"/>
    <w:multiLevelType w:val="singleLevel"/>
    <w:tmpl w:val="3BF36E5B"/>
    <w:lvl w:ilvl="0" w:tentative="0">
      <w:start w:val="1"/>
      <w:numFmt w:val="decimal"/>
      <w:suff w:val="space"/>
      <w:lvlText w:val="[%1]"/>
      <w:lvlJc w:val="left"/>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425" w:firstLine="0"/>
      </w:pPr>
      <w:rPr>
        <w:rFonts w:hint="eastAsia" w:ascii="黑体" w:eastAsia="黑体"/>
        <w:b w:val="0"/>
        <w:i w:val="0"/>
        <w:sz w:val="21"/>
      </w:rPr>
    </w:lvl>
    <w:lvl w:ilvl="4" w:tentative="0">
      <w:start w:val="1"/>
      <w:numFmt w:val="decimal"/>
      <w:pStyle w:val="98"/>
      <w:suff w:val="nothing"/>
      <w:lvlText w:val="%1%2.%3.%4.%5　"/>
      <w:lvlJc w:val="left"/>
      <w:pPr>
        <w:ind w:left="2269"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true"/>
  <w:bordersDoNotSurroundFooter w:val="true"/>
  <w:trackRevisions w:val="true"/>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DB2"/>
    <w:rsid w:val="0000040A"/>
    <w:rsid w:val="00000A94"/>
    <w:rsid w:val="00001972"/>
    <w:rsid w:val="00001D9A"/>
    <w:rsid w:val="00004178"/>
    <w:rsid w:val="000068E3"/>
    <w:rsid w:val="00007B3A"/>
    <w:rsid w:val="0001063E"/>
    <w:rsid w:val="000107E0"/>
    <w:rsid w:val="00011FDE"/>
    <w:rsid w:val="00012FFD"/>
    <w:rsid w:val="00014162"/>
    <w:rsid w:val="00014340"/>
    <w:rsid w:val="00016A9C"/>
    <w:rsid w:val="00022184"/>
    <w:rsid w:val="00022762"/>
    <w:rsid w:val="00022E0D"/>
    <w:rsid w:val="000238E0"/>
    <w:rsid w:val="000249DB"/>
    <w:rsid w:val="000253B8"/>
    <w:rsid w:val="000255CC"/>
    <w:rsid w:val="0002595E"/>
    <w:rsid w:val="000303C3"/>
    <w:rsid w:val="000331D3"/>
    <w:rsid w:val="000346A5"/>
    <w:rsid w:val="000359C3"/>
    <w:rsid w:val="00035A7D"/>
    <w:rsid w:val="000365ED"/>
    <w:rsid w:val="0004249A"/>
    <w:rsid w:val="00043282"/>
    <w:rsid w:val="00044286"/>
    <w:rsid w:val="000447A9"/>
    <w:rsid w:val="00047137"/>
    <w:rsid w:val="00047F28"/>
    <w:rsid w:val="000503AA"/>
    <w:rsid w:val="000506A1"/>
    <w:rsid w:val="000515DD"/>
    <w:rsid w:val="0005265A"/>
    <w:rsid w:val="000539DD"/>
    <w:rsid w:val="00053BD3"/>
    <w:rsid w:val="00053D66"/>
    <w:rsid w:val="000556ED"/>
    <w:rsid w:val="00055FE2"/>
    <w:rsid w:val="0005616F"/>
    <w:rsid w:val="00056FBF"/>
    <w:rsid w:val="0006027E"/>
    <w:rsid w:val="00060C2E"/>
    <w:rsid w:val="00061033"/>
    <w:rsid w:val="000619E9"/>
    <w:rsid w:val="000622D4"/>
    <w:rsid w:val="0006357D"/>
    <w:rsid w:val="0006737C"/>
    <w:rsid w:val="00067F1E"/>
    <w:rsid w:val="00070CCE"/>
    <w:rsid w:val="00071CC0"/>
    <w:rsid w:val="00072892"/>
    <w:rsid w:val="00073C8C"/>
    <w:rsid w:val="00077B64"/>
    <w:rsid w:val="00080A1C"/>
    <w:rsid w:val="00080D75"/>
    <w:rsid w:val="00082317"/>
    <w:rsid w:val="00083D2C"/>
    <w:rsid w:val="00086AA1"/>
    <w:rsid w:val="00087A77"/>
    <w:rsid w:val="00090CA6"/>
    <w:rsid w:val="00092B8A"/>
    <w:rsid w:val="00092FB0"/>
    <w:rsid w:val="000934C5"/>
    <w:rsid w:val="00093D25"/>
    <w:rsid w:val="00093D6F"/>
    <w:rsid w:val="00093DAB"/>
    <w:rsid w:val="000940AF"/>
    <w:rsid w:val="00094D73"/>
    <w:rsid w:val="00096D63"/>
    <w:rsid w:val="000A0B60"/>
    <w:rsid w:val="000A0EB8"/>
    <w:rsid w:val="000A18A8"/>
    <w:rsid w:val="000A19FC"/>
    <w:rsid w:val="000A296B"/>
    <w:rsid w:val="000A7311"/>
    <w:rsid w:val="000B060F"/>
    <w:rsid w:val="000B1592"/>
    <w:rsid w:val="000B1FF2"/>
    <w:rsid w:val="000B3CDA"/>
    <w:rsid w:val="000B6A0B"/>
    <w:rsid w:val="000B7DFA"/>
    <w:rsid w:val="000C0F6C"/>
    <w:rsid w:val="000C11DB"/>
    <w:rsid w:val="000C1492"/>
    <w:rsid w:val="000C2FBD"/>
    <w:rsid w:val="000C4B41"/>
    <w:rsid w:val="000C57D6"/>
    <w:rsid w:val="000C6362"/>
    <w:rsid w:val="000C7666"/>
    <w:rsid w:val="000D0A9C"/>
    <w:rsid w:val="000D0C7E"/>
    <w:rsid w:val="000D1795"/>
    <w:rsid w:val="000D1CB2"/>
    <w:rsid w:val="000D2650"/>
    <w:rsid w:val="000D329A"/>
    <w:rsid w:val="000D4B9C"/>
    <w:rsid w:val="000D4EB6"/>
    <w:rsid w:val="000D753B"/>
    <w:rsid w:val="000D7AA6"/>
    <w:rsid w:val="000E1C53"/>
    <w:rsid w:val="000E4C9E"/>
    <w:rsid w:val="000E51DE"/>
    <w:rsid w:val="000E6FD7"/>
    <w:rsid w:val="000E7161"/>
    <w:rsid w:val="000F06E1"/>
    <w:rsid w:val="000F0E3C"/>
    <w:rsid w:val="000F19D5"/>
    <w:rsid w:val="000F3BE1"/>
    <w:rsid w:val="000F4AEA"/>
    <w:rsid w:val="000F633F"/>
    <w:rsid w:val="000F67E9"/>
    <w:rsid w:val="00101250"/>
    <w:rsid w:val="00104926"/>
    <w:rsid w:val="00104AA0"/>
    <w:rsid w:val="00113B1E"/>
    <w:rsid w:val="0011711C"/>
    <w:rsid w:val="0011783A"/>
    <w:rsid w:val="0012059C"/>
    <w:rsid w:val="00124E4F"/>
    <w:rsid w:val="001260B7"/>
    <w:rsid w:val="00126556"/>
    <w:rsid w:val="001265CB"/>
    <w:rsid w:val="0012682E"/>
    <w:rsid w:val="001321C6"/>
    <w:rsid w:val="001325C4"/>
    <w:rsid w:val="00133010"/>
    <w:rsid w:val="001338BC"/>
    <w:rsid w:val="001338EE"/>
    <w:rsid w:val="00133AAE"/>
    <w:rsid w:val="00135323"/>
    <w:rsid w:val="001356C4"/>
    <w:rsid w:val="00141114"/>
    <w:rsid w:val="00142969"/>
    <w:rsid w:val="00143F2D"/>
    <w:rsid w:val="0014458C"/>
    <w:rsid w:val="001446C2"/>
    <w:rsid w:val="001457E7"/>
    <w:rsid w:val="00145D9D"/>
    <w:rsid w:val="00145DD0"/>
    <w:rsid w:val="00146388"/>
    <w:rsid w:val="001477BE"/>
    <w:rsid w:val="001529E5"/>
    <w:rsid w:val="00153C7E"/>
    <w:rsid w:val="00154F06"/>
    <w:rsid w:val="0015578E"/>
    <w:rsid w:val="00156A17"/>
    <w:rsid w:val="00156B25"/>
    <w:rsid w:val="00156E1A"/>
    <w:rsid w:val="00157311"/>
    <w:rsid w:val="00157894"/>
    <w:rsid w:val="00157B55"/>
    <w:rsid w:val="001602BF"/>
    <w:rsid w:val="001642FA"/>
    <w:rsid w:val="001649EB"/>
    <w:rsid w:val="00164BAF"/>
    <w:rsid w:val="00164FA8"/>
    <w:rsid w:val="00165065"/>
    <w:rsid w:val="00165434"/>
    <w:rsid w:val="0016580B"/>
    <w:rsid w:val="00165F49"/>
    <w:rsid w:val="00166B88"/>
    <w:rsid w:val="0016770A"/>
    <w:rsid w:val="00170804"/>
    <w:rsid w:val="001708E9"/>
    <w:rsid w:val="00170F3A"/>
    <w:rsid w:val="0017327D"/>
    <w:rsid w:val="0017340B"/>
    <w:rsid w:val="00173FB1"/>
    <w:rsid w:val="001740EB"/>
    <w:rsid w:val="001765DC"/>
    <w:rsid w:val="00176DFD"/>
    <w:rsid w:val="00183AE1"/>
    <w:rsid w:val="00183C5F"/>
    <w:rsid w:val="001852C9"/>
    <w:rsid w:val="00190087"/>
    <w:rsid w:val="0019087A"/>
    <w:rsid w:val="001913C4"/>
    <w:rsid w:val="0019348F"/>
    <w:rsid w:val="00193A07"/>
    <w:rsid w:val="00194C95"/>
    <w:rsid w:val="00195A96"/>
    <w:rsid w:val="00195C34"/>
    <w:rsid w:val="00196EF5"/>
    <w:rsid w:val="001A18EE"/>
    <w:rsid w:val="001A1A53"/>
    <w:rsid w:val="001A234A"/>
    <w:rsid w:val="001A4CF3"/>
    <w:rsid w:val="001A74E9"/>
    <w:rsid w:val="001B06E8"/>
    <w:rsid w:val="001B20DE"/>
    <w:rsid w:val="001B3C46"/>
    <w:rsid w:val="001B70D1"/>
    <w:rsid w:val="001B71D0"/>
    <w:rsid w:val="001B71EE"/>
    <w:rsid w:val="001C04A8"/>
    <w:rsid w:val="001C0665"/>
    <w:rsid w:val="001C2C03"/>
    <w:rsid w:val="001C368C"/>
    <w:rsid w:val="001C42F7"/>
    <w:rsid w:val="001C49E5"/>
    <w:rsid w:val="001C5B87"/>
    <w:rsid w:val="001C680C"/>
    <w:rsid w:val="001C7FEA"/>
    <w:rsid w:val="001D0499"/>
    <w:rsid w:val="001D0BBE"/>
    <w:rsid w:val="001D0ED4"/>
    <w:rsid w:val="001D212F"/>
    <w:rsid w:val="001D29D7"/>
    <w:rsid w:val="001D2D0A"/>
    <w:rsid w:val="001D2DE7"/>
    <w:rsid w:val="001D411C"/>
    <w:rsid w:val="001E1B6A"/>
    <w:rsid w:val="001E1ED2"/>
    <w:rsid w:val="001E2484"/>
    <w:rsid w:val="001E3CC4"/>
    <w:rsid w:val="001E4882"/>
    <w:rsid w:val="001E4886"/>
    <w:rsid w:val="001E58DB"/>
    <w:rsid w:val="001E73AB"/>
    <w:rsid w:val="001F07BD"/>
    <w:rsid w:val="001F092D"/>
    <w:rsid w:val="001F143A"/>
    <w:rsid w:val="001F1605"/>
    <w:rsid w:val="001F2508"/>
    <w:rsid w:val="001F4816"/>
    <w:rsid w:val="001F4EE9"/>
    <w:rsid w:val="001F69B4"/>
    <w:rsid w:val="001F7361"/>
    <w:rsid w:val="001F77C7"/>
    <w:rsid w:val="00200183"/>
    <w:rsid w:val="00200333"/>
    <w:rsid w:val="00200526"/>
    <w:rsid w:val="00200BFF"/>
    <w:rsid w:val="0020107D"/>
    <w:rsid w:val="00202AA4"/>
    <w:rsid w:val="002031F7"/>
    <w:rsid w:val="002040E6"/>
    <w:rsid w:val="0020527B"/>
    <w:rsid w:val="00205F2C"/>
    <w:rsid w:val="00210B15"/>
    <w:rsid w:val="00212EE6"/>
    <w:rsid w:val="002142EA"/>
    <w:rsid w:val="00214A38"/>
    <w:rsid w:val="002204BB"/>
    <w:rsid w:val="00221B79"/>
    <w:rsid w:val="00221C6B"/>
    <w:rsid w:val="002220D0"/>
    <w:rsid w:val="002253A1"/>
    <w:rsid w:val="00225CF8"/>
    <w:rsid w:val="0022794E"/>
    <w:rsid w:val="00233D64"/>
    <w:rsid w:val="0023482A"/>
    <w:rsid w:val="002359CB"/>
    <w:rsid w:val="002421C8"/>
    <w:rsid w:val="00243540"/>
    <w:rsid w:val="0024497B"/>
    <w:rsid w:val="0024515B"/>
    <w:rsid w:val="00246021"/>
    <w:rsid w:val="0024666E"/>
    <w:rsid w:val="00246979"/>
    <w:rsid w:val="002469DD"/>
    <w:rsid w:val="00247D83"/>
    <w:rsid w:val="00247F52"/>
    <w:rsid w:val="00250B25"/>
    <w:rsid w:val="00250BBE"/>
    <w:rsid w:val="002515C2"/>
    <w:rsid w:val="0025194F"/>
    <w:rsid w:val="00253476"/>
    <w:rsid w:val="002546A8"/>
    <w:rsid w:val="0026148A"/>
    <w:rsid w:val="00262696"/>
    <w:rsid w:val="00263D25"/>
    <w:rsid w:val="002643C3"/>
    <w:rsid w:val="00264A0C"/>
    <w:rsid w:val="00266EEB"/>
    <w:rsid w:val="00267EF4"/>
    <w:rsid w:val="00270CB8"/>
    <w:rsid w:val="00272B08"/>
    <w:rsid w:val="00275802"/>
    <w:rsid w:val="002771AC"/>
    <w:rsid w:val="00277358"/>
    <w:rsid w:val="00281BB8"/>
    <w:rsid w:val="00281E9E"/>
    <w:rsid w:val="00282405"/>
    <w:rsid w:val="002831AE"/>
    <w:rsid w:val="00285170"/>
    <w:rsid w:val="00285361"/>
    <w:rsid w:val="00286611"/>
    <w:rsid w:val="00286D0B"/>
    <w:rsid w:val="00292D60"/>
    <w:rsid w:val="002935D2"/>
    <w:rsid w:val="00293B30"/>
    <w:rsid w:val="00294D34"/>
    <w:rsid w:val="00294E3B"/>
    <w:rsid w:val="00296193"/>
    <w:rsid w:val="00296BBE"/>
    <w:rsid w:val="00296C66"/>
    <w:rsid w:val="00296EBE"/>
    <w:rsid w:val="002974E3"/>
    <w:rsid w:val="002A084B"/>
    <w:rsid w:val="002A1260"/>
    <w:rsid w:val="002A1589"/>
    <w:rsid w:val="002A1608"/>
    <w:rsid w:val="002A25DC"/>
    <w:rsid w:val="002A3AAB"/>
    <w:rsid w:val="002A4CEA"/>
    <w:rsid w:val="002A5977"/>
    <w:rsid w:val="002A59B6"/>
    <w:rsid w:val="002A5A13"/>
    <w:rsid w:val="002A757F"/>
    <w:rsid w:val="002A7F44"/>
    <w:rsid w:val="002B0C40"/>
    <w:rsid w:val="002B1966"/>
    <w:rsid w:val="002B4508"/>
    <w:rsid w:val="002B5779"/>
    <w:rsid w:val="002B7332"/>
    <w:rsid w:val="002B7F17"/>
    <w:rsid w:val="002B7F51"/>
    <w:rsid w:val="002C09E7"/>
    <w:rsid w:val="002C1E06"/>
    <w:rsid w:val="002C1E1C"/>
    <w:rsid w:val="002C3F07"/>
    <w:rsid w:val="002C5278"/>
    <w:rsid w:val="002C7EBB"/>
    <w:rsid w:val="002D06C1"/>
    <w:rsid w:val="002D3ACE"/>
    <w:rsid w:val="002D42B5"/>
    <w:rsid w:val="002D4F1A"/>
    <w:rsid w:val="002D6EC6"/>
    <w:rsid w:val="002D79AC"/>
    <w:rsid w:val="002E039D"/>
    <w:rsid w:val="002E4D5A"/>
    <w:rsid w:val="002E6326"/>
    <w:rsid w:val="002F30E0"/>
    <w:rsid w:val="002F35E4"/>
    <w:rsid w:val="002F3730"/>
    <w:rsid w:val="002F38E1"/>
    <w:rsid w:val="002F7AF6"/>
    <w:rsid w:val="00300E63"/>
    <w:rsid w:val="00301FC1"/>
    <w:rsid w:val="00302F5F"/>
    <w:rsid w:val="0030441D"/>
    <w:rsid w:val="00306063"/>
    <w:rsid w:val="00306C02"/>
    <w:rsid w:val="003070CA"/>
    <w:rsid w:val="00310A20"/>
    <w:rsid w:val="00313B85"/>
    <w:rsid w:val="0031564B"/>
    <w:rsid w:val="00317988"/>
    <w:rsid w:val="003221B4"/>
    <w:rsid w:val="0032231C"/>
    <w:rsid w:val="0032258D"/>
    <w:rsid w:val="00322E62"/>
    <w:rsid w:val="00322F88"/>
    <w:rsid w:val="00323C38"/>
    <w:rsid w:val="00324D13"/>
    <w:rsid w:val="00324D2A"/>
    <w:rsid w:val="00324EDD"/>
    <w:rsid w:val="00326A34"/>
    <w:rsid w:val="003331E4"/>
    <w:rsid w:val="00336C64"/>
    <w:rsid w:val="00337162"/>
    <w:rsid w:val="00340BB2"/>
    <w:rsid w:val="003413D7"/>
    <w:rsid w:val="0034194F"/>
    <w:rsid w:val="00344605"/>
    <w:rsid w:val="0034719E"/>
    <w:rsid w:val="003474AA"/>
    <w:rsid w:val="00347664"/>
    <w:rsid w:val="00350D1D"/>
    <w:rsid w:val="00352C83"/>
    <w:rsid w:val="00357EDD"/>
    <w:rsid w:val="003615D2"/>
    <w:rsid w:val="0036429C"/>
    <w:rsid w:val="00364A53"/>
    <w:rsid w:val="003654CB"/>
    <w:rsid w:val="00365AA9"/>
    <w:rsid w:val="00365F86"/>
    <w:rsid w:val="00365F87"/>
    <w:rsid w:val="00366E89"/>
    <w:rsid w:val="003705F4"/>
    <w:rsid w:val="00370761"/>
    <w:rsid w:val="00370D58"/>
    <w:rsid w:val="00371316"/>
    <w:rsid w:val="00372EB6"/>
    <w:rsid w:val="003755A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B4A"/>
    <w:rsid w:val="003A4077"/>
    <w:rsid w:val="003B09AD"/>
    <w:rsid w:val="003B1A7A"/>
    <w:rsid w:val="003B1D9F"/>
    <w:rsid w:val="003B1F18"/>
    <w:rsid w:val="003B3ACE"/>
    <w:rsid w:val="003B5BF0"/>
    <w:rsid w:val="003B60BF"/>
    <w:rsid w:val="003B6BE3"/>
    <w:rsid w:val="003C010C"/>
    <w:rsid w:val="003C0A6C"/>
    <w:rsid w:val="003C14F8"/>
    <w:rsid w:val="003C5A43"/>
    <w:rsid w:val="003C739B"/>
    <w:rsid w:val="003D0519"/>
    <w:rsid w:val="003D0FD2"/>
    <w:rsid w:val="003D0FF6"/>
    <w:rsid w:val="003D262C"/>
    <w:rsid w:val="003D4AF2"/>
    <w:rsid w:val="003D6D61"/>
    <w:rsid w:val="003D79C6"/>
    <w:rsid w:val="003E091D"/>
    <w:rsid w:val="003E1C53"/>
    <w:rsid w:val="003E243D"/>
    <w:rsid w:val="003E2A69"/>
    <w:rsid w:val="003E2CD3"/>
    <w:rsid w:val="003E2D49"/>
    <w:rsid w:val="003E2FD4"/>
    <w:rsid w:val="003E49F6"/>
    <w:rsid w:val="003E51B9"/>
    <w:rsid w:val="003E660F"/>
    <w:rsid w:val="003F0841"/>
    <w:rsid w:val="003F23D3"/>
    <w:rsid w:val="003F3F08"/>
    <w:rsid w:val="003F49F1"/>
    <w:rsid w:val="003F6272"/>
    <w:rsid w:val="00400E72"/>
    <w:rsid w:val="00401400"/>
    <w:rsid w:val="00401BA3"/>
    <w:rsid w:val="004030D2"/>
    <w:rsid w:val="0040460C"/>
    <w:rsid w:val="00404869"/>
    <w:rsid w:val="00405884"/>
    <w:rsid w:val="004060CB"/>
    <w:rsid w:val="00406398"/>
    <w:rsid w:val="00407D39"/>
    <w:rsid w:val="00413C7D"/>
    <w:rsid w:val="0041477A"/>
    <w:rsid w:val="00414EB8"/>
    <w:rsid w:val="004167A3"/>
    <w:rsid w:val="00416977"/>
    <w:rsid w:val="00424205"/>
    <w:rsid w:val="00424F2A"/>
    <w:rsid w:val="00425CDC"/>
    <w:rsid w:val="00427264"/>
    <w:rsid w:val="004272BE"/>
    <w:rsid w:val="00432DAA"/>
    <w:rsid w:val="00434305"/>
    <w:rsid w:val="00435AEC"/>
    <w:rsid w:val="00435DF7"/>
    <w:rsid w:val="004370F5"/>
    <w:rsid w:val="0044083F"/>
    <w:rsid w:val="00441AE7"/>
    <w:rsid w:val="00445574"/>
    <w:rsid w:val="00446552"/>
    <w:rsid w:val="004467FB"/>
    <w:rsid w:val="00452D6B"/>
    <w:rsid w:val="00454484"/>
    <w:rsid w:val="0045517B"/>
    <w:rsid w:val="004554D1"/>
    <w:rsid w:val="004635B6"/>
    <w:rsid w:val="00463B77"/>
    <w:rsid w:val="00463C7B"/>
    <w:rsid w:val="004644A6"/>
    <w:rsid w:val="0046544B"/>
    <w:rsid w:val="004659BD"/>
    <w:rsid w:val="00470775"/>
    <w:rsid w:val="00470BEB"/>
    <w:rsid w:val="004746B1"/>
    <w:rsid w:val="0047583F"/>
    <w:rsid w:val="00475DE8"/>
    <w:rsid w:val="00476064"/>
    <w:rsid w:val="00481C44"/>
    <w:rsid w:val="00484936"/>
    <w:rsid w:val="0048553C"/>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AC4"/>
    <w:rsid w:val="004C1FBC"/>
    <w:rsid w:val="004C39A4"/>
    <w:rsid w:val="004C3BA7"/>
    <w:rsid w:val="004C3F1D"/>
    <w:rsid w:val="004C458D"/>
    <w:rsid w:val="004C585B"/>
    <w:rsid w:val="004C721B"/>
    <w:rsid w:val="004C722F"/>
    <w:rsid w:val="004C7556"/>
    <w:rsid w:val="004C7E8B"/>
    <w:rsid w:val="004C7E9D"/>
    <w:rsid w:val="004C7F67"/>
    <w:rsid w:val="004D076D"/>
    <w:rsid w:val="004D0EF1"/>
    <w:rsid w:val="004D2253"/>
    <w:rsid w:val="004D4406"/>
    <w:rsid w:val="004D7C42"/>
    <w:rsid w:val="004E0465"/>
    <w:rsid w:val="004E0C5A"/>
    <w:rsid w:val="004E127B"/>
    <w:rsid w:val="004E1C0A"/>
    <w:rsid w:val="004E2B06"/>
    <w:rsid w:val="004E30C5"/>
    <w:rsid w:val="004E4AA5"/>
    <w:rsid w:val="004E4AEE"/>
    <w:rsid w:val="004E59E3"/>
    <w:rsid w:val="004E5CCC"/>
    <w:rsid w:val="004E67C0"/>
    <w:rsid w:val="004F2868"/>
    <w:rsid w:val="004F391A"/>
    <w:rsid w:val="004F3CFB"/>
    <w:rsid w:val="004F6456"/>
    <w:rsid w:val="004F696E"/>
    <w:rsid w:val="004F6C71"/>
    <w:rsid w:val="004F707C"/>
    <w:rsid w:val="00501139"/>
    <w:rsid w:val="0050363E"/>
    <w:rsid w:val="005039BC"/>
    <w:rsid w:val="005043BB"/>
    <w:rsid w:val="00504A3D"/>
    <w:rsid w:val="00504AEE"/>
    <w:rsid w:val="00505767"/>
    <w:rsid w:val="005073F0"/>
    <w:rsid w:val="00510A7B"/>
    <w:rsid w:val="00512F6E"/>
    <w:rsid w:val="00513038"/>
    <w:rsid w:val="00514174"/>
    <w:rsid w:val="00516088"/>
    <w:rsid w:val="005161AF"/>
    <w:rsid w:val="00516B0B"/>
    <w:rsid w:val="00516DD8"/>
    <w:rsid w:val="0052151C"/>
    <w:rsid w:val="005220EC"/>
    <w:rsid w:val="00523F95"/>
    <w:rsid w:val="00524D65"/>
    <w:rsid w:val="00525B16"/>
    <w:rsid w:val="00530924"/>
    <w:rsid w:val="00533D04"/>
    <w:rsid w:val="00534804"/>
    <w:rsid w:val="00534BDF"/>
    <w:rsid w:val="0053509C"/>
    <w:rsid w:val="005354EA"/>
    <w:rsid w:val="0053585F"/>
    <w:rsid w:val="00535EC4"/>
    <w:rsid w:val="00535ED9"/>
    <w:rsid w:val="0053692B"/>
    <w:rsid w:val="0054043D"/>
    <w:rsid w:val="00541853"/>
    <w:rsid w:val="00543BDA"/>
    <w:rsid w:val="005441CC"/>
    <w:rsid w:val="005467A0"/>
    <w:rsid w:val="005479DA"/>
    <w:rsid w:val="00547BCC"/>
    <w:rsid w:val="0055013B"/>
    <w:rsid w:val="00551F6F"/>
    <w:rsid w:val="005548A1"/>
    <w:rsid w:val="00555044"/>
    <w:rsid w:val="00555A52"/>
    <w:rsid w:val="00557DEA"/>
    <w:rsid w:val="00560F6E"/>
    <w:rsid w:val="00561475"/>
    <w:rsid w:val="005628BF"/>
    <w:rsid w:val="00562D41"/>
    <w:rsid w:val="0056487B"/>
    <w:rsid w:val="00564FB9"/>
    <w:rsid w:val="00570369"/>
    <w:rsid w:val="005714DA"/>
    <w:rsid w:val="00571BCD"/>
    <w:rsid w:val="00573D9E"/>
    <w:rsid w:val="005801E3"/>
    <w:rsid w:val="00581802"/>
    <w:rsid w:val="005836A8"/>
    <w:rsid w:val="0058409C"/>
    <w:rsid w:val="00584262"/>
    <w:rsid w:val="00586630"/>
    <w:rsid w:val="00587ADD"/>
    <w:rsid w:val="00591E27"/>
    <w:rsid w:val="00596160"/>
    <w:rsid w:val="005966E2"/>
    <w:rsid w:val="00596899"/>
    <w:rsid w:val="00597007"/>
    <w:rsid w:val="005A0966"/>
    <w:rsid w:val="005A11B7"/>
    <w:rsid w:val="005A260B"/>
    <w:rsid w:val="005A2943"/>
    <w:rsid w:val="005A4A1B"/>
    <w:rsid w:val="005A7830"/>
    <w:rsid w:val="005A79F6"/>
    <w:rsid w:val="005A7FCE"/>
    <w:rsid w:val="005B0F3F"/>
    <w:rsid w:val="005B4903"/>
    <w:rsid w:val="005B51CE"/>
    <w:rsid w:val="005B5885"/>
    <w:rsid w:val="005B5CD7"/>
    <w:rsid w:val="005B6CF6"/>
    <w:rsid w:val="005B7422"/>
    <w:rsid w:val="005C29B8"/>
    <w:rsid w:val="005C2F4A"/>
    <w:rsid w:val="005C5F21"/>
    <w:rsid w:val="005C7156"/>
    <w:rsid w:val="005D0C75"/>
    <w:rsid w:val="005D185A"/>
    <w:rsid w:val="005D4171"/>
    <w:rsid w:val="005D6A95"/>
    <w:rsid w:val="005D6B2C"/>
    <w:rsid w:val="005D6D9C"/>
    <w:rsid w:val="005E1DD5"/>
    <w:rsid w:val="005E2335"/>
    <w:rsid w:val="005E34CA"/>
    <w:rsid w:val="005E3C18"/>
    <w:rsid w:val="005E6812"/>
    <w:rsid w:val="005E7881"/>
    <w:rsid w:val="005E78E0"/>
    <w:rsid w:val="005F0D9C"/>
    <w:rsid w:val="005F284E"/>
    <w:rsid w:val="005F4712"/>
    <w:rsid w:val="005F50A2"/>
    <w:rsid w:val="006015CE"/>
    <w:rsid w:val="00604784"/>
    <w:rsid w:val="00606419"/>
    <w:rsid w:val="00607D29"/>
    <w:rsid w:val="00612952"/>
    <w:rsid w:val="00614CC1"/>
    <w:rsid w:val="00615A9D"/>
    <w:rsid w:val="00617387"/>
    <w:rsid w:val="006205D6"/>
    <w:rsid w:val="00622520"/>
    <w:rsid w:val="006252D8"/>
    <w:rsid w:val="006259BC"/>
    <w:rsid w:val="0062636B"/>
    <w:rsid w:val="006310B5"/>
    <w:rsid w:val="00632182"/>
    <w:rsid w:val="00632AE0"/>
    <w:rsid w:val="00633C17"/>
    <w:rsid w:val="00634D9E"/>
    <w:rsid w:val="00636E3E"/>
    <w:rsid w:val="006379F7"/>
    <w:rsid w:val="00637E07"/>
    <w:rsid w:val="00637E4D"/>
    <w:rsid w:val="00640620"/>
    <w:rsid w:val="00641A1F"/>
    <w:rsid w:val="00645904"/>
    <w:rsid w:val="00647012"/>
    <w:rsid w:val="006504D7"/>
    <w:rsid w:val="00651ACB"/>
    <w:rsid w:val="00651C47"/>
    <w:rsid w:val="00652AB2"/>
    <w:rsid w:val="00653FED"/>
    <w:rsid w:val="00654EC0"/>
    <w:rsid w:val="0065525B"/>
    <w:rsid w:val="00655D4F"/>
    <w:rsid w:val="00656D29"/>
    <w:rsid w:val="00656D6E"/>
    <w:rsid w:val="00657B76"/>
    <w:rsid w:val="006640E5"/>
    <w:rsid w:val="006646F1"/>
    <w:rsid w:val="00664929"/>
    <w:rsid w:val="00664F62"/>
    <w:rsid w:val="006655E1"/>
    <w:rsid w:val="00670002"/>
    <w:rsid w:val="00672060"/>
    <w:rsid w:val="0067289F"/>
    <w:rsid w:val="00672BFD"/>
    <w:rsid w:val="006770F4"/>
    <w:rsid w:val="00677A84"/>
    <w:rsid w:val="0068026D"/>
    <w:rsid w:val="00680A27"/>
    <w:rsid w:val="006816A4"/>
    <w:rsid w:val="006819B8"/>
    <w:rsid w:val="00683C83"/>
    <w:rsid w:val="006840A6"/>
    <w:rsid w:val="006850CD"/>
    <w:rsid w:val="00685AAB"/>
    <w:rsid w:val="0068738C"/>
    <w:rsid w:val="00690EB7"/>
    <w:rsid w:val="00692F4D"/>
    <w:rsid w:val="00695D22"/>
    <w:rsid w:val="00697553"/>
    <w:rsid w:val="006A07AA"/>
    <w:rsid w:val="006A25E5"/>
    <w:rsid w:val="006A2B46"/>
    <w:rsid w:val="006A336D"/>
    <w:rsid w:val="006A37B9"/>
    <w:rsid w:val="006B2672"/>
    <w:rsid w:val="006B281C"/>
    <w:rsid w:val="006B2C76"/>
    <w:rsid w:val="006B4FC4"/>
    <w:rsid w:val="006B54BF"/>
    <w:rsid w:val="006B5F44"/>
    <w:rsid w:val="006B5F90"/>
    <w:rsid w:val="006B62E4"/>
    <w:rsid w:val="006C0700"/>
    <w:rsid w:val="006C1BBA"/>
    <w:rsid w:val="006C2079"/>
    <w:rsid w:val="006C28E6"/>
    <w:rsid w:val="006C412B"/>
    <w:rsid w:val="006C54E1"/>
    <w:rsid w:val="006C5A62"/>
    <w:rsid w:val="006C5D68"/>
    <w:rsid w:val="006C6976"/>
    <w:rsid w:val="006C6DD0"/>
    <w:rsid w:val="006D04EA"/>
    <w:rsid w:val="006D0AB7"/>
    <w:rsid w:val="006D16C4"/>
    <w:rsid w:val="006D3E96"/>
    <w:rsid w:val="006D4515"/>
    <w:rsid w:val="006D4BB1"/>
    <w:rsid w:val="006D6593"/>
    <w:rsid w:val="006E23EA"/>
    <w:rsid w:val="006E6B46"/>
    <w:rsid w:val="006F03A8"/>
    <w:rsid w:val="006F2ACA"/>
    <w:rsid w:val="006F2ADC"/>
    <w:rsid w:val="006F2BFE"/>
    <w:rsid w:val="006F31E9"/>
    <w:rsid w:val="006F39F1"/>
    <w:rsid w:val="006F6284"/>
    <w:rsid w:val="007002C5"/>
    <w:rsid w:val="00704387"/>
    <w:rsid w:val="00705D7C"/>
    <w:rsid w:val="00707669"/>
    <w:rsid w:val="00711CBA"/>
    <w:rsid w:val="00711FB5"/>
    <w:rsid w:val="00712A01"/>
    <w:rsid w:val="00714F58"/>
    <w:rsid w:val="007170B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7DA"/>
    <w:rsid w:val="00746800"/>
    <w:rsid w:val="00747C7D"/>
    <w:rsid w:val="007501A8"/>
    <w:rsid w:val="00750D61"/>
    <w:rsid w:val="00750EE1"/>
    <w:rsid w:val="00752B4D"/>
    <w:rsid w:val="007539CE"/>
    <w:rsid w:val="00753AB8"/>
    <w:rsid w:val="0075442E"/>
    <w:rsid w:val="00755402"/>
    <w:rsid w:val="0075654A"/>
    <w:rsid w:val="00756B26"/>
    <w:rsid w:val="00756EDF"/>
    <w:rsid w:val="00757D1C"/>
    <w:rsid w:val="007600E3"/>
    <w:rsid w:val="0076527F"/>
    <w:rsid w:val="00765C43"/>
    <w:rsid w:val="00765EFB"/>
    <w:rsid w:val="007671CA"/>
    <w:rsid w:val="00767C61"/>
    <w:rsid w:val="0077008A"/>
    <w:rsid w:val="00770534"/>
    <w:rsid w:val="0077064D"/>
    <w:rsid w:val="00773C1F"/>
    <w:rsid w:val="00774DA4"/>
    <w:rsid w:val="00776599"/>
    <w:rsid w:val="007810A6"/>
    <w:rsid w:val="0078114B"/>
    <w:rsid w:val="00781DD2"/>
    <w:rsid w:val="00783ECF"/>
    <w:rsid w:val="0078413A"/>
    <w:rsid w:val="007875C0"/>
    <w:rsid w:val="0079092C"/>
    <w:rsid w:val="007912DA"/>
    <w:rsid w:val="00794624"/>
    <w:rsid w:val="007959E8"/>
    <w:rsid w:val="00795E9C"/>
    <w:rsid w:val="007973CB"/>
    <w:rsid w:val="007A0521"/>
    <w:rsid w:val="007A2785"/>
    <w:rsid w:val="007A2E12"/>
    <w:rsid w:val="007A3475"/>
    <w:rsid w:val="007A41C8"/>
    <w:rsid w:val="007A4E20"/>
    <w:rsid w:val="007A54CE"/>
    <w:rsid w:val="007A6FD9"/>
    <w:rsid w:val="007A7FFA"/>
    <w:rsid w:val="007B04EB"/>
    <w:rsid w:val="007B0D4F"/>
    <w:rsid w:val="007B5A3D"/>
    <w:rsid w:val="007B5B95"/>
    <w:rsid w:val="007B68EA"/>
    <w:rsid w:val="007B7453"/>
    <w:rsid w:val="007C0AF2"/>
    <w:rsid w:val="007C1E8B"/>
    <w:rsid w:val="007C2D89"/>
    <w:rsid w:val="007C4593"/>
    <w:rsid w:val="007C4E74"/>
    <w:rsid w:val="007C5309"/>
    <w:rsid w:val="007C6069"/>
    <w:rsid w:val="007D06C4"/>
    <w:rsid w:val="007D1352"/>
    <w:rsid w:val="007D2508"/>
    <w:rsid w:val="007D346A"/>
    <w:rsid w:val="007D6518"/>
    <w:rsid w:val="007D660E"/>
    <w:rsid w:val="007D76BD"/>
    <w:rsid w:val="007E0BF1"/>
    <w:rsid w:val="007E1A07"/>
    <w:rsid w:val="007E5342"/>
    <w:rsid w:val="007E7750"/>
    <w:rsid w:val="007F0ED8"/>
    <w:rsid w:val="007F0F63"/>
    <w:rsid w:val="007F3E01"/>
    <w:rsid w:val="007F5038"/>
    <w:rsid w:val="007F75CE"/>
    <w:rsid w:val="008013A4"/>
    <w:rsid w:val="008027CE"/>
    <w:rsid w:val="00802F42"/>
    <w:rsid w:val="00804383"/>
    <w:rsid w:val="00804BB7"/>
    <w:rsid w:val="00804D41"/>
    <w:rsid w:val="00806154"/>
    <w:rsid w:val="00810257"/>
    <w:rsid w:val="008104F5"/>
    <w:rsid w:val="00811072"/>
    <w:rsid w:val="00811369"/>
    <w:rsid w:val="00813A24"/>
    <w:rsid w:val="00815419"/>
    <w:rsid w:val="008163C8"/>
    <w:rsid w:val="008164A1"/>
    <w:rsid w:val="00817325"/>
    <w:rsid w:val="008209E6"/>
    <w:rsid w:val="00823303"/>
    <w:rsid w:val="008233B2"/>
    <w:rsid w:val="00823A9F"/>
    <w:rsid w:val="00823C85"/>
    <w:rsid w:val="00824DB2"/>
    <w:rsid w:val="00825138"/>
    <w:rsid w:val="008269DD"/>
    <w:rsid w:val="0082764A"/>
    <w:rsid w:val="00830621"/>
    <w:rsid w:val="00831440"/>
    <w:rsid w:val="0083348C"/>
    <w:rsid w:val="0083581F"/>
    <w:rsid w:val="00836345"/>
    <w:rsid w:val="008367EE"/>
    <w:rsid w:val="008373D3"/>
    <w:rsid w:val="00840617"/>
    <w:rsid w:val="00840F84"/>
    <w:rsid w:val="00841A0A"/>
    <w:rsid w:val="00842936"/>
    <w:rsid w:val="00842A47"/>
    <w:rsid w:val="00843C13"/>
    <w:rsid w:val="008454F8"/>
    <w:rsid w:val="008507A0"/>
    <w:rsid w:val="0085173A"/>
    <w:rsid w:val="00854B44"/>
    <w:rsid w:val="00855336"/>
    <w:rsid w:val="00856316"/>
    <w:rsid w:val="008603CE"/>
    <w:rsid w:val="00860FC1"/>
    <w:rsid w:val="008620FC"/>
    <w:rsid w:val="008627A5"/>
    <w:rsid w:val="00863E05"/>
    <w:rsid w:val="00865ACA"/>
    <w:rsid w:val="00865D28"/>
    <w:rsid w:val="00865F85"/>
    <w:rsid w:val="00867C10"/>
    <w:rsid w:val="00870439"/>
    <w:rsid w:val="00870DA1"/>
    <w:rsid w:val="00870E57"/>
    <w:rsid w:val="00881EE5"/>
    <w:rsid w:val="00883F93"/>
    <w:rsid w:val="00884DB3"/>
    <w:rsid w:val="00885A9D"/>
    <w:rsid w:val="00885E20"/>
    <w:rsid w:val="008864F6"/>
    <w:rsid w:val="0088773D"/>
    <w:rsid w:val="0089049D"/>
    <w:rsid w:val="008928C9"/>
    <w:rsid w:val="008930CB"/>
    <w:rsid w:val="008938DC"/>
    <w:rsid w:val="00893FD1"/>
    <w:rsid w:val="008942CB"/>
    <w:rsid w:val="00894836"/>
    <w:rsid w:val="00895172"/>
    <w:rsid w:val="00895680"/>
    <w:rsid w:val="008956FE"/>
    <w:rsid w:val="00896DFF"/>
    <w:rsid w:val="0089762C"/>
    <w:rsid w:val="008A1893"/>
    <w:rsid w:val="008A3215"/>
    <w:rsid w:val="008A57E6"/>
    <w:rsid w:val="008A5F54"/>
    <w:rsid w:val="008A6F81"/>
    <w:rsid w:val="008A769A"/>
    <w:rsid w:val="008B0C9C"/>
    <w:rsid w:val="008B166D"/>
    <w:rsid w:val="008B17F4"/>
    <w:rsid w:val="008B2738"/>
    <w:rsid w:val="008B3615"/>
    <w:rsid w:val="008B4AC4"/>
    <w:rsid w:val="008B50C8"/>
    <w:rsid w:val="008B5281"/>
    <w:rsid w:val="008B5FD6"/>
    <w:rsid w:val="008B7E05"/>
    <w:rsid w:val="008C1797"/>
    <w:rsid w:val="008C219C"/>
    <w:rsid w:val="008C475E"/>
    <w:rsid w:val="008C619A"/>
    <w:rsid w:val="008D0CE8"/>
    <w:rsid w:val="008D2D1D"/>
    <w:rsid w:val="008D453D"/>
    <w:rsid w:val="008D4A2D"/>
    <w:rsid w:val="008D53AD"/>
    <w:rsid w:val="008D562B"/>
    <w:rsid w:val="008D5733"/>
    <w:rsid w:val="008D6156"/>
    <w:rsid w:val="008D622B"/>
    <w:rsid w:val="008D666C"/>
    <w:rsid w:val="008D7B54"/>
    <w:rsid w:val="008E0C9D"/>
    <w:rsid w:val="008E1648"/>
    <w:rsid w:val="008E1B3E"/>
    <w:rsid w:val="008E2319"/>
    <w:rsid w:val="008E25EA"/>
    <w:rsid w:val="008E4BB6"/>
    <w:rsid w:val="008E5518"/>
    <w:rsid w:val="008E5C0D"/>
    <w:rsid w:val="008E6A84"/>
    <w:rsid w:val="008E7C6C"/>
    <w:rsid w:val="008F0CDC"/>
    <w:rsid w:val="008F17A3"/>
    <w:rsid w:val="008F1ED3"/>
    <w:rsid w:val="008F1F37"/>
    <w:rsid w:val="008F23A5"/>
    <w:rsid w:val="008F42E2"/>
    <w:rsid w:val="008F4C29"/>
    <w:rsid w:val="008F70BD"/>
    <w:rsid w:val="008F7524"/>
    <w:rsid w:val="008F788F"/>
    <w:rsid w:val="008F7EA2"/>
    <w:rsid w:val="00902722"/>
    <w:rsid w:val="009027BC"/>
    <w:rsid w:val="00903765"/>
    <w:rsid w:val="00905304"/>
    <w:rsid w:val="009062E6"/>
    <w:rsid w:val="00911BE5"/>
    <w:rsid w:val="00911D58"/>
    <w:rsid w:val="00912D72"/>
    <w:rsid w:val="00913CA9"/>
    <w:rsid w:val="009145AE"/>
    <w:rsid w:val="009146CE"/>
    <w:rsid w:val="00914CA7"/>
    <w:rsid w:val="00915C3E"/>
    <w:rsid w:val="009161A8"/>
    <w:rsid w:val="00917C8B"/>
    <w:rsid w:val="009245F5"/>
    <w:rsid w:val="009249EC"/>
    <w:rsid w:val="009273B3"/>
    <w:rsid w:val="00930380"/>
    <w:rsid w:val="009305B5"/>
    <w:rsid w:val="00934729"/>
    <w:rsid w:val="00934CA5"/>
    <w:rsid w:val="009372C3"/>
    <w:rsid w:val="009429D5"/>
    <w:rsid w:val="00942BF1"/>
    <w:rsid w:val="00945180"/>
    <w:rsid w:val="00945428"/>
    <w:rsid w:val="0094607B"/>
    <w:rsid w:val="00953604"/>
    <w:rsid w:val="0095496B"/>
    <w:rsid w:val="009610DC"/>
    <w:rsid w:val="00961490"/>
    <w:rsid w:val="0096381A"/>
    <w:rsid w:val="00965E04"/>
    <w:rsid w:val="009671EA"/>
    <w:rsid w:val="009672AF"/>
    <w:rsid w:val="009674AD"/>
    <w:rsid w:val="00970CDC"/>
    <w:rsid w:val="00973B11"/>
    <w:rsid w:val="00977010"/>
    <w:rsid w:val="0097744C"/>
    <w:rsid w:val="00977D02"/>
    <w:rsid w:val="009809BB"/>
    <w:rsid w:val="00983039"/>
    <w:rsid w:val="0098364B"/>
    <w:rsid w:val="00985954"/>
    <w:rsid w:val="00991156"/>
    <w:rsid w:val="009911AF"/>
    <w:rsid w:val="00991306"/>
    <w:rsid w:val="00991875"/>
    <w:rsid w:val="00991F92"/>
    <w:rsid w:val="00992985"/>
    <w:rsid w:val="00993889"/>
    <w:rsid w:val="0099551B"/>
    <w:rsid w:val="00995C5D"/>
    <w:rsid w:val="00997BF1"/>
    <w:rsid w:val="009A089C"/>
    <w:rsid w:val="009A118E"/>
    <w:rsid w:val="009A21CD"/>
    <w:rsid w:val="009A278C"/>
    <w:rsid w:val="009A2BC2"/>
    <w:rsid w:val="009A42C1"/>
    <w:rsid w:val="009A5429"/>
    <w:rsid w:val="009A72AD"/>
    <w:rsid w:val="009B09E0"/>
    <w:rsid w:val="009B0BC5"/>
    <w:rsid w:val="009B1247"/>
    <w:rsid w:val="009B46F9"/>
    <w:rsid w:val="009B551C"/>
    <w:rsid w:val="009B6029"/>
    <w:rsid w:val="009B6971"/>
    <w:rsid w:val="009C27F1"/>
    <w:rsid w:val="009C3152"/>
    <w:rsid w:val="009C3235"/>
    <w:rsid w:val="009C4CFA"/>
    <w:rsid w:val="009C5070"/>
    <w:rsid w:val="009D0CC7"/>
    <w:rsid w:val="009D112C"/>
    <w:rsid w:val="009D250F"/>
    <w:rsid w:val="009D47FA"/>
    <w:rsid w:val="009D4C5B"/>
    <w:rsid w:val="009D50D2"/>
    <w:rsid w:val="009D6BCA"/>
    <w:rsid w:val="009E0F62"/>
    <w:rsid w:val="009E4A58"/>
    <w:rsid w:val="009E5A2D"/>
    <w:rsid w:val="009E5AB2"/>
    <w:rsid w:val="009E6219"/>
    <w:rsid w:val="009F03B3"/>
    <w:rsid w:val="009F254A"/>
    <w:rsid w:val="009F3801"/>
    <w:rsid w:val="00A0096C"/>
    <w:rsid w:val="00A01757"/>
    <w:rsid w:val="00A028C0"/>
    <w:rsid w:val="00A02BAE"/>
    <w:rsid w:val="00A06A6B"/>
    <w:rsid w:val="00A07E47"/>
    <w:rsid w:val="00A10788"/>
    <w:rsid w:val="00A129D0"/>
    <w:rsid w:val="00A12C33"/>
    <w:rsid w:val="00A138BA"/>
    <w:rsid w:val="00A14C8E"/>
    <w:rsid w:val="00A153D9"/>
    <w:rsid w:val="00A15F09"/>
    <w:rsid w:val="00A168BB"/>
    <w:rsid w:val="00A169B6"/>
    <w:rsid w:val="00A2045C"/>
    <w:rsid w:val="00A2271D"/>
    <w:rsid w:val="00A227D1"/>
    <w:rsid w:val="00A237D5"/>
    <w:rsid w:val="00A23A38"/>
    <w:rsid w:val="00A300C5"/>
    <w:rsid w:val="00A30EFC"/>
    <w:rsid w:val="00A31984"/>
    <w:rsid w:val="00A32D73"/>
    <w:rsid w:val="00A3367B"/>
    <w:rsid w:val="00A3597D"/>
    <w:rsid w:val="00A36DD1"/>
    <w:rsid w:val="00A4006C"/>
    <w:rsid w:val="00A40091"/>
    <w:rsid w:val="00A4030F"/>
    <w:rsid w:val="00A41B4C"/>
    <w:rsid w:val="00A41C79"/>
    <w:rsid w:val="00A41CB5"/>
    <w:rsid w:val="00A42CDF"/>
    <w:rsid w:val="00A4452E"/>
    <w:rsid w:val="00A4472C"/>
    <w:rsid w:val="00A44932"/>
    <w:rsid w:val="00A44E69"/>
    <w:rsid w:val="00A4661E"/>
    <w:rsid w:val="00A55BD6"/>
    <w:rsid w:val="00A55D50"/>
    <w:rsid w:val="00A57142"/>
    <w:rsid w:val="00A608BA"/>
    <w:rsid w:val="00A62231"/>
    <w:rsid w:val="00A648CD"/>
    <w:rsid w:val="00A6537A"/>
    <w:rsid w:val="00A662D5"/>
    <w:rsid w:val="00A67866"/>
    <w:rsid w:val="00A70B07"/>
    <w:rsid w:val="00A71F89"/>
    <w:rsid w:val="00A723F8"/>
    <w:rsid w:val="00A7258C"/>
    <w:rsid w:val="00A7315B"/>
    <w:rsid w:val="00A77CCB"/>
    <w:rsid w:val="00A83D8D"/>
    <w:rsid w:val="00A8446B"/>
    <w:rsid w:val="00A8473F"/>
    <w:rsid w:val="00A862D6"/>
    <w:rsid w:val="00A8715E"/>
    <w:rsid w:val="00A9011D"/>
    <w:rsid w:val="00A9295B"/>
    <w:rsid w:val="00A93B09"/>
    <w:rsid w:val="00A94247"/>
    <w:rsid w:val="00A952D7"/>
    <w:rsid w:val="00A963F7"/>
    <w:rsid w:val="00A96AD8"/>
    <w:rsid w:val="00AA052C"/>
    <w:rsid w:val="00AA1E45"/>
    <w:rsid w:val="00AA2A24"/>
    <w:rsid w:val="00AA34C6"/>
    <w:rsid w:val="00AA4286"/>
    <w:rsid w:val="00AA456B"/>
    <w:rsid w:val="00AA57F5"/>
    <w:rsid w:val="00AA672E"/>
    <w:rsid w:val="00AA6EC9"/>
    <w:rsid w:val="00AB0704"/>
    <w:rsid w:val="00AB1AD4"/>
    <w:rsid w:val="00AB41D5"/>
    <w:rsid w:val="00AB6309"/>
    <w:rsid w:val="00AB6C5F"/>
    <w:rsid w:val="00AB7129"/>
    <w:rsid w:val="00AC27A6"/>
    <w:rsid w:val="00AC30F7"/>
    <w:rsid w:val="00AC3A5A"/>
    <w:rsid w:val="00AC4D95"/>
    <w:rsid w:val="00AC4EEB"/>
    <w:rsid w:val="00AC5DF4"/>
    <w:rsid w:val="00AD0AEF"/>
    <w:rsid w:val="00AD11B7"/>
    <w:rsid w:val="00AD1A94"/>
    <w:rsid w:val="00AD1C05"/>
    <w:rsid w:val="00AD213A"/>
    <w:rsid w:val="00AD4126"/>
    <w:rsid w:val="00AD421C"/>
    <w:rsid w:val="00AD4315"/>
    <w:rsid w:val="00AD44FA"/>
    <w:rsid w:val="00AD599B"/>
    <w:rsid w:val="00AE06A5"/>
    <w:rsid w:val="00AE070A"/>
    <w:rsid w:val="00AE101C"/>
    <w:rsid w:val="00AE1DD7"/>
    <w:rsid w:val="00AE29B2"/>
    <w:rsid w:val="00AE37E5"/>
    <w:rsid w:val="00AE3E6A"/>
    <w:rsid w:val="00AE5EB4"/>
    <w:rsid w:val="00AF0C18"/>
    <w:rsid w:val="00AF3D74"/>
    <w:rsid w:val="00AF47C5"/>
    <w:rsid w:val="00AF5398"/>
    <w:rsid w:val="00B049AF"/>
    <w:rsid w:val="00B07242"/>
    <w:rsid w:val="00B10534"/>
    <w:rsid w:val="00B113DB"/>
    <w:rsid w:val="00B11D8A"/>
    <w:rsid w:val="00B12981"/>
    <w:rsid w:val="00B147DD"/>
    <w:rsid w:val="00B156FD"/>
    <w:rsid w:val="00B21F61"/>
    <w:rsid w:val="00B23F1B"/>
    <w:rsid w:val="00B261F1"/>
    <w:rsid w:val="00B265BC"/>
    <w:rsid w:val="00B31FB1"/>
    <w:rsid w:val="00B33952"/>
    <w:rsid w:val="00B33C5E"/>
    <w:rsid w:val="00B342F4"/>
    <w:rsid w:val="00B34369"/>
    <w:rsid w:val="00B34DC2"/>
    <w:rsid w:val="00B378E5"/>
    <w:rsid w:val="00B4346D"/>
    <w:rsid w:val="00B440F4"/>
    <w:rsid w:val="00B447A5"/>
    <w:rsid w:val="00B45A21"/>
    <w:rsid w:val="00B4654C"/>
    <w:rsid w:val="00B46AF0"/>
    <w:rsid w:val="00B46C19"/>
    <w:rsid w:val="00B47293"/>
    <w:rsid w:val="00B50E50"/>
    <w:rsid w:val="00B51A18"/>
    <w:rsid w:val="00B52120"/>
    <w:rsid w:val="00B54ABC"/>
    <w:rsid w:val="00B54DDE"/>
    <w:rsid w:val="00B56FBE"/>
    <w:rsid w:val="00B606B3"/>
    <w:rsid w:val="00B60ACF"/>
    <w:rsid w:val="00B62B58"/>
    <w:rsid w:val="00B65149"/>
    <w:rsid w:val="00B66567"/>
    <w:rsid w:val="00B66F52"/>
    <w:rsid w:val="00B66FE5"/>
    <w:rsid w:val="00B72880"/>
    <w:rsid w:val="00B758BF"/>
    <w:rsid w:val="00B77D77"/>
    <w:rsid w:val="00B77EC8"/>
    <w:rsid w:val="00B827A6"/>
    <w:rsid w:val="00B831CE"/>
    <w:rsid w:val="00B8548A"/>
    <w:rsid w:val="00B86677"/>
    <w:rsid w:val="00B870DA"/>
    <w:rsid w:val="00B87131"/>
    <w:rsid w:val="00B87AB5"/>
    <w:rsid w:val="00B87C43"/>
    <w:rsid w:val="00B91722"/>
    <w:rsid w:val="00B939B1"/>
    <w:rsid w:val="00B96D40"/>
    <w:rsid w:val="00B97386"/>
    <w:rsid w:val="00BA263B"/>
    <w:rsid w:val="00BA42B2"/>
    <w:rsid w:val="00BA58D4"/>
    <w:rsid w:val="00BA5B9E"/>
    <w:rsid w:val="00BA6500"/>
    <w:rsid w:val="00BA7C9A"/>
    <w:rsid w:val="00BB1122"/>
    <w:rsid w:val="00BB203B"/>
    <w:rsid w:val="00BB5F8F"/>
    <w:rsid w:val="00BB657A"/>
    <w:rsid w:val="00BC1A4E"/>
    <w:rsid w:val="00BC45B6"/>
    <w:rsid w:val="00BC4790"/>
    <w:rsid w:val="00BC5DC7"/>
    <w:rsid w:val="00BC6B8B"/>
    <w:rsid w:val="00BC73D8"/>
    <w:rsid w:val="00BC7B3E"/>
    <w:rsid w:val="00BD4B10"/>
    <w:rsid w:val="00BD52D7"/>
    <w:rsid w:val="00BD5AD2"/>
    <w:rsid w:val="00BE22F3"/>
    <w:rsid w:val="00BE5B52"/>
    <w:rsid w:val="00BE6786"/>
    <w:rsid w:val="00BE7B8D"/>
    <w:rsid w:val="00BF0993"/>
    <w:rsid w:val="00BF10A9"/>
    <w:rsid w:val="00BF1703"/>
    <w:rsid w:val="00BF1FF1"/>
    <w:rsid w:val="00BF231C"/>
    <w:rsid w:val="00BF2BC0"/>
    <w:rsid w:val="00BF51E5"/>
    <w:rsid w:val="00BF74A6"/>
    <w:rsid w:val="00C013AD"/>
    <w:rsid w:val="00C04904"/>
    <w:rsid w:val="00C056B3"/>
    <w:rsid w:val="00C103E5"/>
    <w:rsid w:val="00C13319"/>
    <w:rsid w:val="00C13EE9"/>
    <w:rsid w:val="00C21540"/>
    <w:rsid w:val="00C21906"/>
    <w:rsid w:val="00C21BFA"/>
    <w:rsid w:val="00C22148"/>
    <w:rsid w:val="00C2469F"/>
    <w:rsid w:val="00C24C8D"/>
    <w:rsid w:val="00C25FE2"/>
    <w:rsid w:val="00C26B53"/>
    <w:rsid w:val="00C279B2"/>
    <w:rsid w:val="00C31CBB"/>
    <w:rsid w:val="00C33E50"/>
    <w:rsid w:val="00C34C20"/>
    <w:rsid w:val="00C35A3E"/>
    <w:rsid w:val="00C37049"/>
    <w:rsid w:val="00C37EE0"/>
    <w:rsid w:val="00C42130"/>
    <w:rsid w:val="00C423A4"/>
    <w:rsid w:val="00C44BF5"/>
    <w:rsid w:val="00C470BF"/>
    <w:rsid w:val="00C521D6"/>
    <w:rsid w:val="00C55232"/>
    <w:rsid w:val="00C553A4"/>
    <w:rsid w:val="00C55A06"/>
    <w:rsid w:val="00C55D03"/>
    <w:rsid w:val="00C601BC"/>
    <w:rsid w:val="00C60954"/>
    <w:rsid w:val="00C62EAA"/>
    <w:rsid w:val="00C6329F"/>
    <w:rsid w:val="00C63340"/>
    <w:rsid w:val="00C643F9"/>
    <w:rsid w:val="00C64E95"/>
    <w:rsid w:val="00C6519F"/>
    <w:rsid w:val="00C67AD8"/>
    <w:rsid w:val="00C71372"/>
    <w:rsid w:val="00C72410"/>
    <w:rsid w:val="00C7287F"/>
    <w:rsid w:val="00C73C6E"/>
    <w:rsid w:val="00C80982"/>
    <w:rsid w:val="00C80CB8"/>
    <w:rsid w:val="00C819F8"/>
    <w:rsid w:val="00C8248C"/>
    <w:rsid w:val="00C84E33"/>
    <w:rsid w:val="00C85365"/>
    <w:rsid w:val="00C86321"/>
    <w:rsid w:val="00C86D6F"/>
    <w:rsid w:val="00C905FC"/>
    <w:rsid w:val="00C92D03"/>
    <w:rsid w:val="00C9319C"/>
    <w:rsid w:val="00C9435D"/>
    <w:rsid w:val="00C94DF2"/>
    <w:rsid w:val="00C96741"/>
    <w:rsid w:val="00C9772D"/>
    <w:rsid w:val="00CA2D1B"/>
    <w:rsid w:val="00CA30A3"/>
    <w:rsid w:val="00CA375D"/>
    <w:rsid w:val="00CA5915"/>
    <w:rsid w:val="00CA662A"/>
    <w:rsid w:val="00CA7AFD"/>
    <w:rsid w:val="00CA7C3C"/>
    <w:rsid w:val="00CB0189"/>
    <w:rsid w:val="00CB0BA2"/>
    <w:rsid w:val="00CB0D5A"/>
    <w:rsid w:val="00CB1A42"/>
    <w:rsid w:val="00CB1B0C"/>
    <w:rsid w:val="00CB2C0B"/>
    <w:rsid w:val="00CB517D"/>
    <w:rsid w:val="00CB58DA"/>
    <w:rsid w:val="00CC038D"/>
    <w:rsid w:val="00CC08DB"/>
    <w:rsid w:val="00CC39FF"/>
    <w:rsid w:val="00CC3C2F"/>
    <w:rsid w:val="00CC42E2"/>
    <w:rsid w:val="00CC4AC8"/>
    <w:rsid w:val="00CC509E"/>
    <w:rsid w:val="00CC5233"/>
    <w:rsid w:val="00CC5DA0"/>
    <w:rsid w:val="00CC5DE6"/>
    <w:rsid w:val="00CC6D8F"/>
    <w:rsid w:val="00CC6E4E"/>
    <w:rsid w:val="00CC6FE8"/>
    <w:rsid w:val="00CC7202"/>
    <w:rsid w:val="00CD1519"/>
    <w:rsid w:val="00CD2808"/>
    <w:rsid w:val="00CD28BF"/>
    <w:rsid w:val="00CD4092"/>
    <w:rsid w:val="00CD4A20"/>
    <w:rsid w:val="00CD50A1"/>
    <w:rsid w:val="00CD519E"/>
    <w:rsid w:val="00CD561D"/>
    <w:rsid w:val="00CD7F5C"/>
    <w:rsid w:val="00CE0C4F"/>
    <w:rsid w:val="00CE30EA"/>
    <w:rsid w:val="00CE51F3"/>
    <w:rsid w:val="00CF048A"/>
    <w:rsid w:val="00CF155A"/>
    <w:rsid w:val="00CF2947"/>
    <w:rsid w:val="00CF686F"/>
    <w:rsid w:val="00CF6E60"/>
    <w:rsid w:val="00CF7BCA"/>
    <w:rsid w:val="00D008FD"/>
    <w:rsid w:val="00D02732"/>
    <w:rsid w:val="00D0321C"/>
    <w:rsid w:val="00D035EC"/>
    <w:rsid w:val="00D06444"/>
    <w:rsid w:val="00D06AB1"/>
    <w:rsid w:val="00D072ED"/>
    <w:rsid w:val="00D07A16"/>
    <w:rsid w:val="00D10515"/>
    <w:rsid w:val="00D1067E"/>
    <w:rsid w:val="00D10F50"/>
    <w:rsid w:val="00D11272"/>
    <w:rsid w:val="00D126F5"/>
    <w:rsid w:val="00D13843"/>
    <w:rsid w:val="00D1489E"/>
    <w:rsid w:val="00D16137"/>
    <w:rsid w:val="00D20737"/>
    <w:rsid w:val="00D21E81"/>
    <w:rsid w:val="00D223DE"/>
    <w:rsid w:val="00D25E37"/>
    <w:rsid w:val="00D2661A"/>
    <w:rsid w:val="00D27582"/>
    <w:rsid w:val="00D27EC4"/>
    <w:rsid w:val="00D32719"/>
    <w:rsid w:val="00D33333"/>
    <w:rsid w:val="00D33457"/>
    <w:rsid w:val="00D352A2"/>
    <w:rsid w:val="00D3660F"/>
    <w:rsid w:val="00D4162B"/>
    <w:rsid w:val="00D43A4C"/>
    <w:rsid w:val="00D4514F"/>
    <w:rsid w:val="00D451E2"/>
    <w:rsid w:val="00D45E89"/>
    <w:rsid w:val="00D45E8D"/>
    <w:rsid w:val="00D466AE"/>
    <w:rsid w:val="00D4734F"/>
    <w:rsid w:val="00D47B1A"/>
    <w:rsid w:val="00D51BF3"/>
    <w:rsid w:val="00D56330"/>
    <w:rsid w:val="00D66846"/>
    <w:rsid w:val="00D675FB"/>
    <w:rsid w:val="00D71F25"/>
    <w:rsid w:val="00D72A9C"/>
    <w:rsid w:val="00D77031"/>
    <w:rsid w:val="00D834DF"/>
    <w:rsid w:val="00D84941"/>
    <w:rsid w:val="00D84FA1"/>
    <w:rsid w:val="00D851F0"/>
    <w:rsid w:val="00D85C6F"/>
    <w:rsid w:val="00D86DB7"/>
    <w:rsid w:val="00D90D6B"/>
    <w:rsid w:val="00D90EF0"/>
    <w:rsid w:val="00D91F27"/>
    <w:rsid w:val="00D926D0"/>
    <w:rsid w:val="00D93030"/>
    <w:rsid w:val="00D950E1"/>
    <w:rsid w:val="00D952A6"/>
    <w:rsid w:val="00D97F99"/>
    <w:rsid w:val="00DA1E08"/>
    <w:rsid w:val="00DA24F8"/>
    <w:rsid w:val="00DA28E8"/>
    <w:rsid w:val="00DA38D3"/>
    <w:rsid w:val="00DA3932"/>
    <w:rsid w:val="00DA3AFC"/>
    <w:rsid w:val="00DA4C16"/>
    <w:rsid w:val="00DA5191"/>
    <w:rsid w:val="00DA64F8"/>
    <w:rsid w:val="00DA6C15"/>
    <w:rsid w:val="00DB0258"/>
    <w:rsid w:val="00DB38EE"/>
    <w:rsid w:val="00DB395A"/>
    <w:rsid w:val="00DB498B"/>
    <w:rsid w:val="00DB49AF"/>
    <w:rsid w:val="00DB66CA"/>
    <w:rsid w:val="00DB6BCA"/>
    <w:rsid w:val="00DB73F7"/>
    <w:rsid w:val="00DC0321"/>
    <w:rsid w:val="00DC07C4"/>
    <w:rsid w:val="00DC0F32"/>
    <w:rsid w:val="00DC3067"/>
    <w:rsid w:val="00DC370B"/>
    <w:rsid w:val="00DC5B90"/>
    <w:rsid w:val="00DC71AB"/>
    <w:rsid w:val="00DC7B9E"/>
    <w:rsid w:val="00DD00FF"/>
    <w:rsid w:val="00DD0619"/>
    <w:rsid w:val="00DD07FB"/>
    <w:rsid w:val="00DD25C6"/>
    <w:rsid w:val="00DD3B57"/>
    <w:rsid w:val="00DD4FE5"/>
    <w:rsid w:val="00DD54B0"/>
    <w:rsid w:val="00DD57EE"/>
    <w:rsid w:val="00DD6BCC"/>
    <w:rsid w:val="00DE0A4B"/>
    <w:rsid w:val="00DE2410"/>
    <w:rsid w:val="00DE2939"/>
    <w:rsid w:val="00DE34F1"/>
    <w:rsid w:val="00DE54D9"/>
    <w:rsid w:val="00DE66A9"/>
    <w:rsid w:val="00DE6E81"/>
    <w:rsid w:val="00DE703F"/>
    <w:rsid w:val="00DE7595"/>
    <w:rsid w:val="00DE75CC"/>
    <w:rsid w:val="00DF1961"/>
    <w:rsid w:val="00DF44DE"/>
    <w:rsid w:val="00DF5F11"/>
    <w:rsid w:val="00E01138"/>
    <w:rsid w:val="00E02750"/>
    <w:rsid w:val="00E02DFB"/>
    <w:rsid w:val="00E030F9"/>
    <w:rsid w:val="00E0311A"/>
    <w:rsid w:val="00E03138"/>
    <w:rsid w:val="00E06404"/>
    <w:rsid w:val="00E065D2"/>
    <w:rsid w:val="00E11A85"/>
    <w:rsid w:val="00E12495"/>
    <w:rsid w:val="00E15CCD"/>
    <w:rsid w:val="00E202EF"/>
    <w:rsid w:val="00E210B5"/>
    <w:rsid w:val="00E23D99"/>
    <w:rsid w:val="00E2552F"/>
    <w:rsid w:val="00E26198"/>
    <w:rsid w:val="00E279F9"/>
    <w:rsid w:val="00E30B5C"/>
    <w:rsid w:val="00E3137A"/>
    <w:rsid w:val="00E32CCF"/>
    <w:rsid w:val="00E33290"/>
    <w:rsid w:val="00E336FD"/>
    <w:rsid w:val="00E34A98"/>
    <w:rsid w:val="00E35D1E"/>
    <w:rsid w:val="00E35FD1"/>
    <w:rsid w:val="00E364F9"/>
    <w:rsid w:val="00E365FA"/>
    <w:rsid w:val="00E36789"/>
    <w:rsid w:val="00E44A83"/>
    <w:rsid w:val="00E502C1"/>
    <w:rsid w:val="00E502DD"/>
    <w:rsid w:val="00E50D3A"/>
    <w:rsid w:val="00E51387"/>
    <w:rsid w:val="00E51E68"/>
    <w:rsid w:val="00E52EFD"/>
    <w:rsid w:val="00E53264"/>
    <w:rsid w:val="00E5408A"/>
    <w:rsid w:val="00E56800"/>
    <w:rsid w:val="00E60C63"/>
    <w:rsid w:val="00E62226"/>
    <w:rsid w:val="00E62FF9"/>
    <w:rsid w:val="00E635D6"/>
    <w:rsid w:val="00E639BC"/>
    <w:rsid w:val="00E664CC"/>
    <w:rsid w:val="00E70388"/>
    <w:rsid w:val="00E706EF"/>
    <w:rsid w:val="00E70F92"/>
    <w:rsid w:val="00E74C54"/>
    <w:rsid w:val="00E75B61"/>
    <w:rsid w:val="00E77A03"/>
    <w:rsid w:val="00E822E8"/>
    <w:rsid w:val="00E82554"/>
    <w:rsid w:val="00E82606"/>
    <w:rsid w:val="00E846C8"/>
    <w:rsid w:val="00E84957"/>
    <w:rsid w:val="00E84A55"/>
    <w:rsid w:val="00E85BFF"/>
    <w:rsid w:val="00E90391"/>
    <w:rsid w:val="00E906C2"/>
    <w:rsid w:val="00E90C58"/>
    <w:rsid w:val="00E9311F"/>
    <w:rsid w:val="00E934D1"/>
    <w:rsid w:val="00E94AF0"/>
    <w:rsid w:val="00E955FE"/>
    <w:rsid w:val="00E95D13"/>
    <w:rsid w:val="00E95DD3"/>
    <w:rsid w:val="00E969D5"/>
    <w:rsid w:val="00EA08A0"/>
    <w:rsid w:val="00EA58D1"/>
    <w:rsid w:val="00EA61BC"/>
    <w:rsid w:val="00EA681A"/>
    <w:rsid w:val="00EA735B"/>
    <w:rsid w:val="00EB17DE"/>
    <w:rsid w:val="00EB1E69"/>
    <w:rsid w:val="00EB2086"/>
    <w:rsid w:val="00EB5EDF"/>
    <w:rsid w:val="00EB60FE"/>
    <w:rsid w:val="00EB63DF"/>
    <w:rsid w:val="00EB74DB"/>
    <w:rsid w:val="00EC379F"/>
    <w:rsid w:val="00EC5359"/>
    <w:rsid w:val="00EC562A"/>
    <w:rsid w:val="00ED067A"/>
    <w:rsid w:val="00ED208E"/>
    <w:rsid w:val="00ED2B50"/>
    <w:rsid w:val="00ED2FDE"/>
    <w:rsid w:val="00ED3713"/>
    <w:rsid w:val="00ED3C1A"/>
    <w:rsid w:val="00EE0350"/>
    <w:rsid w:val="00EE0719"/>
    <w:rsid w:val="00EE0E80"/>
    <w:rsid w:val="00EE18A1"/>
    <w:rsid w:val="00EE54A6"/>
    <w:rsid w:val="00EE613F"/>
    <w:rsid w:val="00EE6414"/>
    <w:rsid w:val="00EE7295"/>
    <w:rsid w:val="00EE7869"/>
    <w:rsid w:val="00EF054A"/>
    <w:rsid w:val="00EF0E97"/>
    <w:rsid w:val="00EF28E6"/>
    <w:rsid w:val="00EF3235"/>
    <w:rsid w:val="00EF4BF7"/>
    <w:rsid w:val="00EF7E72"/>
    <w:rsid w:val="00F016F1"/>
    <w:rsid w:val="00F046CD"/>
    <w:rsid w:val="00F06D37"/>
    <w:rsid w:val="00F07B9D"/>
    <w:rsid w:val="00F11586"/>
    <w:rsid w:val="00F1183B"/>
    <w:rsid w:val="00F11C9F"/>
    <w:rsid w:val="00F12263"/>
    <w:rsid w:val="00F13F2A"/>
    <w:rsid w:val="00F1409D"/>
    <w:rsid w:val="00F14214"/>
    <w:rsid w:val="00F157A9"/>
    <w:rsid w:val="00F2377D"/>
    <w:rsid w:val="00F25BB6"/>
    <w:rsid w:val="00F261E0"/>
    <w:rsid w:val="00F26B7E"/>
    <w:rsid w:val="00F27A3B"/>
    <w:rsid w:val="00F33817"/>
    <w:rsid w:val="00F3578C"/>
    <w:rsid w:val="00F37759"/>
    <w:rsid w:val="00F420D5"/>
    <w:rsid w:val="00F423E5"/>
    <w:rsid w:val="00F451EA"/>
    <w:rsid w:val="00F45447"/>
    <w:rsid w:val="00F456C6"/>
    <w:rsid w:val="00F4577B"/>
    <w:rsid w:val="00F46496"/>
    <w:rsid w:val="00F474D0"/>
    <w:rsid w:val="00F50179"/>
    <w:rsid w:val="00F50CAF"/>
    <w:rsid w:val="00F515EE"/>
    <w:rsid w:val="00F56511"/>
    <w:rsid w:val="00F6194E"/>
    <w:rsid w:val="00F623AC"/>
    <w:rsid w:val="00F6412A"/>
    <w:rsid w:val="00F65893"/>
    <w:rsid w:val="00F66915"/>
    <w:rsid w:val="00F66A4A"/>
    <w:rsid w:val="00F71E22"/>
    <w:rsid w:val="00F72142"/>
    <w:rsid w:val="00F72AE7"/>
    <w:rsid w:val="00F81141"/>
    <w:rsid w:val="00F833BA"/>
    <w:rsid w:val="00F84FD0"/>
    <w:rsid w:val="00F859A8"/>
    <w:rsid w:val="00F86D87"/>
    <w:rsid w:val="00F9108B"/>
    <w:rsid w:val="00F91349"/>
    <w:rsid w:val="00F919E7"/>
    <w:rsid w:val="00F93A8A"/>
    <w:rsid w:val="00F95248"/>
    <w:rsid w:val="00F956A9"/>
    <w:rsid w:val="00F9626C"/>
    <w:rsid w:val="00F963ED"/>
    <w:rsid w:val="00F966CF"/>
    <w:rsid w:val="00F96CAE"/>
    <w:rsid w:val="00F97C99"/>
    <w:rsid w:val="00FA159C"/>
    <w:rsid w:val="00FA4DAC"/>
    <w:rsid w:val="00FA662D"/>
    <w:rsid w:val="00FA73B1"/>
    <w:rsid w:val="00FB0660"/>
    <w:rsid w:val="00FB0CB9"/>
    <w:rsid w:val="00FB231D"/>
    <w:rsid w:val="00FB45F1"/>
    <w:rsid w:val="00FB4A72"/>
    <w:rsid w:val="00FB503E"/>
    <w:rsid w:val="00FB54E8"/>
    <w:rsid w:val="00FB7054"/>
    <w:rsid w:val="00FC17B7"/>
    <w:rsid w:val="00FC2CB7"/>
    <w:rsid w:val="00FC4090"/>
    <w:rsid w:val="00FC55B4"/>
    <w:rsid w:val="00FD00E6"/>
    <w:rsid w:val="00FD09A1"/>
    <w:rsid w:val="00FD26DB"/>
    <w:rsid w:val="00FD2A7C"/>
    <w:rsid w:val="00FD59EB"/>
    <w:rsid w:val="00FD7299"/>
    <w:rsid w:val="00FE1FBE"/>
    <w:rsid w:val="00FE2341"/>
    <w:rsid w:val="00FE3901"/>
    <w:rsid w:val="00FE39D3"/>
    <w:rsid w:val="00FE4BCE"/>
    <w:rsid w:val="00FE54AE"/>
    <w:rsid w:val="00FE576A"/>
    <w:rsid w:val="00FE7E79"/>
    <w:rsid w:val="00FF2998"/>
    <w:rsid w:val="00FF3ABA"/>
    <w:rsid w:val="00FF3E7D"/>
    <w:rsid w:val="00FF4591"/>
    <w:rsid w:val="00FF5B99"/>
    <w:rsid w:val="00FF730C"/>
    <w:rsid w:val="00FF73F4"/>
    <w:rsid w:val="00FF7CE4"/>
    <w:rsid w:val="00FF7E39"/>
    <w:rsid w:val="363F8A8E"/>
    <w:rsid w:val="4FED67ED"/>
    <w:rsid w:val="65FFE00D"/>
    <w:rsid w:val="6EEDDC16"/>
    <w:rsid w:val="7D7B82ED"/>
    <w:rsid w:val="B4AFEE04"/>
    <w:rsid w:val="BB3700AF"/>
    <w:rsid w:val="DD7D90A0"/>
    <w:rsid w:val="E5CC8DD6"/>
    <w:rsid w:val="F7BAF229"/>
    <w:rsid w:val="F7FE1177"/>
    <w:rsid w:val="FBB9DF81"/>
    <w:rsid w:val="FBD1821F"/>
    <w:rsid w:val="FBDF9C58"/>
    <w:rsid w:val="FEDE23C7"/>
    <w:rsid w:val="FF43ED4D"/>
    <w:rsid w:val="FF5740BB"/>
    <w:rsid w:val="FFBF8E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Plain Text"/>
    <w:basedOn w:val="1"/>
    <w:link w:val="241"/>
    <w:unhideWhenUsed/>
    <w:qFormat/>
    <w:uiPriority w:val="99"/>
    <w:pPr>
      <w:adjustRightInd/>
      <w:spacing w:line="240" w:lineRule="auto"/>
    </w:pPr>
    <w:rPr>
      <w:rFonts w:ascii="宋体" w:hAnsi="Courier New"/>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6"/>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ind w:left="3827"/>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ind w:left="0"/>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ind w:left="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vAnchor="page" w:hAnchor="page" w:x="1419" w:y="14097"/>
    </w:pPr>
  </w:style>
  <w:style w:type="paragraph" w:customStyle="1" w:styleId="198">
    <w:name w:val="其他实施日期"/>
    <w:basedOn w:val="158"/>
    <w:qFormat/>
    <w:uiPriority w:val="0"/>
    <w:pPr>
      <w:framePr w:w="3997" w:h="471" w:hRule="exact" w:vSpace="181"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修订1"/>
    <w:hidden/>
    <w:semiHidden/>
    <w:qFormat/>
    <w:uiPriority w:val="99"/>
    <w:rPr>
      <w:rFonts w:ascii="Calibri" w:hAnsi="Calibri" w:eastAsia="宋体" w:cs="Times New Roman"/>
      <w:kern w:val="2"/>
      <w:sz w:val="21"/>
      <w:szCs w:val="21"/>
      <w:lang w:val="en-US" w:eastAsia="zh-CN" w:bidi="ar-SA"/>
    </w:rPr>
  </w:style>
  <w:style w:type="character" w:customStyle="1" w:styleId="235">
    <w:name w:val="批注文字 字符"/>
    <w:basedOn w:val="31"/>
    <w:link w:val="13"/>
    <w:semiHidden/>
    <w:qFormat/>
    <w:uiPriority w:val="99"/>
    <w:rPr>
      <w:kern w:val="2"/>
      <w:sz w:val="21"/>
      <w:szCs w:val="21"/>
    </w:rPr>
  </w:style>
  <w:style w:type="character" w:customStyle="1" w:styleId="236">
    <w:name w:val="批注主题 字符"/>
    <w:basedOn w:val="235"/>
    <w:link w:val="28"/>
    <w:semiHidden/>
    <w:qFormat/>
    <w:uiPriority w:val="99"/>
    <w:rPr>
      <w:b/>
      <w:bCs/>
      <w:kern w:val="2"/>
      <w:sz w:val="21"/>
      <w:szCs w:val="21"/>
    </w:rPr>
  </w:style>
  <w:style w:type="table" w:customStyle="1" w:styleId="237">
    <w:name w:val="网格型1"/>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8">
    <w:name w:val="修订2"/>
    <w:hidden/>
    <w:semiHidden/>
    <w:qFormat/>
    <w:uiPriority w:val="99"/>
    <w:rPr>
      <w:rFonts w:ascii="Calibri" w:hAnsi="Calibri" w:eastAsia="宋体" w:cs="Times New Roman"/>
      <w:kern w:val="2"/>
      <w:sz w:val="21"/>
      <w:szCs w:val="21"/>
      <w:lang w:val="en-US" w:eastAsia="zh-CN" w:bidi="ar-SA"/>
    </w:rPr>
  </w:style>
  <w:style w:type="paragraph" w:customStyle="1" w:styleId="239">
    <w:name w:val="修订3"/>
    <w:hidden/>
    <w:semiHidden/>
    <w:qFormat/>
    <w:uiPriority w:val="99"/>
    <w:rPr>
      <w:rFonts w:ascii="Calibri" w:hAnsi="Calibri" w:eastAsia="宋体" w:cs="Times New Roman"/>
      <w:kern w:val="2"/>
      <w:sz w:val="21"/>
      <w:szCs w:val="21"/>
      <w:lang w:val="en-US" w:eastAsia="zh-CN" w:bidi="ar-SA"/>
    </w:rPr>
  </w:style>
  <w:style w:type="paragraph" w:customStyle="1" w:styleId="240">
    <w:name w:val="修订4"/>
    <w:hidden/>
    <w:unhideWhenUsed/>
    <w:qFormat/>
    <w:uiPriority w:val="99"/>
    <w:rPr>
      <w:rFonts w:ascii="Calibri" w:hAnsi="Calibri" w:eastAsia="宋体" w:cs="Times New Roman"/>
      <w:kern w:val="2"/>
      <w:sz w:val="21"/>
      <w:szCs w:val="21"/>
      <w:lang w:val="en-US" w:eastAsia="zh-CN" w:bidi="ar-SA"/>
    </w:rPr>
  </w:style>
  <w:style w:type="character" w:customStyle="1" w:styleId="241">
    <w:name w:val="纯文本 字符"/>
    <w:basedOn w:val="31"/>
    <w:link w:val="17"/>
    <w:qFormat/>
    <w:uiPriority w:val="99"/>
    <w:rPr>
      <w:rFonts w:ascii="宋体" w:hAnsi="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08CBFEE6794D22ACD7B4DF80777991"/>
        <w:style w:val=""/>
        <w:category>
          <w:name w:val="常规"/>
          <w:gallery w:val="placeholder"/>
        </w:category>
        <w:types>
          <w:type w:val="bbPlcHdr"/>
        </w:types>
        <w:behaviors>
          <w:behavior w:val="content"/>
        </w:behaviors>
        <w:description w:val=""/>
        <w:guid w:val="{85C718E2-1DDE-40C0-9EEB-4A496372B73C}"/>
      </w:docPartPr>
      <w:docPartBody>
        <w:p>
          <w:pPr>
            <w:pStyle w:val="5"/>
          </w:pPr>
          <w:r>
            <w:rPr>
              <w:rStyle w:val="4"/>
              <w:rFonts w:hint="eastAsia"/>
            </w:rPr>
            <w:t>单击或点击此处输入文字。</w:t>
          </w:r>
        </w:p>
      </w:docPartBody>
    </w:docPart>
    <w:docPart>
      <w:docPartPr>
        <w:name w:val="59D409E1955C4CEC84C93ED08494BE8A"/>
        <w:style w:val=""/>
        <w:category>
          <w:name w:val="常规"/>
          <w:gallery w:val="placeholder"/>
        </w:category>
        <w:types>
          <w:type w:val="bbPlcHdr"/>
        </w:types>
        <w:behaviors>
          <w:behavior w:val="content"/>
        </w:behaviors>
        <w:description w:val=""/>
        <w:guid w:val="{507BAFD5-982B-4CEC-A159-92F66B5402F4}"/>
      </w:docPartPr>
      <w:docPartBody>
        <w:p>
          <w:pPr>
            <w:pStyle w:val="6"/>
          </w:pPr>
          <w:r>
            <w:rPr>
              <w:rStyle w:val="4"/>
              <w:rFonts w:hint="eastAsia"/>
            </w:rPr>
            <w:t>选择一项。</w:t>
          </w:r>
        </w:p>
      </w:docPartBody>
    </w:docPart>
    <w:docPart>
      <w:docPartPr>
        <w:name w:val="6F449DF8F0E64827BFA8535B274266D1"/>
        <w:style w:val=""/>
        <w:category>
          <w:name w:val="常规"/>
          <w:gallery w:val="placeholder"/>
        </w:category>
        <w:types>
          <w:type w:val="bbPlcHdr"/>
        </w:types>
        <w:behaviors>
          <w:behavior w:val="content"/>
        </w:behaviors>
        <w:description w:val=""/>
        <w:guid w:val="{3F75F5D2-37D6-4C1F-9C7C-0A1CE27AF87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0000000000000000000"/>
    <w:charset w:val="00"/>
    <w:family w:val="auto"/>
    <w:pitch w:val="default"/>
    <w:sig w:usb0="00000000" w:usb1="00000000" w:usb2="00000000" w:usb3="00000000" w:csb0="00000000"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8EC"/>
    <w:rsid w:val="00062641"/>
    <w:rsid w:val="00074F3F"/>
    <w:rsid w:val="000B10FD"/>
    <w:rsid w:val="001C51EF"/>
    <w:rsid w:val="00282A6D"/>
    <w:rsid w:val="002D1280"/>
    <w:rsid w:val="002F3E4F"/>
    <w:rsid w:val="00326796"/>
    <w:rsid w:val="00351565"/>
    <w:rsid w:val="003579AA"/>
    <w:rsid w:val="003763C3"/>
    <w:rsid w:val="00382658"/>
    <w:rsid w:val="00394DEB"/>
    <w:rsid w:val="003F3EF7"/>
    <w:rsid w:val="0042729C"/>
    <w:rsid w:val="00501A73"/>
    <w:rsid w:val="00536179"/>
    <w:rsid w:val="005628A0"/>
    <w:rsid w:val="0057111B"/>
    <w:rsid w:val="005E2D46"/>
    <w:rsid w:val="005F38D7"/>
    <w:rsid w:val="006A1FDF"/>
    <w:rsid w:val="007368EC"/>
    <w:rsid w:val="00753551"/>
    <w:rsid w:val="00802825"/>
    <w:rsid w:val="00811F45"/>
    <w:rsid w:val="00863A8F"/>
    <w:rsid w:val="008B5FD6"/>
    <w:rsid w:val="00941175"/>
    <w:rsid w:val="00985B74"/>
    <w:rsid w:val="00A0300A"/>
    <w:rsid w:val="00A51EEC"/>
    <w:rsid w:val="00B306B6"/>
    <w:rsid w:val="00B34CEC"/>
    <w:rsid w:val="00B65252"/>
    <w:rsid w:val="00BF7ACF"/>
    <w:rsid w:val="00C262FB"/>
    <w:rsid w:val="00C32A0D"/>
    <w:rsid w:val="00CF7E90"/>
    <w:rsid w:val="00D221A4"/>
    <w:rsid w:val="00D4546E"/>
    <w:rsid w:val="00D463CC"/>
    <w:rsid w:val="00D94961"/>
    <w:rsid w:val="00DC140C"/>
    <w:rsid w:val="00E52789"/>
    <w:rsid w:val="00E82482"/>
    <w:rsid w:val="00F700D5"/>
    <w:rsid w:val="00FE03EE"/>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308CBFEE6794D22ACD7B4DF807779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9D409E1955C4CEC84C93ED08494BE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F449DF8F0E64827BFA8535B274266D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14</Pages>
  <Words>1106</Words>
  <Characters>6305</Characters>
  <Lines>52</Lines>
  <Paragraphs>14</Paragraphs>
  <TotalTime>4</TotalTime>
  <ScaleCrop>false</ScaleCrop>
  <LinksUpToDate>false</LinksUpToDate>
  <CharactersWithSpaces>7397</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2024-08-27T12:04:00Z</dcterms:created>
  <dc:creator>windows user</dc:creator>
  <cp:lastModifiedBy>scjgj</cp:lastModifiedBy>
  <cp:lastPrinted>2024-08-17T07:12:00Z</cp:lastPrinted>
  <dcterms:modified xsi:type="dcterms:W3CDTF">2024-09-27T16:43:39Z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2052-11.8.2.10386</vt:lpwstr>
  </property>
</Properties>
</file>