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F642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DED2D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C4B4A0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2EFA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B28C0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FB236D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C8787C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FAC3559">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6201</w:t>
            </w:r>
            <w:r>
              <w:fldChar w:fldCharType="end"/>
            </w:r>
            <w:bookmarkEnd w:id="3"/>
          </w:p>
        </w:tc>
      </w:tr>
    </w:tbl>
    <w:p w14:paraId="36718FAD">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DA1AF4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6201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7ECDD895">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9FAC943">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07D000">
      <w:pPr>
        <w:pStyle w:val="50"/>
        <w:framePr w:w="9639" w:h="6976" w:hRule="exact" w:hSpace="0" w:vSpace="0" w:wrap="around" w:hAnchor="page" w:y="6408"/>
        <w:jc w:val="center"/>
        <w:rPr>
          <w:rFonts w:hint="eastAsia" w:ascii="黑体" w:hAnsi="黑体" w:eastAsia="黑体"/>
          <w:b w:val="0"/>
          <w:bCs w:val="0"/>
          <w:w w:val="100"/>
        </w:rPr>
      </w:pPr>
    </w:p>
    <w:p w14:paraId="77C386D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预包装兰州牛肉拉面包装技术</w:t>
      </w:r>
      <w:r>
        <w:fldChar w:fldCharType="end"/>
      </w:r>
      <w:bookmarkEnd w:id="9"/>
    </w:p>
    <w:p w14:paraId="23189CBB">
      <w:pPr>
        <w:framePr w:w="9639" w:h="6974" w:hRule="exact" w:wrap="around" w:vAnchor="page" w:hAnchor="page" w:x="1419" w:y="6408" w:anchorLock="1"/>
        <w:ind w:left="-1418"/>
      </w:pPr>
    </w:p>
    <w:p w14:paraId="02417573">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Packaging technology of prepackaged Lanzhou beef noodles</w:t>
      </w:r>
      <w:r>
        <w:rPr>
          <w:rFonts w:ascii="黑体" w:hAnsi="黑体" w:eastAsia="黑体"/>
          <w:szCs w:val="28"/>
        </w:rPr>
        <w:fldChar w:fldCharType="end"/>
      </w:r>
      <w:bookmarkEnd w:id="10"/>
    </w:p>
    <w:p w14:paraId="24436325">
      <w:pPr>
        <w:framePr w:w="9639" w:h="6974" w:hRule="exact" w:wrap="around" w:vAnchor="page" w:hAnchor="page" w:x="1419" w:y="6408" w:anchorLock="1"/>
        <w:spacing w:line="760" w:lineRule="exact"/>
        <w:ind w:left="-1418"/>
      </w:pPr>
    </w:p>
    <w:p w14:paraId="483F35EB">
      <w:pPr>
        <w:pStyle w:val="125"/>
        <w:framePr w:w="9639" w:h="6974" w:hRule="exact" w:wrap="around" w:vAnchor="page" w:hAnchor="page" w:x="1419" w:y="6408" w:anchorLock="1"/>
        <w:textAlignment w:val="bottom"/>
        <w:rPr>
          <w:rFonts w:eastAsia="黑体"/>
          <w:szCs w:val="28"/>
        </w:rPr>
      </w:pPr>
    </w:p>
    <w:p w14:paraId="3C04610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F0BD9B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4AADD9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A050EC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F15B9D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F877879">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兰州市市场监督管理局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382712A">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AC9549C">
      <w:pPr>
        <w:pStyle w:val="89"/>
        <w:spacing w:before="900" w:after="468"/>
      </w:pPr>
      <w:bookmarkStart w:id="21" w:name="BookMark2"/>
      <w:r>
        <w:rPr>
          <w:rFonts w:hint="eastAsia"/>
          <w:spacing w:val="320"/>
        </w:rPr>
        <w:t>前</w:t>
      </w:r>
      <w:r>
        <w:rPr>
          <w:rFonts w:hint="eastAsia"/>
        </w:rPr>
        <w:t>言</w:t>
      </w:r>
    </w:p>
    <w:p w14:paraId="48BFC481">
      <w:pPr>
        <w:pStyle w:val="56"/>
        <w:ind w:firstLine="420"/>
      </w:pPr>
      <w:r>
        <w:rPr>
          <w:rFonts w:hint="eastAsia"/>
        </w:rPr>
        <w:t>本文件按照GB/T 1.1—2020《标准化工作导则  第1部分：标准化文件的结构和起草规则》的规定起草。</w:t>
      </w:r>
    </w:p>
    <w:p w14:paraId="7FE26EFD">
      <w:pPr>
        <w:pStyle w:val="56"/>
        <w:ind w:firstLine="420"/>
      </w:pPr>
      <w:r>
        <w:rPr>
          <w:rFonts w:hint="eastAsia"/>
        </w:rPr>
        <w:t>请注意本文件的某些内容可能涉及专利。本文件的发布机构不承担识别专利的责任。</w:t>
      </w:r>
    </w:p>
    <w:p w14:paraId="2CC8CFDB">
      <w:pPr>
        <w:pStyle w:val="56"/>
        <w:ind w:firstLine="420"/>
      </w:pPr>
      <w:r>
        <w:rPr>
          <w:rFonts w:hint="eastAsia"/>
        </w:rPr>
        <w:t>本文件由兰州市工业和信息化局提出、归口并宣贯。</w:t>
      </w:r>
    </w:p>
    <w:p w14:paraId="2EDAC66C">
      <w:pPr>
        <w:pStyle w:val="56"/>
        <w:ind w:firstLine="420"/>
      </w:pPr>
      <w:r>
        <w:rPr>
          <w:rFonts w:hint="eastAsia"/>
        </w:rPr>
        <w:t>本文件起草单位：甘肃陇萃堂营养保健食品股份有限公司、兰州嘻烧食品科技有限公司、兰州金城虎拉面有限公司、兰州向阳食品有限公司、兰州科盛食品有限公司、兰州理工大学、兰州市牛肉拉面预包装产业发展协会、兰州牛肉拉面行业协会、兰州市标准化研究所。</w:t>
      </w:r>
    </w:p>
    <w:p w14:paraId="19FAEA1D">
      <w:pPr>
        <w:pStyle w:val="56"/>
        <w:ind w:firstLine="420"/>
      </w:pPr>
      <w:r>
        <w:rPr>
          <w:rFonts w:hint="eastAsia"/>
        </w:rPr>
        <w:t>本文件主要起草人：姜交龙、施海生</w:t>
      </w:r>
      <w:r>
        <w:rPr>
          <w:rFonts w:hint="eastAsia"/>
          <w:lang w:eastAsia="zh-CN"/>
        </w:rPr>
        <w:t>、</w:t>
      </w:r>
      <w:bookmarkStart w:id="46" w:name="_GoBack"/>
      <w:bookmarkEnd w:id="46"/>
      <w:r>
        <w:rPr>
          <w:rFonts w:hint="eastAsia"/>
        </w:rPr>
        <w:t>杨文英、郑展霞、蔡菊香、李雪华、刘金全、王小伟、魏孔炯、张成文、刘晓风、张百刚、王永刚、任海伟、赵小龙。</w:t>
      </w:r>
    </w:p>
    <w:p w14:paraId="0D9C07BC">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4E102B5">
      <w:pPr>
        <w:spacing w:line="20" w:lineRule="exact"/>
        <w:jc w:val="center"/>
        <w:rPr>
          <w:rFonts w:hint="eastAsia" w:ascii="黑体" w:hAnsi="黑体" w:eastAsia="黑体"/>
          <w:sz w:val="32"/>
          <w:szCs w:val="32"/>
        </w:rPr>
      </w:pPr>
      <w:bookmarkStart w:id="22" w:name="BookMark4"/>
    </w:p>
    <w:p w14:paraId="3731B3E5">
      <w:pPr>
        <w:spacing w:line="20" w:lineRule="exact"/>
        <w:jc w:val="center"/>
        <w:rPr>
          <w:rFonts w:hint="eastAsia" w:ascii="黑体" w:hAnsi="黑体" w:eastAsia="黑体"/>
          <w:sz w:val="32"/>
          <w:szCs w:val="32"/>
        </w:rPr>
      </w:pPr>
    </w:p>
    <w:sdt>
      <w:sdtPr>
        <w:tag w:val="NEW_STAND_NAME"/>
        <w:id w:val="595910757"/>
        <w:lock w:val="sdtLocked"/>
        <w:placeholder>
          <w:docPart w:val="2394F9C4105143C19439398D2C8FA5A1"/>
        </w:placeholder>
      </w:sdtPr>
      <w:sdtContent>
        <w:p w14:paraId="08CF1F61">
          <w:pPr>
            <w:pStyle w:val="177"/>
            <w:spacing w:before="3" w:beforeLines="1" w:after="686" w:afterLines="220"/>
            <w:rPr>
              <w:rFonts w:hint="eastAsia"/>
            </w:rPr>
          </w:pPr>
          <w:bookmarkStart w:id="23" w:name="NEW_STAND_NAME"/>
          <w:r>
            <w:rPr>
              <w:rFonts w:hint="eastAsia"/>
            </w:rPr>
            <w:t>预包装兰州牛肉拉面包装技术</w:t>
          </w:r>
        </w:p>
      </w:sdtContent>
    </w:sdt>
    <w:bookmarkEnd w:id="23"/>
    <w:p w14:paraId="0CF36EC9">
      <w:pPr>
        <w:pStyle w:val="104"/>
        <w:spacing w:before="312" w:after="312"/>
      </w:pPr>
      <w:bookmarkStart w:id="24" w:name="_Toc26718930"/>
      <w:bookmarkStart w:id="25" w:name="_Toc24884211"/>
      <w:bookmarkStart w:id="26" w:name="_Toc26648465"/>
      <w:bookmarkStart w:id="27" w:name="_Toc17233333"/>
      <w:bookmarkStart w:id="28" w:name="_Toc24884218"/>
      <w:bookmarkStart w:id="29" w:name="_Toc26986530"/>
      <w:bookmarkStart w:id="30" w:name="_Toc97191423"/>
      <w:bookmarkStart w:id="31" w:name="_Toc17233325"/>
      <w:bookmarkStart w:id="32" w:name="_Toc26986771"/>
      <w:r>
        <w:rPr>
          <w:rFonts w:hint="eastAsia"/>
        </w:rPr>
        <w:t>范围</w:t>
      </w:r>
      <w:bookmarkEnd w:id="24"/>
      <w:bookmarkEnd w:id="25"/>
      <w:bookmarkEnd w:id="26"/>
      <w:bookmarkEnd w:id="27"/>
      <w:bookmarkEnd w:id="28"/>
      <w:bookmarkEnd w:id="29"/>
      <w:bookmarkEnd w:id="30"/>
      <w:bookmarkEnd w:id="31"/>
      <w:bookmarkEnd w:id="32"/>
    </w:p>
    <w:p w14:paraId="71EDBE61">
      <w:pPr>
        <w:pStyle w:val="56"/>
        <w:ind w:firstLine="420"/>
      </w:pPr>
      <w:bookmarkStart w:id="33" w:name="_Toc24884212"/>
      <w:bookmarkStart w:id="34" w:name="_Toc26648466"/>
      <w:bookmarkStart w:id="35" w:name="_Toc24884219"/>
      <w:bookmarkStart w:id="36" w:name="_Toc17233334"/>
      <w:bookmarkStart w:id="37" w:name="_Toc17233326"/>
      <w:r>
        <w:rPr>
          <w:rFonts w:hint="eastAsia"/>
        </w:rPr>
        <w:t>本文件规定了预包装兰州牛肉拉面包装技术的术语和定义、技术要求、生产工艺流程、包装标识的管理、产品检验、贮藏与运输的要求。</w:t>
      </w:r>
    </w:p>
    <w:p w14:paraId="48AD7344">
      <w:pPr>
        <w:pStyle w:val="56"/>
        <w:ind w:firstLine="420"/>
      </w:pPr>
      <w:r>
        <w:rPr>
          <w:rFonts w:hint="eastAsia"/>
        </w:rPr>
        <w:t>本文件适用于</w:t>
      </w:r>
      <w:bookmarkStart w:id="38" w:name="_Hlk177720890"/>
      <w:r>
        <w:rPr>
          <w:rFonts w:hint="eastAsia"/>
        </w:rPr>
        <w:t>兰州市行政区域内</w:t>
      </w:r>
      <w:bookmarkEnd w:id="38"/>
      <w:r>
        <w:rPr>
          <w:rFonts w:hint="eastAsia"/>
        </w:rPr>
        <w:t>生产的预包装兰州牛肉拉面的包装。</w:t>
      </w:r>
    </w:p>
    <w:p w14:paraId="412BE46D">
      <w:pPr>
        <w:pStyle w:val="104"/>
        <w:spacing w:before="312" w:after="312"/>
      </w:pPr>
      <w:bookmarkStart w:id="39" w:name="_Toc26986772"/>
      <w:bookmarkStart w:id="40" w:name="_Toc26718931"/>
      <w:bookmarkStart w:id="41" w:name="_Toc97191424"/>
      <w:bookmarkStart w:id="42" w:name="_Toc26986531"/>
      <w:r>
        <w:rPr>
          <w:rFonts w:hint="eastAsia"/>
        </w:rPr>
        <w:t>规范性引用文件</w:t>
      </w:r>
      <w:bookmarkEnd w:id="33"/>
      <w:bookmarkEnd w:id="34"/>
      <w:bookmarkEnd w:id="35"/>
      <w:bookmarkEnd w:id="36"/>
      <w:bookmarkEnd w:id="37"/>
      <w:bookmarkEnd w:id="39"/>
      <w:bookmarkEnd w:id="40"/>
      <w:bookmarkEnd w:id="41"/>
      <w:bookmarkEnd w:id="42"/>
    </w:p>
    <w:sdt>
      <w:sdtPr>
        <w:rPr>
          <w:rFonts w:hint="eastAsia"/>
        </w:rPr>
        <w:id w:val="715848253"/>
        <w:placeholder>
          <w:docPart w:val="4A65A20D3610478FA6A40EABDD5578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BE6F29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F4EE74">
      <w:pPr>
        <w:pStyle w:val="56"/>
        <w:ind w:firstLine="420"/>
      </w:pPr>
      <w:r>
        <w:rPr>
          <w:rFonts w:hint="eastAsia"/>
        </w:rPr>
        <w:t>GB/T 191        包装储运图示标志</w:t>
      </w:r>
    </w:p>
    <w:p w14:paraId="506CDE69">
      <w:pPr>
        <w:pStyle w:val="56"/>
        <w:ind w:firstLine="420"/>
      </w:pPr>
      <w:r>
        <w:rPr>
          <w:rFonts w:hint="eastAsia"/>
        </w:rPr>
        <w:t>GB 4806.13      食品安全国家标准 食品接触用复合材料及制品</w:t>
      </w:r>
    </w:p>
    <w:p w14:paraId="7B9D4F29">
      <w:pPr>
        <w:pStyle w:val="56"/>
        <w:ind w:left="2100" w:leftChars="200" w:hanging="1680" w:hangingChars="800"/>
      </w:pPr>
      <w:r>
        <w:rPr>
          <w:rFonts w:hint="eastAsia"/>
        </w:rPr>
        <w:t xml:space="preserve">GB/T 4857.4     包装 运输包装件基本试验 第4部分：采用压力试验机进行的抗压和堆码试验方法 </w:t>
      </w:r>
    </w:p>
    <w:p w14:paraId="5CF2E31C">
      <w:pPr>
        <w:pStyle w:val="56"/>
        <w:ind w:firstLine="420"/>
      </w:pPr>
      <w:r>
        <w:rPr>
          <w:rFonts w:hint="eastAsia"/>
        </w:rPr>
        <w:t>GB/T 4857.5     包装 运输包装件 跌落试验方法</w:t>
      </w:r>
    </w:p>
    <w:p w14:paraId="6CFF95E4">
      <w:pPr>
        <w:pStyle w:val="56"/>
        <w:ind w:firstLine="420"/>
      </w:pPr>
      <w:r>
        <w:rPr>
          <w:rFonts w:hint="eastAsia"/>
        </w:rPr>
        <w:t>GB/T 5009.80    食品容器内壁聚四氟乙烯涂料卫生标准的分析方法</w:t>
      </w:r>
    </w:p>
    <w:p w14:paraId="24263B2C">
      <w:pPr>
        <w:pStyle w:val="56"/>
        <w:ind w:firstLine="420"/>
      </w:pPr>
      <w:r>
        <w:rPr>
          <w:rFonts w:hint="eastAsia"/>
        </w:rPr>
        <w:t>GB/T 6543       运输包装用单瓦楞纸箱和双瓦楞纸箱</w:t>
      </w:r>
    </w:p>
    <w:p w14:paraId="69B8DDD3">
      <w:pPr>
        <w:pStyle w:val="56"/>
        <w:ind w:firstLine="420"/>
      </w:pPr>
      <w:r>
        <w:rPr>
          <w:rFonts w:hint="eastAsia"/>
        </w:rPr>
        <w:t>GB 7718         食品安全国家标准 预包装食品标签通则</w:t>
      </w:r>
    </w:p>
    <w:p w14:paraId="7422D57F">
      <w:pPr>
        <w:pStyle w:val="56"/>
        <w:ind w:firstLine="420"/>
      </w:pPr>
      <w:r>
        <w:rPr>
          <w:rFonts w:hint="eastAsia"/>
        </w:rPr>
        <w:t>GB/T 9174       一般货物运输包装通用技术条件</w:t>
      </w:r>
    </w:p>
    <w:p w14:paraId="77654DEA">
      <w:pPr>
        <w:pStyle w:val="56"/>
        <w:ind w:firstLine="420"/>
      </w:pPr>
      <w:r>
        <w:rPr>
          <w:rFonts w:hint="eastAsia"/>
        </w:rPr>
        <w:t>GB/T 20293      油辣椒</w:t>
      </w:r>
    </w:p>
    <w:p w14:paraId="046AEFB1">
      <w:pPr>
        <w:pStyle w:val="56"/>
        <w:ind w:left="2100" w:leftChars="200" w:hanging="1680" w:hangingChars="800"/>
      </w:pPr>
      <w:r>
        <w:t>GB/T 23296.1</w:t>
      </w:r>
      <w:r>
        <w:rPr>
          <w:rFonts w:hint="eastAsia"/>
        </w:rPr>
        <w:t xml:space="preserve">    食品接触材料 塑料中受限物质 塑料中物质向食品及食品模拟物特定迁移试验和含量测定方法以及食品模拟物暴露条件选择的指南</w:t>
      </w:r>
    </w:p>
    <w:p w14:paraId="1579F926">
      <w:pPr>
        <w:pStyle w:val="56"/>
        <w:ind w:firstLine="420"/>
      </w:pPr>
      <w:r>
        <w:rPr>
          <w:rFonts w:hint="eastAsia"/>
        </w:rPr>
        <w:t>GB/T 23586      酱卤肉制品质量通则</w:t>
      </w:r>
    </w:p>
    <w:p w14:paraId="0357E1DA">
      <w:pPr>
        <w:pStyle w:val="56"/>
        <w:ind w:firstLine="420"/>
      </w:pPr>
      <w:r>
        <w:rPr>
          <w:rFonts w:hint="eastAsia"/>
        </w:rPr>
        <w:t>GB 28050        食品安全国家标准 预包装食品营养标签通则</w:t>
      </w:r>
    </w:p>
    <w:p w14:paraId="5D8020C4">
      <w:pPr>
        <w:pStyle w:val="56"/>
        <w:ind w:firstLine="420"/>
      </w:pPr>
      <w:r>
        <w:rPr>
          <w:rFonts w:hint="eastAsia"/>
        </w:rPr>
        <w:t>NY/T 1045       绿色食品 脱水蔬菜</w:t>
      </w:r>
    </w:p>
    <w:p w14:paraId="1775DE5D">
      <w:pPr>
        <w:pStyle w:val="104"/>
        <w:spacing w:before="312" w:after="312"/>
      </w:pPr>
      <w:bookmarkStart w:id="43" w:name="_Toc97191425"/>
      <w:r>
        <w:rPr>
          <w:rFonts w:hint="eastAsia"/>
          <w:szCs w:val="21"/>
        </w:rPr>
        <w:t>术语和定义</w:t>
      </w:r>
      <w:bookmarkEnd w:id="43"/>
    </w:p>
    <w:sdt>
      <w:sdtPr>
        <w:id w:val="-1909835108"/>
        <w:placeholder>
          <w:docPart w:val="9B264EB0663B4E0C9EFF72303D2BDD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FE0637D">
          <w:pPr>
            <w:pStyle w:val="56"/>
            <w:ind w:firstLine="420"/>
          </w:pPr>
          <w:bookmarkStart w:id="44" w:name="_Toc26986532"/>
          <w:bookmarkEnd w:id="44"/>
          <w:r>
            <w:t>下列术语和定义适用于本文件。</w:t>
          </w:r>
        </w:p>
      </w:sdtContent>
    </w:sdt>
    <w:p w14:paraId="7E5573BF">
      <w:pPr>
        <w:pStyle w:val="105"/>
        <w:spacing w:before="156" w:after="156"/>
      </w:pPr>
      <w:r>
        <w:rPr>
          <w:rFonts w:hint="eastAsia"/>
        </w:rPr>
        <w:t>预包装兰州牛肉拉面</w:t>
      </w:r>
    </w:p>
    <w:p w14:paraId="681ED77F">
      <w:pPr>
        <w:pStyle w:val="56"/>
      </w:pPr>
    </w:p>
    <w:p w14:paraId="2F464F36">
      <w:pPr>
        <w:widowControl/>
        <w:ind w:firstLine="420" w:firstLineChars="200"/>
        <w:jc w:val="left"/>
        <w:rPr>
          <w:rFonts w:eastAsiaTheme="minorEastAsia"/>
        </w:rPr>
      </w:pPr>
      <w:r>
        <w:rPr>
          <w:rFonts w:hint="eastAsia" w:ascii="宋体" w:hAnsi="宋体" w:cs="宋体"/>
          <w:color w:val="000000"/>
          <w:kern w:val="0"/>
          <w:lang w:bidi="ar"/>
        </w:rPr>
        <w:t>以独立包装的面条和牛肉汤料为主要原料，辅以独立包装的熟牛肉、脱水蔬菜、油辣椒、萝卜等配料包中的一种或几种，经组合、包装等工序制成的，需煮制或简单冲泡便可食用的预包装兰州牛肉拉面。</w:t>
      </w:r>
    </w:p>
    <w:p w14:paraId="3759A8F4">
      <w:pPr>
        <w:pStyle w:val="105"/>
        <w:spacing w:before="156" w:after="156"/>
      </w:pPr>
      <w:r>
        <w:rPr>
          <w:rFonts w:hint="eastAsia"/>
        </w:rPr>
        <w:t xml:space="preserve">预包装兰州牛肉拉面销售包装 </w:t>
      </w:r>
    </w:p>
    <w:p w14:paraId="1DFDC1F5">
      <w:pPr>
        <w:pStyle w:val="56"/>
      </w:pPr>
    </w:p>
    <w:p w14:paraId="05B3666C">
      <w:pPr>
        <w:pStyle w:val="56"/>
        <w:ind w:firstLine="420"/>
      </w:pPr>
      <w:r>
        <w:rPr>
          <w:rFonts w:hint="eastAsia"/>
        </w:rPr>
        <w:t>以销售为目的，为保护预包装兰州牛肉拉面的品质，方便储运，按一定的技术要求制作的包装容器及材料的总称。</w:t>
      </w:r>
    </w:p>
    <w:p w14:paraId="4E6CDF2D">
      <w:pPr>
        <w:pStyle w:val="105"/>
        <w:spacing w:before="156" w:after="156"/>
      </w:pPr>
      <w:r>
        <w:rPr>
          <w:rFonts w:hint="eastAsia"/>
        </w:rPr>
        <w:t>包装材料</w:t>
      </w:r>
    </w:p>
    <w:p w14:paraId="563C9ED8">
      <w:pPr>
        <w:pStyle w:val="56"/>
      </w:pPr>
    </w:p>
    <w:p w14:paraId="41BAA60D">
      <w:pPr>
        <w:pStyle w:val="56"/>
        <w:ind w:firstLine="420"/>
      </w:pPr>
      <w:r>
        <w:rPr>
          <w:rFonts w:hint="eastAsia"/>
        </w:rPr>
        <w:t>直接接触或可能接触供直接销售预包装兰州牛肉拉面的材料。</w:t>
      </w:r>
    </w:p>
    <w:p w14:paraId="30811F5C">
      <w:pPr>
        <w:pStyle w:val="105"/>
        <w:spacing w:before="156" w:after="156"/>
      </w:pPr>
      <w:r>
        <w:rPr>
          <w:rFonts w:hint="eastAsia"/>
        </w:rPr>
        <w:t>包装容器</w:t>
      </w:r>
    </w:p>
    <w:p w14:paraId="68AF8241">
      <w:pPr>
        <w:pStyle w:val="56"/>
      </w:pPr>
    </w:p>
    <w:p w14:paraId="649CCFB5">
      <w:pPr>
        <w:pStyle w:val="56"/>
        <w:ind w:firstLine="420"/>
      </w:pPr>
      <w:r>
        <w:rPr>
          <w:rFonts w:hint="eastAsia"/>
        </w:rPr>
        <w:t>盛装预包装兰州牛肉拉面的器具的总称。</w:t>
      </w:r>
    </w:p>
    <w:p w14:paraId="6ED930F0">
      <w:pPr>
        <w:pStyle w:val="105"/>
        <w:spacing w:before="156" w:after="156"/>
      </w:pPr>
      <w:r>
        <w:rPr>
          <w:rFonts w:hint="eastAsia"/>
        </w:rPr>
        <w:t>包装场地</w:t>
      </w:r>
    </w:p>
    <w:p w14:paraId="102A647F">
      <w:pPr>
        <w:pStyle w:val="56"/>
      </w:pPr>
    </w:p>
    <w:p w14:paraId="1D374D64">
      <w:pPr>
        <w:pStyle w:val="56"/>
        <w:ind w:firstLine="420"/>
      </w:pPr>
      <w:r>
        <w:rPr>
          <w:rFonts w:hint="eastAsia"/>
        </w:rPr>
        <w:t>从事产品包装（含内、外包装）工序的场所。</w:t>
      </w:r>
    </w:p>
    <w:p w14:paraId="6DA0C5E0">
      <w:pPr>
        <w:pStyle w:val="104"/>
        <w:spacing w:before="312" w:after="312"/>
      </w:pPr>
      <w:r>
        <w:rPr>
          <w:rFonts w:hint="eastAsia"/>
        </w:rPr>
        <w:t>技术要求</w:t>
      </w:r>
    </w:p>
    <w:p w14:paraId="4BD40654">
      <w:pPr>
        <w:pStyle w:val="105"/>
        <w:spacing w:before="156" w:after="156"/>
      </w:pPr>
      <w:r>
        <w:rPr>
          <w:rFonts w:hint="eastAsia"/>
        </w:rPr>
        <w:t>基本要求</w:t>
      </w:r>
    </w:p>
    <w:p w14:paraId="2003AA58">
      <w:pPr>
        <w:pStyle w:val="165"/>
      </w:pPr>
      <w:r>
        <w:rPr>
          <w:rFonts w:hint="eastAsia"/>
        </w:rPr>
        <w:t>包装使用材料应保持清洁、卫生，不应与产品发生化学作用而产生变化，符合国家相应卫生标准和管理办法的规定。</w:t>
      </w:r>
    </w:p>
    <w:p w14:paraId="47AAC60A">
      <w:pPr>
        <w:pStyle w:val="165"/>
      </w:pPr>
      <w:r>
        <w:rPr>
          <w:rFonts w:hint="eastAsia"/>
        </w:rPr>
        <w:t>包装容器应当便于消费者开启、使用、搬运、储存，应保护产品的品质、安全、卫生，便于产品的流通。</w:t>
      </w:r>
    </w:p>
    <w:p w14:paraId="7D7C3FD3">
      <w:pPr>
        <w:pStyle w:val="165"/>
      </w:pPr>
      <w:r>
        <w:rPr>
          <w:rFonts w:hint="eastAsia"/>
        </w:rPr>
        <w:t>包装材料及容器的生产应当取得食品包装卫生许可证。对于已纳入容器生产许可管理范围的，应通过相应机构认证并取得生产许可证。</w:t>
      </w:r>
    </w:p>
    <w:p w14:paraId="22A98BD2">
      <w:pPr>
        <w:pStyle w:val="165"/>
      </w:pPr>
      <w:r>
        <w:rPr>
          <w:rFonts w:hint="eastAsia"/>
        </w:rPr>
        <w:t>包装场地应通风、放晒、防雨、防潮，干净整洁，无病原菌污染，没有异味物质，远离刺激性气味及有毒的物品。</w:t>
      </w:r>
    </w:p>
    <w:p w14:paraId="5D65CF07">
      <w:pPr>
        <w:pStyle w:val="165"/>
      </w:pPr>
      <w:r>
        <w:rPr>
          <w:rFonts w:hint="eastAsia"/>
        </w:rPr>
        <w:t>牛肉包应符合</w:t>
      </w:r>
      <w:r>
        <w:t>GB/T 23586的规定</w:t>
      </w:r>
      <w:r>
        <w:rPr>
          <w:rFonts w:hint="eastAsia"/>
        </w:rPr>
        <w:t>，脱水蔬菜应符合</w:t>
      </w:r>
      <w:r>
        <w:t>NY/T 1045的规定</w:t>
      </w:r>
      <w:r>
        <w:rPr>
          <w:rFonts w:hint="eastAsia"/>
        </w:rPr>
        <w:t>，油辣椒包应符合</w:t>
      </w:r>
      <w:r>
        <w:t>GB/T 20293 的规定</w:t>
      </w:r>
      <w:r>
        <w:rPr>
          <w:rFonts w:hint="eastAsia"/>
        </w:rPr>
        <w:t>，其余内料包应符合相应的国家标准、行业标准、地方标准或者备案有效的企业标准。</w:t>
      </w:r>
    </w:p>
    <w:p w14:paraId="25C43448">
      <w:pPr>
        <w:pStyle w:val="165"/>
      </w:pPr>
      <w:r>
        <w:rPr>
          <w:rFonts w:hint="eastAsia"/>
        </w:rPr>
        <w:t>外包装的标识应符合GB/T 191规定。</w:t>
      </w:r>
    </w:p>
    <w:p w14:paraId="731687D8">
      <w:pPr>
        <w:pStyle w:val="105"/>
        <w:spacing w:before="156" w:after="156"/>
      </w:pPr>
      <w:r>
        <w:rPr>
          <w:rFonts w:hint="eastAsia"/>
        </w:rPr>
        <w:t>包装材料的要求</w:t>
      </w:r>
    </w:p>
    <w:p w14:paraId="42665391">
      <w:pPr>
        <w:pStyle w:val="165"/>
      </w:pPr>
      <w:r>
        <w:rPr>
          <w:rFonts w:hint="eastAsia"/>
        </w:rPr>
        <w:t>应合理选择安全、环保的包装材料，直接接触产品的包装材料应符合GB/T 23296.1规定。</w:t>
      </w:r>
      <w:r>
        <w:t xml:space="preserve"> </w:t>
      </w:r>
    </w:p>
    <w:p w14:paraId="6AA0C34E">
      <w:pPr>
        <w:pStyle w:val="165"/>
      </w:pPr>
      <w:r>
        <w:rPr>
          <w:rFonts w:hint="eastAsia"/>
        </w:rPr>
        <w:t>包装材料不应与被包装物发生任何物理和化学作用而损坏被包装物。</w:t>
      </w:r>
    </w:p>
    <w:p w14:paraId="34717B2D">
      <w:pPr>
        <w:pStyle w:val="165"/>
      </w:pPr>
      <w:r>
        <w:rPr>
          <w:rFonts w:hint="eastAsia"/>
        </w:rPr>
        <w:t>进行辅助包装的材料应符合GB/T 6543等标准的要求，内壁涂料应符合GB/T5009.80的要求。</w:t>
      </w:r>
    </w:p>
    <w:p w14:paraId="008F4026">
      <w:pPr>
        <w:pStyle w:val="105"/>
        <w:spacing w:before="156" w:after="156"/>
      </w:pPr>
      <w:r>
        <w:rPr>
          <w:rFonts w:hint="eastAsia"/>
        </w:rPr>
        <w:t>包装容器的要求</w:t>
      </w:r>
    </w:p>
    <w:p w14:paraId="129C9A45">
      <w:pPr>
        <w:pStyle w:val="165"/>
      </w:pPr>
      <w:r>
        <w:rPr>
          <w:rFonts w:hint="eastAsia"/>
        </w:rPr>
        <w:t>相关包装容器应符合GB/T 9174相应的产品标准。</w:t>
      </w:r>
    </w:p>
    <w:p w14:paraId="1CD6FFD8">
      <w:pPr>
        <w:pStyle w:val="165"/>
      </w:pPr>
      <w:r>
        <w:rPr>
          <w:rFonts w:hint="eastAsia"/>
        </w:rPr>
        <w:t>包装产品规格、尺寸的设计应当给封口或采用真空包装留有足够的余量，规格、尺寸应参照有关尺寸标准的相关规定，并与运输包装的尺寸相匹配。</w:t>
      </w:r>
    </w:p>
    <w:p w14:paraId="7F21B7FA">
      <w:pPr>
        <w:pStyle w:val="165"/>
      </w:pPr>
      <w:r>
        <w:rPr>
          <w:rFonts w:hint="eastAsia"/>
        </w:rPr>
        <w:t>包装容器的强度应符合GB/T 4857.5、GB/T 4857.4的要求。</w:t>
      </w:r>
    </w:p>
    <w:p w14:paraId="4B9BE459">
      <w:pPr>
        <w:pStyle w:val="165"/>
      </w:pPr>
      <w:r>
        <w:rPr>
          <w:rFonts w:hint="eastAsia"/>
        </w:rPr>
        <w:t xml:space="preserve">包装袋相关卫生标准、感官指标应符合GB 4806.13的要求。 </w:t>
      </w:r>
    </w:p>
    <w:p w14:paraId="36940991">
      <w:pPr>
        <w:pStyle w:val="105"/>
        <w:spacing w:before="156" w:after="156"/>
      </w:pPr>
      <w:r>
        <w:rPr>
          <w:rFonts w:hint="eastAsia"/>
        </w:rPr>
        <w:t>包装相关从业人员的管理</w:t>
      </w:r>
    </w:p>
    <w:p w14:paraId="683FD458">
      <w:pPr>
        <w:pStyle w:val="165"/>
      </w:pPr>
      <w:r>
        <w:rPr>
          <w:rFonts w:hint="eastAsia"/>
        </w:rPr>
        <w:t>预包装兰州牛肉拉面包装从业人员需经过上岗培训，熟练掌握生产所需基本操作要求和相关技能。</w:t>
      </w:r>
    </w:p>
    <w:p w14:paraId="73C2178C">
      <w:pPr>
        <w:pStyle w:val="165"/>
      </w:pPr>
      <w:r>
        <w:rPr>
          <w:rFonts w:hint="eastAsia"/>
        </w:rPr>
        <w:t>所有相关人员上岗前应进行体检、体检合格后方能上岗，并在后续进行定期检查。</w:t>
      </w:r>
    </w:p>
    <w:p w14:paraId="780E3F0E">
      <w:pPr>
        <w:pStyle w:val="104"/>
        <w:spacing w:before="312" w:after="312"/>
      </w:pPr>
      <w:r>
        <w:rPr>
          <w:rFonts w:hint="eastAsia"/>
        </w:rPr>
        <w:t>生产工艺流程</w:t>
      </w:r>
    </w:p>
    <w:p w14:paraId="5595FD30">
      <w:pPr>
        <w:ind w:left="420" w:leftChars="200"/>
        <w:jc w:val="left"/>
        <w:rPr>
          <w:rFonts w:ascii="宋体" w:hAnsi="Times New Roman"/>
          <w:kern w:val="0"/>
          <w:szCs w:val="20"/>
        </w:rPr>
      </w:pPr>
      <w:r>
        <w:rPr>
          <w:rFonts w:hint="eastAsia"/>
        </w:rPr>
        <w:t>原料验收→领料加工→内包装→外包装→喷码装箱→整箱检重→成</w:t>
      </w:r>
      <w:r>
        <w:rPr>
          <w:rFonts w:hint="eastAsia" w:ascii="宋体" w:hAnsi="Times New Roman"/>
          <w:kern w:val="0"/>
          <w:szCs w:val="20"/>
        </w:rPr>
        <w:t>品检验</w:t>
      </w:r>
      <w:r>
        <w:rPr>
          <w:rFonts w:hint="eastAsia"/>
        </w:rPr>
        <w:t>→成</w:t>
      </w:r>
      <w:r>
        <w:rPr>
          <w:rFonts w:hint="eastAsia" w:ascii="宋体" w:hAnsi="Times New Roman"/>
          <w:kern w:val="0"/>
          <w:szCs w:val="20"/>
        </w:rPr>
        <w:t>品入库</w:t>
      </w:r>
    </w:p>
    <w:p w14:paraId="761EF313">
      <w:pPr>
        <w:pStyle w:val="104"/>
        <w:spacing w:before="312" w:after="312"/>
      </w:pPr>
      <w:r>
        <w:rPr>
          <w:rFonts w:hint="eastAsia"/>
        </w:rPr>
        <w:t>包装标识的管理</w:t>
      </w:r>
    </w:p>
    <w:p w14:paraId="1C601B89">
      <w:pPr>
        <w:pStyle w:val="162"/>
      </w:pPr>
      <w:r>
        <w:rPr>
          <w:rFonts w:hint="eastAsia"/>
        </w:rPr>
        <w:t>直接向消费者销售的预包装兰州牛肉拉面产品的标签标示应包括产品的名称、配料信息表、净含量和包装规格、生产者和（或）销售者的名称、联系地址和联系方式、生产日期和保质期、贮存条件、食品生产许可证编号、产品执行标准代号以及其他需要进行标示的相关内容。</w:t>
      </w:r>
    </w:p>
    <w:p w14:paraId="2E0D2585">
      <w:pPr>
        <w:pStyle w:val="162"/>
      </w:pPr>
      <w:r>
        <w:rPr>
          <w:rFonts w:hint="eastAsia"/>
        </w:rPr>
        <w:t>非直接提供给消费者的预包装兰州牛肉拉面产品（含配料包）标签应按照相应要求标示产品名称、产品规格、净含量、生产日期、保质期和贮存条件，其他内容如未在标签上标注，则应在说明书或合同中进行注明。</w:t>
      </w:r>
    </w:p>
    <w:p w14:paraId="4965357C">
      <w:pPr>
        <w:pStyle w:val="162"/>
      </w:pPr>
      <w:r>
        <w:rPr>
          <w:rFonts w:hint="eastAsia"/>
        </w:rPr>
        <w:t>其他包装标识要求应符合GB 7718等要求，预包装兰州牛肉拉面产品营养声称应符合GB 28050的要求。</w:t>
      </w:r>
    </w:p>
    <w:p w14:paraId="4AC1AB8A">
      <w:pPr>
        <w:pStyle w:val="104"/>
        <w:spacing w:before="312" w:after="312"/>
      </w:pPr>
      <w:r>
        <w:rPr>
          <w:rFonts w:hint="eastAsia"/>
        </w:rPr>
        <w:t>产品检验</w:t>
      </w:r>
    </w:p>
    <w:p w14:paraId="02DEB0A4">
      <w:pPr>
        <w:pStyle w:val="105"/>
        <w:spacing w:before="156" w:after="156"/>
      </w:pPr>
      <w:r>
        <w:rPr>
          <w:rFonts w:hint="eastAsia"/>
        </w:rPr>
        <w:t xml:space="preserve">质量检验  </w:t>
      </w:r>
    </w:p>
    <w:p w14:paraId="342B3F72">
      <w:pPr>
        <w:pStyle w:val="162"/>
        <w:numPr>
          <w:ilvl w:val="0"/>
          <w:numId w:val="0"/>
        </w:numPr>
        <w:ind w:firstLine="420" w:firstLineChars="200"/>
      </w:pPr>
      <w:r>
        <w:rPr>
          <w:rFonts w:hint="eastAsia"/>
        </w:rPr>
        <w:t>各类半成品（配料包）、成品、包装容器质量检验应按相关产品标准规定进行检测。</w:t>
      </w:r>
    </w:p>
    <w:p w14:paraId="7A2DD746">
      <w:pPr>
        <w:pStyle w:val="105"/>
        <w:spacing w:before="156" w:after="156"/>
      </w:pPr>
      <w:r>
        <w:rPr>
          <w:rFonts w:hint="eastAsia"/>
        </w:rPr>
        <w:t xml:space="preserve">产品抽样  </w:t>
      </w:r>
    </w:p>
    <w:p w14:paraId="4BA8879F">
      <w:pPr>
        <w:pStyle w:val="162"/>
        <w:numPr>
          <w:ilvl w:val="0"/>
          <w:numId w:val="0"/>
        </w:numPr>
        <w:ind w:firstLine="420" w:firstLineChars="200"/>
      </w:pPr>
      <w:r>
        <w:rPr>
          <w:rFonts w:hint="eastAsia"/>
        </w:rPr>
        <w:t>各类半成品（配料包）、不同材质、不同形状的包装容器按其相应的标准方法进行抽样，各类半成品（配料包）、包装容器的抽样件数应符合其相关规定。</w:t>
      </w:r>
    </w:p>
    <w:p w14:paraId="1B67CDE2">
      <w:pPr>
        <w:pStyle w:val="104"/>
        <w:spacing w:before="312" w:after="312"/>
      </w:pPr>
      <w:r>
        <w:rPr>
          <w:rFonts w:hint="eastAsia"/>
        </w:rPr>
        <w:t xml:space="preserve">贮藏与运输 </w:t>
      </w:r>
    </w:p>
    <w:p w14:paraId="785218E3">
      <w:pPr>
        <w:pStyle w:val="105"/>
        <w:spacing w:before="156" w:after="156"/>
        <w:rPr>
          <w:lang w:bidi="ar"/>
        </w:rPr>
      </w:pPr>
      <w:r>
        <w:rPr>
          <w:rFonts w:hint="eastAsia"/>
          <w:lang w:bidi="ar"/>
        </w:rPr>
        <w:t xml:space="preserve">贮藏方法  </w:t>
      </w:r>
    </w:p>
    <w:p w14:paraId="0091A8BE">
      <w:pPr>
        <w:pStyle w:val="162"/>
        <w:numPr>
          <w:ilvl w:val="0"/>
          <w:numId w:val="0"/>
        </w:numPr>
        <w:ind w:firstLine="420" w:firstLineChars="200"/>
      </w:pPr>
      <w:r>
        <w:rPr>
          <w:rFonts w:hint="eastAsia"/>
          <w:lang w:bidi="ar"/>
        </w:rPr>
        <w:t xml:space="preserve">存放于清洁、阴凉通风、有防晒防雨设施的库房中，不应与有毒、有异味的物品共存。预包装兰州牛肉拉面产品一般均为常温贮藏，如有特殊要求（如冷冻、冷藏），应按照产品外包装标识的相应贮藏条件进行贮藏。 </w:t>
      </w:r>
    </w:p>
    <w:p w14:paraId="6F032044">
      <w:pPr>
        <w:pStyle w:val="105"/>
        <w:spacing w:before="156" w:after="156"/>
        <w:rPr>
          <w:lang w:bidi="ar"/>
        </w:rPr>
      </w:pPr>
      <w:r>
        <w:rPr>
          <w:rFonts w:hint="eastAsia"/>
          <w:lang w:bidi="ar"/>
        </w:rPr>
        <w:t xml:space="preserve">贮藏检查  </w:t>
      </w:r>
    </w:p>
    <w:p w14:paraId="65F9C717">
      <w:pPr>
        <w:pStyle w:val="162"/>
        <w:numPr>
          <w:ilvl w:val="0"/>
          <w:numId w:val="0"/>
        </w:numPr>
        <w:ind w:firstLine="420" w:firstLineChars="200"/>
      </w:pPr>
      <w:r>
        <w:rPr>
          <w:rFonts w:hint="eastAsia"/>
          <w:lang w:bidi="ar"/>
        </w:rPr>
        <w:t>对贮存产品应进行定期的抽查。及时排除食品贮存安全隐患，保证产品质量安全。</w:t>
      </w:r>
    </w:p>
    <w:p w14:paraId="3A57A26F">
      <w:pPr>
        <w:pStyle w:val="105"/>
        <w:spacing w:before="156" w:after="156"/>
        <w:rPr>
          <w:lang w:bidi="ar"/>
        </w:rPr>
      </w:pPr>
      <w:r>
        <w:rPr>
          <w:rFonts w:hint="eastAsia"/>
          <w:lang w:bidi="ar"/>
        </w:rPr>
        <w:t xml:space="preserve">堆放  </w:t>
      </w:r>
    </w:p>
    <w:p w14:paraId="4EFF5770">
      <w:pPr>
        <w:pStyle w:val="162"/>
        <w:numPr>
          <w:ilvl w:val="0"/>
          <w:numId w:val="0"/>
        </w:numPr>
        <w:ind w:firstLine="420" w:firstLineChars="200"/>
      </w:pPr>
      <w:r>
        <w:rPr>
          <w:rFonts w:hint="eastAsia"/>
          <w:lang w:bidi="ar"/>
        </w:rPr>
        <w:t>应按产品名称、产品类别、产品规格分别进行堆放，批次应分明；包装堆件应整齐，室内贮</w:t>
      </w:r>
      <w:r>
        <w:rPr>
          <w:rFonts w:hint="eastAsia" w:hAnsi="宋体" w:cs="宋体"/>
          <w:color w:val="000000"/>
          <w:lang w:bidi="ar"/>
        </w:rPr>
        <w:t xml:space="preserve">存距离地面高度＞15cm，宜呈品字形堆码，堆码间留有通道，距离库顶应留有＞20cm的空间，堆码距离墙面＞20cm。 </w:t>
      </w:r>
    </w:p>
    <w:p w14:paraId="34CA38BB">
      <w:pPr>
        <w:pStyle w:val="105"/>
        <w:spacing w:before="156" w:after="156"/>
        <w:rPr>
          <w:lang w:bidi="ar"/>
        </w:rPr>
      </w:pPr>
      <w:r>
        <w:rPr>
          <w:rFonts w:hint="eastAsia"/>
          <w:lang w:bidi="ar"/>
        </w:rPr>
        <w:t xml:space="preserve">运输  </w:t>
      </w:r>
    </w:p>
    <w:p w14:paraId="4CEF3DFE">
      <w:pPr>
        <w:pStyle w:val="162"/>
        <w:numPr>
          <w:ilvl w:val="0"/>
          <w:numId w:val="0"/>
        </w:numPr>
        <w:ind w:firstLine="420" w:firstLineChars="200"/>
      </w:pPr>
      <w:r>
        <w:rPr>
          <w:rFonts w:hint="eastAsia"/>
          <w:lang w:bidi="ar"/>
        </w:rPr>
        <w:t>运输工具应清洁、卫生、无异味、无污染，不应与其他有害、有毒、有异味的物质混运。应用蓬布（或其他覆盖物）遮盖，并根据天气情况，采取相应的防热、防冻、防雨措施。如有冷冻、冷藏等特殊贮藏条件的预包装兰州牛肉拉面产品，其运输应按照相关标识的运输条件采用冷藏车运输。冷藏车在预冷至设定温度后，将预冷完毕或冷库贮藏的产品搬运至车上，应轻搬轻卸，快搬快卸，避免猛烈撞击导致包装破裂，或暴露于常温中时间过长，引起产品腐烂变质。</w:t>
      </w:r>
    </w:p>
    <w:bookmarkEnd w:id="22"/>
    <w:p w14:paraId="112A0DDF">
      <w:pPr>
        <w:pStyle w:val="162"/>
        <w:numPr>
          <w:ilvl w:val="2"/>
          <w:numId w:val="0"/>
        </w:numPr>
        <w:jc w:val="center"/>
      </w:pPr>
      <w:bookmarkStart w:id="45" w:name="BookMark8"/>
      <w:r>
        <w:drawing>
          <wp:inline distT="0" distB="0" distL="0" distR="0">
            <wp:extent cx="1485900" cy="317500"/>
            <wp:effectExtent l="0" t="0" r="0" b="6350"/>
            <wp:docPr id="901787284" name="图片 3"/>
            <wp:cNvGraphicFramePr/>
            <a:graphic xmlns:a="http://schemas.openxmlformats.org/drawingml/2006/main">
              <a:graphicData uri="http://schemas.openxmlformats.org/drawingml/2006/picture">
                <pic:pic xmlns:pic="http://schemas.openxmlformats.org/drawingml/2006/picture">
                  <pic:nvPicPr>
                    <pic:cNvPr id="901787284"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129E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2C99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DE20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B68C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7150">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BE337">
    <w:pPr>
      <w:pStyle w:val="61"/>
      <w:rPr>
        <w:rFonts w:hint="eastAsia"/>
      </w:rPr>
    </w:pPr>
    <w:r>
      <w:fldChar w:fldCharType="begin"/>
    </w:r>
    <w:r>
      <w:instrText xml:space="preserve"> STYLEREF  标准文件_文件编号  \* MERGEFORMAT </w:instrText>
    </w:r>
    <w:r>
      <w:fldChar w:fldCharType="separate"/>
    </w:r>
    <w:r>
      <w:t>DB 6201/T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3D25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6201/T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xG7Mt15DWtJImhdv1YGWmfUKtHfyoi3L3SAk52XXzPzDiD3ya9iqTL99WmK8WkO9otJu/g9tXa4qx1WqCemHcQ==" w:salt="AVq8iQGp+aA7JaUYFFwoe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134DFB"/>
    <w:rsid w:val="0000040A"/>
    <w:rsid w:val="00000A94"/>
    <w:rsid w:val="00001972"/>
    <w:rsid w:val="00001D9A"/>
    <w:rsid w:val="000038E6"/>
    <w:rsid w:val="00007B3A"/>
    <w:rsid w:val="000107E0"/>
    <w:rsid w:val="00011D40"/>
    <w:rsid w:val="00011FDE"/>
    <w:rsid w:val="00012FFD"/>
    <w:rsid w:val="00014162"/>
    <w:rsid w:val="00014340"/>
    <w:rsid w:val="00016A9C"/>
    <w:rsid w:val="00022184"/>
    <w:rsid w:val="00022762"/>
    <w:rsid w:val="000238E0"/>
    <w:rsid w:val="000249DB"/>
    <w:rsid w:val="0002595E"/>
    <w:rsid w:val="000303C3"/>
    <w:rsid w:val="000331D3"/>
    <w:rsid w:val="000346A4"/>
    <w:rsid w:val="000346A5"/>
    <w:rsid w:val="000359C3"/>
    <w:rsid w:val="00035A7D"/>
    <w:rsid w:val="000365ED"/>
    <w:rsid w:val="00037E9D"/>
    <w:rsid w:val="0004249A"/>
    <w:rsid w:val="00043282"/>
    <w:rsid w:val="00044286"/>
    <w:rsid w:val="00047F28"/>
    <w:rsid w:val="000503AA"/>
    <w:rsid w:val="000506A1"/>
    <w:rsid w:val="000515DD"/>
    <w:rsid w:val="0005265A"/>
    <w:rsid w:val="00053223"/>
    <w:rsid w:val="000539DD"/>
    <w:rsid w:val="00053BD3"/>
    <w:rsid w:val="000556ED"/>
    <w:rsid w:val="00055FE2"/>
    <w:rsid w:val="0005616F"/>
    <w:rsid w:val="00060C2E"/>
    <w:rsid w:val="00061033"/>
    <w:rsid w:val="000619E9"/>
    <w:rsid w:val="000622D4"/>
    <w:rsid w:val="00062927"/>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2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DFB"/>
    <w:rsid w:val="00135323"/>
    <w:rsid w:val="001356C4"/>
    <w:rsid w:val="00141114"/>
    <w:rsid w:val="00142969"/>
    <w:rsid w:val="001446C2"/>
    <w:rsid w:val="001457E7"/>
    <w:rsid w:val="00145BF1"/>
    <w:rsid w:val="00145D9D"/>
    <w:rsid w:val="00146388"/>
    <w:rsid w:val="00152875"/>
    <w:rsid w:val="001529E5"/>
    <w:rsid w:val="00153C7E"/>
    <w:rsid w:val="00156B25"/>
    <w:rsid w:val="00156DB7"/>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538"/>
    <w:rsid w:val="00184893"/>
    <w:rsid w:val="001852C9"/>
    <w:rsid w:val="00190087"/>
    <w:rsid w:val="001913C4"/>
    <w:rsid w:val="0019348F"/>
    <w:rsid w:val="00193A07"/>
    <w:rsid w:val="00194C95"/>
    <w:rsid w:val="00195C34"/>
    <w:rsid w:val="00196EF5"/>
    <w:rsid w:val="001A1A53"/>
    <w:rsid w:val="001A234A"/>
    <w:rsid w:val="001A4CF3"/>
    <w:rsid w:val="001A65CD"/>
    <w:rsid w:val="001A774A"/>
    <w:rsid w:val="001B06E8"/>
    <w:rsid w:val="001B71D0"/>
    <w:rsid w:val="001B71EE"/>
    <w:rsid w:val="001C04A8"/>
    <w:rsid w:val="001C1D76"/>
    <w:rsid w:val="001C2C03"/>
    <w:rsid w:val="001C42F7"/>
    <w:rsid w:val="001C49E5"/>
    <w:rsid w:val="001C680C"/>
    <w:rsid w:val="001C7FEA"/>
    <w:rsid w:val="001D0499"/>
    <w:rsid w:val="001D0BBE"/>
    <w:rsid w:val="001D0ED4"/>
    <w:rsid w:val="001D212F"/>
    <w:rsid w:val="001D29D7"/>
    <w:rsid w:val="001D2DE7"/>
    <w:rsid w:val="001D411C"/>
    <w:rsid w:val="001D6D60"/>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95E"/>
    <w:rsid w:val="00210B15"/>
    <w:rsid w:val="002142EA"/>
    <w:rsid w:val="002204BB"/>
    <w:rsid w:val="00221B79"/>
    <w:rsid w:val="00221C6B"/>
    <w:rsid w:val="00224779"/>
    <w:rsid w:val="002253A1"/>
    <w:rsid w:val="00225CF8"/>
    <w:rsid w:val="0022794E"/>
    <w:rsid w:val="00233D64"/>
    <w:rsid w:val="0023482A"/>
    <w:rsid w:val="002359CB"/>
    <w:rsid w:val="00243540"/>
    <w:rsid w:val="0024497B"/>
    <w:rsid w:val="0024515B"/>
    <w:rsid w:val="002457C3"/>
    <w:rsid w:val="00246021"/>
    <w:rsid w:val="002460DC"/>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24E"/>
    <w:rsid w:val="002771AC"/>
    <w:rsid w:val="00281BB8"/>
    <w:rsid w:val="00281E9E"/>
    <w:rsid w:val="00282405"/>
    <w:rsid w:val="00285170"/>
    <w:rsid w:val="00285361"/>
    <w:rsid w:val="00292CAB"/>
    <w:rsid w:val="00292D60"/>
    <w:rsid w:val="00293B30"/>
    <w:rsid w:val="00294D34"/>
    <w:rsid w:val="00294E3B"/>
    <w:rsid w:val="00296193"/>
    <w:rsid w:val="00296C66"/>
    <w:rsid w:val="00296EBE"/>
    <w:rsid w:val="002974E3"/>
    <w:rsid w:val="002A084B"/>
    <w:rsid w:val="002A1260"/>
    <w:rsid w:val="002A1589"/>
    <w:rsid w:val="002A1608"/>
    <w:rsid w:val="002A2225"/>
    <w:rsid w:val="002A25DC"/>
    <w:rsid w:val="002A3AAB"/>
    <w:rsid w:val="002A4CEA"/>
    <w:rsid w:val="002A5977"/>
    <w:rsid w:val="002A5A13"/>
    <w:rsid w:val="002A757F"/>
    <w:rsid w:val="002A7F44"/>
    <w:rsid w:val="002B0C40"/>
    <w:rsid w:val="002B1966"/>
    <w:rsid w:val="002B4508"/>
    <w:rsid w:val="002B5779"/>
    <w:rsid w:val="002B6825"/>
    <w:rsid w:val="002B7332"/>
    <w:rsid w:val="002B7F51"/>
    <w:rsid w:val="002C09E7"/>
    <w:rsid w:val="002C1E06"/>
    <w:rsid w:val="002C1E1C"/>
    <w:rsid w:val="002C3F07"/>
    <w:rsid w:val="002C5278"/>
    <w:rsid w:val="002C7EBB"/>
    <w:rsid w:val="002D06C1"/>
    <w:rsid w:val="002D1DBF"/>
    <w:rsid w:val="002D42B5"/>
    <w:rsid w:val="002D4AC2"/>
    <w:rsid w:val="002D4F1A"/>
    <w:rsid w:val="002D6EC6"/>
    <w:rsid w:val="002D79AC"/>
    <w:rsid w:val="002E039D"/>
    <w:rsid w:val="002E236E"/>
    <w:rsid w:val="002E4D5A"/>
    <w:rsid w:val="002E6326"/>
    <w:rsid w:val="002F30E0"/>
    <w:rsid w:val="002F35E4"/>
    <w:rsid w:val="002F3730"/>
    <w:rsid w:val="002F38E1"/>
    <w:rsid w:val="002F7AF6"/>
    <w:rsid w:val="00300E63"/>
    <w:rsid w:val="00300F18"/>
    <w:rsid w:val="00302F5F"/>
    <w:rsid w:val="0030441D"/>
    <w:rsid w:val="00306063"/>
    <w:rsid w:val="00313B85"/>
    <w:rsid w:val="00317988"/>
    <w:rsid w:val="003221B4"/>
    <w:rsid w:val="0032258D"/>
    <w:rsid w:val="00322E62"/>
    <w:rsid w:val="003232AD"/>
    <w:rsid w:val="00324D13"/>
    <w:rsid w:val="00324D2A"/>
    <w:rsid w:val="00324EDD"/>
    <w:rsid w:val="0032648A"/>
    <w:rsid w:val="003331E4"/>
    <w:rsid w:val="00333F4C"/>
    <w:rsid w:val="00336C64"/>
    <w:rsid w:val="00337162"/>
    <w:rsid w:val="003372E7"/>
    <w:rsid w:val="0034194F"/>
    <w:rsid w:val="00344605"/>
    <w:rsid w:val="003474AA"/>
    <w:rsid w:val="00350D1D"/>
    <w:rsid w:val="00352C83"/>
    <w:rsid w:val="00353759"/>
    <w:rsid w:val="003615D2"/>
    <w:rsid w:val="0036429C"/>
    <w:rsid w:val="00364A53"/>
    <w:rsid w:val="003654CB"/>
    <w:rsid w:val="00365AA9"/>
    <w:rsid w:val="00365F86"/>
    <w:rsid w:val="00365F87"/>
    <w:rsid w:val="0036649B"/>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DDD"/>
    <w:rsid w:val="003A4077"/>
    <w:rsid w:val="003A7988"/>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B8F"/>
    <w:rsid w:val="003F6272"/>
    <w:rsid w:val="00400E72"/>
    <w:rsid w:val="00401400"/>
    <w:rsid w:val="00404869"/>
    <w:rsid w:val="00405884"/>
    <w:rsid w:val="00407D39"/>
    <w:rsid w:val="00412BC3"/>
    <w:rsid w:val="00412D78"/>
    <w:rsid w:val="0041477A"/>
    <w:rsid w:val="00415366"/>
    <w:rsid w:val="004167A3"/>
    <w:rsid w:val="00426E7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120"/>
    <w:rsid w:val="004905E4"/>
    <w:rsid w:val="00490A89"/>
    <w:rsid w:val="00490AB4"/>
    <w:rsid w:val="00492F02"/>
    <w:rsid w:val="004939AE"/>
    <w:rsid w:val="004A12DF"/>
    <w:rsid w:val="004A17E6"/>
    <w:rsid w:val="004A1BA8"/>
    <w:rsid w:val="004A4B57"/>
    <w:rsid w:val="004A5F2D"/>
    <w:rsid w:val="004A63FA"/>
    <w:rsid w:val="004B0272"/>
    <w:rsid w:val="004B2701"/>
    <w:rsid w:val="004B2E1B"/>
    <w:rsid w:val="004B3AA8"/>
    <w:rsid w:val="004B3E93"/>
    <w:rsid w:val="004C1FBC"/>
    <w:rsid w:val="004C3F1D"/>
    <w:rsid w:val="004C458D"/>
    <w:rsid w:val="004C5AA9"/>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74"/>
    <w:rsid w:val="004F3CFB"/>
    <w:rsid w:val="004F6456"/>
    <w:rsid w:val="004F696E"/>
    <w:rsid w:val="004F6C71"/>
    <w:rsid w:val="00501139"/>
    <w:rsid w:val="0050363E"/>
    <w:rsid w:val="005039BC"/>
    <w:rsid w:val="005043BB"/>
    <w:rsid w:val="0050440F"/>
    <w:rsid w:val="00504A3D"/>
    <w:rsid w:val="00505767"/>
    <w:rsid w:val="0050738F"/>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6D9"/>
    <w:rsid w:val="005479DA"/>
    <w:rsid w:val="00547BCC"/>
    <w:rsid w:val="0055013B"/>
    <w:rsid w:val="00551F6F"/>
    <w:rsid w:val="00553782"/>
    <w:rsid w:val="00555044"/>
    <w:rsid w:val="00557CFB"/>
    <w:rsid w:val="00561475"/>
    <w:rsid w:val="0056487B"/>
    <w:rsid w:val="00564FB9"/>
    <w:rsid w:val="00573D9E"/>
    <w:rsid w:val="00575CF2"/>
    <w:rsid w:val="005801E3"/>
    <w:rsid w:val="00581802"/>
    <w:rsid w:val="005836A8"/>
    <w:rsid w:val="0058409C"/>
    <w:rsid w:val="00584262"/>
    <w:rsid w:val="00584CFD"/>
    <w:rsid w:val="00586630"/>
    <w:rsid w:val="00587ADD"/>
    <w:rsid w:val="00590AF7"/>
    <w:rsid w:val="00591E27"/>
    <w:rsid w:val="00596160"/>
    <w:rsid w:val="005966E2"/>
    <w:rsid w:val="00597007"/>
    <w:rsid w:val="005A0966"/>
    <w:rsid w:val="005A11B7"/>
    <w:rsid w:val="005A260B"/>
    <w:rsid w:val="005A4A1B"/>
    <w:rsid w:val="005A7830"/>
    <w:rsid w:val="005A7FCE"/>
    <w:rsid w:val="005B0F3F"/>
    <w:rsid w:val="005B4903"/>
    <w:rsid w:val="005B4C13"/>
    <w:rsid w:val="005B51CE"/>
    <w:rsid w:val="005B5885"/>
    <w:rsid w:val="005B5CD7"/>
    <w:rsid w:val="005B6CF6"/>
    <w:rsid w:val="005B7422"/>
    <w:rsid w:val="005C295F"/>
    <w:rsid w:val="005C29B8"/>
    <w:rsid w:val="005C5F21"/>
    <w:rsid w:val="005C7156"/>
    <w:rsid w:val="005D0C75"/>
    <w:rsid w:val="005D3571"/>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08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A3C"/>
    <w:rsid w:val="00656D29"/>
    <w:rsid w:val="006640E5"/>
    <w:rsid w:val="006646F1"/>
    <w:rsid w:val="00664929"/>
    <w:rsid w:val="00664F62"/>
    <w:rsid w:val="006655E1"/>
    <w:rsid w:val="00670ACD"/>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1F0"/>
    <w:rsid w:val="007322D9"/>
    <w:rsid w:val="00732BC0"/>
    <w:rsid w:val="0073720F"/>
    <w:rsid w:val="00737796"/>
    <w:rsid w:val="0074165C"/>
    <w:rsid w:val="00741668"/>
    <w:rsid w:val="00742C35"/>
    <w:rsid w:val="007432CA"/>
    <w:rsid w:val="007439EB"/>
    <w:rsid w:val="00743CB4"/>
    <w:rsid w:val="00743F0A"/>
    <w:rsid w:val="007444E8"/>
    <w:rsid w:val="0074548E"/>
    <w:rsid w:val="00745773"/>
    <w:rsid w:val="00746800"/>
    <w:rsid w:val="007501A8"/>
    <w:rsid w:val="00750D61"/>
    <w:rsid w:val="00750EE1"/>
    <w:rsid w:val="00751F2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4B1"/>
    <w:rsid w:val="007879A9"/>
    <w:rsid w:val="0079107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BEA"/>
    <w:rsid w:val="008D453D"/>
    <w:rsid w:val="008D45A7"/>
    <w:rsid w:val="008D53AD"/>
    <w:rsid w:val="008D562B"/>
    <w:rsid w:val="008D5733"/>
    <w:rsid w:val="008D622B"/>
    <w:rsid w:val="008D63BB"/>
    <w:rsid w:val="008D666C"/>
    <w:rsid w:val="008D7B54"/>
    <w:rsid w:val="008E0C9D"/>
    <w:rsid w:val="008E1648"/>
    <w:rsid w:val="008E1B3E"/>
    <w:rsid w:val="008E2319"/>
    <w:rsid w:val="008E2BFA"/>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E65"/>
    <w:rsid w:val="00953604"/>
    <w:rsid w:val="0095496B"/>
    <w:rsid w:val="009610DC"/>
    <w:rsid w:val="00961490"/>
    <w:rsid w:val="0096381A"/>
    <w:rsid w:val="00965E04"/>
    <w:rsid w:val="009674AD"/>
    <w:rsid w:val="00970CDC"/>
    <w:rsid w:val="0097265B"/>
    <w:rsid w:val="00975B7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071"/>
    <w:rsid w:val="009E4A58"/>
    <w:rsid w:val="009E5A2D"/>
    <w:rsid w:val="009E5AB2"/>
    <w:rsid w:val="009E6219"/>
    <w:rsid w:val="009F03B3"/>
    <w:rsid w:val="00A0096C"/>
    <w:rsid w:val="00A01757"/>
    <w:rsid w:val="00A028C0"/>
    <w:rsid w:val="00A02BAE"/>
    <w:rsid w:val="00A06A6B"/>
    <w:rsid w:val="00A07E47"/>
    <w:rsid w:val="00A11F33"/>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135"/>
    <w:rsid w:val="00AF0C18"/>
    <w:rsid w:val="00AF47C5"/>
    <w:rsid w:val="00AF5398"/>
    <w:rsid w:val="00B049AF"/>
    <w:rsid w:val="00B07242"/>
    <w:rsid w:val="00B10534"/>
    <w:rsid w:val="00B113DB"/>
    <w:rsid w:val="00B11D8A"/>
    <w:rsid w:val="00B12981"/>
    <w:rsid w:val="00B147DD"/>
    <w:rsid w:val="00B156FD"/>
    <w:rsid w:val="00B15FE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4E5A"/>
    <w:rsid w:val="00B56FBE"/>
    <w:rsid w:val="00B60ACF"/>
    <w:rsid w:val="00B62B58"/>
    <w:rsid w:val="00B6433F"/>
    <w:rsid w:val="00B65149"/>
    <w:rsid w:val="00B66567"/>
    <w:rsid w:val="00B66F52"/>
    <w:rsid w:val="00B66FE5"/>
    <w:rsid w:val="00B72880"/>
    <w:rsid w:val="00B72953"/>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404"/>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C4F"/>
    <w:rsid w:val="00C33E50"/>
    <w:rsid w:val="00C34C20"/>
    <w:rsid w:val="00C35A3E"/>
    <w:rsid w:val="00C42130"/>
    <w:rsid w:val="00C423A4"/>
    <w:rsid w:val="00C44BF5"/>
    <w:rsid w:val="00C44CCE"/>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384"/>
    <w:rsid w:val="00CE0C4F"/>
    <w:rsid w:val="00CE30EA"/>
    <w:rsid w:val="00CF048A"/>
    <w:rsid w:val="00CF155A"/>
    <w:rsid w:val="00CF2947"/>
    <w:rsid w:val="00CF5693"/>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B18"/>
    <w:rsid w:val="00D45E89"/>
    <w:rsid w:val="00D45E8D"/>
    <w:rsid w:val="00D466AE"/>
    <w:rsid w:val="00D4734F"/>
    <w:rsid w:val="00D51BF3"/>
    <w:rsid w:val="00D52333"/>
    <w:rsid w:val="00D66846"/>
    <w:rsid w:val="00D675FB"/>
    <w:rsid w:val="00D71F25"/>
    <w:rsid w:val="00D72A9C"/>
    <w:rsid w:val="00D77031"/>
    <w:rsid w:val="00D8298E"/>
    <w:rsid w:val="00D84941"/>
    <w:rsid w:val="00D84FA1"/>
    <w:rsid w:val="00D851F0"/>
    <w:rsid w:val="00D86DB7"/>
    <w:rsid w:val="00D914B2"/>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4F7"/>
    <w:rsid w:val="00DF1961"/>
    <w:rsid w:val="00DF44DE"/>
    <w:rsid w:val="00DF5F11"/>
    <w:rsid w:val="00DF7E03"/>
    <w:rsid w:val="00E00980"/>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C59"/>
    <w:rsid w:val="00EA58D1"/>
    <w:rsid w:val="00EA61BC"/>
    <w:rsid w:val="00EA681A"/>
    <w:rsid w:val="00EA735B"/>
    <w:rsid w:val="00EB0560"/>
    <w:rsid w:val="00EB17DE"/>
    <w:rsid w:val="00EB1E69"/>
    <w:rsid w:val="00EB2086"/>
    <w:rsid w:val="00EB308C"/>
    <w:rsid w:val="00EB5EDF"/>
    <w:rsid w:val="00EB60FE"/>
    <w:rsid w:val="00EB74DB"/>
    <w:rsid w:val="00EC5359"/>
    <w:rsid w:val="00EC562A"/>
    <w:rsid w:val="00ED067A"/>
    <w:rsid w:val="00ED2B50"/>
    <w:rsid w:val="00ED71CF"/>
    <w:rsid w:val="00EE0350"/>
    <w:rsid w:val="00EE0719"/>
    <w:rsid w:val="00EE0E80"/>
    <w:rsid w:val="00EE54A6"/>
    <w:rsid w:val="00EE613F"/>
    <w:rsid w:val="00EE6341"/>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7B8"/>
    <w:rsid w:val="00F81141"/>
    <w:rsid w:val="00F833BA"/>
    <w:rsid w:val="00F84FD0"/>
    <w:rsid w:val="00F859A8"/>
    <w:rsid w:val="00F86D87"/>
    <w:rsid w:val="00F9108B"/>
    <w:rsid w:val="00F91349"/>
    <w:rsid w:val="00F91D15"/>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282"/>
    <w:rsid w:val="00FE7E79"/>
    <w:rsid w:val="00FF0586"/>
    <w:rsid w:val="00FF3E7D"/>
    <w:rsid w:val="00FF5B99"/>
    <w:rsid w:val="00FF730C"/>
    <w:rsid w:val="00FF73F4"/>
    <w:rsid w:val="00FF7CE4"/>
    <w:rsid w:val="00FF7E39"/>
    <w:rsid w:val="02523BCB"/>
    <w:rsid w:val="03BA02BF"/>
    <w:rsid w:val="04384DC4"/>
    <w:rsid w:val="05143E2A"/>
    <w:rsid w:val="05670E48"/>
    <w:rsid w:val="06824DC3"/>
    <w:rsid w:val="08D31906"/>
    <w:rsid w:val="0A021D60"/>
    <w:rsid w:val="0A165F4E"/>
    <w:rsid w:val="0B865355"/>
    <w:rsid w:val="0BB974D9"/>
    <w:rsid w:val="0BC14113"/>
    <w:rsid w:val="0F0761C0"/>
    <w:rsid w:val="0FFB1E00"/>
    <w:rsid w:val="11DC679D"/>
    <w:rsid w:val="138959E3"/>
    <w:rsid w:val="13FD3CDB"/>
    <w:rsid w:val="16F47617"/>
    <w:rsid w:val="17614581"/>
    <w:rsid w:val="180D083E"/>
    <w:rsid w:val="19DD2B4C"/>
    <w:rsid w:val="19FC50E8"/>
    <w:rsid w:val="1C9F6277"/>
    <w:rsid w:val="1CA27B15"/>
    <w:rsid w:val="1D80560B"/>
    <w:rsid w:val="24E529E0"/>
    <w:rsid w:val="25980EFF"/>
    <w:rsid w:val="25D43FE6"/>
    <w:rsid w:val="2FC260AC"/>
    <w:rsid w:val="30E722F5"/>
    <w:rsid w:val="32050D09"/>
    <w:rsid w:val="32EE3FBA"/>
    <w:rsid w:val="33044C2E"/>
    <w:rsid w:val="390810C8"/>
    <w:rsid w:val="3B0E76AC"/>
    <w:rsid w:val="3B984165"/>
    <w:rsid w:val="41614534"/>
    <w:rsid w:val="41BB0BAE"/>
    <w:rsid w:val="44DC1567"/>
    <w:rsid w:val="4FBA4253"/>
    <w:rsid w:val="524E70C2"/>
    <w:rsid w:val="5538187B"/>
    <w:rsid w:val="55DE5AB3"/>
    <w:rsid w:val="56931646"/>
    <w:rsid w:val="5A8319A8"/>
    <w:rsid w:val="64D74D16"/>
    <w:rsid w:val="658456DC"/>
    <w:rsid w:val="662D17CA"/>
    <w:rsid w:val="6B8E2AB9"/>
    <w:rsid w:val="6D206DC5"/>
    <w:rsid w:val="6E6A491D"/>
    <w:rsid w:val="70335C2F"/>
    <w:rsid w:val="71F31B1A"/>
    <w:rsid w:val="72B312A9"/>
    <w:rsid w:val="758D193E"/>
    <w:rsid w:val="775766A7"/>
    <w:rsid w:val="7AC21FB4"/>
    <w:rsid w:val="7BA94FF8"/>
    <w:rsid w:val="7F241403"/>
    <w:rsid w:val="7F341F96"/>
    <w:rsid w:val="7F4642E4"/>
    <w:rsid w:val="7F5F07EF"/>
    <w:rsid w:val="7F6D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94F9C4105143C19439398D2C8FA5A1"/>
        <w:style w:val=""/>
        <w:category>
          <w:name w:val="常规"/>
          <w:gallery w:val="placeholder"/>
        </w:category>
        <w:types>
          <w:type w:val="bbPlcHdr"/>
        </w:types>
        <w:behaviors>
          <w:behavior w:val="content"/>
        </w:behaviors>
        <w:description w:val=""/>
        <w:guid w:val="{CBD171B9-436B-49D6-8895-A3CD4A6ACFF5}"/>
      </w:docPartPr>
      <w:docPartBody>
        <w:p w14:paraId="5F651CC4">
          <w:pPr>
            <w:pStyle w:val="5"/>
            <w:rPr>
              <w:rFonts w:hint="eastAsia"/>
            </w:rPr>
          </w:pPr>
          <w:r>
            <w:rPr>
              <w:rStyle w:val="4"/>
              <w:rFonts w:hint="eastAsia"/>
            </w:rPr>
            <w:t>单击或点击此处输入文字。</w:t>
          </w:r>
        </w:p>
      </w:docPartBody>
    </w:docPart>
    <w:docPart>
      <w:docPartPr>
        <w:name w:val="4A65A20D3610478FA6A40EABDD55785E"/>
        <w:style w:val=""/>
        <w:category>
          <w:name w:val="常规"/>
          <w:gallery w:val="placeholder"/>
        </w:category>
        <w:types>
          <w:type w:val="bbPlcHdr"/>
        </w:types>
        <w:behaviors>
          <w:behavior w:val="content"/>
        </w:behaviors>
        <w:description w:val=""/>
        <w:guid w:val="{53E51118-1721-4516-BF3C-C51D2CCE2674}"/>
      </w:docPartPr>
      <w:docPartBody>
        <w:p w14:paraId="05376D2B">
          <w:pPr>
            <w:pStyle w:val="6"/>
            <w:rPr>
              <w:rFonts w:hint="eastAsia"/>
            </w:rPr>
          </w:pPr>
          <w:r>
            <w:rPr>
              <w:rStyle w:val="4"/>
              <w:rFonts w:hint="eastAsia"/>
            </w:rPr>
            <w:t>选择一项。</w:t>
          </w:r>
        </w:p>
      </w:docPartBody>
    </w:docPart>
    <w:docPart>
      <w:docPartPr>
        <w:name w:val="9B264EB0663B4E0C9EFF72303D2BDD12"/>
        <w:style w:val=""/>
        <w:category>
          <w:name w:val="常规"/>
          <w:gallery w:val="placeholder"/>
        </w:category>
        <w:types>
          <w:type w:val="bbPlcHdr"/>
        </w:types>
        <w:behaviors>
          <w:behavior w:val="content"/>
        </w:behaviors>
        <w:description w:val=""/>
        <w:guid w:val="{203DF87E-64D2-483F-832D-85234D865A0A}"/>
      </w:docPartPr>
      <w:docPartBody>
        <w:p w14:paraId="4A68374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77"/>
    <w:rsid w:val="00062927"/>
    <w:rsid w:val="000661C5"/>
    <w:rsid w:val="00152875"/>
    <w:rsid w:val="001E028F"/>
    <w:rsid w:val="00263F63"/>
    <w:rsid w:val="003232AD"/>
    <w:rsid w:val="0032648A"/>
    <w:rsid w:val="003372E7"/>
    <w:rsid w:val="004E0885"/>
    <w:rsid w:val="0050440F"/>
    <w:rsid w:val="005C295F"/>
    <w:rsid w:val="005F5F7C"/>
    <w:rsid w:val="006D64D8"/>
    <w:rsid w:val="007443A8"/>
    <w:rsid w:val="00787F87"/>
    <w:rsid w:val="007D25A7"/>
    <w:rsid w:val="00AA5EC4"/>
    <w:rsid w:val="00AF2C77"/>
    <w:rsid w:val="00BA3AF0"/>
    <w:rsid w:val="00CD6384"/>
    <w:rsid w:val="00D914B2"/>
    <w:rsid w:val="00E00980"/>
    <w:rsid w:val="00E27AFA"/>
    <w:rsid w:val="00E50A18"/>
    <w:rsid w:val="00E56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394F9C4105143C19439398D2C8FA5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A65A20D3610478FA6A40EABDD55785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B264EB0663B4E0C9EFF72303D2BDD1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2581</Words>
  <Characters>2856</Characters>
  <Lines>24</Lines>
  <Paragraphs>6</Paragraphs>
  <TotalTime>245</TotalTime>
  <ScaleCrop>false</ScaleCrop>
  <LinksUpToDate>false</LinksUpToDate>
  <CharactersWithSpaces>3018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2024-08-06T00:25:00Z</dcterms:created>
  <dc:creator>姜交龙</dc:creator>
  <dc:description>&lt;config cover="true" show_menu="true" version="1.0.0" doctype="SDKXY"&gt;_x000d_
&lt;/config&gt;</dc:description>
  <cp:lastModifiedBy>姜交龙</cp:lastModifiedBy>
  <cp:lastPrinted>2020-08-30T10:00:00Z</cp:lastPrinted>
  <dcterms:modified xsi:type="dcterms:W3CDTF">2024-09-25T07:18:26Z</dcterms:modified>
  <dc:title>地方标准</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8AA8940FA0BA43C1B704A83069274BBC_12</vt:lpwstr>
  </property>
</Properties>
</file>