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4199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2DD9349">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9685F37">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3F958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5103F1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B50388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080DC1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73ED511">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6201</w:t>
            </w:r>
            <w:r>
              <w:fldChar w:fldCharType="end"/>
            </w:r>
            <w:bookmarkEnd w:id="3"/>
          </w:p>
        </w:tc>
      </w:tr>
    </w:tbl>
    <w:p w14:paraId="1A8771C9">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兰州市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924FE5D">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6201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7B3F2786">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0DC358B">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AFEE4B2">
      <w:pPr>
        <w:pStyle w:val="50"/>
        <w:framePr w:w="9639" w:h="6976" w:hRule="exact" w:hSpace="0" w:vSpace="0" w:wrap="around" w:hAnchor="page" w:y="6408"/>
        <w:jc w:val="center"/>
        <w:rPr>
          <w:rFonts w:hint="eastAsia" w:ascii="黑体" w:hAnsi="黑体" w:eastAsia="黑体"/>
          <w:b w:val="0"/>
          <w:bCs w:val="0"/>
          <w:w w:val="100"/>
        </w:rPr>
      </w:pPr>
    </w:p>
    <w:p w14:paraId="7F985A46">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预包装兰州牛肉拉面智能化生产技术要求</w:t>
      </w:r>
      <w:r>
        <w:fldChar w:fldCharType="end"/>
      </w:r>
      <w:bookmarkEnd w:id="9"/>
    </w:p>
    <w:p w14:paraId="12CC38ED">
      <w:pPr>
        <w:framePr w:w="9639" w:h="6974" w:hRule="exact" w:wrap="around" w:vAnchor="page" w:hAnchor="page" w:x="1419" w:y="6408" w:anchorLock="1"/>
        <w:ind w:left="-1418"/>
      </w:pPr>
    </w:p>
    <w:p w14:paraId="3FB09B90">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requirements for intelligent production of prepackaged Lanzhou beef noodles</w:t>
      </w:r>
      <w:r>
        <w:rPr>
          <w:rFonts w:ascii="黑体" w:hAnsi="黑体" w:eastAsia="黑体"/>
          <w:szCs w:val="28"/>
        </w:rPr>
        <w:fldChar w:fldCharType="end"/>
      </w:r>
      <w:bookmarkEnd w:id="10"/>
    </w:p>
    <w:p w14:paraId="754CB761">
      <w:pPr>
        <w:framePr w:w="9639" w:h="6974" w:hRule="exact" w:wrap="around" w:vAnchor="page" w:hAnchor="page" w:x="1419" w:y="6408" w:anchorLock="1"/>
        <w:spacing w:line="760" w:lineRule="exact"/>
        <w:ind w:left="-1418"/>
      </w:pPr>
    </w:p>
    <w:p w14:paraId="1B23FCCD">
      <w:pPr>
        <w:pStyle w:val="125"/>
        <w:framePr w:w="9639" w:h="6974" w:hRule="exact" w:wrap="around" w:vAnchor="page" w:hAnchor="page" w:x="1419" w:y="6408" w:anchorLock="1"/>
        <w:textAlignment w:val="bottom"/>
        <w:rPr>
          <w:rFonts w:eastAsia="黑体"/>
          <w:szCs w:val="28"/>
        </w:rPr>
      </w:pPr>
    </w:p>
    <w:p w14:paraId="4EA601FD">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1A7259E">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45B0F05">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45BE685">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4A73C87">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EC9FA6F">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兰州市市场监督管理局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E4864C9">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3C60509">
      <w:pPr>
        <w:pStyle w:val="89"/>
        <w:spacing w:before="900" w:after="468"/>
      </w:pPr>
      <w:bookmarkStart w:id="21" w:name="BookMark2"/>
      <w:r>
        <w:rPr>
          <w:rFonts w:hint="eastAsia"/>
          <w:spacing w:val="320"/>
        </w:rPr>
        <w:t>前</w:t>
      </w:r>
      <w:r>
        <w:rPr>
          <w:rFonts w:hint="eastAsia"/>
        </w:rPr>
        <w:t>言</w:t>
      </w:r>
    </w:p>
    <w:p w14:paraId="4EBC0528">
      <w:pPr>
        <w:pStyle w:val="56"/>
        <w:ind w:firstLine="420"/>
      </w:pPr>
      <w:r>
        <w:rPr>
          <w:rFonts w:hint="eastAsia"/>
        </w:rPr>
        <w:t>本文件按照GB/T 1.1—2020《标准化工作导则  第1部分：标准化文件的结构和起草规则》的规定起草。</w:t>
      </w:r>
    </w:p>
    <w:p w14:paraId="1E1EB609">
      <w:pPr>
        <w:pStyle w:val="56"/>
        <w:ind w:firstLine="420"/>
      </w:pPr>
      <w:r>
        <w:rPr>
          <w:rFonts w:hint="eastAsia"/>
        </w:rPr>
        <w:t>请注意本文件的某些内容可能涉及专利。本文件的发布机构不承担识别专利的责任。</w:t>
      </w:r>
    </w:p>
    <w:p w14:paraId="1B3A3D54">
      <w:pPr>
        <w:pStyle w:val="56"/>
        <w:ind w:firstLine="420"/>
      </w:pPr>
      <w:r>
        <w:rPr>
          <w:rFonts w:hint="eastAsia"/>
        </w:rPr>
        <w:t>本文件由兰州市工业和信息化局提出、归口并宣贯。</w:t>
      </w:r>
    </w:p>
    <w:p w14:paraId="244F92FD">
      <w:pPr>
        <w:pStyle w:val="56"/>
        <w:ind w:firstLine="420"/>
      </w:pPr>
      <w:r>
        <w:rPr>
          <w:rFonts w:hint="eastAsia"/>
        </w:rPr>
        <w:t>本文件起草单位：甘肃陇萃堂营养保健食品股份有限公司、兰州嘻烧食品科技有限公司、兰州金城虎拉面有限公司、兰州向阳食品有限公司、兰州科盛食品有限公司、兰州理工大学、兰州市牛肉拉面预包装产业发展协会、兰州牛肉拉面行业协会、兰州市标准化研究所。</w:t>
      </w:r>
    </w:p>
    <w:p w14:paraId="1084D1B1">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rPr>
          <w:rFonts w:hint="eastAsia"/>
        </w:rPr>
        <w:t>本文件主要起草人：姜交龙、杨文英、蔡菊香、郑展霞、李雪华、刘金全、王小伟、魏孔炯、张成文、刘晓风、张百刚、王永刚、任海伟、赵小龙。</w:t>
      </w:r>
    </w:p>
    <w:bookmarkEnd w:id="21"/>
    <w:p w14:paraId="310FFB9E">
      <w:pPr>
        <w:spacing w:line="20" w:lineRule="exact"/>
        <w:jc w:val="center"/>
        <w:rPr>
          <w:rFonts w:hint="eastAsia" w:ascii="黑体" w:hAnsi="黑体" w:eastAsia="黑体"/>
          <w:sz w:val="32"/>
          <w:szCs w:val="32"/>
        </w:rPr>
      </w:pPr>
      <w:bookmarkStart w:id="22" w:name="BookMark4"/>
    </w:p>
    <w:p w14:paraId="4D34B124">
      <w:pPr>
        <w:spacing w:line="20" w:lineRule="exact"/>
        <w:jc w:val="center"/>
        <w:rPr>
          <w:rFonts w:hint="eastAsia" w:ascii="黑体" w:hAnsi="黑体" w:eastAsia="黑体"/>
          <w:sz w:val="32"/>
          <w:szCs w:val="32"/>
        </w:rPr>
      </w:pPr>
    </w:p>
    <w:sdt>
      <w:sdtPr>
        <w:tag w:val="NEW_STAND_NAME"/>
        <w:id w:val="595910757"/>
        <w:lock w:val="sdtLocked"/>
        <w:placeholder>
          <w:docPart w:val="ADC1E3480AFB48C594B99BD93F397A50"/>
        </w:placeholder>
      </w:sdtPr>
      <w:sdtContent>
        <w:p w14:paraId="797C9C9F">
          <w:pPr>
            <w:pStyle w:val="177"/>
            <w:spacing w:before="3" w:beforeLines="1" w:after="686" w:afterLines="220"/>
            <w:rPr>
              <w:rFonts w:hint="eastAsia"/>
            </w:rPr>
          </w:pPr>
          <w:bookmarkStart w:id="23" w:name="NEW_STAND_NAME"/>
          <w:r>
            <w:rPr>
              <w:rFonts w:hint="eastAsia"/>
            </w:rPr>
            <w:t>预包装兰州牛肉拉面智能化生产技术要求</w:t>
          </w:r>
        </w:p>
      </w:sdtContent>
    </w:sdt>
    <w:bookmarkEnd w:id="23"/>
    <w:p w14:paraId="3C918B34">
      <w:pPr>
        <w:pStyle w:val="104"/>
        <w:spacing w:before="312" w:after="312"/>
      </w:pPr>
      <w:bookmarkStart w:id="24" w:name="_Toc24884211"/>
      <w:bookmarkStart w:id="25" w:name="_Toc17233333"/>
      <w:bookmarkStart w:id="26" w:name="_Toc24884218"/>
      <w:bookmarkStart w:id="27" w:name="_Toc26718930"/>
      <w:bookmarkStart w:id="28" w:name="_Toc17233325"/>
      <w:bookmarkStart w:id="29" w:name="_Toc26648465"/>
      <w:bookmarkStart w:id="30" w:name="_Toc26986530"/>
      <w:bookmarkStart w:id="31" w:name="_Toc26986771"/>
      <w:bookmarkStart w:id="32" w:name="_Toc97191423"/>
      <w:r>
        <w:rPr>
          <w:rFonts w:hint="eastAsia"/>
        </w:rPr>
        <w:t>范围</w:t>
      </w:r>
      <w:bookmarkEnd w:id="24"/>
      <w:bookmarkEnd w:id="25"/>
      <w:bookmarkEnd w:id="26"/>
      <w:bookmarkEnd w:id="27"/>
      <w:bookmarkEnd w:id="28"/>
      <w:bookmarkEnd w:id="29"/>
      <w:bookmarkEnd w:id="30"/>
      <w:bookmarkEnd w:id="31"/>
      <w:bookmarkEnd w:id="32"/>
    </w:p>
    <w:p w14:paraId="36962514">
      <w:pPr>
        <w:pStyle w:val="56"/>
        <w:ind w:firstLine="420"/>
      </w:pPr>
      <w:bookmarkStart w:id="33" w:name="_Toc24884219"/>
      <w:bookmarkStart w:id="34" w:name="_Toc26648466"/>
      <w:bookmarkStart w:id="35" w:name="_Toc17233326"/>
      <w:bookmarkStart w:id="36" w:name="_Toc17233334"/>
      <w:bookmarkStart w:id="37" w:name="_Toc24884212"/>
      <w:r>
        <w:rPr>
          <w:rFonts w:hint="eastAsia"/>
        </w:rPr>
        <w:t>本文件界定了预包装兰州牛肉拉面智能化生产的术语定义、智能化要求、生产管理要求、信息安全、质量管理、标志、包装、运输和贮存，规定了建设预包装兰州牛肉面的智能化生产与管理的要求。</w:t>
      </w:r>
    </w:p>
    <w:p w14:paraId="39194C47">
      <w:pPr>
        <w:pStyle w:val="56"/>
        <w:ind w:firstLine="420"/>
      </w:pPr>
      <w:r>
        <w:rPr>
          <w:rFonts w:hint="eastAsia"/>
        </w:rPr>
        <w:t>本文件适用于兰州市行政区域内需要使用预包装兰州牛肉拉面智能化生产的生产企业。</w:t>
      </w:r>
    </w:p>
    <w:p w14:paraId="1A901BBC">
      <w:pPr>
        <w:pStyle w:val="104"/>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07557EEFECCE4CF1AE471C0C13E1C33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584A9E7">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D76DC01">
      <w:pPr>
        <w:widowControl/>
        <w:ind w:firstLine="420" w:firstLineChars="200"/>
        <w:jc w:val="left"/>
        <w:rPr>
          <w:rFonts w:ascii="宋体" w:hAnsi="Times New Roman"/>
          <w:kern w:val="0"/>
          <w:szCs w:val="20"/>
        </w:rPr>
      </w:pPr>
      <w:r>
        <w:rPr>
          <w:rFonts w:hint="eastAsia" w:ascii="宋体" w:hAnsi="宋体" w:cs="宋体"/>
          <w:color w:val="000000"/>
          <w:kern w:val="0"/>
          <w:lang w:bidi="ar"/>
        </w:rPr>
        <w:t xml:space="preserve">GB/T 191       包装储运图示标志 </w:t>
      </w:r>
    </w:p>
    <w:p w14:paraId="03E31172">
      <w:pPr>
        <w:widowControl/>
        <w:spacing w:line="240" w:lineRule="auto"/>
        <w:ind w:firstLine="420" w:firstLineChars="200"/>
        <w:jc w:val="left"/>
        <w:rPr>
          <w:rFonts w:ascii="宋体" w:hAnsi="Times New Roman"/>
          <w:kern w:val="0"/>
          <w:szCs w:val="20"/>
        </w:rPr>
      </w:pPr>
      <w:r>
        <w:rPr>
          <w:rFonts w:hint="eastAsia" w:ascii="宋体" w:hAnsi="Times New Roman"/>
          <w:kern w:val="0"/>
          <w:szCs w:val="20"/>
        </w:rPr>
        <w:t xml:space="preserve">GB 7718        食品安全国家标准 预包装食品标签通则 </w:t>
      </w:r>
    </w:p>
    <w:p w14:paraId="34FEC4B6">
      <w:pPr>
        <w:pStyle w:val="56"/>
        <w:ind w:firstLine="420"/>
      </w:pPr>
      <w:r>
        <w:rPr>
          <w:rFonts w:hint="eastAsia"/>
        </w:rPr>
        <w:t>GB/T 9387（所有部分） 信息技术  开放系统互连  基本参考模型</w:t>
      </w:r>
    </w:p>
    <w:p w14:paraId="0C5E109F">
      <w:pPr>
        <w:pStyle w:val="56"/>
        <w:ind w:firstLine="420"/>
      </w:pPr>
      <w:r>
        <w:rPr>
          <w:rFonts w:hint="eastAsia"/>
        </w:rPr>
        <w:t>GB 10396       农林拖拉机和机械、草坪和园艺动力机械 安全标志和危险图形 总则</w:t>
      </w:r>
    </w:p>
    <w:p w14:paraId="3920F84A">
      <w:pPr>
        <w:widowControl/>
        <w:spacing w:line="240" w:lineRule="auto"/>
        <w:ind w:firstLine="420" w:firstLineChars="200"/>
        <w:jc w:val="left"/>
        <w:rPr>
          <w:rFonts w:ascii="宋体" w:hAnsi="Times New Roman"/>
          <w:kern w:val="0"/>
          <w:szCs w:val="20"/>
        </w:rPr>
      </w:pPr>
      <w:r>
        <w:rPr>
          <w:rFonts w:hint="eastAsia" w:ascii="宋体" w:hAnsi="Times New Roman"/>
          <w:kern w:val="0"/>
          <w:szCs w:val="20"/>
        </w:rPr>
        <w:t xml:space="preserve">GB 14881       食品安全国家标准 食品生产通用卫生规范  </w:t>
      </w:r>
    </w:p>
    <w:p w14:paraId="06B056E0">
      <w:pPr>
        <w:pStyle w:val="56"/>
        <w:ind w:firstLine="420"/>
      </w:pPr>
      <w:r>
        <w:rPr>
          <w:rFonts w:hint="eastAsia"/>
        </w:rPr>
        <w:t>GB 10395.1     农林机械 安全 第1部分：总则</w:t>
      </w:r>
    </w:p>
    <w:p w14:paraId="38282D64">
      <w:pPr>
        <w:pStyle w:val="56"/>
        <w:ind w:firstLine="420"/>
      </w:pPr>
      <w:r>
        <w:rPr>
          <w:rFonts w:hint="eastAsia"/>
        </w:rPr>
        <w:t>GB 50311       综合布线系统工程设计规范</w:t>
      </w:r>
    </w:p>
    <w:p w14:paraId="78622F8A">
      <w:pPr>
        <w:pStyle w:val="104"/>
        <w:spacing w:before="312" w:after="312"/>
      </w:pPr>
      <w:bookmarkStart w:id="42" w:name="_Toc97191425"/>
      <w:r>
        <w:rPr>
          <w:rFonts w:hint="eastAsia"/>
        </w:rPr>
        <w:t>术语和定义</w:t>
      </w:r>
      <w:bookmarkEnd w:id="42"/>
    </w:p>
    <w:sdt>
      <w:sdtPr>
        <w:id w:val="-1909835108"/>
        <w:placeholder>
          <w:docPart w:val="18AF2C197BC64675A11DCDD1DAA63D9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9C6B5A5">
          <w:pPr>
            <w:pStyle w:val="56"/>
            <w:ind w:firstLine="420"/>
          </w:pPr>
          <w:bookmarkStart w:id="43" w:name="_Toc26986532"/>
          <w:bookmarkEnd w:id="43"/>
          <w:r>
            <w:t>下列术语和定义适用于本文件。</w:t>
          </w:r>
        </w:p>
      </w:sdtContent>
    </w:sdt>
    <w:p w14:paraId="0733662B">
      <w:pPr>
        <w:pStyle w:val="105"/>
        <w:spacing w:before="156" w:after="156"/>
      </w:pPr>
      <w:r>
        <w:rPr>
          <w:rFonts w:hint="eastAsia"/>
        </w:rPr>
        <w:t>预包装兰州牛肉拉面</w:t>
      </w:r>
    </w:p>
    <w:p w14:paraId="7AFD408D">
      <w:pPr>
        <w:pStyle w:val="56"/>
      </w:pPr>
    </w:p>
    <w:p w14:paraId="59E33053">
      <w:pPr>
        <w:pStyle w:val="56"/>
        <w:ind w:firstLine="420"/>
      </w:pPr>
      <w:r>
        <w:rPr>
          <w:rFonts w:hint="eastAsia"/>
        </w:rPr>
        <w:t>以独立包装的面条和牛肉汤料为主要原料，辅以独立包装的熟牛肉、脱水蔬菜、油辣椒、萝卜等配料包中的一种或几种，经组合、包装等工序制成的，需煮制或简单冲泡便可食用的预包装兰州牛肉拉面。</w:t>
      </w:r>
    </w:p>
    <w:p w14:paraId="7BC1BC89">
      <w:pPr>
        <w:pStyle w:val="105"/>
        <w:spacing w:before="156" w:after="156"/>
      </w:pPr>
      <w:r>
        <w:rPr>
          <w:rFonts w:hint="eastAsia"/>
        </w:rPr>
        <w:t>预包装兰州牛肉拉面智能化生产</w:t>
      </w:r>
    </w:p>
    <w:p w14:paraId="14AEE6F4">
      <w:pPr>
        <w:pStyle w:val="56"/>
      </w:pPr>
      <w:bookmarkStart w:id="46" w:name="_GoBack"/>
      <w:bookmarkEnd w:id="46"/>
    </w:p>
    <w:p w14:paraId="526AD28C">
      <w:pPr>
        <w:pStyle w:val="56"/>
        <w:ind w:firstLine="420"/>
      </w:pPr>
      <w:r>
        <w:rPr>
          <w:rFonts w:hint="eastAsia"/>
        </w:rPr>
        <w:t>基于物联网、智能感知、自动控制等技术手段，实现预包装兰州牛肉拉面生产过程的智能控制、管理数字化、智能化生产，通过传输和智能控制设备将煮制、油炸、灌装、组装、码垛等预包装兰州牛肉拉面加工设备进行连接而形成的智能化生产线。</w:t>
      </w:r>
    </w:p>
    <w:p w14:paraId="671C2B96">
      <w:pPr>
        <w:pStyle w:val="104"/>
        <w:spacing w:before="312" w:after="312"/>
      </w:pPr>
      <w:r>
        <w:rPr>
          <w:rFonts w:hint="eastAsia"/>
        </w:rPr>
        <w:t>智能化要求</w:t>
      </w:r>
    </w:p>
    <w:p w14:paraId="3EC0F475">
      <w:pPr>
        <w:pStyle w:val="105"/>
        <w:spacing w:before="156" w:after="156"/>
      </w:pPr>
      <w:r>
        <w:rPr>
          <w:rFonts w:hint="eastAsia"/>
        </w:rPr>
        <w:t>基本要求</w:t>
      </w:r>
    </w:p>
    <w:p w14:paraId="0B6EF39D">
      <w:pPr>
        <w:pStyle w:val="165"/>
      </w:pPr>
      <w:r>
        <w:rPr>
          <w:rFonts w:hint="eastAsia"/>
        </w:rPr>
        <w:t>智能化设备外观应整洁、平整、无污损，不允许有毛刺、磕碰伤。凡与预包装兰州牛肉面产品（含内料包）有直接接触的零件材料应不影响其品质。</w:t>
      </w:r>
    </w:p>
    <w:p w14:paraId="3A848FF9">
      <w:pPr>
        <w:pStyle w:val="165"/>
      </w:pPr>
      <w:r>
        <w:rPr>
          <w:rFonts w:hint="eastAsia"/>
        </w:rPr>
        <w:t>智能化设备要求在制造时采用的材料和外购件应符合食品卫生有关规定，并取得合格证，所有配套单机的传动箱和各润滑部件不得有渗漏油现象，不得污染物料。</w:t>
      </w:r>
    </w:p>
    <w:p w14:paraId="0A94174E">
      <w:pPr>
        <w:pStyle w:val="165"/>
      </w:pPr>
      <w:r>
        <w:rPr>
          <w:rFonts w:hint="eastAsia"/>
        </w:rPr>
        <w:t>设备及器具的焊接件焊缝应牢固、平整，不应有烧穿、夹渣、未焊透等现象，钣金件应光滑平整，不应有裂纹、变形和明显影响外观质量的锤痕等现象，咬缝均匀、牢固，容易松脱的零件应有可靠的防松装置。</w:t>
      </w:r>
    </w:p>
    <w:p w14:paraId="6E4EC8A0">
      <w:pPr>
        <w:pStyle w:val="165"/>
      </w:pPr>
      <w:r>
        <w:rPr>
          <w:rFonts w:hint="eastAsia"/>
        </w:rPr>
        <w:t>对操作及相关人员可能接触的外露旋转、传动和高温部件，应设置安全防护装置。防护装置应符合GB 10395.1中的规定。在高温、有触电危险和容易对人身安全造成伤害的部位，应有安全警示标志。安全警示标志设置符合GB 10396的规定。智能化设备使用说明书应含有安全操作方面的有关详细规定，安全警告标志在使用说明书中应重现，且要清晰、易读。</w:t>
      </w:r>
    </w:p>
    <w:p w14:paraId="5F73924B">
      <w:pPr>
        <w:pStyle w:val="165"/>
      </w:pPr>
      <w:r>
        <w:rPr>
          <w:rFonts w:hint="eastAsia"/>
        </w:rPr>
        <w:t>智能化设备自动运行系统必须装有手动安全控制装置，手动安全控制装置应灵敏、可靠，便于需要时立即切断总电源，使智能化设备停止运转。</w:t>
      </w:r>
    </w:p>
    <w:p w14:paraId="6FC01DEF">
      <w:pPr>
        <w:pStyle w:val="105"/>
        <w:spacing w:before="156" w:after="156"/>
      </w:pPr>
      <w:r>
        <w:rPr>
          <w:rFonts w:hint="eastAsia"/>
        </w:rPr>
        <w:t>网络要求</w:t>
      </w:r>
    </w:p>
    <w:p w14:paraId="38496019">
      <w:pPr>
        <w:pStyle w:val="56"/>
        <w:ind w:firstLine="420"/>
      </w:pPr>
      <w:r>
        <w:rPr>
          <w:rFonts w:hint="eastAsia"/>
        </w:rPr>
        <w:t>企业应实现网络全覆盖，车间实现物联网；网络带宽应保障场内设施设备的文字、图像、音频等数 据的稳定传输。应用系统所使用的控制网络通信协议应符合GB/T 9387（所有部分）规定的要求。</w:t>
      </w:r>
    </w:p>
    <w:p w14:paraId="71F865BD">
      <w:pPr>
        <w:pStyle w:val="105"/>
        <w:spacing w:before="156" w:after="156"/>
      </w:pPr>
      <w:r>
        <w:rPr>
          <w:rFonts w:hint="eastAsia"/>
        </w:rPr>
        <w:t>通讯要求</w:t>
      </w:r>
    </w:p>
    <w:p w14:paraId="6163E883">
      <w:pPr>
        <w:pStyle w:val="56"/>
        <w:ind w:firstLine="420"/>
      </w:pPr>
      <w:r>
        <w:rPr>
          <w:rFonts w:hint="eastAsia"/>
        </w:rPr>
        <w:t>线路铺设应符合GB 50311相关要求。</w:t>
      </w:r>
    </w:p>
    <w:p w14:paraId="50DBD64F">
      <w:pPr>
        <w:pStyle w:val="105"/>
        <w:spacing w:before="156" w:after="156"/>
      </w:pPr>
      <w:r>
        <w:rPr>
          <w:rFonts w:hint="eastAsia"/>
        </w:rPr>
        <w:t>生产连续化要求</w:t>
      </w:r>
    </w:p>
    <w:p w14:paraId="1CB9840C">
      <w:pPr>
        <w:widowControl/>
        <w:ind w:firstLine="420" w:firstLineChars="200"/>
        <w:jc w:val="left"/>
      </w:pPr>
      <w:r>
        <w:rPr>
          <w:rFonts w:hint="eastAsia" w:ascii="宋体" w:hAnsi="宋体" w:cs="宋体"/>
          <w:color w:val="000000"/>
          <w:kern w:val="0"/>
          <w:lang w:bidi="ar"/>
        </w:rPr>
        <w:t xml:space="preserve">通过传送带、提升机等辅助机械串联各个加工设备，使单机作业变为连续作业，确保产品不落地、不卡料、不间断。传送带选用食品级材质，颜色宜以白色、绿色为主。 </w:t>
      </w:r>
    </w:p>
    <w:p w14:paraId="140B70B1">
      <w:pPr>
        <w:pStyle w:val="105"/>
        <w:spacing w:before="156" w:after="156"/>
      </w:pPr>
      <w:r>
        <w:rPr>
          <w:rFonts w:hint="eastAsia"/>
        </w:rPr>
        <w:t>自动化要求</w:t>
      </w:r>
    </w:p>
    <w:p w14:paraId="15EEEFD9">
      <w:pPr>
        <w:widowControl/>
        <w:ind w:firstLine="420" w:firstLineChars="200"/>
        <w:jc w:val="left"/>
        <w:rPr>
          <w:rFonts w:hint="eastAsia" w:ascii="宋体" w:hAnsi="宋体" w:cs="宋体"/>
          <w:color w:val="000000"/>
          <w:kern w:val="0"/>
          <w:lang w:bidi="ar"/>
        </w:rPr>
      </w:pPr>
      <w:r>
        <w:rPr>
          <w:rFonts w:hint="eastAsia" w:ascii="宋体" w:hAnsi="宋体" w:cs="宋体"/>
          <w:color w:val="000000"/>
          <w:kern w:val="0"/>
          <w:lang w:bidi="ar"/>
        </w:rPr>
        <w:t xml:space="preserve">应用PLC控制系统、机器视觉、机械手、传感器、物联网等自动化技术，自动监测调控加工各工序技术参数(色泽、流量、速度等）。 </w:t>
      </w:r>
    </w:p>
    <w:p w14:paraId="0A741E7E">
      <w:pPr>
        <w:pStyle w:val="105"/>
        <w:spacing w:before="156" w:after="156"/>
      </w:pPr>
      <w:r>
        <w:rPr>
          <w:rFonts w:hint="eastAsia"/>
        </w:rPr>
        <w:t>预包装兰州牛肉拉面流程</w:t>
      </w:r>
    </w:p>
    <w:p w14:paraId="23C28644">
      <w:pPr>
        <w:pStyle w:val="56"/>
        <w:ind w:firstLine="420"/>
      </w:pPr>
      <w:r>
        <w:rPr>
          <w:rFonts w:hint="eastAsia"/>
        </w:rPr>
        <w:t>实现原材料加工、生产流程等全过程智能化的控制。预包装兰州牛肉拉面流程具体包括：</w:t>
      </w:r>
    </w:p>
    <w:p w14:paraId="78A5A4E8">
      <w:pPr>
        <w:pStyle w:val="65"/>
        <w:spacing w:before="156" w:after="156"/>
      </w:pPr>
      <w:r>
        <w:rPr>
          <w:rFonts w:hint="eastAsia"/>
        </w:rPr>
        <w:t>面条生产工艺流程图</w:t>
      </w:r>
    </w:p>
    <w:p w14:paraId="05B4600E">
      <w:pPr>
        <w:pStyle w:val="56"/>
        <w:ind w:firstLine="420"/>
      </w:pPr>
      <w:r>
        <w:rPr>
          <w:rFonts w:hint="eastAsia"/>
        </w:rPr>
        <w:t>混配</w:t>
      </w:r>
      <w:bookmarkStart w:id="44" w:name="_Hlk177716552"/>
      <w:r>
        <w:rPr>
          <w:rFonts w:hint="eastAsia"/>
        </w:rPr>
        <w:t>→</w:t>
      </w:r>
      <w:bookmarkEnd w:id="44"/>
      <w:r>
        <w:rPr>
          <w:rFonts w:hint="eastAsia"/>
        </w:rPr>
        <w:t>和面→压延熟化→成型→干燥（熟化）→冷却→包装</w:t>
      </w:r>
    </w:p>
    <w:p w14:paraId="73D5B1A7">
      <w:pPr>
        <w:pStyle w:val="65"/>
        <w:spacing w:before="156" w:after="156"/>
      </w:pPr>
      <w:r>
        <w:rPr>
          <w:rFonts w:hint="eastAsia"/>
        </w:rPr>
        <w:t>牛肉汤生产工艺流程图</w:t>
      </w:r>
    </w:p>
    <w:p w14:paraId="680D5930">
      <w:pPr>
        <w:pStyle w:val="56"/>
        <w:ind w:firstLine="420"/>
      </w:pPr>
      <w:r>
        <w:rPr>
          <w:rFonts w:hint="eastAsia"/>
        </w:rPr>
        <w:t>原料预处理→熬煮→过滤→混料→灌装→包装→杀菌</w:t>
      </w:r>
    </w:p>
    <w:p w14:paraId="63237AA6">
      <w:pPr>
        <w:pStyle w:val="65"/>
        <w:spacing w:before="156" w:after="156"/>
      </w:pPr>
      <w:r>
        <w:rPr>
          <w:rFonts w:hint="eastAsia"/>
        </w:rPr>
        <w:t>牛肉生产工艺流程图</w:t>
      </w:r>
    </w:p>
    <w:p w14:paraId="632527F1">
      <w:pPr>
        <w:pStyle w:val="56"/>
        <w:ind w:firstLine="420"/>
      </w:pPr>
      <w:r>
        <w:rPr>
          <w:rFonts w:hint="eastAsia"/>
        </w:rPr>
        <w:t>原料预处理（解冻、清洗、分割）→焯水→煮制→切制→装袋→杀菌</w:t>
      </w:r>
    </w:p>
    <w:p w14:paraId="237A2923">
      <w:pPr>
        <w:pStyle w:val="65"/>
        <w:spacing w:before="156" w:after="156"/>
      </w:pPr>
      <w:r>
        <w:rPr>
          <w:rFonts w:hint="eastAsia"/>
        </w:rPr>
        <w:t>油辣椒生产工艺流程图</w:t>
      </w:r>
    </w:p>
    <w:p w14:paraId="2088DC5D">
      <w:pPr>
        <w:pStyle w:val="56"/>
        <w:ind w:firstLine="420"/>
      </w:pPr>
      <w:r>
        <w:rPr>
          <w:rFonts w:hint="eastAsia"/>
        </w:rPr>
        <w:t>原料预处理→热油→泼制→冷却→包装</w:t>
      </w:r>
    </w:p>
    <w:p w14:paraId="3D7A9B8D">
      <w:pPr>
        <w:pStyle w:val="65"/>
        <w:spacing w:before="156" w:after="156"/>
      </w:pPr>
      <w:r>
        <w:rPr>
          <w:rFonts w:hint="eastAsia"/>
        </w:rPr>
        <w:t>萝卜生产工艺流程图</w:t>
      </w:r>
    </w:p>
    <w:p w14:paraId="23AE39CE">
      <w:pPr>
        <w:pStyle w:val="56"/>
        <w:ind w:firstLine="420"/>
      </w:pPr>
      <w:r>
        <w:rPr>
          <w:rFonts w:hint="eastAsia"/>
        </w:rPr>
        <w:t>原料预处理切片→煮制→装袋→杀菌</w:t>
      </w:r>
    </w:p>
    <w:p w14:paraId="6DEC558C">
      <w:pPr>
        <w:pStyle w:val="65"/>
        <w:spacing w:before="156" w:after="156"/>
      </w:pPr>
      <w:r>
        <w:rPr>
          <w:rFonts w:hint="eastAsia"/>
        </w:rPr>
        <w:t>蔬菜生产工艺流程图</w:t>
      </w:r>
    </w:p>
    <w:p w14:paraId="1E9AC12A">
      <w:pPr>
        <w:pStyle w:val="56"/>
        <w:ind w:firstLine="420"/>
      </w:pPr>
      <w:r>
        <w:rPr>
          <w:rFonts w:hint="eastAsia"/>
        </w:rPr>
        <w:t>前处理→干燥→冷却→分选→包装→杀菌</w:t>
      </w:r>
    </w:p>
    <w:p w14:paraId="31F131EA">
      <w:pPr>
        <w:pStyle w:val="65"/>
        <w:spacing w:before="156" w:after="156"/>
      </w:pPr>
      <w:r>
        <w:rPr>
          <w:rFonts w:hint="eastAsia"/>
        </w:rPr>
        <w:t>预包装兰州牛肉拉面成品生产流程</w:t>
      </w:r>
    </w:p>
    <w:p w14:paraId="0D14A6B1">
      <w:pPr>
        <w:pStyle w:val="56"/>
        <w:ind w:firstLine="420"/>
      </w:pPr>
      <w:r>
        <w:rPr>
          <w:rFonts w:hint="eastAsia"/>
        </w:rPr>
        <w:t>半成品（内料包）入库→半成品（内料包）投料→成品组装→成品检测→成品入库</w:t>
      </w:r>
    </w:p>
    <w:p w14:paraId="6C4B8F1E">
      <w:pPr>
        <w:pStyle w:val="105"/>
        <w:spacing w:before="156" w:after="156"/>
      </w:pPr>
      <w:r>
        <w:rPr>
          <w:rFonts w:hint="eastAsia"/>
        </w:rPr>
        <w:t>数据采集和监控</w:t>
      </w:r>
    </w:p>
    <w:p w14:paraId="29BE624B">
      <w:pPr>
        <w:pStyle w:val="56"/>
        <w:ind w:firstLine="420"/>
      </w:pPr>
      <w:r>
        <w:rPr>
          <w:rFonts w:hint="eastAsia"/>
        </w:rPr>
        <w:t>应实现对生产数据的实时采集和监控：</w:t>
      </w:r>
    </w:p>
    <w:p w14:paraId="07CD9C69">
      <w:pPr>
        <w:pStyle w:val="56"/>
        <w:ind w:firstLine="420"/>
      </w:pPr>
      <w:r>
        <w:rPr>
          <w:rFonts w:hint="eastAsia"/>
        </w:rPr>
        <w:t>a)通过监控摄像头、传感器、仪器仪表等数据采集设备的自感知，实现对生产全过程实时的数据采集；</w:t>
      </w:r>
    </w:p>
    <w:p w14:paraId="75F60E5B">
      <w:pPr>
        <w:pStyle w:val="56"/>
        <w:ind w:firstLine="420"/>
      </w:pPr>
      <w:r>
        <w:rPr>
          <w:rFonts w:hint="eastAsia"/>
        </w:rPr>
        <w:t>b)适时对数据进行采集并传输到相应系统进行决策和执行；</w:t>
      </w:r>
    </w:p>
    <w:p w14:paraId="7B91AB52">
      <w:pPr>
        <w:pStyle w:val="56"/>
        <w:ind w:firstLine="420"/>
      </w:pPr>
      <w:r>
        <w:rPr>
          <w:rFonts w:hint="eastAsia"/>
        </w:rPr>
        <w:t>c)生产环节的关键信息进行实时显示；</w:t>
      </w:r>
    </w:p>
    <w:p w14:paraId="1E666925">
      <w:pPr>
        <w:pStyle w:val="56"/>
        <w:ind w:firstLine="420"/>
      </w:pPr>
      <w:r>
        <w:rPr>
          <w:rFonts w:hint="eastAsia"/>
        </w:rPr>
        <w:t>d)设置自动报警指令和规则，实时对生产全过程进行调整、变更等自决策、自执行。</w:t>
      </w:r>
    </w:p>
    <w:p w14:paraId="59DC69C3">
      <w:pPr>
        <w:pStyle w:val="105"/>
        <w:spacing w:before="156" w:after="156"/>
      </w:pPr>
      <w:r>
        <w:rPr>
          <w:rFonts w:hint="eastAsia"/>
        </w:rPr>
        <w:t>数据分析</w:t>
      </w:r>
    </w:p>
    <w:p w14:paraId="77D235F4">
      <w:pPr>
        <w:pStyle w:val="56"/>
        <w:ind w:firstLine="420"/>
      </w:pPr>
      <w:r>
        <w:rPr>
          <w:rFonts w:hint="eastAsia"/>
        </w:rPr>
        <w:t>生产过程中及时对所获取的生产相关数据进行分析：</w:t>
      </w:r>
    </w:p>
    <w:p w14:paraId="566CC2DB">
      <w:pPr>
        <w:pStyle w:val="56"/>
        <w:ind w:firstLine="420"/>
      </w:pPr>
      <w:r>
        <w:rPr>
          <w:rFonts w:hint="eastAsia"/>
        </w:rPr>
        <w:t>a) 通过数据分析系统，对即时采集的数据进行可视化显示；</w:t>
      </w:r>
    </w:p>
    <w:p w14:paraId="257C3715">
      <w:pPr>
        <w:pStyle w:val="56"/>
        <w:ind w:firstLine="420"/>
      </w:pPr>
      <w:r>
        <w:rPr>
          <w:rFonts w:hint="eastAsia"/>
        </w:rPr>
        <w:t>b) 建立数据分析模型，对生产数据进行分析，及时获取生产过程中有价值的关键参数指标，用于生产监测。</w:t>
      </w:r>
    </w:p>
    <w:p w14:paraId="2959ED35">
      <w:pPr>
        <w:pStyle w:val="104"/>
        <w:spacing w:before="312" w:after="312"/>
      </w:pPr>
      <w:r>
        <w:rPr>
          <w:rFonts w:hint="eastAsia"/>
        </w:rPr>
        <w:t>生产管理要求</w:t>
      </w:r>
    </w:p>
    <w:p w14:paraId="79EDD627">
      <w:pPr>
        <w:pStyle w:val="105"/>
        <w:spacing w:before="156" w:after="156"/>
      </w:pPr>
      <w:r>
        <w:rPr>
          <w:rFonts w:hint="eastAsia"/>
        </w:rPr>
        <w:t>过程控制</w:t>
      </w:r>
    </w:p>
    <w:p w14:paraId="343D9672">
      <w:pPr>
        <w:pStyle w:val="56"/>
        <w:ind w:firstLine="420"/>
      </w:pPr>
      <w:r>
        <w:rPr>
          <w:rFonts w:hint="eastAsia"/>
        </w:rPr>
        <w:t>过程控制主要是针对车间、流水线的自动化系统、传感器、工业网络。过程控制应实现对数字车间、数字化生产线的数据采集、自动化控制。通常包括但不限于：</w:t>
      </w:r>
    </w:p>
    <w:p w14:paraId="39C16C0E">
      <w:pPr>
        <w:pStyle w:val="56"/>
        <w:ind w:firstLine="420"/>
      </w:pPr>
      <w:r>
        <w:rPr>
          <w:rFonts w:hint="eastAsia"/>
        </w:rPr>
        <w:t>a)原辅料预处理：应包括对原辅料预处理的相关自动化系统，例如原辅料自动化清洗、自动化烘干等初加工系统等；</w:t>
      </w:r>
    </w:p>
    <w:p w14:paraId="4C5B2A5B">
      <w:pPr>
        <w:pStyle w:val="56"/>
        <w:ind w:firstLine="420"/>
      </w:pPr>
      <w:r>
        <w:rPr>
          <w:rFonts w:hint="eastAsia"/>
        </w:rPr>
        <w:t>b)牛肉汤料熬制：从香辛料、牛肉等原辅料到完成熬制包装的信息系统，应包括投料、汤料输送、封装、杀菌、清洗、烘干、冷却、金属检测等环节；</w:t>
      </w:r>
    </w:p>
    <w:p w14:paraId="6074B3A8">
      <w:pPr>
        <w:pStyle w:val="56"/>
        <w:ind w:firstLine="420"/>
      </w:pPr>
      <w:r>
        <w:rPr>
          <w:rFonts w:hint="eastAsia"/>
        </w:rPr>
        <w:t>c）辣椒包：从辣椒粉、香辛料、菜籽油等原辅料到完成泼制包装的信息系统，应包括投料、油辣椒输送、封装、金属检测等环节；</w:t>
      </w:r>
    </w:p>
    <w:p w14:paraId="781D229F">
      <w:pPr>
        <w:pStyle w:val="56"/>
        <w:ind w:firstLine="420"/>
      </w:pPr>
      <w:r>
        <w:rPr>
          <w:rFonts w:hint="eastAsia"/>
        </w:rPr>
        <w:t>d）萝卜包：从萝卜等原辅料到完成包装的信息系统，应包括投料、煮制、封装、杀菌、清洗、烘干、冷却等环节；</w:t>
      </w:r>
    </w:p>
    <w:p w14:paraId="10C631DD">
      <w:pPr>
        <w:pStyle w:val="56"/>
        <w:ind w:firstLine="420"/>
        <w:rPr>
          <w:highlight w:val="yellow"/>
        </w:rPr>
      </w:pPr>
      <w:r>
        <w:rPr>
          <w:rFonts w:hint="eastAsia"/>
        </w:rPr>
        <w:t>e）牛肉包：从牛肉、香辛料等原辅料到完成煮制、包装的信息系统，应包括投料、煮制、封装、杀菌、清洗、烘干、冷却等环节；</w:t>
      </w:r>
    </w:p>
    <w:p w14:paraId="1E73A7C1">
      <w:pPr>
        <w:pStyle w:val="56"/>
        <w:ind w:firstLine="420"/>
      </w:pPr>
      <w:r>
        <w:rPr>
          <w:rFonts w:hint="eastAsia"/>
        </w:rPr>
        <w:t>f)成品装配、 自动打码：成品包装后自动传送、装箱等。</w:t>
      </w:r>
    </w:p>
    <w:p w14:paraId="55F760FE">
      <w:pPr>
        <w:pStyle w:val="105"/>
        <w:spacing w:before="156" w:after="156"/>
      </w:pPr>
      <w:r>
        <w:rPr>
          <w:rFonts w:hint="eastAsia"/>
        </w:rPr>
        <w:t>生产运行管理</w:t>
      </w:r>
    </w:p>
    <w:p w14:paraId="0E50CDDD">
      <w:pPr>
        <w:pStyle w:val="65"/>
        <w:spacing w:before="156" w:after="156"/>
      </w:pPr>
      <w:r>
        <w:rPr>
          <w:rFonts w:hint="eastAsia"/>
        </w:rPr>
        <w:t>生产执行系统</w:t>
      </w:r>
    </w:p>
    <w:p w14:paraId="4CF645BE">
      <w:pPr>
        <w:pStyle w:val="56"/>
        <w:ind w:firstLine="420"/>
      </w:pPr>
      <w:r>
        <w:rPr>
          <w:rFonts w:hint="eastAsia"/>
        </w:rPr>
        <w:t>生产的执行系统（MES系统）应包括以下功能模块：生产管理、物料管理、质量管理、电子批记录管理、设备管理、账号管理、报表管理、排产排程。</w:t>
      </w:r>
    </w:p>
    <w:p w14:paraId="1EDE552E">
      <w:pPr>
        <w:pStyle w:val="65"/>
        <w:spacing w:before="156" w:after="156"/>
      </w:pPr>
      <w:r>
        <w:rPr>
          <w:rFonts w:hint="eastAsia"/>
        </w:rPr>
        <w:t>生产数据采集与监控系统</w:t>
      </w:r>
    </w:p>
    <w:p w14:paraId="5276804E">
      <w:pPr>
        <w:pStyle w:val="94"/>
        <w:spacing w:before="156" w:after="156"/>
      </w:pPr>
      <w:r>
        <w:rPr>
          <w:rFonts w:hint="eastAsia"/>
        </w:rPr>
        <w:t>概述</w:t>
      </w:r>
    </w:p>
    <w:p w14:paraId="27250BD3">
      <w:pPr>
        <w:pStyle w:val="56"/>
        <w:ind w:firstLine="420"/>
      </w:pPr>
      <w:r>
        <w:rPr>
          <w:rFonts w:hint="eastAsia"/>
        </w:rPr>
        <w:t xml:space="preserve">借助生产数据采集与监控系统（SCADA系统）的自感知，对现场的运行设备进行监视和控制，实时监控食品生产一线状况，确保符合相关认证体系的要求，实现对全部关键环节的全方位数据监控。 </w:t>
      </w:r>
    </w:p>
    <w:p w14:paraId="53436F2C">
      <w:pPr>
        <w:pStyle w:val="94"/>
        <w:spacing w:before="156" w:after="156"/>
      </w:pPr>
      <w:r>
        <w:rPr>
          <w:rFonts w:hint="eastAsia"/>
        </w:rPr>
        <w:t>生产监控</w:t>
      </w:r>
    </w:p>
    <w:p w14:paraId="5D0CDCCD">
      <w:pPr>
        <w:pStyle w:val="56"/>
        <w:ind w:firstLine="420"/>
      </w:pPr>
      <w:r>
        <w:rPr>
          <w:rFonts w:hint="eastAsia"/>
        </w:rPr>
        <w:t>通过通讯集成，将车间各独立的设备集成到SCADA系统中进行统一管理监控，监控每一台设备的状 态，保证生产的质量和安全。</w:t>
      </w:r>
    </w:p>
    <w:p w14:paraId="517F7AF0">
      <w:pPr>
        <w:pStyle w:val="65"/>
        <w:spacing w:before="156" w:after="156"/>
      </w:pPr>
      <w:r>
        <w:rPr>
          <w:rFonts w:hint="eastAsia"/>
        </w:rPr>
        <w:t>报警管理</w:t>
      </w:r>
    </w:p>
    <w:p w14:paraId="229C3A8E">
      <w:pPr>
        <w:pStyle w:val="56"/>
        <w:ind w:firstLine="420"/>
      </w:pPr>
      <w:r>
        <w:rPr>
          <w:rFonts w:hint="eastAsia"/>
        </w:rPr>
        <w:t>报警管理模块应满足：</w:t>
      </w:r>
    </w:p>
    <w:p w14:paraId="5E7F2C9B">
      <w:pPr>
        <w:pStyle w:val="56"/>
        <w:ind w:firstLine="420"/>
      </w:pPr>
      <w:r>
        <w:rPr>
          <w:rFonts w:hint="eastAsia"/>
        </w:rPr>
        <w:t>a) 报警事件检测平台经自感应检测，将数据转换为状态，通过系统自决策、 自执行的操作，实现对当前状态的分析、预测出未来故障的趋势；</w:t>
      </w:r>
    </w:p>
    <w:p w14:paraId="4FDF1A0A">
      <w:pPr>
        <w:pStyle w:val="56"/>
        <w:ind w:firstLine="420"/>
      </w:pPr>
      <w:r>
        <w:rPr>
          <w:rFonts w:hint="eastAsia"/>
        </w:rPr>
        <w:t>b) 在检测到异常后，应通过声光、语音、短信等多种方式发出报警；</w:t>
      </w:r>
    </w:p>
    <w:p w14:paraId="3CF6C268">
      <w:pPr>
        <w:pStyle w:val="56"/>
        <w:ind w:firstLine="420"/>
      </w:pPr>
      <w:r>
        <w:rPr>
          <w:rFonts w:hint="eastAsia"/>
        </w:rPr>
        <w:t>c)确保报警被处理，记录报警处理相关信息，评估已有行为的正确性或优良度，自动修改系统结构或参数以得到改进，实现系统自学习。</w:t>
      </w:r>
    </w:p>
    <w:p w14:paraId="618CE247">
      <w:pPr>
        <w:pStyle w:val="104"/>
        <w:spacing w:before="312" w:after="312"/>
      </w:pPr>
      <w:r>
        <w:rPr>
          <w:rFonts w:hint="eastAsia"/>
        </w:rPr>
        <w:t>信息安全</w:t>
      </w:r>
    </w:p>
    <w:p w14:paraId="74D1971B">
      <w:pPr>
        <w:pStyle w:val="56"/>
        <w:ind w:firstLine="420"/>
      </w:pPr>
      <w:r>
        <w:rPr>
          <w:rFonts w:hint="eastAsia"/>
        </w:rPr>
        <w:t>参照最新国家信息安全技术标准执行。</w:t>
      </w:r>
    </w:p>
    <w:p w14:paraId="279ED46E">
      <w:pPr>
        <w:pStyle w:val="104"/>
        <w:spacing w:before="312" w:after="312"/>
      </w:pPr>
      <w:r>
        <w:rPr>
          <w:rFonts w:hint="eastAsia"/>
        </w:rPr>
        <w:t>质量管理</w:t>
      </w:r>
    </w:p>
    <w:p w14:paraId="13484FEA">
      <w:pPr>
        <w:pStyle w:val="162"/>
      </w:pPr>
      <w:r>
        <w:rPr>
          <w:rFonts w:hint="eastAsia"/>
        </w:rPr>
        <w:t>加工过程的卫生管理、质量安全控制应符合GB 14881的规定，加工过程不能违规添加食品添加剂。</w:t>
      </w:r>
    </w:p>
    <w:p w14:paraId="582E7037">
      <w:pPr>
        <w:pStyle w:val="162"/>
      </w:pPr>
      <w:r>
        <w:rPr>
          <w:rFonts w:hint="eastAsia"/>
        </w:rPr>
        <w:t xml:space="preserve">应建立质量安全可追溯管理体系。原料验收、加工过程各道工序应有相应的记录，预包装兰州牛肉拉面原料应按批次经检验符合要求后方可进入下一生产工序，加工各关键控制点应有相关记录，建立原料采购、加工、入库、出库的完整档案记录，各记录应保留三年。 </w:t>
      </w:r>
    </w:p>
    <w:p w14:paraId="0893CE44">
      <w:pPr>
        <w:pStyle w:val="162"/>
      </w:pPr>
      <w:r>
        <w:rPr>
          <w:rFonts w:hint="eastAsia" w:hAnsi="宋体" w:cs="宋体"/>
        </w:rPr>
        <w:t xml:space="preserve">应具备与出厂检验项目相适应的检验室和检验能力，按照相关标准对出厂产品逐批进行检验，出厂检验项目包括感官品质、净含量、水分、过氧化值等，应有相应的检验原始记录，记录应保留三年。。 </w:t>
      </w:r>
    </w:p>
    <w:p w14:paraId="295CC9D7">
      <w:pPr>
        <w:pStyle w:val="104"/>
        <w:spacing w:before="312" w:after="312"/>
      </w:pPr>
      <w:r>
        <w:rPr>
          <w:rFonts w:hint="eastAsia"/>
        </w:rPr>
        <w:t xml:space="preserve">标志、包装、运输和贮存 </w:t>
      </w:r>
    </w:p>
    <w:p w14:paraId="67B80D5A">
      <w:pPr>
        <w:pStyle w:val="105"/>
        <w:spacing w:before="156" w:after="156"/>
      </w:pPr>
      <w:r>
        <w:rPr>
          <w:rFonts w:hint="eastAsia"/>
        </w:rPr>
        <w:t xml:space="preserve">标志 </w:t>
      </w:r>
    </w:p>
    <w:p w14:paraId="1AE52424">
      <w:pPr>
        <w:widowControl/>
        <w:ind w:firstLine="420" w:firstLineChars="200"/>
        <w:jc w:val="left"/>
        <w:rPr>
          <w:rFonts w:hint="eastAsia" w:ascii="宋体" w:hAnsi="宋体" w:cs="宋体"/>
          <w:color w:val="000000"/>
          <w:kern w:val="0"/>
          <w:lang w:bidi="ar"/>
        </w:rPr>
      </w:pPr>
      <w:r>
        <w:rPr>
          <w:rFonts w:hint="eastAsia" w:ascii="宋体" w:hAnsi="宋体" w:cs="宋体"/>
          <w:color w:val="000000"/>
          <w:kern w:val="0"/>
          <w:lang w:bidi="ar"/>
        </w:rPr>
        <w:t xml:space="preserve">在原料采购、加工、贮存等过程中，每批半成品（内料包）、成品应编制加工批号或系列号，做好相应的标识，确保最终产品可追溯。产品的标志、标签应符合GB 7718的要求。 </w:t>
      </w:r>
    </w:p>
    <w:p w14:paraId="63A848E0">
      <w:pPr>
        <w:pStyle w:val="105"/>
        <w:spacing w:before="156" w:after="156"/>
      </w:pPr>
      <w:r>
        <w:rPr>
          <w:rFonts w:hint="eastAsia"/>
        </w:rPr>
        <w:t xml:space="preserve">包装 </w:t>
      </w:r>
    </w:p>
    <w:p w14:paraId="4A00A45F">
      <w:pPr>
        <w:widowControl/>
        <w:ind w:firstLine="420" w:firstLineChars="200"/>
        <w:jc w:val="left"/>
      </w:pPr>
      <w:r>
        <w:rPr>
          <w:rFonts w:hint="eastAsia" w:ascii="宋体" w:hAnsi="宋体" w:cs="宋体"/>
          <w:color w:val="000000"/>
          <w:kern w:val="0"/>
          <w:lang w:bidi="ar"/>
        </w:rPr>
        <w:t xml:space="preserve">产品外包装应有文字清晰整齐的标志，包装图示应符合GB/T 191的规定。 </w:t>
      </w:r>
    </w:p>
    <w:p w14:paraId="15AEB90A">
      <w:pPr>
        <w:widowControl/>
        <w:jc w:val="left"/>
      </w:pPr>
      <w:r>
        <w:rPr>
          <w:rFonts w:hint="eastAsia" w:ascii="黑体" w:hAnsi="宋体" w:eastAsia="黑体" w:cs="黑体"/>
          <w:color w:val="000000"/>
          <w:kern w:val="0"/>
          <w:lang w:bidi="ar"/>
        </w:rPr>
        <w:t xml:space="preserve">8.3运输 </w:t>
      </w:r>
    </w:p>
    <w:p w14:paraId="6AFD7704">
      <w:pPr>
        <w:widowControl/>
        <w:ind w:firstLine="420" w:firstLineChars="200"/>
        <w:jc w:val="left"/>
      </w:pPr>
      <w:r>
        <w:rPr>
          <w:rFonts w:hint="eastAsia" w:ascii="宋体" w:hAnsi="宋体" w:cs="宋体"/>
          <w:color w:val="000000"/>
          <w:kern w:val="0"/>
          <w:lang w:bidi="ar"/>
        </w:rPr>
        <w:t xml:space="preserve">运输工具应清洁、干燥、无异味、无污染。运输时应有防雨、防潮、防曝晒等措施。不应与有毒、有害、有异味、易污染的物品混装、混运。 </w:t>
      </w:r>
      <w:bookmarkEnd w:id="22"/>
    </w:p>
    <w:p w14:paraId="18CBD21C">
      <w:pPr>
        <w:pStyle w:val="56"/>
        <w:ind w:firstLine="0" w:firstLineChars="0"/>
        <w:jc w:val="center"/>
      </w:pPr>
      <w:bookmarkStart w:id="45" w:name="BookMark8"/>
      <w:r>
        <w:rPr>
          <w:rFonts w:hint="eastAsia"/>
        </w:rPr>
        <w:drawing>
          <wp:inline distT="0" distB="0" distL="0" distR="0">
            <wp:extent cx="1485900" cy="317500"/>
            <wp:effectExtent l="0" t="0" r="0" b="6350"/>
            <wp:docPr id="522541128" name="图片 3"/>
            <wp:cNvGraphicFramePr/>
            <a:graphic xmlns:a="http://schemas.openxmlformats.org/drawingml/2006/main">
              <a:graphicData uri="http://schemas.openxmlformats.org/drawingml/2006/picture">
                <pic:pic xmlns:pic="http://schemas.openxmlformats.org/drawingml/2006/picture">
                  <pic:nvPicPr>
                    <pic:cNvPr id="522541128" name="图片 3"/>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B4B3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4584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D4F23">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474D">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AF15B">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8F19F">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D1658">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4BA63">
    <w:pPr>
      <w:pStyle w:val="61"/>
      <w:rPr>
        <w:rFonts w:hint="eastAsia"/>
      </w:rPr>
    </w:pPr>
    <w:r>
      <w:fldChar w:fldCharType="begin"/>
    </w:r>
    <w:r>
      <w:instrText xml:space="preserve"> STYLEREF  标准文件_文件编号  \* MERGEFORMAT </w:instrText>
    </w:r>
    <w:r>
      <w:fldChar w:fldCharType="separate"/>
    </w:r>
    <w:r>
      <w:t>DB 6201/T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973AD">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6201/T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attachedTemplate r:id="rId1"/>
  <w:documentProtection w:edit="forms" w:enforcement="1" w:cryptProviderType="rsaAES" w:cryptAlgorithmClass="hash" w:cryptAlgorithmType="typeAny" w:cryptAlgorithmSid="14" w:cryptSpinCount="100000" w:hash="Bwhxt+/T/KKuyYeRjx6n0vAPASV8dqYLfBBDYLr1JMgkNYy+2dByH7SRPq3uY7BpkYketh45qx/bP3rU57YbMQ==" w:salt="KDcLplFH3zyl0AW5VqanJg=="/>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4429D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44F"/>
    <w:rsid w:val="00047F28"/>
    <w:rsid w:val="000503AA"/>
    <w:rsid w:val="000506A1"/>
    <w:rsid w:val="000515DD"/>
    <w:rsid w:val="0005265A"/>
    <w:rsid w:val="000539DD"/>
    <w:rsid w:val="00053BD3"/>
    <w:rsid w:val="000556ED"/>
    <w:rsid w:val="00055FE2"/>
    <w:rsid w:val="0005616F"/>
    <w:rsid w:val="00060C2E"/>
    <w:rsid w:val="00061033"/>
    <w:rsid w:val="000619E9"/>
    <w:rsid w:val="00061C5E"/>
    <w:rsid w:val="000622D4"/>
    <w:rsid w:val="00062927"/>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4F2"/>
    <w:rsid w:val="000A7311"/>
    <w:rsid w:val="000B060F"/>
    <w:rsid w:val="000B1592"/>
    <w:rsid w:val="000B1FF2"/>
    <w:rsid w:val="000B23D6"/>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655"/>
    <w:rsid w:val="000E3283"/>
    <w:rsid w:val="000E4C9E"/>
    <w:rsid w:val="000E6FD7"/>
    <w:rsid w:val="000F06E1"/>
    <w:rsid w:val="000F0E3C"/>
    <w:rsid w:val="000F19D5"/>
    <w:rsid w:val="000F4AEA"/>
    <w:rsid w:val="000F4D9B"/>
    <w:rsid w:val="000F633F"/>
    <w:rsid w:val="000F67E9"/>
    <w:rsid w:val="00104926"/>
    <w:rsid w:val="00113B1E"/>
    <w:rsid w:val="0011711C"/>
    <w:rsid w:val="001200EF"/>
    <w:rsid w:val="0012059C"/>
    <w:rsid w:val="00124E4F"/>
    <w:rsid w:val="001260B7"/>
    <w:rsid w:val="001265CB"/>
    <w:rsid w:val="001321C6"/>
    <w:rsid w:val="001325C4"/>
    <w:rsid w:val="00132DE7"/>
    <w:rsid w:val="00132ED8"/>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66F"/>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2D8B"/>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D9C"/>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7CAD"/>
    <w:rsid w:val="00313B85"/>
    <w:rsid w:val="00317988"/>
    <w:rsid w:val="003221B4"/>
    <w:rsid w:val="0032258D"/>
    <w:rsid w:val="00322E62"/>
    <w:rsid w:val="003232AD"/>
    <w:rsid w:val="00324D13"/>
    <w:rsid w:val="00324D2A"/>
    <w:rsid w:val="00324EDD"/>
    <w:rsid w:val="0033232E"/>
    <w:rsid w:val="003331E4"/>
    <w:rsid w:val="00336C64"/>
    <w:rsid w:val="00337162"/>
    <w:rsid w:val="003372E7"/>
    <w:rsid w:val="0034194F"/>
    <w:rsid w:val="00344605"/>
    <w:rsid w:val="003474AA"/>
    <w:rsid w:val="00350D1D"/>
    <w:rsid w:val="00352C83"/>
    <w:rsid w:val="00355C4F"/>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298E"/>
    <w:rsid w:val="004429D8"/>
    <w:rsid w:val="00443F34"/>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424"/>
    <w:rsid w:val="004C1FBC"/>
    <w:rsid w:val="004C3F1D"/>
    <w:rsid w:val="004C458D"/>
    <w:rsid w:val="004C7556"/>
    <w:rsid w:val="004C7E8B"/>
    <w:rsid w:val="004C7E9D"/>
    <w:rsid w:val="004C7F67"/>
    <w:rsid w:val="004D076D"/>
    <w:rsid w:val="004D0EF1"/>
    <w:rsid w:val="004D1795"/>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40F"/>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D36"/>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5F"/>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2B40"/>
    <w:rsid w:val="005F4712"/>
    <w:rsid w:val="005F6B4C"/>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2F0C"/>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0FF3"/>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5AB"/>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A8D"/>
    <w:rsid w:val="008373D3"/>
    <w:rsid w:val="00837DB2"/>
    <w:rsid w:val="00840617"/>
    <w:rsid w:val="00840F84"/>
    <w:rsid w:val="00842A47"/>
    <w:rsid w:val="00843C13"/>
    <w:rsid w:val="008454F8"/>
    <w:rsid w:val="0085173A"/>
    <w:rsid w:val="00854A8B"/>
    <w:rsid w:val="00856316"/>
    <w:rsid w:val="008603CE"/>
    <w:rsid w:val="008620FC"/>
    <w:rsid w:val="008627A5"/>
    <w:rsid w:val="00863E05"/>
    <w:rsid w:val="00865ACA"/>
    <w:rsid w:val="00865D28"/>
    <w:rsid w:val="00865F85"/>
    <w:rsid w:val="00867C10"/>
    <w:rsid w:val="00870439"/>
    <w:rsid w:val="00870DA1"/>
    <w:rsid w:val="0087516C"/>
    <w:rsid w:val="0087714B"/>
    <w:rsid w:val="0088004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3B90"/>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0C9C"/>
    <w:rsid w:val="00911BE5"/>
    <w:rsid w:val="00913CA9"/>
    <w:rsid w:val="009145AE"/>
    <w:rsid w:val="009146CE"/>
    <w:rsid w:val="00914CA7"/>
    <w:rsid w:val="00915C3E"/>
    <w:rsid w:val="009161A8"/>
    <w:rsid w:val="009245F5"/>
    <w:rsid w:val="009249EC"/>
    <w:rsid w:val="009273B3"/>
    <w:rsid w:val="009305B5"/>
    <w:rsid w:val="00935971"/>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FF3"/>
    <w:rsid w:val="00A129D0"/>
    <w:rsid w:val="00A12C33"/>
    <w:rsid w:val="00A138BA"/>
    <w:rsid w:val="00A13B1C"/>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1F4A"/>
    <w:rsid w:val="00A55BD6"/>
    <w:rsid w:val="00A55D50"/>
    <w:rsid w:val="00A563DA"/>
    <w:rsid w:val="00A57142"/>
    <w:rsid w:val="00A648CD"/>
    <w:rsid w:val="00A6537A"/>
    <w:rsid w:val="00A653CC"/>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04EB"/>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38DF"/>
    <w:rsid w:val="00B261F1"/>
    <w:rsid w:val="00B265BC"/>
    <w:rsid w:val="00B31FB1"/>
    <w:rsid w:val="00B33952"/>
    <w:rsid w:val="00B33C5E"/>
    <w:rsid w:val="00B342F4"/>
    <w:rsid w:val="00B34369"/>
    <w:rsid w:val="00B34DC2"/>
    <w:rsid w:val="00B378E5"/>
    <w:rsid w:val="00B4346D"/>
    <w:rsid w:val="00B440F4"/>
    <w:rsid w:val="00B447A5"/>
    <w:rsid w:val="00B44878"/>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0B2C"/>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440"/>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7CB"/>
    <w:rsid w:val="00CB0BA2"/>
    <w:rsid w:val="00CB1A42"/>
    <w:rsid w:val="00CB1B0C"/>
    <w:rsid w:val="00CB2C0B"/>
    <w:rsid w:val="00CB517D"/>
    <w:rsid w:val="00CC01C1"/>
    <w:rsid w:val="00CC038D"/>
    <w:rsid w:val="00CC08DB"/>
    <w:rsid w:val="00CC2F4E"/>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384"/>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3629"/>
    <w:rsid w:val="00D66846"/>
    <w:rsid w:val="00D675FB"/>
    <w:rsid w:val="00D71F25"/>
    <w:rsid w:val="00D72A9C"/>
    <w:rsid w:val="00D77031"/>
    <w:rsid w:val="00D77F9E"/>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722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0613"/>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88F"/>
    <w:rsid w:val="00E664CC"/>
    <w:rsid w:val="00E70388"/>
    <w:rsid w:val="00E70F92"/>
    <w:rsid w:val="00E74C54"/>
    <w:rsid w:val="00E75141"/>
    <w:rsid w:val="00E77A03"/>
    <w:rsid w:val="00E822E8"/>
    <w:rsid w:val="00E82554"/>
    <w:rsid w:val="00E82606"/>
    <w:rsid w:val="00E846C8"/>
    <w:rsid w:val="00E84957"/>
    <w:rsid w:val="00E84A55"/>
    <w:rsid w:val="00E85BFF"/>
    <w:rsid w:val="00E9023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14"/>
    <w:rsid w:val="00EB60FE"/>
    <w:rsid w:val="00EB74DB"/>
    <w:rsid w:val="00EC5359"/>
    <w:rsid w:val="00EC562A"/>
    <w:rsid w:val="00ED067A"/>
    <w:rsid w:val="00ED2B50"/>
    <w:rsid w:val="00ED782A"/>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6BE0"/>
    <w:rsid w:val="00F71E22"/>
    <w:rsid w:val="00F72142"/>
    <w:rsid w:val="00F72AE7"/>
    <w:rsid w:val="00F81141"/>
    <w:rsid w:val="00F833BA"/>
    <w:rsid w:val="00F84FD0"/>
    <w:rsid w:val="00F859A8"/>
    <w:rsid w:val="00F86D87"/>
    <w:rsid w:val="00F90845"/>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5DF2"/>
    <w:rsid w:val="00FF730C"/>
    <w:rsid w:val="00FF73F4"/>
    <w:rsid w:val="00FF7CE4"/>
    <w:rsid w:val="00FF7E39"/>
    <w:rsid w:val="084F1E4E"/>
    <w:rsid w:val="0A0C1573"/>
    <w:rsid w:val="123A0C48"/>
    <w:rsid w:val="12ED4A34"/>
    <w:rsid w:val="19E219A9"/>
    <w:rsid w:val="1C313837"/>
    <w:rsid w:val="23ED3D6C"/>
    <w:rsid w:val="2B860FAC"/>
    <w:rsid w:val="2CCB451E"/>
    <w:rsid w:val="38F266B2"/>
    <w:rsid w:val="39B70C86"/>
    <w:rsid w:val="3AD14773"/>
    <w:rsid w:val="45D86D8A"/>
    <w:rsid w:val="48785F94"/>
    <w:rsid w:val="4D0D2958"/>
    <w:rsid w:val="56A856FA"/>
    <w:rsid w:val="58184D26"/>
    <w:rsid w:val="5A7D0C9E"/>
    <w:rsid w:val="5B566632"/>
    <w:rsid w:val="5BC00E43"/>
    <w:rsid w:val="5D752101"/>
    <w:rsid w:val="612C6F7A"/>
    <w:rsid w:val="64FD3107"/>
    <w:rsid w:val="66E225B5"/>
    <w:rsid w:val="6760664A"/>
    <w:rsid w:val="71BD5195"/>
    <w:rsid w:val="721B6893"/>
    <w:rsid w:val="75154891"/>
    <w:rsid w:val="761756AB"/>
    <w:rsid w:val="7E851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link w:val="231"/>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21bc9c4b-6a32-43e5-beaa-fd2d792c5735"/>
    <w:basedOn w:val="2"/>
    <w:link w:val="232"/>
    <w:qFormat/>
    <w:uiPriority w:val="0"/>
    <w:pPr>
      <w:spacing w:before="312" w:after="312"/>
    </w:pPr>
    <w:rPr>
      <w:rFonts w:ascii="黑体" w:hAnsi="Times New Roman" w:eastAsia="黑体"/>
    </w:rPr>
  </w:style>
  <w:style w:type="character" w:customStyle="1" w:styleId="231">
    <w:name w:val="标准文件_章标题 字符"/>
    <w:basedOn w:val="28"/>
    <w:link w:val="104"/>
    <w:qFormat/>
    <w:uiPriority w:val="0"/>
    <w:rPr>
      <w:rFonts w:ascii="黑体" w:hAnsi="Times New Roman" w:eastAsia="黑体"/>
      <w:sz w:val="21"/>
    </w:rPr>
  </w:style>
  <w:style w:type="character" w:customStyle="1" w:styleId="232">
    <w:name w:val="21bc9c4b-6a32-43e5-beaa-fd2d792c5735 字符"/>
    <w:basedOn w:val="231"/>
    <w:link w:val="230"/>
    <w:qFormat/>
    <w:uiPriority w:val="0"/>
    <w:rPr>
      <w:rFonts w:ascii="黑体" w:hAnsi="Times New Roman" w:eastAsia="黑体"/>
      <w:b/>
      <w:bCs/>
      <w:kern w:val="44"/>
      <w:sz w:val="44"/>
      <w:szCs w:val="44"/>
    </w:rPr>
  </w:style>
  <w:style w:type="paragraph" w:customStyle="1" w:styleId="233">
    <w:name w:val="acbfdd8b-e11b-4d36-88ff-6049b138f862"/>
    <w:basedOn w:val="13"/>
    <w:link w:val="234"/>
    <w:qFormat/>
    <w:uiPriority w:val="0"/>
    <w:pPr>
      <w:spacing w:after="0" w:line="288" w:lineRule="auto"/>
      <w:jc w:val="left"/>
    </w:pPr>
    <w:rPr>
      <w:rFonts w:ascii="黑体" w:hAnsi="Times New Roman" w:eastAsia="黑体"/>
    </w:rPr>
  </w:style>
  <w:style w:type="character" w:customStyle="1" w:styleId="234">
    <w:name w:val="acbfdd8b-e11b-4d36-88ff-6049b138f862 字符"/>
    <w:basedOn w:val="231"/>
    <w:link w:val="233"/>
    <w:qFormat/>
    <w:uiPriority w:val="0"/>
    <w:rPr>
      <w:rFonts w:ascii="黑体" w:hAnsi="Times New Roman" w:eastAsia="黑体"/>
      <w:kern w:val="2"/>
      <w:sz w:val="21"/>
      <w:szCs w:val="21"/>
    </w:rPr>
  </w:style>
  <w:style w:type="paragraph" w:customStyle="1" w:styleId="235">
    <w:name w:val="71e7dc79-1ff7-45e8-997d-0ebda3762b91"/>
    <w:basedOn w:val="3"/>
    <w:next w:val="233"/>
    <w:link w:val="236"/>
    <w:qFormat/>
    <w:uiPriority w:val="0"/>
    <w:pPr>
      <w:spacing w:before="0" w:after="0" w:line="288" w:lineRule="auto"/>
      <w:jc w:val="left"/>
    </w:pPr>
  </w:style>
  <w:style w:type="character" w:customStyle="1" w:styleId="236">
    <w:name w:val="71e7dc79-1ff7-45e8-997d-0ebda3762b91 字符"/>
    <w:basedOn w:val="231"/>
    <w:link w:val="235"/>
    <w:qFormat/>
    <w:uiPriority w:val="0"/>
    <w:rPr>
      <w:rFonts w:ascii="Arial" w:hAnsi="Arial" w:eastAsia="黑体"/>
      <w:b/>
      <w:bCs/>
      <w:kern w:val="2"/>
      <w:sz w:val="32"/>
      <w:szCs w:val="32"/>
    </w:rPr>
  </w:style>
  <w:style w:type="paragraph" w:customStyle="1" w:styleId="237">
    <w:name w:val="b63ee27f-4cf3-414c-9275-d88e3f90795e"/>
    <w:basedOn w:val="4"/>
    <w:next w:val="233"/>
    <w:link w:val="238"/>
    <w:qFormat/>
    <w:uiPriority w:val="0"/>
    <w:pPr>
      <w:spacing w:before="0" w:after="0" w:line="288" w:lineRule="auto"/>
      <w:jc w:val="left"/>
    </w:pPr>
    <w:rPr>
      <w:rFonts w:ascii="黑体" w:hAnsi="Times New Roman" w:eastAsia="黑体"/>
    </w:rPr>
  </w:style>
  <w:style w:type="character" w:customStyle="1" w:styleId="238">
    <w:name w:val="b63ee27f-4cf3-414c-9275-d88e3f90795e 字符"/>
    <w:basedOn w:val="231"/>
    <w:link w:val="237"/>
    <w:qFormat/>
    <w:uiPriority w:val="0"/>
    <w:rPr>
      <w:rFonts w:ascii="黑体" w:hAnsi="Times New Roman" w:eastAsia="黑体"/>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DC1E3480AFB48C594B99BD93F397A50"/>
        <w:style w:val=""/>
        <w:category>
          <w:name w:val="常规"/>
          <w:gallery w:val="placeholder"/>
        </w:category>
        <w:types>
          <w:type w:val="bbPlcHdr"/>
        </w:types>
        <w:behaviors>
          <w:behavior w:val="content"/>
        </w:behaviors>
        <w:description w:val=""/>
        <w:guid w:val="{F4C49894-9DC4-4C5F-B601-7D0F7F25A286}"/>
      </w:docPartPr>
      <w:docPartBody>
        <w:p w14:paraId="617C380E">
          <w:pPr>
            <w:pStyle w:val="5"/>
            <w:rPr>
              <w:rFonts w:hint="eastAsia"/>
            </w:rPr>
          </w:pPr>
          <w:r>
            <w:rPr>
              <w:rStyle w:val="4"/>
              <w:rFonts w:hint="eastAsia"/>
            </w:rPr>
            <w:t>单击或点击此处输入文字。</w:t>
          </w:r>
        </w:p>
      </w:docPartBody>
    </w:docPart>
    <w:docPart>
      <w:docPartPr>
        <w:name w:val="07557EEFECCE4CF1AE471C0C13E1C335"/>
        <w:style w:val=""/>
        <w:category>
          <w:name w:val="常规"/>
          <w:gallery w:val="placeholder"/>
        </w:category>
        <w:types>
          <w:type w:val="bbPlcHdr"/>
        </w:types>
        <w:behaviors>
          <w:behavior w:val="content"/>
        </w:behaviors>
        <w:description w:val=""/>
        <w:guid w:val="{EC832A58-1121-4184-9206-4C3324F76F1F}"/>
      </w:docPartPr>
      <w:docPartBody>
        <w:p w14:paraId="22A62A58">
          <w:pPr>
            <w:pStyle w:val="6"/>
            <w:rPr>
              <w:rFonts w:hint="eastAsia"/>
            </w:rPr>
          </w:pPr>
          <w:r>
            <w:rPr>
              <w:rStyle w:val="4"/>
              <w:rFonts w:hint="eastAsia"/>
            </w:rPr>
            <w:t>选择一项。</w:t>
          </w:r>
        </w:p>
      </w:docPartBody>
    </w:docPart>
    <w:docPart>
      <w:docPartPr>
        <w:name w:val="18AF2C197BC64675A11DCDD1DAA63D94"/>
        <w:style w:val=""/>
        <w:category>
          <w:name w:val="常规"/>
          <w:gallery w:val="placeholder"/>
        </w:category>
        <w:types>
          <w:type w:val="bbPlcHdr"/>
        </w:types>
        <w:behaviors>
          <w:behavior w:val="content"/>
        </w:behaviors>
        <w:description w:val=""/>
        <w:guid w:val="{E1E403E6-C4D4-49C6-B714-A95CE4C772B4}"/>
      </w:docPartPr>
      <w:docPartBody>
        <w:p w14:paraId="7B27AEB5">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F33"/>
    <w:rsid w:val="00061C5E"/>
    <w:rsid w:val="00062927"/>
    <w:rsid w:val="001200EF"/>
    <w:rsid w:val="00216C2A"/>
    <w:rsid w:val="003232AD"/>
    <w:rsid w:val="003372E7"/>
    <w:rsid w:val="003A2F33"/>
    <w:rsid w:val="003B5F55"/>
    <w:rsid w:val="0050440F"/>
    <w:rsid w:val="00532D94"/>
    <w:rsid w:val="005C295F"/>
    <w:rsid w:val="006214FF"/>
    <w:rsid w:val="00632F0C"/>
    <w:rsid w:val="00642575"/>
    <w:rsid w:val="00810CF5"/>
    <w:rsid w:val="00842F53"/>
    <w:rsid w:val="009C083F"/>
    <w:rsid w:val="00A023DD"/>
    <w:rsid w:val="00A14DFD"/>
    <w:rsid w:val="00B87347"/>
    <w:rsid w:val="00CD6384"/>
    <w:rsid w:val="00F95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DC1E3480AFB48C594B99BD93F397A5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07557EEFECCE4CF1AE471C0C13E1C33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18AF2C197BC64675A11DCDD1DAA63D9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3466</Words>
  <Characters>3680</Characters>
  <Lines>29</Lines>
  <Paragraphs>8</Paragraphs>
  <TotalTime>387</TotalTime>
  <ScaleCrop>false</ScaleCrop>
  <LinksUpToDate>false</LinksUpToDate>
  <CharactersWithSpaces>3798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2024-08-02T08:40:00Z</dcterms:created>
  <dc:creator>姜交龙</dc:creator>
  <dc:description>&lt;config cover="true" show_menu="true" version="1.0.0" doctype="SDKXY"&gt;_x000d_
&lt;/config&gt;</dc:description>
  <cp:lastModifiedBy>姜交龙</cp:lastModifiedBy>
  <cp:lastPrinted>2020-08-30T10:00:00Z</cp:lastPrinted>
  <dcterms:modified xsi:type="dcterms:W3CDTF">2024-09-25T07:40:32Z</dcterms:modified>
  <dc:title>地方标准</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FAA5D8DDF688471897BE97798A3E3968_12</vt:lpwstr>
  </property>
</Properties>
</file>