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2B53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A0DBF5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C715421">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4F56F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D1853FA">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95A7C1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14F15DD">
        <w:tblPrEx>
          <w:tblCellMar>
            <w:top w:w="0" w:type="dxa"/>
            <w:left w:w="108" w:type="dxa"/>
            <w:bottom w:w="0" w:type="dxa"/>
            <w:right w:w="221" w:type="dxa"/>
          </w:tblCellMar>
        </w:tblPrEx>
        <w:tc>
          <w:tcPr>
            <w:tcW w:w="6407" w:type="dxa"/>
          </w:tcPr>
          <w:p w14:paraId="5685AD1D">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6201</w:t>
            </w:r>
            <w:r>
              <w:fldChar w:fldCharType="end"/>
            </w:r>
            <w:bookmarkEnd w:id="3"/>
          </w:p>
        </w:tc>
      </w:tr>
    </w:tbl>
    <w:p w14:paraId="3206A171">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兰州市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36C43F1">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6201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t xml:space="preserve"> </w:t>
      </w:r>
      <w:r>
        <w:fldChar w:fldCharType="end"/>
      </w:r>
      <w:bookmarkEnd w:id="7"/>
    </w:p>
    <w:p w14:paraId="2B7750DD">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B65FFBC">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31093C8">
      <w:pPr>
        <w:pStyle w:val="50"/>
        <w:framePr w:w="9639" w:h="6976" w:hRule="exact" w:hSpace="0" w:vSpace="0" w:wrap="around" w:hAnchor="page" w:y="6408"/>
        <w:jc w:val="center"/>
        <w:rPr>
          <w:rFonts w:hint="eastAsia" w:ascii="黑体" w:hAnsi="黑体" w:eastAsia="黑体"/>
          <w:b w:val="0"/>
          <w:bCs w:val="0"/>
          <w:w w:val="100"/>
        </w:rPr>
      </w:pPr>
    </w:p>
    <w:p w14:paraId="1E023A3F">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预包装兰州牛肉拉面加工厂建设规范</w:t>
      </w:r>
      <w:r>
        <w:fldChar w:fldCharType="end"/>
      </w:r>
      <w:bookmarkEnd w:id="9"/>
    </w:p>
    <w:p w14:paraId="56814D84">
      <w:pPr>
        <w:framePr w:w="9639" w:h="6974" w:hRule="exact" w:wrap="around" w:vAnchor="page" w:hAnchor="page" w:x="1419" w:y="6408" w:anchorLock="1"/>
        <w:ind w:left="-1418"/>
      </w:pPr>
    </w:p>
    <w:p w14:paraId="3987977F">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Construction specification for prepackaged Lanzhou beef noodles processing plant</w:t>
      </w:r>
      <w:r>
        <w:rPr>
          <w:rFonts w:ascii="黑体" w:hAnsi="黑体" w:eastAsia="黑体"/>
          <w:szCs w:val="28"/>
        </w:rPr>
        <w:fldChar w:fldCharType="end"/>
      </w:r>
      <w:bookmarkEnd w:id="10"/>
    </w:p>
    <w:p w14:paraId="21CBB51C">
      <w:pPr>
        <w:framePr w:w="9639" w:h="6974" w:hRule="exact" w:wrap="around" w:vAnchor="page" w:hAnchor="page" w:x="1419" w:y="6408" w:anchorLock="1"/>
        <w:spacing w:line="760" w:lineRule="exact"/>
        <w:ind w:left="-1418"/>
      </w:pPr>
    </w:p>
    <w:p w14:paraId="1EEFC213">
      <w:pPr>
        <w:pStyle w:val="125"/>
        <w:framePr w:w="9639" w:h="6974" w:hRule="exact" w:wrap="around" w:vAnchor="page" w:hAnchor="page" w:x="1419" w:y="6408" w:anchorLock="1"/>
        <w:textAlignment w:val="bottom"/>
        <w:rPr>
          <w:rFonts w:eastAsia="黑体"/>
          <w:szCs w:val="28"/>
        </w:rPr>
      </w:pPr>
    </w:p>
    <w:p w14:paraId="6EF510A4">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A8C5731">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4F9D722">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FBEEF24">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AE93655">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FD63744">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兰州市市场监督管理局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027FA85B">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C91D9A0">
      <w:pPr>
        <w:pStyle w:val="89"/>
        <w:spacing w:before="900" w:after="468"/>
      </w:pPr>
      <w:bookmarkStart w:id="21" w:name="BookMark2"/>
      <w:r>
        <w:rPr>
          <w:rFonts w:hint="eastAsia"/>
          <w:spacing w:val="320"/>
        </w:rPr>
        <w:t>前</w:t>
      </w:r>
      <w:r>
        <w:rPr>
          <w:rFonts w:hint="eastAsia"/>
        </w:rPr>
        <w:t>言</w:t>
      </w:r>
    </w:p>
    <w:p w14:paraId="7256AA16">
      <w:pPr>
        <w:pStyle w:val="56"/>
        <w:ind w:firstLine="420"/>
      </w:pPr>
      <w:r>
        <w:rPr>
          <w:rFonts w:hint="eastAsia"/>
        </w:rPr>
        <w:t>本文件按照GB/T 1.1—2020《标准化工作导则  第1部分：标准化文件的结构和起草规则》的规定起草。</w:t>
      </w:r>
    </w:p>
    <w:p w14:paraId="01C7FB77">
      <w:pPr>
        <w:pStyle w:val="56"/>
        <w:ind w:firstLine="420"/>
      </w:pPr>
      <w:r>
        <w:rPr>
          <w:rFonts w:hint="eastAsia"/>
        </w:rPr>
        <w:t>请注意本文件的某些内容可能涉及专利。本文件的发布机构不承担识别专利的责任。</w:t>
      </w:r>
    </w:p>
    <w:p w14:paraId="7006C63D">
      <w:pPr>
        <w:pStyle w:val="56"/>
        <w:ind w:firstLine="420"/>
      </w:pPr>
      <w:r>
        <w:rPr>
          <w:rFonts w:hint="eastAsia"/>
        </w:rPr>
        <w:t>本文件由兰州市工业和信息化局提出、归口并宣贯。</w:t>
      </w:r>
    </w:p>
    <w:p w14:paraId="4EF01357">
      <w:pPr>
        <w:pStyle w:val="56"/>
        <w:ind w:firstLine="420"/>
      </w:pPr>
      <w:r>
        <w:rPr>
          <w:rFonts w:hint="eastAsia"/>
        </w:rPr>
        <w:t>本文件起草单位：甘肃陇萃堂营养保健食品股份有限公司、兰州嘻烧食品科技有限公司、兰州金城虎拉面有限公司、兰州向阳食品有限公司、兰州科盛食品有限公司、兰州理工大学、兰州市牛肉拉面预包装产业发展协会、兰州牛肉拉面行业协会、兰州市标准化研究所。</w:t>
      </w:r>
    </w:p>
    <w:p w14:paraId="6B22C0DA">
      <w:pPr>
        <w:pStyle w:val="56"/>
        <w:ind w:firstLine="420"/>
      </w:pPr>
      <w:r>
        <w:rPr>
          <w:rFonts w:hint="eastAsia"/>
        </w:rPr>
        <w:t>本文件主要起草人：姜交龙、蔡菊香、杨文英、郑展霞、李雪华、刘金全、王小伟、魏孔炯、张成文、刘晓风、张百刚、王永刚、任海伟、赵小龙。</w:t>
      </w:r>
    </w:p>
    <w:p w14:paraId="2D44F98E">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4574B887">
      <w:pPr>
        <w:spacing w:line="20" w:lineRule="exact"/>
        <w:jc w:val="center"/>
        <w:rPr>
          <w:rFonts w:hint="eastAsia" w:ascii="黑体" w:hAnsi="黑体" w:eastAsia="黑体"/>
          <w:sz w:val="32"/>
          <w:szCs w:val="32"/>
        </w:rPr>
      </w:pPr>
      <w:bookmarkStart w:id="22" w:name="BookMark4"/>
    </w:p>
    <w:p w14:paraId="29D7E59E">
      <w:pPr>
        <w:spacing w:line="20" w:lineRule="exact"/>
        <w:jc w:val="center"/>
        <w:rPr>
          <w:rFonts w:hint="eastAsia" w:ascii="黑体" w:hAnsi="黑体" w:eastAsia="黑体"/>
          <w:sz w:val="32"/>
          <w:szCs w:val="32"/>
        </w:rPr>
      </w:pPr>
    </w:p>
    <w:sdt>
      <w:sdtPr>
        <w:tag w:val="NEW_STAND_NAME"/>
        <w:id w:val="595910757"/>
        <w:lock w:val="sdtLocked"/>
        <w:placeholder>
          <w:docPart w:val="22D7BE072F984843AE204EB406FE00DC"/>
        </w:placeholder>
      </w:sdtPr>
      <w:sdtContent>
        <w:p w14:paraId="5A909851">
          <w:pPr>
            <w:pStyle w:val="177"/>
            <w:spacing w:before="3" w:beforeLines="1" w:after="686" w:afterLines="220"/>
            <w:rPr>
              <w:rFonts w:hint="eastAsia"/>
            </w:rPr>
          </w:pPr>
          <w:bookmarkStart w:id="23" w:name="NEW_STAND_NAME"/>
          <w:r>
            <w:rPr>
              <w:rFonts w:hint="eastAsia"/>
            </w:rPr>
            <w:t>预包装兰州牛肉拉面加工厂建设规范</w:t>
          </w:r>
        </w:p>
      </w:sdtContent>
    </w:sdt>
    <w:bookmarkEnd w:id="23"/>
    <w:p w14:paraId="783044EC">
      <w:pPr>
        <w:pStyle w:val="104"/>
        <w:spacing w:before="312" w:after="312"/>
      </w:pPr>
      <w:bookmarkStart w:id="24" w:name="_Toc26986530"/>
      <w:bookmarkStart w:id="25" w:name="_Toc26986771"/>
      <w:bookmarkStart w:id="26" w:name="_Toc17233333"/>
      <w:bookmarkStart w:id="27" w:name="_Toc97191423"/>
      <w:bookmarkStart w:id="28" w:name="_Toc17233325"/>
      <w:bookmarkStart w:id="29" w:name="_Toc26718930"/>
      <w:bookmarkStart w:id="30" w:name="_Toc26648465"/>
      <w:bookmarkStart w:id="31" w:name="_Toc24884211"/>
      <w:bookmarkStart w:id="32" w:name="_Toc24884218"/>
      <w:r>
        <w:rPr>
          <w:rFonts w:hint="eastAsia"/>
        </w:rPr>
        <w:t>范围</w:t>
      </w:r>
      <w:bookmarkEnd w:id="24"/>
      <w:bookmarkEnd w:id="25"/>
      <w:bookmarkEnd w:id="26"/>
      <w:bookmarkEnd w:id="27"/>
      <w:bookmarkEnd w:id="28"/>
      <w:bookmarkEnd w:id="29"/>
      <w:bookmarkEnd w:id="30"/>
      <w:bookmarkEnd w:id="31"/>
      <w:bookmarkEnd w:id="32"/>
    </w:p>
    <w:p w14:paraId="6ED10858">
      <w:pPr>
        <w:pStyle w:val="56"/>
        <w:ind w:firstLine="420"/>
      </w:pPr>
      <w:bookmarkStart w:id="33" w:name="_Toc24884219"/>
      <w:bookmarkStart w:id="34" w:name="_Toc24884212"/>
      <w:bookmarkStart w:id="35" w:name="_Toc17233334"/>
      <w:bookmarkStart w:id="36" w:name="_Toc26648466"/>
      <w:bookmarkStart w:id="37" w:name="_Toc17233326"/>
      <w:r>
        <w:rPr>
          <w:rFonts w:hint="eastAsia"/>
        </w:rPr>
        <w:t>本文件界定了预包装兰州牛肉拉面加工厂的术语和定义、厂区选址要求、厂房和车间、设备与设施及建筑规定等相关要求。</w:t>
      </w:r>
    </w:p>
    <w:p w14:paraId="643A067C">
      <w:pPr>
        <w:pStyle w:val="56"/>
        <w:ind w:firstLine="420"/>
      </w:pPr>
      <w:r>
        <w:rPr>
          <w:rFonts w:hint="eastAsia"/>
        </w:rPr>
        <w:t>本文件适用于兰州市行政区域内新建、扩建、改建的预包装兰州牛肉拉面加工厂的设计和建造。</w:t>
      </w:r>
    </w:p>
    <w:p w14:paraId="2117C041">
      <w:pPr>
        <w:pStyle w:val="104"/>
        <w:spacing w:before="312" w:after="312"/>
      </w:pPr>
      <w:bookmarkStart w:id="38" w:name="_Toc26986531"/>
      <w:bookmarkStart w:id="39" w:name="_Toc97191424"/>
      <w:bookmarkStart w:id="40" w:name="_Toc26986772"/>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C10817C797AD442984B1C795131858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7374519">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4D2A1F2">
      <w:pPr>
        <w:pStyle w:val="56"/>
        <w:ind w:firstLine="420"/>
      </w:pPr>
      <w:r>
        <w:rPr>
          <w:rFonts w:hint="eastAsia"/>
        </w:rPr>
        <w:t>GB/T 700        碳素结构钢</w:t>
      </w:r>
    </w:p>
    <w:p w14:paraId="3327CF30">
      <w:pPr>
        <w:pStyle w:val="56"/>
        <w:ind w:firstLine="420"/>
      </w:pPr>
      <w:r>
        <w:rPr>
          <w:rFonts w:hint="eastAsia"/>
        </w:rPr>
        <w:t>GB 14881        食品安全国家标准  食品生产通用卫生规范</w:t>
      </w:r>
    </w:p>
    <w:p w14:paraId="116A006B">
      <w:pPr>
        <w:pStyle w:val="56"/>
        <w:ind w:firstLine="420"/>
      </w:pPr>
      <w:r>
        <w:rPr>
          <w:rFonts w:hint="eastAsia"/>
        </w:rPr>
        <w:t>GB/T 14975      结构用不锈钢无缝钢管</w:t>
      </w:r>
    </w:p>
    <w:p w14:paraId="2A9EC81D">
      <w:pPr>
        <w:pStyle w:val="56"/>
        <w:ind w:firstLine="420"/>
      </w:pPr>
      <w:r>
        <w:rPr>
          <w:rFonts w:hint="eastAsia"/>
        </w:rPr>
        <w:t>GB/T 14976      流体输送用不锈钢无缝钢管</w:t>
      </w:r>
    </w:p>
    <w:p w14:paraId="48B690B8">
      <w:pPr>
        <w:pStyle w:val="56"/>
        <w:ind w:firstLine="420"/>
      </w:pPr>
      <w:r>
        <w:rPr>
          <w:rFonts w:hint="eastAsia"/>
        </w:rPr>
        <w:t>GB 18599        一般工业固体废物贮存和填埋污染控制标准</w:t>
      </w:r>
    </w:p>
    <w:p w14:paraId="4E9D0A9A">
      <w:pPr>
        <w:pStyle w:val="56"/>
        <w:ind w:firstLine="420"/>
      </w:pPr>
      <w:r>
        <w:rPr>
          <w:rFonts w:hint="eastAsia"/>
        </w:rPr>
        <w:t>GB 50073        洁净厂房设计规范</w:t>
      </w:r>
    </w:p>
    <w:p w14:paraId="20962A28">
      <w:pPr>
        <w:pStyle w:val="56"/>
        <w:ind w:firstLine="420"/>
        <w:rPr>
          <w:rFonts w:hint="eastAsia"/>
        </w:rPr>
      </w:pPr>
      <w:r>
        <w:rPr>
          <w:rFonts w:hint="eastAsia"/>
        </w:rPr>
        <w:t>GB 50010        混凝土结构设计规范</w:t>
      </w:r>
    </w:p>
    <w:p w14:paraId="19444313">
      <w:pPr>
        <w:pStyle w:val="56"/>
        <w:ind w:firstLine="420"/>
      </w:pPr>
      <w:r>
        <w:rPr>
          <w:rFonts w:hint="eastAsia"/>
        </w:rPr>
        <w:t>GB 50016        建筑设计防火规范</w:t>
      </w:r>
    </w:p>
    <w:p w14:paraId="3AA1E8D2">
      <w:pPr>
        <w:pStyle w:val="56"/>
        <w:ind w:firstLine="420"/>
      </w:pPr>
      <w:r>
        <w:rPr>
          <w:rFonts w:hint="eastAsia"/>
        </w:rPr>
        <w:t>GB 50017        钢结构设计规范</w:t>
      </w:r>
    </w:p>
    <w:p w14:paraId="7961E004">
      <w:pPr>
        <w:pStyle w:val="56"/>
        <w:ind w:firstLine="420"/>
      </w:pPr>
      <w:r>
        <w:rPr>
          <w:rFonts w:hint="eastAsia"/>
        </w:rPr>
        <w:t>GB 50116        火灾自动报警系统设计规范</w:t>
      </w:r>
    </w:p>
    <w:p w14:paraId="7C6A96CA">
      <w:pPr>
        <w:pStyle w:val="56"/>
        <w:ind w:firstLine="420"/>
      </w:pPr>
      <w:r>
        <w:rPr>
          <w:rFonts w:hint="eastAsia"/>
        </w:rPr>
        <w:t>GB 50140        建筑灭火器配置设计规范</w:t>
      </w:r>
    </w:p>
    <w:p w14:paraId="2C05808C">
      <w:pPr>
        <w:pStyle w:val="56"/>
        <w:ind w:firstLine="420"/>
      </w:pPr>
      <w:r>
        <w:rPr>
          <w:rFonts w:hint="eastAsia"/>
        </w:rPr>
        <w:t>GB 50187        工业企业总平面设计规范</w:t>
      </w:r>
    </w:p>
    <w:p w14:paraId="05E94BA6">
      <w:pPr>
        <w:pStyle w:val="56"/>
        <w:ind w:firstLine="420"/>
      </w:pPr>
      <w:r>
        <w:rPr>
          <w:rFonts w:hint="eastAsia"/>
        </w:rPr>
        <w:t>GB 50210        建筑装饰装修工程质量验收标准</w:t>
      </w:r>
    </w:p>
    <w:p w14:paraId="614165BB">
      <w:pPr>
        <w:pStyle w:val="56"/>
        <w:ind w:firstLine="420"/>
      </w:pPr>
      <w:r>
        <w:rPr>
          <w:rFonts w:hint="eastAsia"/>
        </w:rPr>
        <w:t>GB 50222        建筑内部装修设计防火规范</w:t>
      </w:r>
    </w:p>
    <w:p w14:paraId="104320DA">
      <w:pPr>
        <w:pStyle w:val="56"/>
        <w:ind w:firstLine="420"/>
      </w:pPr>
      <w:r>
        <w:rPr>
          <w:rFonts w:hint="eastAsia"/>
        </w:rPr>
        <w:t>GB 50210</w:t>
      </w:r>
      <w:r>
        <w:t xml:space="preserve"> </w:t>
      </w:r>
      <w:r>
        <w:rPr>
          <w:rFonts w:hint="eastAsia"/>
        </w:rPr>
        <w:t xml:space="preserve">       建筑装饰装修工程质量验收标准</w:t>
      </w:r>
    </w:p>
    <w:p w14:paraId="0E1FB3E9">
      <w:pPr>
        <w:pStyle w:val="56"/>
        <w:ind w:firstLine="420"/>
      </w:pPr>
      <w:r>
        <w:rPr>
          <w:rFonts w:hint="eastAsia"/>
        </w:rPr>
        <w:t>GB 50243        通风与空调工程施工质量验收规范</w:t>
      </w:r>
    </w:p>
    <w:p w14:paraId="3915EAD1">
      <w:pPr>
        <w:pStyle w:val="56"/>
        <w:ind w:firstLine="420"/>
      </w:pPr>
      <w:r>
        <w:rPr>
          <w:rFonts w:hint="eastAsia"/>
        </w:rPr>
        <w:t>GB 50316        工业金属管道设计规范</w:t>
      </w:r>
    </w:p>
    <w:p w14:paraId="03663A85">
      <w:pPr>
        <w:pStyle w:val="56"/>
        <w:ind w:firstLine="420"/>
      </w:pPr>
      <w:r>
        <w:rPr>
          <w:rFonts w:hint="eastAsia"/>
        </w:rPr>
        <w:t>GB 50332        给水排水工程管道结构设计规范</w:t>
      </w:r>
    </w:p>
    <w:p w14:paraId="24664CFD">
      <w:pPr>
        <w:pStyle w:val="56"/>
        <w:ind w:firstLine="420"/>
      </w:pPr>
      <w:r>
        <w:rPr>
          <w:rFonts w:hint="eastAsia"/>
        </w:rPr>
        <w:t>JB/T 6527       组合冷库用隔热夹芯板</w:t>
      </w:r>
    </w:p>
    <w:p w14:paraId="3BBC9129">
      <w:pPr>
        <w:pStyle w:val="104"/>
        <w:spacing w:before="312" w:after="312"/>
      </w:pPr>
      <w:bookmarkStart w:id="42" w:name="_Toc97191425"/>
      <w:r>
        <w:rPr>
          <w:rFonts w:hint="eastAsia"/>
          <w:szCs w:val="21"/>
        </w:rPr>
        <w:t>术语和定义</w:t>
      </w:r>
      <w:bookmarkEnd w:id="42"/>
    </w:p>
    <w:sdt>
      <w:sdtPr>
        <w:id w:val="-1909835108"/>
        <w:placeholder>
          <w:docPart w:val="62D2B2C1EDD54FB6A462E110128ECE5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C1994E1">
          <w:pPr>
            <w:pStyle w:val="56"/>
            <w:ind w:firstLine="420"/>
          </w:pPr>
          <w:bookmarkStart w:id="43" w:name="_Toc26986532"/>
          <w:bookmarkEnd w:id="43"/>
          <w:r>
            <w:t>下列术语和定义适用于本文件。</w:t>
          </w:r>
        </w:p>
      </w:sdtContent>
    </w:sdt>
    <w:p w14:paraId="0C71646B">
      <w:pPr>
        <w:pStyle w:val="105"/>
        <w:spacing w:before="156" w:after="156"/>
      </w:pPr>
      <w:r>
        <w:rPr>
          <w:rFonts w:hint="eastAsia"/>
        </w:rPr>
        <w:t>预包装兰州牛肉拉面</w:t>
      </w:r>
    </w:p>
    <w:p w14:paraId="33BC484E">
      <w:pPr>
        <w:pStyle w:val="56"/>
      </w:pPr>
      <w:bookmarkStart w:id="45" w:name="_GoBack"/>
      <w:bookmarkEnd w:id="45"/>
    </w:p>
    <w:p w14:paraId="752606D4">
      <w:pPr>
        <w:pStyle w:val="56"/>
        <w:ind w:firstLine="420"/>
      </w:pPr>
      <w:r>
        <w:rPr>
          <w:rFonts w:hint="eastAsia"/>
        </w:rPr>
        <w:t>以独立包装的面条和牛肉汤料为主要原料，辅以独立包装的熟牛肉、脱水蔬菜、油辣椒、萝卜等配料包中的一种或几种，经组合、包装等工序制成的，需煮制或简单冲泡便可食用的预包装兰州牛肉拉面。</w:t>
      </w:r>
    </w:p>
    <w:p w14:paraId="4EE0E86D">
      <w:pPr>
        <w:pStyle w:val="104"/>
        <w:spacing w:before="312" w:after="312"/>
      </w:pPr>
      <w:r>
        <w:rPr>
          <w:rFonts w:hint="eastAsia"/>
        </w:rPr>
        <w:t>厂区选址要求</w:t>
      </w:r>
    </w:p>
    <w:p w14:paraId="25418FB7">
      <w:pPr>
        <w:pStyle w:val="105"/>
        <w:spacing w:before="156" w:after="156"/>
      </w:pPr>
      <w:r>
        <w:rPr>
          <w:rFonts w:hint="eastAsia"/>
        </w:rPr>
        <w:t>基本要求</w:t>
      </w:r>
    </w:p>
    <w:p w14:paraId="5F332B75">
      <w:pPr>
        <w:pStyle w:val="56"/>
        <w:ind w:firstLine="420"/>
      </w:pPr>
      <w:r>
        <w:rPr>
          <w:rFonts w:hint="eastAsia"/>
        </w:rPr>
        <w:t>应符合GB 14881的规定。</w:t>
      </w:r>
    </w:p>
    <w:p w14:paraId="49170863">
      <w:pPr>
        <w:pStyle w:val="105"/>
        <w:spacing w:before="156" w:after="156"/>
      </w:pPr>
      <w:r>
        <w:rPr>
          <w:rFonts w:hint="eastAsia"/>
        </w:rPr>
        <w:t>选址要求</w:t>
      </w:r>
    </w:p>
    <w:p w14:paraId="13A9927D">
      <w:pPr>
        <w:pStyle w:val="165"/>
      </w:pPr>
      <w:r>
        <w:rPr>
          <w:rFonts w:hint="eastAsia"/>
        </w:rPr>
        <w:t>厂区选择应符合GB 50187、GB 14881等的相关规定，同时符合食品加工要求。新建、改建、扩建时，应遵守环境保护法、劳动法、安全生产法、职业病防治法、消防法等相关规定。</w:t>
      </w:r>
    </w:p>
    <w:p w14:paraId="6B6574B0">
      <w:pPr>
        <w:pStyle w:val="165"/>
      </w:pPr>
      <w:r>
        <w:rPr>
          <w:rFonts w:hint="eastAsia"/>
        </w:rPr>
        <w:t>厂区选址应选择对食品无污染的区域，应选择环境清洁、地势高、通风良好、给水排水通畅、有饮用水源、交通便利、电力有保障的场所，周围不允许存在有毒废弃物、粉尘、有毒气体、放射性物质和其他扩散性污染源。如某地对食品安全和食品宜食用性存在明显的不利影响，且无法通过采取措施加以改善，应避免在该地址建厂。</w:t>
      </w:r>
    </w:p>
    <w:p w14:paraId="2E3A7561">
      <w:pPr>
        <w:pStyle w:val="165"/>
      </w:pPr>
      <w:r>
        <w:rPr>
          <w:rFonts w:hint="eastAsia"/>
        </w:rPr>
        <w:t>厂房应与周边环境保持一定的间距并设置隔离带。生产车间（配料间、拆包间、热加工间、前处理间、灭菌间、包装间等）外墙应与严重污染源（如医院、化工厂、水泥厂、石材厂、石灰厂、冶炼厂等可能产生病原性微生物污染或其他存在严重危害性污染物的场所）相距1000m以上。生产车间外墙应与中度污染源相距（如粪坑、化粪池、粪堆、旱厕等开放式污染源等）500m以上。生产车间外墙应与轻度污染源（经常使用农药的连片菜地、稻田等种植场所（绿化树林、花草等除外）、污水坑塘等）相距250m以上或采取有效措施隔离污染源。</w:t>
      </w:r>
    </w:p>
    <w:p w14:paraId="13B5E461">
      <w:pPr>
        <w:pStyle w:val="165"/>
      </w:pPr>
      <w:r>
        <w:rPr>
          <w:rFonts w:hint="eastAsia"/>
        </w:rPr>
        <w:t>厂房周围应进行绿化，可铺植草坪，不应妨碍消防作业。车间外墙周围100m内不应有易发生虫害大量滋生的潜在场所；车间外墙距离易起扬尘的主要交通道路100m以上或采取有效措施实施扬尘隔离（乡村道路50m以上）。</w:t>
      </w:r>
    </w:p>
    <w:p w14:paraId="4407246C">
      <w:pPr>
        <w:pStyle w:val="104"/>
        <w:spacing w:before="312" w:after="312"/>
      </w:pPr>
      <w:r>
        <w:rPr>
          <w:rFonts w:hint="eastAsia"/>
        </w:rPr>
        <w:t>厂房和车间</w:t>
      </w:r>
    </w:p>
    <w:p w14:paraId="610D0C23">
      <w:pPr>
        <w:pStyle w:val="105"/>
        <w:spacing w:before="156" w:after="156"/>
      </w:pPr>
      <w:r>
        <w:rPr>
          <w:rFonts w:hint="eastAsia"/>
        </w:rPr>
        <w:t>基本要求</w:t>
      </w:r>
    </w:p>
    <w:p w14:paraId="4C9790CD">
      <w:pPr>
        <w:pStyle w:val="165"/>
      </w:pPr>
      <w:r>
        <w:rPr>
          <w:rFonts w:hint="eastAsia"/>
        </w:rPr>
        <w:t>厂房和车间等建筑遵循当地的地理环境和节能的基本方法，设计和建造达到或优于国家有关节能标准的建筑，工厂新建、改扩建时，应符合GB 14881及国家建筑设计规范和相关标准。</w:t>
      </w:r>
    </w:p>
    <w:p w14:paraId="6D9AEC80">
      <w:pPr>
        <w:pStyle w:val="165"/>
      </w:pPr>
      <w:r>
        <w:rPr>
          <w:rFonts w:hint="eastAsia"/>
        </w:rPr>
        <w:t>建筑结构宜根据工厂需求和用地情况采用钢结构、砌体结构、钢筋混凝土结构和混合结构等结构形式，并优先选择资源消耗和环境影响小的建筑结构形式。</w:t>
      </w:r>
    </w:p>
    <w:p w14:paraId="6B6FD725">
      <w:pPr>
        <w:pStyle w:val="165"/>
      </w:pPr>
      <w:r>
        <w:rPr>
          <w:rFonts w:hint="eastAsia"/>
        </w:rPr>
        <w:t>生产区用地、行政办公场地、生活服务设施用地、污水处理场地等统一规划、相互协调，做到近期远期相互结合。</w:t>
      </w:r>
    </w:p>
    <w:p w14:paraId="3C9D8EF8">
      <w:pPr>
        <w:pStyle w:val="165"/>
      </w:pPr>
      <w:r>
        <w:rPr>
          <w:rFonts w:hint="eastAsia"/>
        </w:rPr>
        <w:t>危险品仓库、化验室、废弃物处置间等产生污染物的房间独立设置并符合相关安全规范要求。</w:t>
      </w:r>
    </w:p>
    <w:p w14:paraId="40D75FD9">
      <w:pPr>
        <w:pStyle w:val="105"/>
        <w:spacing w:before="156" w:after="156"/>
      </w:pPr>
      <w:r>
        <w:rPr>
          <w:rFonts w:hint="eastAsia"/>
        </w:rPr>
        <w:t>厂房、车间布局</w:t>
      </w:r>
    </w:p>
    <w:p w14:paraId="2184CEA4">
      <w:pPr>
        <w:pStyle w:val="165"/>
      </w:pPr>
      <w:r>
        <w:rPr>
          <w:rFonts w:hint="eastAsia"/>
        </w:rPr>
        <w:t>厂房和车间的设计必须包括：原、辅料库（区）、包材库、成品库、冷库、配料间、拆包间、前处理间、热加工间、内包装间、灭菌间（必要时）、外包装车间。厂房建筑平面和空间布局应符合生产工艺的要求，应遵循安全、节能、高效、气密的原则设计。</w:t>
      </w:r>
    </w:p>
    <w:p w14:paraId="7EF83600">
      <w:pPr>
        <w:pStyle w:val="165"/>
      </w:pPr>
      <w:r>
        <w:rPr>
          <w:rFonts w:hint="eastAsia"/>
        </w:rPr>
        <w:t>生产车间入口应设置更衣室，内包装间入口应设置二次更衣室。生产车间划分为一般作业区、准清洁作业区、清洁作业区。各区之间应有效隔离，防止交叉污染。一般作业区通常包括原辅料库（区）、包材库、成品库、外包装车间等；准清洁作业区通常包括、配料间、拆包间、前处理间、热加工间等；清洁作业区通常包括内包装间等。各作业区应相互分隔，并按生进熟出的单一流向原则，避免食品在贮存和生产加工过程中发生交叉污染。</w:t>
      </w:r>
    </w:p>
    <w:p w14:paraId="133CA8B2">
      <w:pPr>
        <w:pStyle w:val="105"/>
        <w:spacing w:before="156" w:after="156"/>
      </w:pPr>
      <w:r>
        <w:rPr>
          <w:rFonts w:hint="eastAsia"/>
        </w:rPr>
        <w:t>生产加工车间建筑装饰</w:t>
      </w:r>
    </w:p>
    <w:p w14:paraId="19207089">
      <w:pPr>
        <w:pStyle w:val="165"/>
      </w:pPr>
      <w:r>
        <w:rPr>
          <w:rFonts w:hint="eastAsia"/>
        </w:rPr>
        <w:t>建筑装饰装修和通风与空调工程施工质量应符合 GB50210和 GB50243的相关规定，工业金属管道设计应符合 GB50316的要求，建筑防火装置的报警设计应符合 GB50116和 GB50140的规定。厂房中混凝土结构设计应符合 GB50010的规定，钢结构设计应符合 GB50017的规定。</w:t>
      </w:r>
    </w:p>
    <w:p w14:paraId="0C89F045">
      <w:pPr>
        <w:pStyle w:val="165"/>
      </w:pPr>
      <w:r>
        <w:rPr>
          <w:rFonts w:hint="eastAsia"/>
        </w:rPr>
        <w:t>生产车间的顶棚、墙壁、隔断和地面应当采用无毒、无味、防渗透、防霉、不易破损脱落、易于清洁的材料建造。地面应平坦防滑、无裂缝、并易于清洁、消毒，并有适当的措施防止积水。门的表面应平滑、防吸附、不渗透，并易于清洁、消毒，应使用不透水、坚固、不变形的材料制成。窗户玻璃应使用不易碎材料。</w:t>
      </w:r>
    </w:p>
    <w:p w14:paraId="22D338E5">
      <w:pPr>
        <w:pStyle w:val="165"/>
      </w:pPr>
      <w:r>
        <w:rPr>
          <w:rFonts w:hint="eastAsia"/>
        </w:rPr>
        <w:t>门窗 、墙壁 、顶棚、地面的构造和施工缝隙，应采取可靠的密封措施，使用的密封材料应无毒、无臭、耐高温、耐老化，有良好的隔热性和防潮性。</w:t>
      </w:r>
    </w:p>
    <w:p w14:paraId="1C3A7B04">
      <w:pPr>
        <w:pStyle w:val="165"/>
      </w:pPr>
      <w:r>
        <w:rPr>
          <w:rFonts w:hint="eastAsia"/>
        </w:rPr>
        <w:t>厂房中使用的隔热夹心板的质量应符合JB/T6527的规定，钢结构材料应符合 GB/T 700的规定，不锈钢材料应符合 GB/T 14975和 GB/T 14976的规定，围护系统及间内装修应符合GB 50073的规定，装修材料的防火性能应符合 GB 50222的规定。</w:t>
      </w:r>
    </w:p>
    <w:p w14:paraId="0A8E096B">
      <w:pPr>
        <w:pStyle w:val="105"/>
        <w:spacing w:before="156" w:after="156"/>
      </w:pPr>
      <w:r>
        <w:rPr>
          <w:rFonts w:hint="eastAsia"/>
        </w:rPr>
        <w:t>检验室</w:t>
      </w:r>
    </w:p>
    <w:p w14:paraId="060C13DC">
      <w:pPr>
        <w:pStyle w:val="165"/>
      </w:pPr>
      <w:r>
        <w:rPr>
          <w:rFonts w:hint="eastAsia"/>
        </w:rPr>
        <w:t>除生产加工车间外，预包装兰州牛肉拉面加工厂应配备相应的检验室，检验室的设备及功能间设计应根据产品生产许可审查细则中的相关规定进行匹配。</w:t>
      </w:r>
    </w:p>
    <w:p w14:paraId="18628510">
      <w:pPr>
        <w:pStyle w:val="165"/>
      </w:pPr>
      <w:r>
        <w:rPr>
          <w:rFonts w:hint="eastAsia"/>
        </w:rPr>
        <w:t>检验室一般应含天平、微生物检验、理化分析等功能间，并配备检验设备、试剂等，能够满足出厂检验的基本要求。微生物无菌室应设置准备间、缓冲间、洁净室实验室。洁净实验室面积≥4m</w:t>
      </w:r>
      <w:r>
        <w:rPr>
          <w:rFonts w:hint="eastAsia"/>
          <w:vertAlign w:val="superscript"/>
        </w:rPr>
        <w:t>2</w:t>
      </w:r>
      <w:r>
        <w:rPr>
          <w:rFonts w:hint="eastAsia"/>
        </w:rPr>
        <w:t>。</w:t>
      </w:r>
    </w:p>
    <w:p w14:paraId="16977BC0">
      <w:pPr>
        <w:pStyle w:val="165"/>
      </w:pPr>
      <w:r>
        <w:rPr>
          <w:rFonts w:hint="eastAsia"/>
        </w:rPr>
        <w:t>检验人员应参加学习培训，并取得学习培训证明。</w:t>
      </w:r>
    </w:p>
    <w:p w14:paraId="4C732C6C">
      <w:pPr>
        <w:pStyle w:val="105"/>
        <w:spacing w:before="156" w:after="156"/>
      </w:pPr>
      <w:r>
        <w:rPr>
          <w:rFonts w:hint="eastAsia"/>
          <w:lang w:bidi="ar"/>
        </w:rPr>
        <w:t>废气、</w:t>
      </w:r>
      <w:r>
        <w:rPr>
          <w:lang w:bidi="ar"/>
        </w:rPr>
        <w:t xml:space="preserve">废水及废弃物处置区 </w:t>
      </w:r>
    </w:p>
    <w:p w14:paraId="797C037F">
      <w:pPr>
        <w:pStyle w:val="165"/>
        <w:rPr>
          <w:lang w:bidi="ar"/>
        </w:rPr>
      </w:pPr>
      <w:r>
        <w:rPr>
          <w:rFonts w:hint="eastAsia"/>
          <w:lang w:bidi="ar"/>
        </w:rPr>
        <w:t>工厂的大气污染物排放应符合相关国家标准、行业标准及地方标准要求，并满足区域内排放总量控制要求。</w:t>
      </w:r>
    </w:p>
    <w:p w14:paraId="259F1E4B">
      <w:pPr>
        <w:pStyle w:val="165"/>
        <w:rPr>
          <w:lang w:bidi="ar"/>
        </w:rPr>
      </w:pPr>
      <w:r>
        <w:rPr>
          <w:rFonts w:hint="eastAsia"/>
          <w:lang w:bidi="ar"/>
        </w:rPr>
        <w:t>工厂的水体污染物排放应符合相关国家标准、行业标准及地方标准要求，或在满足要求的前提下委托具备相应能力和资质的处理厂进行处理，并满足区域内排放总量控制要求。</w:t>
      </w:r>
    </w:p>
    <w:p w14:paraId="6459E029">
      <w:pPr>
        <w:pStyle w:val="165"/>
      </w:pPr>
      <w:r>
        <w:rPr>
          <w:rFonts w:hint="eastAsia"/>
          <w:lang w:bidi="ar"/>
        </w:rPr>
        <w:t>工厂产生的固体废弃物的处理应符合GB 18599及相关标准的要求。工厂无法自行处理的，应将 固体废弃物转交给具备相应能力和资质的处理厂进行处理。</w:t>
      </w:r>
    </w:p>
    <w:p w14:paraId="66F97895">
      <w:pPr>
        <w:pStyle w:val="104"/>
        <w:spacing w:before="312" w:after="312"/>
      </w:pPr>
      <w:r>
        <w:rPr>
          <w:rFonts w:hint="eastAsia"/>
        </w:rPr>
        <w:t>设备与设施</w:t>
      </w:r>
    </w:p>
    <w:p w14:paraId="0B93D75B">
      <w:pPr>
        <w:pStyle w:val="105"/>
        <w:spacing w:before="156" w:after="156"/>
      </w:pPr>
      <w:r>
        <w:rPr>
          <w:rFonts w:hint="eastAsia"/>
        </w:rPr>
        <w:t>库房</w:t>
      </w:r>
    </w:p>
    <w:p w14:paraId="41B96EC3">
      <w:pPr>
        <w:pStyle w:val="56"/>
        <w:ind w:firstLine="420"/>
      </w:pPr>
      <w:r>
        <w:rPr>
          <w:rFonts w:hint="eastAsia"/>
        </w:rPr>
        <w:t>库房一般包括原、辅料库（区）、包材库、成品库、冷库等，应建在地势高处，地面应硬化，防尘防潮，防虫防鼠，并配有称量、物料周转、通风、冷冻等设施设备。</w:t>
      </w:r>
    </w:p>
    <w:p w14:paraId="01DB0B3B">
      <w:pPr>
        <w:pStyle w:val="105"/>
        <w:spacing w:before="156" w:after="156"/>
      </w:pPr>
      <w:r>
        <w:rPr>
          <w:rFonts w:hint="eastAsia"/>
        </w:rPr>
        <w:t>配料、拆包间</w:t>
      </w:r>
    </w:p>
    <w:p w14:paraId="4B4A887C">
      <w:pPr>
        <w:pStyle w:val="56"/>
        <w:ind w:firstLine="420"/>
      </w:pPr>
      <w:r>
        <w:rPr>
          <w:rFonts w:hint="eastAsia"/>
        </w:rPr>
        <w:t>配料、拆包间一般用于原辅料按照生产工艺进行复配、混合等作用，宜场地平整、空间充足、水电方便，应配备粉碎机、过筛机、称重机、拌料机、铲车、传送带等设备。</w:t>
      </w:r>
    </w:p>
    <w:p w14:paraId="0562E3C8">
      <w:pPr>
        <w:pStyle w:val="105"/>
        <w:spacing w:before="156" w:after="156"/>
      </w:pPr>
      <w:r>
        <w:rPr>
          <w:rFonts w:hint="eastAsia"/>
        </w:rPr>
        <w:t>前处理间</w:t>
      </w:r>
    </w:p>
    <w:p w14:paraId="3DC914E5">
      <w:pPr>
        <w:pStyle w:val="162"/>
        <w:numPr>
          <w:ilvl w:val="0"/>
          <w:numId w:val="0"/>
        </w:numPr>
      </w:pPr>
      <w:r>
        <w:rPr>
          <w:rFonts w:hint="eastAsia" w:ascii="黑体" w:eastAsia="黑体"/>
        </w:rPr>
        <w:t xml:space="preserve">    </w:t>
      </w:r>
      <w:r>
        <w:rPr>
          <w:rFonts w:hint="eastAsia"/>
        </w:rPr>
        <w:t>前处理间一般用于萝卜等原料的清洗、削皮，牛肉等原料的解冻，面粉等原料的和面等，宜配置与生产规模匹配的清洗（解冻）池、削皮机、切片机、真空和面机等。</w:t>
      </w:r>
    </w:p>
    <w:p w14:paraId="66337998">
      <w:pPr>
        <w:pStyle w:val="105"/>
        <w:spacing w:before="156" w:after="156"/>
      </w:pPr>
      <w:r>
        <w:rPr>
          <w:rFonts w:hint="eastAsia"/>
        </w:rPr>
        <w:t>热加工间</w:t>
      </w:r>
    </w:p>
    <w:p w14:paraId="5FCCA557">
      <w:pPr>
        <w:pStyle w:val="56"/>
        <w:ind w:firstLine="420"/>
      </w:pPr>
      <w:r>
        <w:rPr>
          <w:rFonts w:hint="eastAsia"/>
        </w:rPr>
        <w:t>热加工间一般用于牛肉、牛肉汤、萝卜等的煮制，面条的压延、烘干等工艺的加工，油辣椒的泼制，宜配置与生产规模匹配的蒸汽夹层锅、电磁搅拌锅、压延机、烘干机等。</w:t>
      </w:r>
    </w:p>
    <w:p w14:paraId="48EFF4BD">
      <w:pPr>
        <w:pStyle w:val="105"/>
        <w:spacing w:before="156" w:after="156"/>
      </w:pPr>
      <w:r>
        <w:rPr>
          <w:rFonts w:hint="eastAsia"/>
        </w:rPr>
        <w:t>灭菌间</w:t>
      </w:r>
    </w:p>
    <w:p w14:paraId="388CD359">
      <w:pPr>
        <w:pStyle w:val="56"/>
        <w:ind w:firstLine="420"/>
      </w:pPr>
      <w:r>
        <w:rPr>
          <w:rFonts w:hint="eastAsia"/>
        </w:rPr>
        <w:t>灭菌间一般用于牛肉、牛肉汤、萝卜等的高温高压杀菌，面条等的紫外杀菌等，宜配置与生产规模匹配的杀菌釜、紫外杀菌设备等。</w:t>
      </w:r>
    </w:p>
    <w:p w14:paraId="0D94CB43">
      <w:pPr>
        <w:pStyle w:val="105"/>
        <w:spacing w:before="156" w:after="156"/>
        <w:rPr>
          <w:rFonts w:ascii="宋体" w:eastAsia="宋体"/>
        </w:rPr>
      </w:pPr>
      <w:r>
        <w:rPr>
          <w:rFonts w:hint="eastAsia"/>
        </w:rPr>
        <w:t>包装间</w:t>
      </w:r>
    </w:p>
    <w:p w14:paraId="20467939">
      <w:pPr>
        <w:pStyle w:val="56"/>
        <w:ind w:firstLine="420"/>
      </w:pPr>
      <w:r>
        <w:rPr>
          <w:rFonts w:hint="eastAsia"/>
        </w:rPr>
        <w:t>包装间分为内包装间和外包装间，内包装间一般用于面条、牛肉、牛肉汤、萝卜、油辣椒等配料包的包装，外包装间一般用于桶装、袋装或盒装的预包装兰州牛肉拉面的成品包装，宜配置与生产规模匹配的液态/半固态包装机、给袋式包装机、热缩膜机等。</w:t>
      </w:r>
    </w:p>
    <w:p w14:paraId="4AA535CE">
      <w:pPr>
        <w:pStyle w:val="105"/>
        <w:spacing w:before="156" w:after="156"/>
      </w:pPr>
      <w:r>
        <w:rPr>
          <w:rFonts w:hint="eastAsia"/>
        </w:rPr>
        <w:t>其他设施</w:t>
      </w:r>
    </w:p>
    <w:p w14:paraId="3F0DFF38">
      <w:pPr>
        <w:pStyle w:val="165"/>
      </w:pPr>
      <w:r>
        <w:rPr>
          <w:rFonts w:hint="eastAsia"/>
          <w:lang w:bidi="ar"/>
        </w:rPr>
        <w:t>给排水设施。厂房内的给水排水干管的铺设应符合</w:t>
      </w:r>
      <w:r>
        <w:rPr>
          <w:rFonts w:ascii="Times New Roman"/>
          <w:lang w:bidi="ar"/>
        </w:rPr>
        <w:t>GB 50332</w:t>
      </w:r>
      <w:r>
        <w:rPr>
          <w:rFonts w:hint="eastAsia"/>
          <w:lang w:bidi="ar"/>
        </w:rPr>
        <w:t>中的要求。管道外表面可能结露时，应采取防护措施。防结露层外表面应光滑易于清洗，并不得对厂房内</w:t>
      </w:r>
      <w:r>
        <w:rPr>
          <w:rFonts w:hint="eastAsia" w:hAnsi="宋体" w:cs="宋体"/>
          <w:color w:val="000000"/>
          <w:sz w:val="20"/>
          <w:lang w:bidi="ar"/>
        </w:rPr>
        <w:t xml:space="preserve">造成污染。 </w:t>
      </w:r>
      <w:r>
        <w:rPr>
          <w:rFonts w:hint="eastAsia"/>
          <w:lang w:bidi="ar"/>
        </w:rPr>
        <w:t xml:space="preserve">给水管道的管材选择应满足生产工艺及其它用水对水质要求，选择不锈钢管、镀锌钢管或各种满足食品生产需要的塑料管；管道配件应采用与管道相应的材料。 </w:t>
      </w:r>
    </w:p>
    <w:p w14:paraId="1704E9F4">
      <w:pPr>
        <w:pStyle w:val="165"/>
      </w:pPr>
      <w:r>
        <w:rPr>
          <w:rFonts w:hint="eastAsia"/>
        </w:rPr>
        <w:t>清洁消毒设施。应当根据工艺需要配备相应的食品、工器具和设备的清洁设施，必要时配备相应的消毒设施。应配备内包材的清洁消毒设施，清洁、消毒方式应当避免对食品造成交叉污染，可以采用紫外灯杀菌、臭氧杀菌等方式，使用紫外线消毒的，紫外灯安装离地高度≤2m，采用臭氧消毒的，应在保证杀菌效果前提下严格控制臭氧浓度。</w:t>
      </w:r>
    </w:p>
    <w:p w14:paraId="328FEA9E">
      <w:pPr>
        <w:pStyle w:val="165"/>
      </w:pPr>
      <w:r>
        <w:rPr>
          <w:rFonts w:hint="eastAsia"/>
        </w:rPr>
        <w:t>废弃物存放设施应当根据工艺需要配备设计合理、防止渗漏、易于清洁的存放废弃物的专用设施。车间内存放废弃物的设施和容器应当加盖，且标识清晰，不得与盛装原辅料、半成品、成品的容器混用。</w:t>
      </w:r>
    </w:p>
    <w:p w14:paraId="562872FC">
      <w:pPr>
        <w:pStyle w:val="165"/>
      </w:pPr>
      <w:r>
        <w:rPr>
          <w:rFonts w:hint="eastAsia"/>
        </w:rPr>
        <w:t>通风设施。应符合GB 14881的规定。内包装间应配有空气温度调节设备。热加工车间应采用机械方式排风。产生油烟或大量蒸汽的设备上部，应加装附有机械排风及油烟过滤的排气装置，排气口装有金属隔栅或网罩、过滤器。</w:t>
      </w:r>
    </w:p>
    <w:p w14:paraId="68D0013D">
      <w:pPr>
        <w:pStyle w:val="165"/>
      </w:pPr>
      <w:r>
        <w:rPr>
          <w:rFonts w:hint="eastAsia"/>
        </w:rPr>
        <w:t>照明设施。厂房内应当有充足的自然采光或人工照明，光泽和亮度应能满足生产和操作需要，光源应能使物料呈现真实的颜色。厂房内的照明光源一般采用“三防”灯具，如工艺有特殊要求，也可采用其它形式光源。厂房内应设置供人员疏散用的应急照明。在安全出口、疏散口和疏散通道转角处设置疏散标志。在专用消防口处应设置红色应急照明灯。</w:t>
      </w:r>
    </w:p>
    <w:p w14:paraId="0ECC7D3F">
      <w:pPr>
        <w:pStyle w:val="165"/>
      </w:pPr>
      <w:r>
        <w:rPr>
          <w:rFonts w:hint="eastAsia"/>
        </w:rPr>
        <w:t>温控设施。应当根据生产的需要，配备适宜的加热、冷却、冷冻以及用于监测温度和控制室温的设施。内包装间应配有空气温度调节设备。如产品中含有牛肉、萝卜等食品，应配备冷库，有可正确显示库内温、湿度的设施，并对其温度进行监控。用于监控的设施如压力表、温度计、记录仪等，应定期校准、维护。</w:t>
      </w:r>
    </w:p>
    <w:p w14:paraId="55ED8592">
      <w:pPr>
        <w:pStyle w:val="165"/>
      </w:pPr>
      <w:r>
        <w:rPr>
          <w:rFonts w:hint="eastAsia"/>
        </w:rPr>
        <w:t>消防给水和灭火设备。</w:t>
      </w:r>
      <w:r>
        <w:rPr>
          <w:rFonts w:hint="eastAsia"/>
          <w:lang w:bidi="ar"/>
        </w:rPr>
        <w:t>厂房内应设置消防给水系统，其设计应根据生产的火灾危险性、建筑物耐火等级以及建筑物体积等因素确定。厂房的消防给水和固定灭火设备的设置应符合</w:t>
      </w:r>
      <w:r>
        <w:rPr>
          <w:rFonts w:ascii="Times New Roman"/>
          <w:lang w:bidi="ar"/>
        </w:rPr>
        <w:t>GB 50016</w:t>
      </w:r>
      <w:r>
        <w:rPr>
          <w:rFonts w:hint="eastAsia"/>
          <w:lang w:bidi="ar"/>
        </w:rPr>
        <w:t>中的规定。厂房内各场所应配置灭火器，其设计应满足</w:t>
      </w:r>
      <w:r>
        <w:rPr>
          <w:rFonts w:ascii="Times New Roman"/>
          <w:lang w:bidi="ar"/>
        </w:rPr>
        <w:t>GB 50016</w:t>
      </w:r>
      <w:r>
        <w:rPr>
          <w:rFonts w:hint="eastAsia"/>
          <w:lang w:bidi="ar"/>
        </w:rPr>
        <w:t>中的规定。</w:t>
      </w:r>
    </w:p>
    <w:p w14:paraId="142A07E9">
      <w:pPr>
        <w:pStyle w:val="104"/>
        <w:spacing w:before="312" w:after="312"/>
      </w:pPr>
      <w:r>
        <w:rPr>
          <w:rFonts w:hint="eastAsia"/>
        </w:rPr>
        <w:t>建筑规定</w:t>
      </w:r>
    </w:p>
    <w:p w14:paraId="2B7E2F44">
      <w:pPr>
        <w:pStyle w:val="105"/>
        <w:spacing w:before="156" w:after="156"/>
      </w:pPr>
      <w:r>
        <w:rPr>
          <w:rFonts w:hint="eastAsia"/>
        </w:rPr>
        <w:t>基本要求</w:t>
      </w:r>
    </w:p>
    <w:p w14:paraId="22E81155">
      <w:pPr>
        <w:pStyle w:val="165"/>
      </w:pPr>
      <w:r>
        <w:rPr>
          <w:rFonts w:hint="eastAsia"/>
        </w:rPr>
        <w:t>厂房建筑平面和空间布局应符合生产工艺的要求，应遵循安全、节能、高效、气密的原则设计。</w:t>
      </w:r>
    </w:p>
    <w:p w14:paraId="3BEDA440">
      <w:pPr>
        <w:pStyle w:val="165"/>
      </w:pPr>
      <w:r>
        <w:rPr>
          <w:rFonts w:hint="eastAsia"/>
        </w:rPr>
        <w:t>厂房主体结构应考虑装备的荷载，并应采用大空间、大跨度柱网的框架或排架结构。</w:t>
      </w:r>
    </w:p>
    <w:p w14:paraId="26C2F1D6">
      <w:pPr>
        <w:pStyle w:val="165"/>
      </w:pPr>
      <w:r>
        <w:rPr>
          <w:rFonts w:hint="eastAsia"/>
        </w:rPr>
        <w:t>厂房装饰材料选型应满足保温、防火、防潮、防霉变、易保洁等要求。建筑装饰装修和通风与空调工程施工质量应符合GB50210和 GB50243的相关规定，工业金属管道设计应符合GB50316的要求，建筑防火装置的报警设计应符合GB50116和GB50140的规定。厂房中混凝土结构设计应符合GB50010的规定，钢结构设计应符合GB50017的规定。</w:t>
      </w:r>
    </w:p>
    <w:p w14:paraId="1FC45644">
      <w:pPr>
        <w:pStyle w:val="105"/>
        <w:spacing w:before="156" w:after="156"/>
      </w:pPr>
      <w:r>
        <w:rPr>
          <w:rFonts w:hint="eastAsia"/>
        </w:rPr>
        <w:t>电气控制</w:t>
      </w:r>
    </w:p>
    <w:p w14:paraId="4A2E3908">
      <w:pPr>
        <w:pStyle w:val="65"/>
        <w:spacing w:before="156" w:after="156"/>
      </w:pPr>
      <w:r>
        <w:rPr>
          <w:rFonts w:hint="eastAsia"/>
        </w:rPr>
        <w:t>配电</w:t>
      </w:r>
    </w:p>
    <w:p w14:paraId="6A4EC8F0">
      <w:pPr>
        <w:pStyle w:val="164"/>
      </w:pPr>
      <w:r>
        <w:rPr>
          <w:rFonts w:hint="eastAsia"/>
        </w:rPr>
        <w:t>厂房内低压配电电压应采用220/380V。带电导体系统的型式宜采用单相二线制、三相三线制、三相四线制；电气控制设备应符合GB/T 3797中的规定。</w:t>
      </w:r>
    </w:p>
    <w:p w14:paraId="6B7F81A4">
      <w:pPr>
        <w:pStyle w:val="164"/>
      </w:pPr>
      <w:r>
        <w:rPr>
          <w:rFonts w:hint="eastAsia"/>
        </w:rPr>
        <w:t>厂房内的用电负荷等级和供电要求应根据GB 50052的要求和生产工艺确定。</w:t>
      </w:r>
    </w:p>
    <w:p w14:paraId="159D6458">
      <w:pPr>
        <w:pStyle w:val="164"/>
      </w:pPr>
      <w:r>
        <w:rPr>
          <w:rFonts w:hint="eastAsia"/>
        </w:rPr>
        <w:t>厂房内的消防用电设备的供配电设计应按照GB 50016的规定执行。</w:t>
      </w:r>
    </w:p>
    <w:p w14:paraId="521F4FDF">
      <w:pPr>
        <w:pStyle w:val="164"/>
      </w:pPr>
      <w:r>
        <w:rPr>
          <w:rFonts w:hint="eastAsia"/>
        </w:rPr>
        <w:t>厂房内的电气管线应明铺，穿线导管应采用不燃材料。电气管线管口及安装在墙上的各种电 器设备与墙体接缝处应有可靠的密封措施。</w:t>
      </w:r>
    </w:p>
    <w:p w14:paraId="1647F7EE">
      <w:pPr>
        <w:pStyle w:val="65"/>
        <w:spacing w:before="156" w:after="156"/>
      </w:pPr>
      <w:r>
        <w:rPr>
          <w:rFonts w:hint="eastAsia"/>
        </w:rPr>
        <w:t>静电防护及接地</w:t>
      </w:r>
    </w:p>
    <w:p w14:paraId="61FF17BC">
      <w:pPr>
        <w:pStyle w:val="56"/>
        <w:ind w:firstLine="420"/>
      </w:pPr>
      <w:r>
        <w:rPr>
          <w:rFonts w:hint="eastAsia"/>
        </w:rPr>
        <w:t>厂房内静电防护应符合GB 50058有关规定。厂房内接地、防雷应符合GB 50057有关规定。</w:t>
      </w:r>
    </w:p>
    <w:bookmarkEnd w:id="22"/>
    <w:p w14:paraId="123E82EF">
      <w:pPr>
        <w:pStyle w:val="56"/>
        <w:ind w:firstLine="0" w:firstLineChars="0"/>
        <w:jc w:val="center"/>
      </w:pPr>
      <w:bookmarkStart w:id="44" w:name="BookMark8"/>
      <w:r>
        <w:rPr>
          <w:rFonts w:hint="eastAsia"/>
        </w:rPr>
        <w:drawing>
          <wp:inline distT="0" distB="0" distL="0" distR="0">
            <wp:extent cx="1485900" cy="317500"/>
            <wp:effectExtent l="0" t="0" r="0" b="6350"/>
            <wp:docPr id="2079296591" name="图片 3"/>
            <wp:cNvGraphicFramePr/>
            <a:graphic xmlns:a="http://schemas.openxmlformats.org/drawingml/2006/main">
              <a:graphicData uri="http://schemas.openxmlformats.org/drawingml/2006/picture">
                <pic:pic xmlns:pic="http://schemas.openxmlformats.org/drawingml/2006/picture">
                  <pic:nvPicPr>
                    <pic:cNvPr id="2079296591" name="图片 3"/>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5A058">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B8858">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802B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3C8FB">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A0914">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7DD9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42BAB">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4CBBE">
    <w:pPr>
      <w:pStyle w:val="61"/>
      <w:rPr>
        <w:rFonts w:hint="eastAsia"/>
      </w:rPr>
    </w:pPr>
    <w:r>
      <w:fldChar w:fldCharType="begin"/>
    </w:r>
    <w:r>
      <w:instrText xml:space="preserve"> STYLEREF  标准文件_文件编号  \* MERGEFORMAT </w:instrText>
    </w:r>
    <w:r>
      <w:fldChar w:fldCharType="separate"/>
    </w:r>
    <w:r>
      <w:t xml:space="preserve">DB 6201/T XXXX—2024 </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AA191">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 xml:space="preserve">DB 6201/T XXXX—2024 </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attachedTemplate r:id="rId1"/>
  <w:documentProtection w:edit="forms" w:enforcement="1" w:cryptProviderType="rsaAES" w:cryptAlgorithmClass="hash" w:cryptAlgorithmType="typeAny" w:cryptAlgorithmSid="14" w:cryptSpinCount="100000" w:hash="xVpByipHxJkFdZvmZ9/2sm00bGxQ08YhaxNizXn4o8l2mDKAWfdgPPE1TsIcmvcJCjYrUGqxJaLAKlYWdnr1kw==" w:salt="USQA2QnAwT46PAwoPVdJ8w=="/>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C232E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1C5E"/>
    <w:rsid w:val="000622D4"/>
    <w:rsid w:val="00062927"/>
    <w:rsid w:val="0006357D"/>
    <w:rsid w:val="00067F1E"/>
    <w:rsid w:val="00071CC0"/>
    <w:rsid w:val="00073C8C"/>
    <w:rsid w:val="00077B64"/>
    <w:rsid w:val="00080A1C"/>
    <w:rsid w:val="00082317"/>
    <w:rsid w:val="00083D2C"/>
    <w:rsid w:val="00086AA1"/>
    <w:rsid w:val="00087A77"/>
    <w:rsid w:val="000908DE"/>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5FF"/>
    <w:rsid w:val="000B6A0B"/>
    <w:rsid w:val="000C0F6C"/>
    <w:rsid w:val="000C11DB"/>
    <w:rsid w:val="000C1492"/>
    <w:rsid w:val="000C2FBD"/>
    <w:rsid w:val="000C4B41"/>
    <w:rsid w:val="000C57D6"/>
    <w:rsid w:val="000C6362"/>
    <w:rsid w:val="000C7666"/>
    <w:rsid w:val="000D0A9C"/>
    <w:rsid w:val="000D1795"/>
    <w:rsid w:val="000D3051"/>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4128"/>
    <w:rsid w:val="001B71D0"/>
    <w:rsid w:val="001B71EE"/>
    <w:rsid w:val="001C04A8"/>
    <w:rsid w:val="001C2C03"/>
    <w:rsid w:val="001C42F7"/>
    <w:rsid w:val="001C49E5"/>
    <w:rsid w:val="001C680C"/>
    <w:rsid w:val="001C7FEA"/>
    <w:rsid w:val="001D0499"/>
    <w:rsid w:val="001D0BBE"/>
    <w:rsid w:val="001D0D51"/>
    <w:rsid w:val="001D0ED4"/>
    <w:rsid w:val="001D212F"/>
    <w:rsid w:val="001D29D7"/>
    <w:rsid w:val="001D2DE7"/>
    <w:rsid w:val="001D411C"/>
    <w:rsid w:val="001E1B6A"/>
    <w:rsid w:val="001E2484"/>
    <w:rsid w:val="001E3CC4"/>
    <w:rsid w:val="001E4882"/>
    <w:rsid w:val="001E73AB"/>
    <w:rsid w:val="001F092D"/>
    <w:rsid w:val="001F143A"/>
    <w:rsid w:val="001F1605"/>
    <w:rsid w:val="001F20E2"/>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3DD"/>
    <w:rsid w:val="0021141F"/>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5F7"/>
    <w:rsid w:val="0026148A"/>
    <w:rsid w:val="00261A09"/>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1152"/>
    <w:rsid w:val="002F30E0"/>
    <w:rsid w:val="002F35E4"/>
    <w:rsid w:val="002F3730"/>
    <w:rsid w:val="002F38E1"/>
    <w:rsid w:val="002F5012"/>
    <w:rsid w:val="002F7AF6"/>
    <w:rsid w:val="00300E63"/>
    <w:rsid w:val="00300F6E"/>
    <w:rsid w:val="00302F5F"/>
    <w:rsid w:val="0030441D"/>
    <w:rsid w:val="00306063"/>
    <w:rsid w:val="0031188F"/>
    <w:rsid w:val="00313B85"/>
    <w:rsid w:val="00317988"/>
    <w:rsid w:val="00321022"/>
    <w:rsid w:val="003221B4"/>
    <w:rsid w:val="0032258D"/>
    <w:rsid w:val="00322E62"/>
    <w:rsid w:val="003232AD"/>
    <w:rsid w:val="00324D13"/>
    <w:rsid w:val="00324D2A"/>
    <w:rsid w:val="00324EDD"/>
    <w:rsid w:val="003331E4"/>
    <w:rsid w:val="00336C64"/>
    <w:rsid w:val="00337162"/>
    <w:rsid w:val="0034194F"/>
    <w:rsid w:val="00344605"/>
    <w:rsid w:val="003474AA"/>
    <w:rsid w:val="00350D1D"/>
    <w:rsid w:val="00352C83"/>
    <w:rsid w:val="00357687"/>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67D6"/>
    <w:rsid w:val="003B09AD"/>
    <w:rsid w:val="003B1F18"/>
    <w:rsid w:val="003B5BF0"/>
    <w:rsid w:val="003B60BF"/>
    <w:rsid w:val="003B6BE3"/>
    <w:rsid w:val="003C010C"/>
    <w:rsid w:val="003C0A6C"/>
    <w:rsid w:val="003C14F8"/>
    <w:rsid w:val="003C41DF"/>
    <w:rsid w:val="003C5A43"/>
    <w:rsid w:val="003D0519"/>
    <w:rsid w:val="003D0FF6"/>
    <w:rsid w:val="003D262C"/>
    <w:rsid w:val="003D6D61"/>
    <w:rsid w:val="003D79C6"/>
    <w:rsid w:val="003E091D"/>
    <w:rsid w:val="003E1C53"/>
    <w:rsid w:val="003E2A69"/>
    <w:rsid w:val="003E2CB1"/>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0381"/>
    <w:rsid w:val="0041477A"/>
    <w:rsid w:val="004167A3"/>
    <w:rsid w:val="004313A9"/>
    <w:rsid w:val="00432DAA"/>
    <w:rsid w:val="00434305"/>
    <w:rsid w:val="00435DF7"/>
    <w:rsid w:val="0044083F"/>
    <w:rsid w:val="00441AE7"/>
    <w:rsid w:val="00444C25"/>
    <w:rsid w:val="00445574"/>
    <w:rsid w:val="004467FB"/>
    <w:rsid w:val="00452D6B"/>
    <w:rsid w:val="004538FA"/>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51B"/>
    <w:rsid w:val="004B3AA8"/>
    <w:rsid w:val="004B3E93"/>
    <w:rsid w:val="004C035B"/>
    <w:rsid w:val="004C1FBC"/>
    <w:rsid w:val="004C3F1D"/>
    <w:rsid w:val="004C458D"/>
    <w:rsid w:val="004C7556"/>
    <w:rsid w:val="004C7E8B"/>
    <w:rsid w:val="004C7E9D"/>
    <w:rsid w:val="004C7F67"/>
    <w:rsid w:val="004D076D"/>
    <w:rsid w:val="004D0EF1"/>
    <w:rsid w:val="004D1F23"/>
    <w:rsid w:val="004D2253"/>
    <w:rsid w:val="004D4406"/>
    <w:rsid w:val="004D7C42"/>
    <w:rsid w:val="004E0465"/>
    <w:rsid w:val="004E127B"/>
    <w:rsid w:val="004E1C0A"/>
    <w:rsid w:val="004E2B06"/>
    <w:rsid w:val="004E30C5"/>
    <w:rsid w:val="004E4AA5"/>
    <w:rsid w:val="004E4AEE"/>
    <w:rsid w:val="004E59E3"/>
    <w:rsid w:val="004E67C0"/>
    <w:rsid w:val="004E70A5"/>
    <w:rsid w:val="004F391A"/>
    <w:rsid w:val="004F3CFB"/>
    <w:rsid w:val="004F6456"/>
    <w:rsid w:val="004F696E"/>
    <w:rsid w:val="004F6C71"/>
    <w:rsid w:val="00501139"/>
    <w:rsid w:val="0050363E"/>
    <w:rsid w:val="005039BC"/>
    <w:rsid w:val="005043BB"/>
    <w:rsid w:val="0050440F"/>
    <w:rsid w:val="00504A3D"/>
    <w:rsid w:val="00505767"/>
    <w:rsid w:val="005073F0"/>
    <w:rsid w:val="00510A7B"/>
    <w:rsid w:val="00512F6E"/>
    <w:rsid w:val="00513038"/>
    <w:rsid w:val="00514174"/>
    <w:rsid w:val="00516088"/>
    <w:rsid w:val="00516B0B"/>
    <w:rsid w:val="005220EC"/>
    <w:rsid w:val="00523F95"/>
    <w:rsid w:val="005246EC"/>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DEC"/>
    <w:rsid w:val="00561475"/>
    <w:rsid w:val="0056487B"/>
    <w:rsid w:val="00564FB9"/>
    <w:rsid w:val="00573D9E"/>
    <w:rsid w:val="005801E3"/>
    <w:rsid w:val="00581802"/>
    <w:rsid w:val="005836A8"/>
    <w:rsid w:val="0058409C"/>
    <w:rsid w:val="00584262"/>
    <w:rsid w:val="00586630"/>
    <w:rsid w:val="00587ADD"/>
    <w:rsid w:val="00591E27"/>
    <w:rsid w:val="00593435"/>
    <w:rsid w:val="00596160"/>
    <w:rsid w:val="005966E2"/>
    <w:rsid w:val="00597007"/>
    <w:rsid w:val="005A0966"/>
    <w:rsid w:val="005A11B7"/>
    <w:rsid w:val="005A260B"/>
    <w:rsid w:val="005A4A1B"/>
    <w:rsid w:val="005A7592"/>
    <w:rsid w:val="005A7830"/>
    <w:rsid w:val="005A7FCE"/>
    <w:rsid w:val="005B0F3F"/>
    <w:rsid w:val="005B4903"/>
    <w:rsid w:val="005B51CE"/>
    <w:rsid w:val="005B5885"/>
    <w:rsid w:val="005B5CD7"/>
    <w:rsid w:val="005B6CF6"/>
    <w:rsid w:val="005B7422"/>
    <w:rsid w:val="005C295F"/>
    <w:rsid w:val="005C29B8"/>
    <w:rsid w:val="005C5F21"/>
    <w:rsid w:val="005C7156"/>
    <w:rsid w:val="005D0C75"/>
    <w:rsid w:val="005D4171"/>
    <w:rsid w:val="005D52F4"/>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6E3"/>
    <w:rsid w:val="00607D29"/>
    <w:rsid w:val="00612952"/>
    <w:rsid w:val="00614CC1"/>
    <w:rsid w:val="00615A9D"/>
    <w:rsid w:val="00617387"/>
    <w:rsid w:val="006205D6"/>
    <w:rsid w:val="006252D8"/>
    <w:rsid w:val="006259BC"/>
    <w:rsid w:val="0062636B"/>
    <w:rsid w:val="00632182"/>
    <w:rsid w:val="00632AE0"/>
    <w:rsid w:val="00632F0C"/>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1B4"/>
    <w:rsid w:val="00656D29"/>
    <w:rsid w:val="006640E5"/>
    <w:rsid w:val="006646F1"/>
    <w:rsid w:val="00664929"/>
    <w:rsid w:val="00664F62"/>
    <w:rsid w:val="006655E1"/>
    <w:rsid w:val="00672060"/>
    <w:rsid w:val="00672BFD"/>
    <w:rsid w:val="00674063"/>
    <w:rsid w:val="006770F4"/>
    <w:rsid w:val="00677A84"/>
    <w:rsid w:val="0068026D"/>
    <w:rsid w:val="00680A27"/>
    <w:rsid w:val="006816A4"/>
    <w:rsid w:val="006817BB"/>
    <w:rsid w:val="006819B8"/>
    <w:rsid w:val="006840A6"/>
    <w:rsid w:val="006850CD"/>
    <w:rsid w:val="00685AAB"/>
    <w:rsid w:val="0069105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0B4B"/>
    <w:rsid w:val="006D16C4"/>
    <w:rsid w:val="006D3E96"/>
    <w:rsid w:val="006D4515"/>
    <w:rsid w:val="006D4BB1"/>
    <w:rsid w:val="006D6593"/>
    <w:rsid w:val="006D79BC"/>
    <w:rsid w:val="006E23EA"/>
    <w:rsid w:val="006E2A0E"/>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B7B"/>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3F2"/>
    <w:rsid w:val="0074548E"/>
    <w:rsid w:val="00745773"/>
    <w:rsid w:val="00746800"/>
    <w:rsid w:val="00747101"/>
    <w:rsid w:val="007501A8"/>
    <w:rsid w:val="00750D61"/>
    <w:rsid w:val="00750EE1"/>
    <w:rsid w:val="00752B4D"/>
    <w:rsid w:val="00755402"/>
    <w:rsid w:val="00756B26"/>
    <w:rsid w:val="00756EDF"/>
    <w:rsid w:val="007600E3"/>
    <w:rsid w:val="0076519F"/>
    <w:rsid w:val="00765C43"/>
    <w:rsid w:val="00765EFB"/>
    <w:rsid w:val="007671CA"/>
    <w:rsid w:val="00767C61"/>
    <w:rsid w:val="0077008A"/>
    <w:rsid w:val="00770588"/>
    <w:rsid w:val="00773C1F"/>
    <w:rsid w:val="00774DA4"/>
    <w:rsid w:val="00776599"/>
    <w:rsid w:val="0078114B"/>
    <w:rsid w:val="00781DD2"/>
    <w:rsid w:val="00783ECF"/>
    <w:rsid w:val="0078413A"/>
    <w:rsid w:val="00793D46"/>
    <w:rsid w:val="007959E8"/>
    <w:rsid w:val="00795E9C"/>
    <w:rsid w:val="007A0521"/>
    <w:rsid w:val="007A2E12"/>
    <w:rsid w:val="007A3475"/>
    <w:rsid w:val="007A3FD3"/>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4B48"/>
    <w:rsid w:val="007D6518"/>
    <w:rsid w:val="007D76BD"/>
    <w:rsid w:val="007E0BF1"/>
    <w:rsid w:val="007F0ED8"/>
    <w:rsid w:val="007F0F63"/>
    <w:rsid w:val="007F75CE"/>
    <w:rsid w:val="008013A4"/>
    <w:rsid w:val="008027CE"/>
    <w:rsid w:val="00802F42"/>
    <w:rsid w:val="00804383"/>
    <w:rsid w:val="00804BB7"/>
    <w:rsid w:val="00804D41"/>
    <w:rsid w:val="008070C8"/>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22F"/>
    <w:rsid w:val="0085173A"/>
    <w:rsid w:val="00856316"/>
    <w:rsid w:val="008603CE"/>
    <w:rsid w:val="008620FC"/>
    <w:rsid w:val="008627A5"/>
    <w:rsid w:val="00863E05"/>
    <w:rsid w:val="00865ACA"/>
    <w:rsid w:val="00865D28"/>
    <w:rsid w:val="00865F85"/>
    <w:rsid w:val="00867C10"/>
    <w:rsid w:val="00870439"/>
    <w:rsid w:val="00870DA1"/>
    <w:rsid w:val="008728DF"/>
    <w:rsid w:val="00883F93"/>
    <w:rsid w:val="00884DB3"/>
    <w:rsid w:val="00885A9D"/>
    <w:rsid w:val="008864F6"/>
    <w:rsid w:val="0089049D"/>
    <w:rsid w:val="008928C9"/>
    <w:rsid w:val="008930CB"/>
    <w:rsid w:val="008938DC"/>
    <w:rsid w:val="00893FD1"/>
    <w:rsid w:val="00894340"/>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32D1"/>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5368"/>
    <w:rsid w:val="009B6029"/>
    <w:rsid w:val="009B6971"/>
    <w:rsid w:val="009B6F4B"/>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62B"/>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C92"/>
    <w:rsid w:val="00A648CD"/>
    <w:rsid w:val="00A6537A"/>
    <w:rsid w:val="00A67866"/>
    <w:rsid w:val="00A70B07"/>
    <w:rsid w:val="00A723F8"/>
    <w:rsid w:val="00A77CCB"/>
    <w:rsid w:val="00A83D8D"/>
    <w:rsid w:val="00A8446B"/>
    <w:rsid w:val="00A8473F"/>
    <w:rsid w:val="00A862D6"/>
    <w:rsid w:val="00A8715E"/>
    <w:rsid w:val="00A90A0A"/>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22"/>
    <w:rsid w:val="00AB6C5F"/>
    <w:rsid w:val="00AB7129"/>
    <w:rsid w:val="00AC27A6"/>
    <w:rsid w:val="00AC30F7"/>
    <w:rsid w:val="00AC3A5A"/>
    <w:rsid w:val="00AC4D95"/>
    <w:rsid w:val="00AC5DF4"/>
    <w:rsid w:val="00AD0AEF"/>
    <w:rsid w:val="00AD11B7"/>
    <w:rsid w:val="00AD1A94"/>
    <w:rsid w:val="00AD1C05"/>
    <w:rsid w:val="00AD24DE"/>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483E"/>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32E9"/>
    <w:rsid w:val="00C24C8D"/>
    <w:rsid w:val="00C25FE2"/>
    <w:rsid w:val="00C26B53"/>
    <w:rsid w:val="00C279B2"/>
    <w:rsid w:val="00C33E50"/>
    <w:rsid w:val="00C34C20"/>
    <w:rsid w:val="00C35A3E"/>
    <w:rsid w:val="00C42130"/>
    <w:rsid w:val="00C423A4"/>
    <w:rsid w:val="00C44BF5"/>
    <w:rsid w:val="00C521D6"/>
    <w:rsid w:val="00C5341F"/>
    <w:rsid w:val="00C55232"/>
    <w:rsid w:val="00C553A4"/>
    <w:rsid w:val="00C55A06"/>
    <w:rsid w:val="00C55D03"/>
    <w:rsid w:val="00C601BC"/>
    <w:rsid w:val="00C60324"/>
    <w:rsid w:val="00C6329F"/>
    <w:rsid w:val="00C63340"/>
    <w:rsid w:val="00C64108"/>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384"/>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47CA8"/>
    <w:rsid w:val="00D51BF3"/>
    <w:rsid w:val="00D66846"/>
    <w:rsid w:val="00D675FB"/>
    <w:rsid w:val="00D71F25"/>
    <w:rsid w:val="00D72A9C"/>
    <w:rsid w:val="00D77031"/>
    <w:rsid w:val="00D84941"/>
    <w:rsid w:val="00D84FA1"/>
    <w:rsid w:val="00D8519E"/>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6AE2"/>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069"/>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9D6"/>
    <w:rsid w:val="00E846C8"/>
    <w:rsid w:val="00E84957"/>
    <w:rsid w:val="00E84A55"/>
    <w:rsid w:val="00E85BFF"/>
    <w:rsid w:val="00E90391"/>
    <w:rsid w:val="00E906C2"/>
    <w:rsid w:val="00E9311F"/>
    <w:rsid w:val="00E934D1"/>
    <w:rsid w:val="00E94AF0"/>
    <w:rsid w:val="00E95D13"/>
    <w:rsid w:val="00E95DD3"/>
    <w:rsid w:val="00E965FD"/>
    <w:rsid w:val="00E969D5"/>
    <w:rsid w:val="00EA58D1"/>
    <w:rsid w:val="00EA61BC"/>
    <w:rsid w:val="00EA681A"/>
    <w:rsid w:val="00EA735B"/>
    <w:rsid w:val="00EB17DE"/>
    <w:rsid w:val="00EB1E69"/>
    <w:rsid w:val="00EB2086"/>
    <w:rsid w:val="00EB5EDF"/>
    <w:rsid w:val="00EB60FE"/>
    <w:rsid w:val="00EB74DB"/>
    <w:rsid w:val="00EC5359"/>
    <w:rsid w:val="00EC562A"/>
    <w:rsid w:val="00EC7290"/>
    <w:rsid w:val="00ED067A"/>
    <w:rsid w:val="00ED2B50"/>
    <w:rsid w:val="00EE0350"/>
    <w:rsid w:val="00EE0719"/>
    <w:rsid w:val="00EE0E80"/>
    <w:rsid w:val="00EE4D4C"/>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91B"/>
    <w:rsid w:val="00F72AE7"/>
    <w:rsid w:val="00F7436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068"/>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050F22"/>
    <w:rsid w:val="079E2EF9"/>
    <w:rsid w:val="07A976AA"/>
    <w:rsid w:val="0DC94B0F"/>
    <w:rsid w:val="0F771777"/>
    <w:rsid w:val="12EA74CE"/>
    <w:rsid w:val="19E00326"/>
    <w:rsid w:val="1BC47A51"/>
    <w:rsid w:val="2034777F"/>
    <w:rsid w:val="22C12548"/>
    <w:rsid w:val="2CAC2DE6"/>
    <w:rsid w:val="2E772BB0"/>
    <w:rsid w:val="316D6E56"/>
    <w:rsid w:val="327961C2"/>
    <w:rsid w:val="39537E0A"/>
    <w:rsid w:val="3A920D71"/>
    <w:rsid w:val="3BEA07A4"/>
    <w:rsid w:val="3DBB3DAB"/>
    <w:rsid w:val="42E21F5B"/>
    <w:rsid w:val="495E1FB7"/>
    <w:rsid w:val="4AA246B9"/>
    <w:rsid w:val="4D26401C"/>
    <w:rsid w:val="4E616639"/>
    <w:rsid w:val="59484FC5"/>
    <w:rsid w:val="5B8E19EA"/>
    <w:rsid w:val="6987718E"/>
    <w:rsid w:val="6B796374"/>
    <w:rsid w:val="6E4F7837"/>
    <w:rsid w:val="7D112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2D7BE072F984843AE204EB406FE00DC"/>
        <w:style w:val=""/>
        <w:category>
          <w:name w:val="常规"/>
          <w:gallery w:val="placeholder"/>
        </w:category>
        <w:types>
          <w:type w:val="bbPlcHdr"/>
        </w:types>
        <w:behaviors>
          <w:behavior w:val="content"/>
        </w:behaviors>
        <w:description w:val=""/>
        <w:guid w:val="{E38CA3EC-805A-4FC8-A586-BF00690070FE}"/>
      </w:docPartPr>
      <w:docPartBody>
        <w:p w14:paraId="63D1F9B9">
          <w:pPr>
            <w:pStyle w:val="5"/>
            <w:rPr>
              <w:rFonts w:hint="eastAsia"/>
            </w:rPr>
          </w:pPr>
          <w:r>
            <w:rPr>
              <w:rStyle w:val="4"/>
              <w:rFonts w:hint="eastAsia"/>
            </w:rPr>
            <w:t>单击或点击此处输入文字。</w:t>
          </w:r>
        </w:p>
      </w:docPartBody>
    </w:docPart>
    <w:docPart>
      <w:docPartPr>
        <w:name w:val="C10817C797AD442984B1C7951318584C"/>
        <w:style w:val=""/>
        <w:category>
          <w:name w:val="常规"/>
          <w:gallery w:val="placeholder"/>
        </w:category>
        <w:types>
          <w:type w:val="bbPlcHdr"/>
        </w:types>
        <w:behaviors>
          <w:behavior w:val="content"/>
        </w:behaviors>
        <w:description w:val=""/>
        <w:guid w:val="{FD9126F5-29EC-40E4-A2DF-69606E94D9C1}"/>
      </w:docPartPr>
      <w:docPartBody>
        <w:p w14:paraId="4EDA7783">
          <w:pPr>
            <w:pStyle w:val="6"/>
            <w:rPr>
              <w:rFonts w:hint="eastAsia"/>
            </w:rPr>
          </w:pPr>
          <w:r>
            <w:rPr>
              <w:rStyle w:val="4"/>
              <w:rFonts w:hint="eastAsia"/>
            </w:rPr>
            <w:t>选择一项。</w:t>
          </w:r>
        </w:p>
      </w:docPartBody>
    </w:docPart>
    <w:docPart>
      <w:docPartPr>
        <w:name w:val="62D2B2C1EDD54FB6A462E110128ECE51"/>
        <w:style w:val=""/>
        <w:category>
          <w:name w:val="常规"/>
          <w:gallery w:val="placeholder"/>
        </w:category>
        <w:types>
          <w:type w:val="bbPlcHdr"/>
        </w:types>
        <w:behaviors>
          <w:behavior w:val="content"/>
        </w:behaviors>
        <w:description w:val=""/>
        <w:guid w:val="{F454228A-AFA8-4422-AC83-F4C617AC52D6}"/>
      </w:docPartPr>
      <w:docPartBody>
        <w:p w14:paraId="746E71D3">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0B8"/>
    <w:rsid w:val="00015FF2"/>
    <w:rsid w:val="00040B08"/>
    <w:rsid w:val="00061C5E"/>
    <w:rsid w:val="00062927"/>
    <w:rsid w:val="0019541B"/>
    <w:rsid w:val="002D19F4"/>
    <w:rsid w:val="003232AD"/>
    <w:rsid w:val="004C035B"/>
    <w:rsid w:val="0050440F"/>
    <w:rsid w:val="005806F8"/>
    <w:rsid w:val="005C295F"/>
    <w:rsid w:val="005E2EEA"/>
    <w:rsid w:val="00632F0C"/>
    <w:rsid w:val="00831F9C"/>
    <w:rsid w:val="00916755"/>
    <w:rsid w:val="009B6F4B"/>
    <w:rsid w:val="00AB75D6"/>
    <w:rsid w:val="00AD1E5B"/>
    <w:rsid w:val="00CD6384"/>
    <w:rsid w:val="00E020B8"/>
    <w:rsid w:val="00E73050"/>
    <w:rsid w:val="00EE4D4C"/>
    <w:rsid w:val="00F81E57"/>
    <w:rsid w:val="00FD5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2D7BE072F984843AE204EB406FE00D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C10817C797AD442984B1C7951318584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62D2B2C1EDD54FB6A462E110128ECE5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4689</Words>
  <Characters>5119</Characters>
  <Lines>41</Lines>
  <Paragraphs>11</Paragraphs>
  <TotalTime>700</TotalTime>
  <ScaleCrop>false</ScaleCrop>
  <LinksUpToDate>false</LinksUpToDate>
  <CharactersWithSpaces>5357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2024-08-02T09:22:00Z</dcterms:created>
  <dc:creator>姜交龙</dc:creator>
  <cp:lastModifiedBy>姜交龙</cp:lastModifiedBy>
  <cp:lastPrinted>2020-08-30T10:00:00Z</cp:lastPrinted>
  <dcterms:modified xsi:type="dcterms:W3CDTF">2024-09-25T07:53:46Z</dcterms:modified>
  <dc:title>地方标准</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E43C8A4C3D1A46128C18CEB9EA5EFAFC_12</vt:lpwstr>
  </property>
</Properties>
</file>