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8B0C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rPr>
        <w:t> </w:t>
      </w:r>
    </w:p>
    <w:p w14:paraId="15B910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14:paraId="378BA3A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14:paraId="705DA18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rPr>
      </w:pPr>
      <w:r>
        <w:rPr>
          <w:rFonts w:hint="eastAsia" w:ascii="黑体" w:hAnsi="黑体" w:eastAsia="黑体" w:cs="黑体"/>
          <w:color w:val="auto"/>
          <w:sz w:val="44"/>
          <w:szCs w:val="44"/>
          <w:lang w:val="en-US" w:eastAsia="zh-CN"/>
        </w:rPr>
        <w:t>兰州市地方标准</w:t>
      </w:r>
    </w:p>
    <w:p w14:paraId="791457DC">
      <w:pPr>
        <w:keepNext w:val="0"/>
        <w:keepLines w:val="0"/>
        <w:pageBreakBefore w:val="0"/>
        <w:widowControl w:val="0"/>
        <w:kinsoku/>
        <w:wordWrap/>
        <w:overflowPunct/>
        <w:topLinePunct w:val="0"/>
        <w:autoSpaceDE/>
        <w:autoSpaceDN/>
        <w:bidi w:val="0"/>
        <w:adjustRightInd/>
        <w:snapToGrid/>
        <w:spacing w:after="156" w:afterLines="50" w:line="560" w:lineRule="exact"/>
        <w:jc w:val="center"/>
        <w:textAlignment w:val="auto"/>
        <w:outlineLvl w:val="0"/>
        <w:rPr>
          <w:rFonts w:hint="eastAsia" w:ascii="黑体" w:hAnsi="黑体" w:eastAsia="黑体" w:cs="黑体"/>
          <w:color w:val="auto"/>
          <w:sz w:val="44"/>
          <w:szCs w:val="44"/>
        </w:rPr>
      </w:pPr>
      <w:bookmarkStart w:id="0" w:name="_Toc28676"/>
      <w:bookmarkStart w:id="1" w:name="_Toc8604"/>
      <w:bookmarkStart w:id="2" w:name="_Toc13608"/>
      <w:bookmarkStart w:id="3" w:name="_Toc18303"/>
      <w:bookmarkStart w:id="4" w:name="_Toc10416"/>
      <w:bookmarkStart w:id="5" w:name="_Toc15984"/>
      <w:bookmarkStart w:id="6" w:name="_Toc25404"/>
      <w:bookmarkStart w:id="7" w:name="_Toc1489"/>
      <w:bookmarkStart w:id="8" w:name="_Toc32421"/>
      <w:bookmarkStart w:id="9" w:name="_Toc8570"/>
      <w:bookmarkStart w:id="10" w:name="_Toc16523"/>
      <w:bookmarkStart w:id="11" w:name="_Toc18855"/>
      <w:bookmarkStart w:id="12" w:name="_Toc29831"/>
      <w:r>
        <w:rPr>
          <w:rFonts w:hint="eastAsia" w:ascii="黑体" w:hAnsi="黑体" w:eastAsia="黑体" w:cs="黑体"/>
          <w:color w:val="auto"/>
          <w:sz w:val="44"/>
          <w:szCs w:val="44"/>
        </w:rPr>
        <w:t>《</w:t>
      </w:r>
      <w:bookmarkStart w:id="13" w:name="OLE_LINK2"/>
      <w:r>
        <w:rPr>
          <w:rFonts w:hint="eastAsia" w:ascii="黑体" w:hAnsi="黑体" w:eastAsia="黑体" w:cs="黑体"/>
          <w:sz w:val="44"/>
          <w:szCs w:val="44"/>
        </w:rPr>
        <w:t>兰州牛肉拉面品牌培育指南</w:t>
      </w:r>
      <w:bookmarkEnd w:id="13"/>
      <w:r>
        <w:rPr>
          <w:rFonts w:hint="eastAsia" w:ascii="黑体" w:hAnsi="黑体" w:eastAsia="黑体" w:cs="黑体"/>
          <w:color w:val="auto"/>
          <w:sz w:val="44"/>
          <w:szCs w:val="44"/>
        </w:rPr>
        <w:t>》</w:t>
      </w:r>
      <w:bookmarkEnd w:id="0"/>
      <w:bookmarkEnd w:id="1"/>
      <w:bookmarkEnd w:id="2"/>
      <w:bookmarkEnd w:id="3"/>
      <w:bookmarkEnd w:id="4"/>
      <w:bookmarkEnd w:id="5"/>
      <w:bookmarkEnd w:id="6"/>
      <w:bookmarkEnd w:id="7"/>
      <w:bookmarkEnd w:id="8"/>
      <w:bookmarkEnd w:id="9"/>
      <w:bookmarkEnd w:id="10"/>
      <w:bookmarkEnd w:id="11"/>
      <w:bookmarkEnd w:id="12"/>
    </w:p>
    <w:p w14:paraId="682150BA">
      <w:pPr>
        <w:keepNext w:val="0"/>
        <w:keepLines w:val="0"/>
        <w:pageBreakBefore w:val="0"/>
        <w:widowControl w:val="0"/>
        <w:kinsoku/>
        <w:wordWrap/>
        <w:overflowPunct/>
        <w:topLinePunct w:val="0"/>
        <w:autoSpaceDE/>
        <w:autoSpaceDN/>
        <w:bidi w:val="0"/>
        <w:adjustRightInd/>
        <w:snapToGrid/>
        <w:spacing w:after="156" w:afterLines="50" w:line="560" w:lineRule="exact"/>
        <w:jc w:val="center"/>
        <w:textAlignment w:val="auto"/>
        <w:outlineLvl w:val="0"/>
        <w:rPr>
          <w:rFonts w:hint="eastAsia" w:ascii="黑体" w:hAnsi="黑体" w:eastAsia="黑体" w:cs="黑体"/>
          <w:color w:val="auto"/>
          <w:sz w:val="44"/>
          <w:szCs w:val="44"/>
          <w:lang w:eastAsia="zh-CN"/>
        </w:rPr>
      </w:pPr>
      <w:r>
        <w:rPr>
          <w:rFonts w:hint="eastAsia" w:ascii="黑体" w:hAnsi="黑体" w:eastAsia="黑体" w:cs="黑体"/>
          <w:color w:val="auto"/>
          <w:sz w:val="44"/>
          <w:szCs w:val="44"/>
          <w:lang w:eastAsia="zh-CN"/>
        </w:rPr>
        <w:t>（</w:t>
      </w:r>
      <w:r>
        <w:rPr>
          <w:rFonts w:hint="eastAsia" w:ascii="黑体" w:hAnsi="黑体" w:eastAsia="黑体" w:cs="黑体"/>
          <w:color w:val="auto"/>
          <w:sz w:val="44"/>
          <w:szCs w:val="44"/>
          <w:lang w:val="en-US" w:eastAsia="zh-CN"/>
        </w:rPr>
        <w:t>征求意见稿</w:t>
      </w:r>
      <w:r>
        <w:rPr>
          <w:rFonts w:hint="eastAsia" w:ascii="黑体" w:hAnsi="黑体" w:eastAsia="黑体" w:cs="黑体"/>
          <w:color w:val="auto"/>
          <w:sz w:val="44"/>
          <w:szCs w:val="44"/>
          <w:lang w:eastAsia="zh-CN"/>
        </w:rPr>
        <w:t>）</w:t>
      </w:r>
    </w:p>
    <w:p w14:paraId="2C2110A6">
      <w:pPr>
        <w:keepNext w:val="0"/>
        <w:keepLines w:val="0"/>
        <w:pageBreakBefore w:val="0"/>
        <w:widowControl w:val="0"/>
        <w:kinsoku/>
        <w:wordWrap/>
        <w:overflowPunct/>
        <w:topLinePunct w:val="0"/>
        <w:autoSpaceDE/>
        <w:autoSpaceDN/>
        <w:bidi w:val="0"/>
        <w:adjustRightInd/>
        <w:snapToGrid/>
        <w:spacing w:after="156" w:afterLines="50" w:line="560" w:lineRule="exact"/>
        <w:jc w:val="center"/>
        <w:textAlignment w:val="auto"/>
        <w:outlineLvl w:val="0"/>
        <w:rPr>
          <w:rFonts w:hint="eastAsia" w:ascii="黑体" w:hAnsi="黑体" w:eastAsia="黑体" w:cs="黑体"/>
          <w:color w:val="auto"/>
          <w:sz w:val="44"/>
          <w:szCs w:val="44"/>
          <w:lang w:val="en-US" w:eastAsia="zh-CN"/>
        </w:rPr>
      </w:pPr>
    </w:p>
    <w:p w14:paraId="2FDD471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黑体" w:cs="Times New Roman"/>
          <w:color w:val="auto"/>
          <w:sz w:val="32"/>
          <w:szCs w:val="32"/>
        </w:rPr>
      </w:pPr>
    </w:p>
    <w:p w14:paraId="0F25A4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黑体" w:cs="Times New Roman"/>
          <w:color w:val="auto"/>
          <w:sz w:val="32"/>
          <w:szCs w:val="32"/>
        </w:rPr>
      </w:pPr>
    </w:p>
    <w:p w14:paraId="41E8CB81">
      <w:pPr>
        <w:keepNext w:val="0"/>
        <w:keepLines w:val="0"/>
        <w:pageBreakBefore w:val="0"/>
        <w:widowControl w:val="0"/>
        <w:kinsoku/>
        <w:wordWrap/>
        <w:overflowPunct/>
        <w:topLinePunct w:val="0"/>
        <w:autoSpaceDE/>
        <w:autoSpaceDN/>
        <w:bidi w:val="0"/>
        <w:adjustRightInd/>
        <w:snapToGrid/>
        <w:spacing w:before="156" w:beforeLines="50" w:line="560" w:lineRule="exact"/>
        <w:jc w:val="center"/>
        <w:textAlignment w:val="auto"/>
        <w:rPr>
          <w:rFonts w:hint="default" w:ascii="Times New Roman" w:hAnsi="Times New Roman" w:eastAsia="黑体" w:cs="Times New Roman"/>
          <w:color w:val="auto"/>
          <w:sz w:val="72"/>
          <w:szCs w:val="72"/>
        </w:rPr>
      </w:pPr>
      <w:bookmarkStart w:id="14" w:name="_Toc24559"/>
      <w:bookmarkStart w:id="15" w:name="_Toc14061"/>
      <w:bookmarkStart w:id="16" w:name="_Toc15176"/>
      <w:bookmarkStart w:id="17" w:name="_Toc24156"/>
      <w:bookmarkStart w:id="18" w:name="_Toc22434"/>
      <w:bookmarkStart w:id="19" w:name="_Toc6660"/>
      <w:bookmarkStart w:id="20" w:name="_Toc10687"/>
      <w:bookmarkStart w:id="21" w:name="_Toc20345"/>
      <w:bookmarkStart w:id="22" w:name="_Toc16303"/>
      <w:bookmarkStart w:id="23" w:name="_Toc31903"/>
      <w:r>
        <w:rPr>
          <w:rFonts w:hint="default" w:ascii="Times New Roman" w:hAnsi="Times New Roman" w:eastAsia="黑体" w:cs="Times New Roman"/>
          <w:color w:val="auto"/>
          <w:sz w:val="72"/>
          <w:szCs w:val="72"/>
        </w:rPr>
        <w:t>编</w:t>
      </w:r>
      <w:bookmarkEnd w:id="14"/>
      <w:bookmarkEnd w:id="15"/>
      <w:bookmarkEnd w:id="16"/>
      <w:bookmarkEnd w:id="17"/>
      <w:bookmarkEnd w:id="18"/>
      <w:bookmarkEnd w:id="19"/>
      <w:bookmarkEnd w:id="20"/>
      <w:bookmarkEnd w:id="21"/>
      <w:bookmarkEnd w:id="22"/>
      <w:bookmarkEnd w:id="23"/>
      <w:r>
        <w:rPr>
          <w:rFonts w:hint="default" w:ascii="Times New Roman" w:hAnsi="Times New Roman" w:eastAsia="黑体" w:cs="Times New Roman"/>
          <w:color w:val="auto"/>
          <w:sz w:val="72"/>
          <w:szCs w:val="72"/>
        </w:rPr>
        <w:t xml:space="preserve"> </w:t>
      </w:r>
    </w:p>
    <w:p w14:paraId="751C0AAB">
      <w:pPr>
        <w:keepNext w:val="0"/>
        <w:keepLines w:val="0"/>
        <w:pageBreakBefore w:val="0"/>
        <w:widowControl w:val="0"/>
        <w:kinsoku/>
        <w:wordWrap/>
        <w:overflowPunct/>
        <w:topLinePunct w:val="0"/>
        <w:autoSpaceDE/>
        <w:autoSpaceDN/>
        <w:bidi w:val="0"/>
        <w:adjustRightInd/>
        <w:snapToGrid/>
        <w:spacing w:before="156" w:beforeLines="50" w:line="560" w:lineRule="exact"/>
        <w:jc w:val="center"/>
        <w:textAlignment w:val="auto"/>
        <w:rPr>
          <w:rFonts w:hint="default" w:ascii="Times New Roman" w:hAnsi="Times New Roman" w:eastAsia="黑体" w:cs="Times New Roman"/>
          <w:color w:val="auto"/>
          <w:sz w:val="72"/>
          <w:szCs w:val="72"/>
        </w:rPr>
      </w:pPr>
      <w:r>
        <w:rPr>
          <w:rFonts w:hint="default" w:ascii="Times New Roman" w:hAnsi="Times New Roman" w:eastAsia="黑体" w:cs="Times New Roman"/>
          <w:color w:val="auto"/>
          <w:sz w:val="72"/>
          <w:szCs w:val="72"/>
        </w:rPr>
        <w:t xml:space="preserve">制 </w:t>
      </w:r>
    </w:p>
    <w:p w14:paraId="53EC6BCA">
      <w:pPr>
        <w:keepNext w:val="0"/>
        <w:keepLines w:val="0"/>
        <w:pageBreakBefore w:val="0"/>
        <w:widowControl w:val="0"/>
        <w:kinsoku/>
        <w:wordWrap/>
        <w:overflowPunct/>
        <w:topLinePunct w:val="0"/>
        <w:autoSpaceDE/>
        <w:autoSpaceDN/>
        <w:bidi w:val="0"/>
        <w:adjustRightInd/>
        <w:snapToGrid/>
        <w:spacing w:before="156" w:beforeLines="50" w:line="560" w:lineRule="exact"/>
        <w:jc w:val="center"/>
        <w:textAlignment w:val="auto"/>
        <w:rPr>
          <w:rFonts w:hint="default" w:ascii="Times New Roman" w:hAnsi="Times New Roman" w:eastAsia="黑体" w:cs="Times New Roman"/>
          <w:color w:val="auto"/>
          <w:sz w:val="72"/>
          <w:szCs w:val="72"/>
        </w:rPr>
      </w:pPr>
      <w:r>
        <w:rPr>
          <w:rFonts w:hint="default" w:ascii="Times New Roman" w:hAnsi="Times New Roman" w:eastAsia="黑体" w:cs="Times New Roman"/>
          <w:color w:val="auto"/>
          <w:sz w:val="72"/>
          <w:szCs w:val="72"/>
        </w:rPr>
        <w:t xml:space="preserve">说 </w:t>
      </w:r>
    </w:p>
    <w:p w14:paraId="5170173E">
      <w:pPr>
        <w:keepNext w:val="0"/>
        <w:keepLines w:val="0"/>
        <w:pageBreakBefore w:val="0"/>
        <w:widowControl w:val="0"/>
        <w:kinsoku/>
        <w:wordWrap/>
        <w:overflowPunct/>
        <w:topLinePunct w:val="0"/>
        <w:autoSpaceDE/>
        <w:autoSpaceDN/>
        <w:bidi w:val="0"/>
        <w:adjustRightInd/>
        <w:snapToGrid/>
        <w:spacing w:before="156" w:beforeLines="50" w:line="560" w:lineRule="exact"/>
        <w:jc w:val="center"/>
        <w:textAlignment w:val="auto"/>
        <w:rPr>
          <w:rFonts w:hint="default" w:ascii="Times New Roman" w:hAnsi="Times New Roman" w:eastAsia="黑体" w:cs="Times New Roman"/>
          <w:color w:val="auto"/>
          <w:sz w:val="72"/>
          <w:szCs w:val="72"/>
        </w:rPr>
      </w:pPr>
      <w:bookmarkStart w:id="24" w:name="_Toc21352"/>
      <w:bookmarkStart w:id="25" w:name="_Toc23200"/>
      <w:bookmarkStart w:id="26" w:name="_Toc11826"/>
      <w:bookmarkStart w:id="27" w:name="_Toc26235"/>
      <w:bookmarkStart w:id="28" w:name="_Toc31750"/>
      <w:bookmarkStart w:id="29" w:name="_Toc28096"/>
      <w:bookmarkStart w:id="30" w:name="_Toc15602"/>
      <w:bookmarkStart w:id="31" w:name="_Toc19186"/>
      <w:bookmarkStart w:id="32" w:name="_Toc2085"/>
      <w:bookmarkStart w:id="33" w:name="_Toc30987"/>
      <w:r>
        <w:rPr>
          <w:rFonts w:hint="default" w:ascii="Times New Roman" w:hAnsi="Times New Roman" w:eastAsia="黑体" w:cs="Times New Roman"/>
          <w:color w:val="auto"/>
          <w:sz w:val="72"/>
          <w:szCs w:val="72"/>
        </w:rPr>
        <w:t>明</w:t>
      </w:r>
      <w:bookmarkEnd w:id="24"/>
      <w:bookmarkEnd w:id="25"/>
      <w:bookmarkEnd w:id="26"/>
      <w:bookmarkEnd w:id="27"/>
      <w:bookmarkEnd w:id="28"/>
      <w:bookmarkEnd w:id="29"/>
      <w:bookmarkEnd w:id="30"/>
      <w:bookmarkEnd w:id="31"/>
      <w:bookmarkEnd w:id="32"/>
      <w:bookmarkEnd w:id="33"/>
    </w:p>
    <w:p w14:paraId="2959B6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黑体" w:cs="Times New Roman"/>
          <w:color w:val="auto"/>
          <w:sz w:val="32"/>
          <w:szCs w:val="32"/>
        </w:rPr>
      </w:pPr>
    </w:p>
    <w:p w14:paraId="5F1A29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黑体" w:cs="Times New Roman"/>
          <w:color w:val="auto"/>
          <w:sz w:val="32"/>
          <w:szCs w:val="32"/>
        </w:rPr>
      </w:pPr>
    </w:p>
    <w:p w14:paraId="7EF8FC2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color w:val="auto"/>
          <w:sz w:val="32"/>
          <w:szCs w:val="32"/>
        </w:rPr>
      </w:pPr>
    </w:p>
    <w:p w14:paraId="32C476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黑体" w:cs="Times New Roman"/>
          <w:color w:val="auto"/>
          <w:sz w:val="32"/>
          <w:szCs w:val="32"/>
        </w:rPr>
      </w:pPr>
    </w:p>
    <w:p w14:paraId="226C97D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黑体" w:cs="Times New Roman"/>
          <w:color w:val="auto"/>
          <w:sz w:val="28"/>
          <w:szCs w:val="28"/>
          <w:lang w:val="en-US" w:eastAsia="zh-CN"/>
        </w:rPr>
      </w:pPr>
    </w:p>
    <w:p w14:paraId="7FE728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w:t>
      </w:r>
      <w:r>
        <w:rPr>
          <w:rFonts w:hint="eastAsia" w:ascii="Times New Roman" w:hAnsi="Times New Roman" w:eastAsia="黑体" w:cs="Times New Roman"/>
          <w:color w:val="auto"/>
          <w:sz w:val="28"/>
          <w:szCs w:val="28"/>
        </w:rPr>
        <w:t>兰州牛肉拉面品牌培育指南</w:t>
      </w:r>
      <w:r>
        <w:rPr>
          <w:rFonts w:hint="default" w:ascii="Times New Roman" w:hAnsi="Times New Roman" w:eastAsia="黑体" w:cs="Times New Roman"/>
          <w:color w:val="auto"/>
          <w:sz w:val="28"/>
          <w:szCs w:val="28"/>
        </w:rPr>
        <w:t>》</w:t>
      </w:r>
    </w:p>
    <w:p w14:paraId="48DE5C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编制</w:t>
      </w:r>
      <w:r>
        <w:rPr>
          <w:rFonts w:hint="eastAsia" w:ascii="Times New Roman" w:hAnsi="Times New Roman" w:eastAsia="黑体" w:cs="Times New Roman"/>
          <w:color w:val="auto"/>
          <w:sz w:val="28"/>
          <w:szCs w:val="28"/>
          <w:lang w:val="en-US" w:eastAsia="zh-CN"/>
        </w:rPr>
        <w:t>工作</w:t>
      </w:r>
      <w:r>
        <w:rPr>
          <w:rFonts w:hint="default" w:ascii="Times New Roman" w:hAnsi="Times New Roman" w:eastAsia="黑体" w:cs="Times New Roman"/>
          <w:color w:val="auto"/>
          <w:sz w:val="28"/>
          <w:szCs w:val="28"/>
        </w:rPr>
        <w:t>组</w:t>
      </w:r>
    </w:p>
    <w:p w14:paraId="5CD689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二〇二</w:t>
      </w:r>
      <w:r>
        <w:rPr>
          <w:rFonts w:hint="eastAsia" w:ascii="Times New Roman" w:hAnsi="Times New Roman" w:eastAsia="黑体" w:cs="Times New Roman"/>
          <w:color w:val="auto"/>
          <w:sz w:val="28"/>
          <w:szCs w:val="28"/>
          <w:lang w:val="en-US" w:eastAsia="zh-CN"/>
        </w:rPr>
        <w:t>四</w:t>
      </w:r>
      <w:r>
        <w:rPr>
          <w:rFonts w:hint="default" w:ascii="Times New Roman" w:hAnsi="Times New Roman" w:eastAsia="黑体" w:cs="Times New Roman"/>
          <w:color w:val="auto"/>
          <w:sz w:val="28"/>
          <w:szCs w:val="28"/>
        </w:rPr>
        <w:t>年</w:t>
      </w:r>
      <w:r>
        <w:rPr>
          <w:rFonts w:hint="eastAsia" w:ascii="Times New Roman" w:hAnsi="Times New Roman" w:eastAsia="黑体" w:cs="Times New Roman"/>
          <w:color w:val="auto"/>
          <w:sz w:val="28"/>
          <w:szCs w:val="28"/>
          <w:lang w:val="en-US" w:eastAsia="zh-CN"/>
        </w:rPr>
        <w:t>九</w:t>
      </w:r>
      <w:r>
        <w:rPr>
          <w:rFonts w:hint="default" w:ascii="Times New Roman" w:hAnsi="Times New Roman" w:eastAsia="黑体" w:cs="Times New Roman"/>
          <w:color w:val="auto"/>
          <w:sz w:val="28"/>
          <w:szCs w:val="28"/>
        </w:rPr>
        <w:t>月</w:t>
      </w:r>
    </w:p>
    <w:p w14:paraId="7C0E439A">
      <w:pPr>
        <w:keepNext w:val="0"/>
        <w:keepLines w:val="0"/>
        <w:pageBreakBefore w:val="0"/>
        <w:widowControl w:val="0"/>
        <w:kinsoku/>
        <w:wordWrap/>
        <w:overflowPunct/>
        <w:topLinePunct w:val="0"/>
        <w:autoSpaceDE/>
        <w:autoSpaceDN/>
        <w:bidi w:val="0"/>
        <w:adjustRightInd/>
        <w:snapToGrid/>
        <w:spacing w:line="560" w:lineRule="exact"/>
        <w:ind w:firstLine="720" w:firstLineChars="200"/>
        <w:textAlignment w:val="auto"/>
        <w:rPr>
          <w:rFonts w:hint="eastAsia" w:ascii="方正小标宋简体" w:hAnsi="方正小标宋简体" w:eastAsia="方正小标宋简体" w:cs="方正小标宋简体"/>
          <w:sz w:val="36"/>
          <w:szCs w:val="36"/>
        </w:rPr>
      </w:pPr>
    </w:p>
    <w:p w14:paraId="4FE8765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sz w:val="36"/>
          <w:szCs w:val="36"/>
        </w:rPr>
      </w:pPr>
    </w:p>
    <w:p w14:paraId="12AAEAF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rPr>
        <w:t xml:space="preserve"> </w:t>
      </w:r>
    </w:p>
    <w:p w14:paraId="053B95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《兰州牛肉拉面品牌培育指南》</w:t>
      </w:r>
    </w:p>
    <w:p w14:paraId="4D5B21B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编制说明</w:t>
      </w:r>
    </w:p>
    <w:p w14:paraId="48253C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工作简况</w:t>
      </w:r>
    </w:p>
    <w:p w14:paraId="302551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（一）任务来源</w:t>
      </w:r>
    </w:p>
    <w:p w14:paraId="48A803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兰州牛肉拉面作为甘肃特色美食的代表，近年来在全国乃至全球范围内的影响力日益扩大。为进一步规范兰州牛肉拉面品牌的培育和发展，提升品牌的市场竞争力和影响力，</w:t>
      </w:r>
      <w:r>
        <w:rPr>
          <w:rFonts w:hint="eastAsia" w:ascii="仿宋_GB2312" w:hAnsi="仿宋_GB2312" w:eastAsia="仿宋_GB2312" w:cs="仿宋_GB2312"/>
          <w:sz w:val="32"/>
          <w:szCs w:val="32"/>
          <w:lang w:val="en-US" w:eastAsia="zh-CN"/>
        </w:rPr>
        <w:t>兰州市市场监督管理局</w:t>
      </w:r>
      <w:r>
        <w:rPr>
          <w:rFonts w:hint="eastAsia" w:ascii="仿宋_GB2312" w:hAnsi="仿宋_GB2312" w:eastAsia="仿宋_GB2312" w:cs="仿宋_GB2312"/>
          <w:sz w:val="32"/>
          <w:szCs w:val="32"/>
        </w:rPr>
        <w:t>下达了制定</w:t>
      </w:r>
      <w:bookmarkStart w:id="34" w:name="OLE_LINK1"/>
      <w:r>
        <w:rPr>
          <w:rFonts w:hint="eastAsia" w:ascii="仿宋_GB2312" w:hAnsi="仿宋_GB2312" w:eastAsia="仿宋_GB2312" w:cs="仿宋_GB2312"/>
          <w:sz w:val="32"/>
          <w:szCs w:val="32"/>
        </w:rPr>
        <w:t>《兰州牛肉拉面品牌培育指南地方标准》</w:t>
      </w:r>
      <w:bookmarkEnd w:id="34"/>
      <w:r>
        <w:rPr>
          <w:rFonts w:hint="eastAsia" w:ascii="仿宋_GB2312" w:hAnsi="仿宋_GB2312" w:eastAsia="仿宋_GB2312" w:cs="仿宋_GB2312"/>
          <w:sz w:val="32"/>
          <w:szCs w:val="32"/>
        </w:rPr>
        <w:t>的任务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我公司受兰州市市场监督管理局委托组织开展</w:t>
      </w:r>
      <w:r>
        <w:rPr>
          <w:rFonts w:hint="eastAsia" w:ascii="仿宋_GB2312" w:hAnsi="仿宋_GB2312" w:eastAsia="仿宋_GB2312" w:cs="仿宋_GB2312"/>
          <w:sz w:val="32"/>
          <w:szCs w:val="32"/>
        </w:rPr>
        <w:t>《兰州牛肉拉面品牌培育指南》</w:t>
      </w:r>
      <w:r>
        <w:rPr>
          <w:rFonts w:hint="eastAsia" w:ascii="仿宋_GB2312" w:hAnsi="仿宋_GB2312" w:eastAsia="仿宋_GB2312" w:cs="仿宋_GB2312"/>
          <w:sz w:val="32"/>
          <w:szCs w:val="32"/>
          <w:lang w:val="en-US" w:eastAsia="zh-CN"/>
        </w:rPr>
        <w:t>地方标准的制定工作</w:t>
      </w:r>
      <w:r>
        <w:rPr>
          <w:rFonts w:hint="eastAsia" w:ascii="仿宋_GB2312" w:hAnsi="仿宋_GB2312" w:eastAsia="仿宋_GB2312" w:cs="仿宋_GB2312"/>
          <w:sz w:val="32"/>
          <w:szCs w:val="32"/>
        </w:rPr>
        <w:t>。</w:t>
      </w:r>
    </w:p>
    <w:p w14:paraId="40A073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（二）起草单位</w:t>
      </w:r>
    </w:p>
    <w:p w14:paraId="17F687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本标准由</w:t>
      </w:r>
      <w:r>
        <w:rPr>
          <w:rFonts w:hint="eastAsia" w:ascii="仿宋_GB2312" w:hAnsi="仿宋_GB2312" w:eastAsia="仿宋_GB2312" w:cs="仿宋_GB2312"/>
          <w:sz w:val="32"/>
          <w:szCs w:val="32"/>
          <w:lang w:val="en-US" w:eastAsia="zh-CN"/>
        </w:rPr>
        <w:t>甘肃港新知识产权保护有限公司承担主要起草工作</w:t>
      </w:r>
      <w:bookmarkStart w:id="35" w:name="OLE_LINK3"/>
      <w:r>
        <w:rPr>
          <w:rFonts w:hint="eastAsia" w:ascii="仿宋_GB2312" w:hAnsi="仿宋_GB2312" w:eastAsia="仿宋_GB2312" w:cs="仿宋_GB2312"/>
          <w:sz w:val="32"/>
          <w:szCs w:val="32"/>
          <w:lang w:val="en-US" w:eastAsia="zh-CN"/>
        </w:rPr>
        <w:t>。甘肃省轻工研究院有限责任公司、甘肃农业职业技术学院、甘肃省食品检验研究院、兰州牛肉拉面行业协会、甘肃金味德拉面文化产业集团有限公司</w:t>
      </w:r>
      <w:bookmarkEnd w:id="35"/>
      <w:r>
        <w:rPr>
          <w:rFonts w:hint="eastAsia" w:ascii="仿宋_GB2312" w:hAnsi="仿宋_GB2312" w:eastAsia="仿宋_GB2312" w:cs="仿宋_GB2312"/>
          <w:sz w:val="32"/>
          <w:szCs w:val="32"/>
        </w:rPr>
        <w:t>等单位共同</w:t>
      </w:r>
      <w:r>
        <w:rPr>
          <w:rFonts w:hint="eastAsia" w:ascii="仿宋_GB2312" w:hAnsi="仿宋_GB2312" w:eastAsia="仿宋_GB2312" w:cs="仿宋_GB2312"/>
          <w:sz w:val="32"/>
          <w:szCs w:val="32"/>
          <w:lang w:val="en-US" w:eastAsia="zh-CN"/>
        </w:rPr>
        <w:t>参与</w:t>
      </w:r>
      <w:r>
        <w:rPr>
          <w:rFonts w:hint="eastAsia" w:ascii="仿宋_GB2312" w:hAnsi="仿宋_GB2312" w:eastAsia="仿宋_GB2312" w:cs="仿宋_GB2312"/>
          <w:sz w:val="32"/>
          <w:szCs w:val="32"/>
        </w:rPr>
        <w:t>起草。</w:t>
      </w:r>
    </w:p>
    <w:p w14:paraId="2C9812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（三）主要起草人及分工</w:t>
      </w:r>
    </w:p>
    <w:p w14:paraId="2A80D9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w:t>
      </w:r>
      <w:r>
        <w:rPr>
          <w:rFonts w:hint="eastAsia" w:ascii="仿宋_GB2312" w:hAnsi="仿宋_GB2312" w:eastAsia="仿宋_GB2312" w:cs="仿宋_GB2312"/>
          <w:sz w:val="32"/>
          <w:szCs w:val="32"/>
          <w:lang w:val="en-US" w:eastAsia="zh-CN"/>
        </w:rPr>
        <w:t>张毅军</w:t>
      </w:r>
      <w:r>
        <w:rPr>
          <w:rFonts w:hint="eastAsia" w:ascii="仿宋_GB2312" w:hAnsi="仿宋_GB2312" w:eastAsia="仿宋_GB2312" w:cs="仿宋_GB2312"/>
          <w:sz w:val="32"/>
          <w:szCs w:val="32"/>
        </w:rPr>
        <w:t>负责标准的总体策划和协调，组织起草工作的开展，对标准的框架结构和主要内容进行把关。</w:t>
      </w:r>
    </w:p>
    <w:p w14:paraId="07AA09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w:t>
      </w:r>
      <w:r>
        <w:rPr>
          <w:rFonts w:hint="eastAsia" w:ascii="仿宋_GB2312" w:hAnsi="仿宋_GB2312" w:eastAsia="仿宋_GB2312" w:cs="仿宋_GB2312"/>
          <w:sz w:val="32"/>
          <w:szCs w:val="32"/>
          <w:lang w:val="en-US" w:eastAsia="zh-CN"/>
        </w:rPr>
        <w:t>史芳志、李翔、车新龙</w:t>
      </w:r>
      <w:r>
        <w:rPr>
          <w:rFonts w:hint="eastAsia" w:ascii="仿宋_GB2312" w:hAnsi="仿宋_GB2312" w:eastAsia="仿宋_GB2312" w:cs="仿宋_GB2312"/>
          <w:sz w:val="32"/>
          <w:szCs w:val="32"/>
        </w:rPr>
        <w:t>承担标准中品牌定位、品牌形象塑造等部分的起草工作，收集相关资料，进行市场调研和分析。</w:t>
      </w:r>
    </w:p>
    <w:p w14:paraId="5CEC17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朱学良、王栋、张斌龙</w:t>
      </w:r>
      <w:r>
        <w:rPr>
          <w:rFonts w:hint="eastAsia" w:ascii="仿宋_GB2312" w:hAnsi="仿宋_GB2312" w:eastAsia="仿宋_GB2312" w:cs="仿宋_GB2312"/>
          <w:sz w:val="32"/>
          <w:szCs w:val="32"/>
        </w:rPr>
        <w:t>参与标准的讨论和修改，重点对品牌推广策略、品牌管理等方面提供专业意见和建议，并负责相关</w:t>
      </w:r>
      <w:r>
        <w:rPr>
          <w:rFonts w:hint="eastAsia" w:ascii="仿宋_GB2312" w:hAnsi="仿宋_GB2312" w:eastAsia="仿宋_GB2312" w:cs="仿宋_GB2312"/>
          <w:sz w:val="32"/>
          <w:szCs w:val="32"/>
          <w:lang w:val="en-US" w:eastAsia="zh-CN"/>
        </w:rPr>
        <w:t>内容的</w:t>
      </w:r>
      <w:r>
        <w:rPr>
          <w:rFonts w:hint="eastAsia" w:ascii="仿宋_GB2312" w:hAnsi="仿宋_GB2312" w:eastAsia="仿宋_GB2312" w:cs="仿宋_GB2312"/>
          <w:sz w:val="32"/>
          <w:szCs w:val="32"/>
        </w:rPr>
        <w:t>分析。</w:t>
      </w:r>
    </w:p>
    <w:p w14:paraId="61271F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袁思亮、彭涛、许方圆、张小燕、何彩霞负责</w:t>
      </w:r>
      <w:r>
        <w:rPr>
          <w:rFonts w:hint="eastAsia" w:ascii="仿宋_GB2312" w:hAnsi="仿宋_GB2312" w:eastAsia="仿宋_GB2312" w:cs="仿宋_GB2312"/>
          <w:sz w:val="32"/>
          <w:szCs w:val="32"/>
        </w:rPr>
        <w:t>协助起草标准文本，整理和汇总各方意见，对标准的文字表述进行规范和优化。</w:t>
      </w:r>
    </w:p>
    <w:p w14:paraId="558149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二、标准编制的目的和意义</w:t>
      </w:r>
    </w:p>
    <w:p w14:paraId="67D1B8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（一）目的</w:t>
      </w:r>
      <w:bookmarkStart w:id="40" w:name="_GoBack"/>
      <w:bookmarkEnd w:id="40"/>
    </w:p>
    <w:p w14:paraId="791159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制定本地方标准的目的在于建立一套科学、系统、全面且符合兰州牛肉拉面特色的品牌培育指南，塑造统一鲜明的品牌形象：为兰州牛肉拉面打造一个独特、易识别且具有一致性的品牌形象，为相关企业和从业者提供明确的方向和方法，促进兰州牛肉拉面品牌的规范化、专业化和可持续发展。</w:t>
      </w:r>
    </w:p>
    <w:p w14:paraId="5C2163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（二）意义</w:t>
      </w:r>
    </w:p>
    <w:p w14:paraId="59F581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1.推动产业升级：通过品牌培育标准的制定，引导企业提升产品品质和服务水平，推动兰州牛肉拉面产业从传统的粗放式经营向精细化、品牌化经营转变，实现产业的优化升级。</w:t>
      </w:r>
    </w:p>
    <w:p w14:paraId="55908B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2.增强市场竞争力：规范统一的品牌培育流程和要求，有助于提升兰州牛肉拉面品牌的整体形象和知名度，增强其在市场中的竞争力，吸引更多消费者，扩大市场份额。</w:t>
      </w:r>
    </w:p>
    <w:p w14:paraId="2758DD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3.传承和弘扬地方文化：兰州牛肉拉面不仅是一种美食，更是地方文化的重要载体。地方标准的制定有助于在品牌培育过程中更好地传承和弘扬兰州牛肉拉面所蕴含的地方文化特色，提升地方文化的影响力。</w:t>
      </w:r>
    </w:p>
    <w:p w14:paraId="10820F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4.保障消费者权益：明确的品牌培育标准，能够确保消费者享受到质量稳定、口感正宗、服务优质的兰州牛肉拉面产品和服务，保障消费者的合法权益。</w:t>
      </w:r>
    </w:p>
    <w:p w14:paraId="18C46E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 推动文化交流：兰州牛肉拉面作为地方饮食文化的代表，其品牌的培育和传播有助于促进不同地区之间的文化交流与融合。</w:t>
      </w:r>
    </w:p>
    <w:p w14:paraId="62D635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三、标准编制原则</w:t>
      </w:r>
    </w:p>
    <w:p w14:paraId="30EC69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（一）科学性原则</w:t>
      </w:r>
    </w:p>
    <w:p w14:paraId="7BBD21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在标准编制过程中，充分收集和分析国内外相关品牌培育的理论和实践经验，结合兰州牛肉拉面的特点和发展需求，运用科学的方法和手段，确保标准内容具有科学性和合理性。</w:t>
      </w:r>
    </w:p>
    <w:p w14:paraId="2EBEAF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（二）实用性原则</w:t>
      </w:r>
    </w:p>
    <w:p w14:paraId="18B1C7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深入调研兰州牛肉拉面企业的实际经营状况和市场需求，广泛征求企业、行业协会、专家和消费者的意见和建议，使标准具有较强的可操作性和实用性，能够切实指导企业的品牌培育工作。</w:t>
      </w:r>
    </w:p>
    <w:p w14:paraId="04D1C1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（三）前瞻性原则</w:t>
      </w:r>
    </w:p>
    <w:p w14:paraId="71C366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充分考虑市场变化和行业发展趋势，引入先进的品牌培育理念和方法，使标准具有一定的前瞻性和引领性，能够为兰州牛肉拉面品牌的未来发展提供方向和指导。</w:t>
      </w:r>
    </w:p>
    <w:p w14:paraId="2586E0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（四）协调性原则</w:t>
      </w:r>
    </w:p>
    <w:p w14:paraId="6F2665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本标准与国家相关法律法规、政策文件以及现行的相关标准相协调，确保标准内容的一致性和兼容性，避免出现冲突和矛盾。</w:t>
      </w:r>
    </w:p>
    <w:p w14:paraId="0DFB88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四、主要内容的确定</w:t>
      </w:r>
    </w:p>
    <w:p w14:paraId="299389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品牌培育战略规划</w:t>
      </w:r>
    </w:p>
    <w:p w14:paraId="16765D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对兰州牛肉拉面的品牌分析、品牌定位、品牌架构、品牌规划</w:t>
      </w:r>
      <w:r>
        <w:rPr>
          <w:rFonts w:hint="eastAsia" w:ascii="仿宋_GB2312" w:hAnsi="仿宋_GB2312" w:eastAsia="仿宋_GB2312" w:cs="仿宋_GB2312"/>
          <w:sz w:val="32"/>
          <w:szCs w:val="32"/>
          <w:lang w:val="en" w:eastAsia="zh-CN"/>
        </w:rPr>
        <w:t>列出</w:t>
      </w:r>
      <w:r>
        <w:rPr>
          <w:rFonts w:hint="eastAsia" w:ascii="仿宋_GB2312" w:hAnsi="仿宋_GB2312" w:eastAsia="仿宋_GB2312" w:cs="仿宋_GB2312"/>
          <w:sz w:val="32"/>
          <w:szCs w:val="32"/>
          <w:lang w:val="en-US" w:eastAsia="zh-CN"/>
        </w:rPr>
        <w:t>执行</w:t>
      </w:r>
      <w:r>
        <w:rPr>
          <w:rFonts w:hint="eastAsia" w:ascii="仿宋_GB2312" w:hAnsi="仿宋_GB2312" w:eastAsia="仿宋_GB2312" w:cs="仿宋_GB2312"/>
          <w:sz w:val="32"/>
          <w:szCs w:val="32"/>
          <w:lang w:val="en" w:eastAsia="zh-CN"/>
        </w:rPr>
        <w:t>本标准</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lang w:val="en" w:eastAsia="zh-CN"/>
        </w:rPr>
        <w:t>相关</w:t>
      </w:r>
      <w:r>
        <w:rPr>
          <w:rFonts w:hint="eastAsia" w:ascii="仿宋_GB2312" w:hAnsi="仿宋_GB2312" w:eastAsia="仿宋_GB2312" w:cs="仿宋_GB2312"/>
          <w:sz w:val="32"/>
          <w:szCs w:val="32"/>
          <w:lang w:val="en-US" w:eastAsia="zh-CN"/>
        </w:rPr>
        <w:t>规定。</w:t>
      </w:r>
    </w:p>
    <w:p w14:paraId="7DF1A6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w:t>
      </w:r>
      <w:bookmarkStart w:id="36" w:name="_Toc7890"/>
      <w:bookmarkStart w:id="37" w:name="_Toc28094"/>
      <w:bookmarkStart w:id="38" w:name="_Toc23224"/>
      <w:r>
        <w:rPr>
          <w:rFonts w:hint="eastAsia" w:ascii="楷体_GB2312" w:hAnsi="楷体_GB2312" w:eastAsia="楷体_GB2312" w:cs="楷体_GB2312"/>
          <w:sz w:val="32"/>
          <w:szCs w:val="32"/>
          <w:lang w:val="en-US" w:eastAsia="zh-CN"/>
        </w:rPr>
        <w:t>品牌培育</w:t>
      </w:r>
      <w:bookmarkEnd w:id="36"/>
      <w:r>
        <w:rPr>
          <w:rFonts w:hint="eastAsia" w:ascii="楷体_GB2312" w:hAnsi="楷体_GB2312" w:eastAsia="楷体_GB2312" w:cs="楷体_GB2312"/>
          <w:sz w:val="32"/>
          <w:szCs w:val="32"/>
          <w:lang w:val="en-US" w:eastAsia="zh-CN"/>
        </w:rPr>
        <w:t>资源保障</w:t>
      </w:r>
      <w:bookmarkEnd w:id="37"/>
      <w:bookmarkEnd w:id="38"/>
    </w:p>
    <w:p w14:paraId="7CB500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US" w:eastAsia="zh-CN"/>
        </w:rPr>
        <w:t>规定了品牌培育政策资源、人力资源保障、自然资源、人文资源等目标</w:t>
      </w:r>
      <w:r>
        <w:rPr>
          <w:rFonts w:hint="eastAsia" w:ascii="仿宋_GB2312" w:hAnsi="仿宋_GB2312" w:eastAsia="仿宋_GB2312" w:cs="仿宋_GB2312"/>
          <w:sz w:val="32"/>
          <w:szCs w:val="32"/>
          <w:lang w:val="en" w:eastAsia="zh-CN"/>
        </w:rPr>
        <w:t>。</w:t>
      </w:r>
    </w:p>
    <w:p w14:paraId="7F65E3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（三）品牌推广</w:t>
      </w:r>
    </w:p>
    <w:p w14:paraId="3405B0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US" w:eastAsia="zh-CN"/>
        </w:rPr>
        <w:t>对品牌形象塑造、品牌文化推广、促进文化创新作出相关规定</w:t>
      </w:r>
      <w:r>
        <w:rPr>
          <w:rFonts w:hint="eastAsia" w:ascii="仿宋_GB2312" w:hAnsi="仿宋_GB2312" w:eastAsia="仿宋_GB2312" w:cs="仿宋_GB2312"/>
          <w:sz w:val="32"/>
          <w:szCs w:val="32"/>
          <w:lang w:val="en" w:eastAsia="zh-CN"/>
        </w:rPr>
        <w:t>。</w:t>
      </w:r>
    </w:p>
    <w:p w14:paraId="61B611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（四）品牌维护与风险管理</w:t>
      </w:r>
    </w:p>
    <w:p w14:paraId="7E0650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明确了品牌管理者、法律确认与保护、品牌标识使用管理制度、建合机制、品牌危机预警机制、建立品牌危机应急处理机制</w:t>
      </w:r>
    </w:p>
    <w:p w14:paraId="5F7E49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 w:eastAsia="zh-CN"/>
        </w:rPr>
      </w:pPr>
      <w:r>
        <w:rPr>
          <w:rFonts w:hint="eastAsia" w:ascii="楷体_GB2312" w:hAnsi="楷体_GB2312" w:eastAsia="楷体_GB2312" w:cs="楷体_GB2312"/>
          <w:sz w:val="32"/>
          <w:szCs w:val="32"/>
          <w:lang w:val="en-US" w:eastAsia="zh-CN"/>
        </w:rPr>
        <w:t>（五）品牌培育绩效与改进</w:t>
      </w:r>
    </w:p>
    <w:p w14:paraId="137081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确定了关键绩效指标、对品牌监测、改进措施作出规定</w:t>
      </w:r>
      <w:r>
        <w:rPr>
          <w:rFonts w:hint="eastAsia"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rPr>
        <w:t xml:space="preserve"> </w:t>
      </w:r>
    </w:p>
    <w:p w14:paraId="782734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五、与现行法律法规和强制性标准的关系</w:t>
      </w:r>
    </w:p>
    <w:p w14:paraId="5F9306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本标准严格遵循国家现行的法律法规和相关政策，与《中华人民共和国</w:t>
      </w:r>
      <w:r>
        <w:rPr>
          <w:rFonts w:hint="eastAsia" w:ascii="仿宋_GB2312" w:hAnsi="仿宋_GB2312" w:eastAsia="仿宋_GB2312" w:cs="仿宋_GB2312"/>
          <w:sz w:val="32"/>
          <w:szCs w:val="32"/>
          <w:lang w:val="en-US" w:eastAsia="zh-CN"/>
        </w:rPr>
        <w:t>商标法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《中华人民共和国</w:t>
      </w:r>
      <w:r>
        <w:rPr>
          <w:rFonts w:hint="eastAsia" w:ascii="仿宋_GB2312" w:hAnsi="仿宋_GB2312" w:eastAsia="仿宋_GB2312" w:cs="仿宋_GB2312"/>
          <w:sz w:val="32"/>
          <w:szCs w:val="32"/>
          <w:lang w:val="en-US" w:eastAsia="zh-CN"/>
        </w:rPr>
        <w:t>广告法</w:t>
      </w:r>
      <w:r>
        <w:rPr>
          <w:rFonts w:hint="eastAsia" w:ascii="仿宋_GB2312" w:hAnsi="仿宋_GB2312" w:eastAsia="仿宋_GB2312" w:cs="仿宋_GB2312"/>
          <w:sz w:val="32"/>
          <w:szCs w:val="32"/>
        </w:rPr>
        <w:t>》等法律法规以及相关的强制性标准相协调一致，不存在冲突和矛盾。</w:t>
      </w:r>
    </w:p>
    <w:p w14:paraId="3BFBD9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六、重大分歧意见的处理经过和依据</w:t>
      </w:r>
    </w:p>
    <w:p w14:paraId="53EACC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在标准起草过程中，广泛征求了相关企业、行业协会、专家学者和消费者的意见和建议。对于收集到的意见和建议，</w:t>
      </w:r>
      <w:r>
        <w:rPr>
          <w:rFonts w:hint="eastAsia" w:ascii="仿宋_GB2312" w:hAnsi="仿宋_GB2312" w:eastAsia="仿宋_GB2312" w:cs="仿宋_GB2312"/>
          <w:sz w:val="32"/>
          <w:szCs w:val="32"/>
          <w:lang w:val="en-US" w:eastAsia="zh-CN"/>
        </w:rPr>
        <w:t>编制工作组</w:t>
      </w:r>
      <w:r>
        <w:rPr>
          <w:rFonts w:hint="eastAsia" w:ascii="仿宋_GB2312" w:hAnsi="仿宋_GB2312" w:eastAsia="仿宋_GB2312" w:cs="仿宋_GB2312"/>
          <w:sz w:val="32"/>
          <w:szCs w:val="32"/>
        </w:rPr>
        <w:t>进行了认真的梳理和分析，组织了多次讨论和协商会议。其中，在品牌推广策略和品牌管理方面存在一些分歧意见。部分</w:t>
      </w:r>
      <w:r>
        <w:rPr>
          <w:rFonts w:hint="eastAsia" w:ascii="仿宋_GB2312" w:hAnsi="仿宋_GB2312" w:eastAsia="仿宋_GB2312" w:cs="仿宋_GB2312"/>
          <w:sz w:val="32"/>
          <w:szCs w:val="32"/>
          <w:lang w:val="en-US" w:eastAsia="zh-CN"/>
        </w:rPr>
        <w:t>人员</w:t>
      </w:r>
      <w:r>
        <w:rPr>
          <w:rFonts w:hint="eastAsia" w:ascii="仿宋_GB2312" w:hAnsi="仿宋_GB2312" w:eastAsia="仿宋_GB2312" w:cs="仿宋_GB2312"/>
          <w:sz w:val="32"/>
          <w:szCs w:val="32"/>
        </w:rPr>
        <w:t>认为品牌推广应更加注重传统媒体的广告投放，而另一部分</w:t>
      </w:r>
      <w:r>
        <w:rPr>
          <w:rFonts w:hint="eastAsia" w:ascii="仿宋_GB2312" w:hAnsi="仿宋_GB2312" w:eastAsia="仿宋_GB2312" w:cs="仿宋_GB2312"/>
          <w:sz w:val="32"/>
          <w:szCs w:val="32"/>
          <w:lang w:val="en-US" w:eastAsia="zh-CN"/>
        </w:rPr>
        <w:t>人员</w:t>
      </w:r>
      <w:r>
        <w:rPr>
          <w:rFonts w:hint="eastAsia" w:ascii="仿宋_GB2312" w:hAnsi="仿宋_GB2312" w:eastAsia="仿宋_GB2312" w:cs="仿宋_GB2312"/>
          <w:sz w:val="32"/>
          <w:szCs w:val="32"/>
        </w:rPr>
        <w:t>则认为应重点加强社交媒体的运用。经过充分的讨论和论证，综合考虑市场发展趋势和消费者行为变化，最终确定了以多种渠道相结合的品牌推广策略，既重视传统媒体的影响力，又充分发挥社交媒体的互动性和传播优势。</w:t>
      </w:r>
    </w:p>
    <w:p w14:paraId="31DF4D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在品牌管理方面，对于品牌评估指标的权重设置存在不同看法。通过参考相关行业标准和实际数据，并结合专家的意见，通过充分的沟通和协商，确保了标准的科学性、合理性和可行性，达成了广泛的共识。</w:t>
      </w:r>
    </w:p>
    <w:p w14:paraId="797986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七、作为推荐性标准的建议及其理由</w:t>
      </w:r>
    </w:p>
    <w:p w14:paraId="19A9C8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建议本标准作为推荐性标准发布实施。理由如下：</w:t>
      </w:r>
    </w:p>
    <w:p w14:paraId="67C220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兰州牛肉拉面品牌培育涉及到企业的自主经营和市场竞争，不同企业在品牌发展战略、资源投入等方面存在差异。推荐性标准能够为企业提供参考和指导，企业可以根据自身实际情况灵活选择和应用，有利于激发企业的创新活力和市场竞争力。</w:t>
      </w:r>
    </w:p>
    <w:p w14:paraId="016AD3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推荐性标准更易于被企业接受和采纳，能够在行业内逐步推广和应用，促进品牌培育工作的整体提升。</w:t>
      </w:r>
    </w:p>
    <w:p w14:paraId="5EFBB8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随着市场环境和行业发展的变化，推荐性标准可以更加及时地进行修订和完善，以适应新的需求和挑战。</w:t>
      </w:r>
    </w:p>
    <w:p w14:paraId="50D308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bookmarkStart w:id="39" w:name="OLE_LINK4"/>
      <w:r>
        <w:rPr>
          <w:rFonts w:hint="eastAsia" w:ascii="黑体" w:hAnsi="黑体" w:eastAsia="黑体" w:cs="黑体"/>
          <w:sz w:val="32"/>
          <w:szCs w:val="32"/>
        </w:rPr>
        <w:t>八、贯彻标准的措施建议</w:t>
      </w:r>
    </w:p>
    <w:bookmarkEnd w:id="39"/>
    <w:p w14:paraId="2C4F74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为确保本标准的有效贯彻实施，建议采取以下措施：</w:t>
      </w:r>
    </w:p>
    <w:p w14:paraId="09B1B9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加强标准的宣传和培训：通过举办培训班、研讨会、发放宣传资料等方式，向企业和从业者广泛宣传标准的重要意义和内容要求，提高其对标准的认识和理解，增强贯彻实施标准的自觉性和主动性。</w:t>
      </w:r>
    </w:p>
    <w:p w14:paraId="6C080E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建立示范企业：选择一批具有代表性的兰州牛肉拉面企业，按照标准要求进行品牌培育试点，树立标杆，发挥示范引领作用，带动其他企业学习和借鉴。</w:t>
      </w:r>
    </w:p>
    <w:p w14:paraId="296A40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加强监督检查：政府相关部门应加强对企业贯彻执行标准情况的监督检查，对不符合标准要求的企业，责令其限期整改，确保标准的有效实施。</w:t>
      </w:r>
    </w:p>
    <w:p w14:paraId="2FC364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鼓励行业协会发挥作用：行业协会应积极组织企业开展标准的学习交流活动，提供技术咨询和服务，协助企业解决标准实施过程中遇到的问题，推动行业自律和规范发展。</w:t>
      </w:r>
    </w:p>
    <w:p w14:paraId="278040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rPr>
        <w:t>、征求意见的说明</w:t>
      </w:r>
    </w:p>
    <w:p w14:paraId="7DED97A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24"/>
          <w:lang w:val="en-US" w:eastAsia="zh-CN"/>
        </w:rPr>
      </w:pPr>
      <w:r>
        <w:rPr>
          <w:rFonts w:hint="eastAsia" w:ascii="仿宋_GB2312" w:hAnsi="仿宋_GB2312" w:eastAsia="仿宋_GB2312"/>
          <w:sz w:val="32"/>
          <w:szCs w:val="24"/>
        </w:rPr>
        <w:t>按照《甘肃省地方标准管理办法》的要求，标准公开征求了</w:t>
      </w:r>
      <w:r>
        <w:rPr>
          <w:rFonts w:hint="eastAsia" w:ascii="仿宋_GB2312" w:hAnsi="仿宋_GB2312" w:eastAsia="仿宋_GB2312"/>
          <w:sz w:val="32"/>
          <w:szCs w:val="24"/>
          <w:lang w:val="en-US" w:eastAsia="zh-CN"/>
        </w:rPr>
        <w:t>省直单位、行业协会、</w:t>
      </w:r>
      <w:r>
        <w:rPr>
          <w:rFonts w:hint="eastAsia" w:ascii="仿宋_GB2312" w:hAnsi="仿宋_GB2312" w:eastAsia="仿宋_GB2312"/>
          <w:sz w:val="32"/>
          <w:szCs w:val="24"/>
        </w:rPr>
        <w:t>高等院校、科研院所、</w:t>
      </w:r>
      <w:r>
        <w:rPr>
          <w:rFonts w:hint="eastAsia" w:ascii="仿宋_GB2312" w:hAnsi="仿宋_GB2312" w:eastAsia="仿宋_GB2312"/>
          <w:sz w:val="32"/>
          <w:szCs w:val="24"/>
          <w:lang w:val="en-US" w:eastAsia="zh-CN"/>
        </w:rPr>
        <w:t>律师事务所及兰州牛肉拉面相关企业等</w:t>
      </w:r>
      <w:r>
        <w:rPr>
          <w:rFonts w:hint="eastAsia" w:ascii="仿宋_GB2312" w:hAnsi="仿宋_GB2312" w:eastAsia="仿宋_GB2312"/>
          <w:sz w:val="32"/>
          <w:szCs w:val="24"/>
        </w:rPr>
        <w:t>共计</w:t>
      </w:r>
      <w:r>
        <w:rPr>
          <w:rFonts w:hint="eastAsia" w:ascii="仿宋_GB2312" w:hAnsi="仿宋_GB2312" w:eastAsia="仿宋_GB2312"/>
          <w:sz w:val="32"/>
          <w:szCs w:val="24"/>
          <w:lang w:val="en-US" w:eastAsia="zh-CN"/>
        </w:rPr>
        <w:t>101</w:t>
      </w:r>
      <w:r>
        <w:rPr>
          <w:rFonts w:hint="eastAsia" w:ascii="仿宋_GB2312" w:hAnsi="仿宋_GB2312" w:eastAsia="仿宋_GB2312"/>
          <w:sz w:val="32"/>
          <w:szCs w:val="24"/>
        </w:rPr>
        <w:t>家单位意见</w:t>
      </w:r>
      <w:r>
        <w:rPr>
          <w:rFonts w:hint="eastAsia" w:ascii="仿宋_GB2312" w:hAnsi="仿宋_GB2312" w:eastAsia="仿宋_GB2312"/>
          <w:sz w:val="32"/>
          <w:szCs w:val="24"/>
          <w:lang w:eastAsia="zh-CN"/>
        </w:rPr>
        <w:t>，</w:t>
      </w:r>
      <w:r>
        <w:rPr>
          <w:rFonts w:hint="eastAsia" w:ascii="仿宋_GB2312" w:hAnsi="仿宋_GB2312" w:eastAsia="仿宋_GB2312"/>
          <w:sz w:val="32"/>
          <w:szCs w:val="24"/>
        </w:rPr>
        <w:t>征求意见先后收到</w:t>
      </w:r>
      <w:r>
        <w:rPr>
          <w:rFonts w:hint="eastAsia" w:ascii="仿宋_GB2312" w:hAnsi="仿宋_GB2312" w:eastAsia="仿宋_GB2312"/>
          <w:sz w:val="32"/>
          <w:szCs w:val="24"/>
          <w:lang w:val="en-US" w:eastAsia="zh-CN"/>
        </w:rPr>
        <w:t>3</w:t>
      </w:r>
      <w:r>
        <w:rPr>
          <w:rFonts w:hint="eastAsia" w:ascii="仿宋_GB2312" w:hAnsi="仿宋_GB2312" w:eastAsia="仿宋_GB2312"/>
          <w:sz w:val="32"/>
          <w:szCs w:val="24"/>
        </w:rPr>
        <w:t>家单位提出的</w:t>
      </w:r>
      <w:r>
        <w:rPr>
          <w:rFonts w:hint="eastAsia" w:ascii="仿宋_GB2312" w:hAnsi="仿宋_GB2312" w:eastAsia="仿宋_GB2312"/>
          <w:sz w:val="32"/>
          <w:szCs w:val="24"/>
          <w:lang w:val="en-US" w:eastAsia="zh-CN"/>
        </w:rPr>
        <w:t>8</w:t>
      </w:r>
      <w:r>
        <w:rPr>
          <w:rFonts w:hint="eastAsia" w:ascii="仿宋_GB2312" w:hAnsi="仿宋_GB2312" w:eastAsia="仿宋_GB2312"/>
          <w:sz w:val="32"/>
          <w:szCs w:val="24"/>
        </w:rPr>
        <w:t>条修改意见，没有重大分</w:t>
      </w:r>
      <w:r>
        <w:rPr>
          <w:rFonts w:hint="eastAsia" w:ascii="仿宋_GB2312" w:hAnsi="仿宋_GB2312" w:eastAsia="仿宋_GB2312"/>
          <w:sz w:val="32"/>
          <w:szCs w:val="24"/>
          <w:lang w:val="en-US" w:eastAsia="zh-CN"/>
        </w:rPr>
        <w:t>歧意见，修改意见采纳5条，不采纳3条，征求意见处理情况见征求意见处理汇总表。征求意见单位详细如下：</w:t>
      </w:r>
    </w:p>
    <w:p w14:paraId="15ADA4F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24"/>
          <w:lang w:val="en-US" w:eastAsia="zh-CN"/>
        </w:rPr>
      </w:pPr>
      <w:r>
        <w:rPr>
          <w:rFonts w:hint="eastAsia" w:ascii="仿宋_GB2312" w:hAnsi="仿宋_GB2312" w:eastAsia="仿宋_GB2312"/>
          <w:sz w:val="32"/>
          <w:szCs w:val="24"/>
          <w:lang w:val="en-US" w:eastAsia="zh-CN"/>
        </w:rPr>
        <w:t>（1）省直单位18家，分别为：兰州市人民法院、兰州市科技局、兰州市市工信局、兰州人社局、兰州市农业农村局、兰州市商务局、兰州市市文旅局、兰州市卫健委、兰州市市场监督管理局、兰州市安宁区市场监督管理局、兰州市城关区市场监督管理局、兰州市西固区市场监督管理局、兰州市七里河区市场监督管理局、兰州市红谷区市场监督管理局、兰州市永登县市场监督管理局、兰州市皋兰县市场监督管理局、兰州市榆中县市场监督管理局、兰州市市场监督管理局高新分局。</w:t>
      </w:r>
    </w:p>
    <w:p w14:paraId="0EF6CCC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24"/>
          <w:lang w:val="en-US" w:eastAsia="zh-CN"/>
        </w:rPr>
      </w:pPr>
      <w:r>
        <w:rPr>
          <w:rFonts w:hint="eastAsia" w:ascii="仿宋_GB2312" w:hAnsi="仿宋_GB2312" w:eastAsia="仿宋_GB2312"/>
          <w:sz w:val="32"/>
          <w:szCs w:val="24"/>
          <w:lang w:val="en-US" w:eastAsia="zh-CN"/>
        </w:rPr>
        <w:t>（2）行业协会3家，分别为：兰州市牛肉拉面行业协会、兰州市牛肉拉面预包装产业发展协会、甘肃省广告协会。</w:t>
      </w:r>
    </w:p>
    <w:p w14:paraId="5FFDC521">
      <w:pPr>
        <w:pStyle w:val="2"/>
        <w:ind w:firstLine="640" w:firstLineChars="200"/>
        <w:rPr>
          <w:rFonts w:hint="eastAsia" w:ascii="仿宋_GB2312" w:hAnsi="仿宋_GB2312" w:eastAsia="仿宋_GB2312"/>
          <w:sz w:val="32"/>
          <w:szCs w:val="24"/>
          <w:lang w:val="en-US" w:eastAsia="zh-CN"/>
        </w:rPr>
      </w:pPr>
      <w:r>
        <w:rPr>
          <w:rFonts w:hint="eastAsia" w:ascii="仿宋_GB2312" w:hAnsi="仿宋_GB2312" w:eastAsia="仿宋_GB2312"/>
          <w:sz w:val="32"/>
          <w:szCs w:val="24"/>
          <w:lang w:val="en-US" w:eastAsia="zh-CN"/>
        </w:rPr>
        <w:t>（3）高校16家，分别为：甘肃政法大学法学院、甘肃农业职业技术学院、甘肃林业职业技术学院、甘肃卫生职业学院、兰州职业技术学院、甘肃畜牧工程职业技术学院、兰州现代职业学院、甘肃工业职业技术学院、兰州外语职业学院、甘肃交通职业技术学院、兰州资环职业技术大学、兰州石化职业技术大学、兰州理工大学机电工程学院、甘肃农业大学机电工程学院、甘肃财贸职业学院、天水林业职业技术学院。</w:t>
      </w:r>
    </w:p>
    <w:p w14:paraId="1698D68D">
      <w:pPr>
        <w:pStyle w:val="2"/>
        <w:ind w:firstLine="640" w:firstLineChars="200"/>
        <w:rPr>
          <w:rFonts w:hint="default" w:ascii="仿宋_GB2312" w:hAnsi="仿宋_GB2312" w:eastAsia="仿宋_GB2312"/>
          <w:sz w:val="32"/>
          <w:szCs w:val="24"/>
          <w:lang w:val="en-US" w:eastAsia="zh-CN"/>
        </w:rPr>
      </w:pPr>
      <w:r>
        <w:rPr>
          <w:rFonts w:hint="eastAsia" w:ascii="仿宋_GB2312" w:hAnsi="仿宋_GB2312" w:eastAsia="仿宋_GB2312"/>
          <w:sz w:val="32"/>
          <w:szCs w:val="24"/>
          <w:lang w:val="en-US" w:eastAsia="zh-CN"/>
        </w:rPr>
        <w:t>（4）科研院所7家，分别为：甘肃省科学院自动化研究所、甘肃省工业互联网产业研究院、国网甘肃省电力公司电力科学研究院、甘肃省农科院、甘肃中轻轻工产品质量检测有限公司、甘肃予景标准检测服务有限公司、甘肃省农科时代规划设计有限公司。</w:t>
      </w:r>
    </w:p>
    <w:p w14:paraId="4C7427A4">
      <w:pPr>
        <w:pStyle w:val="2"/>
        <w:ind w:firstLine="640" w:firstLineChars="200"/>
        <w:rPr>
          <w:rFonts w:hint="default"/>
          <w:lang w:val="en-US" w:eastAsia="zh-CN"/>
        </w:rPr>
      </w:pPr>
      <w:r>
        <w:rPr>
          <w:rFonts w:hint="eastAsia" w:ascii="仿宋_GB2312" w:hAnsi="仿宋_GB2312" w:eastAsia="仿宋_GB2312"/>
          <w:sz w:val="32"/>
          <w:szCs w:val="24"/>
          <w:lang w:val="en-US" w:eastAsia="zh-CN"/>
        </w:rPr>
        <w:t>（5）律师事务所3家，分别为：甘肃金城律师事务所、甘肃瀛强律师事务所、上海汇业（兰州）律师事务所。</w:t>
      </w:r>
    </w:p>
    <w:p w14:paraId="2B2CD77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24"/>
          <w:lang w:val="en-US" w:eastAsia="zh-CN"/>
        </w:rPr>
      </w:pPr>
      <w:r>
        <w:rPr>
          <w:rFonts w:hint="eastAsia" w:ascii="仿宋_GB2312" w:hAnsi="仿宋_GB2312" w:eastAsia="仿宋_GB2312"/>
          <w:sz w:val="32"/>
          <w:szCs w:val="24"/>
          <w:lang w:val="en-US" w:eastAsia="zh-CN"/>
        </w:rPr>
        <w:t>（6）相关企业54家，分别为：甘肃筷上赢餐饮管理有限公司、甘肃陇萃堂营养保健食品股份有限公司、兰州嘻烧食品科技有限公司、兰州金城虎拉面有限公司、兰州一碗兰餐饮管理有限公司、兰州科盛食品有限公司、兰州牛大供应链有限公司、兰州向阳食品有限公司、甘肃春马食品有限公司、兰州玖禾食品科技有限公司、甘肃鑫益实业有限公司、兰州金如意商贸有限责任公司、甘肃思泊湖味业有限公司、兰州明轩餐饮管理有限公司、兰州盛天德商贸有限公司、兰州文富众创食品产业园运营管理有限公司、甘肃塔山半坡食品科技有限责任公司、兰州尕滴哥品牌管理有限公司、兰州康萃源食品有限公司、兰州大碗品牌管理有限公司、甘肃白虎山众丰生态农业发展有限公司、中盐甘肃省盐业（集团）兰州盐业分公司、益海嘉里（兰州）粮油工业有限公司、上海太太乐食品有限公司兰州分公司、甘肃禾协盛禾食品有限公司、甘肃六乙生汇食品有限公司、兰州安宁兴华纸箱有限责任公司、甘肃旭向程食品包装有限公司、兰州永兴包装材料有限公司、兰州裕盛实业有限公司、甘肃海北花粮油有限责任公司、兰州方正包装有限责任公司、甘肃康宇包装有限公司、甘肃新诚宇环保科技有限公司、兰州兴隆源商贸有限公司、甘肃盛有正稻食品有限公司、兰州众鑫优选贸易有限公司、甘肃金城汇宝商贸有限公司、兰州怡红商贸有限公司、兰州鑫海龙瑞商贸有限公司、兰州老兵商贸有限公司、兰州新区首信商业管理有限公司、兰州香满楼臻合餐饮有限公司、兰州香满楼端兴餐饮有限公司、兰州香满楼荣祥餐饮有限公司、甘肃香满楼食品科技有限公司、甘肃莫盛文化传播有限公司、甘肃金利食品土特产有限责任公司、甘肃嘉佳香商贸有限责任公司、甘肃凯丰餐饮管理有限公司、甘肃海阿哥食品科技有限公司、兰州尚古堂食品有限公司、甘肃齐翔农业科技邮箱公司、甘肃大麒餐饮管理有限公司。</w:t>
      </w:r>
    </w:p>
    <w:p w14:paraId="3D0016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在此呈请各位专家和领导予以讨论审定，提出宝贵意见再行修改。</w:t>
      </w:r>
    </w:p>
    <w:p w14:paraId="365684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1A1B00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6156D6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3D157694">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《兰州牛肉拉面品牌培育指南》</w:t>
      </w:r>
    </w:p>
    <w:p w14:paraId="35986079">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编制工作组</w:t>
      </w:r>
    </w:p>
    <w:p w14:paraId="6034172C">
      <w:pPr>
        <w:keepNext w:val="0"/>
        <w:keepLines w:val="0"/>
        <w:pageBreakBefore w:val="0"/>
        <w:widowControl w:val="0"/>
        <w:kinsoku/>
        <w:wordWrap w:val="0"/>
        <w:overflowPunct/>
        <w:topLinePunct w:val="0"/>
        <w:autoSpaceDE/>
        <w:autoSpaceDN/>
        <w:bidi w:val="0"/>
        <w:adjustRightInd/>
        <w:snapToGrid/>
        <w:spacing w:line="560" w:lineRule="exact"/>
        <w:ind w:firstLine="4800" w:firstLineChars="1500"/>
        <w:jc w:val="right"/>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2"/>
          <w:szCs w:val="32"/>
        </w:rPr>
        <w:t>二0二</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F318EA-88A8-43F4-834E-13E5E5716FB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F33907B-32AE-46B4-A6E2-12BCD8F5ECA2}"/>
  </w:font>
  <w:font w:name="方正小标宋简体">
    <w:panose1 w:val="03000509000000000000"/>
    <w:charset w:val="86"/>
    <w:family w:val="auto"/>
    <w:pitch w:val="default"/>
    <w:sig w:usb0="00000001" w:usb1="080E0000" w:usb2="00000000" w:usb3="00000000" w:csb0="00040000" w:csb1="00000000"/>
    <w:embedRegular r:id="rId3" w:fontKey="{47FCDB09-A50C-4EB6-AD4A-E7409CD67AE7}"/>
  </w:font>
  <w:font w:name="楷体_GB2312">
    <w:panose1 w:val="02010609030101010101"/>
    <w:charset w:val="86"/>
    <w:family w:val="auto"/>
    <w:pitch w:val="default"/>
    <w:sig w:usb0="00000001" w:usb1="080E0000" w:usb2="00000000" w:usb3="00000000" w:csb0="00040000" w:csb1="00000000"/>
    <w:embedRegular r:id="rId4" w:fontKey="{3E896989-1032-4FDB-A708-B66B9FDF788B}"/>
  </w:font>
  <w:font w:name="仿宋_GB2312">
    <w:panose1 w:val="02010609030101010101"/>
    <w:charset w:val="86"/>
    <w:family w:val="auto"/>
    <w:pitch w:val="default"/>
    <w:sig w:usb0="00000001" w:usb1="080E0000" w:usb2="00000000" w:usb3="00000000" w:csb0="00040000" w:csb1="00000000"/>
    <w:embedRegular r:id="rId5" w:fontKey="{58E962AC-77D9-4774-BE72-EFA9CEC8AE3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hMzc4ZGFmODE4MWVkZjYxYWExMzI2YzVjNWNiOGQifQ=="/>
  </w:docVars>
  <w:rsids>
    <w:rsidRoot w:val="00000000"/>
    <w:rsid w:val="0118281F"/>
    <w:rsid w:val="011B426A"/>
    <w:rsid w:val="018F748F"/>
    <w:rsid w:val="03D45E8E"/>
    <w:rsid w:val="06413A68"/>
    <w:rsid w:val="06F2019A"/>
    <w:rsid w:val="07BF65A4"/>
    <w:rsid w:val="09554A60"/>
    <w:rsid w:val="0A165E2F"/>
    <w:rsid w:val="0C01398D"/>
    <w:rsid w:val="134043C9"/>
    <w:rsid w:val="14BE3D80"/>
    <w:rsid w:val="177A1F84"/>
    <w:rsid w:val="19022DB5"/>
    <w:rsid w:val="1D7D7B19"/>
    <w:rsid w:val="24F47CCD"/>
    <w:rsid w:val="297772D7"/>
    <w:rsid w:val="2A7A79DB"/>
    <w:rsid w:val="2D6B641A"/>
    <w:rsid w:val="2E806B81"/>
    <w:rsid w:val="304711D0"/>
    <w:rsid w:val="34C7361A"/>
    <w:rsid w:val="3A973EF6"/>
    <w:rsid w:val="3D673DEF"/>
    <w:rsid w:val="3E99447C"/>
    <w:rsid w:val="40B81582"/>
    <w:rsid w:val="42F52F66"/>
    <w:rsid w:val="432B59D9"/>
    <w:rsid w:val="434D6BCE"/>
    <w:rsid w:val="498122B6"/>
    <w:rsid w:val="4B7F0E9E"/>
    <w:rsid w:val="4BAC0DCD"/>
    <w:rsid w:val="4E0A3A58"/>
    <w:rsid w:val="4EEC2B7B"/>
    <w:rsid w:val="50306C0B"/>
    <w:rsid w:val="50700C31"/>
    <w:rsid w:val="52A2637D"/>
    <w:rsid w:val="5325057D"/>
    <w:rsid w:val="578118AC"/>
    <w:rsid w:val="5791674D"/>
    <w:rsid w:val="5A781BB4"/>
    <w:rsid w:val="61200896"/>
    <w:rsid w:val="631C4F7B"/>
    <w:rsid w:val="6ADB14E4"/>
    <w:rsid w:val="6E95544B"/>
    <w:rsid w:val="70080979"/>
    <w:rsid w:val="718204EE"/>
    <w:rsid w:val="73922C6D"/>
    <w:rsid w:val="74426B6B"/>
    <w:rsid w:val="763075AE"/>
    <w:rsid w:val="77B55216"/>
    <w:rsid w:val="77F35CA4"/>
    <w:rsid w:val="7843302C"/>
    <w:rsid w:val="7915769B"/>
    <w:rsid w:val="7B090462"/>
    <w:rsid w:val="7CD51E1C"/>
    <w:rsid w:val="7E2E2FED"/>
    <w:rsid w:val="7F0F47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index 1"/>
    <w:basedOn w:val="1"/>
    <w:next w:val="1"/>
    <w:qFormat/>
    <w:uiPriority w:val="0"/>
    <w:rPr>
      <w:rFonts w:ascii="Times New Roman" w:hAnsi="Times New Roman"/>
    </w:rPr>
  </w:style>
  <w:style w:type="paragraph" w:styleId="3">
    <w:name w:val="Body Text"/>
    <w:basedOn w:val="1"/>
    <w:qFormat/>
    <w:uiPriority w:val="0"/>
    <w:pPr>
      <w:spacing w:after="120" w:afterLines="0"/>
    </w:pPr>
  </w:style>
  <w:style w:type="paragraph" w:styleId="4">
    <w:name w:val="footer"/>
    <w:basedOn w:val="1"/>
    <w:semiHidden/>
    <w:qFormat/>
    <w:uiPriority w:val="0"/>
    <w:pPr>
      <w:tabs>
        <w:tab w:val="center" w:pos="4153"/>
        <w:tab w:val="right" w:pos="8306"/>
      </w:tabs>
      <w:snapToGrid w:val="0"/>
      <w:jc w:val="left"/>
    </w:pPr>
    <w:rPr>
      <w:sz w:val="18"/>
      <w:szCs w:val="18"/>
    </w:rPr>
  </w:style>
  <w:style w:type="character" w:styleId="7">
    <w:name w:val="page number"/>
    <w:semiHidden/>
    <w:qFormat/>
    <w:uiPriority w:val="0"/>
  </w:style>
  <w:style w:type="paragraph" w:customStyle="1" w:styleId="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9">
    <w:name w:val="zt"/>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4245</Words>
  <Characters>4266</Characters>
  <Lines>0</Lines>
  <Paragraphs>0</Paragraphs>
  <TotalTime>2</TotalTime>
  <ScaleCrop>false</ScaleCrop>
  <LinksUpToDate>false</LinksUpToDate>
  <CharactersWithSpaces>4289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2024-09-02T01:47:00Z</dcterms:created>
  <dc:creator>lenovo</dc:creator>
  <cp:lastModifiedBy>真水无香</cp:lastModifiedBy>
  <dcterms:modified xsi:type="dcterms:W3CDTF">2024-09-29T00:45:20Z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B915358D842A4B6C991149D5467D3134_13</vt:lpwstr>
  </property>
</Properties>
</file>