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49C2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AED6C6B">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16541D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B616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B0067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FF5FFC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B7997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2CC1CC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72BB9777">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1AE9A1B">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425ACA9C">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01BA37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5B733C">
      <w:pPr>
        <w:pStyle w:val="50"/>
        <w:framePr w:w="9639" w:h="6976" w:hRule="exact" w:hSpace="0" w:vSpace="0" w:wrap="around" w:hAnchor="page" w:y="6408"/>
        <w:jc w:val="center"/>
        <w:rPr>
          <w:rFonts w:hint="eastAsia" w:ascii="黑体" w:hAnsi="黑体" w:eastAsia="黑体"/>
          <w:b w:val="0"/>
          <w:bCs w:val="0"/>
          <w:w w:val="100"/>
        </w:rPr>
      </w:pPr>
    </w:p>
    <w:p w14:paraId="62609E8F">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预包装兰州牛肉拉面生产操作规范</w:t>
      </w:r>
      <w:r>
        <w:fldChar w:fldCharType="end"/>
      </w:r>
      <w:bookmarkEnd w:id="9"/>
    </w:p>
    <w:p w14:paraId="2FAFC504">
      <w:pPr>
        <w:framePr w:w="9639" w:h="6974" w:hRule="exact" w:wrap="around" w:vAnchor="page" w:hAnchor="page" w:x="1419" w:y="6408" w:anchorLock="1"/>
        <w:ind w:left="-1418"/>
      </w:pPr>
    </w:p>
    <w:p w14:paraId="052607F8">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Production operation specification for prepackaged Lanzhou beef noodles</w:t>
      </w:r>
      <w:r>
        <w:rPr>
          <w:rFonts w:ascii="黑体" w:hAnsi="黑体" w:eastAsia="黑体"/>
          <w:szCs w:val="28"/>
        </w:rPr>
        <w:fldChar w:fldCharType="end"/>
      </w:r>
      <w:bookmarkEnd w:id="10"/>
    </w:p>
    <w:p w14:paraId="1F0C5C95">
      <w:pPr>
        <w:framePr w:w="9639" w:h="6974" w:hRule="exact" w:wrap="around" w:vAnchor="page" w:hAnchor="page" w:x="1419" w:y="6408" w:anchorLock="1"/>
        <w:spacing w:line="760" w:lineRule="exact"/>
        <w:ind w:left="-1418"/>
      </w:pPr>
    </w:p>
    <w:p w14:paraId="38488F67">
      <w:pPr>
        <w:pStyle w:val="125"/>
        <w:framePr w:w="9639" w:h="6974" w:hRule="exact" w:wrap="around" w:vAnchor="page" w:hAnchor="page" w:x="1419" w:y="6408" w:anchorLock="1"/>
        <w:textAlignment w:val="bottom"/>
        <w:rPr>
          <w:rFonts w:eastAsia="黑体"/>
          <w:szCs w:val="28"/>
        </w:rPr>
      </w:pPr>
    </w:p>
    <w:p w14:paraId="52B2430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BC1360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E41D0D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DF62B2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7E1C5C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B6DBBAF">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兰州市市场监督管理局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39E527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AA47FA">
      <w:pPr>
        <w:pStyle w:val="89"/>
        <w:spacing w:before="900" w:after="468"/>
      </w:pPr>
      <w:bookmarkStart w:id="21" w:name="BookMark2"/>
      <w:r>
        <w:rPr>
          <w:rFonts w:hint="eastAsia"/>
          <w:spacing w:val="320"/>
        </w:rPr>
        <w:t>前</w:t>
      </w:r>
      <w:r>
        <w:rPr>
          <w:rFonts w:hint="eastAsia"/>
        </w:rPr>
        <w:t>言</w:t>
      </w:r>
    </w:p>
    <w:p w14:paraId="5498039B">
      <w:pPr>
        <w:pStyle w:val="56"/>
        <w:ind w:firstLine="420"/>
      </w:pPr>
      <w:r>
        <w:rPr>
          <w:rFonts w:hint="eastAsia"/>
        </w:rPr>
        <w:t>本文件按照GB/T 1.1—2020《标准化工作导则  第1部分：标准化文件的结构和起草规则》的规定起草。</w:t>
      </w:r>
    </w:p>
    <w:p w14:paraId="66CF3D94">
      <w:pPr>
        <w:pStyle w:val="56"/>
        <w:ind w:firstLine="420"/>
      </w:pPr>
      <w:r>
        <w:rPr>
          <w:rFonts w:hint="eastAsia"/>
        </w:rPr>
        <w:t>请注意本文件的某些内容可能涉及专利。本文件的发布机构不承担识别专利的责任。</w:t>
      </w:r>
    </w:p>
    <w:p w14:paraId="377A42AA">
      <w:pPr>
        <w:pStyle w:val="56"/>
        <w:ind w:firstLine="420"/>
      </w:pPr>
      <w:r>
        <w:rPr>
          <w:rFonts w:hint="eastAsia"/>
        </w:rPr>
        <w:t>本文件由兰州市商务局提出、归口并宣贯。</w:t>
      </w:r>
    </w:p>
    <w:p w14:paraId="685C3CD0">
      <w:pPr>
        <w:pStyle w:val="56"/>
        <w:ind w:firstLine="420"/>
      </w:pPr>
      <w:r>
        <w:rPr>
          <w:rFonts w:hint="eastAsia"/>
        </w:rPr>
        <w:t>本文件起草单位：甘肃陇萃堂营养保健食品股份有限公司、兰州嘻烧食品科技有限公司、兰州理工大学、兰州市牛肉拉面预包装产业发展协会、兰州牛肉拉面行业协会、</w:t>
      </w:r>
      <w:bookmarkStart w:id="22" w:name="_Hlk177842835"/>
      <w:r>
        <w:rPr>
          <w:rFonts w:hint="eastAsia"/>
        </w:rPr>
        <w:t>兰州市标准化研究所、静宁县食品药品检验检测中心</w:t>
      </w:r>
      <w:bookmarkEnd w:id="22"/>
      <w:r>
        <w:rPr>
          <w:rFonts w:hint="eastAsia"/>
        </w:rPr>
        <w:t>。</w:t>
      </w:r>
    </w:p>
    <w:p w14:paraId="3595D539">
      <w:pPr>
        <w:pStyle w:val="56"/>
        <w:ind w:firstLine="420"/>
      </w:pPr>
      <w:r>
        <w:rPr>
          <w:rFonts w:hint="eastAsia"/>
        </w:rPr>
        <w:t>本文件主要起草人：姜交龙、</w:t>
      </w:r>
      <w:bookmarkStart w:id="23" w:name="_Hlk177842861"/>
      <w:r>
        <w:rPr>
          <w:rFonts w:hint="eastAsia"/>
        </w:rPr>
        <w:t>赵永珍、</w:t>
      </w:r>
      <w:bookmarkEnd w:id="23"/>
      <w:r>
        <w:rPr>
          <w:rFonts w:hint="eastAsia"/>
        </w:rPr>
        <w:t>缪配霞、李雪华、蔡菊香、杨文英、刘金全、王小伟、魏孔炯、刘晓风、张百刚、王永刚、张成文、郑展霞、赵小龙。</w:t>
      </w:r>
    </w:p>
    <w:p w14:paraId="5021C77E">
      <w:pPr>
        <w:pStyle w:val="56"/>
        <w:ind w:firstLine="420"/>
      </w:pPr>
    </w:p>
    <w:p w14:paraId="252F1CE1">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1CBC4F5">
      <w:pPr>
        <w:spacing w:line="20" w:lineRule="exact"/>
        <w:jc w:val="center"/>
        <w:rPr>
          <w:rFonts w:hint="eastAsia" w:ascii="黑体" w:hAnsi="黑体" w:eastAsia="黑体"/>
          <w:sz w:val="32"/>
          <w:szCs w:val="32"/>
        </w:rPr>
      </w:pPr>
      <w:bookmarkStart w:id="24" w:name="BookMark4"/>
    </w:p>
    <w:p w14:paraId="014F9C9C">
      <w:pPr>
        <w:spacing w:line="20" w:lineRule="exact"/>
        <w:jc w:val="center"/>
        <w:rPr>
          <w:rFonts w:hint="eastAsia" w:ascii="黑体" w:hAnsi="黑体" w:eastAsia="黑体"/>
          <w:sz w:val="32"/>
          <w:szCs w:val="32"/>
        </w:rPr>
      </w:pPr>
    </w:p>
    <w:sdt>
      <w:sdtPr>
        <w:tag w:val="NEW_STAND_NAME"/>
        <w:id w:val="595910757"/>
        <w:lock w:val="sdtLocked"/>
        <w:placeholder>
          <w:docPart w:val="A02FEAAE632143BAB57BFAB214ECC5F7"/>
        </w:placeholder>
      </w:sdtPr>
      <w:sdtContent>
        <w:p w14:paraId="6637C997">
          <w:pPr>
            <w:pStyle w:val="177"/>
            <w:spacing w:before="3" w:beforeLines="1" w:after="686" w:afterLines="220"/>
            <w:rPr>
              <w:rFonts w:hint="eastAsia"/>
            </w:rPr>
          </w:pPr>
          <w:bookmarkStart w:id="25" w:name="NEW_STAND_NAME"/>
          <w:r>
            <w:rPr>
              <w:rFonts w:hint="eastAsia"/>
            </w:rPr>
            <w:t>预包装兰州牛肉拉面生产操作规范</w:t>
          </w:r>
        </w:p>
      </w:sdtContent>
    </w:sdt>
    <w:bookmarkEnd w:id="25"/>
    <w:p w14:paraId="053D8A2F">
      <w:pPr>
        <w:pStyle w:val="104"/>
        <w:spacing w:before="312" w:after="312"/>
      </w:pPr>
      <w:bookmarkStart w:id="26" w:name="_Toc26986771"/>
      <w:bookmarkStart w:id="27" w:name="_Toc24884218"/>
      <w:bookmarkStart w:id="28" w:name="_Toc24884211"/>
      <w:bookmarkStart w:id="29" w:name="_Toc97191423"/>
      <w:bookmarkStart w:id="30" w:name="_Toc17233325"/>
      <w:bookmarkStart w:id="31" w:name="_Toc26986530"/>
      <w:bookmarkStart w:id="32" w:name="_Toc26648465"/>
      <w:bookmarkStart w:id="33" w:name="_Toc17233333"/>
      <w:bookmarkStart w:id="34" w:name="_Toc26718930"/>
      <w:r>
        <w:rPr>
          <w:rFonts w:hint="eastAsia"/>
        </w:rPr>
        <w:t>范围</w:t>
      </w:r>
      <w:bookmarkEnd w:id="26"/>
      <w:bookmarkEnd w:id="27"/>
      <w:bookmarkEnd w:id="28"/>
      <w:bookmarkEnd w:id="29"/>
      <w:bookmarkEnd w:id="30"/>
      <w:bookmarkEnd w:id="31"/>
      <w:bookmarkEnd w:id="32"/>
      <w:bookmarkEnd w:id="33"/>
      <w:bookmarkEnd w:id="34"/>
    </w:p>
    <w:p w14:paraId="24EAD5C3">
      <w:pPr>
        <w:pStyle w:val="56"/>
        <w:ind w:firstLine="420"/>
      </w:pPr>
      <w:bookmarkStart w:id="35" w:name="_Toc24884219"/>
      <w:bookmarkStart w:id="36" w:name="_Toc17233334"/>
      <w:bookmarkStart w:id="37" w:name="_Toc24884212"/>
      <w:bookmarkStart w:id="38" w:name="_Toc26648466"/>
      <w:bookmarkStart w:id="39" w:name="_Toc17233326"/>
      <w:r>
        <w:rPr>
          <w:rFonts w:hint="eastAsia"/>
        </w:rPr>
        <w:t>本文件界定了预包装兰州牛肉拉面的术语和定义、原辅料要求、加工企业基本条件、生产工艺流程、包装、标签和保质期、留样管理、成品储存、运输的要求。</w:t>
      </w:r>
    </w:p>
    <w:p w14:paraId="60176584">
      <w:pPr>
        <w:pStyle w:val="56"/>
        <w:ind w:firstLine="420"/>
      </w:pPr>
      <w:r>
        <w:rPr>
          <w:rFonts w:hint="eastAsia"/>
        </w:rPr>
        <w:t>本文件适用于兰州市行政区域内预包装兰州牛肉拉面的生产操作。</w:t>
      </w:r>
    </w:p>
    <w:p w14:paraId="7C9E6452">
      <w:pPr>
        <w:pStyle w:val="104"/>
        <w:spacing w:before="312" w:after="312"/>
      </w:pPr>
      <w:bookmarkStart w:id="40" w:name="_Toc26986772"/>
      <w:bookmarkStart w:id="41" w:name="_Toc26718931"/>
      <w:bookmarkStart w:id="42" w:name="_Toc26986531"/>
      <w:bookmarkStart w:id="43" w:name="_Toc97191424"/>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FFAC680CAB084C0F8AF2DE2A11FD02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37BA92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1537AE">
      <w:pPr>
        <w:pStyle w:val="56"/>
        <w:ind w:firstLine="420"/>
      </w:pPr>
      <w:r>
        <w:rPr>
          <w:rFonts w:hint="eastAsia"/>
        </w:rPr>
        <w:t>GB 2707          食品安全国家标准 鲜（冻）畜、禽产品</w:t>
      </w:r>
    </w:p>
    <w:p w14:paraId="3B05C103">
      <w:pPr>
        <w:pStyle w:val="56"/>
        <w:ind w:firstLine="420"/>
      </w:pPr>
      <w:r>
        <w:rPr>
          <w:rFonts w:hint="eastAsia"/>
        </w:rPr>
        <w:t>GB 4806.7        食品安全国家标准 食品接触用塑料材料及制品</w:t>
      </w:r>
    </w:p>
    <w:p w14:paraId="66CA6FC5">
      <w:pPr>
        <w:pStyle w:val="56"/>
        <w:ind w:firstLine="420"/>
      </w:pPr>
      <w:r>
        <w:rPr>
          <w:rFonts w:hint="eastAsia"/>
        </w:rPr>
        <w:t xml:space="preserve">GB 5749          生活饮用水卫生标准 </w:t>
      </w:r>
    </w:p>
    <w:p w14:paraId="7F2ED70B">
      <w:pPr>
        <w:pStyle w:val="56"/>
        <w:ind w:firstLine="420"/>
      </w:pPr>
      <w:r>
        <w:rPr>
          <w:rFonts w:hint="eastAsia"/>
        </w:rPr>
        <w:t xml:space="preserve">GB/T 6543        运输包装用单瓦楞纸箱和双瓦楞纸箱 </w:t>
      </w:r>
    </w:p>
    <w:p w14:paraId="42FCB237">
      <w:pPr>
        <w:pStyle w:val="56"/>
        <w:ind w:firstLine="420"/>
      </w:pPr>
      <w:r>
        <w:rPr>
          <w:rFonts w:hint="eastAsia"/>
        </w:rPr>
        <w:t>GB 7718          食品安全国家标准 预包装食品标签通则</w:t>
      </w:r>
    </w:p>
    <w:p w14:paraId="734DAD23">
      <w:pPr>
        <w:pStyle w:val="56"/>
        <w:ind w:firstLine="420"/>
      </w:pPr>
      <w:r>
        <w:rPr>
          <w:rFonts w:hint="eastAsia"/>
        </w:rPr>
        <w:t>GB 8950          食品安全国家标准 罐头食品生产卫生规范</w:t>
      </w:r>
    </w:p>
    <w:p w14:paraId="05F80AA9">
      <w:pPr>
        <w:pStyle w:val="56"/>
        <w:ind w:firstLine="420"/>
      </w:pPr>
      <w:r>
        <w:rPr>
          <w:rFonts w:hint="eastAsia"/>
        </w:rPr>
        <w:t>GB 14881         食品安全国家标准 食品生产通用卫生规范</w:t>
      </w:r>
    </w:p>
    <w:p w14:paraId="17BD9B16">
      <w:pPr>
        <w:pStyle w:val="56"/>
        <w:ind w:firstLine="420"/>
      </w:pPr>
      <w:r>
        <w:rPr>
          <w:rFonts w:hint="eastAsia"/>
        </w:rPr>
        <w:t>GB 28050         食品安全国家标准 预包装食品营养标签通则</w:t>
      </w:r>
    </w:p>
    <w:p w14:paraId="5FF35C7A">
      <w:pPr>
        <w:pStyle w:val="56"/>
        <w:ind w:firstLine="420"/>
      </w:pPr>
      <w:r>
        <w:rPr>
          <w:rFonts w:hint="eastAsia"/>
        </w:rPr>
        <w:t xml:space="preserve">GB/T 28118       食品包装用塑料与铝箔复合膜、袋 </w:t>
      </w:r>
    </w:p>
    <w:p w14:paraId="162FAB16">
      <w:pPr>
        <w:pStyle w:val="56"/>
        <w:ind w:firstLine="420"/>
      </w:pPr>
      <w:r>
        <w:rPr>
          <w:rFonts w:hint="eastAsia"/>
        </w:rPr>
        <w:t>JJF 1070         定量包装商品净含量计量检验规则</w:t>
      </w:r>
    </w:p>
    <w:p w14:paraId="3DC31AA6">
      <w:pPr>
        <w:pStyle w:val="56"/>
        <w:ind w:firstLine="420"/>
      </w:pPr>
      <w:r>
        <w:rPr>
          <w:rFonts w:hint="eastAsia"/>
        </w:rPr>
        <w:t xml:space="preserve">国家市场监督管理总局令第70号《定量包装商品计量监督管理办法》 </w:t>
      </w:r>
    </w:p>
    <w:p w14:paraId="00E219DE">
      <w:pPr>
        <w:pStyle w:val="56"/>
        <w:ind w:firstLine="420"/>
      </w:pPr>
      <w:r>
        <w:rPr>
          <w:rFonts w:hint="eastAsia"/>
        </w:rPr>
        <w:t>原国家质量监督检验检疫总局令第123号《食品标识管理规定》</w:t>
      </w:r>
    </w:p>
    <w:p w14:paraId="7D06F8AA">
      <w:pPr>
        <w:pStyle w:val="104"/>
        <w:spacing w:before="312" w:after="312"/>
      </w:pPr>
      <w:bookmarkStart w:id="44" w:name="_Toc97191425"/>
      <w:r>
        <w:rPr>
          <w:rFonts w:hint="eastAsia"/>
          <w:szCs w:val="21"/>
        </w:rPr>
        <w:t>术语和定义</w:t>
      </w:r>
      <w:bookmarkEnd w:id="44"/>
    </w:p>
    <w:sdt>
      <w:sdtPr>
        <w:id w:val="-1909835108"/>
        <w:placeholder>
          <w:docPart w:val="6752D047A0B64064847CA5A514E7151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F7E999B">
          <w:pPr>
            <w:pStyle w:val="56"/>
            <w:ind w:firstLine="420"/>
          </w:pPr>
          <w:bookmarkStart w:id="45" w:name="_Toc26986532"/>
          <w:bookmarkEnd w:id="45"/>
          <w:r>
            <w:t>下列术语和定义适用于本文件。</w:t>
          </w:r>
        </w:p>
      </w:sdtContent>
    </w:sdt>
    <w:p w14:paraId="06D79A77">
      <w:pPr>
        <w:pStyle w:val="105"/>
        <w:spacing w:before="156" w:after="156"/>
      </w:pPr>
      <w:r>
        <w:rPr>
          <w:rFonts w:hint="eastAsia"/>
        </w:rPr>
        <w:t>预包装兰州牛肉拉面</w:t>
      </w:r>
    </w:p>
    <w:p w14:paraId="796E05BF">
      <w:pPr>
        <w:pStyle w:val="56"/>
      </w:pPr>
    </w:p>
    <w:p w14:paraId="184D81D4">
      <w:pPr>
        <w:pStyle w:val="56"/>
        <w:ind w:firstLine="420"/>
      </w:pPr>
      <w:bookmarkStart w:id="46" w:name="_Hlk177913782"/>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bookmarkEnd w:id="46"/>
    <w:p w14:paraId="707A5723">
      <w:pPr>
        <w:pStyle w:val="105"/>
        <w:spacing w:before="156" w:after="156"/>
      </w:pPr>
      <w:r>
        <w:rPr>
          <w:rFonts w:hint="eastAsia"/>
        </w:rPr>
        <w:t>面条</w:t>
      </w:r>
    </w:p>
    <w:p w14:paraId="0EBE12C3">
      <w:pPr>
        <w:pStyle w:val="56"/>
      </w:pPr>
    </w:p>
    <w:p w14:paraId="206DD19A">
      <w:pPr>
        <w:pStyle w:val="56"/>
        <w:ind w:firstLine="420"/>
      </w:pPr>
      <w:r>
        <w:rPr>
          <w:rFonts w:hint="eastAsia"/>
        </w:rPr>
        <w:t>以小麦粉、水为主要原料，添加或不添加其他食品辅料，经（或不经）混配、和面、醒面、压延、熟化（或不熟化）、成型、干燥、冷却、包装等工序加工形成的面条制品。</w:t>
      </w:r>
    </w:p>
    <w:p w14:paraId="300ECC66">
      <w:pPr>
        <w:pStyle w:val="105"/>
        <w:spacing w:before="156" w:after="156"/>
      </w:pPr>
      <w:r>
        <w:rPr>
          <w:rFonts w:hint="eastAsia"/>
        </w:rPr>
        <w:t>牛肉汤料配料包</w:t>
      </w:r>
    </w:p>
    <w:p w14:paraId="5243DDD5">
      <w:pPr>
        <w:pStyle w:val="56"/>
      </w:pPr>
    </w:p>
    <w:p w14:paraId="42C43B86">
      <w:pPr>
        <w:pStyle w:val="56"/>
        <w:ind w:firstLine="420"/>
      </w:pPr>
      <w:r>
        <w:rPr>
          <w:rFonts w:hint="eastAsia"/>
        </w:rPr>
        <w:t>以鲜（冻）牛肉、骨、生活饮用水为原料，辅以食用盐、味精、鸡精调味料、香辛料等，经熬制、过滤、浓缩（或不浓缩）、灌装、杀菌等工序加工制成的兰州牛肉汤料配料包。</w:t>
      </w:r>
    </w:p>
    <w:p w14:paraId="7D2C4EAE">
      <w:pPr>
        <w:pStyle w:val="105"/>
        <w:spacing w:before="156" w:after="156"/>
      </w:pPr>
      <w:r>
        <w:rPr>
          <w:rFonts w:hint="eastAsia"/>
        </w:rPr>
        <w:t>熟牛肉配料包</w:t>
      </w:r>
    </w:p>
    <w:p w14:paraId="571C72AE">
      <w:pPr>
        <w:pStyle w:val="56"/>
      </w:pPr>
    </w:p>
    <w:p w14:paraId="27D36299">
      <w:pPr>
        <w:pStyle w:val="56"/>
        <w:ind w:firstLine="420"/>
      </w:pPr>
      <w:r>
        <w:rPr>
          <w:rFonts w:hint="eastAsia"/>
        </w:rPr>
        <w:t>以牛肉为原料，辅以食用盐、香辛料、鸡精调味料、味精等，经前处理、煮制、整形或切片、密封、杀菌等工序制成的熟牛肉配料包。</w:t>
      </w:r>
    </w:p>
    <w:p w14:paraId="737A44F2">
      <w:pPr>
        <w:pStyle w:val="105"/>
        <w:spacing w:before="156" w:after="156"/>
      </w:pPr>
      <w:r>
        <w:rPr>
          <w:rFonts w:hint="eastAsia"/>
        </w:rPr>
        <w:t>脱水蔬菜配料包</w:t>
      </w:r>
    </w:p>
    <w:p w14:paraId="77D52D62">
      <w:pPr>
        <w:pStyle w:val="56"/>
      </w:pPr>
    </w:p>
    <w:p w14:paraId="34B3EF0D">
      <w:pPr>
        <w:pStyle w:val="56"/>
        <w:ind w:firstLine="420"/>
      </w:pPr>
      <w:r>
        <w:rPr>
          <w:rFonts w:hint="eastAsia"/>
        </w:rPr>
        <w:t>以蒜苗、芫荽的一种或二种为主要原料，经前处理、切段、干燥（真空冷冻干燥或热风干燥）、冷却、分选、包装、杀菌等工序制成的脱水蔬菜配料包。</w:t>
      </w:r>
    </w:p>
    <w:p w14:paraId="75E6985E">
      <w:pPr>
        <w:pStyle w:val="105"/>
        <w:spacing w:before="156" w:after="156"/>
      </w:pPr>
      <w:r>
        <w:rPr>
          <w:rFonts w:hint="eastAsia"/>
        </w:rPr>
        <w:t>油辣椒配料包</w:t>
      </w:r>
    </w:p>
    <w:p w14:paraId="5AFF68E7">
      <w:pPr>
        <w:pStyle w:val="56"/>
      </w:pPr>
    </w:p>
    <w:p w14:paraId="2A703567">
      <w:pPr>
        <w:pStyle w:val="56"/>
        <w:ind w:firstLine="420"/>
      </w:pPr>
      <w:r>
        <w:rPr>
          <w:rFonts w:hint="eastAsia"/>
        </w:rPr>
        <w:t>以植物油、辣椒为主要原料，辅以香辛料、食用盐等，经前处理、热油、泼制、冷却、包装等工序制成的油辣椒配料包。</w:t>
      </w:r>
    </w:p>
    <w:p w14:paraId="2DBD6F95">
      <w:pPr>
        <w:pStyle w:val="105"/>
        <w:spacing w:before="156" w:after="156"/>
      </w:pPr>
      <w:r>
        <w:rPr>
          <w:rFonts w:hint="eastAsia"/>
        </w:rPr>
        <w:t>萝卜配料包</w:t>
      </w:r>
    </w:p>
    <w:p w14:paraId="51D99A43">
      <w:pPr>
        <w:pStyle w:val="56"/>
      </w:pPr>
    </w:p>
    <w:p w14:paraId="576E85B0">
      <w:pPr>
        <w:pStyle w:val="56"/>
        <w:ind w:firstLine="420"/>
      </w:pPr>
      <w:r>
        <w:rPr>
          <w:rFonts w:hint="eastAsia"/>
        </w:rPr>
        <w:t>以萝卜为原料，添加或不添加食用盐、复合调味料等，经预处理切片、煮制、装袋、杀菌、冷却等工序制成的萝卜配料包。</w:t>
      </w:r>
    </w:p>
    <w:p w14:paraId="460B939E">
      <w:pPr>
        <w:pStyle w:val="105"/>
        <w:spacing w:before="156" w:after="156"/>
      </w:pPr>
      <w:r>
        <w:rPr>
          <w:rFonts w:hint="eastAsia"/>
        </w:rPr>
        <w:t>其他配料包</w:t>
      </w:r>
    </w:p>
    <w:p w14:paraId="35153C94">
      <w:pPr>
        <w:pStyle w:val="56"/>
      </w:pPr>
      <w:bookmarkStart w:id="49" w:name="_GoBack"/>
      <w:bookmarkEnd w:id="49"/>
    </w:p>
    <w:p w14:paraId="452AF6B4">
      <w:pPr>
        <w:pStyle w:val="56"/>
        <w:ind w:firstLine="420"/>
      </w:pPr>
      <w:r>
        <w:rPr>
          <w:rFonts w:hint="eastAsia"/>
        </w:rPr>
        <w:t>除上述配料包以外的配料包。</w:t>
      </w:r>
    </w:p>
    <w:p w14:paraId="1C473D38">
      <w:pPr>
        <w:pStyle w:val="104"/>
        <w:spacing w:before="312" w:after="312"/>
      </w:pPr>
      <w:r>
        <w:rPr>
          <w:rFonts w:hint="eastAsia"/>
        </w:rPr>
        <w:t>原辅料要求</w:t>
      </w:r>
    </w:p>
    <w:p w14:paraId="74046169">
      <w:pPr>
        <w:pStyle w:val="162"/>
      </w:pPr>
      <w:r>
        <w:rPr>
          <w:rFonts w:hint="eastAsia"/>
        </w:rPr>
        <w:t xml:space="preserve">原辅材料的采购、验收、贮存和运输，应符合国家食品安全法的规定以及现行有效的国家标准、行业标准、地方标准及备案有效的企业标准。 </w:t>
      </w:r>
    </w:p>
    <w:p w14:paraId="6719F1B4">
      <w:pPr>
        <w:pStyle w:val="162"/>
      </w:pPr>
      <w:r>
        <w:rPr>
          <w:rFonts w:hint="eastAsia"/>
        </w:rPr>
        <w:t xml:space="preserve">用于加工牛肉汤料包、牛肉包的畜禽骨和畜禽肉应符合GB 2707和其他有关国家标准的规定。不得采购和使用未经检疫合格、未盖卫生检验印戳的病死畜禽骨、畜禽肉。 </w:t>
      </w:r>
    </w:p>
    <w:p w14:paraId="695A6A45">
      <w:pPr>
        <w:pStyle w:val="162"/>
      </w:pPr>
      <w:r>
        <w:rPr>
          <w:rFonts w:hint="eastAsia"/>
        </w:rPr>
        <w:t xml:space="preserve">原辅材料、食品添加剂和食品相关产品（如食品用包装材料、食品加工用洗涤剂等）在接收或正式入库前应查验供货者的许可证和产品合格证明文件。原辅材料、食品添加剂和食品相关产品应经验收合格并进行登记验收后，方可入库。 </w:t>
      </w:r>
    </w:p>
    <w:p w14:paraId="4CABB7C6">
      <w:pPr>
        <w:pStyle w:val="162"/>
      </w:pPr>
      <w:r>
        <w:rPr>
          <w:rFonts w:hint="eastAsia"/>
        </w:rPr>
        <w:t xml:space="preserve">食品原辅材料、食品添加剂和食品相关产品（如食品用包装材料、食品加工用洗涤剂等）的采购应保留相关证件、票据及文件，采购畜禽肉类的，还应索取并留存动物产品检疫合格证明。如使用的原辅材料为实施生产许可管理的产品，应选用获证产品。 </w:t>
      </w:r>
    </w:p>
    <w:p w14:paraId="72B6178B">
      <w:pPr>
        <w:pStyle w:val="162"/>
      </w:pPr>
      <w:r>
        <w:rPr>
          <w:rFonts w:hint="eastAsia"/>
        </w:rPr>
        <w:t xml:space="preserve">加工过程使用的食品原辅材料、食品添加剂和食品相关产品贮藏应有专人管理。食品添加剂应设专柜保管，定期检查质量和卫生情况，及时清理变质或超过保质期的食品原料、食品添加剂和食品相关产品。仓库出货顺序应遵循先进先出的原则。 </w:t>
      </w:r>
    </w:p>
    <w:p w14:paraId="4EB22FEC">
      <w:pPr>
        <w:pStyle w:val="162"/>
      </w:pPr>
      <w:r>
        <w:rPr>
          <w:rFonts w:hint="eastAsia"/>
        </w:rPr>
        <w:t>加工用水应符合GB 5749 的规定。</w:t>
      </w:r>
    </w:p>
    <w:p w14:paraId="24E55777">
      <w:pPr>
        <w:pStyle w:val="104"/>
        <w:spacing w:before="312" w:after="312"/>
      </w:pPr>
      <w:bookmarkStart w:id="47" w:name="_Hlk177556690"/>
      <w:r>
        <w:rPr>
          <w:rFonts w:hint="eastAsia"/>
        </w:rPr>
        <w:t>加工企业基本条件</w:t>
      </w:r>
    </w:p>
    <w:p w14:paraId="0D5924D5">
      <w:pPr>
        <w:pStyle w:val="105"/>
        <w:spacing w:before="156" w:after="156"/>
        <w:rPr>
          <w:lang w:bidi="ar"/>
        </w:rPr>
      </w:pPr>
      <w:r>
        <w:rPr>
          <w:lang w:bidi="ar"/>
        </w:rPr>
        <w:t>食品加工人员健康管理与卫生要求</w:t>
      </w:r>
    </w:p>
    <w:p w14:paraId="2FE6C67D">
      <w:pPr>
        <w:pStyle w:val="65"/>
        <w:spacing w:before="156" w:after="156"/>
      </w:pPr>
      <w:r>
        <w:rPr>
          <w:lang w:bidi="ar"/>
        </w:rPr>
        <w:t xml:space="preserve">食品加工人员健康管理 </w:t>
      </w:r>
    </w:p>
    <w:p w14:paraId="43596B59">
      <w:pPr>
        <w:widowControl/>
        <w:ind w:firstLine="420" w:firstLineChars="200"/>
        <w:jc w:val="left"/>
        <w:rPr>
          <w:rFonts w:hint="eastAsia" w:ascii="宋体" w:hAnsi="宋体" w:cs="宋体"/>
          <w:color w:val="000000"/>
          <w:kern w:val="0"/>
          <w:lang w:bidi="ar"/>
        </w:rPr>
      </w:pPr>
      <w:r>
        <w:rPr>
          <w:rFonts w:hint="eastAsia" w:ascii="宋体" w:hAnsi="宋体" w:cs="宋体"/>
          <w:color w:val="000000"/>
          <w:kern w:val="0"/>
          <w:lang w:bidi="ar"/>
        </w:rPr>
        <w:t>应符合GB 14881中6.3.1的规定。</w:t>
      </w:r>
    </w:p>
    <w:p w14:paraId="5878092D">
      <w:pPr>
        <w:pStyle w:val="65"/>
        <w:spacing w:before="156" w:after="156"/>
        <w:rPr>
          <w:lang w:bidi="ar"/>
        </w:rPr>
      </w:pPr>
      <w:r>
        <w:rPr>
          <w:lang w:bidi="ar"/>
        </w:rPr>
        <w:t>食品加工人员卫生要求</w:t>
      </w:r>
    </w:p>
    <w:p w14:paraId="1004E701">
      <w:pPr>
        <w:pStyle w:val="164"/>
        <w:rPr>
          <w:lang w:bidi="ar"/>
        </w:rPr>
      </w:pPr>
      <w:r>
        <w:rPr>
          <w:rFonts w:hint="eastAsia"/>
          <w:lang w:bidi="ar"/>
        </w:rPr>
        <w:t>应符合 GB 14881中 6.3.2 的规定。</w:t>
      </w:r>
    </w:p>
    <w:p w14:paraId="271EDB2B">
      <w:pPr>
        <w:pStyle w:val="164"/>
      </w:pPr>
      <w:r>
        <w:rPr>
          <w:rFonts w:hint="eastAsia"/>
          <w:lang w:bidi="ar"/>
        </w:rPr>
        <w:t xml:space="preserve">工作时不得吸烟、进食或有其他有碍食品安全的活动，不得穿工作服上厕所或从事可能污染 </w:t>
      </w:r>
    </w:p>
    <w:p w14:paraId="65CAD73C">
      <w:pPr>
        <w:widowControl/>
        <w:jc w:val="left"/>
        <w:rPr>
          <w:rFonts w:hint="eastAsia" w:ascii="宋体" w:hAnsi="宋体" w:cs="宋体"/>
          <w:color w:val="000000"/>
          <w:kern w:val="0"/>
          <w:lang w:bidi="ar"/>
        </w:rPr>
      </w:pPr>
      <w:r>
        <w:rPr>
          <w:rFonts w:hint="eastAsia" w:ascii="宋体" w:hAnsi="宋体" w:cs="宋体"/>
          <w:color w:val="000000"/>
          <w:kern w:val="0"/>
          <w:lang w:bidi="ar"/>
        </w:rPr>
        <w:t>工作服的活动。</w:t>
      </w:r>
    </w:p>
    <w:p w14:paraId="31B0181A">
      <w:pPr>
        <w:pStyle w:val="65"/>
        <w:spacing w:before="156" w:after="156"/>
        <w:rPr>
          <w:lang w:bidi="ar"/>
        </w:rPr>
      </w:pPr>
      <w:r>
        <w:t>来访者</w:t>
      </w:r>
      <w:r>
        <w:rPr>
          <w:rFonts w:hint="eastAsia"/>
          <w:lang w:bidi="ar"/>
        </w:rPr>
        <w:t xml:space="preserve"> </w:t>
      </w:r>
    </w:p>
    <w:p w14:paraId="4B996839">
      <w:pPr>
        <w:pStyle w:val="65"/>
        <w:numPr>
          <w:ilvl w:val="0"/>
          <w:numId w:val="0"/>
        </w:numPr>
        <w:spacing w:before="156" w:after="156"/>
        <w:ind w:firstLine="420" w:firstLineChars="200"/>
        <w:rPr>
          <w:lang w:bidi="ar"/>
        </w:rPr>
      </w:pPr>
      <w:r>
        <w:rPr>
          <w:rFonts w:hint="eastAsia" w:ascii="宋体" w:eastAsia="宋体"/>
        </w:rPr>
        <w:t>应符合GB 14881中6.3.3的规定。</w:t>
      </w:r>
    </w:p>
    <w:p w14:paraId="5740372F">
      <w:pPr>
        <w:pStyle w:val="165"/>
      </w:pPr>
      <w:r>
        <w:rPr>
          <w:rFonts w:hint="eastAsia"/>
        </w:rPr>
        <w:t>环境、车间及设施、生产设备及卫生控制程序应符合GB 14881、GB 8950的规定。</w:t>
      </w:r>
    </w:p>
    <w:bookmarkEnd w:id="47"/>
    <w:p w14:paraId="5591F62A">
      <w:pPr>
        <w:pStyle w:val="104"/>
        <w:spacing w:before="312" w:after="312"/>
      </w:pPr>
      <w:r>
        <w:rPr>
          <w:rFonts w:hint="eastAsia"/>
        </w:rPr>
        <w:t>生产工艺流程</w:t>
      </w:r>
    </w:p>
    <w:p w14:paraId="5B9D9F45">
      <w:pPr>
        <w:pStyle w:val="56"/>
        <w:ind w:firstLine="420"/>
      </w:pPr>
      <w:r>
        <w:rPr>
          <w:rFonts w:hint="eastAsia"/>
        </w:rPr>
        <w:t>面条包、牛肉汤料包、油辣椒包、熟牛肉、萝卜包、脱水蔬菜包生产工艺分别见流程1、流程2、流程3、流程4、流程5、流程6。</w:t>
      </w:r>
    </w:p>
    <w:p w14:paraId="48F3F721">
      <w:pPr>
        <w:pStyle w:val="105"/>
        <w:spacing w:before="156" w:after="156"/>
      </w:pPr>
      <w:r>
        <w:rPr>
          <w:rFonts w:hint="eastAsia"/>
        </w:rPr>
        <w:t>流程1：面条包流程图</w:t>
      </w:r>
    </w:p>
    <w:p w14:paraId="525C7764">
      <w:pPr>
        <w:pStyle w:val="56"/>
        <w:ind w:firstLine="420"/>
      </w:pPr>
      <w:r>
        <w:rPr>
          <w:rFonts w:hint="eastAsia"/>
        </w:rPr>
        <w:t>混配→和面→醒面→压延→熟化（或不熟化）→成型→干燥→冷却回潮（或不冷却回潮）→包装。</w:t>
      </w:r>
    </w:p>
    <w:p w14:paraId="405D1F54">
      <w:pPr>
        <w:pStyle w:val="105"/>
        <w:spacing w:before="156" w:after="156"/>
      </w:pPr>
      <w:r>
        <w:rPr>
          <w:rFonts w:hint="eastAsia"/>
        </w:rPr>
        <w:t>流程2：牛肉汤包流程图</w:t>
      </w:r>
    </w:p>
    <w:p w14:paraId="4F87B7DA">
      <w:pPr>
        <w:pStyle w:val="56"/>
        <w:ind w:firstLine="420"/>
      </w:pPr>
      <w:r>
        <w:rPr>
          <w:rFonts w:hint="eastAsia"/>
        </w:rPr>
        <w:t>原料预处理→熬煮→过滤→混料→包（灌）装→杀菌。</w:t>
      </w:r>
    </w:p>
    <w:p w14:paraId="24A4F3F9">
      <w:pPr>
        <w:pStyle w:val="105"/>
        <w:spacing w:before="156" w:after="156"/>
      </w:pPr>
      <w:r>
        <w:rPr>
          <w:rFonts w:hint="eastAsia"/>
        </w:rPr>
        <w:t>流程3：油辣椒包流程图</w:t>
      </w:r>
    </w:p>
    <w:p w14:paraId="67305FC3">
      <w:pPr>
        <w:pStyle w:val="56"/>
        <w:ind w:firstLine="420"/>
      </w:pPr>
      <w:r>
        <w:rPr>
          <w:rFonts w:hint="eastAsia"/>
        </w:rPr>
        <w:t xml:space="preserve">原料预处理→热油→泼制→冷却→包装。         </w:t>
      </w:r>
    </w:p>
    <w:p w14:paraId="45D6A08B">
      <w:pPr>
        <w:pStyle w:val="105"/>
        <w:spacing w:before="156" w:after="156"/>
      </w:pPr>
      <w:r>
        <w:rPr>
          <w:rFonts w:hint="eastAsia"/>
        </w:rPr>
        <w:t>流程4：熟牛肉包流程图</w:t>
      </w:r>
    </w:p>
    <w:p w14:paraId="55D9D321">
      <w:pPr>
        <w:pStyle w:val="56"/>
        <w:ind w:firstLine="420"/>
      </w:pPr>
      <w:r>
        <w:rPr>
          <w:rFonts w:hint="eastAsia"/>
        </w:rPr>
        <w:t>原料预处理（解冻、清洗、分割）→煮制→整形或切片→装袋→杀菌。</w:t>
      </w:r>
    </w:p>
    <w:p w14:paraId="208582A4">
      <w:pPr>
        <w:pStyle w:val="105"/>
        <w:spacing w:before="156" w:after="156"/>
      </w:pPr>
      <w:r>
        <w:rPr>
          <w:rFonts w:hint="eastAsia"/>
        </w:rPr>
        <w:t>流程5：萝卜包流程图</w:t>
      </w:r>
    </w:p>
    <w:p w14:paraId="3CF18566">
      <w:pPr>
        <w:pStyle w:val="56"/>
        <w:ind w:firstLine="420"/>
      </w:pPr>
      <w:r>
        <w:rPr>
          <w:rFonts w:hint="eastAsia"/>
        </w:rPr>
        <w:t>原料预处理切片→煮制→装袋→杀菌。</w:t>
      </w:r>
    </w:p>
    <w:p w14:paraId="18978042">
      <w:pPr>
        <w:pStyle w:val="105"/>
        <w:spacing w:before="156" w:after="156"/>
      </w:pPr>
      <w:r>
        <w:rPr>
          <w:rFonts w:hint="eastAsia"/>
        </w:rPr>
        <w:t>流程6：脱水蔬菜流程图</w:t>
      </w:r>
    </w:p>
    <w:p w14:paraId="07203487">
      <w:pPr>
        <w:pStyle w:val="56"/>
        <w:ind w:firstLine="420"/>
      </w:pPr>
      <w:r>
        <w:rPr>
          <w:rFonts w:hint="eastAsia"/>
        </w:rPr>
        <w:t>原料预处理→切段→干燥（真空冷冻干燥或热风干燥）→冷却→分选→包装→杀菌。</w:t>
      </w:r>
    </w:p>
    <w:p w14:paraId="798BDCA1">
      <w:pPr>
        <w:pStyle w:val="56"/>
        <w:ind w:firstLine="420"/>
      </w:pPr>
      <w:r>
        <w:rPr>
          <w:rFonts w:hint="eastAsia"/>
        </w:rPr>
        <w:t>其他内料包的生产按照其自身工艺应符合相关要求。将独立包装的面条（半干面或干制面）、牛肉汤料包，辅以独立包装的熟牛肉、脱水蔬菜、油辣椒、萝卜等配料包中的一种或几种，经组合、包装等工序制成预包装兰州牛肉拉面。</w:t>
      </w:r>
    </w:p>
    <w:p w14:paraId="059C1888">
      <w:pPr>
        <w:pStyle w:val="104"/>
        <w:spacing w:before="312" w:after="312"/>
      </w:pPr>
      <w:r>
        <w:rPr>
          <w:rFonts w:hint="eastAsia"/>
        </w:rPr>
        <w:t xml:space="preserve">包装、标签和保质期 </w:t>
      </w:r>
    </w:p>
    <w:p w14:paraId="5065DF9D">
      <w:pPr>
        <w:pStyle w:val="162"/>
      </w:pPr>
      <w:r>
        <w:rPr>
          <w:rFonts w:hint="eastAsia"/>
        </w:rPr>
        <w:t>内包装应符合 GB 4806.7 的规定，外包装应符合GB/T 28118、 GB/T 6543 的规定。</w:t>
      </w:r>
    </w:p>
    <w:p w14:paraId="6F406B70">
      <w:pPr>
        <w:pStyle w:val="162"/>
      </w:pPr>
      <w:r>
        <w:rPr>
          <w:rFonts w:hint="eastAsia"/>
        </w:rPr>
        <w:t>净含量符合 JJF 1070 的规定。</w:t>
      </w:r>
    </w:p>
    <w:p w14:paraId="1566ACFD">
      <w:pPr>
        <w:pStyle w:val="162"/>
      </w:pPr>
      <w:r>
        <w:rPr>
          <w:rFonts w:hint="eastAsia"/>
        </w:rPr>
        <w:t>预包装产品标签应符合 GB 7718 和 GB 28050 的要求。</w:t>
      </w:r>
    </w:p>
    <w:p w14:paraId="1F071EC8">
      <w:pPr>
        <w:pStyle w:val="162"/>
      </w:pPr>
      <w:r>
        <w:rPr>
          <w:rFonts w:hint="eastAsia"/>
        </w:rPr>
        <w:t>预包装兰州牛肉拉面</w:t>
      </w:r>
      <w:r>
        <w:rPr>
          <w:lang w:bidi="ar"/>
        </w:rPr>
        <w:t>应设定保质期。保质期以</w:t>
      </w:r>
      <w:r>
        <w:rPr>
          <w:rFonts w:hint="eastAsia"/>
          <w:lang w:bidi="ar"/>
        </w:rPr>
        <w:t>面条</w:t>
      </w:r>
      <w:r>
        <w:rPr>
          <w:lang w:bidi="ar"/>
        </w:rPr>
        <w:t>包或配料包中保质期最短的时间作为</w:t>
      </w:r>
      <w:r>
        <w:rPr>
          <w:rFonts w:hint="eastAsia"/>
        </w:rPr>
        <w:t>预包装兰州牛肉拉面</w:t>
      </w:r>
      <w:r>
        <w:rPr>
          <w:lang w:bidi="ar"/>
        </w:rPr>
        <w:t>保质期。</w:t>
      </w:r>
    </w:p>
    <w:p w14:paraId="6F34B353">
      <w:pPr>
        <w:pStyle w:val="104"/>
        <w:spacing w:before="312" w:after="312"/>
      </w:pPr>
      <w:r>
        <w:rPr>
          <w:rFonts w:hint="eastAsia"/>
        </w:rPr>
        <w:t>留样管理</w:t>
      </w:r>
    </w:p>
    <w:p w14:paraId="53D05ABB">
      <w:pPr>
        <w:pStyle w:val="162"/>
      </w:pPr>
      <w:r>
        <w:rPr>
          <w:rFonts w:hint="eastAsia"/>
        </w:rPr>
        <w:t xml:space="preserve">生产企业应对每批产品进行留样，留样数量应满足检验要求。 </w:t>
      </w:r>
    </w:p>
    <w:p w14:paraId="7B35A134">
      <w:pPr>
        <w:pStyle w:val="162"/>
      </w:pPr>
      <w:r>
        <w:rPr>
          <w:rFonts w:hint="eastAsia"/>
        </w:rPr>
        <w:t xml:space="preserve">留样产品标识后应贮藏在留样室内，且应保存至样品保质期届满。 </w:t>
      </w:r>
    </w:p>
    <w:p w14:paraId="53764FF6">
      <w:pPr>
        <w:pStyle w:val="162"/>
      </w:pPr>
      <w:r>
        <w:rPr>
          <w:rFonts w:hint="eastAsia"/>
        </w:rPr>
        <w:t>应对留样样品作好记录。留样记录应包括样品名称、留样量、留样时间、留样人员、审核人员等项目。</w:t>
      </w:r>
    </w:p>
    <w:p w14:paraId="7CE664CF">
      <w:pPr>
        <w:pStyle w:val="104"/>
        <w:spacing w:before="312" w:after="312"/>
      </w:pPr>
      <w:r>
        <w:rPr>
          <w:rFonts w:hint="eastAsia"/>
        </w:rPr>
        <w:t>成品储存</w:t>
      </w:r>
    </w:p>
    <w:p w14:paraId="2DB64E3D">
      <w:pPr>
        <w:pStyle w:val="162"/>
      </w:pPr>
      <w:r>
        <w:rPr>
          <w:rFonts w:hint="eastAsia"/>
        </w:rPr>
        <w:t>库内码放时应保证空气均匀流通，按规格分垛位码放。</w:t>
      </w:r>
    </w:p>
    <w:p w14:paraId="45E44982">
      <w:pPr>
        <w:pStyle w:val="162"/>
      </w:pPr>
      <w:r>
        <w:rPr>
          <w:rFonts w:hint="eastAsia"/>
        </w:rPr>
        <w:t>库房内堆码应稳固整齐，不应影响库内的气流循环和产品进出。</w:t>
      </w:r>
    </w:p>
    <w:p w14:paraId="61E4E7C7">
      <w:pPr>
        <w:pStyle w:val="162"/>
      </w:pPr>
      <w:r>
        <w:rPr>
          <w:rFonts w:hint="eastAsia"/>
        </w:rPr>
        <w:t>应预留人行通道及产品的出入库通道。不良的产品应及时隔离，并进行无害化处理。</w:t>
      </w:r>
    </w:p>
    <w:p w14:paraId="259C982F">
      <w:pPr>
        <w:pStyle w:val="162"/>
      </w:pPr>
      <w:r>
        <w:rPr>
          <w:rFonts w:hint="eastAsia"/>
        </w:rPr>
        <w:t>不应与有毒、有害、有异味、有腐蚀性、易污染的物品混合码放。</w:t>
      </w:r>
    </w:p>
    <w:p w14:paraId="03870338">
      <w:pPr>
        <w:pStyle w:val="162"/>
      </w:pPr>
      <w:r>
        <w:rPr>
          <w:rFonts w:hint="eastAsia"/>
        </w:rPr>
        <w:t>出库应按照“保质期先到先出”的原则， 并记录。</w:t>
      </w:r>
    </w:p>
    <w:p w14:paraId="6D931B09">
      <w:pPr>
        <w:pStyle w:val="104"/>
        <w:spacing w:before="312" w:after="312"/>
      </w:pPr>
      <w:r>
        <w:rPr>
          <w:rFonts w:hint="eastAsia"/>
        </w:rPr>
        <w:t>运输</w:t>
      </w:r>
    </w:p>
    <w:p w14:paraId="3F81221A">
      <w:pPr>
        <w:pStyle w:val="162"/>
      </w:pPr>
      <w:r>
        <w:rPr>
          <w:rFonts w:hint="eastAsia"/>
        </w:rPr>
        <w:t>运输工具必须清洁、卫生，严禁与有毒、有害、有腐蚀性、易挥发或有异味的物品混贮、混运。</w:t>
      </w:r>
    </w:p>
    <w:p w14:paraId="580626C5">
      <w:pPr>
        <w:pStyle w:val="162"/>
      </w:pPr>
      <w:r>
        <w:rPr>
          <w:rFonts w:hint="eastAsia"/>
        </w:rPr>
        <w:t>搬运时应轻拿轻放，严禁扔摔、撞击、挤压。</w:t>
      </w:r>
    </w:p>
    <w:p w14:paraId="7F0A3FE9">
      <w:pPr>
        <w:pStyle w:val="162"/>
      </w:pPr>
      <w:r>
        <w:rPr>
          <w:rFonts w:hint="eastAsia"/>
        </w:rPr>
        <w:t>在运输过程中，必须防止曝晒、雨淋、受潮。</w:t>
      </w:r>
    </w:p>
    <w:bookmarkEnd w:id="24"/>
    <w:p w14:paraId="4742C082">
      <w:pPr>
        <w:pStyle w:val="56"/>
        <w:ind w:firstLine="0" w:firstLineChars="0"/>
        <w:jc w:val="center"/>
      </w:pPr>
      <w:bookmarkStart w:id="48" w:name="BookMark8"/>
      <w:r>
        <w:drawing>
          <wp:inline distT="0" distB="0" distL="0" distR="0">
            <wp:extent cx="1485900" cy="317500"/>
            <wp:effectExtent l="0" t="0" r="0" b="6350"/>
            <wp:docPr id="1974398621" name="图片 3"/>
            <wp:cNvGraphicFramePr/>
            <a:graphic xmlns:a="http://schemas.openxmlformats.org/drawingml/2006/main">
              <a:graphicData uri="http://schemas.openxmlformats.org/drawingml/2006/picture">
                <pic:pic xmlns:pic="http://schemas.openxmlformats.org/drawingml/2006/picture">
                  <pic:nvPicPr>
                    <pic:cNvPr id="1974398621"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7B48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45BD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E5B4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B67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D990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6033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771F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BA4CB">
    <w:pPr>
      <w:pStyle w:val="61"/>
      <w:rPr>
        <w:rFonts w:hint="eastAsia"/>
      </w:rPr>
    </w:pPr>
    <w:r>
      <w:fldChar w:fldCharType="begin"/>
    </w:r>
    <w:r>
      <w:instrText xml:space="preserve"> STYLEREF  标准文件_文件编号  \* MERGEFORMAT </w:instrText>
    </w:r>
    <w:r>
      <w:fldChar w:fldCharType="separate"/>
    </w:r>
    <w:r>
      <w:t>DB 6201/T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FF31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6201/T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H85nifsta3tc7kVMPxBXqzdDywAcY7kgt9Bof/Yi7sbrK9pQZQWwWCH2DdOWIgqjaKTgHDOCVdLMiN/utcc7Hg==" w:salt="Z529LK+ejaENPqje+Tsou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FE5FCA"/>
    <w:rsid w:val="0000040A"/>
    <w:rsid w:val="00000A94"/>
    <w:rsid w:val="00001972"/>
    <w:rsid w:val="00001D9A"/>
    <w:rsid w:val="00006641"/>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6F5"/>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735"/>
    <w:rsid w:val="00086AA1"/>
    <w:rsid w:val="00087A77"/>
    <w:rsid w:val="00090CA6"/>
    <w:rsid w:val="00092B8A"/>
    <w:rsid w:val="00092FB0"/>
    <w:rsid w:val="000934C5"/>
    <w:rsid w:val="00093AF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E78"/>
    <w:rsid w:val="000C4B41"/>
    <w:rsid w:val="000C57D6"/>
    <w:rsid w:val="000C6362"/>
    <w:rsid w:val="000C7666"/>
    <w:rsid w:val="000D07FF"/>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0A2"/>
    <w:rsid w:val="001B06E8"/>
    <w:rsid w:val="001B3139"/>
    <w:rsid w:val="001B71D0"/>
    <w:rsid w:val="001B71EE"/>
    <w:rsid w:val="001C04A8"/>
    <w:rsid w:val="001C2C03"/>
    <w:rsid w:val="001C42F7"/>
    <w:rsid w:val="001C49E5"/>
    <w:rsid w:val="001C680C"/>
    <w:rsid w:val="001C7FEA"/>
    <w:rsid w:val="001D0499"/>
    <w:rsid w:val="001D05CA"/>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2AD"/>
    <w:rsid w:val="00324D13"/>
    <w:rsid w:val="00324D2A"/>
    <w:rsid w:val="00324EDD"/>
    <w:rsid w:val="003331E4"/>
    <w:rsid w:val="00336C64"/>
    <w:rsid w:val="00337162"/>
    <w:rsid w:val="0034194F"/>
    <w:rsid w:val="00344605"/>
    <w:rsid w:val="003474AA"/>
    <w:rsid w:val="00350D1D"/>
    <w:rsid w:val="00352C83"/>
    <w:rsid w:val="003540D7"/>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02"/>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A5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BC2"/>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0C68"/>
    <w:rsid w:val="005220EC"/>
    <w:rsid w:val="00523F95"/>
    <w:rsid w:val="00524D65"/>
    <w:rsid w:val="00525A87"/>
    <w:rsid w:val="00525B16"/>
    <w:rsid w:val="00533D04"/>
    <w:rsid w:val="00534804"/>
    <w:rsid w:val="00534BDF"/>
    <w:rsid w:val="005354EA"/>
    <w:rsid w:val="0053585F"/>
    <w:rsid w:val="00535EC4"/>
    <w:rsid w:val="00535ED9"/>
    <w:rsid w:val="0053692B"/>
    <w:rsid w:val="00541853"/>
    <w:rsid w:val="00543BDA"/>
    <w:rsid w:val="005441CC"/>
    <w:rsid w:val="0054798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270"/>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0F07"/>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3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FD2"/>
    <w:rsid w:val="006C1BBA"/>
    <w:rsid w:val="006C2079"/>
    <w:rsid w:val="006C5A62"/>
    <w:rsid w:val="006C5D68"/>
    <w:rsid w:val="006C6976"/>
    <w:rsid w:val="006C6DD0"/>
    <w:rsid w:val="006D04EA"/>
    <w:rsid w:val="006D0AB7"/>
    <w:rsid w:val="006D16C4"/>
    <w:rsid w:val="006D3E96"/>
    <w:rsid w:val="006D4515"/>
    <w:rsid w:val="006D4BB1"/>
    <w:rsid w:val="006D6593"/>
    <w:rsid w:val="006D681C"/>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9D8"/>
    <w:rsid w:val="00781DD2"/>
    <w:rsid w:val="00783ECF"/>
    <w:rsid w:val="0078413A"/>
    <w:rsid w:val="0078589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98A"/>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B4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492"/>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ED9"/>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0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94"/>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060"/>
    <w:rsid w:val="00AA052C"/>
    <w:rsid w:val="00AA1E45"/>
    <w:rsid w:val="00AA4286"/>
    <w:rsid w:val="00AA456B"/>
    <w:rsid w:val="00AA57F5"/>
    <w:rsid w:val="00AA672E"/>
    <w:rsid w:val="00AA6EC9"/>
    <w:rsid w:val="00AA739F"/>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A39"/>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404"/>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2BD"/>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5DAC"/>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9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13E"/>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FCA"/>
    <w:rsid w:val="00FE7E79"/>
    <w:rsid w:val="00FF3E7D"/>
    <w:rsid w:val="00FF5B99"/>
    <w:rsid w:val="00FF730C"/>
    <w:rsid w:val="00FF73F4"/>
    <w:rsid w:val="00FF7CE4"/>
    <w:rsid w:val="00FF7E39"/>
    <w:rsid w:val="210D7EB9"/>
    <w:rsid w:val="294C5091"/>
    <w:rsid w:val="32BF4B25"/>
    <w:rsid w:val="3ABD5DEE"/>
    <w:rsid w:val="4F721C97"/>
    <w:rsid w:val="564953C1"/>
    <w:rsid w:val="5B0C55DD"/>
    <w:rsid w:val="5F950838"/>
    <w:rsid w:val="717F65F5"/>
    <w:rsid w:val="720B7E18"/>
    <w:rsid w:val="729606F7"/>
    <w:rsid w:val="74DF6386"/>
    <w:rsid w:val="758D5E07"/>
    <w:rsid w:val="7F365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02FEAAE632143BAB57BFAB214ECC5F7"/>
        <w:style w:val=""/>
        <w:category>
          <w:name w:val="常规"/>
          <w:gallery w:val="placeholder"/>
        </w:category>
        <w:types>
          <w:type w:val="bbPlcHdr"/>
        </w:types>
        <w:behaviors>
          <w:behavior w:val="content"/>
        </w:behaviors>
        <w:description w:val=""/>
        <w:guid w:val="{91322CA1-772E-4950-86B6-63B30713349E}"/>
      </w:docPartPr>
      <w:docPartBody>
        <w:p w14:paraId="69B2FD31">
          <w:pPr>
            <w:pStyle w:val="5"/>
            <w:rPr>
              <w:rFonts w:hint="eastAsia"/>
            </w:rPr>
          </w:pPr>
          <w:r>
            <w:rPr>
              <w:rStyle w:val="4"/>
              <w:rFonts w:hint="eastAsia"/>
            </w:rPr>
            <w:t>单击或点击此处输入文字。</w:t>
          </w:r>
        </w:p>
      </w:docPartBody>
    </w:docPart>
    <w:docPart>
      <w:docPartPr>
        <w:name w:val="FFAC680CAB084C0F8AF2DE2A11FD020A"/>
        <w:style w:val=""/>
        <w:category>
          <w:name w:val="常规"/>
          <w:gallery w:val="placeholder"/>
        </w:category>
        <w:types>
          <w:type w:val="bbPlcHdr"/>
        </w:types>
        <w:behaviors>
          <w:behavior w:val="content"/>
        </w:behaviors>
        <w:description w:val=""/>
        <w:guid w:val="{BA2F97A1-A585-46D5-B85A-4CE7365EB776}"/>
      </w:docPartPr>
      <w:docPartBody>
        <w:p w14:paraId="29AFC13A">
          <w:pPr>
            <w:pStyle w:val="6"/>
            <w:rPr>
              <w:rFonts w:hint="eastAsia"/>
            </w:rPr>
          </w:pPr>
          <w:r>
            <w:rPr>
              <w:rStyle w:val="4"/>
              <w:rFonts w:hint="eastAsia"/>
            </w:rPr>
            <w:t>选择一项。</w:t>
          </w:r>
        </w:p>
      </w:docPartBody>
    </w:docPart>
    <w:docPart>
      <w:docPartPr>
        <w:name w:val="6752D047A0B64064847CA5A514E71515"/>
        <w:style w:val=""/>
        <w:category>
          <w:name w:val="常规"/>
          <w:gallery w:val="placeholder"/>
        </w:category>
        <w:types>
          <w:type w:val="bbPlcHdr"/>
        </w:types>
        <w:behaviors>
          <w:behavior w:val="content"/>
        </w:behaviors>
        <w:description w:val=""/>
        <w:guid w:val="{B133F3C2-CB7A-46C3-96F3-7E239C22DE85}"/>
      </w:docPartPr>
      <w:docPartBody>
        <w:p w14:paraId="229D7EA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B91"/>
    <w:rsid w:val="0018346E"/>
    <w:rsid w:val="003232AD"/>
    <w:rsid w:val="00486756"/>
    <w:rsid w:val="004D2AC3"/>
    <w:rsid w:val="00501FEF"/>
    <w:rsid w:val="0050440F"/>
    <w:rsid w:val="00632F0C"/>
    <w:rsid w:val="0078589D"/>
    <w:rsid w:val="00924BAD"/>
    <w:rsid w:val="00A93730"/>
    <w:rsid w:val="00BC6404"/>
    <w:rsid w:val="00CC13E6"/>
    <w:rsid w:val="00CD6384"/>
    <w:rsid w:val="00DB0943"/>
    <w:rsid w:val="00E05B91"/>
    <w:rsid w:val="00E17D8F"/>
    <w:rsid w:val="00F64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02FEAAE632143BAB57BFAB214ECC5F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FFAC680CAB084C0F8AF2DE2A11FD020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752D047A0B64064847CA5A514E7151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2835</Words>
  <Characters>3069</Characters>
  <Lines>26</Lines>
  <Paragraphs>7</Paragraphs>
  <TotalTime>0</TotalTime>
  <ScaleCrop>false</ScaleCrop>
  <LinksUpToDate>false</LinksUpToDate>
  <CharactersWithSpaces>3253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2024-08-03T04:54:00Z</dcterms:created>
  <dc:creator>姜交龙</dc:creator>
  <dc:description>&lt;config cover="true" show_menu="true" version="1.0.0" doctype="SDKXY"&gt;_x000d_
&lt;/config&gt;</dc:description>
  <cp:lastModifiedBy>姜交龙</cp:lastModifiedBy>
  <cp:lastPrinted>2020-08-30T10:00:00Z</cp:lastPrinted>
  <dcterms:modified xsi:type="dcterms:W3CDTF">2024-09-25T07:59:39Z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AA725F5CE31849AAAF5879FA4CC6AA2F_12</vt:lpwstr>
  </property>
</Properties>
</file>