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04614B">
      <w:pPr>
        <w:spacing w:before="146" w:line="229" w:lineRule="auto"/>
        <w:ind w:right="40" w:rightChars="0"/>
        <w:jc w:val="center"/>
        <w:rPr>
          <w:rFonts w:ascii="宋体" w:hAnsi="宋体" w:eastAsia="宋体" w:cs="宋体"/>
          <w:spacing w:val="14"/>
          <w:sz w:val="45"/>
          <w:szCs w:val="45"/>
        </w:rPr>
      </w:pPr>
      <w:r>
        <w:rPr>
          <w:rFonts w:ascii="宋体" w:hAnsi="宋体" w:eastAsia="宋体" w:cs="宋体"/>
          <w:b/>
          <w:bCs/>
          <w:spacing w:val="-14"/>
          <w:sz w:val="45"/>
          <w:szCs w:val="45"/>
        </w:rPr>
        <w:t>《</w:t>
      </w:r>
      <w:r>
        <w:rPr>
          <w:rFonts w:hint="eastAsia" w:ascii="宋体" w:hAnsi="宋体" w:eastAsia="宋体" w:cs="宋体"/>
          <w:b/>
          <w:bCs/>
          <w:spacing w:val="-14"/>
          <w:sz w:val="45"/>
          <w:szCs w:val="45"/>
          <w:lang w:eastAsia="zh-CN"/>
        </w:rPr>
        <w:t>预包装兰州牛肉拉面用萝卜包生产操作规范</w:t>
      </w:r>
      <w:r>
        <w:rPr>
          <w:rFonts w:ascii="宋体" w:hAnsi="宋体" w:eastAsia="宋体" w:cs="宋体"/>
          <w:b/>
          <w:bCs/>
          <w:spacing w:val="-14"/>
          <w:sz w:val="45"/>
          <w:szCs w:val="45"/>
        </w:rPr>
        <w:t>》</w:t>
      </w:r>
    </w:p>
    <w:p w14:paraId="7CDBAD0E">
      <w:pPr>
        <w:spacing w:before="146" w:line="229" w:lineRule="auto"/>
        <w:ind w:right="786"/>
        <w:jc w:val="center"/>
        <w:rPr>
          <w:rFonts w:ascii="宋体" w:hAnsi="宋体" w:eastAsia="宋体" w:cs="宋体"/>
          <w:sz w:val="45"/>
          <w:szCs w:val="45"/>
        </w:rPr>
      </w:pPr>
      <w:r>
        <w:rPr>
          <w:rFonts w:ascii="宋体" w:hAnsi="宋体" w:eastAsia="宋体" w:cs="宋体"/>
          <w:b/>
          <w:bCs/>
          <w:spacing w:val="-9"/>
          <w:sz w:val="45"/>
          <w:szCs w:val="45"/>
        </w:rPr>
        <w:t>编制说明</w:t>
      </w:r>
    </w:p>
    <w:p w14:paraId="26113101">
      <w:pPr>
        <w:spacing w:line="339" w:lineRule="auto"/>
        <w:rPr>
          <w:rFonts w:ascii="Arial"/>
          <w:sz w:val="21"/>
        </w:rPr>
      </w:pPr>
    </w:p>
    <w:p w14:paraId="1D0E1ECA">
      <w:pPr>
        <w:spacing w:line="340" w:lineRule="auto"/>
        <w:rPr>
          <w:rFonts w:ascii="Arial"/>
          <w:sz w:val="21"/>
        </w:rPr>
      </w:pPr>
    </w:p>
    <w:p w14:paraId="0ECADC15">
      <w:pPr>
        <w:spacing w:before="107" w:line="222" w:lineRule="auto"/>
        <w:ind w:left="749"/>
        <w:outlineLvl w:val="6"/>
        <w:rPr>
          <w:rFonts w:ascii="黑体" w:hAnsi="黑体" w:eastAsia="黑体" w:cs="黑体"/>
          <w:sz w:val="33"/>
          <w:szCs w:val="33"/>
        </w:rPr>
      </w:pPr>
      <w:r>
        <w:rPr>
          <w:rFonts w:ascii="黑体" w:hAnsi="黑体" w:eastAsia="黑体" w:cs="黑体"/>
          <w:b/>
          <w:bCs/>
          <w:spacing w:val="-13"/>
          <w:sz w:val="33"/>
          <w:szCs w:val="33"/>
        </w:rPr>
        <w:t>一、工作简况</w:t>
      </w:r>
    </w:p>
    <w:p w14:paraId="628266FE">
      <w:pPr>
        <w:spacing w:before="175" w:line="224" w:lineRule="auto"/>
        <w:ind w:left="884"/>
        <w:rPr>
          <w:rFonts w:ascii="楷体" w:hAnsi="楷体" w:eastAsia="楷体" w:cs="楷体"/>
          <w:sz w:val="33"/>
          <w:szCs w:val="33"/>
        </w:rPr>
      </w:pPr>
      <w:r>
        <w:rPr>
          <w:rFonts w:ascii="楷体" w:hAnsi="楷体" w:eastAsia="楷体" w:cs="楷体"/>
          <w:spacing w:val="16"/>
          <w:sz w:val="33"/>
          <w:szCs w:val="33"/>
        </w:rPr>
        <w:t>(一)任务来源</w:t>
      </w:r>
    </w:p>
    <w:p w14:paraId="5D265480">
      <w:pPr>
        <w:pStyle w:val="2"/>
        <w:spacing w:before="198" w:line="322" w:lineRule="auto"/>
        <w:ind w:left="94" w:right="60" w:rightChars="0" w:firstLine="650"/>
        <w:rPr>
          <w:sz w:val="33"/>
          <w:szCs w:val="33"/>
        </w:rPr>
      </w:pPr>
      <w:r>
        <w:rPr>
          <w:rFonts w:hint="eastAsia"/>
          <w:spacing w:val="-12"/>
          <w:sz w:val="33"/>
          <w:szCs w:val="33"/>
          <w:lang w:eastAsia="zh-CN"/>
        </w:rPr>
        <w:t>以《兰州牛肉拉面产业高质量发展三年(2024-2026年)行动方案》为指导，为更好带动预包装牛肉拉面产业规模化、标准化、现代化发展，</w:t>
      </w:r>
      <w:r>
        <w:rPr>
          <w:spacing w:val="-5"/>
          <w:sz w:val="33"/>
          <w:szCs w:val="33"/>
        </w:rPr>
        <w:t>制定《</w:t>
      </w:r>
      <w:r>
        <w:rPr>
          <w:rFonts w:hint="eastAsia"/>
          <w:spacing w:val="-5"/>
          <w:sz w:val="33"/>
          <w:szCs w:val="33"/>
          <w:lang w:eastAsia="zh-CN"/>
        </w:rPr>
        <w:t>预包装兰州牛肉拉面用萝卜包生产操作规范</w:t>
      </w:r>
      <w:r>
        <w:rPr>
          <w:spacing w:val="-5"/>
          <w:sz w:val="33"/>
          <w:szCs w:val="33"/>
        </w:rPr>
        <w:t>》;地方标准制</w:t>
      </w:r>
      <w:r>
        <w:rPr>
          <w:spacing w:val="-6"/>
          <w:sz w:val="33"/>
          <w:szCs w:val="33"/>
        </w:rPr>
        <w:t>订项</w:t>
      </w:r>
      <w:r>
        <w:rPr>
          <w:spacing w:val="-12"/>
          <w:sz w:val="33"/>
          <w:szCs w:val="33"/>
        </w:rPr>
        <w:t>目名称：</w:t>
      </w:r>
      <w:r>
        <w:rPr>
          <w:rFonts w:hint="eastAsia"/>
          <w:spacing w:val="-5"/>
          <w:sz w:val="33"/>
          <w:szCs w:val="33"/>
          <w:lang w:eastAsia="zh-CN"/>
        </w:rPr>
        <w:t>预包装兰州牛肉拉面用萝卜包生产操作规范</w:t>
      </w:r>
      <w:r>
        <w:rPr>
          <w:spacing w:val="-12"/>
          <w:sz w:val="33"/>
          <w:szCs w:val="33"/>
        </w:rPr>
        <w:t>；标准性质：推荐</w:t>
      </w:r>
      <w:r>
        <w:rPr>
          <w:spacing w:val="-14"/>
          <w:sz w:val="33"/>
          <w:szCs w:val="33"/>
        </w:rPr>
        <w:t>性标准。</w:t>
      </w:r>
    </w:p>
    <w:p w14:paraId="47E52B6C">
      <w:pPr>
        <w:spacing w:before="69" w:line="225" w:lineRule="auto"/>
        <w:ind w:left="884"/>
        <w:rPr>
          <w:rFonts w:ascii="楷体" w:hAnsi="楷体" w:eastAsia="楷体" w:cs="楷体"/>
          <w:sz w:val="33"/>
          <w:szCs w:val="33"/>
        </w:rPr>
      </w:pPr>
      <w:r>
        <w:rPr>
          <w:rFonts w:ascii="楷体" w:hAnsi="楷体" w:eastAsia="楷体" w:cs="楷体"/>
          <w:spacing w:val="13"/>
          <w:sz w:val="33"/>
          <w:szCs w:val="33"/>
        </w:rPr>
        <w:t>(二)起草单位</w:t>
      </w:r>
    </w:p>
    <w:p w14:paraId="5F6B1C62">
      <w:pPr>
        <w:pStyle w:val="2"/>
        <w:spacing w:before="217" w:line="222" w:lineRule="auto"/>
        <w:ind w:left="745"/>
        <w:rPr>
          <w:rFonts w:hint="eastAsia" w:eastAsia="仿宋"/>
          <w:sz w:val="33"/>
          <w:szCs w:val="33"/>
          <w:lang w:eastAsia="zh-CN"/>
        </w:rPr>
      </w:pPr>
      <w:r>
        <w:rPr>
          <w:rFonts w:hint="eastAsia"/>
          <w:sz w:val="33"/>
          <w:szCs w:val="33"/>
        </w:rPr>
        <w:t>甘肃陇萃堂营养保健食品股份有限公司</w:t>
      </w:r>
      <w:r>
        <w:rPr>
          <w:rFonts w:hint="eastAsia"/>
          <w:sz w:val="33"/>
          <w:szCs w:val="33"/>
          <w:lang w:eastAsia="zh-CN"/>
        </w:rPr>
        <w:t>。</w:t>
      </w:r>
    </w:p>
    <w:p w14:paraId="212E758A">
      <w:pPr>
        <w:spacing w:before="180" w:line="223" w:lineRule="auto"/>
        <w:ind w:left="884"/>
        <w:rPr>
          <w:rFonts w:ascii="楷体" w:hAnsi="楷体" w:eastAsia="楷体" w:cs="楷体"/>
          <w:sz w:val="33"/>
          <w:szCs w:val="33"/>
        </w:rPr>
      </w:pPr>
      <w:r>
        <w:rPr>
          <w:rFonts w:ascii="楷体" w:hAnsi="楷体" w:eastAsia="楷体" w:cs="楷体"/>
          <w:spacing w:val="13"/>
          <w:sz w:val="33"/>
          <w:szCs w:val="33"/>
        </w:rPr>
        <w:t>(三)协作单位</w:t>
      </w:r>
    </w:p>
    <w:p w14:paraId="69B5CFCE">
      <w:pPr>
        <w:pStyle w:val="2"/>
        <w:spacing w:before="188" w:line="326" w:lineRule="auto"/>
        <w:ind w:left="94" w:right="137" w:firstLine="650"/>
        <w:rPr>
          <w:rFonts w:hint="eastAsia" w:eastAsia="仿宋"/>
          <w:sz w:val="33"/>
          <w:szCs w:val="33"/>
          <w:lang w:eastAsia="zh-CN"/>
        </w:rPr>
      </w:pPr>
      <w:r>
        <w:rPr>
          <w:rFonts w:hint="eastAsia"/>
          <w:spacing w:val="-11"/>
          <w:sz w:val="33"/>
          <w:szCs w:val="33"/>
        </w:rPr>
        <w:t>甘肃陇萃堂营养保健食品股份有限公司、兰州嘻烧食品科技有限公司、兰州理工大学、兰州市牛肉拉面预包装产业发展协会、兰州牛肉拉面行业协会</w:t>
      </w:r>
      <w:r>
        <w:rPr>
          <w:rFonts w:hint="eastAsia"/>
          <w:spacing w:val="-11"/>
          <w:sz w:val="33"/>
          <w:szCs w:val="33"/>
          <w:lang w:eastAsia="zh-CN"/>
        </w:rPr>
        <w:t>、</w:t>
      </w:r>
      <w:r>
        <w:rPr>
          <w:spacing w:val="-11"/>
          <w:sz w:val="33"/>
          <w:szCs w:val="33"/>
        </w:rPr>
        <w:t>兰州市标准化研究所</w:t>
      </w:r>
      <w:r>
        <w:rPr>
          <w:rFonts w:hint="eastAsia"/>
          <w:spacing w:val="-11"/>
          <w:sz w:val="33"/>
          <w:szCs w:val="33"/>
          <w:lang w:eastAsia="zh-CN"/>
        </w:rPr>
        <w:t>。</w:t>
      </w:r>
    </w:p>
    <w:p w14:paraId="21493CCB">
      <w:pPr>
        <w:spacing w:before="34" w:line="227" w:lineRule="auto"/>
        <w:ind w:left="884"/>
        <w:rPr>
          <w:rFonts w:ascii="楷体" w:hAnsi="楷体" w:eastAsia="楷体" w:cs="楷体"/>
          <w:sz w:val="33"/>
          <w:szCs w:val="33"/>
        </w:rPr>
      </w:pPr>
      <w:r>
        <w:rPr>
          <w:rFonts w:ascii="楷体" w:hAnsi="楷体" w:eastAsia="楷体" w:cs="楷体"/>
          <w:spacing w:val="29"/>
          <w:sz w:val="33"/>
          <w:szCs w:val="33"/>
        </w:rPr>
        <w:t>(四)主要起草人(见表1)</w:t>
      </w:r>
    </w:p>
    <w:p w14:paraId="20E83C3B">
      <w:pPr>
        <w:spacing w:before="235" w:line="219" w:lineRule="auto"/>
        <w:ind w:left="2975"/>
        <w:rPr>
          <w:rFonts w:ascii="宋体" w:hAnsi="宋体" w:eastAsia="宋体" w:cs="宋体"/>
          <w:sz w:val="30"/>
          <w:szCs w:val="30"/>
        </w:rPr>
      </w:pPr>
      <w:r>
        <w:rPr>
          <w:rFonts w:ascii="宋体" w:hAnsi="宋体" w:eastAsia="宋体" w:cs="宋体"/>
          <w:spacing w:val="2"/>
          <w:sz w:val="30"/>
          <w:szCs w:val="30"/>
        </w:rPr>
        <w:t>表1主要起草人信息</w:t>
      </w:r>
    </w:p>
    <w:p w14:paraId="57BD38BB">
      <w:pPr>
        <w:spacing w:line="16" w:lineRule="exact"/>
      </w:pPr>
    </w:p>
    <w:tbl>
      <w:tblPr>
        <w:tblStyle w:val="7"/>
        <w:tblW w:w="851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3"/>
        <w:gridCol w:w="899"/>
        <w:gridCol w:w="1918"/>
        <w:gridCol w:w="2797"/>
        <w:gridCol w:w="1693"/>
      </w:tblGrid>
      <w:tr w14:paraId="5B3A6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203" w:type="dxa"/>
            <w:tcBorders>
              <w:bottom w:val="single" w:color="000000" w:sz="2" w:space="0"/>
            </w:tcBorders>
            <w:vAlign w:val="top"/>
          </w:tcPr>
          <w:p w14:paraId="5E53B623">
            <w:pPr>
              <w:pStyle w:val="8"/>
              <w:spacing w:before="236" w:line="219" w:lineRule="auto"/>
              <w:ind w:left="325"/>
              <w:jc w:val="center"/>
            </w:pPr>
            <w:r>
              <w:rPr>
                <w:spacing w:val="17"/>
              </w:rPr>
              <w:t>姓名</w:t>
            </w:r>
          </w:p>
        </w:tc>
        <w:tc>
          <w:tcPr>
            <w:tcW w:w="899" w:type="dxa"/>
            <w:tcBorders>
              <w:bottom w:val="single" w:color="000000" w:sz="2" w:space="0"/>
            </w:tcBorders>
            <w:vAlign w:val="top"/>
          </w:tcPr>
          <w:p w14:paraId="2BEE3786">
            <w:pPr>
              <w:pStyle w:val="8"/>
              <w:spacing w:before="237" w:line="220" w:lineRule="auto"/>
              <w:ind w:left="171"/>
              <w:jc w:val="center"/>
            </w:pPr>
            <w:r>
              <w:rPr>
                <w:spacing w:val="11"/>
              </w:rPr>
              <w:t>性别</w:t>
            </w:r>
          </w:p>
        </w:tc>
        <w:tc>
          <w:tcPr>
            <w:tcW w:w="1918" w:type="dxa"/>
            <w:tcBorders>
              <w:bottom w:val="single" w:color="000000" w:sz="2" w:space="0"/>
            </w:tcBorders>
            <w:vAlign w:val="top"/>
          </w:tcPr>
          <w:p w14:paraId="17ECE828">
            <w:pPr>
              <w:pStyle w:val="8"/>
              <w:spacing w:before="236" w:line="219" w:lineRule="auto"/>
              <w:ind w:left="343"/>
              <w:jc w:val="center"/>
            </w:pPr>
            <w:r>
              <w:rPr>
                <w:spacing w:val="1"/>
              </w:rPr>
              <w:t>职务/职称</w:t>
            </w:r>
          </w:p>
        </w:tc>
        <w:tc>
          <w:tcPr>
            <w:tcW w:w="2797" w:type="dxa"/>
            <w:tcBorders>
              <w:bottom w:val="single" w:color="000000" w:sz="2" w:space="0"/>
            </w:tcBorders>
            <w:vAlign w:val="top"/>
          </w:tcPr>
          <w:p w14:paraId="05F7F82D">
            <w:pPr>
              <w:pStyle w:val="8"/>
              <w:spacing w:before="227" w:line="220" w:lineRule="auto"/>
              <w:ind w:left="855"/>
              <w:jc w:val="center"/>
            </w:pPr>
            <w:r>
              <w:rPr>
                <w:spacing w:val="2"/>
              </w:rPr>
              <w:t>工作单位</w:t>
            </w:r>
          </w:p>
        </w:tc>
        <w:tc>
          <w:tcPr>
            <w:tcW w:w="1693" w:type="dxa"/>
            <w:tcBorders>
              <w:bottom w:val="single" w:color="000000" w:sz="2" w:space="0"/>
            </w:tcBorders>
            <w:vAlign w:val="top"/>
          </w:tcPr>
          <w:p w14:paraId="15105BF4">
            <w:pPr>
              <w:pStyle w:val="8"/>
              <w:spacing w:before="236" w:line="219" w:lineRule="auto"/>
              <w:ind w:left="298"/>
              <w:jc w:val="center"/>
            </w:pPr>
            <w:r>
              <w:rPr>
                <w:spacing w:val="3"/>
              </w:rPr>
              <w:t>任务分工</w:t>
            </w:r>
          </w:p>
        </w:tc>
      </w:tr>
      <w:tr w14:paraId="6AAA58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203" w:type="dxa"/>
            <w:tcBorders>
              <w:top w:val="single" w:color="000000" w:sz="2" w:space="0"/>
            </w:tcBorders>
            <w:vAlign w:val="top"/>
          </w:tcPr>
          <w:p w14:paraId="105695C9">
            <w:pPr>
              <w:pStyle w:val="8"/>
              <w:spacing w:before="228" w:line="220" w:lineRule="auto"/>
              <w:ind w:left="184"/>
              <w:jc w:val="center"/>
              <w:rPr>
                <w:rFonts w:hint="default" w:eastAsia="宋体"/>
                <w:lang w:val="en-US" w:eastAsia="zh-CN"/>
              </w:rPr>
            </w:pPr>
            <w:r>
              <w:rPr>
                <w:rFonts w:hint="eastAsia"/>
                <w:lang w:val="en-US" w:eastAsia="zh-CN"/>
              </w:rPr>
              <w:t>姜交龙</w:t>
            </w:r>
          </w:p>
        </w:tc>
        <w:tc>
          <w:tcPr>
            <w:tcW w:w="899" w:type="dxa"/>
            <w:tcBorders>
              <w:top w:val="single" w:color="000000" w:sz="2" w:space="0"/>
            </w:tcBorders>
            <w:vAlign w:val="top"/>
          </w:tcPr>
          <w:p w14:paraId="5021E9FF">
            <w:pPr>
              <w:pStyle w:val="8"/>
              <w:spacing w:before="237" w:line="220" w:lineRule="auto"/>
              <w:ind w:left="302"/>
              <w:jc w:val="center"/>
            </w:pPr>
            <w:r>
              <w:t>男</w:t>
            </w:r>
          </w:p>
        </w:tc>
        <w:tc>
          <w:tcPr>
            <w:tcW w:w="1918" w:type="dxa"/>
            <w:tcBorders>
              <w:top w:val="single" w:color="000000" w:sz="2" w:space="0"/>
            </w:tcBorders>
            <w:vAlign w:val="top"/>
          </w:tcPr>
          <w:p w14:paraId="468A4FFD">
            <w:pPr>
              <w:pStyle w:val="8"/>
              <w:spacing w:before="227" w:line="219" w:lineRule="auto"/>
              <w:ind w:left="543"/>
              <w:jc w:val="center"/>
              <w:rPr>
                <w:rFonts w:hint="eastAsia" w:eastAsia="宋体"/>
                <w:lang w:eastAsia="zh-CN"/>
              </w:rPr>
            </w:pPr>
            <w:r>
              <w:rPr>
                <w:rFonts w:hint="eastAsia"/>
                <w:spacing w:val="4"/>
                <w:lang w:eastAsia="zh-CN"/>
              </w:rPr>
              <w:t>总工程师</w:t>
            </w:r>
          </w:p>
        </w:tc>
        <w:tc>
          <w:tcPr>
            <w:tcW w:w="2797" w:type="dxa"/>
            <w:tcBorders>
              <w:top w:val="single" w:color="000000" w:sz="2" w:space="0"/>
            </w:tcBorders>
            <w:vAlign w:val="top"/>
          </w:tcPr>
          <w:p w14:paraId="2ADA62E6">
            <w:pPr>
              <w:pStyle w:val="8"/>
              <w:spacing w:before="225" w:line="219" w:lineRule="auto"/>
              <w:ind w:left="314"/>
              <w:jc w:val="center"/>
              <w:rPr>
                <w:rFonts w:hint="eastAsia" w:eastAsia="宋体"/>
                <w:lang w:eastAsia="zh-CN"/>
              </w:rPr>
            </w:pPr>
            <w:r>
              <w:rPr>
                <w:rFonts w:hint="eastAsia"/>
                <w:spacing w:val="3"/>
                <w:lang w:eastAsia="zh-CN"/>
              </w:rPr>
              <w:t>甘肃陇萃堂营养保健食品股份有限公司</w:t>
            </w:r>
          </w:p>
        </w:tc>
        <w:tc>
          <w:tcPr>
            <w:tcW w:w="1693" w:type="dxa"/>
            <w:tcBorders>
              <w:top w:val="single" w:color="000000" w:sz="2" w:space="0"/>
            </w:tcBorders>
            <w:vAlign w:val="top"/>
          </w:tcPr>
          <w:p w14:paraId="1D41E29C">
            <w:pPr>
              <w:pStyle w:val="8"/>
              <w:spacing w:before="262" w:line="220" w:lineRule="auto"/>
              <w:ind w:left="567"/>
              <w:jc w:val="center"/>
            </w:pPr>
            <w:r>
              <w:rPr>
                <w:spacing w:val="6"/>
              </w:rPr>
              <w:t>组长</w:t>
            </w:r>
          </w:p>
        </w:tc>
      </w:tr>
      <w:tr w14:paraId="26C6B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203" w:type="dxa"/>
            <w:vAlign w:val="top"/>
          </w:tcPr>
          <w:p w14:paraId="6DF05C24">
            <w:pPr>
              <w:pStyle w:val="8"/>
              <w:spacing w:before="233" w:line="219" w:lineRule="auto"/>
              <w:ind w:left="184"/>
              <w:jc w:val="center"/>
              <w:rPr>
                <w:rFonts w:hint="eastAsia" w:eastAsia="宋体"/>
                <w:lang w:eastAsia="zh-CN"/>
              </w:rPr>
            </w:pPr>
            <w:r>
              <w:rPr>
                <w:rFonts w:hint="eastAsia"/>
                <w:spacing w:val="3"/>
                <w:lang w:eastAsia="zh-CN"/>
              </w:rPr>
              <w:t>蔡菊香</w:t>
            </w:r>
          </w:p>
        </w:tc>
        <w:tc>
          <w:tcPr>
            <w:tcW w:w="899" w:type="dxa"/>
            <w:vAlign w:val="top"/>
          </w:tcPr>
          <w:p w14:paraId="5F5BC5AB">
            <w:pPr>
              <w:pStyle w:val="8"/>
              <w:spacing w:before="244" w:line="220" w:lineRule="auto"/>
              <w:ind w:left="302"/>
              <w:jc w:val="center"/>
            </w:pPr>
            <w:r>
              <w:t>女</w:t>
            </w:r>
          </w:p>
        </w:tc>
        <w:tc>
          <w:tcPr>
            <w:tcW w:w="1918" w:type="dxa"/>
            <w:vAlign w:val="top"/>
          </w:tcPr>
          <w:p w14:paraId="0A787E6C">
            <w:pPr>
              <w:pStyle w:val="8"/>
              <w:spacing w:before="223" w:line="219" w:lineRule="auto"/>
              <w:ind w:left="543"/>
              <w:jc w:val="center"/>
              <w:rPr>
                <w:rFonts w:hint="eastAsia" w:eastAsia="宋体"/>
                <w:lang w:eastAsia="zh-CN"/>
              </w:rPr>
            </w:pPr>
            <w:r>
              <w:rPr>
                <w:rFonts w:hint="eastAsia"/>
                <w:spacing w:val="3"/>
                <w:lang w:eastAsia="zh-CN"/>
              </w:rPr>
              <w:t>研发主管</w:t>
            </w:r>
          </w:p>
        </w:tc>
        <w:tc>
          <w:tcPr>
            <w:tcW w:w="2797" w:type="dxa"/>
            <w:vAlign w:val="top"/>
          </w:tcPr>
          <w:p w14:paraId="1A2C2192">
            <w:pPr>
              <w:pStyle w:val="8"/>
              <w:spacing w:before="231" w:line="219" w:lineRule="auto"/>
              <w:ind w:left="314"/>
              <w:jc w:val="center"/>
            </w:pPr>
            <w:r>
              <w:rPr>
                <w:rFonts w:hint="eastAsia"/>
                <w:spacing w:val="3"/>
                <w:lang w:eastAsia="zh-CN"/>
              </w:rPr>
              <w:t>甘肃陇萃堂营养保健食品股份有限公司</w:t>
            </w:r>
          </w:p>
        </w:tc>
        <w:tc>
          <w:tcPr>
            <w:tcW w:w="1693" w:type="dxa"/>
            <w:vAlign w:val="top"/>
          </w:tcPr>
          <w:p w14:paraId="6B00788F">
            <w:pPr>
              <w:pStyle w:val="8"/>
              <w:spacing w:before="173" w:line="219" w:lineRule="auto"/>
              <w:ind w:left="437"/>
              <w:jc w:val="center"/>
            </w:pPr>
            <w:r>
              <w:rPr>
                <w:spacing w:val="4"/>
              </w:rPr>
              <w:t>副组长</w:t>
            </w:r>
          </w:p>
        </w:tc>
      </w:tr>
      <w:tr w14:paraId="1F8C0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203" w:type="dxa"/>
            <w:vAlign w:val="top"/>
          </w:tcPr>
          <w:p w14:paraId="550589E8">
            <w:pPr>
              <w:pStyle w:val="8"/>
              <w:spacing w:before="255" w:line="219" w:lineRule="auto"/>
              <w:ind w:firstLine="280" w:firstLineChars="100"/>
              <w:jc w:val="both"/>
              <w:rPr>
                <w:rFonts w:hint="eastAsia" w:eastAsia="宋体"/>
                <w:lang w:eastAsia="zh-CN"/>
              </w:rPr>
            </w:pPr>
            <w:r>
              <w:rPr>
                <w:rFonts w:hint="eastAsia"/>
                <w:spacing w:val="5"/>
                <w:lang w:eastAsia="zh-CN"/>
              </w:rPr>
              <w:t>杨文英</w:t>
            </w:r>
          </w:p>
        </w:tc>
        <w:tc>
          <w:tcPr>
            <w:tcW w:w="899" w:type="dxa"/>
            <w:vAlign w:val="top"/>
          </w:tcPr>
          <w:p w14:paraId="14CAB1C6">
            <w:pPr>
              <w:pStyle w:val="8"/>
              <w:spacing w:before="235" w:line="219" w:lineRule="auto"/>
              <w:ind w:left="302"/>
              <w:jc w:val="center"/>
            </w:pPr>
            <w:r>
              <w:t>女</w:t>
            </w:r>
          </w:p>
        </w:tc>
        <w:tc>
          <w:tcPr>
            <w:tcW w:w="1918" w:type="dxa"/>
            <w:vAlign w:val="top"/>
          </w:tcPr>
          <w:p w14:paraId="23E1AA8F">
            <w:pPr>
              <w:pStyle w:val="8"/>
              <w:spacing w:before="243" w:line="219" w:lineRule="auto"/>
              <w:ind w:left="682"/>
              <w:jc w:val="center"/>
            </w:pPr>
            <w:r>
              <w:rPr>
                <w:rFonts w:hint="eastAsia"/>
                <w:spacing w:val="3"/>
                <w:lang w:eastAsia="zh-CN"/>
              </w:rPr>
              <w:t>研发主管</w:t>
            </w:r>
          </w:p>
        </w:tc>
        <w:tc>
          <w:tcPr>
            <w:tcW w:w="2797" w:type="dxa"/>
            <w:vAlign w:val="top"/>
          </w:tcPr>
          <w:p w14:paraId="188342A2">
            <w:pPr>
              <w:pStyle w:val="8"/>
              <w:spacing w:before="253" w:line="219" w:lineRule="auto"/>
              <w:ind w:left="314"/>
              <w:jc w:val="center"/>
            </w:pPr>
            <w:r>
              <w:rPr>
                <w:rFonts w:hint="eastAsia"/>
                <w:spacing w:val="3"/>
                <w:lang w:eastAsia="zh-CN"/>
              </w:rPr>
              <w:t>甘肃陇萃堂营养保健食品股份有限公司</w:t>
            </w:r>
          </w:p>
        </w:tc>
        <w:tc>
          <w:tcPr>
            <w:tcW w:w="1693" w:type="dxa"/>
            <w:vAlign w:val="top"/>
          </w:tcPr>
          <w:p w14:paraId="76A564BC">
            <w:pPr>
              <w:pStyle w:val="8"/>
              <w:spacing w:before="235" w:line="219" w:lineRule="auto"/>
              <w:ind w:left="437"/>
              <w:jc w:val="center"/>
            </w:pPr>
            <w:r>
              <w:rPr>
                <w:spacing w:val="4"/>
              </w:rPr>
              <w:t>副组长</w:t>
            </w:r>
          </w:p>
        </w:tc>
      </w:tr>
      <w:tr w14:paraId="2EC88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203" w:type="dxa"/>
            <w:vAlign w:val="top"/>
          </w:tcPr>
          <w:p w14:paraId="2B853F49">
            <w:pPr>
              <w:pStyle w:val="8"/>
              <w:spacing w:before="239" w:line="220" w:lineRule="auto"/>
              <w:ind w:left="184"/>
              <w:jc w:val="center"/>
            </w:pPr>
            <w:r>
              <w:rPr>
                <w:spacing w:val="3"/>
              </w:rPr>
              <w:t>李雪华</w:t>
            </w:r>
          </w:p>
        </w:tc>
        <w:tc>
          <w:tcPr>
            <w:tcW w:w="899" w:type="dxa"/>
            <w:vAlign w:val="top"/>
          </w:tcPr>
          <w:p w14:paraId="6E5754FE">
            <w:pPr>
              <w:pStyle w:val="8"/>
              <w:spacing w:before="248" w:line="219" w:lineRule="auto"/>
              <w:ind w:left="302"/>
              <w:jc w:val="center"/>
            </w:pPr>
            <w:r>
              <w:t>女</w:t>
            </w:r>
          </w:p>
        </w:tc>
        <w:tc>
          <w:tcPr>
            <w:tcW w:w="1918" w:type="dxa"/>
            <w:vAlign w:val="top"/>
          </w:tcPr>
          <w:p w14:paraId="757A0790">
            <w:pPr>
              <w:pStyle w:val="8"/>
              <w:spacing w:before="259" w:line="220" w:lineRule="auto"/>
              <w:ind w:left="682"/>
              <w:jc w:val="center"/>
            </w:pPr>
            <w:r>
              <w:rPr>
                <w:spacing w:val="6"/>
              </w:rPr>
              <w:t>所长</w:t>
            </w:r>
          </w:p>
        </w:tc>
        <w:tc>
          <w:tcPr>
            <w:tcW w:w="2797" w:type="dxa"/>
            <w:vAlign w:val="top"/>
          </w:tcPr>
          <w:p w14:paraId="751F4210">
            <w:pPr>
              <w:pStyle w:val="8"/>
              <w:spacing w:before="246" w:line="219" w:lineRule="auto"/>
              <w:ind w:left="174"/>
              <w:jc w:val="center"/>
            </w:pPr>
            <w:r>
              <w:rPr>
                <w:spacing w:val="-2"/>
              </w:rPr>
              <w:t>兰州市标准化研究所</w:t>
            </w:r>
          </w:p>
        </w:tc>
        <w:tc>
          <w:tcPr>
            <w:tcW w:w="1693" w:type="dxa"/>
            <w:vAlign w:val="top"/>
          </w:tcPr>
          <w:p w14:paraId="5D5E3D98">
            <w:pPr>
              <w:pStyle w:val="8"/>
              <w:spacing w:before="259" w:line="221" w:lineRule="auto"/>
              <w:ind w:left="567"/>
              <w:jc w:val="center"/>
            </w:pPr>
            <w:r>
              <w:rPr>
                <w:spacing w:val="18"/>
              </w:rPr>
              <w:t>组员</w:t>
            </w:r>
          </w:p>
        </w:tc>
      </w:tr>
      <w:tr w14:paraId="4BCE71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1203" w:type="dxa"/>
            <w:vAlign w:val="top"/>
          </w:tcPr>
          <w:p w14:paraId="20106574">
            <w:pPr>
              <w:pStyle w:val="8"/>
              <w:spacing w:before="230" w:line="219" w:lineRule="auto"/>
              <w:ind w:left="184"/>
              <w:jc w:val="center"/>
            </w:pPr>
            <w:r>
              <w:rPr>
                <w:spacing w:val="4"/>
              </w:rPr>
              <w:t>缪配霞</w:t>
            </w:r>
          </w:p>
        </w:tc>
        <w:tc>
          <w:tcPr>
            <w:tcW w:w="899" w:type="dxa"/>
            <w:vAlign w:val="top"/>
          </w:tcPr>
          <w:p w14:paraId="4D86C78E">
            <w:pPr>
              <w:pStyle w:val="8"/>
              <w:spacing w:before="259" w:line="215" w:lineRule="auto"/>
              <w:ind w:left="302"/>
              <w:jc w:val="center"/>
            </w:pPr>
            <w:r>
              <w:t>女</w:t>
            </w:r>
          </w:p>
        </w:tc>
        <w:tc>
          <w:tcPr>
            <w:tcW w:w="1918" w:type="dxa"/>
            <w:vAlign w:val="top"/>
          </w:tcPr>
          <w:p w14:paraId="1A6B44EE">
            <w:pPr>
              <w:pStyle w:val="8"/>
              <w:spacing w:before="248" w:line="219" w:lineRule="auto"/>
              <w:ind w:left="682"/>
              <w:jc w:val="center"/>
            </w:pPr>
            <w:r>
              <w:rPr>
                <w:spacing w:val="6"/>
              </w:rPr>
              <w:t>科长</w:t>
            </w:r>
          </w:p>
        </w:tc>
        <w:tc>
          <w:tcPr>
            <w:tcW w:w="2797" w:type="dxa"/>
            <w:vAlign w:val="top"/>
          </w:tcPr>
          <w:p w14:paraId="7D734C37">
            <w:pPr>
              <w:pStyle w:val="8"/>
              <w:spacing w:before="228" w:line="219" w:lineRule="auto"/>
              <w:ind w:left="174"/>
              <w:jc w:val="center"/>
            </w:pPr>
            <w:r>
              <w:rPr>
                <w:spacing w:val="-2"/>
              </w:rPr>
              <w:t>兰州市标准化研究所</w:t>
            </w:r>
          </w:p>
        </w:tc>
        <w:tc>
          <w:tcPr>
            <w:tcW w:w="1693" w:type="dxa"/>
            <w:vAlign w:val="top"/>
          </w:tcPr>
          <w:p w14:paraId="1DAEFFB6">
            <w:pPr>
              <w:pStyle w:val="8"/>
              <w:spacing w:before="252" w:line="220" w:lineRule="auto"/>
              <w:ind w:left="567"/>
              <w:jc w:val="center"/>
            </w:pPr>
            <w:r>
              <w:rPr>
                <w:spacing w:val="18"/>
              </w:rPr>
              <w:t>组员</w:t>
            </w:r>
          </w:p>
        </w:tc>
      </w:tr>
    </w:tbl>
    <w:p w14:paraId="4614ED9E">
      <w:pPr>
        <w:keepNext w:val="0"/>
        <w:keepLines w:val="0"/>
        <w:pageBreakBefore w:val="0"/>
        <w:widowControl/>
        <w:kinsoku w:val="0"/>
        <w:wordWrap/>
        <w:overflowPunct/>
        <w:topLinePunct w:val="0"/>
        <w:autoSpaceDE w:val="0"/>
        <w:autoSpaceDN w:val="0"/>
        <w:bidi w:val="0"/>
        <w:adjustRightInd w:val="0"/>
        <w:snapToGrid w:val="0"/>
        <w:spacing w:before="180" w:line="332" w:lineRule="auto"/>
        <w:textAlignment w:val="baseline"/>
        <w:outlineLvl w:val="6"/>
        <w:rPr>
          <w:rFonts w:ascii="黑体" w:hAnsi="黑体" w:eastAsia="黑体" w:cs="黑体"/>
          <w:sz w:val="32"/>
          <w:szCs w:val="32"/>
        </w:rPr>
      </w:pPr>
      <w:r>
        <w:rPr>
          <w:rFonts w:ascii="黑体" w:hAnsi="黑体" w:eastAsia="黑体" w:cs="黑体"/>
          <w:b/>
          <w:bCs/>
          <w:spacing w:val="-6"/>
          <w:sz w:val="32"/>
          <w:szCs w:val="32"/>
        </w:rPr>
        <w:t>二、标准编制的目的和意义</w:t>
      </w:r>
    </w:p>
    <w:p w14:paraId="3B092891">
      <w:pPr>
        <w:pStyle w:val="2"/>
        <w:keepNext w:val="0"/>
        <w:keepLines w:val="0"/>
        <w:pageBreakBefore w:val="0"/>
        <w:widowControl/>
        <w:kinsoku w:val="0"/>
        <w:wordWrap/>
        <w:overflowPunct/>
        <w:topLinePunct w:val="0"/>
        <w:autoSpaceDE w:val="0"/>
        <w:autoSpaceDN w:val="0"/>
        <w:bidi w:val="0"/>
        <w:adjustRightInd w:val="0"/>
        <w:snapToGrid w:val="0"/>
        <w:spacing w:line="332" w:lineRule="auto"/>
        <w:ind w:left="0" w:right="0" w:firstLine="644" w:firstLineChars="200"/>
        <w:jc w:val="both"/>
        <w:textAlignment w:val="baseline"/>
        <w:rPr>
          <w:rFonts w:hint="eastAsia"/>
          <w:spacing w:val="-3"/>
          <w:sz w:val="33"/>
          <w:szCs w:val="32"/>
          <w:lang w:val="en-US" w:eastAsia="zh-CN"/>
        </w:rPr>
      </w:pPr>
      <w:r>
        <w:rPr>
          <w:spacing w:val="-4"/>
          <w:sz w:val="33"/>
          <w:szCs w:val="32"/>
        </w:rPr>
        <w:t>为深入贯彻落实</w:t>
      </w:r>
      <w:r>
        <w:rPr>
          <w:rFonts w:hint="eastAsia"/>
          <w:spacing w:val="-12"/>
          <w:sz w:val="33"/>
          <w:szCs w:val="32"/>
          <w:lang w:eastAsia="zh-CN"/>
        </w:rPr>
        <w:t>《兰州牛肉拉面产业高质量发展三年(2024-2026年)行动方案》</w:t>
      </w:r>
      <w:r>
        <w:rPr>
          <w:spacing w:val="-3"/>
          <w:sz w:val="33"/>
          <w:szCs w:val="32"/>
        </w:rPr>
        <w:t>的精神，</w:t>
      </w:r>
      <w:r>
        <w:rPr>
          <w:rFonts w:hint="eastAsia"/>
          <w:spacing w:val="-3"/>
          <w:sz w:val="33"/>
          <w:szCs w:val="32"/>
        </w:rPr>
        <w:t>促进预包装兰州牛肉拉面产业的健康、有序发展，推动产业升级</w:t>
      </w:r>
      <w:r>
        <w:rPr>
          <w:rFonts w:hint="eastAsia"/>
          <w:spacing w:val="-3"/>
          <w:sz w:val="33"/>
          <w:szCs w:val="32"/>
          <w:lang w:eastAsia="zh-CN"/>
        </w:rPr>
        <w:t>，特制订《</w:t>
      </w:r>
      <w:r>
        <w:rPr>
          <w:rFonts w:hint="eastAsia"/>
          <w:spacing w:val="-5"/>
          <w:sz w:val="33"/>
          <w:szCs w:val="32"/>
          <w:lang w:eastAsia="zh-CN"/>
        </w:rPr>
        <w:t>预包装兰州牛肉拉面用萝卜包生产操作规范</w:t>
      </w:r>
      <w:r>
        <w:rPr>
          <w:rFonts w:hint="eastAsia"/>
          <w:spacing w:val="-3"/>
          <w:sz w:val="33"/>
          <w:szCs w:val="32"/>
          <w:lang w:eastAsia="zh-CN"/>
        </w:rPr>
        <w:t>》地方标准。</w:t>
      </w:r>
      <w:r>
        <w:rPr>
          <w:rFonts w:hint="eastAsia"/>
          <w:spacing w:val="-3"/>
          <w:sz w:val="33"/>
          <w:szCs w:val="32"/>
          <w:lang w:val="en-US" w:eastAsia="zh-CN"/>
        </w:rPr>
        <w:t xml:space="preserve">    </w:t>
      </w:r>
    </w:p>
    <w:p w14:paraId="472C692E">
      <w:pPr>
        <w:pStyle w:val="2"/>
        <w:keepNext w:val="0"/>
        <w:keepLines w:val="0"/>
        <w:pageBreakBefore w:val="0"/>
        <w:widowControl/>
        <w:kinsoku w:val="0"/>
        <w:wordWrap/>
        <w:overflowPunct/>
        <w:topLinePunct w:val="0"/>
        <w:autoSpaceDE w:val="0"/>
        <w:autoSpaceDN w:val="0"/>
        <w:bidi w:val="0"/>
        <w:adjustRightInd w:val="0"/>
        <w:snapToGrid w:val="0"/>
        <w:spacing w:line="332" w:lineRule="auto"/>
        <w:ind w:left="0" w:right="0" w:firstLine="648" w:firstLineChars="200"/>
        <w:jc w:val="both"/>
        <w:textAlignment w:val="baseline"/>
        <w:rPr>
          <w:rFonts w:hint="eastAsia"/>
          <w:spacing w:val="-3"/>
          <w:sz w:val="33"/>
          <w:szCs w:val="32"/>
          <w:lang w:eastAsia="zh-CN"/>
        </w:rPr>
      </w:pPr>
      <w:r>
        <w:rPr>
          <w:rFonts w:hint="eastAsia"/>
          <w:spacing w:val="-3"/>
          <w:sz w:val="33"/>
          <w:szCs w:val="32"/>
          <w:lang w:eastAsia="zh-CN"/>
        </w:rPr>
        <w:t>《</w:t>
      </w:r>
      <w:r>
        <w:rPr>
          <w:rFonts w:hint="eastAsia"/>
          <w:spacing w:val="-5"/>
          <w:sz w:val="33"/>
          <w:szCs w:val="32"/>
          <w:lang w:eastAsia="zh-CN"/>
        </w:rPr>
        <w:t>预包装兰州牛肉拉面用萝卜包生产操作规范</w:t>
      </w:r>
      <w:r>
        <w:rPr>
          <w:rFonts w:hint="eastAsia"/>
          <w:spacing w:val="-3"/>
          <w:sz w:val="33"/>
          <w:szCs w:val="32"/>
          <w:lang w:eastAsia="zh-CN"/>
        </w:rPr>
        <w:t>》地方标准的制订，通过明确萝卜包生产过程中的各项操作要求，包括原材料选择、加工工艺、卫生控制等，保证产品符合食品安全标准，降低食品安全风险，为消费者提供安全可靠的萝卜包。规范生产操作可以减少因操作不当而导致的质量问题，提高产品的稳定性和一致性。标准的制定可以优化生产流程，明确各个环节的操作规范和时间节点，减少生产过程中的浪费和重复劳动，提高生产效率，降低生产成本。有助于企业合理安排生产资源，提高设备利用率，实现规模化生产。为预包装兰州牛肉拉面产业提供统一的萝卜包生产标准，规范市场秩序，提升整个产业的竞争力。</w:t>
      </w:r>
    </w:p>
    <w:p w14:paraId="49494C49">
      <w:pPr>
        <w:pStyle w:val="2"/>
        <w:keepNext w:val="0"/>
        <w:keepLines w:val="0"/>
        <w:pageBreakBefore w:val="0"/>
        <w:widowControl/>
        <w:kinsoku w:val="0"/>
        <w:wordWrap/>
        <w:overflowPunct/>
        <w:topLinePunct w:val="0"/>
        <w:autoSpaceDE w:val="0"/>
        <w:autoSpaceDN w:val="0"/>
        <w:bidi w:val="0"/>
        <w:adjustRightInd w:val="0"/>
        <w:snapToGrid w:val="0"/>
        <w:spacing w:line="332" w:lineRule="auto"/>
        <w:ind w:right="0"/>
        <w:jc w:val="both"/>
        <w:textAlignment w:val="baseline"/>
        <w:rPr>
          <w:rFonts w:hint="eastAsia"/>
          <w:spacing w:val="-3"/>
          <w:sz w:val="33"/>
          <w:szCs w:val="32"/>
          <w:lang w:eastAsia="zh-CN"/>
        </w:rPr>
      </w:pPr>
      <w:r>
        <w:rPr>
          <w:rFonts w:hint="eastAsia"/>
          <w:spacing w:val="-3"/>
          <w:sz w:val="33"/>
          <w:szCs w:val="32"/>
          <w:lang w:eastAsia="zh-CN"/>
        </w:rPr>
        <w:t>推动企业技术创新和管理升级，促进产业的可持续发展。</w:t>
      </w:r>
    </w:p>
    <w:p w14:paraId="0660F8FB">
      <w:pPr>
        <w:pStyle w:val="2"/>
        <w:keepNext w:val="0"/>
        <w:keepLines w:val="0"/>
        <w:pageBreakBefore w:val="0"/>
        <w:widowControl/>
        <w:kinsoku w:val="0"/>
        <w:wordWrap/>
        <w:overflowPunct/>
        <w:topLinePunct w:val="0"/>
        <w:autoSpaceDE w:val="0"/>
        <w:autoSpaceDN w:val="0"/>
        <w:bidi w:val="0"/>
        <w:adjustRightInd w:val="0"/>
        <w:snapToGrid w:val="0"/>
        <w:spacing w:line="332" w:lineRule="auto"/>
        <w:ind w:right="0"/>
        <w:jc w:val="both"/>
        <w:textAlignment w:val="baseline"/>
        <w:rPr>
          <w:rFonts w:hint="eastAsia"/>
          <w:b/>
          <w:bCs/>
          <w:spacing w:val="-3"/>
          <w:sz w:val="33"/>
          <w:szCs w:val="32"/>
          <w:lang w:eastAsia="zh-CN"/>
        </w:rPr>
      </w:pPr>
      <w:r>
        <w:rPr>
          <w:rFonts w:hint="eastAsia"/>
          <w:spacing w:val="-3"/>
          <w:sz w:val="33"/>
          <w:szCs w:val="32"/>
          <w:lang w:eastAsia="zh-CN"/>
        </w:rPr>
        <w:t>为监管部门提供明确的监管依据，使监管工作更加科学、规范、有效。</w:t>
      </w:r>
    </w:p>
    <w:p w14:paraId="587C1574">
      <w:pPr>
        <w:pStyle w:val="2"/>
        <w:spacing w:before="61" w:line="331" w:lineRule="auto"/>
        <w:ind w:left="85" w:right="144" w:firstLine="790"/>
        <w:rPr>
          <w:rFonts w:hint="eastAsia" w:ascii="仿宋" w:hAnsi="仿宋" w:eastAsia="仿宋" w:cs="仿宋"/>
          <w:sz w:val="32"/>
          <w:szCs w:val="32"/>
          <w:lang w:eastAsia="zh-CN"/>
        </w:rPr>
      </w:pPr>
      <w:r>
        <w:rPr>
          <w:rFonts w:ascii="楷体" w:hAnsi="楷体" w:eastAsia="楷体" w:cs="楷体"/>
          <w:color w:val="auto"/>
          <w:spacing w:val="4"/>
          <w:sz w:val="32"/>
          <w:szCs w:val="32"/>
        </w:rPr>
        <w:t>(一)标准化对象发展情况</w:t>
      </w:r>
      <w:r>
        <w:rPr>
          <w:color w:val="auto"/>
          <w:spacing w:val="4"/>
          <w:sz w:val="32"/>
          <w:szCs w:val="32"/>
        </w:rPr>
        <w:t>。</w:t>
      </w:r>
      <w:r>
        <w:rPr>
          <w:rFonts w:hint="eastAsia" w:ascii="仿宋" w:hAnsi="仿宋" w:eastAsia="仿宋" w:cs="仿宋"/>
          <w:i w:val="0"/>
          <w:iCs w:val="0"/>
          <w:caps w:val="0"/>
          <w:color w:val="auto"/>
          <w:spacing w:val="0"/>
          <w:sz w:val="32"/>
          <w:szCs w:val="32"/>
          <w:shd w:val="clear" w:fill="FFFFFF"/>
        </w:rPr>
        <w:t>2024 年兰州市</w:t>
      </w:r>
      <w:r>
        <w:rPr>
          <w:rFonts w:hint="eastAsia" w:ascii="仿宋" w:hAnsi="仿宋" w:eastAsia="仿宋" w:cs="仿宋"/>
          <w:i w:val="0"/>
          <w:iCs w:val="0"/>
          <w:caps w:val="0"/>
          <w:spacing w:val="0"/>
          <w:sz w:val="32"/>
          <w:szCs w:val="32"/>
          <w:shd w:val="clear" w:fill="FFFFFF"/>
        </w:rPr>
        <w:t>牛肉拉面预包装产业发展协会成立，</w:t>
      </w:r>
      <w:r>
        <w:rPr>
          <w:rFonts w:hint="eastAsia" w:ascii="仿宋" w:hAnsi="仿宋" w:eastAsia="仿宋" w:cs="仿宋"/>
          <w:i w:val="0"/>
          <w:iCs w:val="0"/>
          <w:caps w:val="0"/>
          <w:spacing w:val="0"/>
          <w:sz w:val="32"/>
          <w:szCs w:val="32"/>
          <w:shd w:val="clear" w:fill="FFFFFF"/>
          <w:lang w:val="en-US" w:eastAsia="zh-CN"/>
        </w:rPr>
        <w:t>2024年8月，</w:t>
      </w:r>
      <w:r>
        <w:rPr>
          <w:rFonts w:hint="eastAsia" w:ascii="仿宋" w:hAnsi="仿宋" w:eastAsia="仿宋" w:cs="仿宋"/>
          <w:i w:val="0"/>
          <w:iCs w:val="0"/>
          <w:caps w:val="0"/>
          <w:color w:val="000000"/>
          <w:spacing w:val="0"/>
          <w:sz w:val="32"/>
          <w:szCs w:val="32"/>
          <w:shd w:val="clear" w:fill="FFFFFF"/>
        </w:rPr>
        <w:t>甘肃省人民政府新闻办公室组织召开新闻发布会，解读最新出台的《兰州牛肉拉面产业高质量发展三年(2024-2026年)行动方案》</w:t>
      </w:r>
      <w:r>
        <w:rPr>
          <w:rFonts w:hint="eastAsia" w:ascii="仿宋" w:hAnsi="仿宋" w:eastAsia="仿宋" w:cs="仿宋"/>
          <w:i w:val="0"/>
          <w:iCs w:val="0"/>
          <w:caps w:val="0"/>
          <w:color w:val="000000"/>
          <w:spacing w:val="0"/>
          <w:sz w:val="32"/>
          <w:szCs w:val="32"/>
          <w:shd w:val="clear" w:fill="FFFFFF"/>
          <w:lang w:eastAsia="zh-CN"/>
        </w:rPr>
        <w:t>。</w:t>
      </w:r>
      <w:r>
        <w:rPr>
          <w:rFonts w:hint="eastAsia" w:ascii="仿宋" w:hAnsi="仿宋" w:eastAsia="仿宋" w:cs="仿宋"/>
          <w:i w:val="0"/>
          <w:iCs w:val="0"/>
          <w:caps w:val="0"/>
          <w:spacing w:val="0"/>
          <w:sz w:val="32"/>
          <w:szCs w:val="32"/>
          <w:shd w:val="clear" w:fill="FFFFFF"/>
        </w:rPr>
        <w:t>在政府指导支持下，</w:t>
      </w:r>
      <w:r>
        <w:rPr>
          <w:rFonts w:hint="eastAsia" w:ascii="仿宋" w:hAnsi="仿宋" w:eastAsia="仿宋" w:cs="仿宋"/>
          <w:i w:val="0"/>
          <w:iCs w:val="0"/>
          <w:caps w:val="0"/>
          <w:spacing w:val="0"/>
          <w:sz w:val="32"/>
          <w:szCs w:val="32"/>
          <w:shd w:val="clear" w:fill="FFFFFF"/>
          <w:lang w:eastAsia="zh-CN"/>
        </w:rPr>
        <w:t>各部门、各组织、企业</w:t>
      </w:r>
      <w:r>
        <w:rPr>
          <w:rFonts w:hint="eastAsia" w:ascii="仿宋" w:hAnsi="仿宋" w:eastAsia="仿宋" w:cs="仿宋"/>
          <w:i w:val="0"/>
          <w:iCs w:val="0"/>
          <w:caps w:val="0"/>
          <w:spacing w:val="0"/>
          <w:sz w:val="32"/>
          <w:szCs w:val="32"/>
          <w:shd w:val="clear" w:fill="FFFFFF"/>
        </w:rPr>
        <w:t>积极推动行业标准化体系建设。政府相关部门也开始重视预包装兰州牛肉拉面产业的规范发展，这为</w:t>
      </w:r>
      <w:r>
        <w:rPr>
          <w:rFonts w:hint="eastAsia" w:ascii="仿宋" w:hAnsi="仿宋" w:eastAsia="仿宋" w:cs="仿宋"/>
          <w:i w:val="0"/>
          <w:iCs w:val="0"/>
          <w:caps w:val="0"/>
          <w:spacing w:val="0"/>
          <w:sz w:val="32"/>
          <w:szCs w:val="32"/>
          <w:shd w:val="clear" w:fill="FFFFFF"/>
          <w:lang w:eastAsia="zh-CN"/>
        </w:rPr>
        <w:t>地方标准</w:t>
      </w:r>
      <w:r>
        <w:rPr>
          <w:rFonts w:hint="eastAsia" w:ascii="仿宋" w:hAnsi="仿宋" w:eastAsia="仿宋" w:cs="仿宋"/>
          <w:i w:val="0"/>
          <w:iCs w:val="0"/>
          <w:caps w:val="0"/>
          <w:spacing w:val="0"/>
          <w:sz w:val="32"/>
          <w:szCs w:val="32"/>
          <w:shd w:val="clear" w:fill="FFFFFF"/>
        </w:rPr>
        <w:t>的制定和推广提供了有力支持。</w:t>
      </w:r>
    </w:p>
    <w:p w14:paraId="17DB18DD">
      <w:pPr>
        <w:keepNext w:val="0"/>
        <w:keepLines w:val="0"/>
        <w:pageBreakBefore w:val="0"/>
        <w:widowControl/>
        <w:numPr>
          <w:ilvl w:val="0"/>
          <w:numId w:val="0"/>
        </w:numPr>
        <w:suppressLineNumbers w:val="0"/>
        <w:pBdr>
          <w:left w:val="none" w:color="auto" w:sz="0" w:space="0"/>
        </w:pBdr>
        <w:kinsoku w:val="0"/>
        <w:wordWrap/>
        <w:overflowPunct/>
        <w:topLinePunct w:val="0"/>
        <w:autoSpaceDE w:val="0"/>
        <w:autoSpaceDN w:val="0"/>
        <w:bidi w:val="0"/>
        <w:adjustRightInd w:val="0"/>
        <w:snapToGrid w:val="0"/>
        <w:spacing w:before="96" w:beforeAutospacing="0" w:after="0" w:afterAutospacing="0" w:line="332" w:lineRule="auto"/>
        <w:ind w:firstLine="656" w:firstLineChars="200"/>
        <w:jc w:val="left"/>
        <w:textAlignment w:val="baseline"/>
        <w:rPr>
          <w:rFonts w:hint="eastAsia" w:ascii="仿宋" w:hAnsi="仿宋" w:eastAsia="仿宋" w:cs="仿宋"/>
          <w:snapToGrid w:val="0"/>
          <w:color w:val="000000"/>
          <w:spacing w:val="-11"/>
          <w:kern w:val="0"/>
          <w:sz w:val="33"/>
          <w:szCs w:val="33"/>
          <w:lang w:val="en-US" w:eastAsia="zh-CN" w:bidi="ar-SA"/>
        </w:rPr>
      </w:pPr>
      <w:r>
        <w:rPr>
          <w:rFonts w:ascii="楷体" w:hAnsi="楷体" w:eastAsia="楷体" w:cs="楷体"/>
          <w:spacing w:val="4"/>
          <w:sz w:val="32"/>
          <w:szCs w:val="32"/>
        </w:rPr>
        <w:t>(二)标准的必要性、可行性。</w:t>
      </w:r>
      <w:r>
        <w:rPr>
          <w:rFonts w:hint="eastAsia" w:ascii="仿宋" w:hAnsi="仿宋" w:eastAsia="仿宋" w:cs="仿宋"/>
          <w:snapToGrid w:val="0"/>
          <w:color w:val="000000"/>
          <w:spacing w:val="-11"/>
          <w:kern w:val="0"/>
          <w:sz w:val="33"/>
          <w:szCs w:val="33"/>
          <w:lang w:val="en-US" w:eastAsia="zh-CN" w:bidi="ar-SA"/>
        </w:rPr>
        <w:t>兰州市政府将兰州牛肉拉面产业作为特色优势产业进行重点扶持，加大了对产业的投入和支持力度。兰州牛肉拉面产业经过多年的发展，已经形成了一定的规模和产业体系。通过制定地方标准，可以确保兰州牛肉拉面用萝卜包的生产过程符合食品安全要求，从而减少食品污染和保障消费者健康。地方标准的制定有助于推动兰州牛肉拉面产业的标准化进程，提高整个行业的管理水平和生产效率。标准化的生产操作规范有助于提高兰州牛肉拉面产品的质量和一致性，增强其市场竞争力和品牌影响力。通过规范和提升兰州牛肉拉面这一地方特色食品的质量，可以吸引更多游客和消费者，进而促进地方经济的发展。</w:t>
      </w:r>
    </w:p>
    <w:p w14:paraId="32CF96EA">
      <w:pPr>
        <w:keepNext w:val="0"/>
        <w:keepLines w:val="0"/>
        <w:pageBreakBefore w:val="0"/>
        <w:widowControl/>
        <w:numPr>
          <w:ilvl w:val="0"/>
          <w:numId w:val="0"/>
        </w:numPr>
        <w:suppressLineNumbers w:val="0"/>
        <w:pBdr>
          <w:left w:val="none" w:color="auto" w:sz="0" w:space="0"/>
        </w:pBdr>
        <w:kinsoku w:val="0"/>
        <w:wordWrap/>
        <w:overflowPunct/>
        <w:topLinePunct w:val="0"/>
        <w:autoSpaceDE w:val="0"/>
        <w:autoSpaceDN w:val="0"/>
        <w:bidi w:val="0"/>
        <w:adjustRightInd w:val="0"/>
        <w:snapToGrid w:val="0"/>
        <w:spacing w:before="96" w:beforeAutospacing="0" w:after="0" w:afterAutospacing="0" w:line="332" w:lineRule="auto"/>
        <w:ind w:firstLine="616" w:firstLineChars="200"/>
        <w:jc w:val="left"/>
        <w:textAlignment w:val="baseline"/>
        <w:rPr>
          <w:rFonts w:hint="default" w:ascii="仿宋" w:hAnsi="仿宋" w:eastAsia="仿宋" w:cs="仿宋"/>
          <w:snapToGrid w:val="0"/>
          <w:color w:val="000000"/>
          <w:spacing w:val="-11"/>
          <w:kern w:val="0"/>
          <w:sz w:val="33"/>
          <w:szCs w:val="33"/>
          <w:lang w:val="en-US" w:eastAsia="zh-CN" w:bidi="ar-SA"/>
        </w:rPr>
      </w:pPr>
    </w:p>
    <w:p w14:paraId="4B13CFC7">
      <w:pPr>
        <w:keepNext w:val="0"/>
        <w:keepLines w:val="0"/>
        <w:pageBreakBefore w:val="0"/>
        <w:widowControl/>
        <w:kinsoku w:val="0"/>
        <w:wordWrap/>
        <w:overflowPunct/>
        <w:topLinePunct w:val="0"/>
        <w:autoSpaceDE w:val="0"/>
        <w:autoSpaceDN w:val="0"/>
        <w:bidi w:val="0"/>
        <w:adjustRightInd w:val="0"/>
        <w:snapToGrid w:val="0"/>
        <w:spacing w:before="98" w:afterAutospacing="0" w:line="332" w:lineRule="auto"/>
        <w:textAlignment w:val="baseline"/>
        <w:outlineLvl w:val="6"/>
        <w:rPr>
          <w:rFonts w:ascii="黑体" w:hAnsi="黑体" w:eastAsia="黑体" w:cs="黑体"/>
          <w:sz w:val="33"/>
          <w:szCs w:val="33"/>
        </w:rPr>
      </w:pPr>
      <w:r>
        <w:rPr>
          <w:rFonts w:ascii="黑体" w:hAnsi="黑体" w:eastAsia="黑体" w:cs="黑体"/>
          <w:b/>
          <w:bCs/>
          <w:spacing w:val="-16"/>
          <w:sz w:val="33"/>
          <w:szCs w:val="33"/>
        </w:rPr>
        <w:t>三、主要工作过程</w:t>
      </w:r>
    </w:p>
    <w:p w14:paraId="42551A95">
      <w:pPr>
        <w:pStyle w:val="2"/>
        <w:spacing w:before="84" w:line="326" w:lineRule="auto"/>
        <w:ind w:right="100" w:firstLine="779"/>
        <w:rPr>
          <w:rFonts w:hint="eastAsia"/>
          <w:spacing w:val="-11"/>
          <w:sz w:val="33"/>
          <w:szCs w:val="33"/>
          <w:lang w:eastAsia="zh-CN"/>
        </w:rPr>
      </w:pPr>
      <w:r>
        <w:rPr>
          <w:rFonts w:ascii="楷体" w:hAnsi="楷体" w:eastAsia="楷体" w:cs="楷体"/>
          <w:spacing w:val="4"/>
          <w:sz w:val="33"/>
          <w:szCs w:val="33"/>
        </w:rPr>
        <w:t>(一)前期工作调研。</w:t>
      </w:r>
      <w:r>
        <w:rPr>
          <w:spacing w:val="-11"/>
          <w:sz w:val="33"/>
          <w:szCs w:val="33"/>
        </w:rPr>
        <w:t>兰州牛肉拉面通过产业化实现高质量发展势在必行。</w:t>
      </w:r>
      <w:r>
        <w:rPr>
          <w:rFonts w:hint="eastAsia"/>
          <w:spacing w:val="-11"/>
          <w:sz w:val="33"/>
          <w:szCs w:val="33"/>
          <w:lang w:eastAsia="zh-CN"/>
        </w:rPr>
        <w:t>借鉴柳州螺蛳粉预包装产品发展历程，</w:t>
      </w:r>
      <w:r>
        <w:rPr>
          <w:spacing w:val="-11"/>
          <w:sz w:val="33"/>
          <w:szCs w:val="33"/>
        </w:rPr>
        <w:t>我市组成由政协委员、职能部门负责人、企业代表为成员的考察团，专门前往柳州等地考察取经。</w:t>
      </w:r>
      <w:r>
        <w:rPr>
          <w:rFonts w:hint="eastAsia"/>
          <w:spacing w:val="-11"/>
          <w:sz w:val="33"/>
          <w:szCs w:val="33"/>
        </w:rPr>
        <w:t>邀请食品科学、营养学等领域的专家学者，对萝卜包的生产工艺、质量控制、营养成分等方面进行专业分析和评估。咨询专家关于萝卜包生产过程中的关键技术问题、质量安全风险点以及如何通过标准规范来保障产品质量和安全。</w:t>
      </w:r>
      <w:r>
        <w:rPr>
          <w:rFonts w:hint="eastAsia"/>
          <w:spacing w:val="-11"/>
          <w:sz w:val="33"/>
          <w:szCs w:val="33"/>
          <w:lang w:eastAsia="zh-CN"/>
        </w:rPr>
        <w:t>对兰州市内现有生产企业进行调研，了解预包装兰州牛肉拉面用萝卜包的企业数量、规模、分布等信息，包括大型企业、中型企业以及小型作坊式企业的占比情况，以便全面掌握产业的整体态势。深入各企业的生产车间，实地考察萝卜包的生产流程、工艺方法和技术要点。包括萝卜的挑选、清洗、切分、腌制、包装等环节，详细记录每个环节的操作方式、使用的设备和工具、加工时间和温度控制等参数。调查企业所使用的萝卜品种、产地、质量等级，以及其他辅料（如调料、防腐剂等）的种类和来源。分析不同原材料对萝卜包口感、风味和保质期的影响，评估原材料的供应稳定性和质量可靠性。查看企业的质量管理制度、检验检测设备和方法，以及产品的质量追溯体系。了解企业在生产过程中如何进行质量监控，对原材料、半成品和成品的检验频率和标准，以及出现质量问题时的处理措施。</w:t>
      </w:r>
    </w:p>
    <w:p w14:paraId="4C1291A0">
      <w:pPr>
        <w:pStyle w:val="2"/>
        <w:spacing w:before="84" w:line="326" w:lineRule="auto"/>
        <w:ind w:right="100" w:firstLine="779"/>
        <w:rPr>
          <w:rFonts w:hint="eastAsia"/>
          <w:spacing w:val="-11"/>
          <w:sz w:val="33"/>
          <w:szCs w:val="33"/>
        </w:rPr>
      </w:pPr>
      <w:r>
        <w:rPr>
          <w:spacing w:val="-11"/>
          <w:sz w:val="33"/>
          <w:szCs w:val="33"/>
        </w:rPr>
        <w:t>从调研情况看，</w:t>
      </w:r>
      <w:r>
        <w:rPr>
          <w:rFonts w:hint="eastAsia"/>
          <w:spacing w:val="-11"/>
          <w:sz w:val="33"/>
          <w:szCs w:val="33"/>
        </w:rPr>
        <w:t>目前，参与预包装兰州牛肉拉面用萝卜包生产的企业数量适中，涵盖了不同规模的企业。既有大型食品加工企业，也有小型作坊式生产单位。这些企业主要分布在兰州市及周边地区，部分企业还在其他省市设有生产基地或销售网络。</w:t>
      </w:r>
    </w:p>
    <w:p w14:paraId="4A549D9B">
      <w:pPr>
        <w:pStyle w:val="2"/>
        <w:spacing w:before="84" w:line="326" w:lineRule="auto"/>
        <w:ind w:right="100" w:firstLine="779"/>
        <w:rPr>
          <w:rFonts w:hint="eastAsia"/>
          <w:spacing w:val="-11"/>
          <w:sz w:val="33"/>
          <w:szCs w:val="33"/>
        </w:rPr>
      </w:pPr>
      <w:r>
        <w:rPr>
          <w:rFonts w:hint="eastAsia"/>
          <w:spacing w:val="-11"/>
          <w:sz w:val="33"/>
          <w:szCs w:val="33"/>
          <w:lang w:eastAsia="zh-CN"/>
        </w:rPr>
        <w:t>在</w:t>
      </w:r>
      <w:r>
        <w:rPr>
          <w:rFonts w:hint="eastAsia"/>
          <w:spacing w:val="-11"/>
          <w:sz w:val="33"/>
          <w:szCs w:val="33"/>
        </w:rPr>
        <w:t>生产工艺与技术</w:t>
      </w:r>
      <w:r>
        <w:rPr>
          <w:rFonts w:hint="eastAsia"/>
          <w:spacing w:val="-11"/>
          <w:sz w:val="33"/>
          <w:szCs w:val="33"/>
          <w:lang w:eastAsia="zh-CN"/>
        </w:rPr>
        <w:t>方面，</w:t>
      </w:r>
      <w:r>
        <w:rPr>
          <w:rFonts w:hint="eastAsia"/>
          <w:spacing w:val="-11"/>
          <w:sz w:val="33"/>
          <w:szCs w:val="33"/>
        </w:rPr>
        <w:t>大部分企业采用清洗、去皮、切</w:t>
      </w:r>
      <w:r>
        <w:rPr>
          <w:rFonts w:hint="eastAsia"/>
          <w:spacing w:val="-11"/>
          <w:sz w:val="33"/>
          <w:szCs w:val="33"/>
          <w:lang w:eastAsia="zh-CN"/>
        </w:rPr>
        <w:t>片</w:t>
      </w:r>
      <w:r>
        <w:rPr>
          <w:rFonts w:hint="eastAsia"/>
          <w:spacing w:val="-11"/>
          <w:sz w:val="33"/>
          <w:szCs w:val="33"/>
        </w:rPr>
        <w:t>或切块等方式对萝卜进行预处理。清洗环节中，多数企业使用流动水清洗，以确保萝卜的清洁度。萝卜包的包装形式多样，有塑料袋包装、铝箔袋包装等。包装材料的选择主要考虑密封性、保鲜性和环保性等因素</w:t>
      </w:r>
      <w:r>
        <w:rPr>
          <w:rFonts w:hint="eastAsia"/>
          <w:spacing w:val="-11"/>
          <w:sz w:val="33"/>
          <w:szCs w:val="33"/>
          <w:lang w:eastAsia="zh-CN"/>
        </w:rPr>
        <w:t>。</w:t>
      </w:r>
      <w:r>
        <w:rPr>
          <w:rFonts w:hint="eastAsia"/>
          <w:spacing w:val="-11"/>
          <w:sz w:val="33"/>
          <w:szCs w:val="33"/>
        </w:rPr>
        <w:t>萝卜来源</w:t>
      </w:r>
      <w:r>
        <w:rPr>
          <w:rFonts w:hint="eastAsia"/>
          <w:spacing w:val="-11"/>
          <w:sz w:val="33"/>
          <w:szCs w:val="33"/>
          <w:lang w:eastAsia="zh-CN"/>
        </w:rPr>
        <w:t>方面，</w:t>
      </w:r>
      <w:r>
        <w:rPr>
          <w:rFonts w:hint="eastAsia"/>
          <w:spacing w:val="-11"/>
          <w:sz w:val="33"/>
          <w:szCs w:val="33"/>
        </w:rPr>
        <w:t>企业主要从本地蔬菜批发市场或种植基地采购萝卜，部分企业还会从外地采购特定品种的萝卜。萝卜的品种、产地和质量对萝卜包的口感和品质有重要影响。企业普遍建立了原材料采购管理制度，对原材料的验收、储存、使用等环节进行规范管理</w:t>
      </w:r>
      <w:r>
        <w:rPr>
          <w:rFonts w:hint="eastAsia"/>
          <w:spacing w:val="-11"/>
          <w:sz w:val="33"/>
          <w:szCs w:val="33"/>
          <w:lang w:eastAsia="zh-CN"/>
        </w:rPr>
        <w:t>。</w:t>
      </w:r>
      <w:r>
        <w:rPr>
          <w:rFonts w:hint="eastAsia"/>
          <w:spacing w:val="-11"/>
          <w:sz w:val="33"/>
          <w:szCs w:val="33"/>
        </w:rPr>
        <w:t>企业重视产品质量控制，建立了质量管理制度和检测体系。在生产过程中，对萝卜包的外观、口感、风味、微生物指标等进行检测，确保产品符合质量标准。部分企业还配备了专业的检测设备和人员，能够进行更加严格的质量检测。</w:t>
      </w:r>
    </w:p>
    <w:p w14:paraId="7A6A7560">
      <w:pPr>
        <w:pStyle w:val="2"/>
        <w:numPr>
          <w:ilvl w:val="0"/>
          <w:numId w:val="2"/>
        </w:numPr>
        <w:spacing w:before="84" w:line="326" w:lineRule="auto"/>
        <w:ind w:right="100" w:firstLine="779"/>
        <w:rPr>
          <w:spacing w:val="1"/>
          <w:sz w:val="33"/>
          <w:szCs w:val="33"/>
        </w:rPr>
      </w:pPr>
      <w:r>
        <w:rPr>
          <w:rFonts w:ascii="楷体" w:hAnsi="楷体" w:eastAsia="楷体" w:cs="楷体"/>
          <w:spacing w:val="-2"/>
          <w:sz w:val="33"/>
          <w:szCs w:val="33"/>
        </w:rPr>
        <w:t>确定标准编制思路并形成标准草案稿。</w:t>
      </w:r>
      <w:r>
        <w:rPr>
          <w:rFonts w:ascii="楷体" w:hAnsi="楷体" w:eastAsia="楷体" w:cs="楷体"/>
          <w:spacing w:val="-3"/>
          <w:sz w:val="33"/>
          <w:szCs w:val="33"/>
        </w:rPr>
        <w:t>2024</w:t>
      </w:r>
      <w:r>
        <w:rPr>
          <w:spacing w:val="-3"/>
          <w:sz w:val="33"/>
          <w:szCs w:val="33"/>
        </w:rPr>
        <w:t>年</w:t>
      </w:r>
      <w:r>
        <w:rPr>
          <w:spacing w:val="-42"/>
          <w:sz w:val="33"/>
          <w:szCs w:val="33"/>
        </w:rPr>
        <w:t xml:space="preserve"> </w:t>
      </w:r>
      <w:r>
        <w:rPr>
          <w:rFonts w:hint="eastAsia"/>
          <w:spacing w:val="-3"/>
          <w:sz w:val="33"/>
          <w:szCs w:val="33"/>
          <w:lang w:val="en-US" w:eastAsia="zh-CN"/>
        </w:rPr>
        <w:t>7</w:t>
      </w:r>
      <w:r>
        <w:rPr>
          <w:spacing w:val="-8"/>
          <w:sz w:val="33"/>
          <w:szCs w:val="33"/>
        </w:rPr>
        <w:t>月，标准编制工作正式启动</w:t>
      </w:r>
      <w:r>
        <w:rPr>
          <w:rFonts w:hint="eastAsia"/>
          <w:spacing w:val="-8"/>
          <w:sz w:val="33"/>
          <w:szCs w:val="33"/>
          <w:lang w:eastAsia="zh-CN"/>
        </w:rPr>
        <w:t>。</w:t>
      </w:r>
      <w:r>
        <w:rPr>
          <w:rFonts w:hint="eastAsia"/>
          <w:spacing w:val="-8"/>
          <w:sz w:val="33"/>
          <w:szCs w:val="33"/>
        </w:rPr>
        <w:t>根据《兰州牛肉拉面产业高质量发展三年(2024-2026年)行动方案》</w:t>
      </w:r>
      <w:r>
        <w:rPr>
          <w:rFonts w:hint="eastAsia"/>
          <w:spacing w:val="-8"/>
          <w:sz w:val="33"/>
          <w:szCs w:val="33"/>
          <w:lang w:eastAsia="zh-CN"/>
        </w:rPr>
        <w:t>、</w:t>
      </w:r>
      <w:r>
        <w:rPr>
          <w:rFonts w:hint="eastAsia"/>
          <w:spacing w:val="-8"/>
          <w:sz w:val="33"/>
          <w:szCs w:val="33"/>
        </w:rPr>
        <w:t>《兰州牛肉拉面产业高质量发展标准化品牌化工作方案(2024-2026年)》(兰政办发〔2024〕128号)精神</w:t>
      </w:r>
      <w:r>
        <w:rPr>
          <w:rFonts w:hint="eastAsia"/>
          <w:spacing w:val="-8"/>
          <w:sz w:val="33"/>
          <w:szCs w:val="33"/>
          <w:lang w:eastAsia="zh-CN"/>
        </w:rPr>
        <w:t>，在</w:t>
      </w:r>
      <w:r>
        <w:rPr>
          <w:rFonts w:hint="eastAsia"/>
          <w:spacing w:val="-8"/>
          <w:sz w:val="33"/>
          <w:szCs w:val="33"/>
          <w:lang w:val="en-US" w:eastAsia="zh-CN"/>
        </w:rPr>
        <w:t>“</w:t>
      </w:r>
      <w:r>
        <w:rPr>
          <w:spacing w:val="-8"/>
          <w:sz w:val="33"/>
          <w:szCs w:val="33"/>
        </w:rPr>
        <w:t>1+9+1”政策</w:t>
      </w:r>
      <w:r>
        <w:rPr>
          <w:rFonts w:hint="eastAsia"/>
          <w:spacing w:val="-8"/>
          <w:sz w:val="33"/>
          <w:szCs w:val="33"/>
          <w:lang w:eastAsia="zh-CN"/>
        </w:rPr>
        <w:t>指导下，</w:t>
      </w:r>
      <w:r>
        <w:rPr>
          <w:spacing w:val="-8"/>
          <w:sz w:val="33"/>
          <w:szCs w:val="33"/>
        </w:rPr>
        <w:t>在整个制定过程中，标准编制小组认真学习中央、省市有关文件精神，</w:t>
      </w:r>
      <w:r>
        <w:rPr>
          <w:spacing w:val="-13"/>
          <w:sz w:val="33"/>
          <w:szCs w:val="33"/>
        </w:rPr>
        <w:t>大量查阅</w:t>
      </w:r>
      <w:r>
        <w:rPr>
          <w:rFonts w:hint="eastAsia"/>
          <w:spacing w:val="-13"/>
          <w:sz w:val="33"/>
          <w:szCs w:val="33"/>
          <w:lang w:eastAsia="zh-CN"/>
        </w:rPr>
        <w:t>相关技术</w:t>
      </w:r>
      <w:r>
        <w:rPr>
          <w:spacing w:val="-12"/>
          <w:sz w:val="33"/>
          <w:szCs w:val="33"/>
        </w:rPr>
        <w:t>领域的文献、信息、报道等资料，对收集到的资料进行整理、分析研究，对其科学性、有效性、适用性进行评估，同时结合兰州市</w:t>
      </w:r>
      <w:r>
        <w:rPr>
          <w:rFonts w:hint="eastAsia"/>
          <w:spacing w:val="-12"/>
          <w:sz w:val="33"/>
          <w:szCs w:val="33"/>
          <w:lang w:eastAsia="zh-CN"/>
        </w:rPr>
        <w:t>预包装牛肉拉面生产企业</w:t>
      </w:r>
      <w:r>
        <w:rPr>
          <w:spacing w:val="-12"/>
          <w:sz w:val="33"/>
          <w:szCs w:val="33"/>
        </w:rPr>
        <w:t>实际情况不断修改完善，几易其稿，认真研究</w:t>
      </w:r>
      <w:r>
        <w:rPr>
          <w:rFonts w:hint="eastAsia"/>
          <w:spacing w:val="-12"/>
          <w:sz w:val="33"/>
          <w:szCs w:val="33"/>
          <w:lang w:eastAsia="zh-CN"/>
        </w:rPr>
        <w:t>，</w:t>
      </w:r>
      <w:r>
        <w:rPr>
          <w:spacing w:val="-12"/>
          <w:sz w:val="33"/>
          <w:szCs w:val="33"/>
        </w:rPr>
        <w:t>起草形成了</w:t>
      </w:r>
      <w:r>
        <w:rPr>
          <w:rFonts w:hint="eastAsia"/>
          <w:spacing w:val="-3"/>
          <w:sz w:val="32"/>
          <w:szCs w:val="32"/>
          <w:lang w:eastAsia="zh-CN"/>
        </w:rPr>
        <w:t>《</w:t>
      </w:r>
      <w:r>
        <w:rPr>
          <w:rFonts w:hint="eastAsia"/>
          <w:spacing w:val="-5"/>
          <w:sz w:val="33"/>
          <w:szCs w:val="33"/>
          <w:lang w:eastAsia="zh-CN"/>
        </w:rPr>
        <w:t>预包装兰州牛肉拉面用萝卜包生产操作规范</w:t>
      </w:r>
      <w:r>
        <w:rPr>
          <w:spacing w:val="1"/>
          <w:sz w:val="33"/>
          <w:szCs w:val="33"/>
        </w:rPr>
        <w:t>(征求意见稿)》。</w:t>
      </w:r>
    </w:p>
    <w:p w14:paraId="3B2A9E64">
      <w:pPr>
        <w:pStyle w:val="2"/>
        <w:numPr>
          <w:ilvl w:val="0"/>
          <w:numId w:val="2"/>
        </w:numPr>
        <w:spacing w:before="84" w:line="326" w:lineRule="auto"/>
        <w:ind w:right="100" w:firstLine="779"/>
        <w:rPr>
          <w:spacing w:val="1"/>
          <w:sz w:val="33"/>
          <w:szCs w:val="33"/>
        </w:rPr>
      </w:pPr>
      <w:r>
        <w:rPr>
          <w:rFonts w:hint="eastAsia"/>
          <w:b/>
          <w:bCs/>
          <w:spacing w:val="1"/>
          <w:sz w:val="33"/>
          <w:szCs w:val="33"/>
        </w:rPr>
        <w:t>意见征求阶段</w:t>
      </w:r>
      <w:r>
        <w:rPr>
          <w:rFonts w:hint="eastAsia"/>
          <w:spacing w:val="1"/>
          <w:sz w:val="33"/>
          <w:szCs w:val="33"/>
        </w:rPr>
        <w:t>。按照《甘肃省地方标准管理办法》的要求，标准公开征求了高等院校、科研院所、行业协会、行业龙头企业等省市县各方单位共计32家单位意见，同时，在兰州市商务局门户网站征求意见，征求意见具有广泛性、代表性。征求意见先后收到</w:t>
      </w:r>
      <w:r>
        <w:rPr>
          <w:rFonts w:hint="eastAsia"/>
          <w:spacing w:val="1"/>
          <w:sz w:val="33"/>
          <w:szCs w:val="33"/>
          <w:lang w:val="en-US" w:eastAsia="zh-CN"/>
        </w:rPr>
        <w:t>8</w:t>
      </w:r>
      <w:r>
        <w:rPr>
          <w:rFonts w:hint="eastAsia"/>
          <w:spacing w:val="1"/>
          <w:sz w:val="33"/>
          <w:szCs w:val="33"/>
        </w:rPr>
        <w:t>条修改意见，没有重大分歧意见，修改意见采纳</w:t>
      </w:r>
      <w:r>
        <w:rPr>
          <w:rFonts w:hint="eastAsia"/>
          <w:spacing w:val="1"/>
          <w:sz w:val="33"/>
          <w:szCs w:val="33"/>
          <w:lang w:val="en-US" w:eastAsia="zh-CN"/>
        </w:rPr>
        <w:t>8</w:t>
      </w:r>
      <w:bookmarkStart w:id="0" w:name="_GoBack"/>
      <w:bookmarkEnd w:id="0"/>
      <w:r>
        <w:rPr>
          <w:rFonts w:hint="eastAsia"/>
          <w:spacing w:val="1"/>
          <w:sz w:val="33"/>
          <w:szCs w:val="33"/>
        </w:rPr>
        <w:t>条，不采纳0条，征求意见处理情况见征求意见处理汇总表。标准起草工作组根据各单位反馈的意见建议，对《预包装兰州牛肉面用萝卜包生产操作规范》地方标准进一步修改完善。</w:t>
      </w:r>
    </w:p>
    <w:p w14:paraId="7E682236">
      <w:pPr>
        <w:spacing w:before="59" w:line="221" w:lineRule="auto"/>
        <w:ind w:left="688"/>
        <w:outlineLvl w:val="6"/>
        <w:rPr>
          <w:rFonts w:ascii="黑体" w:hAnsi="黑体" w:eastAsia="黑体" w:cs="黑体"/>
          <w:sz w:val="33"/>
          <w:szCs w:val="33"/>
        </w:rPr>
      </w:pPr>
      <w:r>
        <w:rPr>
          <w:rFonts w:ascii="黑体" w:hAnsi="黑体" w:eastAsia="黑体" w:cs="黑体"/>
          <w:b/>
          <w:bCs/>
          <w:spacing w:val="-14"/>
          <w:sz w:val="33"/>
          <w:szCs w:val="33"/>
        </w:rPr>
        <w:t>四、标准编制原则和确定标准主要内容</w:t>
      </w:r>
    </w:p>
    <w:p w14:paraId="2BF32763">
      <w:pPr>
        <w:spacing w:before="179" w:line="226" w:lineRule="auto"/>
        <w:ind w:left="823"/>
        <w:rPr>
          <w:rFonts w:ascii="楷体" w:hAnsi="楷体" w:eastAsia="楷体" w:cs="楷体"/>
          <w:sz w:val="33"/>
          <w:szCs w:val="33"/>
        </w:rPr>
      </w:pPr>
      <w:r>
        <w:rPr>
          <w:rFonts w:ascii="楷体" w:hAnsi="楷体" w:eastAsia="楷体" w:cs="楷体"/>
          <w:spacing w:val="20"/>
          <w:sz w:val="33"/>
          <w:szCs w:val="33"/>
        </w:rPr>
        <w:t>(一)编制原则</w:t>
      </w:r>
    </w:p>
    <w:p w14:paraId="4AC2BC7F">
      <w:pPr>
        <w:pStyle w:val="2"/>
        <w:spacing w:before="194" w:line="326" w:lineRule="auto"/>
        <w:ind w:left="33" w:right="154" w:firstLine="650"/>
        <w:rPr>
          <w:sz w:val="33"/>
          <w:szCs w:val="33"/>
        </w:rPr>
      </w:pPr>
      <w:r>
        <w:rPr>
          <w:spacing w:val="3"/>
          <w:sz w:val="33"/>
          <w:szCs w:val="33"/>
        </w:rPr>
        <w:t>本标准按照</w:t>
      </w:r>
      <w:r>
        <w:rPr>
          <w:spacing w:val="-45"/>
          <w:sz w:val="33"/>
          <w:szCs w:val="33"/>
        </w:rPr>
        <w:t xml:space="preserve"> </w:t>
      </w:r>
      <w:r>
        <w:rPr>
          <w:rFonts w:ascii="Times New Roman" w:hAnsi="Times New Roman" w:eastAsia="Times New Roman" w:cs="Times New Roman"/>
          <w:sz w:val="33"/>
          <w:szCs w:val="33"/>
        </w:rPr>
        <w:t>GB</w:t>
      </w:r>
      <w:r>
        <w:rPr>
          <w:rFonts w:ascii="Times New Roman" w:hAnsi="Times New Roman" w:eastAsia="Times New Roman" w:cs="Times New Roman"/>
          <w:spacing w:val="3"/>
          <w:sz w:val="33"/>
          <w:szCs w:val="33"/>
        </w:rPr>
        <w:t>/T</w:t>
      </w:r>
      <w:r>
        <w:rPr>
          <w:rFonts w:ascii="Times New Roman" w:hAnsi="Times New Roman" w:eastAsia="Times New Roman" w:cs="Times New Roman"/>
          <w:spacing w:val="37"/>
          <w:sz w:val="33"/>
          <w:szCs w:val="33"/>
        </w:rPr>
        <w:t xml:space="preserve">  </w:t>
      </w:r>
      <w:r>
        <w:rPr>
          <w:rFonts w:ascii="Times New Roman" w:hAnsi="Times New Roman" w:eastAsia="Times New Roman" w:cs="Times New Roman"/>
          <w:spacing w:val="3"/>
          <w:sz w:val="33"/>
          <w:szCs w:val="33"/>
        </w:rPr>
        <w:t>1.1-2020</w:t>
      </w:r>
      <w:r>
        <w:rPr>
          <w:rFonts w:ascii="宋体" w:hAnsi="宋体" w:eastAsia="宋体" w:cs="宋体"/>
          <w:spacing w:val="3"/>
          <w:sz w:val="33"/>
          <w:szCs w:val="33"/>
        </w:rPr>
        <w:t>《</w:t>
      </w:r>
      <w:r>
        <w:rPr>
          <w:spacing w:val="3"/>
          <w:sz w:val="33"/>
          <w:szCs w:val="33"/>
        </w:rPr>
        <w:t>标准化工作导则第1部</w:t>
      </w:r>
      <w:r>
        <w:rPr>
          <w:spacing w:val="-16"/>
          <w:sz w:val="33"/>
          <w:szCs w:val="33"/>
        </w:rPr>
        <w:t>分：标准化文件的结构和起草规则》的规定</w:t>
      </w:r>
      <w:r>
        <w:rPr>
          <w:spacing w:val="-17"/>
          <w:sz w:val="33"/>
          <w:szCs w:val="33"/>
        </w:rPr>
        <w:t>起草，同时在编制过程中遵循以下原则：</w:t>
      </w:r>
    </w:p>
    <w:p w14:paraId="0632606D">
      <w:pPr>
        <w:pStyle w:val="2"/>
        <w:spacing w:before="69" w:line="314" w:lineRule="auto"/>
        <w:ind w:left="33" w:right="29" w:firstLine="650"/>
        <w:jc w:val="both"/>
        <w:rPr>
          <w:spacing w:val="-15"/>
          <w:sz w:val="33"/>
          <w:szCs w:val="33"/>
        </w:rPr>
      </w:pPr>
      <w:r>
        <w:rPr>
          <w:spacing w:val="-12"/>
          <w:sz w:val="33"/>
          <w:szCs w:val="33"/>
        </w:rPr>
        <w:t>合法合规原则：标准的编制必须符合国家相关法律法规的要求。在制定标准的过程中，参考和遵守相关法律法规的</w:t>
      </w:r>
      <w:r>
        <w:rPr>
          <w:spacing w:val="-15"/>
          <w:sz w:val="33"/>
          <w:szCs w:val="33"/>
        </w:rPr>
        <w:t>规定，确保标准的合法性和规范性。</w:t>
      </w:r>
    </w:p>
    <w:p w14:paraId="75176CE5">
      <w:pPr>
        <w:pStyle w:val="2"/>
        <w:spacing w:before="69" w:line="314" w:lineRule="auto"/>
        <w:ind w:left="33" w:right="29" w:firstLine="650"/>
        <w:jc w:val="both"/>
        <w:rPr>
          <w:rFonts w:hint="eastAsia"/>
          <w:spacing w:val="-15"/>
          <w:sz w:val="33"/>
          <w:szCs w:val="33"/>
        </w:rPr>
      </w:pPr>
      <w:r>
        <w:rPr>
          <w:rFonts w:hint="eastAsia"/>
          <w:spacing w:val="-15"/>
          <w:sz w:val="33"/>
          <w:szCs w:val="33"/>
        </w:rPr>
        <w:t>安全性原则</w:t>
      </w:r>
      <w:r>
        <w:rPr>
          <w:rFonts w:hint="eastAsia"/>
          <w:spacing w:val="-15"/>
          <w:sz w:val="33"/>
          <w:szCs w:val="33"/>
          <w:lang w:eastAsia="zh-CN"/>
        </w:rPr>
        <w:t>：</w:t>
      </w:r>
      <w:r>
        <w:rPr>
          <w:rFonts w:hint="eastAsia"/>
          <w:spacing w:val="-15"/>
          <w:sz w:val="33"/>
          <w:szCs w:val="33"/>
        </w:rPr>
        <w:t>明确规定萝卜的品种、产地、质量要求等，以及其他辅料如调料、防腐剂等的使用标准，确保原材料符合食品安全要求。对萝卜的清洗、切分、腌制、包装等各个生产环节制定严格的卫生标准和操作规范，防止交叉污染和微生物滋生。选择符合食品包装安全标准的材料，确保包装的密封性和保鲜性，防止外界因素对萝卜包的污染。</w:t>
      </w:r>
    </w:p>
    <w:p w14:paraId="2B4D2B01">
      <w:pPr>
        <w:pStyle w:val="2"/>
        <w:spacing w:before="69" w:line="314" w:lineRule="auto"/>
        <w:ind w:left="33" w:right="29" w:firstLine="650"/>
        <w:jc w:val="both"/>
        <w:rPr>
          <w:rFonts w:hint="eastAsia"/>
          <w:spacing w:val="-15"/>
          <w:sz w:val="33"/>
          <w:szCs w:val="33"/>
        </w:rPr>
      </w:pPr>
      <w:r>
        <w:rPr>
          <w:rFonts w:hint="eastAsia"/>
          <w:spacing w:val="-15"/>
          <w:sz w:val="33"/>
          <w:szCs w:val="33"/>
        </w:rPr>
        <w:t>规范性原则</w:t>
      </w:r>
      <w:r>
        <w:rPr>
          <w:rFonts w:hint="eastAsia"/>
          <w:spacing w:val="-15"/>
          <w:sz w:val="33"/>
          <w:szCs w:val="33"/>
          <w:lang w:eastAsia="zh-CN"/>
        </w:rPr>
        <w:t>：</w:t>
      </w:r>
      <w:r>
        <w:rPr>
          <w:rFonts w:hint="eastAsia"/>
          <w:spacing w:val="-15"/>
          <w:sz w:val="33"/>
          <w:szCs w:val="33"/>
        </w:rPr>
        <w:t>对萝卜包的生产全过程进行规范，包括原材料采购、储存、加工、包装、检验等环节，确保不同企业生产的产品具有一致性。制定详细的技术指标，如萝卜的大小、形状、色泽、口感、盐分含量、酸度等，以便企业在生产过程中有明确的质量控制标准。规定萝卜包的包装形式、规格、标签内容等，确保产品的包装符合相关标准和法规要求。</w:t>
      </w:r>
    </w:p>
    <w:p w14:paraId="59FFA4F7">
      <w:pPr>
        <w:pStyle w:val="2"/>
        <w:spacing w:before="69" w:line="314" w:lineRule="auto"/>
        <w:ind w:left="33" w:right="29" w:firstLine="650"/>
        <w:jc w:val="both"/>
        <w:rPr>
          <w:rFonts w:hint="eastAsia"/>
          <w:spacing w:val="-15"/>
          <w:sz w:val="33"/>
          <w:szCs w:val="33"/>
        </w:rPr>
      </w:pPr>
      <w:r>
        <w:rPr>
          <w:rFonts w:hint="eastAsia"/>
          <w:spacing w:val="-15"/>
          <w:sz w:val="33"/>
          <w:szCs w:val="33"/>
        </w:rPr>
        <w:t>可操作性原则</w:t>
      </w:r>
      <w:r>
        <w:rPr>
          <w:rFonts w:hint="eastAsia"/>
          <w:spacing w:val="-15"/>
          <w:sz w:val="33"/>
          <w:szCs w:val="33"/>
          <w:lang w:eastAsia="zh-CN"/>
        </w:rPr>
        <w:t>：</w:t>
      </w:r>
      <w:r>
        <w:rPr>
          <w:rFonts w:hint="eastAsia"/>
          <w:spacing w:val="-15"/>
          <w:sz w:val="33"/>
          <w:szCs w:val="33"/>
        </w:rPr>
        <w:t>标准的制定应充分考虑企业的生产实际，避免过于复杂或难以实现的操作要求。例如，在规定生产设备和工艺参数时，应考虑到不同规模企业的实际情况，确保标准具有可操作性。对生产过程中的关键环节，如萝卜的腌制时间、温度、调料比例等，提供具体的操作指导和建议，帮助企业更好地掌握生产技术。</w:t>
      </w:r>
    </w:p>
    <w:p w14:paraId="5B3916D0">
      <w:pPr>
        <w:pStyle w:val="2"/>
        <w:keepNext w:val="0"/>
        <w:keepLines w:val="0"/>
        <w:pageBreakBefore w:val="0"/>
        <w:widowControl/>
        <w:kinsoku w:val="0"/>
        <w:wordWrap/>
        <w:overflowPunct/>
        <w:topLinePunct w:val="0"/>
        <w:autoSpaceDE w:val="0"/>
        <w:autoSpaceDN w:val="0"/>
        <w:bidi w:val="0"/>
        <w:adjustRightInd w:val="0"/>
        <w:snapToGrid w:val="0"/>
        <w:spacing w:before="77" w:line="332" w:lineRule="auto"/>
        <w:ind w:firstLine="650"/>
        <w:jc w:val="both"/>
        <w:textAlignment w:val="baseline"/>
        <w:rPr>
          <w:spacing w:val="-3"/>
          <w:sz w:val="33"/>
          <w:szCs w:val="32"/>
        </w:rPr>
      </w:pPr>
      <w:r>
        <w:rPr>
          <w:spacing w:val="-11"/>
          <w:sz w:val="33"/>
          <w:szCs w:val="32"/>
        </w:rPr>
        <w:t>公正公平原则：标准的编制过程应当公正、公平、透明。</w:t>
      </w:r>
      <w:r>
        <w:rPr>
          <w:spacing w:val="-2"/>
          <w:sz w:val="33"/>
          <w:szCs w:val="32"/>
        </w:rPr>
        <w:t>应广泛征求相关行业和领域的专家、从业者、企事业单</w:t>
      </w:r>
      <w:r>
        <w:rPr>
          <w:spacing w:val="-3"/>
          <w:sz w:val="33"/>
          <w:szCs w:val="32"/>
        </w:rPr>
        <w:t>位以及相关利益相关方的意见和建议，并且要充分考虑不同利益相关方的利益平衡，确保标准制定的公正性和公平性。</w:t>
      </w:r>
    </w:p>
    <w:p w14:paraId="5BE232BB">
      <w:pPr>
        <w:keepNext w:val="0"/>
        <w:keepLines w:val="0"/>
        <w:pageBreakBefore w:val="0"/>
        <w:widowControl/>
        <w:kinsoku w:val="0"/>
        <w:wordWrap/>
        <w:overflowPunct/>
        <w:topLinePunct w:val="0"/>
        <w:autoSpaceDE w:val="0"/>
        <w:autoSpaceDN w:val="0"/>
        <w:bidi w:val="0"/>
        <w:adjustRightInd w:val="0"/>
        <w:snapToGrid w:val="0"/>
        <w:spacing w:before="63" w:line="332" w:lineRule="auto"/>
        <w:ind w:left="814"/>
        <w:textAlignment w:val="baseline"/>
        <w:outlineLvl w:val="6"/>
        <w:rPr>
          <w:rFonts w:ascii="楷体" w:hAnsi="楷体" w:eastAsia="楷体" w:cs="楷体"/>
          <w:sz w:val="33"/>
          <w:szCs w:val="32"/>
        </w:rPr>
      </w:pPr>
      <w:r>
        <w:rPr>
          <w:rFonts w:ascii="楷体" w:hAnsi="楷体" w:eastAsia="楷体" w:cs="楷体"/>
          <w:b/>
          <w:bCs/>
          <w:spacing w:val="8"/>
          <w:sz w:val="33"/>
          <w:szCs w:val="32"/>
        </w:rPr>
        <w:t>(二)主要内容和技术要求</w:t>
      </w:r>
    </w:p>
    <w:p w14:paraId="0DC3DE77">
      <w:pPr>
        <w:pStyle w:val="2"/>
        <w:keepNext w:val="0"/>
        <w:keepLines w:val="0"/>
        <w:pageBreakBefore w:val="0"/>
        <w:widowControl/>
        <w:kinsoku w:val="0"/>
        <w:wordWrap/>
        <w:overflowPunct/>
        <w:topLinePunct w:val="0"/>
        <w:autoSpaceDE w:val="0"/>
        <w:autoSpaceDN w:val="0"/>
        <w:bidi w:val="0"/>
        <w:adjustRightInd w:val="0"/>
        <w:snapToGrid w:val="0"/>
        <w:spacing w:before="77" w:line="332" w:lineRule="auto"/>
        <w:ind w:right="90" w:firstLine="650"/>
        <w:textAlignment w:val="baseline"/>
        <w:rPr>
          <w:rFonts w:hint="eastAsia"/>
          <w:spacing w:val="-3"/>
          <w:sz w:val="33"/>
          <w:szCs w:val="32"/>
          <w:lang w:val="en-US" w:eastAsia="zh-CN"/>
        </w:rPr>
      </w:pPr>
      <w:r>
        <w:rPr>
          <w:spacing w:val="-3"/>
          <w:sz w:val="33"/>
          <w:szCs w:val="32"/>
        </w:rPr>
        <w:t>1.</w:t>
      </w:r>
      <w:r>
        <w:rPr>
          <w:rFonts w:hint="eastAsia"/>
          <w:spacing w:val="-3"/>
          <w:sz w:val="33"/>
          <w:szCs w:val="32"/>
        </w:rPr>
        <w:t>食品原辅材料、食品添加剂和食品相关产品的管理</w:t>
      </w:r>
      <w:r>
        <w:rPr>
          <w:spacing w:val="-3"/>
          <w:sz w:val="33"/>
          <w:szCs w:val="32"/>
        </w:rPr>
        <w:t>。主要针对</w:t>
      </w:r>
      <w:r>
        <w:rPr>
          <w:rFonts w:hint="eastAsia"/>
          <w:spacing w:val="-3"/>
          <w:sz w:val="33"/>
          <w:szCs w:val="32"/>
          <w:lang w:eastAsia="zh-CN"/>
        </w:rPr>
        <w:t>原辅料的标准、采购、验收、贮存、运输等方面</w:t>
      </w:r>
      <w:r>
        <w:rPr>
          <w:rFonts w:hint="eastAsia"/>
          <w:spacing w:val="-3"/>
          <w:sz w:val="33"/>
          <w:szCs w:val="32"/>
          <w:lang w:val="en-US" w:eastAsia="zh-CN"/>
        </w:rPr>
        <w:t>进行规范。</w:t>
      </w:r>
    </w:p>
    <w:p w14:paraId="593D4948">
      <w:pPr>
        <w:pStyle w:val="2"/>
        <w:spacing w:before="77" w:line="335" w:lineRule="auto"/>
        <w:ind w:right="90" w:firstLine="650"/>
        <w:rPr>
          <w:sz w:val="33"/>
          <w:szCs w:val="32"/>
        </w:rPr>
      </w:pPr>
      <w:r>
        <w:rPr>
          <w:rFonts w:hint="eastAsia"/>
          <w:spacing w:val="-3"/>
          <w:sz w:val="33"/>
          <w:szCs w:val="32"/>
          <w:lang w:val="en-US" w:eastAsia="zh-CN"/>
        </w:rPr>
        <w:t>2.加工企业条件。主要针对环境、车间及设施、生产设备及卫生控制程序、生产人员等</w:t>
      </w:r>
      <w:r>
        <w:rPr>
          <w:rFonts w:hint="eastAsia"/>
          <w:spacing w:val="-3"/>
          <w:sz w:val="33"/>
          <w:szCs w:val="32"/>
          <w:lang w:eastAsia="zh-CN"/>
        </w:rPr>
        <w:t>进行规范</w:t>
      </w:r>
      <w:r>
        <w:rPr>
          <w:spacing w:val="-19"/>
          <w:sz w:val="33"/>
          <w:szCs w:val="32"/>
        </w:rPr>
        <w:t>。</w:t>
      </w:r>
    </w:p>
    <w:p w14:paraId="64CA6522">
      <w:pPr>
        <w:pStyle w:val="2"/>
        <w:spacing w:before="64" w:line="330" w:lineRule="auto"/>
        <w:ind w:right="98" w:firstLine="650"/>
        <w:rPr>
          <w:rFonts w:hint="eastAsia"/>
          <w:spacing w:val="-2"/>
          <w:sz w:val="33"/>
          <w:szCs w:val="32"/>
          <w:lang w:eastAsia="zh-CN"/>
        </w:rPr>
      </w:pPr>
      <w:r>
        <w:rPr>
          <w:rFonts w:hint="eastAsia"/>
          <w:spacing w:val="-2"/>
          <w:sz w:val="33"/>
          <w:szCs w:val="32"/>
          <w:lang w:val="en-US" w:eastAsia="zh-CN"/>
        </w:rPr>
        <w:t>3</w:t>
      </w:r>
      <w:r>
        <w:rPr>
          <w:spacing w:val="-2"/>
          <w:sz w:val="33"/>
          <w:szCs w:val="32"/>
        </w:rPr>
        <w:t>.</w:t>
      </w:r>
      <w:r>
        <w:rPr>
          <w:rFonts w:hint="eastAsia"/>
          <w:spacing w:val="-2"/>
          <w:sz w:val="33"/>
          <w:szCs w:val="32"/>
        </w:rPr>
        <w:t>生产工艺流程</w:t>
      </w:r>
      <w:r>
        <w:rPr>
          <w:rFonts w:hint="eastAsia"/>
          <w:spacing w:val="-2"/>
          <w:sz w:val="33"/>
          <w:szCs w:val="32"/>
          <w:lang w:eastAsia="zh-CN"/>
        </w:rPr>
        <w:t>。</w:t>
      </w:r>
      <w:r>
        <w:rPr>
          <w:rFonts w:hint="eastAsia"/>
          <w:spacing w:val="-3"/>
          <w:sz w:val="33"/>
          <w:szCs w:val="32"/>
          <w:lang w:val="en-US" w:eastAsia="zh-CN"/>
        </w:rPr>
        <w:t>主要针对原料预处理、切片、煮制、装袋、杀菌、冷却</w:t>
      </w:r>
      <w:r>
        <w:rPr>
          <w:rFonts w:hint="eastAsia"/>
          <w:spacing w:val="-2"/>
          <w:sz w:val="33"/>
          <w:szCs w:val="32"/>
          <w:lang w:eastAsia="zh-CN"/>
        </w:rPr>
        <w:t>进行规范。</w:t>
      </w:r>
    </w:p>
    <w:p w14:paraId="43CC142C">
      <w:pPr>
        <w:keepNext w:val="0"/>
        <w:keepLines w:val="0"/>
        <w:pageBreakBefore w:val="0"/>
        <w:widowControl/>
        <w:kinsoku w:val="0"/>
        <w:wordWrap/>
        <w:overflowPunct/>
        <w:topLinePunct w:val="0"/>
        <w:autoSpaceDE w:val="0"/>
        <w:autoSpaceDN w:val="0"/>
        <w:bidi w:val="0"/>
        <w:adjustRightInd w:val="0"/>
        <w:snapToGrid w:val="0"/>
        <w:spacing w:before="26" w:line="332" w:lineRule="auto"/>
        <w:ind w:firstLine="651" w:firstLineChars="200"/>
        <w:textAlignment w:val="baseline"/>
        <w:outlineLvl w:val="6"/>
        <w:rPr>
          <w:rFonts w:ascii="楷体" w:hAnsi="楷体" w:eastAsia="楷体" w:cs="楷体"/>
          <w:sz w:val="33"/>
          <w:szCs w:val="32"/>
        </w:rPr>
      </w:pPr>
      <w:r>
        <w:rPr>
          <w:rFonts w:ascii="楷体" w:hAnsi="楷体" w:eastAsia="楷体" w:cs="楷体"/>
          <w:b/>
          <w:bCs/>
          <w:spacing w:val="-3"/>
          <w:sz w:val="33"/>
          <w:szCs w:val="32"/>
        </w:rPr>
        <w:t>(三)确定主要内容的依据</w:t>
      </w:r>
    </w:p>
    <w:p w14:paraId="3991B05F">
      <w:pPr>
        <w:pStyle w:val="2"/>
        <w:keepNext w:val="0"/>
        <w:keepLines w:val="0"/>
        <w:pageBreakBefore w:val="0"/>
        <w:widowControl/>
        <w:kinsoku w:val="0"/>
        <w:wordWrap/>
        <w:overflowPunct/>
        <w:topLinePunct w:val="0"/>
        <w:autoSpaceDE w:val="0"/>
        <w:autoSpaceDN w:val="0"/>
        <w:bidi w:val="0"/>
        <w:adjustRightInd w:val="0"/>
        <w:snapToGrid w:val="0"/>
        <w:spacing w:line="332" w:lineRule="auto"/>
        <w:ind w:left="0" w:firstLine="616" w:firstLineChars="200"/>
        <w:jc w:val="both"/>
        <w:textAlignment w:val="baseline"/>
        <w:rPr>
          <w:spacing w:val="-11"/>
          <w:sz w:val="33"/>
          <w:szCs w:val="32"/>
        </w:rPr>
      </w:pPr>
      <w:r>
        <w:rPr>
          <w:spacing w:val="-11"/>
          <w:sz w:val="33"/>
          <w:szCs w:val="32"/>
        </w:rPr>
        <w:t>本标准的制定制定遵循标准化工作的基本原则，确保标准的科学性、合理性和可操作性。参考食品包装相关的国家标准</w:t>
      </w:r>
      <w:r>
        <w:rPr>
          <w:rFonts w:hint="eastAsia"/>
          <w:spacing w:val="-11"/>
          <w:sz w:val="33"/>
          <w:szCs w:val="32"/>
          <w:lang w:eastAsia="zh-CN"/>
        </w:rPr>
        <w:t>、行业标准、地方标准，依据</w:t>
      </w:r>
      <w:r>
        <w:rPr>
          <w:spacing w:val="-11"/>
          <w:sz w:val="33"/>
          <w:szCs w:val="32"/>
        </w:rPr>
        <w:t>预包装兰州牛肉拉面的产品特点</w:t>
      </w:r>
      <w:r>
        <w:rPr>
          <w:rFonts w:hint="eastAsia"/>
          <w:spacing w:val="-11"/>
          <w:sz w:val="33"/>
          <w:szCs w:val="32"/>
          <w:lang w:eastAsia="zh-CN"/>
        </w:rPr>
        <w:t>和企业、市场的需求，</w:t>
      </w:r>
      <w:r>
        <w:rPr>
          <w:spacing w:val="-11"/>
          <w:sz w:val="33"/>
          <w:szCs w:val="32"/>
        </w:rPr>
        <w:t>确保标准的科学性、实用性和适用性。</w:t>
      </w:r>
    </w:p>
    <w:p w14:paraId="4EE5125F">
      <w:pPr>
        <w:spacing w:before="119" w:line="224" w:lineRule="auto"/>
        <w:ind w:left="630"/>
        <w:rPr>
          <w:rFonts w:ascii="楷体" w:hAnsi="楷体" w:eastAsia="楷体" w:cs="楷体"/>
          <w:sz w:val="33"/>
          <w:szCs w:val="32"/>
        </w:rPr>
      </w:pPr>
      <w:r>
        <w:rPr>
          <w:rFonts w:ascii="宋体" w:hAnsi="宋体" w:eastAsia="宋体" w:cs="宋体"/>
          <w:spacing w:val="-16"/>
          <w:sz w:val="33"/>
          <w:szCs w:val="32"/>
        </w:rPr>
        <w:t>(</w:t>
      </w:r>
      <w:r>
        <w:rPr>
          <w:rFonts w:ascii="宋体" w:hAnsi="宋体" w:eastAsia="宋体" w:cs="宋体"/>
          <w:spacing w:val="-37"/>
          <w:sz w:val="33"/>
          <w:szCs w:val="32"/>
        </w:rPr>
        <w:t xml:space="preserve"> </w:t>
      </w:r>
      <w:r>
        <w:rPr>
          <w:rFonts w:ascii="宋体" w:hAnsi="宋体" w:eastAsia="宋体" w:cs="宋体"/>
          <w:spacing w:val="-16"/>
          <w:sz w:val="33"/>
          <w:szCs w:val="32"/>
        </w:rPr>
        <w:t>四</w:t>
      </w:r>
      <w:r>
        <w:rPr>
          <w:rFonts w:ascii="宋体" w:hAnsi="宋体" w:eastAsia="宋体" w:cs="宋体"/>
          <w:spacing w:val="-74"/>
          <w:sz w:val="33"/>
          <w:szCs w:val="32"/>
        </w:rPr>
        <w:t xml:space="preserve"> </w:t>
      </w:r>
      <w:r>
        <w:rPr>
          <w:rFonts w:ascii="宋体" w:hAnsi="宋体" w:eastAsia="宋体" w:cs="宋体"/>
          <w:spacing w:val="-16"/>
          <w:sz w:val="33"/>
          <w:szCs w:val="32"/>
        </w:rPr>
        <w:t>)</w:t>
      </w:r>
      <w:r>
        <w:rPr>
          <w:rFonts w:ascii="楷体" w:hAnsi="楷体" w:eastAsia="楷体" w:cs="楷体"/>
          <w:spacing w:val="-16"/>
          <w:sz w:val="33"/>
          <w:szCs w:val="32"/>
        </w:rPr>
        <w:t>标准章节结构及框架</w:t>
      </w:r>
    </w:p>
    <w:p w14:paraId="575579D8">
      <w:pPr>
        <w:pStyle w:val="2"/>
        <w:spacing w:before="189" w:line="222" w:lineRule="auto"/>
        <w:ind w:left="630"/>
        <w:rPr>
          <w:sz w:val="33"/>
          <w:szCs w:val="32"/>
        </w:rPr>
      </w:pPr>
      <w:r>
        <w:rPr>
          <w:spacing w:val="-7"/>
          <w:sz w:val="33"/>
          <w:szCs w:val="32"/>
        </w:rPr>
        <w:t>本标准共包含以下</w:t>
      </w:r>
      <w:r>
        <w:rPr>
          <w:rFonts w:hint="eastAsia"/>
          <w:spacing w:val="-7"/>
          <w:sz w:val="33"/>
          <w:szCs w:val="32"/>
          <w:lang w:val="en-US" w:eastAsia="zh-CN"/>
        </w:rPr>
        <w:t>10</w:t>
      </w:r>
      <w:r>
        <w:rPr>
          <w:spacing w:val="-7"/>
          <w:sz w:val="33"/>
          <w:szCs w:val="32"/>
        </w:rPr>
        <w:t>个章节：</w:t>
      </w:r>
    </w:p>
    <w:p w14:paraId="1898DADC">
      <w:pPr>
        <w:pStyle w:val="2"/>
        <w:spacing w:before="211" w:line="313" w:lineRule="auto"/>
        <w:ind w:right="138" w:firstLine="630"/>
        <w:rPr>
          <w:sz w:val="33"/>
          <w:szCs w:val="32"/>
        </w:rPr>
      </w:pPr>
      <w:r>
        <w:rPr>
          <w:spacing w:val="-13"/>
          <w:sz w:val="33"/>
          <w:szCs w:val="32"/>
        </w:rPr>
        <w:t>1.范围。规定了《</w:t>
      </w:r>
      <w:r>
        <w:rPr>
          <w:rFonts w:hint="eastAsia"/>
          <w:spacing w:val="-13"/>
          <w:sz w:val="33"/>
          <w:szCs w:val="32"/>
          <w:lang w:eastAsia="zh-CN"/>
        </w:rPr>
        <w:t>预包装兰州牛肉拉面用萝卜包生产操作规范</w:t>
      </w:r>
      <w:r>
        <w:rPr>
          <w:spacing w:val="-13"/>
          <w:sz w:val="33"/>
          <w:szCs w:val="32"/>
        </w:rPr>
        <w:t>》适</w:t>
      </w:r>
      <w:r>
        <w:rPr>
          <w:spacing w:val="-18"/>
          <w:sz w:val="33"/>
          <w:szCs w:val="32"/>
        </w:rPr>
        <w:t>用范围。</w:t>
      </w:r>
    </w:p>
    <w:p w14:paraId="1102683B">
      <w:pPr>
        <w:pStyle w:val="2"/>
        <w:spacing w:before="70" w:line="321" w:lineRule="auto"/>
        <w:ind w:right="141" w:firstLine="630"/>
        <w:rPr>
          <w:sz w:val="33"/>
          <w:szCs w:val="32"/>
        </w:rPr>
      </w:pPr>
      <w:r>
        <w:rPr>
          <w:sz w:val="33"/>
          <w:szCs w:val="32"/>
        </w:rPr>
        <w:t>2.规范性引用文件。本规范引用了</w:t>
      </w:r>
      <w:r>
        <w:rPr>
          <w:rFonts w:hint="eastAsia"/>
          <w:sz w:val="33"/>
          <w:szCs w:val="32"/>
          <w:lang w:val="en-US" w:eastAsia="zh-CN"/>
        </w:rPr>
        <w:t>20</w:t>
      </w:r>
      <w:r>
        <w:rPr>
          <w:sz w:val="33"/>
          <w:szCs w:val="32"/>
        </w:rPr>
        <w:t>个国家标准(推荐</w:t>
      </w:r>
      <w:r>
        <w:rPr>
          <w:spacing w:val="10"/>
          <w:sz w:val="33"/>
          <w:szCs w:val="32"/>
        </w:rPr>
        <w:t>标准)。</w:t>
      </w:r>
    </w:p>
    <w:p w14:paraId="29438870">
      <w:pPr>
        <w:pStyle w:val="2"/>
        <w:spacing w:before="55" w:line="307" w:lineRule="auto"/>
        <w:ind w:right="143" w:firstLine="630"/>
        <w:rPr>
          <w:sz w:val="33"/>
          <w:szCs w:val="32"/>
        </w:rPr>
      </w:pPr>
      <w:r>
        <w:rPr>
          <w:spacing w:val="-6"/>
          <w:sz w:val="33"/>
          <w:szCs w:val="32"/>
        </w:rPr>
        <w:t>3.术语和定义。界定了</w:t>
      </w:r>
      <w:r>
        <w:rPr>
          <w:rFonts w:hint="eastAsia"/>
          <w:spacing w:val="-6"/>
          <w:sz w:val="33"/>
          <w:szCs w:val="32"/>
          <w:lang w:eastAsia="zh-CN"/>
        </w:rPr>
        <w:t>预包装兰州牛肉拉面等</w:t>
      </w:r>
      <w:r>
        <w:rPr>
          <w:rFonts w:hint="eastAsia"/>
          <w:spacing w:val="-6"/>
          <w:sz w:val="33"/>
          <w:szCs w:val="32"/>
          <w:lang w:val="en-US" w:eastAsia="zh-CN"/>
        </w:rPr>
        <w:t>3个</w:t>
      </w:r>
      <w:r>
        <w:rPr>
          <w:spacing w:val="-7"/>
          <w:sz w:val="33"/>
          <w:szCs w:val="32"/>
        </w:rPr>
        <w:t>标准术语</w:t>
      </w:r>
      <w:r>
        <w:rPr>
          <w:spacing w:val="-18"/>
          <w:sz w:val="33"/>
          <w:szCs w:val="32"/>
        </w:rPr>
        <w:t>和定义。</w:t>
      </w:r>
    </w:p>
    <w:p w14:paraId="16EF9F5C">
      <w:pPr>
        <w:pStyle w:val="2"/>
        <w:spacing w:before="77" w:line="335" w:lineRule="auto"/>
        <w:ind w:right="90" w:firstLine="650"/>
        <w:rPr>
          <w:sz w:val="33"/>
          <w:szCs w:val="32"/>
        </w:rPr>
      </w:pPr>
      <w:r>
        <w:rPr>
          <w:spacing w:val="-8"/>
          <w:sz w:val="33"/>
          <w:szCs w:val="32"/>
        </w:rPr>
        <w:t>4.</w:t>
      </w:r>
      <w:r>
        <w:rPr>
          <w:rFonts w:hint="eastAsia"/>
          <w:spacing w:val="-3"/>
          <w:sz w:val="33"/>
          <w:szCs w:val="32"/>
        </w:rPr>
        <w:t>食品原辅材料、食品添加剂和食品相关产品的管理</w:t>
      </w:r>
      <w:r>
        <w:rPr>
          <w:spacing w:val="-3"/>
          <w:sz w:val="33"/>
          <w:szCs w:val="32"/>
        </w:rPr>
        <w:t>。主要针对</w:t>
      </w:r>
      <w:r>
        <w:rPr>
          <w:rFonts w:hint="eastAsia"/>
          <w:spacing w:val="-3"/>
          <w:sz w:val="33"/>
          <w:szCs w:val="32"/>
          <w:lang w:eastAsia="zh-CN"/>
        </w:rPr>
        <w:t>原辅料的标准、采购、验收、贮存、运输等方面</w:t>
      </w:r>
      <w:r>
        <w:rPr>
          <w:rFonts w:hint="eastAsia"/>
          <w:spacing w:val="-3"/>
          <w:sz w:val="33"/>
          <w:szCs w:val="32"/>
          <w:lang w:val="en-US" w:eastAsia="zh-CN"/>
        </w:rPr>
        <w:t>进行规范。</w:t>
      </w:r>
    </w:p>
    <w:p w14:paraId="4827FAF4">
      <w:pPr>
        <w:pStyle w:val="2"/>
        <w:spacing w:before="77" w:line="335" w:lineRule="auto"/>
        <w:ind w:right="90" w:firstLine="650"/>
        <w:rPr>
          <w:sz w:val="33"/>
          <w:szCs w:val="32"/>
        </w:rPr>
      </w:pPr>
      <w:r>
        <w:rPr>
          <w:spacing w:val="-9"/>
          <w:sz w:val="33"/>
          <w:szCs w:val="32"/>
        </w:rPr>
        <w:t>5.</w:t>
      </w:r>
      <w:r>
        <w:rPr>
          <w:rFonts w:hint="eastAsia"/>
          <w:spacing w:val="-3"/>
          <w:sz w:val="33"/>
          <w:szCs w:val="32"/>
          <w:lang w:val="en-US" w:eastAsia="zh-CN"/>
        </w:rPr>
        <w:t>加工企业条件。主要针对环境、车间及设施、生产设备及卫生控制程序、生产人员等</w:t>
      </w:r>
      <w:r>
        <w:rPr>
          <w:rFonts w:hint="eastAsia"/>
          <w:spacing w:val="-3"/>
          <w:sz w:val="33"/>
          <w:szCs w:val="32"/>
          <w:lang w:eastAsia="zh-CN"/>
        </w:rPr>
        <w:t>进行规范</w:t>
      </w:r>
      <w:r>
        <w:rPr>
          <w:spacing w:val="-19"/>
          <w:sz w:val="33"/>
          <w:szCs w:val="32"/>
        </w:rPr>
        <w:t>。</w:t>
      </w:r>
    </w:p>
    <w:p w14:paraId="2D02B94D">
      <w:pPr>
        <w:pStyle w:val="2"/>
        <w:spacing w:before="64" w:line="330" w:lineRule="auto"/>
        <w:ind w:right="98" w:firstLine="650"/>
        <w:rPr>
          <w:rFonts w:hint="eastAsia" w:eastAsia="仿宋"/>
          <w:sz w:val="33"/>
          <w:szCs w:val="32"/>
          <w:lang w:eastAsia="zh-CN"/>
        </w:rPr>
      </w:pPr>
      <w:r>
        <w:rPr>
          <w:spacing w:val="3"/>
          <w:sz w:val="33"/>
          <w:szCs w:val="32"/>
        </w:rPr>
        <w:t>6.</w:t>
      </w:r>
      <w:r>
        <w:rPr>
          <w:rFonts w:hint="eastAsia"/>
          <w:spacing w:val="-2"/>
          <w:sz w:val="33"/>
          <w:szCs w:val="32"/>
        </w:rPr>
        <w:t>生产工艺流程</w:t>
      </w:r>
      <w:r>
        <w:rPr>
          <w:rFonts w:hint="eastAsia"/>
          <w:spacing w:val="-2"/>
          <w:sz w:val="33"/>
          <w:szCs w:val="32"/>
          <w:lang w:eastAsia="zh-CN"/>
        </w:rPr>
        <w:t>。</w:t>
      </w:r>
      <w:r>
        <w:rPr>
          <w:rFonts w:hint="eastAsia"/>
          <w:spacing w:val="-3"/>
          <w:sz w:val="33"/>
          <w:szCs w:val="32"/>
          <w:lang w:val="en-US" w:eastAsia="zh-CN"/>
        </w:rPr>
        <w:t>主要针对原料预处理、切片、煮制、装袋、杀菌、冷却</w:t>
      </w:r>
      <w:r>
        <w:rPr>
          <w:rFonts w:hint="eastAsia"/>
          <w:spacing w:val="-2"/>
          <w:sz w:val="33"/>
          <w:szCs w:val="32"/>
          <w:lang w:eastAsia="zh-CN"/>
        </w:rPr>
        <w:t>进行规范。</w:t>
      </w:r>
    </w:p>
    <w:p w14:paraId="6A6217EF">
      <w:pPr>
        <w:pStyle w:val="2"/>
        <w:spacing w:before="107" w:line="325" w:lineRule="auto"/>
        <w:ind w:right="214" w:firstLine="632" w:firstLineChars="200"/>
        <w:rPr>
          <w:rFonts w:hint="eastAsia"/>
          <w:spacing w:val="-7"/>
          <w:sz w:val="33"/>
          <w:szCs w:val="32"/>
          <w:lang w:eastAsia="zh-CN"/>
        </w:rPr>
      </w:pPr>
      <w:r>
        <w:rPr>
          <w:spacing w:val="-7"/>
          <w:sz w:val="33"/>
          <w:szCs w:val="32"/>
        </w:rPr>
        <w:t>7.</w:t>
      </w:r>
      <w:r>
        <w:rPr>
          <w:rFonts w:hint="eastAsia"/>
          <w:spacing w:val="-7"/>
          <w:sz w:val="33"/>
          <w:szCs w:val="32"/>
        </w:rPr>
        <w:t xml:space="preserve">包装、标签和保质期 </w:t>
      </w:r>
      <w:r>
        <w:rPr>
          <w:spacing w:val="-7"/>
          <w:sz w:val="33"/>
          <w:szCs w:val="32"/>
        </w:rPr>
        <w:t>。</w:t>
      </w:r>
      <w:r>
        <w:rPr>
          <w:rFonts w:hint="eastAsia"/>
          <w:spacing w:val="-7"/>
          <w:sz w:val="33"/>
          <w:szCs w:val="32"/>
          <w:lang w:eastAsia="zh-CN"/>
        </w:rPr>
        <w:t>主要针对预包装兰州牛肉拉面成品及半成品的包装、标签和保质期进行规范。</w:t>
      </w:r>
    </w:p>
    <w:p w14:paraId="0097507A">
      <w:pPr>
        <w:pStyle w:val="2"/>
        <w:spacing w:before="107" w:line="325" w:lineRule="auto"/>
        <w:ind w:right="214" w:firstLine="632" w:firstLineChars="200"/>
        <w:rPr>
          <w:rFonts w:hint="eastAsia"/>
          <w:spacing w:val="-7"/>
          <w:sz w:val="33"/>
          <w:szCs w:val="32"/>
          <w:lang w:val="en-US" w:eastAsia="zh-CN"/>
        </w:rPr>
      </w:pPr>
      <w:r>
        <w:rPr>
          <w:rFonts w:hint="eastAsia"/>
          <w:spacing w:val="-7"/>
          <w:sz w:val="33"/>
          <w:szCs w:val="32"/>
          <w:lang w:val="en-US" w:eastAsia="zh-CN"/>
        </w:rPr>
        <w:t>8.留样管理。主要针对留样、留样储存、留样记录进行规范。</w:t>
      </w:r>
    </w:p>
    <w:p w14:paraId="2A2B06F4">
      <w:pPr>
        <w:pStyle w:val="2"/>
        <w:spacing w:before="107" w:line="325" w:lineRule="auto"/>
        <w:ind w:right="214" w:firstLine="632" w:firstLineChars="200"/>
        <w:rPr>
          <w:rFonts w:hint="eastAsia"/>
          <w:spacing w:val="-7"/>
          <w:sz w:val="33"/>
          <w:szCs w:val="32"/>
          <w:lang w:val="en-US" w:eastAsia="zh-CN"/>
        </w:rPr>
      </w:pPr>
      <w:r>
        <w:rPr>
          <w:rFonts w:hint="eastAsia"/>
          <w:spacing w:val="-7"/>
          <w:sz w:val="33"/>
          <w:szCs w:val="32"/>
          <w:lang w:val="en-US" w:eastAsia="zh-CN"/>
        </w:rPr>
        <w:t>9.成品储存。主要针对成品储存库房、及储存方式进行规范。</w:t>
      </w:r>
    </w:p>
    <w:p w14:paraId="3D51F194">
      <w:pPr>
        <w:pStyle w:val="2"/>
        <w:spacing w:before="107" w:line="325" w:lineRule="auto"/>
        <w:ind w:right="214" w:firstLine="632" w:firstLineChars="200"/>
        <w:rPr>
          <w:rFonts w:hint="default"/>
          <w:spacing w:val="-7"/>
          <w:sz w:val="33"/>
          <w:szCs w:val="32"/>
          <w:lang w:val="en-US" w:eastAsia="zh-CN"/>
        </w:rPr>
      </w:pPr>
      <w:r>
        <w:rPr>
          <w:rFonts w:hint="eastAsia"/>
          <w:spacing w:val="-7"/>
          <w:sz w:val="33"/>
          <w:szCs w:val="32"/>
          <w:lang w:val="en-US" w:eastAsia="zh-CN"/>
        </w:rPr>
        <w:t>10.运输。主要针对输运工具、搬运等进行规范。</w:t>
      </w:r>
    </w:p>
    <w:p w14:paraId="5D91C2B4">
      <w:pPr>
        <w:spacing w:before="206" w:line="221" w:lineRule="auto"/>
        <w:ind w:left="654"/>
        <w:outlineLvl w:val="6"/>
        <w:rPr>
          <w:rFonts w:ascii="黑体" w:hAnsi="黑体" w:eastAsia="黑体" w:cs="黑体"/>
          <w:sz w:val="33"/>
          <w:szCs w:val="33"/>
        </w:rPr>
      </w:pPr>
      <w:r>
        <w:rPr>
          <w:rFonts w:ascii="黑体" w:hAnsi="黑体" w:eastAsia="黑体" w:cs="黑体"/>
          <w:b/>
          <w:bCs/>
          <w:spacing w:val="-26"/>
          <w:sz w:val="33"/>
          <w:szCs w:val="33"/>
        </w:rPr>
        <w:t>五</w:t>
      </w:r>
      <w:r>
        <w:rPr>
          <w:rFonts w:ascii="黑体" w:hAnsi="黑体" w:eastAsia="黑体" w:cs="黑体"/>
          <w:spacing w:val="-83"/>
          <w:sz w:val="33"/>
          <w:szCs w:val="33"/>
        </w:rPr>
        <w:t xml:space="preserve"> </w:t>
      </w:r>
      <w:r>
        <w:rPr>
          <w:rFonts w:ascii="黑体" w:hAnsi="黑体" w:eastAsia="黑体" w:cs="黑体"/>
          <w:b/>
          <w:bCs/>
          <w:spacing w:val="-26"/>
          <w:sz w:val="33"/>
          <w:szCs w:val="33"/>
        </w:rPr>
        <w:t>、知识产权情况说明</w:t>
      </w:r>
    </w:p>
    <w:p w14:paraId="27A44E90">
      <w:pPr>
        <w:pStyle w:val="2"/>
        <w:spacing w:before="231" w:line="223" w:lineRule="auto"/>
        <w:ind w:left="649"/>
        <w:rPr>
          <w:sz w:val="33"/>
          <w:szCs w:val="33"/>
        </w:rPr>
      </w:pPr>
      <w:r>
        <w:rPr>
          <w:spacing w:val="-20"/>
          <w:sz w:val="33"/>
          <w:szCs w:val="33"/>
        </w:rPr>
        <w:t>不涉及。</w:t>
      </w:r>
    </w:p>
    <w:p w14:paraId="30FFEC68">
      <w:pPr>
        <w:spacing w:before="176" w:line="222" w:lineRule="auto"/>
        <w:ind w:left="654"/>
        <w:outlineLvl w:val="6"/>
        <w:rPr>
          <w:rFonts w:ascii="黑体" w:hAnsi="黑体" w:eastAsia="黑体" w:cs="黑体"/>
          <w:sz w:val="33"/>
          <w:szCs w:val="33"/>
        </w:rPr>
      </w:pPr>
      <w:r>
        <w:rPr>
          <w:rFonts w:ascii="黑体" w:hAnsi="黑体" w:eastAsia="黑体" w:cs="黑体"/>
          <w:b/>
          <w:bCs/>
          <w:spacing w:val="-16"/>
          <w:sz w:val="33"/>
          <w:szCs w:val="33"/>
        </w:rPr>
        <w:t>六、采用国际标准和国外先进标准的程度</w:t>
      </w:r>
    </w:p>
    <w:p w14:paraId="4181332D">
      <w:pPr>
        <w:pStyle w:val="2"/>
        <w:spacing w:before="155" w:line="225" w:lineRule="auto"/>
        <w:ind w:left="649"/>
        <w:rPr>
          <w:sz w:val="38"/>
          <w:szCs w:val="38"/>
        </w:rPr>
      </w:pPr>
      <w:r>
        <w:rPr>
          <w:spacing w:val="-35"/>
          <w:sz w:val="38"/>
          <w:szCs w:val="38"/>
        </w:rPr>
        <w:t>无。</w:t>
      </w:r>
    </w:p>
    <w:p w14:paraId="0004A7AB">
      <w:pPr>
        <w:spacing w:before="195" w:line="222" w:lineRule="auto"/>
        <w:ind w:left="654"/>
        <w:outlineLvl w:val="6"/>
        <w:rPr>
          <w:rFonts w:ascii="黑体" w:hAnsi="黑体" w:eastAsia="黑体" w:cs="黑体"/>
          <w:sz w:val="33"/>
          <w:szCs w:val="33"/>
        </w:rPr>
      </w:pPr>
      <w:r>
        <w:rPr>
          <w:rFonts w:ascii="黑体" w:hAnsi="黑体" w:eastAsia="黑体" w:cs="黑体"/>
          <w:b/>
          <w:bCs/>
          <w:spacing w:val="-15"/>
          <w:sz w:val="33"/>
          <w:szCs w:val="33"/>
        </w:rPr>
        <w:t>七、与现行相关法律、法规、规章及相关标准的协调性</w:t>
      </w:r>
    </w:p>
    <w:p w14:paraId="517E0885">
      <w:pPr>
        <w:pStyle w:val="2"/>
        <w:spacing w:before="106" w:line="320" w:lineRule="auto"/>
        <w:ind w:right="175" w:firstLine="612" w:firstLineChars="200"/>
        <w:rPr>
          <w:sz w:val="32"/>
          <w:szCs w:val="32"/>
        </w:rPr>
      </w:pPr>
      <w:r>
        <w:rPr>
          <w:spacing w:val="-12"/>
          <w:sz w:val="33"/>
          <w:szCs w:val="33"/>
        </w:rPr>
        <w:t>本标准制定将与相关国家标准和行业标准保持协调，遵循更高级</w:t>
      </w:r>
      <w:r>
        <w:rPr>
          <w:spacing w:val="-3"/>
          <w:sz w:val="32"/>
          <w:szCs w:val="32"/>
        </w:rPr>
        <w:t>标准和相关法律法规的基本要求，并结合</w:t>
      </w:r>
      <w:r>
        <w:rPr>
          <w:rFonts w:hint="eastAsia"/>
          <w:spacing w:val="-3"/>
          <w:sz w:val="32"/>
          <w:szCs w:val="32"/>
          <w:lang w:eastAsia="zh-CN"/>
        </w:rPr>
        <w:t>预包装兰州牛肉拉面产业</w:t>
      </w:r>
      <w:r>
        <w:rPr>
          <w:spacing w:val="-3"/>
          <w:sz w:val="32"/>
          <w:szCs w:val="32"/>
        </w:rPr>
        <w:t>实际情况做出</w:t>
      </w:r>
      <w:r>
        <w:rPr>
          <w:spacing w:val="-15"/>
          <w:sz w:val="32"/>
          <w:szCs w:val="32"/>
        </w:rPr>
        <w:t>创新。</w:t>
      </w:r>
    </w:p>
    <w:p w14:paraId="5007015C">
      <w:pPr>
        <w:spacing w:before="32" w:line="221" w:lineRule="auto"/>
        <w:ind w:left="654"/>
        <w:outlineLvl w:val="6"/>
        <w:rPr>
          <w:rFonts w:ascii="黑体" w:hAnsi="黑体" w:eastAsia="黑体" w:cs="黑体"/>
          <w:sz w:val="32"/>
          <w:szCs w:val="32"/>
        </w:rPr>
      </w:pPr>
      <w:r>
        <w:rPr>
          <w:rFonts w:ascii="黑体" w:hAnsi="黑体" w:eastAsia="黑体" w:cs="黑体"/>
          <w:b/>
          <w:bCs/>
          <w:spacing w:val="-7"/>
          <w:sz w:val="32"/>
          <w:szCs w:val="32"/>
        </w:rPr>
        <w:t>八、重大分歧意见</w:t>
      </w:r>
    </w:p>
    <w:p w14:paraId="0E89D318">
      <w:pPr>
        <w:pStyle w:val="2"/>
        <w:spacing w:before="243" w:line="224" w:lineRule="auto"/>
        <w:ind w:left="650"/>
        <w:rPr>
          <w:sz w:val="32"/>
          <w:szCs w:val="32"/>
        </w:rPr>
      </w:pPr>
      <w:r>
        <w:rPr>
          <w:spacing w:val="-11"/>
          <w:sz w:val="32"/>
          <w:szCs w:val="32"/>
        </w:rPr>
        <w:t>无重大分歧意见。</w:t>
      </w:r>
    </w:p>
    <w:p w14:paraId="40404441">
      <w:pPr>
        <w:spacing w:before="205" w:line="222" w:lineRule="auto"/>
        <w:ind w:left="654"/>
        <w:outlineLvl w:val="6"/>
        <w:rPr>
          <w:rFonts w:ascii="黑体" w:hAnsi="黑体" w:eastAsia="黑体" w:cs="黑体"/>
          <w:sz w:val="32"/>
          <w:szCs w:val="32"/>
        </w:rPr>
      </w:pPr>
      <w:r>
        <w:rPr>
          <w:rFonts w:ascii="黑体" w:hAnsi="黑体" w:eastAsia="黑体" w:cs="黑体"/>
          <w:b/>
          <w:bCs/>
          <w:spacing w:val="-17"/>
          <w:sz w:val="32"/>
          <w:szCs w:val="32"/>
        </w:rPr>
        <w:t>九</w:t>
      </w:r>
      <w:r>
        <w:rPr>
          <w:rFonts w:ascii="黑体" w:hAnsi="黑体" w:eastAsia="黑体" w:cs="黑体"/>
          <w:spacing w:val="-26"/>
          <w:sz w:val="32"/>
          <w:szCs w:val="32"/>
        </w:rPr>
        <w:t xml:space="preserve"> </w:t>
      </w:r>
      <w:r>
        <w:rPr>
          <w:rFonts w:ascii="黑体" w:hAnsi="黑体" w:eastAsia="黑体" w:cs="黑体"/>
          <w:b/>
          <w:bCs/>
          <w:spacing w:val="-17"/>
          <w:sz w:val="32"/>
          <w:szCs w:val="32"/>
        </w:rPr>
        <w:t>、贯彻标准的要求和措施建议</w:t>
      </w:r>
    </w:p>
    <w:p w14:paraId="06B301BE">
      <w:pPr>
        <w:pStyle w:val="2"/>
        <w:spacing w:before="194" w:line="330" w:lineRule="auto"/>
        <w:ind w:right="92" w:firstLine="650"/>
        <w:jc w:val="both"/>
        <w:rPr>
          <w:sz w:val="32"/>
          <w:szCs w:val="32"/>
        </w:rPr>
      </w:pPr>
      <w:r>
        <w:rPr>
          <w:spacing w:val="-5"/>
          <w:sz w:val="32"/>
          <w:szCs w:val="32"/>
        </w:rPr>
        <w:t>本标准一经发布，应采用适宜的方式及时对相关管理部</w:t>
      </w:r>
      <w:r>
        <w:rPr>
          <w:spacing w:val="-3"/>
          <w:sz w:val="32"/>
          <w:szCs w:val="32"/>
        </w:rPr>
        <w:t>门和标准实施主体进行宣传和贯彻落实，并做好标准培</w:t>
      </w:r>
      <w:r>
        <w:rPr>
          <w:spacing w:val="-4"/>
          <w:sz w:val="32"/>
          <w:szCs w:val="32"/>
        </w:rPr>
        <w:t>训工</w:t>
      </w:r>
      <w:r>
        <w:rPr>
          <w:spacing w:val="-5"/>
          <w:sz w:val="32"/>
          <w:szCs w:val="32"/>
        </w:rPr>
        <w:t>作，使标准的关联方能及时、准确的实施标准。</w:t>
      </w:r>
    </w:p>
    <w:p w14:paraId="13790B91">
      <w:pPr>
        <w:spacing w:before="64" w:line="221" w:lineRule="auto"/>
        <w:ind w:left="654"/>
        <w:outlineLvl w:val="6"/>
        <w:rPr>
          <w:rFonts w:ascii="黑体" w:hAnsi="黑体" w:eastAsia="黑体" w:cs="黑体"/>
          <w:sz w:val="32"/>
          <w:szCs w:val="32"/>
        </w:rPr>
      </w:pPr>
      <w:r>
        <w:rPr>
          <w:rFonts w:ascii="黑体" w:hAnsi="黑体" w:eastAsia="黑体" w:cs="黑体"/>
          <w:b/>
          <w:bCs/>
          <w:spacing w:val="-6"/>
          <w:sz w:val="32"/>
          <w:szCs w:val="32"/>
        </w:rPr>
        <w:t>十、其他予以说明的事项</w:t>
      </w:r>
    </w:p>
    <w:p w14:paraId="49453063">
      <w:pPr>
        <w:pStyle w:val="2"/>
        <w:spacing w:before="207" w:line="225" w:lineRule="auto"/>
        <w:ind w:left="650"/>
        <w:rPr>
          <w:sz w:val="32"/>
          <w:szCs w:val="32"/>
        </w:rPr>
      </w:pPr>
      <w:r>
        <w:rPr>
          <w:spacing w:val="-17"/>
          <w:sz w:val="32"/>
          <w:szCs w:val="32"/>
        </w:rPr>
        <w:t>无。</w:t>
      </w:r>
    </w:p>
    <w:p w14:paraId="67A4A091">
      <w:pPr>
        <w:spacing w:line="250" w:lineRule="auto"/>
        <w:rPr>
          <w:rFonts w:ascii="Arial"/>
          <w:sz w:val="21"/>
        </w:rPr>
      </w:pPr>
    </w:p>
    <w:p w14:paraId="1BB4F0AD">
      <w:pPr>
        <w:spacing w:line="250" w:lineRule="auto"/>
        <w:rPr>
          <w:rFonts w:ascii="Arial"/>
          <w:sz w:val="21"/>
        </w:rPr>
      </w:pPr>
    </w:p>
    <w:p w14:paraId="182408D0">
      <w:pPr>
        <w:spacing w:line="250" w:lineRule="auto"/>
        <w:rPr>
          <w:rFonts w:ascii="Arial"/>
          <w:sz w:val="21"/>
        </w:rPr>
      </w:pPr>
    </w:p>
    <w:p w14:paraId="58A7FB57">
      <w:pPr>
        <w:spacing w:line="250" w:lineRule="auto"/>
        <w:rPr>
          <w:rFonts w:ascii="Arial"/>
          <w:sz w:val="21"/>
        </w:rPr>
      </w:pPr>
    </w:p>
    <w:p w14:paraId="4F2E5E24">
      <w:pPr>
        <w:spacing w:line="250" w:lineRule="auto"/>
        <w:rPr>
          <w:rFonts w:ascii="Arial"/>
          <w:sz w:val="21"/>
        </w:rPr>
      </w:pPr>
    </w:p>
    <w:p w14:paraId="726A0038">
      <w:pPr>
        <w:pStyle w:val="2"/>
        <w:spacing w:before="104" w:line="334" w:lineRule="auto"/>
        <w:ind w:right="114"/>
        <w:jc w:val="right"/>
        <w:rPr>
          <w:spacing w:val="-3"/>
          <w:sz w:val="32"/>
          <w:szCs w:val="32"/>
        </w:rPr>
      </w:pPr>
      <w:r>
        <w:rPr>
          <w:rFonts w:hint="eastAsia"/>
          <w:spacing w:val="-3"/>
          <w:sz w:val="32"/>
          <w:szCs w:val="32"/>
          <w:lang w:eastAsia="zh-CN"/>
        </w:rPr>
        <w:t>《</w:t>
      </w:r>
      <w:r>
        <w:rPr>
          <w:rFonts w:hint="eastAsia"/>
          <w:spacing w:val="-13"/>
          <w:sz w:val="33"/>
          <w:szCs w:val="33"/>
          <w:lang w:eastAsia="zh-CN"/>
        </w:rPr>
        <w:t>预包装兰州牛肉拉面用萝卜包生产操作规范</w:t>
      </w:r>
      <w:r>
        <w:rPr>
          <w:spacing w:val="-3"/>
          <w:sz w:val="32"/>
          <w:szCs w:val="32"/>
        </w:rPr>
        <w:t>》</w:t>
      </w:r>
    </w:p>
    <w:p w14:paraId="0F78A16D">
      <w:pPr>
        <w:pStyle w:val="2"/>
        <w:spacing w:before="104" w:line="334" w:lineRule="auto"/>
        <w:ind w:right="114"/>
        <w:jc w:val="right"/>
        <w:rPr>
          <w:spacing w:val="11"/>
          <w:sz w:val="32"/>
          <w:szCs w:val="32"/>
        </w:rPr>
      </w:pPr>
      <w:r>
        <w:rPr>
          <w:spacing w:val="-3"/>
          <w:sz w:val="32"/>
          <w:szCs w:val="32"/>
        </w:rPr>
        <w:t>地方标准编制小组</w:t>
      </w:r>
      <w:r>
        <w:rPr>
          <w:spacing w:val="11"/>
          <w:sz w:val="32"/>
          <w:szCs w:val="32"/>
        </w:rPr>
        <w:t xml:space="preserve"> </w:t>
      </w:r>
    </w:p>
    <w:p w14:paraId="3999C68F">
      <w:pPr>
        <w:pStyle w:val="2"/>
        <w:spacing w:before="104" w:line="334" w:lineRule="auto"/>
        <w:ind w:right="114"/>
        <w:jc w:val="right"/>
        <w:rPr>
          <w:sz w:val="32"/>
          <w:szCs w:val="32"/>
        </w:rPr>
      </w:pPr>
      <w:r>
        <w:rPr>
          <w:spacing w:val="38"/>
          <w:sz w:val="32"/>
          <w:szCs w:val="32"/>
        </w:rPr>
        <w:t>2024年</w:t>
      </w:r>
      <w:r>
        <w:rPr>
          <w:rFonts w:hint="eastAsia"/>
          <w:spacing w:val="38"/>
          <w:sz w:val="32"/>
          <w:szCs w:val="32"/>
          <w:lang w:val="en-US" w:eastAsia="zh-CN"/>
        </w:rPr>
        <w:t>9</w:t>
      </w:r>
      <w:r>
        <w:rPr>
          <w:spacing w:val="38"/>
          <w:sz w:val="32"/>
          <w:szCs w:val="32"/>
        </w:rPr>
        <w:t>月</w:t>
      </w:r>
      <w:r>
        <w:rPr>
          <w:rFonts w:hint="eastAsia"/>
          <w:spacing w:val="38"/>
          <w:sz w:val="32"/>
          <w:szCs w:val="32"/>
          <w:lang w:val="en-US" w:eastAsia="zh-CN"/>
        </w:rPr>
        <w:t>19</w:t>
      </w:r>
      <w:r>
        <w:rPr>
          <w:spacing w:val="38"/>
          <w:sz w:val="32"/>
          <w:szCs w:val="32"/>
        </w:rPr>
        <w:t>日</w:t>
      </w:r>
    </w:p>
    <w:sectPr>
      <w:headerReference r:id="rId5" w:type="default"/>
      <w:footerReference r:id="rId6" w:type="default"/>
      <w:pgSz w:w="11840" w:h="16740"/>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4BB6A">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71988">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F73D3D"/>
    <w:multiLevelType w:val="singleLevel"/>
    <w:tmpl w:val="A5F73D3D"/>
    <w:lvl w:ilvl="0" w:tentative="0">
      <w:start w:val="2"/>
      <w:numFmt w:val="chineseCounting"/>
      <w:lvlText w:val="(%1)"/>
      <w:lvlJc w:val="left"/>
      <w:pPr>
        <w:tabs>
          <w:tab w:val="left" w:pos="312"/>
        </w:tabs>
      </w:pPr>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
      <w:suff w:val="nothing"/>
      <w:lvlText w:val="%1%2　"/>
      <w:lvlJc w:val="left"/>
      <w:pPr>
        <w:ind w:left="0" w:firstLine="0"/>
      </w:pPr>
      <w:rPr>
        <w:rFonts w:hint="eastAsia" w:ascii="黑体" w:eastAsia="黑体"/>
        <w:b w:val="0"/>
        <w:i w:val="0"/>
        <w:sz w:val="21"/>
      </w:rPr>
    </w:lvl>
    <w:lvl w:ilvl="2" w:tentative="0">
      <w:start w:val="1"/>
      <w:numFmt w:val="decimal"/>
      <w:pStyle w:val="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TNiMmJjMGUyMDNhMGI0MjllZTc4OTE3ODRjOTBjMWQifQ=="/>
  </w:docVars>
  <w:rsids>
    <w:rsidRoot w:val="00000000"/>
    <w:rsid w:val="04267B2D"/>
    <w:rsid w:val="04D70BF5"/>
    <w:rsid w:val="0B552AA6"/>
    <w:rsid w:val="0BED0F30"/>
    <w:rsid w:val="0CCF791E"/>
    <w:rsid w:val="13905BAF"/>
    <w:rsid w:val="15786CB7"/>
    <w:rsid w:val="179D7CAF"/>
    <w:rsid w:val="18597DC9"/>
    <w:rsid w:val="1B672117"/>
    <w:rsid w:val="1DE63A32"/>
    <w:rsid w:val="1E8973BA"/>
    <w:rsid w:val="22BD1205"/>
    <w:rsid w:val="24334017"/>
    <w:rsid w:val="26C208BB"/>
    <w:rsid w:val="26E03714"/>
    <w:rsid w:val="298E7457"/>
    <w:rsid w:val="299B1B74"/>
    <w:rsid w:val="2A01772E"/>
    <w:rsid w:val="2E2959A0"/>
    <w:rsid w:val="3CEA6C43"/>
    <w:rsid w:val="418C1B32"/>
    <w:rsid w:val="43EE66D5"/>
    <w:rsid w:val="4EB3158A"/>
    <w:rsid w:val="4ED84B4D"/>
    <w:rsid w:val="4F467C30"/>
    <w:rsid w:val="59A73A9A"/>
    <w:rsid w:val="5F711267"/>
    <w:rsid w:val="643B7C00"/>
    <w:rsid w:val="64BF6F8C"/>
    <w:rsid w:val="689478DF"/>
    <w:rsid w:val="69594684"/>
    <w:rsid w:val="69F61ED3"/>
    <w:rsid w:val="6B3C7DBA"/>
    <w:rsid w:val="6BC02799"/>
    <w:rsid w:val="6C513046"/>
    <w:rsid w:val="6FE767E3"/>
    <w:rsid w:val="701D0108"/>
    <w:rsid w:val="73A373F3"/>
    <w:rsid w:val="74230E35"/>
    <w:rsid w:val="77E85551"/>
    <w:rsid w:val="788A30CB"/>
    <w:rsid w:val="7ACA4603"/>
    <w:rsid w:val="7CDD74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47"/>
      <w:szCs w:val="47"/>
      <w:lang w:val="en-US" w:eastAsia="en-US" w:bidi="ar-SA"/>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7"/>
      <w:szCs w:val="27"/>
      <w:lang w:val="en-US" w:eastAsia="en-US" w:bidi="ar-SA"/>
    </w:rPr>
  </w:style>
  <w:style w:type="paragraph" w:customStyle="1" w:styleId="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
    <w:name w:val="标准文件_一级条标题"/>
    <w:basedOn w:val="11"/>
    <w:next w:val="9"/>
    <w:qFormat/>
    <w:uiPriority w:val="0"/>
    <w:pPr>
      <w:numPr>
        <w:ilvl w:val="2"/>
      </w:numPr>
      <w:spacing w:before="50" w:beforeLines="50" w:after="50" w:afterLines="50"/>
      <w:outlineLvl w:val="1"/>
    </w:pPr>
  </w:style>
  <w:style w:type="paragraph" w:customStyle="1" w:styleId="11">
    <w:name w:val="标准文件_章标题"/>
    <w:next w:val="9"/>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2">
    <w:name w:val="标准文件_二级条标题"/>
    <w:next w:val="9"/>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3">
    <w:name w:val="标准文件_二级无标题"/>
    <w:basedOn w:val="12"/>
    <w:qFormat/>
    <w:uiPriority w:val="0"/>
    <w:pPr>
      <w:spacing w:before="0" w:beforeLines="0" w:after="0" w:afterLines="0"/>
      <w:outlineLvl w:val="9"/>
    </w:pPr>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4202</Words>
  <Characters>4296</Characters>
  <TotalTime>1</TotalTime>
  <ScaleCrop>false</ScaleCrop>
  <LinksUpToDate>false</LinksUpToDate>
  <CharactersWithSpaces>4311</CharactersWithSpaces>
  <Application>WPS Office_12.1.0.17827_F1E327BC-269C-435d-A152-05C5408002CA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2024-09-19T11:11:00Z</dcterms:created>
  <dc:creator>Kingsoft-PDF</dc:creator>
  <cp:lastModifiedBy>姜交龙</cp:lastModifiedBy>
  <dcterms:modified xsi:type="dcterms:W3CDTF">2024-09-29T08:57:42Z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2024-09-19T11:11:36Z</vt:filetime>
  </property>
  <property fmtid="{D5CDD505-2E9C-101B-9397-08002B2CF9AE}" pid="4" name="UsrData">
    <vt:lpwstr>66eb9661ef774f001f4d2130wl</vt:lpwstr>
  </property>
  <property fmtid="{D5CDD505-2E9C-101B-9397-08002B2CF9AE}" pid="5" name="KSOProductBuildVer">
    <vt:lpwstr>2052-12.1.0.17827</vt:lpwstr>
  </property>
  <property fmtid="{D5CDD505-2E9C-101B-9397-08002B2CF9AE}" pid="6" name="ICV">
    <vt:lpwstr>7DE06ECC8A2F4185B45C49FFDFEDB881_12</vt:lpwstr>
  </property>
</Properties>
</file>