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71F11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63" w:type="dxa"/>
          </w:tcPr>
          <w:p w14:paraId="38EE0F5B">
            <w:pPr>
              <w:pStyle w:val="21"/>
              <w:bidi w:val="0"/>
              <w:jc w:val="both"/>
              <w:rPr>
                <w:rFonts w:hint="eastAsia"/>
                <w:vertAlign w:val="baseline"/>
                <w:lang w:val="en-US" w:eastAsia="zh-CN"/>
              </w:rPr>
            </w:pPr>
            <w:r>
              <w:rPr>
                <w:rFonts w:hint="eastAsia"/>
                <w:vertAlign w:val="baseline"/>
                <w:lang w:val="en-US" w:eastAsia="zh-CN"/>
              </w:rPr>
              <w:t>ICS</w:t>
            </w:r>
          </w:p>
        </w:tc>
        <w:tc>
          <w:tcPr>
            <w:tcW w:w="9107" w:type="dxa"/>
          </w:tcPr>
          <w:p w14:paraId="578A4F69">
            <w:pPr>
              <w:pStyle w:val="21"/>
              <w:bidi w:val="0"/>
              <w:jc w:val="both"/>
              <w:rPr>
                <w:rFonts w:hint="eastAsia"/>
                <w:vertAlign w:val="baseline"/>
                <w:lang w:val="en-US" w:eastAsia="zh-CN"/>
              </w:rPr>
            </w:pPr>
            <w:bookmarkStart w:id="0"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0"/>
          </w:p>
        </w:tc>
      </w:tr>
      <w:tr w14:paraId="4B42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716176E4">
            <w:pPr>
              <w:pStyle w:val="21"/>
              <w:bidi w:val="0"/>
              <w:jc w:val="both"/>
              <w:rPr>
                <w:rFonts w:hint="eastAsia"/>
                <w:vertAlign w:val="baseline"/>
                <w:lang w:val="en-US" w:eastAsia="zh-CN"/>
              </w:rPr>
            </w:pPr>
            <w:r>
              <w:rPr>
                <w:rFonts w:hint="eastAsia"/>
                <w:vertAlign w:val="baseline"/>
                <w:lang w:val="en-US" w:eastAsia="zh-CN"/>
              </w:rPr>
              <w:t>CCS</w:t>
            </w:r>
          </w:p>
        </w:tc>
        <w:tc>
          <w:tcPr>
            <w:tcW w:w="9107" w:type="dxa"/>
          </w:tcPr>
          <w:p w14:paraId="03BC7705">
            <w:pPr>
              <w:pStyle w:val="21"/>
              <w:bidi w:val="0"/>
              <w:jc w:val="both"/>
              <w:rPr>
                <w:rFonts w:hint="eastAsia"/>
                <w:vertAlign w:val="baseline"/>
                <w:lang w:val="en-US" w:eastAsia="zh-CN"/>
              </w:rPr>
            </w:pPr>
            <w:bookmarkStart w:id="1"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
          </w:p>
          <w:tbl>
            <w:tblPr>
              <w:tblStyle w:val="18"/>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7742E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5397792E">
                  <w:pPr>
                    <w:pStyle w:val="21"/>
                    <w:bidi w:val="0"/>
                    <w:jc w:val="right"/>
                    <w:rPr>
                      <w:rFonts w:hint="default"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98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r>
                    <w:rPr>
                      <w:rFonts w:hint="eastAsia" w:ascii="Times New Roman" w:eastAsia="宋体" w:cs="Times New Roman"/>
                      <w:b/>
                      <w:w w:val="130"/>
                      <w:kern w:val="0"/>
                      <w:sz w:val="96"/>
                      <w:vertAlign w:val="baseline"/>
                      <w:lang w:val="en-US" w:eastAsia="zh-CN"/>
                    </w:rPr>
                    <w:t>36</w:t>
                  </w:r>
                </w:p>
              </w:tc>
            </w:tr>
          </w:tbl>
          <w:p w14:paraId="48A73A03">
            <w:pPr>
              <w:pStyle w:val="21"/>
              <w:bidi w:val="0"/>
              <w:jc w:val="both"/>
              <w:rPr>
                <w:rFonts w:hint="eastAsia"/>
                <w:vertAlign w:val="baseline"/>
                <w:lang w:val="en-US" w:eastAsia="zh-CN"/>
              </w:rPr>
            </w:pPr>
          </w:p>
        </w:tc>
      </w:tr>
    </w:tbl>
    <w:p w14:paraId="776C26CE">
      <w:pPr>
        <w:pStyle w:val="22"/>
        <w:bidi w:val="0"/>
        <w:rPr>
          <w:rFonts w:hint="eastAsia"/>
          <w:lang w:val="en-US" w:eastAsia="zh-CN"/>
        </w:rPr>
      </w:pPr>
      <w:r>
        <w:rPr>
          <w:rFonts w:hint="eastAsia"/>
          <w:lang w:val="en-US" w:eastAsia="zh-CN"/>
        </w:rPr>
        <w:t>江西省地方标准</w:t>
      </w:r>
    </w:p>
    <w:p w14:paraId="40408146">
      <w:pPr>
        <w:pStyle w:val="23"/>
        <w:bidi w:val="0"/>
        <w:rPr>
          <w:rFonts w:hint="eastAsia"/>
          <w:lang w:val="en-US" w:eastAsia="zh-CN"/>
        </w:rPr>
      </w:pPr>
      <w:bookmarkStart w:id="2" w:name="StandNo"/>
      <w:r>
        <w:rPr>
          <w:rFonts w:hint="eastAsia" w:ascii="黑体" w:hAnsi="Times New Roman" w:eastAsia="黑体" w:cs="Times New Roman"/>
          <w:sz w:val="28"/>
          <w:lang w:val="en-US" w:eastAsia="zh-CN"/>
        </w:rPr>
        <w:fldChar w:fldCharType="begin">
          <w:ffData>
            <w:name w:val="StandNo"/>
            <w:enabled/>
            <w:calcOnExit w:val="0"/>
            <w:textInput>
              <w:default w:val="DB36/T XXXX—2024"/>
            </w:textInput>
          </w:ffData>
        </w:fldChar>
      </w:r>
      <w:r>
        <w:rPr>
          <w:rFonts w:hint="eastAsia" w:ascii="黑体" w:hAnsi="Times New Roman" w:eastAsia="黑体" w:cs="Times New Roman"/>
          <w:sz w:val="28"/>
          <w:lang w:val="en-US" w:eastAsia="zh-CN"/>
        </w:rPr>
        <w:instrText xml:space="preserve">FORMTEXT</w:instrText>
      </w:r>
      <w:r>
        <w:rPr>
          <w:rFonts w:hint="eastAsia" w:ascii="黑体" w:hAnsi="Times New Roman" w:eastAsia="黑体" w:cs="Times New Roman"/>
          <w:sz w:val="28"/>
          <w:lang w:val="en-US" w:eastAsia="zh-CN"/>
        </w:rPr>
        <w:fldChar w:fldCharType="separate"/>
      </w:r>
      <w:r>
        <w:rPr>
          <w:rFonts w:hint="eastAsia" w:ascii="黑体" w:hAnsi="Times New Roman" w:eastAsia="黑体" w:cs="Times New Roman"/>
          <w:sz w:val="28"/>
          <w:lang w:val="en-US" w:eastAsia="zh-CN"/>
        </w:rPr>
        <w:t>DB36/T XXXX—2024</w:t>
      </w:r>
      <w:r>
        <w:rPr>
          <w:rFonts w:hint="eastAsia" w:ascii="黑体" w:hAnsi="Times New Roman" w:eastAsia="黑体" w:cs="Times New Roman"/>
          <w:sz w:val="28"/>
          <w:lang w:val="en-US" w:eastAsia="zh-CN"/>
        </w:rPr>
        <w:fldChar w:fldCharType="end"/>
      </w:r>
      <w:bookmarkEnd w:id="2"/>
    </w:p>
    <w:p w14:paraId="4679138E">
      <w:pPr>
        <w:pStyle w:val="24"/>
        <w:bidi w:val="0"/>
        <w:rPr>
          <w:rFonts w:hint="eastAsia"/>
          <w:lang w:val="en-US" w:eastAsia="zh-CN"/>
        </w:rPr>
      </w:pPr>
      <w:r>
        <w:rPr>
          <w:rFonts w:hint="eastAsia"/>
          <w:lang w:val="en-US" w:eastAsia="zh-CN"/>
        </w:rPr>
        <w:fldChar w:fldCharType="begin">
          <w:ffData>
            <w:name w:val="ReplaceDB"/>
            <w:enabled/>
            <w:calcOnExit w:val="0"/>
            <w:textInput/>
          </w:ffData>
        </w:fldChar>
      </w:r>
      <w:bookmarkStart w:id="3"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3"/>
    </w:p>
    <w:tbl>
      <w:tblPr>
        <w:tblStyle w:val="18"/>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754BB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6550F9BA">
            <w:pPr>
              <w:pStyle w:val="25"/>
              <w:widowControl w:val="0"/>
              <w:bidi w:val="0"/>
              <w:jc w:val="both"/>
              <w:rPr>
                <w:rFonts w:hint="eastAsia"/>
                <w:sz w:val="10"/>
                <w:vertAlign w:val="baseline"/>
                <w:lang w:val="en-US" w:eastAsia="zh-CN"/>
              </w:rPr>
            </w:pPr>
          </w:p>
        </w:tc>
      </w:tr>
    </w:tbl>
    <w:p w14:paraId="275185D1">
      <w:pPr>
        <w:pStyle w:val="26"/>
        <w:bidi w:val="0"/>
        <w:rPr>
          <w:rFonts w:hint="eastAsia"/>
          <w:lang w:val="en-US" w:eastAsia="zh-CN"/>
        </w:rPr>
      </w:pPr>
      <w:r>
        <w:rPr>
          <w:rFonts w:hint="eastAsia"/>
          <w:lang w:val="en-US" w:eastAsia="zh-CN"/>
        </w:rPr>
        <w:fldChar w:fldCharType="begin">
          <w:ffData>
            <w:name w:val="StdName"/>
            <w:enabled/>
            <w:calcOnExit w:val="0"/>
            <w:textInput>
              <w:default w:val="反食品浪费工作指南 第1部分：机关单位"/>
            </w:textInput>
          </w:ffData>
        </w:fldChar>
      </w:r>
      <w:bookmarkStart w:id="4"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医疗机构食堂反食品浪费管理规范</w:t>
      </w:r>
      <w:r>
        <w:rPr>
          <w:rFonts w:hint="eastAsia"/>
          <w:lang w:val="en-US" w:eastAsia="zh-CN"/>
        </w:rPr>
        <w:fldChar w:fldCharType="end"/>
      </w:r>
      <w:bookmarkEnd w:id="4"/>
    </w:p>
    <w:p w14:paraId="46CA33C9">
      <w:pPr>
        <w:pStyle w:val="27"/>
        <w:bidi w:val="0"/>
        <w:rPr>
          <w:rFonts w:hint="eastAsia"/>
          <w:lang w:val="en-US" w:eastAsia="zh-CN"/>
        </w:rPr>
      </w:pPr>
      <w:r>
        <w:rPr>
          <w:rFonts w:hint="eastAsia"/>
          <w:lang w:val="en-US" w:eastAsia="zh-CN"/>
        </w:rPr>
        <w:t>Specification for preventing food waste management of canteens in medical institutions</w:t>
      </w:r>
    </w:p>
    <w:p w14:paraId="60DA8D0C">
      <w:pPr>
        <w:pStyle w:val="28"/>
        <w:bidi w:val="0"/>
        <w:rPr>
          <w:rFonts w:hint="eastAsia"/>
          <w:lang w:val="en-US" w:eastAsia="zh-CN"/>
        </w:rPr>
      </w:pPr>
    </w:p>
    <w:p w14:paraId="7950BCE7">
      <w:pPr>
        <w:pStyle w:val="29"/>
        <w:bidi w:val="0"/>
        <w:spacing w:after="0"/>
        <w:rPr>
          <w:rFonts w:hint="default"/>
          <w:lang w:val="en-US" w:eastAsia="zh-CN"/>
        </w:rPr>
      </w:pPr>
      <w:r>
        <w:rPr>
          <w:rFonts w:hint="eastAsia"/>
          <w:lang w:val="en-US" w:eastAsia="zh-CN"/>
        </w:rPr>
        <w:t>征求意见稿</w:t>
      </w:r>
    </w:p>
    <w:p w14:paraId="5C844F1D">
      <w:pPr>
        <w:pStyle w:val="30"/>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5"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5"/>
    </w:p>
    <w:p w14:paraId="7E8F865C">
      <w:pPr>
        <w:pStyle w:val="31"/>
        <w:bidi w:val="0"/>
        <w:spacing w:before="687" w:beforeLines="220"/>
        <w:rPr>
          <w:rFonts w:hint="eastAsia"/>
          <w:lang w:val="en-US" w:eastAsia="zh-CN"/>
        </w:rPr>
      </w:pPr>
    </w:p>
    <w:tbl>
      <w:tblPr>
        <w:tblStyle w:val="18"/>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11FF1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314CB5C8">
            <w:pPr>
              <w:pStyle w:val="32"/>
              <w:widowControl w:val="0"/>
              <w:bidi w:val="0"/>
              <w:jc w:val="both"/>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6"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6"/>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7"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7"/>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8"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8"/>
            <w:r>
              <w:rPr>
                <w:rFonts w:hint="eastAsia"/>
                <w:vertAlign w:val="baseline"/>
                <w:lang w:val="en-US" w:eastAsia="zh-CN"/>
              </w:rPr>
              <w:t xml:space="preserve"> 发布</w:t>
            </w:r>
          </w:p>
        </w:tc>
        <w:tc>
          <w:tcPr>
            <w:tcW w:w="4945" w:type="dxa"/>
            <w:tcBorders>
              <w:bottom w:val="single" w:color="auto" w:sz="8" w:space="0"/>
            </w:tcBorders>
            <w:tcMar>
              <w:right w:w="57" w:type="dxa"/>
            </w:tcMar>
          </w:tcPr>
          <w:p w14:paraId="200BE831">
            <w:pPr>
              <w:pStyle w:val="32"/>
              <w:widowControl w:val="0"/>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9"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0"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1"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1"/>
            <w:r>
              <w:rPr>
                <w:rFonts w:hint="eastAsia"/>
                <w:vertAlign w:val="baseline"/>
                <w:lang w:val="en-US" w:eastAsia="zh-CN"/>
              </w:rPr>
              <w:t xml:space="preserve"> 实施</w:t>
            </w:r>
          </w:p>
        </w:tc>
      </w:tr>
    </w:tbl>
    <w:p w14:paraId="1B1B2F4E">
      <w:pPr>
        <w:pStyle w:val="33"/>
        <w:bidi w:val="0"/>
        <w:spacing w:before="0"/>
        <w:rPr>
          <w:rFonts w:hint="eastAsia"/>
          <w:spacing w:val="0"/>
          <w:w w:val="100"/>
          <w:sz w:val="28"/>
          <w:lang w:val="en-US" w:eastAsia="zh-CN"/>
        </w:rPr>
      </w:pPr>
      <w:r>
        <w:rPr>
          <w:rFonts w:hint="eastAsia"/>
          <w:lang w:val="en-US" w:eastAsia="zh-CN"/>
        </w:rPr>
        <w:t>江西省市场监督管理局</w:t>
      </w:r>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6C188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0EDFCF61">
            <w:pPr>
              <w:pStyle w:val="21"/>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14:paraId="04930EE4">
            <w:pPr>
              <w:pStyle w:val="21"/>
              <w:framePr w:w="9639" w:wrap="around"/>
              <w:bidi w:val="0"/>
              <w:jc w:val="both"/>
              <w:rPr>
                <w:rFonts w:hint="eastAsia"/>
                <w:vertAlign w:val="baseline"/>
                <w:lang w:val="en-US" w:eastAsia="zh-CN"/>
              </w:rPr>
            </w:pPr>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p>
        </w:tc>
      </w:tr>
      <w:tr w14:paraId="55596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5167AC7">
            <w:pPr>
              <w:pStyle w:val="21"/>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14:paraId="34D62DD1">
            <w:pPr>
              <w:pStyle w:val="21"/>
              <w:framePr w:w="9639" w:wrap="around"/>
              <w:bidi w:val="0"/>
              <w:jc w:val="both"/>
              <w:rPr>
                <w:rFonts w:hint="eastAsia"/>
                <w:vertAlign w:val="baseline"/>
                <w:lang w:val="en-US" w:eastAsia="zh-CN"/>
              </w:rPr>
            </w:pPr>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p>
          <w:tbl>
            <w:tblPr>
              <w:tblStyle w:val="18"/>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27600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77AB10AA">
                  <w:pPr>
                    <w:pStyle w:val="21"/>
                    <w:framePr w:w="9639" w:wrap="around"/>
                    <w:bidi w:val="0"/>
                    <w:jc w:val="right"/>
                    <w:rPr>
                      <w:rFonts w:hint="default"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985"/>
                        <wp:docPr id="2" name="图片 2" descr="地标"/>
                        <wp:cNvGraphicFramePr/>
                        <a:graphic xmlns:a="http://schemas.openxmlformats.org/drawingml/2006/main">
                          <a:graphicData uri="http://schemas.openxmlformats.org/drawingml/2006/picture">
                            <pic:pic xmlns:pic="http://schemas.openxmlformats.org/drawingml/2006/picture">
                              <pic:nvPicPr>
                                <pic:cNvPr id="2" name="图片 2"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r>
                    <w:rPr>
                      <w:rFonts w:hint="eastAsia" w:ascii="Times New Roman" w:eastAsia="宋体" w:cs="Times New Roman"/>
                      <w:b/>
                      <w:w w:val="130"/>
                      <w:kern w:val="0"/>
                      <w:sz w:val="96"/>
                      <w:vertAlign w:val="baseline"/>
                      <w:lang w:val="en-US" w:eastAsia="zh-CN"/>
                    </w:rPr>
                    <w:t>36</w:t>
                  </w:r>
                </w:p>
              </w:tc>
            </w:tr>
          </w:tbl>
          <w:p w14:paraId="064842C9">
            <w:pPr>
              <w:pStyle w:val="21"/>
              <w:framePr w:w="9639" w:wrap="around"/>
              <w:bidi w:val="0"/>
              <w:jc w:val="both"/>
              <w:rPr>
                <w:rFonts w:hint="eastAsia"/>
                <w:vertAlign w:val="baseline"/>
                <w:lang w:val="en-US" w:eastAsia="zh-CN"/>
              </w:rPr>
            </w:pPr>
          </w:p>
        </w:tc>
      </w:tr>
    </w:tbl>
    <w:p w14:paraId="1407D84C">
      <w:pPr>
        <w:pStyle w:val="21"/>
        <w:framePr w:w="9639" w:wrap="around"/>
        <w:bidi w:val="0"/>
        <w:rPr>
          <w:rFonts w:hint="eastAsia"/>
          <w:lang w:val="en-US" w:eastAsia="zh-CN"/>
        </w:rPr>
        <w:sectPr>
          <w:pgSz w:w="11906" w:h="16838"/>
          <w:pgMar w:top="-340" w:right="1134" w:bottom="1021" w:left="1134" w:header="0" w:footer="0" w:gutter="284"/>
          <w:lnNumType w:countBy="0" w:restart="continuous"/>
          <w:pgNumType w:fmt="decimal" w:start="1"/>
          <w:cols w:space="425" w:num="1"/>
          <w:titlePg/>
          <w:docGrid w:type="lines" w:linePitch="312" w:charSpace="0"/>
        </w:sectPr>
      </w:pPr>
    </w:p>
    <w:p w14:paraId="1D90698A">
      <w:pPr>
        <w:pStyle w:val="36"/>
        <w:bidi w:val="0"/>
        <w:rPr>
          <w:rFonts w:hint="eastAsia"/>
          <w:lang w:val="en-US" w:eastAsia="zh-CN"/>
        </w:rPr>
      </w:pPr>
      <w:r>
        <w:rPr>
          <w:rFonts w:hint="eastAsia"/>
          <w:spacing w:val="317"/>
          <w:lang w:val="en-US" w:eastAsia="zh-CN"/>
        </w:rPr>
        <w:t>目</w:t>
      </w:r>
      <w:bookmarkStart w:id="12" w:name="BKML"/>
      <w:r>
        <w:rPr>
          <w:rFonts w:hint="eastAsia"/>
          <w:lang w:val="en-US" w:eastAsia="zh-CN"/>
        </w:rPr>
        <w:t>次</w:t>
      </w:r>
      <w:bookmarkEnd w:id="12"/>
    </w:p>
    <w:p w14:paraId="0CE95D3C">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_Toc29091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_Toc29091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05485EC0">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_Toc13761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_Toc13761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0E54197">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_Toc16771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_Toc16771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DCE5693">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_Toc28951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_Toc28951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3932F447">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_Toc6210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4</w:t>
      </w:r>
      <w:r>
        <w:rPr>
          <w:rFonts w:hint="eastAsia" w:cs="宋体"/>
          <w:spacing w:val="0"/>
          <w:lang w:val="en-US" w:eastAsia="zh-CN"/>
        </w:rPr>
        <w:t xml:space="preserve"> </w:t>
      </w:r>
      <w:r>
        <w:rPr>
          <w:rFonts w:hint="eastAsia" w:ascii="宋体" w:hAnsi="宋体" w:eastAsia="宋体" w:cs="宋体"/>
          <w:spacing w:val="0"/>
          <w:lang w:val="en-US" w:eastAsia="zh-CN"/>
        </w:rPr>
        <w:t xml:space="preserve"> 基本要求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_Toc6210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4BF5A4ED">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_Toc17972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5</w:t>
      </w:r>
      <w:r>
        <w:rPr>
          <w:rFonts w:hint="eastAsia" w:cs="宋体"/>
          <w:spacing w:val="0"/>
          <w:lang w:val="en-US" w:eastAsia="zh-CN"/>
        </w:rPr>
        <w:t xml:space="preserve"> </w:t>
      </w:r>
      <w:r>
        <w:rPr>
          <w:rFonts w:hint="eastAsia" w:ascii="宋体" w:hAnsi="宋体" w:eastAsia="宋体" w:cs="宋体"/>
          <w:spacing w:val="0"/>
          <w:lang w:val="en-US" w:eastAsia="zh-CN"/>
        </w:rPr>
        <w:t xml:space="preserve"> 供餐管理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_Toc17972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3A43B7D">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_Toc13367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6</w:t>
      </w:r>
      <w:r>
        <w:rPr>
          <w:rFonts w:hint="eastAsia" w:cs="宋体"/>
          <w:spacing w:val="0"/>
          <w:lang w:val="en-US" w:eastAsia="zh-CN"/>
        </w:rPr>
        <w:t xml:space="preserve"> </w:t>
      </w:r>
      <w:r>
        <w:rPr>
          <w:rFonts w:hint="eastAsia" w:ascii="宋体" w:hAnsi="宋体" w:eastAsia="宋体" w:cs="宋体"/>
          <w:spacing w:val="0"/>
          <w:lang w:val="en-US" w:eastAsia="zh-CN"/>
        </w:rPr>
        <w:t xml:space="preserve"> 宣传培训</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_Toc13367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267FAD4E">
      <w:pPr>
        <w:pStyle w:val="12"/>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_Toc15750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7</w:t>
      </w:r>
      <w:r>
        <w:rPr>
          <w:rFonts w:hint="eastAsia" w:cs="宋体"/>
          <w:spacing w:val="0"/>
          <w:lang w:val="en-US" w:eastAsia="zh-CN"/>
        </w:rPr>
        <w:t xml:space="preserve"> </w:t>
      </w:r>
      <w:r>
        <w:rPr>
          <w:rFonts w:hint="eastAsia" w:ascii="宋体" w:hAnsi="宋体" w:eastAsia="宋体" w:cs="宋体"/>
          <w:spacing w:val="0"/>
          <w:lang w:val="en-US" w:eastAsia="zh-CN"/>
        </w:rPr>
        <w:t xml:space="preserve"> 监督管理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_Toc15750 \h </w:instrText>
      </w:r>
      <w:r>
        <w:rPr>
          <w:rFonts w:hint="eastAsia" w:ascii="宋体" w:hAnsi="宋体" w:eastAsia="宋体" w:cs="宋体"/>
          <w:spacing w:val="0"/>
        </w:rPr>
        <w:fldChar w:fldCharType="separate"/>
      </w:r>
      <w:r>
        <w:rPr>
          <w:rFonts w:hint="eastAsia" w:ascii="宋体" w:hAnsi="宋体" w:eastAsia="宋体" w:cs="宋体"/>
          <w:spacing w:val="0"/>
        </w:rPr>
        <w:t>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14:paraId="7FAC907A">
      <w:pPr>
        <w:bidi w:val="0"/>
        <w:ind w:left="0" w:leftChars="0" w:firstLine="0" w:firstLineChars="0"/>
        <w:rPr>
          <w:rFonts w:hint="eastAsia"/>
          <w:lang w:val="en-US" w:eastAsia="zh-CN"/>
        </w:rPr>
      </w:pPr>
      <w:r>
        <w:rPr>
          <w:rFonts w:hint="eastAsia" w:ascii="宋体" w:hAnsi="宋体" w:eastAsia="宋体" w:cs="宋体"/>
          <w:spacing w:val="0"/>
          <w:lang w:val="en-US" w:eastAsia="zh-CN"/>
        </w:rPr>
        <w:fldChar w:fldCharType="end"/>
      </w:r>
    </w:p>
    <w:p w14:paraId="70E0C020">
      <w:pPr>
        <w:pStyle w:val="36"/>
        <w:bidi w:val="0"/>
        <w:rPr>
          <w:rFonts w:hint="eastAsia"/>
          <w:lang w:val="en-US" w:eastAsia="zh-CN"/>
        </w:rPr>
      </w:pPr>
      <w:r>
        <w:rPr>
          <w:rFonts w:hint="eastAsia"/>
          <w:lang w:val="en-US" w:eastAsia="zh-CN"/>
        </w:rPr>
        <w:br w:type="page"/>
      </w:r>
    </w:p>
    <w:p w14:paraId="79988824">
      <w:pPr>
        <w:pStyle w:val="37"/>
        <w:bidi w:val="0"/>
        <w:rPr>
          <w:rFonts w:hint="eastAsia"/>
          <w:lang w:val="en-US" w:eastAsia="zh-CN"/>
        </w:rPr>
      </w:pPr>
      <w:bookmarkStart w:id="13" w:name="_Toc29091"/>
      <w:bookmarkStart w:id="14" w:name="_Toc25620"/>
      <w:bookmarkStart w:id="15" w:name="_Toc6431"/>
      <w:bookmarkStart w:id="16" w:name="_Toc20546"/>
      <w:bookmarkStart w:id="17" w:name="_Toc9146"/>
      <w:bookmarkStart w:id="18" w:name="_Toc3173"/>
      <w:bookmarkStart w:id="19" w:name="_Toc9709"/>
      <w:bookmarkStart w:id="20" w:name="_Toc15732"/>
      <w:r>
        <w:rPr>
          <w:rFonts w:hint="eastAsia"/>
          <w:spacing w:val="317"/>
          <w:lang w:val="en-US" w:eastAsia="zh-CN"/>
        </w:rPr>
        <w:t>前</w:t>
      </w:r>
      <w:bookmarkStart w:id="21" w:name="BKQY"/>
      <w:r>
        <w:rPr>
          <w:rFonts w:hint="eastAsia"/>
          <w:lang w:val="en-US" w:eastAsia="zh-CN"/>
        </w:rPr>
        <w:t>言</w:t>
      </w:r>
      <w:bookmarkEnd w:id="13"/>
      <w:bookmarkEnd w:id="14"/>
      <w:bookmarkEnd w:id="15"/>
      <w:bookmarkEnd w:id="16"/>
      <w:bookmarkEnd w:id="17"/>
      <w:bookmarkEnd w:id="18"/>
      <w:bookmarkEnd w:id="19"/>
      <w:bookmarkEnd w:id="20"/>
    </w:p>
    <w:p w14:paraId="1B8796B0">
      <w:pPr>
        <w:pStyle w:val="35"/>
        <w:bidi w:val="0"/>
        <w:rPr>
          <w:rFonts w:hint="eastAsia"/>
          <w:lang w:val="en-US" w:eastAsia="zh-CN"/>
        </w:rPr>
      </w:pPr>
      <w:r>
        <w:rPr>
          <w:rFonts w:hint="eastAsia"/>
          <w:lang w:val="en-US" w:eastAsia="zh-CN"/>
        </w:rPr>
        <w:t>本文件按照GB/T 1.1—2020《标准化工作导则  第1部分：标准化文件的结构和起草规则》的规定起草。</w:t>
      </w:r>
    </w:p>
    <w:p w14:paraId="33E563ED">
      <w:pPr>
        <w:pStyle w:val="35"/>
        <w:bidi w:val="0"/>
        <w:rPr>
          <w:rFonts w:hint="eastAsia"/>
          <w:lang w:val="en-US" w:eastAsia="zh-CN"/>
        </w:rPr>
      </w:pPr>
      <w:r>
        <w:rPr>
          <w:rFonts w:hint="eastAsia"/>
          <w:lang w:val="en-US" w:eastAsia="zh-CN"/>
        </w:rPr>
        <w:t>请注意本文件的某些内容可能涉及专利。本文件的发布机构不承担识别专利的责任。</w:t>
      </w:r>
    </w:p>
    <w:p w14:paraId="414570AF">
      <w:pPr>
        <w:pStyle w:val="35"/>
        <w:bidi w:val="0"/>
        <w:rPr>
          <w:rFonts w:hint="eastAsia"/>
          <w:lang w:val="en-US" w:eastAsia="zh-CN"/>
        </w:rPr>
      </w:pPr>
      <w:r>
        <w:rPr>
          <w:rFonts w:hint="eastAsia"/>
          <w:lang w:val="en-US" w:eastAsia="zh-CN"/>
        </w:rPr>
        <w:t>本文件由江西省机关事务管理局、江西省卫生健康委员会提出并归口。</w:t>
      </w:r>
    </w:p>
    <w:p w14:paraId="6F39127D">
      <w:pPr>
        <w:pStyle w:val="35"/>
        <w:bidi w:val="0"/>
        <w:rPr>
          <w:rFonts w:hint="default"/>
          <w:lang w:val="en-US" w:eastAsia="zh-CN"/>
        </w:rPr>
      </w:pPr>
      <w:r>
        <w:rPr>
          <w:rFonts w:hint="eastAsia"/>
          <w:lang w:val="en-US" w:eastAsia="zh-CN"/>
        </w:rPr>
        <w:t>本文件起草单位：江西省机关事务管理局、江西省质量和标准化研究院。</w:t>
      </w:r>
    </w:p>
    <w:p w14:paraId="30134E33">
      <w:pPr>
        <w:pStyle w:val="35"/>
        <w:bidi w:val="0"/>
        <w:rPr>
          <w:rFonts w:hint="eastAsia"/>
          <w:lang w:val="en-US" w:eastAsia="zh-CN"/>
        </w:rPr>
      </w:pPr>
      <w:r>
        <w:rPr>
          <w:rFonts w:hint="eastAsia"/>
          <w:lang w:val="en-US" w:eastAsia="zh-CN"/>
        </w:rPr>
        <w:t>本文件主要起草人：XXX。</w:t>
      </w:r>
    </w:p>
    <w:p w14:paraId="4993F4C0">
      <w:pPr>
        <w:pStyle w:val="35"/>
        <w:bidi w:val="0"/>
        <w:rPr>
          <w:rFonts w:hint="eastAsia"/>
          <w:lang w:val="en-US" w:eastAsia="zh-CN"/>
        </w:rPr>
      </w:pPr>
    </w:p>
    <w:bookmarkEnd w:id="21"/>
    <w:p w14:paraId="25889187">
      <w:pPr>
        <w:rPr>
          <w:rFonts w:hint="eastAsia"/>
          <w:lang w:val="en-US" w:eastAsia="zh-CN"/>
        </w:rPr>
      </w:pPr>
    </w:p>
    <w:p w14:paraId="77C19598">
      <w:pPr>
        <w:rPr>
          <w:rFonts w:hint="eastAsia"/>
          <w:lang w:val="en-US" w:eastAsia="zh-CN"/>
        </w:rPr>
      </w:pPr>
    </w:p>
    <w:p w14:paraId="509FF0C2">
      <w:pPr>
        <w:rPr>
          <w:rFonts w:hint="eastAsia"/>
          <w:lang w:val="en-US" w:eastAsia="zh-CN"/>
        </w:rPr>
        <w:sectPr>
          <w:headerReference r:id="rId3" w:type="default"/>
          <w:footerReference r:id="rId4" w:type="default"/>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Style w:val="39"/>
          <w:rFonts w:hint="eastAsia"/>
          <w:lang w:val="en-US" w:eastAsia="zh-CN"/>
        </w:rPr>
        <w:tag w:val="StandardName"/>
        <w:id w:val="147465917"/>
        <w:lock w:val="sdtLocked"/>
        <w:placeholder>
          <w:docPart w:val="{3f9b9a6a-9d72-4237-8c69-4cfd781dc3dc}"/>
        </w:placeholder>
      </w:sdtPr>
      <w:sdtEndPr>
        <w:rPr>
          <w:rStyle w:val="39"/>
          <w:rFonts w:hint="eastAsia"/>
          <w:lang w:val="en-US" w:eastAsia="zh-CN"/>
        </w:rPr>
      </w:sdtEndPr>
      <w:sdtContent>
        <w:p w14:paraId="70B82544">
          <w:pPr>
            <w:pStyle w:val="38"/>
            <w:bidi w:val="0"/>
            <w:rPr>
              <w:rStyle w:val="39"/>
              <w:rFonts w:hint="eastAsia"/>
              <w:lang w:val="en-US" w:eastAsia="zh-CN"/>
            </w:rPr>
          </w:pPr>
          <w:bookmarkStart w:id="22" w:name="StandardName"/>
          <w:r>
            <w:rPr>
              <w:rStyle w:val="39"/>
              <w:rFonts w:hint="eastAsia"/>
              <w:lang w:val="en-US" w:eastAsia="zh-CN"/>
            </w:rPr>
            <w:t>医疗机构食堂反食品浪费管理规范</w:t>
          </w:r>
          <w:bookmarkEnd w:id="22"/>
        </w:p>
      </w:sdtContent>
    </w:sdt>
    <w:p w14:paraId="7C5F32F0">
      <w:pPr>
        <w:pStyle w:val="40"/>
        <w:bidi w:val="0"/>
        <w:rPr>
          <w:rStyle w:val="39"/>
          <w:rFonts w:hint="eastAsia"/>
          <w:lang w:val="en-US" w:eastAsia="zh-CN"/>
        </w:rPr>
      </w:pPr>
      <w:bookmarkStart w:id="23" w:name="_Toc17325"/>
      <w:bookmarkStart w:id="24" w:name="_Toc28459"/>
      <w:bookmarkStart w:id="25" w:name="_Toc3656"/>
      <w:bookmarkStart w:id="26" w:name="_Toc19336"/>
      <w:bookmarkStart w:id="27" w:name="_Toc23125"/>
      <w:bookmarkStart w:id="28" w:name="_Toc14645"/>
      <w:bookmarkStart w:id="29" w:name="_Toc27346"/>
      <w:bookmarkStart w:id="30" w:name="_Toc13761"/>
      <w:r>
        <w:rPr>
          <w:rFonts w:hint="eastAsia"/>
          <w:lang w:val="en-US" w:eastAsia="zh-CN"/>
        </w:rPr>
        <w:t>范围</w:t>
      </w:r>
      <w:bookmarkEnd w:id="23"/>
      <w:bookmarkEnd w:id="24"/>
      <w:bookmarkEnd w:id="25"/>
      <w:bookmarkEnd w:id="26"/>
      <w:bookmarkEnd w:id="27"/>
      <w:bookmarkEnd w:id="28"/>
      <w:bookmarkEnd w:id="29"/>
      <w:bookmarkEnd w:id="30"/>
    </w:p>
    <w:p w14:paraId="6A17669E">
      <w:pPr>
        <w:pStyle w:val="35"/>
        <w:rPr>
          <w:rFonts w:hint="eastAsia"/>
          <w:highlight w:val="yellow"/>
          <w:lang w:val="en-US" w:eastAsia="zh-CN"/>
        </w:rPr>
      </w:pPr>
      <w:r>
        <w:rPr>
          <w:rFonts w:hint="eastAsia"/>
          <w:lang w:val="en-US" w:eastAsia="zh-CN"/>
        </w:rPr>
        <w:t>本文件规定了医疗机构反食品浪费工作的</w:t>
      </w:r>
      <w:r>
        <w:rPr>
          <w:rFonts w:hint="eastAsia"/>
          <w:highlight w:val="none"/>
          <w:lang w:val="en-US" w:eastAsia="zh-CN"/>
        </w:rPr>
        <w:t>基本要求、供餐管理、宣传培训、监督管理。</w:t>
      </w:r>
    </w:p>
    <w:p w14:paraId="735E2156">
      <w:pPr>
        <w:pStyle w:val="35"/>
        <w:rPr>
          <w:rFonts w:hint="default"/>
          <w:lang w:val="en-US" w:eastAsia="zh-CN"/>
        </w:rPr>
      </w:pPr>
      <w:r>
        <w:rPr>
          <w:rFonts w:hint="eastAsia"/>
          <w:lang w:val="en-US" w:eastAsia="zh-CN"/>
        </w:rPr>
        <w:t>本文件适用于江西省辖区内医疗机构食堂，医疗机构食堂合作的集中配餐单位应按照本文件执行。</w:t>
      </w:r>
    </w:p>
    <w:p w14:paraId="3D511597">
      <w:pPr>
        <w:pStyle w:val="40"/>
        <w:bidi w:val="0"/>
        <w:rPr>
          <w:rFonts w:hint="eastAsia"/>
          <w:lang w:val="en-US" w:eastAsia="zh-CN"/>
        </w:rPr>
      </w:pPr>
      <w:bookmarkStart w:id="31" w:name="_Toc22863"/>
      <w:bookmarkStart w:id="32" w:name="_Toc30519"/>
      <w:bookmarkStart w:id="33" w:name="_Toc29140"/>
      <w:bookmarkStart w:id="34" w:name="_Toc31885"/>
      <w:bookmarkStart w:id="35" w:name="_Toc11568"/>
      <w:bookmarkStart w:id="36" w:name="_Toc30444"/>
      <w:bookmarkStart w:id="37" w:name="_Toc16771"/>
      <w:bookmarkStart w:id="38" w:name="_Toc28788"/>
      <w:r>
        <w:rPr>
          <w:rFonts w:hint="eastAsia"/>
          <w:lang w:val="en-US" w:eastAsia="zh-CN"/>
        </w:rPr>
        <w:t>规范性引用文件</w:t>
      </w:r>
      <w:bookmarkEnd w:id="31"/>
      <w:bookmarkEnd w:id="32"/>
      <w:bookmarkEnd w:id="33"/>
      <w:bookmarkEnd w:id="34"/>
      <w:bookmarkEnd w:id="35"/>
      <w:bookmarkEnd w:id="36"/>
      <w:bookmarkEnd w:id="37"/>
      <w:bookmarkEnd w:id="38"/>
    </w:p>
    <w:sdt>
      <w:sdtPr>
        <w:rPr>
          <w:rFonts w:hint="eastAsia" w:ascii="宋体" w:hAnsi="Times New Roman" w:eastAsia="宋体" w:cs="宋体"/>
          <w:sz w:val="21"/>
          <w:lang w:val="en-US" w:eastAsia="zh-CN"/>
        </w:rPr>
        <w:tag w:val="StandNameFile"/>
        <w:id w:val="147466175"/>
        <w:placeholder>
          <w:docPart w:val="{67c0a685-4c72-4f53-8162-ffb53e220565}"/>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73DF5E31">
          <w:pPr>
            <w:pStyle w:val="35"/>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AC0233">
      <w:pPr>
        <w:pStyle w:val="35"/>
        <w:bidi w:val="0"/>
        <w:rPr>
          <w:rFonts w:hint="default" w:cs="宋体"/>
          <w:sz w:val="21"/>
          <w:lang w:val="en-US" w:eastAsia="zh-CN"/>
        </w:rPr>
      </w:pPr>
      <w:r>
        <w:rPr>
          <w:rFonts w:hint="eastAsia" w:cs="宋体"/>
          <w:sz w:val="21"/>
          <w:lang w:val="en-US" w:eastAsia="zh-CN"/>
        </w:rPr>
        <w:t>GB 31654  食品安全国家标准 餐饮服务通用卫生规范</w:t>
      </w:r>
    </w:p>
    <w:p w14:paraId="0170F9EA">
      <w:pPr>
        <w:pStyle w:val="35"/>
        <w:bidi w:val="0"/>
        <w:rPr>
          <w:rFonts w:hint="eastAsia" w:cs="宋体"/>
          <w:sz w:val="21"/>
          <w:lang w:val="en-US" w:eastAsia="zh-CN"/>
        </w:rPr>
      </w:pPr>
      <w:r>
        <w:rPr>
          <w:rFonts w:hint="eastAsia" w:cs="宋体"/>
          <w:sz w:val="21"/>
          <w:lang w:val="en-US" w:eastAsia="zh-CN"/>
        </w:rPr>
        <w:t>SB/T 10474  餐饮业营养配餐技术要求</w:t>
      </w:r>
    </w:p>
    <w:p w14:paraId="1A228B5D">
      <w:pPr>
        <w:pStyle w:val="35"/>
        <w:bidi w:val="0"/>
        <w:rPr>
          <w:rFonts w:hint="default" w:cs="宋体"/>
          <w:sz w:val="21"/>
          <w:lang w:val="en-US" w:eastAsia="zh-CN"/>
        </w:rPr>
      </w:pPr>
      <w:r>
        <w:rPr>
          <w:rFonts w:hint="eastAsia"/>
          <w:lang w:val="en-US" w:eastAsia="zh-CN"/>
        </w:rPr>
        <w:t>WS/T 690  病媒生物防制操作规程 餐饮服务场所</w:t>
      </w:r>
    </w:p>
    <w:p w14:paraId="6CAB9789">
      <w:pPr>
        <w:pStyle w:val="35"/>
        <w:bidi w:val="0"/>
        <w:rPr>
          <w:rFonts w:hint="default" w:cs="宋体"/>
          <w:sz w:val="21"/>
          <w:lang w:val="en-US" w:eastAsia="zh-CN"/>
        </w:rPr>
      </w:pPr>
      <w:r>
        <w:rPr>
          <w:rFonts w:hint="eastAsia" w:cs="宋体"/>
          <w:sz w:val="21"/>
          <w:lang w:val="en-US" w:eastAsia="zh-CN"/>
        </w:rPr>
        <w:t>DB36/T 1644  医疗机构营养健康食堂建设规范</w:t>
      </w:r>
    </w:p>
    <w:p w14:paraId="2218683F">
      <w:pPr>
        <w:pStyle w:val="40"/>
        <w:bidi w:val="0"/>
        <w:rPr>
          <w:rFonts w:hint="eastAsia" w:ascii="宋体" w:hAnsi="Times New Roman" w:eastAsia="宋体" w:cs="宋体"/>
          <w:lang w:val="en-US" w:eastAsia="zh-CN"/>
        </w:rPr>
      </w:pPr>
      <w:bookmarkStart w:id="39" w:name="_Toc26813"/>
      <w:bookmarkStart w:id="40" w:name="_Toc28608"/>
      <w:bookmarkStart w:id="41" w:name="_Toc8296"/>
      <w:bookmarkStart w:id="42" w:name="_Toc5655"/>
      <w:bookmarkStart w:id="43" w:name="_Toc28951"/>
      <w:bookmarkStart w:id="44" w:name="_Toc29122"/>
      <w:bookmarkStart w:id="45" w:name="_Toc14908"/>
      <w:bookmarkStart w:id="46" w:name="_Toc16030"/>
      <w:r>
        <w:rPr>
          <w:rFonts w:hint="eastAsia"/>
          <w:lang w:val="en-US" w:eastAsia="zh-CN"/>
        </w:rPr>
        <w:t>术语和定义</w:t>
      </w:r>
      <w:bookmarkEnd w:id="39"/>
      <w:bookmarkEnd w:id="40"/>
      <w:bookmarkEnd w:id="41"/>
      <w:bookmarkEnd w:id="42"/>
      <w:bookmarkEnd w:id="43"/>
      <w:bookmarkEnd w:id="44"/>
      <w:bookmarkEnd w:id="45"/>
      <w:bookmarkEnd w:id="46"/>
    </w:p>
    <w:sdt>
      <w:sdtPr>
        <w:rPr>
          <w:rFonts w:hint="eastAsia" w:ascii="宋体" w:hAnsi="Times New Roman" w:eastAsia="宋体" w:cs="宋体"/>
          <w:sz w:val="21"/>
          <w:lang w:val="en-US" w:eastAsia="zh-CN"/>
        </w:rPr>
        <w:tag w:val="TermContent"/>
        <w:id w:val="147466850"/>
        <w:placeholder>
          <w:docPart w:val="{4bfc59d6-ba52-4e98-8c98-f8edf8f9a63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14:paraId="08265840">
          <w:pPr>
            <w:pStyle w:val="35"/>
            <w:rPr>
              <w:rFonts w:hint="eastAsia"/>
              <w:lang w:val="en-US" w:eastAsia="zh-CN"/>
            </w:rPr>
          </w:pPr>
          <w:r>
            <w:rPr>
              <w:rFonts w:hint="eastAsia" w:cs="宋体"/>
              <w:sz w:val="21"/>
              <w:lang w:val="en-US" w:eastAsia="zh-CN"/>
            </w:rPr>
            <w:t>WS/T 476、DB36/T 1644</w:t>
          </w:r>
          <w:r>
            <w:rPr>
              <w:rFonts w:hint="eastAsia" w:ascii="宋体" w:hAnsi="Times New Roman" w:eastAsia="宋体" w:cs="宋体"/>
              <w:sz w:val="21"/>
              <w:lang w:val="en-US" w:eastAsia="zh-CN"/>
            </w:rPr>
            <w:t>界定的术语和定义适用于本文件。</w:t>
          </w:r>
        </w:p>
      </w:sdtContent>
    </w:sdt>
    <w:p w14:paraId="2BE98CA0">
      <w:pPr>
        <w:pStyle w:val="41"/>
        <w:bidi w:val="0"/>
        <w:spacing w:after="0" w:afterLines="0"/>
        <w:ind w:left="420" w:hanging="420" w:hangingChars="200"/>
        <w:rPr>
          <w:rFonts w:hint="eastAsia"/>
          <w:lang w:val="en-US" w:eastAsia="zh-CN"/>
        </w:rPr>
      </w:pPr>
      <w:bookmarkStart w:id="47" w:name="_Toc14390"/>
      <w:bookmarkEnd w:id="47"/>
      <w:bookmarkStart w:id="48" w:name="_Toc20164"/>
    </w:p>
    <w:p w14:paraId="14042498">
      <w:pPr>
        <w:pStyle w:val="41"/>
        <w:numPr>
          <w:ilvl w:val="1"/>
          <w:numId w:val="0"/>
        </w:numPr>
        <w:bidi w:val="0"/>
        <w:ind w:leftChars="-200" w:firstLine="840" w:firstLineChars="400"/>
        <w:rPr>
          <w:rFonts w:hint="eastAsia"/>
          <w:lang w:val="en-US" w:eastAsia="zh-CN"/>
        </w:rPr>
      </w:pPr>
      <w:r>
        <w:rPr>
          <w:rFonts w:hint="eastAsia"/>
          <w:lang w:val="en-US" w:eastAsia="zh-CN"/>
        </w:rPr>
        <w:t xml:space="preserve">医疗机构 Medical institution </w:t>
      </w:r>
    </w:p>
    <w:p w14:paraId="02CEAC86">
      <w:pPr>
        <w:pStyle w:val="35"/>
        <w:bidi w:val="0"/>
        <w:rPr>
          <w:rFonts w:hint="eastAsia"/>
          <w:lang w:val="en-US" w:eastAsia="zh-CN"/>
        </w:rPr>
      </w:pPr>
      <w:r>
        <w:rPr>
          <w:rFonts w:hint="eastAsia"/>
          <w:lang w:val="en-US" w:eastAsia="zh-CN"/>
        </w:rPr>
        <w:t>经登记取得《医疗机构执业许可证》，从事疾病诊断、治疗活动的医院、卫生院、疗养院、门诊部、诊所、卫生所(室)以及急救站等医疗机构。</w:t>
      </w:r>
    </w:p>
    <w:p w14:paraId="1567CBB0">
      <w:pPr>
        <w:pStyle w:val="44"/>
        <w:bidi w:val="0"/>
        <w:rPr>
          <w:rFonts w:hint="default"/>
          <w:lang w:val="en-US" w:eastAsia="zh-CN"/>
        </w:rPr>
      </w:pPr>
      <w:r>
        <w:rPr>
          <w:rFonts w:hint="eastAsia"/>
          <w:lang w:val="en-US" w:eastAsia="zh-CN"/>
        </w:rPr>
        <w:t>源自《医疗机构管理条例》（2023修订）。</w:t>
      </w:r>
    </w:p>
    <w:p w14:paraId="17583DFD">
      <w:pPr>
        <w:pStyle w:val="41"/>
        <w:bidi w:val="0"/>
        <w:spacing w:after="0" w:afterLines="0"/>
        <w:ind w:left="420" w:hanging="420" w:hangingChars="200"/>
        <w:rPr>
          <w:rFonts w:hint="eastAsia" w:ascii="黑体" w:hAnsi="黑体" w:eastAsia="黑体" w:cs="黑体"/>
          <w:lang w:val="en-US" w:eastAsia="zh-CN"/>
        </w:rPr>
      </w:pPr>
    </w:p>
    <w:p w14:paraId="6564D863">
      <w:pPr>
        <w:pStyle w:val="41"/>
        <w:numPr>
          <w:ilvl w:val="1"/>
          <w:numId w:val="0"/>
        </w:numPr>
        <w:bidi w:val="0"/>
        <w:spacing w:after="0" w:afterLines="0"/>
        <w:ind w:leftChars="-200" w:firstLine="840" w:firstLineChars="400"/>
        <w:rPr>
          <w:rFonts w:hint="eastAsia" w:ascii="黑体" w:hAnsi="黑体" w:eastAsia="黑体" w:cs="黑体"/>
          <w:lang w:val="en-US" w:eastAsia="zh-CN"/>
        </w:rPr>
      </w:pPr>
      <w:r>
        <w:rPr>
          <w:rFonts w:hint="eastAsia" w:ascii="黑体" w:hAnsi="黑体" w:eastAsia="黑体" w:cs="黑体"/>
          <w:lang w:val="en-US" w:eastAsia="zh-CN"/>
        </w:rPr>
        <w:t>治疗膳食Therapeutic diet</w:t>
      </w:r>
    </w:p>
    <w:p w14:paraId="20E37434">
      <w:pPr>
        <w:pStyle w:val="35"/>
        <w:rPr>
          <w:rFonts w:hint="eastAsia" w:cs="黑体"/>
          <w:lang w:val="en-US" w:eastAsia="zh-CN"/>
        </w:rPr>
      </w:pPr>
      <w:r>
        <w:rPr>
          <w:rFonts w:hint="eastAsia" w:cs="黑体"/>
          <w:lang w:val="en-US" w:eastAsia="zh-CN"/>
        </w:rPr>
        <w:t>利用食物特性，通过调整病理状态下的机体代谢，达到缓解症状、促进康复以及提高愈后生活质量的营养供给方式。</w:t>
      </w:r>
    </w:p>
    <w:p w14:paraId="77F67899">
      <w:pPr>
        <w:pStyle w:val="41"/>
        <w:bidi w:val="0"/>
        <w:spacing w:after="0" w:afterLines="0"/>
        <w:ind w:left="420" w:hanging="420" w:hangingChars="200"/>
        <w:rPr>
          <w:rFonts w:hint="eastAsia" w:ascii="黑体" w:hAnsi="黑体" w:eastAsia="黑体" w:cs="黑体"/>
          <w:lang w:val="en-US" w:eastAsia="zh-CN"/>
        </w:rPr>
      </w:pPr>
    </w:p>
    <w:p w14:paraId="4DE423B8">
      <w:pPr>
        <w:pStyle w:val="41"/>
        <w:numPr>
          <w:ilvl w:val="1"/>
          <w:numId w:val="0"/>
        </w:numPr>
        <w:bidi w:val="0"/>
        <w:spacing w:after="0" w:afterLines="0"/>
        <w:ind w:leftChars="-200" w:firstLine="840" w:firstLineChars="400"/>
        <w:rPr>
          <w:rFonts w:hint="eastAsia" w:ascii="黑体" w:hAnsi="黑体" w:eastAsia="黑体" w:cs="黑体"/>
          <w:lang w:val="en-US" w:eastAsia="zh-CN"/>
        </w:rPr>
      </w:pPr>
      <w:r>
        <w:rPr>
          <w:rFonts w:hint="eastAsia" w:ascii="黑体" w:hAnsi="黑体" w:eastAsia="黑体" w:cs="黑体"/>
          <w:lang w:val="en-US" w:eastAsia="zh-CN"/>
        </w:rPr>
        <w:t>三减三健Three less,Three healthy</w:t>
      </w:r>
    </w:p>
    <w:p w14:paraId="1875FABC">
      <w:pPr>
        <w:pStyle w:val="35"/>
        <w:rPr>
          <w:rFonts w:hint="default"/>
          <w:lang w:val="en-US" w:eastAsia="zh-CN"/>
        </w:rPr>
      </w:pPr>
      <w:r>
        <w:rPr>
          <w:rFonts w:hint="eastAsia" w:cs="黑体"/>
          <w:lang w:val="en-US" w:eastAsia="zh-CN"/>
        </w:rPr>
        <w:t>减盐、减油、减糖，健康口腔、健康体重、健康骨骼。</w:t>
      </w:r>
    </w:p>
    <w:p w14:paraId="50F1ACD9">
      <w:pPr>
        <w:pStyle w:val="40"/>
        <w:bidi w:val="0"/>
        <w:rPr>
          <w:rFonts w:hint="eastAsia"/>
          <w:lang w:val="en-US" w:eastAsia="zh-CN"/>
        </w:rPr>
      </w:pPr>
      <w:bookmarkStart w:id="49" w:name="_Toc6639"/>
      <w:bookmarkStart w:id="50" w:name="_Toc837"/>
      <w:bookmarkStart w:id="51" w:name="_Toc32461"/>
      <w:bookmarkStart w:id="52" w:name="_Toc25074"/>
      <w:bookmarkStart w:id="53" w:name="_Toc18925"/>
      <w:bookmarkStart w:id="54" w:name="_Toc6210"/>
      <w:r>
        <w:rPr>
          <w:rFonts w:hint="eastAsia"/>
          <w:lang w:val="en-US" w:eastAsia="zh-CN"/>
        </w:rPr>
        <w:t>基本要求</w:t>
      </w:r>
      <w:bookmarkEnd w:id="48"/>
      <w:bookmarkEnd w:id="49"/>
      <w:bookmarkEnd w:id="50"/>
      <w:bookmarkEnd w:id="51"/>
      <w:bookmarkEnd w:id="52"/>
      <w:bookmarkEnd w:id="53"/>
      <w:bookmarkEnd w:id="54"/>
    </w:p>
    <w:p w14:paraId="0893A4C3">
      <w:pPr>
        <w:pStyle w:val="43"/>
        <w:bidi w:val="0"/>
        <w:rPr>
          <w:rFonts w:hint="eastAsia"/>
          <w:lang w:val="en-US" w:eastAsia="zh-CN"/>
        </w:rPr>
      </w:pPr>
      <w:bookmarkStart w:id="55" w:name="_Toc29328"/>
      <w:bookmarkStart w:id="56" w:name="_Toc30034"/>
      <w:r>
        <w:rPr>
          <w:rFonts w:hint="eastAsia"/>
          <w:lang w:val="en-US" w:eastAsia="zh-CN"/>
        </w:rPr>
        <w:t>主体资质</w:t>
      </w:r>
    </w:p>
    <w:p w14:paraId="1AC7FA3F">
      <w:pPr>
        <w:pStyle w:val="45"/>
        <w:bidi w:val="0"/>
        <w:spacing w:before="0" w:beforeLines="0" w:after="0" w:afterLines="0"/>
        <w:rPr>
          <w:rFonts w:hint="eastAsia"/>
          <w:lang w:val="en-US" w:eastAsia="zh-CN"/>
        </w:rPr>
      </w:pPr>
      <w:r>
        <w:rPr>
          <w:rFonts w:hint="eastAsia"/>
          <w:lang w:val="en-US" w:eastAsia="zh-CN"/>
        </w:rPr>
        <w:t>应取得餐饮服务经营许可证，且餐饮服务食品安全风险等级评定达B级以上。</w:t>
      </w:r>
    </w:p>
    <w:p w14:paraId="352651F2">
      <w:pPr>
        <w:pStyle w:val="45"/>
        <w:bidi w:val="0"/>
        <w:spacing w:before="0" w:beforeLines="0" w:after="0" w:afterLines="0"/>
        <w:rPr>
          <w:rFonts w:hint="default"/>
          <w:lang w:val="en-US" w:eastAsia="zh-CN"/>
        </w:rPr>
      </w:pPr>
      <w:r>
        <w:rPr>
          <w:rFonts w:hint="eastAsia"/>
          <w:lang w:val="en-US" w:eastAsia="zh-CN"/>
        </w:rPr>
        <w:t>食堂从业人员应具备有效健康证明。</w:t>
      </w:r>
    </w:p>
    <w:p w14:paraId="19546630">
      <w:pPr>
        <w:pStyle w:val="43"/>
        <w:bidi w:val="0"/>
        <w:rPr>
          <w:rFonts w:hint="eastAsia"/>
          <w:lang w:val="en-US" w:eastAsia="zh-CN"/>
        </w:rPr>
      </w:pPr>
      <w:r>
        <w:rPr>
          <w:rFonts w:hint="eastAsia"/>
          <w:lang w:val="en-US" w:eastAsia="zh-CN"/>
        </w:rPr>
        <w:t>组织制度</w:t>
      </w:r>
    </w:p>
    <w:p w14:paraId="310156B2">
      <w:pPr>
        <w:pStyle w:val="45"/>
        <w:bidi w:val="0"/>
        <w:spacing w:before="0" w:beforeLines="0" w:after="0" w:afterLines="0"/>
        <w:rPr>
          <w:rFonts w:hint="eastAsia"/>
          <w:lang w:val="en-US" w:eastAsia="zh-CN"/>
        </w:rPr>
      </w:pPr>
      <w:r>
        <w:rPr>
          <w:rFonts w:hint="eastAsia"/>
          <w:lang w:val="en-US" w:eastAsia="zh-CN"/>
        </w:rPr>
        <w:t>医疗机构食堂应设置具有反食品浪费管理职责的部门，配备专职或兼职的反食品浪费管理人员。制定反食品浪费工作方案或管理办法，将反食品浪费工作纳入年度节能工作、节能考核和节约型示范单位创建内容。</w:t>
      </w:r>
    </w:p>
    <w:p w14:paraId="045A4E20">
      <w:pPr>
        <w:pStyle w:val="45"/>
        <w:bidi w:val="0"/>
        <w:spacing w:before="0" w:beforeLines="0" w:after="0" w:afterLines="0"/>
        <w:rPr>
          <w:rFonts w:hint="eastAsia"/>
          <w:lang w:val="en-US" w:eastAsia="zh-CN"/>
        </w:rPr>
      </w:pPr>
      <w:r>
        <w:rPr>
          <w:rFonts w:hint="eastAsia"/>
          <w:lang w:val="en-US" w:eastAsia="zh-CN"/>
        </w:rPr>
        <w:t>制定食材采购、加工制作、预约就餐、剩余食品处置、餐厨垃圾处理、用餐监督、满意度评价、自查自纠、宣传培训等反食品浪费管理制度，明确具体措施。</w:t>
      </w:r>
    </w:p>
    <w:p w14:paraId="08D3CF39">
      <w:pPr>
        <w:pStyle w:val="45"/>
        <w:bidi w:val="0"/>
        <w:spacing w:before="0" w:beforeLines="0" w:after="0" w:afterLines="0"/>
        <w:rPr>
          <w:rFonts w:hint="eastAsia"/>
          <w:lang w:val="en-US" w:eastAsia="zh-CN"/>
        </w:rPr>
      </w:pPr>
      <w:r>
        <w:rPr>
          <w:rFonts w:hint="eastAsia"/>
          <w:lang w:val="en-US" w:eastAsia="zh-CN"/>
        </w:rPr>
        <w:t>采用购买社会服务经营方式的食堂，加强对经营管理机构的监督改进，建立引进和退出机制，择优选择餐饮服务机构。</w:t>
      </w:r>
      <w:bookmarkEnd w:id="55"/>
    </w:p>
    <w:p w14:paraId="5739BA55">
      <w:pPr>
        <w:pStyle w:val="45"/>
        <w:bidi w:val="0"/>
        <w:spacing w:before="0" w:beforeLines="0" w:after="0" w:afterLines="0"/>
        <w:rPr>
          <w:rFonts w:hint="eastAsia"/>
          <w:lang w:val="en-US" w:eastAsia="zh-CN"/>
        </w:rPr>
      </w:pPr>
      <w:r>
        <w:rPr>
          <w:rFonts w:hint="eastAsia"/>
          <w:lang w:val="en-US" w:eastAsia="zh-CN"/>
        </w:rPr>
        <w:t>制定公共卫生、食品安全事件、断餐、停电、停水等突发事件应急预案。</w:t>
      </w:r>
    </w:p>
    <w:p w14:paraId="0ABC2AB7">
      <w:pPr>
        <w:pStyle w:val="45"/>
        <w:bidi w:val="0"/>
        <w:spacing w:before="0" w:beforeLines="0" w:after="0" w:afterLines="0"/>
        <w:rPr>
          <w:rFonts w:hint="eastAsia"/>
          <w:lang w:val="en-US" w:eastAsia="zh-CN"/>
        </w:rPr>
      </w:pPr>
      <w:r>
        <w:rPr>
          <w:rFonts w:hint="eastAsia"/>
          <w:lang w:val="en-US" w:eastAsia="zh-CN"/>
        </w:rPr>
        <w:t>宜根据患者需求和意愿，提供治疗饮食，完善治疗饮食登记制度。由主治医师、营养医师根据选食治疗饮食的人数、病情、诊断、饮食习惯、营养状态等，开具治疗膳食营养指导单，食堂工作人员依据营养指导单进行食谱编制和备餐，由护士及时观察并记录饮食治疗效果。</w:t>
      </w:r>
    </w:p>
    <w:p w14:paraId="55B69FE7">
      <w:pPr>
        <w:pStyle w:val="40"/>
        <w:bidi w:val="0"/>
        <w:rPr>
          <w:rFonts w:hint="eastAsia"/>
          <w:lang w:val="en-US" w:eastAsia="zh-CN"/>
        </w:rPr>
      </w:pPr>
      <w:bookmarkStart w:id="57" w:name="_Toc8336"/>
      <w:bookmarkStart w:id="58" w:name="_Toc17972"/>
      <w:bookmarkStart w:id="59" w:name="_Toc27415"/>
      <w:bookmarkStart w:id="60" w:name="_Toc20948"/>
      <w:bookmarkStart w:id="61" w:name="_Toc23647"/>
      <w:r>
        <w:rPr>
          <w:rFonts w:hint="eastAsia"/>
          <w:lang w:val="en-US" w:eastAsia="zh-CN"/>
        </w:rPr>
        <w:t>餐前准备</w:t>
      </w:r>
      <w:bookmarkEnd w:id="57"/>
      <w:bookmarkEnd w:id="58"/>
      <w:bookmarkEnd w:id="59"/>
      <w:bookmarkEnd w:id="60"/>
    </w:p>
    <w:p w14:paraId="7E8F980B">
      <w:pPr>
        <w:pStyle w:val="43"/>
        <w:bidi w:val="0"/>
        <w:rPr>
          <w:rFonts w:hint="eastAsia"/>
          <w:lang w:val="en-US" w:eastAsia="zh-CN"/>
        </w:rPr>
      </w:pPr>
      <w:r>
        <w:rPr>
          <w:rFonts w:hint="eastAsia"/>
          <w:lang w:val="en-US" w:eastAsia="zh-CN"/>
        </w:rPr>
        <w:t>精准备餐</w:t>
      </w:r>
    </w:p>
    <w:p w14:paraId="4CC592B3">
      <w:pPr>
        <w:pStyle w:val="45"/>
        <w:bidi w:val="0"/>
        <w:spacing w:before="0" w:beforeLines="0" w:after="0" w:afterLines="0"/>
        <w:rPr>
          <w:rFonts w:hint="eastAsia"/>
          <w:b w:val="0"/>
          <w:bCs w:val="0"/>
          <w:lang w:val="en-US" w:eastAsia="zh-CN"/>
        </w:rPr>
      </w:pPr>
      <w:r>
        <w:rPr>
          <w:rFonts w:hint="eastAsia"/>
          <w:b w:val="0"/>
          <w:bCs w:val="0"/>
          <w:lang w:val="en-US" w:eastAsia="zh-CN"/>
        </w:rPr>
        <w:t>食堂管理部门应及时统计每日在岗职工用餐人数，包括急诊、手术、值班等医务人员数量，报于食堂工作人员按需备餐。</w:t>
      </w:r>
    </w:p>
    <w:p w14:paraId="284B38EA">
      <w:pPr>
        <w:pStyle w:val="45"/>
        <w:bidi w:val="0"/>
        <w:spacing w:before="0" w:beforeLines="0" w:after="0" w:afterLines="0"/>
        <w:rPr>
          <w:rFonts w:hint="eastAsia"/>
          <w:lang w:val="en-US" w:eastAsia="zh-CN"/>
        </w:rPr>
      </w:pPr>
      <w:r>
        <w:rPr>
          <w:rFonts w:hint="eastAsia"/>
          <w:b w:val="0"/>
          <w:bCs w:val="0"/>
          <w:lang w:val="en-US" w:eastAsia="zh-CN"/>
        </w:rPr>
        <w:t>应为患者及家属提供多种订餐和点餐渠道，包括但不限于微信群预约、电话预约、手机客户端预约、上门配送等多种方式。采用上门配送的，应每日统计配送数量，根据病患需求及时调整。</w:t>
      </w:r>
    </w:p>
    <w:p w14:paraId="6CE3C486">
      <w:pPr>
        <w:pStyle w:val="45"/>
        <w:bidi w:val="0"/>
        <w:spacing w:before="0" w:beforeLines="0" w:after="0" w:afterLines="0"/>
        <w:rPr>
          <w:rFonts w:hint="eastAsia"/>
          <w:b w:val="0"/>
          <w:bCs w:val="0"/>
          <w:lang w:val="en-US" w:eastAsia="zh-CN"/>
        </w:rPr>
      </w:pPr>
      <w:r>
        <w:rPr>
          <w:rFonts w:hint="eastAsia"/>
          <w:b w:val="0"/>
          <w:bCs w:val="0"/>
          <w:lang w:val="en-US" w:eastAsia="zh-CN"/>
        </w:rPr>
        <w:t>应根据患者需求，提供营养餐制作、配送服务，鼓励提供“便民灶”、“爱心厨房”等平台。</w:t>
      </w:r>
    </w:p>
    <w:p w14:paraId="22B890E7">
      <w:pPr>
        <w:pStyle w:val="43"/>
        <w:bidi w:val="0"/>
        <w:rPr>
          <w:rFonts w:hint="eastAsia"/>
          <w:lang w:val="en-US" w:eastAsia="zh-CN"/>
        </w:rPr>
      </w:pPr>
      <w:r>
        <w:rPr>
          <w:rFonts w:hint="eastAsia"/>
          <w:lang w:val="en-US" w:eastAsia="zh-CN"/>
        </w:rPr>
        <w:t>采购贮存</w:t>
      </w:r>
    </w:p>
    <w:p w14:paraId="35737F76">
      <w:pPr>
        <w:pStyle w:val="45"/>
        <w:bidi w:val="0"/>
        <w:spacing w:before="0" w:beforeLines="0" w:after="0" w:afterLines="0"/>
        <w:rPr>
          <w:rFonts w:hint="eastAsia"/>
          <w:lang w:val="en-US" w:eastAsia="zh-CN"/>
        </w:rPr>
      </w:pPr>
      <w:r>
        <w:rPr>
          <w:rFonts w:hint="eastAsia"/>
          <w:lang w:val="en-US" w:eastAsia="zh-CN"/>
        </w:rPr>
        <w:t>应建立原材料采购制度，保证食材种类丰富和新鲜，减少腌制、腊制及动物油脂类食材使用。应根据用餐人数、食品储存条件和储存场所环境，合理安排采购周期和采购食品数量。生鲜食品宜“少采勤采”“即采即用”，非生鲜食品适量采购。</w:t>
      </w:r>
    </w:p>
    <w:p w14:paraId="1F805329">
      <w:pPr>
        <w:pStyle w:val="45"/>
        <w:bidi w:val="0"/>
        <w:spacing w:before="0" w:beforeLines="0" w:after="0" w:afterLines="0"/>
        <w:rPr>
          <w:rFonts w:hint="eastAsia"/>
          <w:lang w:val="en-US" w:eastAsia="zh-CN"/>
        </w:rPr>
      </w:pPr>
      <w:r>
        <w:rPr>
          <w:rFonts w:hint="eastAsia"/>
          <w:lang w:val="en-US" w:eastAsia="zh-CN"/>
        </w:rPr>
        <w:t>食品原料采购选择具有相关合法资质供货者，建立固定供货渠道并签订供货协议。食品原料进货票据登记造册，进货票据、供应商档案、进货登记台账齐全。</w:t>
      </w:r>
    </w:p>
    <w:p w14:paraId="5A07C6CC">
      <w:pPr>
        <w:pStyle w:val="45"/>
        <w:bidi w:val="0"/>
        <w:spacing w:before="0" w:beforeLines="0" w:after="0" w:afterLines="0"/>
        <w:rPr>
          <w:rFonts w:hint="eastAsia"/>
          <w:lang w:val="en-US" w:eastAsia="zh-CN"/>
        </w:rPr>
      </w:pPr>
      <w:r>
        <w:rPr>
          <w:rFonts w:hint="eastAsia"/>
          <w:lang w:val="en-US" w:eastAsia="zh-CN"/>
        </w:rPr>
        <w:t>应按照</w:t>
      </w:r>
      <w:r>
        <w:rPr>
          <w:rFonts w:hint="eastAsia" w:cs="宋体"/>
          <w:sz w:val="21"/>
          <w:lang w:val="en-US" w:eastAsia="zh-CN"/>
        </w:rPr>
        <w:t>GB 31654的要求，进行采购验收和贮存管理，</w:t>
      </w:r>
      <w:r>
        <w:rPr>
          <w:rFonts w:hint="eastAsia"/>
          <w:lang w:val="en-US" w:eastAsia="zh-CN"/>
        </w:rPr>
        <w:t>食品分区存放、货架分离、离墙离地等措施，定期检查整理。保持仓库、冷库等储存场所卫生整洁，按照WS/T 690防制鼠类、蝇类、蚊虫等。</w:t>
      </w:r>
    </w:p>
    <w:p w14:paraId="08531574">
      <w:pPr>
        <w:pStyle w:val="45"/>
        <w:bidi w:val="0"/>
        <w:spacing w:before="0" w:beforeLines="0" w:after="0" w:afterLines="0"/>
        <w:rPr>
          <w:rFonts w:hint="eastAsia"/>
          <w:lang w:val="en-US" w:eastAsia="zh-CN"/>
        </w:rPr>
      </w:pPr>
      <w:r>
        <w:rPr>
          <w:rFonts w:hint="eastAsia"/>
          <w:lang w:val="en-US" w:eastAsia="zh-CN"/>
        </w:rPr>
        <w:t>宜建立原料采购和库存管理信息系统，精准控制采购和库存。各类食材科学分类、妥善储存，加强食材精细化管理。提倡分割成小份独立包装储存，使用时按量取材。执行出入库清单制度，及时签收、登记、存储货物，合理设置食品流通周期，遵循“先进先出”原则，定期盘点库存。</w:t>
      </w:r>
    </w:p>
    <w:p w14:paraId="04D12AD2">
      <w:pPr>
        <w:pStyle w:val="45"/>
        <w:bidi w:val="0"/>
        <w:spacing w:before="0" w:beforeLines="0" w:after="0" w:afterLines="0"/>
        <w:rPr>
          <w:rFonts w:hint="eastAsia"/>
          <w:lang w:val="en-US" w:eastAsia="zh-CN"/>
        </w:rPr>
      </w:pPr>
      <w:r>
        <w:rPr>
          <w:rFonts w:hint="eastAsia"/>
          <w:lang w:val="en-US" w:eastAsia="zh-CN"/>
        </w:rPr>
        <w:t>宜采用净菜入院和半成品统一配送，减少食堂后厨加工环节，降低产品损耗。充分利用食材原辅料，做到物尽其用，提高食材出成率、利用率。</w:t>
      </w:r>
    </w:p>
    <w:p w14:paraId="32CA71F0">
      <w:pPr>
        <w:pStyle w:val="43"/>
        <w:bidi w:val="0"/>
        <w:rPr>
          <w:rFonts w:hint="eastAsia"/>
          <w:lang w:val="en-US" w:eastAsia="zh-CN"/>
        </w:rPr>
      </w:pPr>
      <w:r>
        <w:rPr>
          <w:rFonts w:hint="eastAsia"/>
          <w:lang w:val="en-US" w:eastAsia="zh-CN"/>
        </w:rPr>
        <w:t>膳食搭配</w:t>
      </w:r>
    </w:p>
    <w:p w14:paraId="262FB29C">
      <w:pPr>
        <w:pStyle w:val="45"/>
        <w:bidi w:val="0"/>
        <w:spacing w:before="0" w:beforeLines="0" w:after="0" w:afterLines="0"/>
        <w:rPr>
          <w:rFonts w:hint="eastAsia"/>
          <w:lang w:val="en-US" w:eastAsia="zh-CN"/>
        </w:rPr>
      </w:pPr>
      <w:r>
        <w:rPr>
          <w:rFonts w:hint="eastAsia"/>
          <w:lang w:val="en-US" w:eastAsia="zh-CN"/>
        </w:rPr>
        <w:t>普通膳食菜谱应落实“健康江西”“三减三健”要求，研制营养均衡菜品，根据病患需要科学搭配食谱。可按照</w:t>
      </w:r>
      <w:r>
        <w:rPr>
          <w:rFonts w:hint="eastAsia" w:cs="宋体"/>
          <w:sz w:val="21"/>
          <w:lang w:val="en-US" w:eastAsia="zh-CN"/>
        </w:rPr>
        <w:t>SB/T 10474的规定进行营养搭配。</w:t>
      </w:r>
    </w:p>
    <w:p w14:paraId="6F1F1AD8">
      <w:pPr>
        <w:pStyle w:val="45"/>
        <w:bidi w:val="0"/>
        <w:spacing w:before="0" w:beforeLines="0" w:after="0" w:afterLines="0"/>
        <w:rPr>
          <w:rFonts w:hint="eastAsia"/>
          <w:lang w:val="en-US" w:eastAsia="zh-CN"/>
        </w:rPr>
      </w:pPr>
      <w:r>
        <w:rPr>
          <w:rFonts w:hint="eastAsia"/>
          <w:lang w:val="en-US" w:eastAsia="zh-CN"/>
        </w:rPr>
        <w:t>建立每周食谱制，采用适当方式提前一周公布（</w:t>
      </w:r>
      <w:r>
        <w:rPr>
          <w:rFonts w:hint="eastAsia"/>
          <w:highlight w:val="none"/>
          <w:lang w:val="en-US" w:eastAsia="zh-CN"/>
        </w:rPr>
        <w:t>食谱包括堂食菜谱和配送菜谱），</w:t>
      </w:r>
      <w:r>
        <w:rPr>
          <w:rFonts w:hint="eastAsia"/>
          <w:lang w:val="en-US" w:eastAsia="zh-CN"/>
        </w:rPr>
        <w:t>并根据用餐人员反馈及时调整。</w:t>
      </w:r>
    </w:p>
    <w:p w14:paraId="070E01C8">
      <w:pPr>
        <w:pStyle w:val="45"/>
        <w:bidi w:val="0"/>
        <w:spacing w:before="0" w:beforeLines="0" w:after="0" w:afterLines="0"/>
        <w:rPr>
          <w:rFonts w:hint="eastAsia"/>
          <w:lang w:val="en-US" w:eastAsia="zh-CN"/>
        </w:rPr>
      </w:pPr>
      <w:r>
        <w:rPr>
          <w:rFonts w:hint="eastAsia"/>
          <w:lang w:val="en-US" w:eastAsia="zh-CN"/>
        </w:rPr>
        <w:t>特殊膳食应包括但不限于软食、半流质膳食、流质膳食、匀浆膳食和治疗膳食。食堂应对每一种饮食医嘱，准备尽可能多的菜谱供患者选择，并建立住院患者膳食菜谱一览表，按医嘱及时更新。</w:t>
      </w:r>
    </w:p>
    <w:p w14:paraId="42D36ACD">
      <w:pPr>
        <w:pStyle w:val="45"/>
        <w:bidi w:val="0"/>
        <w:spacing w:before="0" w:beforeLines="0" w:after="0" w:afterLines="0"/>
        <w:rPr>
          <w:rFonts w:hint="eastAsia"/>
          <w:lang w:val="en-US" w:eastAsia="zh-CN"/>
        </w:rPr>
      </w:pPr>
      <w:r>
        <w:rPr>
          <w:rFonts w:hint="eastAsia"/>
          <w:lang w:val="en-US" w:eastAsia="zh-CN"/>
        </w:rPr>
        <w:t>病患者专用膳食应由主治医生和医院营养师共同</w:t>
      </w:r>
      <w:r>
        <w:rPr>
          <w:rFonts w:hint="eastAsia"/>
          <w:lang w:val="en-US" w:eastAsia="zh-CN"/>
        </w:rPr>
        <w:t>下达饮食医嘱，由值班护士准确、完整填写膳食通知单，交给配餐人员，当餐执行饮食医嘱。膳食食谱在营养师的主持下，由营养师、食堂管理人员、采购员共同制定。病患膳食搭配应在遵照医嘱要求的基础上，考虑以下因素：</w:t>
      </w:r>
      <w:bookmarkStart w:id="78" w:name="_GoBack"/>
      <w:bookmarkEnd w:id="78"/>
    </w:p>
    <w:p w14:paraId="12CB4E02">
      <w:pPr>
        <w:pStyle w:val="47"/>
        <w:bidi w:val="0"/>
        <w:rPr>
          <w:rFonts w:hint="eastAsia"/>
          <w:lang w:val="en-US" w:eastAsia="zh-CN"/>
        </w:rPr>
      </w:pPr>
      <w:r>
        <w:rPr>
          <w:rFonts w:hint="eastAsia"/>
          <w:lang w:val="en-US" w:eastAsia="zh-CN"/>
        </w:rPr>
        <w:t>患者年龄；</w:t>
      </w:r>
    </w:p>
    <w:p w14:paraId="3966CE97">
      <w:pPr>
        <w:pStyle w:val="47"/>
        <w:bidi w:val="0"/>
        <w:rPr>
          <w:rFonts w:hint="eastAsia"/>
          <w:lang w:val="en-US" w:eastAsia="zh-CN"/>
        </w:rPr>
      </w:pPr>
      <w:r>
        <w:rPr>
          <w:rFonts w:hint="eastAsia"/>
          <w:lang w:val="en-US" w:eastAsia="zh-CN"/>
        </w:rPr>
        <w:t>营养状况或需求；</w:t>
      </w:r>
    </w:p>
    <w:p w14:paraId="34791A33">
      <w:pPr>
        <w:pStyle w:val="47"/>
        <w:bidi w:val="0"/>
        <w:rPr>
          <w:rFonts w:hint="eastAsia"/>
          <w:lang w:val="en-US" w:eastAsia="zh-CN"/>
        </w:rPr>
      </w:pPr>
      <w:r>
        <w:rPr>
          <w:rFonts w:hint="eastAsia"/>
          <w:lang w:val="en-US" w:eastAsia="zh-CN"/>
        </w:rPr>
        <w:t>病情及治疗计划；</w:t>
      </w:r>
    </w:p>
    <w:p w14:paraId="3433E950">
      <w:pPr>
        <w:pStyle w:val="47"/>
        <w:bidi w:val="0"/>
        <w:rPr>
          <w:rFonts w:hint="eastAsia"/>
          <w:lang w:val="en-US" w:eastAsia="zh-CN"/>
        </w:rPr>
      </w:pPr>
      <w:r>
        <w:rPr>
          <w:rFonts w:hint="eastAsia"/>
          <w:lang w:val="en-US" w:eastAsia="zh-CN"/>
        </w:rPr>
        <w:t>食物过敏史。</w:t>
      </w:r>
    </w:p>
    <w:p w14:paraId="3199B624">
      <w:pPr>
        <w:pStyle w:val="45"/>
        <w:bidi w:val="0"/>
        <w:spacing w:before="0" w:beforeLines="0" w:after="0" w:afterLines="0"/>
        <w:rPr>
          <w:rFonts w:hint="eastAsia"/>
          <w:lang w:val="en-US" w:eastAsia="zh-CN"/>
        </w:rPr>
      </w:pPr>
      <w:r>
        <w:rPr>
          <w:rFonts w:hint="eastAsia"/>
          <w:lang w:val="en-US" w:eastAsia="zh-CN"/>
        </w:rPr>
        <w:t>治疗膳食应在专用区域，严格按照治疗膳食处方，单独称重和烹调，注明患者信息、配制时间、营养标识等。根据患者的病情和治疗计划制定菜谱：</w:t>
      </w:r>
    </w:p>
    <w:p w14:paraId="445E2A63">
      <w:pPr>
        <w:pStyle w:val="47"/>
        <w:bidi w:val="0"/>
        <w:rPr>
          <w:rFonts w:hint="eastAsia"/>
          <w:lang w:val="en-US" w:eastAsia="zh-CN"/>
        </w:rPr>
      </w:pPr>
      <w:r>
        <w:rPr>
          <w:rFonts w:hint="eastAsia"/>
          <w:lang w:val="en-US" w:eastAsia="zh-CN"/>
        </w:rPr>
        <w:t>对于病情较轻，无发热和无消化道疾患，疾病恢复期及不必限制饮食者的病患者，宜提供普通膳食供应服务，以营养平衡，种类齐全、搭配合理为主。</w:t>
      </w:r>
    </w:p>
    <w:p w14:paraId="27F8F958">
      <w:pPr>
        <w:pStyle w:val="47"/>
        <w:bidi w:val="0"/>
        <w:rPr>
          <w:rFonts w:hint="eastAsia"/>
          <w:lang w:val="en-US" w:eastAsia="zh-CN"/>
        </w:rPr>
      </w:pPr>
      <w:r>
        <w:rPr>
          <w:rFonts w:hint="eastAsia"/>
          <w:lang w:val="en-US" w:eastAsia="zh-CN"/>
        </w:rPr>
        <w:t>对于咀嚼或吞咽不利者，小儿、老年人、低热、食欲下降、胃肠功能减弱和手术恢复期的病患者，宜提供软食供应服务，以软烂为主食，如软饭、面条、菜肉均应切碎煮烂，易于咀嚼消化。</w:t>
      </w:r>
    </w:p>
    <w:p w14:paraId="600BD67D">
      <w:pPr>
        <w:pStyle w:val="47"/>
        <w:bidi w:val="0"/>
        <w:rPr>
          <w:rFonts w:hint="eastAsia"/>
          <w:lang w:val="en-US" w:eastAsia="zh-CN"/>
        </w:rPr>
      </w:pPr>
      <w:r>
        <w:rPr>
          <w:rFonts w:hint="eastAsia"/>
          <w:lang w:val="en-US" w:eastAsia="zh-CN"/>
        </w:rPr>
        <w:t>对于发热、体弱、消化道疾患，口腔疾病，咀嚼不便，手术后和消化不良的病患者，宜提供半流质膳食供应服务，如粥、面条、馄饨、蒸鸡蛋、碎菜叶等。</w:t>
      </w:r>
    </w:p>
    <w:p w14:paraId="08B798EF">
      <w:pPr>
        <w:pStyle w:val="47"/>
        <w:bidi w:val="0"/>
        <w:rPr>
          <w:rFonts w:hint="eastAsia"/>
          <w:lang w:val="en-US" w:eastAsia="zh-CN"/>
        </w:rPr>
      </w:pPr>
      <w:r>
        <w:rPr>
          <w:rFonts w:hint="eastAsia"/>
          <w:lang w:val="en-US" w:eastAsia="zh-CN"/>
        </w:rPr>
        <w:t>对于高热、食欲差，咀嚼、吞咽极度困难者，急性炎性胃肠疾病、急性腹泻、恶心、呕吐者，体质重度虚弱者，以及手术后的第一次进食的病患者，宜提供流质膳食供应服务，如脱脂牛奶、米汤、米糊、面汤、无油肉汤、蔬菜汁、果汁等。</w:t>
      </w:r>
    </w:p>
    <w:p w14:paraId="42B6C970">
      <w:pPr>
        <w:pStyle w:val="47"/>
        <w:bidi w:val="0"/>
        <w:rPr>
          <w:rFonts w:hint="eastAsia"/>
          <w:highlight w:val="none"/>
          <w:lang w:val="en-US" w:eastAsia="zh-CN"/>
        </w:rPr>
      </w:pPr>
      <w:r>
        <w:rPr>
          <w:rFonts w:hint="eastAsia"/>
          <w:highlight w:val="none"/>
          <w:lang w:val="en-US" w:eastAsia="zh-CN"/>
        </w:rPr>
        <w:t>对于采用鼻饲管辅助进食、疾病晚期或有特殊进食需要的病患者，宜提供匀浆膳食供应服务，如研磨成均匀的无颗粒乳状液体等。</w:t>
      </w:r>
    </w:p>
    <w:p w14:paraId="6578B178">
      <w:pPr>
        <w:pStyle w:val="35"/>
        <w:rPr>
          <w:rFonts w:hint="default"/>
          <w:highlight w:val="none"/>
          <w:lang w:val="en-US" w:eastAsia="zh-CN"/>
        </w:rPr>
      </w:pPr>
      <w:r>
        <w:rPr>
          <w:rFonts w:hint="eastAsia"/>
          <w:highlight w:val="none"/>
          <w:lang w:val="en-US" w:eastAsia="zh-CN"/>
        </w:rPr>
        <w:t>——对于特殊疾病患者，糖尿病患者、甲状腺功能亢进患者，宜提供无糖、无碘饮食。</w:t>
      </w:r>
    </w:p>
    <w:p w14:paraId="7F289F4F">
      <w:pPr>
        <w:pStyle w:val="47"/>
        <w:bidi w:val="0"/>
        <w:rPr>
          <w:rFonts w:hint="eastAsia"/>
          <w:lang w:val="en-US" w:eastAsia="zh-CN"/>
        </w:rPr>
      </w:pPr>
      <w:r>
        <w:rPr>
          <w:rFonts w:hint="eastAsia"/>
          <w:highlight w:val="none"/>
          <w:lang w:val="en-US" w:eastAsia="zh-CN"/>
        </w:rPr>
        <w:t>对于特殊要求，包括但不限于高蛋白膳食、低蛋白膳食、高热量膳食、低脂肪膳食、低盐膳食、无盐低纳膳食、要素饮食、特医食品</w:t>
      </w:r>
      <w:r>
        <w:rPr>
          <w:rFonts w:hint="eastAsia"/>
          <w:lang w:val="en-US" w:eastAsia="zh-CN"/>
        </w:rPr>
        <w:t>等特殊治疗膳食服务的病患者，应遵医嘱执行，并在专门的特殊膳食配制室进行配制。</w:t>
      </w:r>
    </w:p>
    <w:p w14:paraId="036003F9">
      <w:pPr>
        <w:pStyle w:val="40"/>
        <w:bidi w:val="0"/>
        <w:ind w:left="0" w:leftChars="0" w:firstLine="0" w:firstLineChars="0"/>
        <w:rPr>
          <w:rFonts w:hint="eastAsia"/>
          <w:lang w:val="en-US" w:eastAsia="zh-CN"/>
        </w:rPr>
      </w:pPr>
      <w:r>
        <w:rPr>
          <w:rFonts w:hint="eastAsia"/>
          <w:lang w:val="en-US" w:eastAsia="zh-CN"/>
        </w:rPr>
        <w:t>烹饪加工</w:t>
      </w:r>
    </w:p>
    <w:p w14:paraId="6371100A">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烹饪前应检查食材是否新鲜可食，不得食用有异味、腐烂变质的食材。</w:t>
      </w:r>
    </w:p>
    <w:p w14:paraId="61D1BF98">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需要熟制加工的食品应煮熟煮透，加工时食品中心温度不低于70℃。</w:t>
      </w:r>
    </w:p>
    <w:p w14:paraId="126951F1">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调味品容器应保持清洁，使用后及时加盖或密封。</w:t>
      </w:r>
    </w:p>
    <w:p w14:paraId="7098FBC4">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应提高原材料利用率，做好边角料再利用。</w:t>
      </w:r>
    </w:p>
    <w:p w14:paraId="4582DF48">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应推行大锅备菜、小锅续供，不宜使用食品装饰菜品。</w:t>
      </w:r>
    </w:p>
    <w:p w14:paraId="25566FC1">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应提高烹饪人员烹饪技能，定期开展烹饪技能培训和</w:t>
      </w:r>
      <w:r>
        <w:rPr>
          <w:rFonts w:hint="eastAsia" w:ascii="宋体" w:hAnsi="宋体" w:eastAsia="宋体" w:cs="宋体"/>
          <w:highlight w:val="none"/>
          <w:lang w:val="en-US" w:eastAsia="zh-CN"/>
        </w:rPr>
        <w:t>技术交流</w:t>
      </w:r>
      <w:r>
        <w:rPr>
          <w:rFonts w:hint="eastAsia" w:ascii="宋体" w:hAnsi="宋体" w:eastAsia="宋体" w:cs="宋体"/>
          <w:lang w:val="en-US" w:eastAsia="zh-CN"/>
        </w:rPr>
        <w:t>。</w:t>
      </w:r>
    </w:p>
    <w:p w14:paraId="5E34CDBE">
      <w:pPr>
        <w:pStyle w:val="40"/>
        <w:bidi w:val="0"/>
        <w:ind w:left="0" w:leftChars="0" w:firstLine="0" w:firstLineChars="0"/>
        <w:rPr>
          <w:rFonts w:hint="eastAsia" w:ascii="宋体" w:hAnsi="宋体" w:eastAsia="宋体" w:cs="宋体"/>
          <w:lang w:val="en-US" w:eastAsia="zh-CN"/>
        </w:rPr>
      </w:pPr>
      <w:r>
        <w:rPr>
          <w:rFonts w:hint="eastAsia"/>
          <w:lang w:val="en-US" w:eastAsia="zh-CN"/>
        </w:rPr>
        <w:t>供餐管理</w:t>
      </w:r>
    </w:p>
    <w:p w14:paraId="546B7B46">
      <w:pPr>
        <w:pStyle w:val="42"/>
        <w:bidi w:val="0"/>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应采用</w:t>
      </w:r>
      <w:r>
        <w:rPr>
          <w:rFonts w:hint="eastAsia" w:ascii="宋体" w:hAnsi="宋体" w:eastAsia="宋体" w:cs="宋体"/>
        </w:rPr>
        <w:t>多样化供餐</w:t>
      </w:r>
      <w:r>
        <w:rPr>
          <w:rFonts w:hint="eastAsia" w:ascii="宋体" w:hAnsi="宋体" w:eastAsia="宋体" w:cs="宋体"/>
          <w:lang w:val="en-US" w:eastAsia="zh-CN"/>
        </w:rPr>
        <w:t>方式</w:t>
      </w:r>
      <w:r>
        <w:rPr>
          <w:rFonts w:hint="eastAsia" w:ascii="宋体" w:hAnsi="宋体" w:eastAsia="宋体" w:cs="宋体"/>
        </w:rPr>
        <w:t>，提供小份菜、小盘菜、小分量主食，根据就餐人员需求提供“半份菜”点餐服务。</w:t>
      </w:r>
    </w:p>
    <w:p w14:paraId="01226BD1">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应制订并公布普通膳食的早餐、中餐和晚餐供餐时间。可根据医嘱、营养师推荐或病患者需求</w:t>
      </w:r>
      <w:r>
        <w:rPr>
          <w:rFonts w:hint="eastAsia" w:ascii="宋体" w:hAnsi="宋体" w:eastAsia="宋体" w:cs="宋体"/>
          <w:highlight w:val="none"/>
          <w:lang w:val="en-US" w:eastAsia="zh-CN"/>
        </w:rPr>
        <w:t>，提供特殊营养膳食。（</w:t>
      </w:r>
      <w:r>
        <w:rPr>
          <w:rFonts w:hint="eastAsia" w:ascii="宋体" w:hAnsi="宋体" w:eastAsia="宋体" w:cs="宋体"/>
          <w:lang w:val="en-US" w:eastAsia="zh-CN"/>
        </w:rPr>
        <w:t>对于体检人群，食堂提供时间和营养饮食安排）</w:t>
      </w:r>
    </w:p>
    <w:p w14:paraId="3DA54A63">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应提供营养套餐专供窗口，售卖菜品应有公示牌或电子屏显示，标注辣度、甜度、酸度等口味信息，宜标注饭菜营养标识和不适宜人群。</w:t>
      </w:r>
    </w:p>
    <w:p w14:paraId="4B7D6478">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lang w:val="en-US" w:eastAsia="zh-CN"/>
        </w:rPr>
        <w:t>用餐人员取餐、用餐时，应按需适量点餐，杜绝铺张浪费，服务人员应超量提醒、提供建议，或在窗口设置相关提示牌。建立消费提醒提示制度，加强人员服务培训。设立“光盘行动”劝导员，提醒就餐人员按量取餐、“多次少量”、避免浪费。</w:t>
      </w:r>
    </w:p>
    <w:p w14:paraId="30561349">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宜在堂食就餐区设置相对独立的“营养健康角”，摆放控油罐、限盐勺、体重秤、BMI测试盘、血压计、营养健康宣传册等健康支持工具。</w:t>
      </w:r>
    </w:p>
    <w:p w14:paraId="37B7A82A">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highlight w:val="none"/>
          <w:lang w:val="en-US" w:eastAsia="zh-CN"/>
        </w:rPr>
      </w:pPr>
      <w:r>
        <w:rPr>
          <w:rFonts w:hint="eastAsia" w:ascii="宋体" w:hAnsi="宋体" w:eastAsia="宋体" w:cs="宋体"/>
          <w:highlight w:val="none"/>
        </w:rPr>
        <w:t>开放堂食</w:t>
      </w:r>
      <w:r>
        <w:rPr>
          <w:rFonts w:hint="eastAsia" w:ascii="宋体" w:hAnsi="宋体" w:eastAsia="宋体" w:cs="宋体"/>
          <w:highlight w:val="none"/>
          <w:lang w:val="en-US" w:eastAsia="zh-CN"/>
        </w:rPr>
        <w:t>宜使用餐卡或电子支付，上门</w:t>
      </w:r>
      <w:r>
        <w:rPr>
          <w:rFonts w:hint="eastAsia" w:ascii="宋体" w:hAnsi="宋体" w:eastAsia="宋体" w:cs="宋体"/>
          <w:highlight w:val="none"/>
        </w:rPr>
        <w:t>送餐服务</w:t>
      </w:r>
      <w:r>
        <w:rPr>
          <w:rFonts w:hint="eastAsia" w:ascii="宋体" w:hAnsi="宋体" w:eastAsia="宋体" w:cs="宋体"/>
          <w:highlight w:val="none"/>
          <w:lang w:val="en-US" w:eastAsia="zh-CN"/>
        </w:rPr>
        <w:t>应提前打包、佩戴口罩</w:t>
      </w:r>
      <w:r>
        <w:rPr>
          <w:rFonts w:hint="eastAsia" w:ascii="宋体" w:hAnsi="宋体" w:eastAsia="宋体" w:cs="宋体"/>
          <w:highlight w:val="none"/>
        </w:rPr>
        <w:t>，</w:t>
      </w:r>
      <w:r>
        <w:rPr>
          <w:rFonts w:hint="eastAsia" w:ascii="宋体" w:hAnsi="宋体" w:eastAsia="宋体" w:cs="宋体"/>
          <w:highlight w:val="none"/>
          <w:lang w:val="en-US" w:eastAsia="zh-CN"/>
        </w:rPr>
        <w:t>避免</w:t>
      </w:r>
      <w:r>
        <w:rPr>
          <w:rFonts w:hint="eastAsia" w:ascii="宋体" w:hAnsi="宋体" w:eastAsia="宋体" w:cs="宋体"/>
          <w:highlight w:val="none"/>
        </w:rPr>
        <w:t>因用餐造成交叉感染。</w:t>
      </w:r>
    </w:p>
    <w:p w14:paraId="669399F2">
      <w:pPr>
        <w:pStyle w:val="35"/>
        <w:ind w:left="0" w:leftChars="0" w:firstLine="0" w:firstLineChars="0"/>
        <w:rPr>
          <w:rFonts w:hint="default" w:ascii="黑体" w:hAnsi="黑体" w:eastAsia="黑体" w:cs="黑体"/>
          <w:highlight w:val="none"/>
          <w:lang w:val="en-US" w:eastAsia="zh-CN"/>
        </w:rPr>
      </w:pPr>
      <w:r>
        <w:rPr>
          <w:rFonts w:hint="eastAsia" w:ascii="黑体" w:hAnsi="黑体" w:eastAsia="黑体" w:cs="黑体"/>
          <w:highlight w:val="none"/>
          <w:lang w:val="en-US" w:eastAsia="zh-CN"/>
        </w:rPr>
        <w:t xml:space="preserve">7.7  </w:t>
      </w:r>
      <w:r>
        <w:rPr>
          <w:rFonts w:hint="eastAsia" w:asciiTheme="minorEastAsia" w:hAnsiTheme="minorEastAsia" w:eastAsiaTheme="minorEastAsia" w:cstheme="minorEastAsia"/>
          <w:highlight w:val="none"/>
          <w:lang w:val="en-US" w:eastAsia="zh-CN"/>
        </w:rPr>
        <w:t>应按GB 31654及《餐饮服务食品安全操作规范》进行食品留样。</w:t>
      </w:r>
    </w:p>
    <w:bookmarkEnd w:id="56"/>
    <w:bookmarkEnd w:id="61"/>
    <w:p w14:paraId="1D0F7D0A">
      <w:pPr>
        <w:pStyle w:val="40"/>
        <w:bidi w:val="0"/>
        <w:ind w:left="0" w:leftChars="0" w:firstLine="0" w:firstLineChars="0"/>
        <w:rPr>
          <w:rFonts w:hint="eastAsia"/>
          <w:b w:val="0"/>
          <w:bCs w:val="0"/>
        </w:rPr>
      </w:pPr>
      <w:bookmarkStart w:id="62" w:name="_Toc21809"/>
      <w:bookmarkStart w:id="63" w:name="_Toc22760"/>
      <w:r>
        <w:rPr>
          <w:rFonts w:hint="eastAsia"/>
          <w:b w:val="0"/>
          <w:bCs w:val="0"/>
          <w:lang w:val="en-US" w:eastAsia="zh-CN"/>
        </w:rPr>
        <w:t>实施限塑行动</w:t>
      </w:r>
    </w:p>
    <w:p w14:paraId="523D31CA">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b w:val="0"/>
          <w:bCs w:val="0"/>
        </w:rPr>
      </w:pPr>
      <w:r>
        <w:rPr>
          <w:rFonts w:hint="eastAsia" w:ascii="宋体" w:hAnsi="宋体" w:eastAsia="宋体" w:cs="宋体"/>
          <w:b w:val="0"/>
          <w:bCs w:val="0"/>
          <w:lang w:val="en-US" w:eastAsia="zh-CN"/>
        </w:rPr>
        <w:t>通过适当形式提醒病患、医院职工</w:t>
      </w:r>
      <w:r>
        <w:rPr>
          <w:rFonts w:hint="eastAsia" w:ascii="宋体" w:hAnsi="宋体" w:eastAsia="宋体" w:cs="宋体"/>
          <w:b w:val="0"/>
          <w:bCs w:val="0"/>
        </w:rPr>
        <w:t>自带餐具，</w:t>
      </w:r>
      <w:r>
        <w:rPr>
          <w:rFonts w:hint="eastAsia" w:ascii="宋体" w:hAnsi="宋体" w:eastAsia="宋体" w:cs="宋体"/>
          <w:b w:val="0"/>
          <w:bCs w:val="0"/>
          <w:lang w:val="en-US" w:eastAsia="zh-CN"/>
        </w:rPr>
        <w:t>配备餐具消毒设备。</w:t>
      </w:r>
    </w:p>
    <w:p w14:paraId="10050365">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b w:val="0"/>
          <w:bCs w:val="0"/>
        </w:rPr>
      </w:pPr>
      <w:r>
        <w:rPr>
          <w:rFonts w:hint="eastAsia" w:ascii="宋体" w:hAnsi="宋体" w:eastAsia="宋体" w:cs="宋体"/>
          <w:b w:val="0"/>
          <w:bCs w:val="0"/>
          <w:lang w:val="en-US" w:eastAsia="zh-CN"/>
        </w:rPr>
        <w:t>食堂应</w:t>
      </w:r>
      <w:r>
        <w:rPr>
          <w:rFonts w:hint="eastAsia" w:ascii="宋体" w:hAnsi="宋体" w:eastAsia="宋体" w:cs="宋体"/>
          <w:b w:val="0"/>
          <w:bCs w:val="0"/>
        </w:rPr>
        <w:t>提供</w:t>
      </w:r>
      <w:r>
        <w:rPr>
          <w:rFonts w:hint="eastAsia" w:ascii="宋体" w:hAnsi="宋体" w:eastAsia="宋体" w:cs="宋体"/>
          <w:b w:val="0"/>
          <w:bCs w:val="0"/>
          <w:lang w:val="en-US" w:eastAsia="zh-CN"/>
        </w:rPr>
        <w:t>可降解</w:t>
      </w:r>
      <w:r>
        <w:rPr>
          <w:rFonts w:hint="eastAsia" w:ascii="宋体" w:hAnsi="宋体" w:eastAsia="宋体" w:cs="宋体"/>
          <w:b w:val="0"/>
          <w:bCs w:val="0"/>
        </w:rPr>
        <w:t>餐具，减少一次性</w:t>
      </w:r>
      <w:r>
        <w:rPr>
          <w:rFonts w:hint="eastAsia" w:ascii="宋体" w:hAnsi="宋体" w:eastAsia="宋体" w:cs="宋体"/>
          <w:b w:val="0"/>
          <w:bCs w:val="0"/>
          <w:lang w:val="en-US" w:eastAsia="zh-CN"/>
        </w:rPr>
        <w:t>塑料</w:t>
      </w:r>
      <w:r>
        <w:rPr>
          <w:rFonts w:hint="eastAsia" w:ascii="宋体" w:hAnsi="宋体" w:eastAsia="宋体" w:cs="宋体"/>
          <w:b w:val="0"/>
          <w:bCs w:val="0"/>
        </w:rPr>
        <w:t>餐具供给。</w:t>
      </w:r>
      <w:r>
        <w:rPr>
          <w:rFonts w:hint="eastAsia" w:ascii="宋体" w:hAnsi="宋体" w:eastAsia="宋体" w:cs="宋体"/>
          <w:b w:val="0"/>
          <w:bCs w:val="0"/>
          <w:lang w:val="en-US" w:eastAsia="zh-CN"/>
        </w:rPr>
        <w:t>一次性餐具宜按量收费</w:t>
      </w:r>
      <w:r>
        <w:rPr>
          <w:rFonts w:hint="eastAsia" w:ascii="宋体" w:hAnsi="宋体" w:eastAsia="宋体" w:cs="宋体"/>
          <w:b w:val="0"/>
          <w:bCs w:val="0"/>
        </w:rPr>
        <w:t>。</w:t>
      </w:r>
    </w:p>
    <w:p w14:paraId="1EC4A8A3">
      <w:pPr>
        <w:pStyle w:val="40"/>
        <w:bidi w:val="0"/>
        <w:ind w:left="0" w:leftChars="0" w:firstLine="0" w:firstLineChars="0"/>
        <w:rPr>
          <w:rFonts w:hint="eastAsia"/>
          <w:lang w:val="en-US" w:eastAsia="zh-CN"/>
        </w:rPr>
      </w:pPr>
      <w:r>
        <w:rPr>
          <w:rFonts w:hint="eastAsia"/>
          <w:lang w:val="en-US" w:eastAsia="zh-CN"/>
        </w:rPr>
        <w:t>剩余食品处置</w:t>
      </w:r>
    </w:p>
    <w:p w14:paraId="0530D58A">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厨房发现剩余较多的餐品，应及时改进烹制工艺、减少备餐量或替换餐品。</w:t>
      </w:r>
    </w:p>
    <w:p w14:paraId="4D68FEA1">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如有未食用的剩余食品，应冷藏保管不超过24小时，再使用前宜加热使用。</w:t>
      </w:r>
    </w:p>
    <w:p w14:paraId="7684653B">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在安全卫生的前提下，宜通过降价促销、员工用餐或打包等多种方式开展未销售的剩余食品处置。</w:t>
      </w:r>
    </w:p>
    <w:p w14:paraId="745AA7C5">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堂食就餐结束，主动提醒用餐人员打包未用完菜品和主食。</w:t>
      </w:r>
    </w:p>
    <w:p w14:paraId="23F30E52">
      <w:pPr>
        <w:pStyle w:val="40"/>
        <w:bidi w:val="0"/>
        <w:ind w:left="0" w:leftChars="0" w:firstLine="0" w:firstLineChars="0"/>
        <w:rPr>
          <w:rFonts w:hint="eastAsia"/>
          <w:lang w:val="en-US" w:eastAsia="zh-CN"/>
        </w:rPr>
      </w:pPr>
      <w:r>
        <w:rPr>
          <w:rFonts w:hint="eastAsia"/>
          <w:lang w:val="en-US" w:eastAsia="zh-CN"/>
        </w:rPr>
        <w:t>餐厨垃圾处理</w:t>
      </w:r>
    </w:p>
    <w:p w14:paraId="25D611B8">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职工用餐区应统计制餐区、用餐区、餐具回收处的餐厨垃圾重量，参考GB/T 42967建立餐厨垃圾台账，记录垃圾处理方式等信息。应跟踪分析餐厨垃圾的种类和重量，对浪费较多的菜品及时改进烹制工艺，减少备餐量或替换该餐品。</w:t>
      </w:r>
    </w:p>
    <w:p w14:paraId="1A55D4B0">
      <w:pPr>
        <w:pStyle w:val="43"/>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食堂应按国家及属地要求，就地资源化处理或与具备资质的专业机构签订合作协议，对餐厨垃圾进行无害化处理和资源化利用。</w:t>
      </w:r>
    </w:p>
    <w:p w14:paraId="77CA05E9">
      <w:pPr>
        <w:pStyle w:val="40"/>
        <w:bidi w:val="0"/>
        <w:rPr>
          <w:rFonts w:hint="eastAsia"/>
          <w:lang w:val="en-US" w:eastAsia="zh-CN"/>
        </w:rPr>
      </w:pPr>
      <w:bookmarkStart w:id="64" w:name="_Toc26660"/>
      <w:bookmarkStart w:id="65" w:name="_Toc10313"/>
      <w:bookmarkStart w:id="66" w:name="_Toc13367"/>
      <w:bookmarkStart w:id="67" w:name="_Toc15886"/>
      <w:bookmarkStart w:id="68" w:name="_Toc2629"/>
      <w:bookmarkStart w:id="69" w:name="_Toc2391"/>
      <w:bookmarkStart w:id="70" w:name="_Toc11912"/>
      <w:r>
        <w:rPr>
          <w:rFonts w:hint="eastAsia"/>
          <w:lang w:val="en-US" w:eastAsia="zh-CN"/>
        </w:rPr>
        <w:t>宣传培训</w:t>
      </w:r>
      <w:bookmarkEnd w:id="64"/>
      <w:bookmarkEnd w:id="65"/>
      <w:bookmarkEnd w:id="66"/>
      <w:bookmarkEnd w:id="67"/>
      <w:bookmarkEnd w:id="68"/>
      <w:bookmarkEnd w:id="69"/>
    </w:p>
    <w:p w14:paraId="5BEC0E41">
      <w:pPr>
        <w:pStyle w:val="42"/>
        <w:bidi w:val="0"/>
        <w:spacing w:before="0" w:beforeLines="0" w:after="0" w:afterLines="0"/>
        <w:rPr>
          <w:rFonts w:hint="eastAsia" w:ascii="宋体" w:hAnsi="宋体" w:eastAsia="宋体" w:cs="宋体"/>
          <w:lang w:val="en-US" w:eastAsia="zh-CN"/>
        </w:rPr>
      </w:pPr>
      <w:r>
        <w:rPr>
          <w:rFonts w:hint="eastAsia"/>
          <w:lang w:val="en-US" w:eastAsia="zh-CN"/>
        </w:rPr>
        <w:t>在食堂入口、制餐区、取餐区、用餐区、餐</w:t>
      </w:r>
      <w:r>
        <w:rPr>
          <w:rFonts w:hint="eastAsia" w:ascii="宋体" w:hAnsi="宋体" w:eastAsia="宋体" w:cs="宋体"/>
          <w:lang w:val="en-US" w:eastAsia="zh-CN"/>
        </w:rPr>
        <w:t>具回收区等醒目位置，采取张贴宣传海报、摆放提示牌、播放滚动字幕等方式广泛宣传“光盘行动”。</w:t>
      </w:r>
    </w:p>
    <w:p w14:paraId="2ABBE10C">
      <w:pPr>
        <w:pStyle w:val="42"/>
        <w:bidi w:val="0"/>
        <w:spacing w:before="0" w:beforeLines="0" w:after="0" w:afterLines="0"/>
        <w:rPr>
          <w:rFonts w:hint="default"/>
          <w:lang w:val="en-US" w:eastAsia="zh-CN"/>
        </w:rPr>
      </w:pPr>
      <w:r>
        <w:rPr>
          <w:rFonts w:hint="eastAsia"/>
          <w:lang w:val="en-US" w:eastAsia="zh-CN"/>
        </w:rPr>
        <w:t>医疗机构将反食品浪费纳入世界粮食日、节能周、低碳日等主题宣传，利用提示牌、标语、宣传窗、电子屏、官方网站、公众号等载体，丰富宣传形式，向病患、家属和工作人员普及反食品浪费法律、制度、知识等。</w:t>
      </w:r>
    </w:p>
    <w:p w14:paraId="50A8B6B7">
      <w:pPr>
        <w:pStyle w:val="42"/>
        <w:bidi w:val="0"/>
        <w:spacing w:before="0" w:beforeLines="0" w:after="0" w:afterLines="0"/>
        <w:rPr>
          <w:rFonts w:hint="default"/>
          <w:lang w:val="en-US" w:eastAsia="zh-CN"/>
        </w:rPr>
      </w:pPr>
      <w:r>
        <w:rPr>
          <w:rFonts w:hint="eastAsia"/>
          <w:lang w:val="en-US" w:eastAsia="zh-CN"/>
        </w:rPr>
        <w:t>应将反食品浪费纳入食堂工作人员的入职和日常培训内容，每季度开展1次反食品浪费培训，将餐饮服务过程节约要求落实到各岗位，提升反食品浪费意识。</w:t>
      </w:r>
    </w:p>
    <w:p w14:paraId="4EA85819">
      <w:pPr>
        <w:pStyle w:val="40"/>
        <w:bidi w:val="0"/>
        <w:rPr>
          <w:rFonts w:hint="default"/>
          <w:lang w:val="en-US" w:eastAsia="zh-CN"/>
        </w:rPr>
      </w:pPr>
      <w:bookmarkStart w:id="71" w:name="_Toc3768"/>
      <w:bookmarkStart w:id="72" w:name="_Toc22700"/>
      <w:bookmarkStart w:id="73" w:name="_Toc4592"/>
      <w:bookmarkStart w:id="74" w:name="_Toc15750"/>
      <w:bookmarkStart w:id="75" w:name="_Toc30383"/>
      <w:bookmarkStart w:id="76" w:name="_Toc9549"/>
      <w:r>
        <w:rPr>
          <w:rFonts w:hint="eastAsia"/>
          <w:lang w:val="en-US" w:eastAsia="zh-CN"/>
        </w:rPr>
        <w:t>监督管理</w:t>
      </w:r>
      <w:bookmarkEnd w:id="71"/>
      <w:bookmarkEnd w:id="72"/>
      <w:bookmarkEnd w:id="73"/>
      <w:bookmarkEnd w:id="74"/>
      <w:bookmarkEnd w:id="75"/>
      <w:bookmarkEnd w:id="76"/>
    </w:p>
    <w:p w14:paraId="18C1AD6C">
      <w:pPr>
        <w:pStyle w:val="42"/>
        <w:bidi w:val="0"/>
        <w:spacing w:before="0" w:beforeLines="0" w:after="0" w:afterLines="0"/>
        <w:rPr>
          <w:rFonts w:hint="eastAsia"/>
          <w:lang w:val="en-US" w:eastAsia="zh-CN"/>
        </w:rPr>
      </w:pPr>
      <w:r>
        <w:rPr>
          <w:rFonts w:hint="eastAsia"/>
          <w:lang w:val="en-US" w:eastAsia="zh-CN"/>
        </w:rPr>
        <w:t>应定期开展用餐满意度调查，建立用餐人员对菜品质量（食品安全、价格）和口味的反馈渠道，结合反馈意见调整菜品菜谱，不断优化菜谱结构和菜肴口味。食堂应自觉接受医务人员、患者和家属监督，对于用餐人员反馈或媒体曝光的问题，及时整改落实。</w:t>
      </w:r>
    </w:p>
    <w:p w14:paraId="4B9791EE">
      <w:pPr>
        <w:pStyle w:val="42"/>
        <w:bidi w:val="0"/>
        <w:spacing w:before="0" w:beforeLines="0" w:after="0" w:afterLines="0"/>
        <w:rPr>
          <w:rFonts w:hint="eastAsia"/>
          <w:lang w:val="en-US" w:eastAsia="zh-CN"/>
        </w:rPr>
      </w:pPr>
      <w:r>
        <w:rPr>
          <w:rFonts w:hint="eastAsia"/>
          <w:lang w:val="en-US" w:eastAsia="zh-CN"/>
        </w:rPr>
        <w:t>应在医院职工用餐区配置食堂用餐监督员，劝阻医院职工的食品浪费行为。有条件的食堂，可在餐盘回收处安装摄像头监督。对医院职工实施“光盘行动”奖励，并以适当形式曝光严重食品浪费行为。</w:t>
      </w:r>
    </w:p>
    <w:p w14:paraId="22805260">
      <w:pPr>
        <w:pStyle w:val="42"/>
        <w:bidi w:val="0"/>
        <w:spacing w:before="0" w:beforeLines="0" w:after="0" w:afterLines="0"/>
        <w:rPr>
          <w:rFonts w:hint="eastAsia"/>
          <w:highlight w:val="none"/>
          <w:lang w:val="en-US" w:eastAsia="zh-CN"/>
        </w:rPr>
      </w:pPr>
      <w:r>
        <w:rPr>
          <w:rFonts w:hint="eastAsia"/>
          <w:highlight w:val="none"/>
          <w:lang w:val="en-US" w:eastAsia="zh-CN"/>
        </w:rPr>
        <w:t>医院应建立督导检查工作机制，按照</w:t>
      </w:r>
      <w:r>
        <w:rPr>
          <w:rFonts w:hint="eastAsia" w:cs="宋体"/>
          <w:sz w:val="21"/>
          <w:highlight w:val="none"/>
          <w:lang w:val="en-US" w:eastAsia="zh-CN"/>
        </w:rPr>
        <w:t>DB36/T 1787</w:t>
      </w:r>
      <w:r>
        <w:rPr>
          <w:rFonts w:hint="eastAsia"/>
          <w:highlight w:val="none"/>
          <w:lang w:val="en-US" w:eastAsia="zh-CN"/>
        </w:rPr>
        <w:t>开展反食品浪费工作成效评估，开展定期自查、每周督查和不定期抽查，检查工作应明确责任部门和责任人，留有检查记录。针对自查和成效评估发现的问题，及时整改。</w:t>
      </w:r>
    </w:p>
    <w:p w14:paraId="3FF9DF44">
      <w:pPr>
        <w:pStyle w:val="42"/>
        <w:bidi w:val="0"/>
        <w:spacing w:before="0" w:beforeLines="0" w:after="0" w:afterLines="0"/>
        <w:rPr>
          <w:rFonts w:hint="eastAsia"/>
          <w:highlight w:val="none"/>
          <w:lang w:val="en-US" w:eastAsia="zh-CN"/>
        </w:rPr>
      </w:pPr>
      <w:r>
        <w:rPr>
          <w:rFonts w:hint="eastAsia"/>
          <w:highlight w:val="none"/>
          <w:lang w:val="en-US" w:eastAsia="zh-CN"/>
        </w:rPr>
        <w:t>宜按照</w:t>
      </w:r>
      <w:r>
        <w:rPr>
          <w:rFonts w:hint="eastAsia" w:cs="宋体"/>
          <w:sz w:val="21"/>
          <w:highlight w:val="none"/>
          <w:lang w:val="en-US" w:eastAsia="zh-CN"/>
        </w:rPr>
        <w:t>GB/T 42967的规定，</w:t>
      </w:r>
      <w:r>
        <w:rPr>
          <w:rFonts w:hint="eastAsia"/>
          <w:highlight w:val="none"/>
          <w:lang w:val="en-US" w:eastAsia="zh-CN"/>
        </w:rPr>
        <w:t>实施反食品浪费工作成效评估和通报制度，每季度评估食堂反食品浪费工作成效，通报食堂评估结果，并向有关管理部门报送评估结果，督促评估等级为不合格的食堂限期整改。</w:t>
      </w:r>
    </w:p>
    <w:bookmarkEnd w:id="62"/>
    <w:bookmarkEnd w:id="63"/>
    <w:bookmarkEnd w:id="70"/>
    <w:p w14:paraId="26ED9FFD">
      <w:pPr>
        <w:pStyle w:val="42"/>
        <w:bidi w:val="0"/>
        <w:spacing w:before="0" w:beforeLines="0" w:after="0" w:afterLines="0"/>
        <w:rPr>
          <w:rFonts w:hint="eastAsia"/>
          <w:lang w:val="en-US" w:eastAsia="zh-CN"/>
        </w:rPr>
      </w:pPr>
      <w:r>
        <w:rPr>
          <w:rFonts w:hint="eastAsia"/>
          <w:highlight w:val="none"/>
          <w:lang w:val="en-US" w:eastAsia="zh-CN"/>
        </w:rPr>
        <w:t>宜将反食品浪费纳入医院职工和食堂工作人员节能工作考核管理，对造成严重</w:t>
      </w:r>
      <w:r>
        <w:rPr>
          <w:rFonts w:hint="eastAsia"/>
          <w:lang w:val="en-US" w:eastAsia="zh-CN"/>
        </w:rPr>
        <w:t>食品浪费的工作人员进行相应处罚。造成严重食品浪费行为的医务人员不宜推荐参加年度评优评先。</w:t>
      </w:r>
    </w:p>
    <w:p w14:paraId="7253459A">
      <w:pPr>
        <w:pStyle w:val="35"/>
        <w:rPr>
          <w:rFonts w:hint="eastAsia"/>
          <w:lang w:val="en-US" w:eastAsia="zh-CN"/>
        </w:rPr>
      </w:pPr>
    </w:p>
    <w:p w14:paraId="64CF8121">
      <w:pPr>
        <w:pStyle w:val="35"/>
        <w:rPr>
          <w:rFonts w:hint="eastAsia"/>
          <w:lang w:val="en-US" w:eastAsia="zh-CN"/>
        </w:rPr>
      </w:pPr>
    </w:p>
    <w:p w14:paraId="1D28C37A">
      <w:pPr>
        <w:pStyle w:val="35"/>
        <w:rPr>
          <w:rFonts w:hint="eastAsia"/>
          <w:lang w:val="en-US" w:eastAsia="zh-CN"/>
        </w:rPr>
      </w:pPr>
    </w:p>
    <w:p w14:paraId="4B33CC63">
      <w:pPr>
        <w:jc w:val="center"/>
      </w:pPr>
      <w:bookmarkStart w:id="77" w:name="EndLine"/>
      <w:r>
        <w:rPr>
          <w:rFonts w:hint="eastAsia"/>
          <w:lang w:val="en-US" w:eastAsia="zh-CN"/>
        </w:rPr>
        <w:drawing>
          <wp:inline distT="0" distB="0" distL="114300" distR="114300">
            <wp:extent cx="1485900" cy="317500"/>
            <wp:effectExtent l="0" t="0" r="0" b="0"/>
            <wp:docPr id="3" name="图片 3" descr="EndLine"/>
            <wp:cNvGraphicFramePr/>
            <a:graphic xmlns:a="http://schemas.openxmlformats.org/drawingml/2006/main">
              <a:graphicData uri="http://schemas.openxmlformats.org/drawingml/2006/picture">
                <pic:pic xmlns:pic="http://schemas.openxmlformats.org/drawingml/2006/picture">
                  <pic:nvPicPr>
                    <pic:cNvPr id="3" name="图片 3" descr="EndLine"/>
                    <pic:cNvPicPr/>
                  </pic:nvPicPr>
                  <pic:blipFill>
                    <a:blip r:embed="rId7"/>
                    <a:stretch>
                      <a:fillRect/>
                    </a:stretch>
                  </pic:blipFill>
                  <pic:spPr>
                    <a:xfrm>
                      <a:off x="0" y="0"/>
                      <a:ext cx="1485900" cy="317500"/>
                    </a:xfrm>
                    <a:prstGeom prst="rect">
                      <a:avLst/>
                    </a:prstGeom>
                  </pic:spPr>
                </pic:pic>
              </a:graphicData>
            </a:graphic>
          </wp:inline>
        </w:drawing>
      </w:r>
      <w:bookmarkEnd w:id="7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001B4">
    <w:pPr>
      <w:pStyle w:val="50"/>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7521D">
    <w:pPr>
      <w:pStyle w:val="49"/>
      <w:bidi w:val="0"/>
      <w:rPr>
        <w:rFonts w:hint="eastAsia" w:eastAsia="黑体"/>
        <w:lang w:eastAsia="zh-CN"/>
      </w:rPr>
    </w:pPr>
    <w:r>
      <w:rPr>
        <w:rFonts w:hint="eastAsia"/>
        <w:lang w:eastAsia="zh-CN"/>
      </w:rPr>
      <w:t>DB36/T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B393D"/>
    <w:multiLevelType w:val="multilevel"/>
    <w:tmpl w:val="A28B393D"/>
    <w:lvl w:ilvl="0" w:tentative="0">
      <w:start w:val="1"/>
      <w:numFmt w:val="upperLetter"/>
      <w:pStyle w:val="87"/>
      <w:suff w:val="nothing"/>
      <w:lvlText w:val="附录%1"/>
      <w:lvlJc w:val="left"/>
      <w:pPr>
        <w:ind w:left="0" w:leftChars="0" w:firstLine="0" w:firstLineChars="0"/>
      </w:pPr>
      <w:rPr>
        <w:rFonts w:hint="default"/>
        <w:spacing w:val="102"/>
      </w:rPr>
    </w:lvl>
    <w:lvl w:ilvl="1" w:tentative="0">
      <w:start w:val="1"/>
      <w:numFmt w:val="decimal"/>
      <w:pStyle w:val="88"/>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89"/>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0"/>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1"/>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2"/>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A46E5661"/>
    <w:multiLevelType w:val="multilevel"/>
    <w:tmpl w:val="A46E5661"/>
    <w:lvl w:ilvl="0" w:tentative="0">
      <w:start w:val="1"/>
      <w:numFmt w:val="lowerLetter"/>
      <w:pStyle w:val="65"/>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6"/>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4"/>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CE79BA9A"/>
    <w:multiLevelType w:val="multilevel"/>
    <w:tmpl w:val="CE79BA9A"/>
    <w:lvl w:ilvl="0" w:tentative="0">
      <w:start w:val="1"/>
      <w:numFmt w:val="decimal"/>
      <w:pStyle w:val="14"/>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DAF081D4"/>
    <w:multiLevelType w:val="multilevel"/>
    <w:tmpl w:val="DAF081D4"/>
    <w:lvl w:ilvl="0" w:tentative="0">
      <w:start w:val="1"/>
      <w:numFmt w:val="upperLetter"/>
      <w:pStyle w:val="100"/>
      <w:lvlText w:val="%1"/>
      <w:lvlJc w:val="left"/>
      <w:pPr>
        <w:tabs>
          <w:tab w:val="left" w:pos="0"/>
        </w:tabs>
        <w:ind w:left="0" w:leftChars="0" w:firstLine="0" w:firstLineChars="0"/>
      </w:pPr>
      <w:rPr>
        <w:rFonts w:hint="default"/>
      </w:rPr>
    </w:lvl>
    <w:lvl w:ilvl="1" w:tentative="0">
      <w:start w:val="1"/>
      <w:numFmt w:val="decimal"/>
      <w:pStyle w:val="101"/>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DCA83389"/>
    <w:multiLevelType w:val="multilevel"/>
    <w:tmpl w:val="DCA83389"/>
    <w:lvl w:ilvl="0" w:tentative="0">
      <w:start w:val="1"/>
      <w:numFmt w:val="decimal"/>
      <w:pStyle w:val="116"/>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5">
    <w:nsid w:val="DDA36C3E"/>
    <w:multiLevelType w:val="multilevel"/>
    <w:tmpl w:val="DDA36C3E"/>
    <w:lvl w:ilvl="0" w:tentative="0">
      <w:start w:val="1"/>
      <w:numFmt w:val="upperLetter"/>
      <w:pStyle w:val="98"/>
      <w:lvlText w:val="%1"/>
      <w:lvlJc w:val="left"/>
      <w:pPr>
        <w:tabs>
          <w:tab w:val="left" w:pos="0"/>
        </w:tabs>
        <w:ind w:left="0" w:leftChars="0" w:firstLine="0" w:firstLineChars="0"/>
      </w:pPr>
      <w:rPr>
        <w:rFonts w:hint="default"/>
      </w:rPr>
    </w:lvl>
    <w:lvl w:ilvl="1" w:tentative="0">
      <w:start w:val="1"/>
      <w:numFmt w:val="decimal"/>
      <w:pStyle w:val="99"/>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6">
    <w:nsid w:val="E0D2E349"/>
    <w:multiLevelType w:val="multilevel"/>
    <w:tmpl w:val="E0D2E349"/>
    <w:lvl w:ilvl="0" w:tentative="0">
      <w:start w:val="1"/>
      <w:numFmt w:val="decimal"/>
      <w:pStyle w:val="110"/>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E27064E6"/>
    <w:multiLevelType w:val="multilevel"/>
    <w:tmpl w:val="E27064E6"/>
    <w:lvl w:ilvl="0" w:tentative="0">
      <w:start w:val="1"/>
      <w:numFmt w:val="none"/>
      <w:pStyle w:val="47"/>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63"/>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8">
    <w:nsid w:val="F3BEEE51"/>
    <w:multiLevelType w:val="multilevel"/>
    <w:tmpl w:val="F3BEEE51"/>
    <w:lvl w:ilvl="0" w:tentative="0">
      <w:start w:val="1"/>
      <w:numFmt w:val="none"/>
      <w:pStyle w:val="37"/>
      <w:suff w:val="nothing"/>
      <w:lvlText w:val="%1"/>
      <w:lvlJc w:val="left"/>
      <w:pPr>
        <w:ind w:left="425" w:leftChars="0" w:hanging="425" w:firstLineChars="0"/>
      </w:pPr>
      <w:rPr>
        <w:rFonts w:hint="default"/>
      </w:rPr>
    </w:lvl>
    <w:lvl w:ilvl="1" w:tentative="0">
      <w:start w:val="1"/>
      <w:numFmt w:val="decimal"/>
      <w:pStyle w:val="67"/>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8"/>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9"/>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70"/>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71"/>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10E7391C"/>
    <w:multiLevelType w:val="multilevel"/>
    <w:tmpl w:val="10E7391C"/>
    <w:lvl w:ilvl="0" w:tentative="0">
      <w:start w:val="1"/>
      <w:numFmt w:val="decimal"/>
      <w:pStyle w:val="111"/>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1EAE7E51"/>
    <w:multiLevelType w:val="multilevel"/>
    <w:tmpl w:val="1EAE7E51"/>
    <w:lvl w:ilvl="0" w:tentative="0">
      <w:start w:val="1"/>
      <w:numFmt w:val="decimal"/>
      <w:pStyle w:val="104"/>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2C882CAF"/>
    <w:multiLevelType w:val="multilevel"/>
    <w:tmpl w:val="2C882CAF"/>
    <w:lvl w:ilvl="0" w:tentative="0">
      <w:start w:val="1"/>
      <w:numFmt w:val="decimal"/>
      <w:pStyle w:val="105"/>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3369536F"/>
    <w:multiLevelType w:val="multilevel"/>
    <w:tmpl w:val="3369536F"/>
    <w:lvl w:ilvl="0" w:tentative="0">
      <w:start w:val="1"/>
      <w:numFmt w:val="none"/>
      <w:pStyle w:val="103"/>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613342F3"/>
    <w:multiLevelType w:val="multilevel"/>
    <w:tmpl w:val="613342F3"/>
    <w:lvl w:ilvl="0" w:tentative="0">
      <w:start w:val="1"/>
      <w:numFmt w:val="lowerLetter"/>
      <w:pStyle w:val="106"/>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6F7F822C"/>
    <w:multiLevelType w:val="multilevel"/>
    <w:tmpl w:val="6F7F822C"/>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5">
    <w:nsid w:val="77F108B8"/>
    <w:multiLevelType w:val="multilevel"/>
    <w:tmpl w:val="77F108B8"/>
    <w:lvl w:ilvl="0" w:tentative="0">
      <w:start w:val="1"/>
      <w:numFmt w:val="decimal"/>
      <w:pStyle w:val="40"/>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4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46"/>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7"/>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8"/>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9"/>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7C680838"/>
    <w:multiLevelType w:val="multilevel"/>
    <w:tmpl w:val="7C680838"/>
    <w:lvl w:ilvl="0" w:tentative="0">
      <w:start w:val="1"/>
      <w:numFmt w:val="none"/>
      <w:pStyle w:val="44"/>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4"/>
  </w:num>
  <w:num w:numId="2">
    <w:abstractNumId w:val="5"/>
  </w:num>
  <w:num w:numId="3">
    <w:abstractNumId w:val="2"/>
  </w:num>
  <w:num w:numId="4">
    <w:abstractNumId w:val="8"/>
  </w:num>
  <w:num w:numId="5">
    <w:abstractNumId w:val="15"/>
  </w:num>
  <w:num w:numId="6">
    <w:abstractNumId w:val="16"/>
  </w:num>
  <w:num w:numId="7">
    <w:abstractNumId w:val="7"/>
  </w:num>
  <w:num w:numId="8">
    <w:abstractNumId w:val="1"/>
  </w:num>
  <w:num w:numId="9">
    <w:abstractNumId w:val="0"/>
  </w:num>
  <w:num w:numId="10">
    <w:abstractNumId w:val="3"/>
  </w:num>
  <w:num w:numId="11">
    <w:abstractNumId w:val="12"/>
  </w:num>
  <w:num w:numId="12">
    <w:abstractNumId w:val="10"/>
  </w:num>
  <w:num w:numId="13">
    <w:abstractNumId w:val="11"/>
  </w:num>
  <w:num w:numId="14">
    <w:abstractNumId w:val="13"/>
  </w:num>
  <w:num w:numId="15">
    <w:abstractNumId w:val="6"/>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59C6989"/>
    <w:rsid w:val="0227311A"/>
    <w:rsid w:val="04FF212C"/>
    <w:rsid w:val="059C6989"/>
    <w:rsid w:val="13532191"/>
    <w:rsid w:val="41C660F7"/>
    <w:rsid w:val="53513120"/>
    <w:rsid w:val="5E047838"/>
    <w:rsid w:val="5ECB798E"/>
    <w:rsid w:val="6A6B1F1E"/>
    <w:rsid w:val="6B0272CA"/>
    <w:rsid w:val="7919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9">
    <w:name w:val="Default Paragraph Font"/>
    <w:semiHidden/>
    <w:qFormat/>
    <w:uiPriority w:val="0"/>
    <w:rPr>
      <w:rFonts w:hint="eastAsia" w:ascii="宋体" w:hAnsi="Times New Roman" w:eastAsia="宋体" w:cs="Times New Roman"/>
      <w:sz w:val="21"/>
    </w:rPr>
  </w:style>
  <w:style w:type="table" w:default="1" w:styleId="17">
    <w:name w:val="Normal Tabl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toc 1"/>
    <w:basedOn w:val="1"/>
    <w:next w:val="1"/>
    <w:qFormat/>
    <w:uiPriority w:val="0"/>
    <w:pPr>
      <w:spacing w:line="400" w:lineRule="exact"/>
    </w:pPr>
    <w:rPr>
      <w:rFonts w:hAnsi="宋体"/>
    </w:rPr>
  </w:style>
  <w:style w:type="paragraph" w:styleId="13">
    <w:name w:val="toc 4"/>
    <w:basedOn w:val="1"/>
    <w:next w:val="1"/>
    <w:qFormat/>
    <w:uiPriority w:val="0"/>
    <w:pPr>
      <w:spacing w:line="300" w:lineRule="exact"/>
      <w:ind w:left="1260" w:leftChars="600"/>
    </w:pPr>
    <w:rPr>
      <w:rFonts w:hAnsi="宋体"/>
    </w:rPr>
  </w:style>
  <w:style w:type="paragraph" w:styleId="14">
    <w:name w:val="footnote text"/>
    <w:basedOn w:val="1"/>
    <w:qFormat/>
    <w:uiPriority w:val="0"/>
    <w:pPr>
      <w:widowControl/>
      <w:numPr>
        <w:ilvl w:val="0"/>
        <w:numId w:val="3"/>
      </w:numPr>
      <w:autoSpaceDE w:val="0"/>
      <w:autoSpaceDN w:val="0"/>
      <w:snapToGrid/>
      <w:ind w:left="840" w:leftChars="200" w:hanging="420" w:hangingChars="200"/>
      <w:jc w:val="both"/>
    </w:pPr>
    <w:rPr>
      <w:rFonts w:hAnsi="宋体"/>
      <w:sz w:val="15"/>
    </w:rPr>
  </w:style>
  <w:style w:type="paragraph" w:styleId="15">
    <w:name w:val="toc 6"/>
    <w:basedOn w:val="1"/>
    <w:next w:val="1"/>
    <w:qFormat/>
    <w:uiPriority w:val="0"/>
    <w:pPr>
      <w:spacing w:line="300" w:lineRule="exact"/>
      <w:ind w:left="2100" w:leftChars="1000"/>
    </w:pPr>
    <w:rPr>
      <w:rFonts w:hAnsi="宋体"/>
    </w:rPr>
  </w:style>
  <w:style w:type="paragraph" w:styleId="16">
    <w:name w:val="toc 2"/>
    <w:basedOn w:val="1"/>
    <w:next w:val="1"/>
    <w:qFormat/>
    <w:uiPriority w:val="0"/>
    <w:pPr>
      <w:spacing w:line="300" w:lineRule="exact"/>
      <w:ind w:left="420" w:leftChars="200"/>
    </w:pPr>
    <w:rPr>
      <w:rFonts w:hAnsi="宋体"/>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otnote reference"/>
    <w:basedOn w:val="19"/>
    <w:qFormat/>
    <w:uiPriority w:val="0"/>
    <w:rPr>
      <w:rFonts w:ascii="宋体" w:hAnsi="宋体" w:eastAsia="宋体" w:cs="宋体"/>
      <w:sz w:val="18"/>
      <w:vertAlign w:val="superscript"/>
    </w:rPr>
  </w:style>
  <w:style w:type="paragraph" w:customStyle="1" w:styleId="21">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22">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23">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24">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25">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26">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27">
    <w:name w:val="封面标准英文名称"/>
    <w:basedOn w:val="26"/>
    <w:qFormat/>
    <w:uiPriority w:val="0"/>
    <w:pPr>
      <w:widowControl w:val="0"/>
      <w:spacing w:before="410" w:line="360" w:lineRule="exact"/>
      <w:textAlignment w:val="bottom"/>
    </w:pPr>
    <w:rPr>
      <w:rFonts w:ascii="Times New Roman" w:hAnsi="Times New Roman" w:cs="Times New Roman"/>
      <w:sz w:val="28"/>
    </w:rPr>
  </w:style>
  <w:style w:type="paragraph" w:customStyle="1" w:styleId="28">
    <w:name w:val="封面一致性程度标识"/>
    <w:basedOn w:val="27"/>
    <w:qFormat/>
    <w:uiPriority w:val="0"/>
    <w:pPr>
      <w:spacing w:before="760"/>
    </w:pPr>
  </w:style>
  <w:style w:type="paragraph" w:customStyle="1" w:styleId="29">
    <w:name w:val="封面标准文稿类别"/>
    <w:basedOn w:val="28"/>
    <w:qFormat/>
    <w:uiPriority w:val="0"/>
    <w:pPr>
      <w:spacing w:before="440" w:after="160"/>
    </w:pPr>
    <w:rPr>
      <w:rFonts w:ascii="黑体" w:hAnsi="黑体" w:cs="黑体"/>
      <w:sz w:val="24"/>
    </w:rPr>
  </w:style>
  <w:style w:type="paragraph" w:customStyle="1" w:styleId="30">
    <w:name w:val="封面标准文稿编辑信息"/>
    <w:basedOn w:val="29"/>
    <w:qFormat/>
    <w:uiPriority w:val="0"/>
    <w:pPr>
      <w:spacing w:before="180" w:line="240" w:lineRule="atLeast"/>
    </w:pPr>
    <w:rPr>
      <w:sz w:val="21"/>
    </w:rPr>
  </w:style>
  <w:style w:type="paragraph" w:customStyle="1" w:styleId="31">
    <w:name w:val="封面标准文稿附件"/>
    <w:basedOn w:val="29"/>
    <w:qFormat/>
    <w:uiPriority w:val="0"/>
    <w:pPr>
      <w:spacing w:before="937" w:beforeLines="300" w:afterLines="30" w:line="240" w:lineRule="auto"/>
    </w:pPr>
    <w:rPr>
      <w:rFonts w:ascii="Times New Roman" w:hAnsi="Times New Roman" w:cs="Times New Roman"/>
      <w:b/>
      <w:sz w:val="21"/>
    </w:rPr>
  </w:style>
  <w:style w:type="paragraph" w:customStyle="1" w:styleId="32">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33">
    <w:name w:val="其他发布部门2"/>
    <w:basedOn w:val="34"/>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34">
    <w:name w:val="发布部门"/>
    <w:next w:val="35"/>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5">
    <w:name w:val="标准文件_段"/>
    <w:qFormat/>
    <w:uiPriority w:val="0"/>
    <w:pPr>
      <w:ind w:firstLine="420" w:firstLineChars="200"/>
      <w:jc w:val="both"/>
    </w:pPr>
    <w:rPr>
      <w:rFonts w:hint="eastAsia" w:ascii="宋体" w:hAnsi="Times New Roman" w:eastAsia="宋体" w:cs="宋体"/>
      <w:sz w:val="21"/>
    </w:rPr>
  </w:style>
  <w:style w:type="paragraph" w:customStyle="1" w:styleId="36">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37">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38">
    <w:name w:val="标准文件_正文标准名称"/>
    <w:basedOn w:val="1"/>
    <w:link w:val="39"/>
    <w:qFormat/>
    <w:uiPriority w:val="0"/>
    <w:pPr>
      <w:widowControl/>
      <w:suppressAutoHyphens w:val="0"/>
      <w:spacing w:after="640" w:line="400" w:lineRule="exact"/>
      <w:jc w:val="center"/>
    </w:pPr>
    <w:rPr>
      <w:rFonts w:ascii="黑体" w:hAnsi="黑体" w:eastAsia="黑体" w:cs="黑体"/>
      <w:sz w:val="32"/>
    </w:rPr>
  </w:style>
  <w:style w:type="character" w:customStyle="1" w:styleId="39">
    <w:name w:val="标准文件_正文标准名称 Char"/>
    <w:link w:val="38"/>
    <w:qFormat/>
    <w:uiPriority w:val="0"/>
    <w:rPr>
      <w:rFonts w:ascii="黑体" w:hAnsi="黑体" w:eastAsia="黑体" w:cs="黑体"/>
      <w:sz w:val="32"/>
    </w:rPr>
  </w:style>
  <w:style w:type="paragraph" w:customStyle="1" w:styleId="40">
    <w:name w:val="标准文件_章标题"/>
    <w:next w:val="35"/>
    <w:qFormat/>
    <w:uiPriority w:val="0"/>
    <w:pPr>
      <w:numPr>
        <w:ilvl w:val="0"/>
        <w:numId w:val="5"/>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41">
    <w:name w:val="标准文件_术语条一"/>
    <w:basedOn w:val="42"/>
    <w:next w:val="35"/>
    <w:qFormat/>
    <w:uiPriority w:val="0"/>
    <w:pPr>
      <w:ind w:left="420" w:hanging="420" w:hangingChars="200"/>
    </w:pPr>
    <w:rPr>
      <w:rFonts w:ascii="黑体" w:hAnsi="黑体" w:eastAsia="黑体" w:cs="黑体"/>
    </w:rPr>
  </w:style>
  <w:style w:type="paragraph" w:customStyle="1" w:styleId="42">
    <w:name w:val="标准文件_一级无标题"/>
    <w:basedOn w:val="43"/>
    <w:qFormat/>
    <w:uiPriority w:val="0"/>
    <w:pPr>
      <w:spacing w:before="4" w:beforeLines="1" w:after="4" w:afterLines="1"/>
      <w:outlineLvl w:val="9"/>
    </w:pPr>
    <w:rPr>
      <w:rFonts w:ascii="宋体" w:hAnsi="宋体" w:eastAsia="宋体" w:cs="宋体"/>
    </w:rPr>
  </w:style>
  <w:style w:type="paragraph" w:customStyle="1" w:styleId="43">
    <w:name w:val="标准文件_一级条标题"/>
    <w:basedOn w:val="40"/>
    <w:next w:val="35"/>
    <w:qFormat/>
    <w:uiPriority w:val="0"/>
    <w:pPr>
      <w:numPr>
        <w:ilvl w:val="1"/>
      </w:numPr>
      <w:spacing w:before="157" w:beforeLines="50" w:after="157" w:afterLines="50"/>
      <w:ind w:firstLine="0"/>
      <w:outlineLvl w:val="1"/>
    </w:pPr>
    <w:rPr>
      <w:rFonts w:hAnsi="Times New Roman"/>
    </w:rPr>
  </w:style>
  <w:style w:type="paragraph" w:customStyle="1" w:styleId="44">
    <w:name w:val="标准文件_注"/>
    <w:next w:val="35"/>
    <w:qFormat/>
    <w:uiPriority w:val="0"/>
    <w:pPr>
      <w:numPr>
        <w:ilvl w:val="0"/>
        <w:numId w:val="6"/>
      </w:numPr>
      <w:tabs>
        <w:tab w:val="left" w:pos="539"/>
      </w:tabs>
      <w:autoSpaceDE w:val="0"/>
      <w:autoSpaceDN w:val="0"/>
      <w:jc w:val="both"/>
    </w:pPr>
    <w:rPr>
      <w:rFonts w:hint="eastAsia" w:ascii="宋体" w:hAnsi="宋体" w:eastAsia="宋体" w:cs="宋体"/>
      <w:sz w:val="18"/>
    </w:rPr>
  </w:style>
  <w:style w:type="paragraph" w:customStyle="1" w:styleId="45">
    <w:name w:val="标准文件_二级无标题"/>
    <w:basedOn w:val="46"/>
    <w:qFormat/>
    <w:uiPriority w:val="0"/>
    <w:pPr>
      <w:spacing w:before="4" w:beforeLines="1" w:after="4" w:afterLines="1"/>
      <w:outlineLvl w:val="9"/>
    </w:pPr>
    <w:rPr>
      <w:rFonts w:ascii="宋体" w:hAnsi="宋体" w:eastAsia="宋体" w:cs="宋体"/>
    </w:rPr>
  </w:style>
  <w:style w:type="paragraph" w:customStyle="1" w:styleId="46">
    <w:name w:val="标准文件_二级条标题"/>
    <w:next w:val="35"/>
    <w:qFormat/>
    <w:uiPriority w:val="0"/>
    <w:pPr>
      <w:numPr>
        <w:ilvl w:val="2"/>
        <w:numId w:val="5"/>
      </w:numPr>
      <w:suppressAutoHyphens w:val="0"/>
      <w:spacing w:before="157" w:beforeLines="50" w:after="157" w:afterLines="50"/>
      <w:jc w:val="both"/>
      <w:outlineLvl w:val="2"/>
    </w:pPr>
    <w:rPr>
      <w:rFonts w:hint="eastAsia" w:ascii="黑体" w:hAnsi="黑体" w:eastAsia="黑体" w:cs="黑体"/>
      <w:sz w:val="21"/>
    </w:rPr>
  </w:style>
  <w:style w:type="paragraph" w:customStyle="1" w:styleId="47">
    <w:name w:val="标准文件_一级项"/>
    <w:next w:val="35"/>
    <w:qFormat/>
    <w:uiPriority w:val="0"/>
    <w:pPr>
      <w:numPr>
        <w:ilvl w:val="0"/>
        <w:numId w:val="7"/>
      </w:numPr>
      <w:suppressAutoHyphens w:val="0"/>
      <w:ind w:left="851" w:hanging="426"/>
    </w:pPr>
    <w:rPr>
      <w:rFonts w:hint="eastAsia" w:ascii="宋体" w:hAnsi="Times New Roman" w:eastAsia="宋体" w:cs="宋体"/>
      <w:sz w:val="21"/>
    </w:rPr>
  </w:style>
  <w:style w:type="paragraph" w:customStyle="1" w:styleId="48">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49">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50">
    <w:name w:val="标准书脚_奇数页"/>
    <w:qFormat/>
    <w:uiPriority w:val="0"/>
    <w:pPr>
      <w:ind w:right="227"/>
      <w:jc w:val="right"/>
    </w:pPr>
    <w:rPr>
      <w:rFonts w:hint="eastAsia" w:ascii="宋体" w:hAnsi="Times New Roman" w:eastAsia="宋体" w:cs="宋体"/>
      <w:sz w:val="18"/>
    </w:rPr>
  </w:style>
  <w:style w:type="paragraph" w:customStyle="1" w:styleId="51">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52">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53">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54">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55">
    <w:name w:val="标准书眉_偶数页"/>
    <w:next w:val="1"/>
    <w:qFormat/>
    <w:uiPriority w:val="0"/>
    <w:pPr>
      <w:spacing w:after="120"/>
    </w:pPr>
    <w:rPr>
      <w:rFonts w:hint="eastAsia" w:ascii="黑体" w:hAnsi="Times New Roman" w:eastAsia="黑体" w:cs="黑体"/>
      <w:sz w:val="21"/>
    </w:rPr>
  </w:style>
  <w:style w:type="paragraph" w:customStyle="1" w:styleId="56">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57">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58">
    <w:name w:val="实施日期"/>
    <w:basedOn w:val="57"/>
    <w:qFormat/>
    <w:uiPriority w:val="0"/>
    <w:pPr>
      <w:framePr w:hSpace="0" w:wrap="around" w:vAnchor="page" w:hAnchor="page" w:x="7089" w:y="14176"/>
      <w:jc w:val="right"/>
    </w:pPr>
  </w:style>
  <w:style w:type="paragraph" w:customStyle="1" w:styleId="59">
    <w:name w:val="其他发布部门"/>
    <w:basedOn w:val="34"/>
    <w:qFormat/>
    <w:uiPriority w:val="0"/>
    <w:pPr>
      <w:framePr w:wrap="around" w:y="15310"/>
      <w:spacing w:line="0" w:lineRule="atLeast"/>
    </w:pPr>
    <w:rPr>
      <w:rFonts w:ascii="黑体" w:hAnsi="黑体" w:eastAsia="黑体" w:cs="黑体"/>
    </w:rPr>
  </w:style>
  <w:style w:type="paragraph" w:customStyle="1" w:styleId="60">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61">
    <w:name w:val="其他发布日期"/>
    <w:basedOn w:val="57"/>
    <w:qFormat/>
    <w:uiPriority w:val="0"/>
    <w:pPr>
      <w:framePr w:hSpace="0" w:wrap="around" w:vAnchor="page" w:hAnchor="page" w:x="1419" w:y="14176"/>
    </w:pPr>
  </w:style>
  <w:style w:type="paragraph" w:customStyle="1" w:styleId="62">
    <w:name w:val="其他实施日期"/>
    <w:basedOn w:val="58"/>
    <w:qFormat/>
    <w:uiPriority w:val="0"/>
  </w:style>
  <w:style w:type="paragraph" w:customStyle="1" w:styleId="63">
    <w:name w:val="标准文件_二级项2"/>
    <w:basedOn w:val="35"/>
    <w:next w:val="35"/>
    <w:qFormat/>
    <w:uiPriority w:val="0"/>
    <w:pPr>
      <w:numPr>
        <w:ilvl w:val="1"/>
        <w:numId w:val="7"/>
      </w:numPr>
      <w:suppressAutoHyphens w:val="0"/>
      <w:ind w:left="1270" w:hanging="419"/>
    </w:pPr>
    <w:rPr>
      <w:rFonts w:ascii="宋体" w:hAnsi="Times New Roman" w:eastAsia="宋体" w:cs="宋体"/>
    </w:rPr>
  </w:style>
  <w:style w:type="paragraph" w:customStyle="1" w:styleId="64">
    <w:name w:val="标准文件_三级项"/>
    <w:basedOn w:val="1"/>
    <w:next w:val="35"/>
    <w:qFormat/>
    <w:uiPriority w:val="0"/>
    <w:pPr>
      <w:numPr>
        <w:ilvl w:val="2"/>
        <w:numId w:val="8"/>
      </w:numPr>
      <w:suppressAutoHyphens w:val="0"/>
      <w:spacing w:line="300" w:lineRule="exact"/>
      <w:ind w:left="1678" w:hanging="414"/>
    </w:pPr>
    <w:rPr>
      <w:rFonts w:hAnsi="+西文正文"/>
    </w:rPr>
  </w:style>
  <w:style w:type="paragraph" w:customStyle="1" w:styleId="65">
    <w:name w:val="标准文件_字母编号列项（一级）"/>
    <w:next w:val="35"/>
    <w:qFormat/>
    <w:uiPriority w:val="0"/>
    <w:pPr>
      <w:numPr>
        <w:ilvl w:val="0"/>
        <w:numId w:val="8"/>
      </w:numPr>
      <w:tabs>
        <w:tab w:val="left" w:pos="839"/>
      </w:tabs>
      <w:ind w:left="851" w:hanging="426"/>
      <w:jc w:val="both"/>
    </w:pPr>
    <w:rPr>
      <w:rFonts w:hint="eastAsia" w:ascii="宋体" w:hAnsi="Times New Roman" w:eastAsia="宋体" w:cs="宋体"/>
      <w:sz w:val="21"/>
    </w:rPr>
  </w:style>
  <w:style w:type="paragraph" w:customStyle="1" w:styleId="66">
    <w:name w:val="标准文件_数字编号列项（二级）"/>
    <w:next w:val="35"/>
    <w:qFormat/>
    <w:uiPriority w:val="0"/>
    <w:pPr>
      <w:numPr>
        <w:ilvl w:val="1"/>
        <w:numId w:val="8"/>
      </w:numPr>
      <w:tabs>
        <w:tab w:val="left" w:pos="1259"/>
        <w:tab w:val="clear" w:pos="1276"/>
      </w:tabs>
      <w:ind w:left="1259" w:hanging="419"/>
      <w:jc w:val="both"/>
    </w:pPr>
    <w:rPr>
      <w:rFonts w:hint="eastAsia" w:ascii="宋体" w:hAnsi="Times New Roman" w:eastAsia="宋体" w:cs="Times New Roman"/>
      <w:sz w:val="21"/>
    </w:rPr>
  </w:style>
  <w:style w:type="paragraph" w:customStyle="1" w:styleId="67">
    <w:name w:val="标准文件_引言一级条标题"/>
    <w:basedOn w:val="35"/>
    <w:next w:val="35"/>
    <w:qFormat/>
    <w:uiPriority w:val="0"/>
    <w:pPr>
      <w:numPr>
        <w:ilvl w:val="1"/>
        <w:numId w:val="4"/>
      </w:numPr>
      <w:spacing w:before="157" w:beforeLines="50" w:after="157" w:afterLines="50"/>
    </w:pPr>
    <w:rPr>
      <w:rFonts w:ascii="黑体" w:hAnsi="黑体" w:eastAsia="黑体" w:cs="黑体"/>
    </w:rPr>
  </w:style>
  <w:style w:type="paragraph" w:customStyle="1" w:styleId="68">
    <w:name w:val="标准文件_引言二级条标题"/>
    <w:basedOn w:val="35"/>
    <w:next w:val="35"/>
    <w:qFormat/>
    <w:uiPriority w:val="0"/>
    <w:pPr>
      <w:numPr>
        <w:ilvl w:val="2"/>
        <w:numId w:val="4"/>
      </w:numPr>
      <w:spacing w:before="157" w:beforeLines="50" w:after="157" w:afterLines="50"/>
    </w:pPr>
    <w:rPr>
      <w:rFonts w:ascii="黑体" w:hAnsi="黑体" w:eastAsia="黑体" w:cs="黑体"/>
    </w:rPr>
  </w:style>
  <w:style w:type="paragraph" w:customStyle="1" w:styleId="69">
    <w:name w:val="标准文件_引言三级条标题"/>
    <w:basedOn w:val="35"/>
    <w:next w:val="35"/>
    <w:qFormat/>
    <w:uiPriority w:val="0"/>
    <w:pPr>
      <w:numPr>
        <w:ilvl w:val="3"/>
        <w:numId w:val="4"/>
      </w:numPr>
      <w:spacing w:before="157" w:beforeLines="50" w:after="157" w:afterLines="50"/>
    </w:pPr>
    <w:rPr>
      <w:rFonts w:ascii="黑体" w:hAnsi="黑体" w:eastAsia="黑体" w:cs="黑体"/>
    </w:rPr>
  </w:style>
  <w:style w:type="paragraph" w:customStyle="1" w:styleId="70">
    <w:name w:val="标准文件_引言四级条标题"/>
    <w:basedOn w:val="35"/>
    <w:next w:val="35"/>
    <w:qFormat/>
    <w:uiPriority w:val="0"/>
    <w:pPr>
      <w:numPr>
        <w:ilvl w:val="4"/>
        <w:numId w:val="4"/>
      </w:numPr>
      <w:spacing w:before="157" w:beforeLines="50" w:after="157" w:afterLines="50"/>
    </w:pPr>
    <w:rPr>
      <w:rFonts w:ascii="黑体" w:hAnsi="黑体" w:eastAsia="黑体" w:cs="黑体"/>
    </w:rPr>
  </w:style>
  <w:style w:type="paragraph" w:customStyle="1" w:styleId="71">
    <w:name w:val="标准文件_引言五级条标题"/>
    <w:basedOn w:val="35"/>
    <w:next w:val="35"/>
    <w:qFormat/>
    <w:uiPriority w:val="0"/>
    <w:pPr>
      <w:numPr>
        <w:ilvl w:val="5"/>
        <w:numId w:val="4"/>
      </w:numPr>
      <w:spacing w:before="157" w:beforeLines="50" w:after="157" w:afterLines="50"/>
    </w:pPr>
    <w:rPr>
      <w:rFonts w:ascii="黑体" w:hAnsi="黑体" w:eastAsia="黑体" w:cs="黑体"/>
    </w:rPr>
  </w:style>
  <w:style w:type="paragraph" w:customStyle="1" w:styleId="72">
    <w:name w:val="标准文件_引言一级无标题"/>
    <w:basedOn w:val="67"/>
    <w:next w:val="35"/>
    <w:qFormat/>
    <w:uiPriority w:val="0"/>
    <w:pPr>
      <w:spacing w:before="4" w:beforeLines="1" w:after="4" w:afterLines="1" w:line="276" w:lineRule="auto"/>
    </w:pPr>
    <w:rPr>
      <w:rFonts w:ascii="宋体" w:hAnsi="宋体" w:eastAsia="宋体" w:cs="宋体"/>
    </w:rPr>
  </w:style>
  <w:style w:type="paragraph" w:customStyle="1" w:styleId="73">
    <w:name w:val="标准文件_引言二级无标题"/>
    <w:basedOn w:val="68"/>
    <w:next w:val="35"/>
    <w:qFormat/>
    <w:uiPriority w:val="0"/>
    <w:pPr>
      <w:spacing w:before="4" w:beforeLines="1" w:after="4" w:afterLines="1" w:line="276" w:lineRule="auto"/>
    </w:pPr>
    <w:rPr>
      <w:rFonts w:ascii="宋体" w:hAnsi="宋体" w:eastAsia="宋体" w:cs="宋体"/>
    </w:rPr>
  </w:style>
  <w:style w:type="paragraph" w:customStyle="1" w:styleId="74">
    <w:name w:val="标准文件_引言三级无标题"/>
    <w:basedOn w:val="69"/>
    <w:next w:val="35"/>
    <w:qFormat/>
    <w:uiPriority w:val="0"/>
    <w:pPr>
      <w:spacing w:before="4" w:beforeLines="1" w:after="4" w:afterLines="1" w:line="276" w:lineRule="auto"/>
    </w:pPr>
    <w:rPr>
      <w:rFonts w:ascii="宋体" w:hAnsi="宋体" w:eastAsia="宋体" w:cs="宋体"/>
    </w:rPr>
  </w:style>
  <w:style w:type="paragraph" w:customStyle="1" w:styleId="75">
    <w:name w:val="标准文件_引言四级无标题"/>
    <w:basedOn w:val="70"/>
    <w:next w:val="35"/>
    <w:qFormat/>
    <w:uiPriority w:val="0"/>
    <w:pPr>
      <w:spacing w:before="4" w:beforeLines="1" w:after="4" w:afterLines="1" w:line="276" w:lineRule="auto"/>
    </w:pPr>
    <w:rPr>
      <w:rFonts w:ascii="宋体" w:hAnsi="宋体" w:eastAsia="宋体" w:cs="宋体"/>
    </w:rPr>
  </w:style>
  <w:style w:type="paragraph" w:customStyle="1" w:styleId="76">
    <w:name w:val="标准文件_引言五级无标题"/>
    <w:basedOn w:val="71"/>
    <w:next w:val="35"/>
    <w:qFormat/>
    <w:uiPriority w:val="0"/>
    <w:pPr>
      <w:spacing w:before="4" w:beforeLines="1" w:after="4" w:afterLines="1" w:line="276" w:lineRule="auto"/>
    </w:pPr>
    <w:rPr>
      <w:rFonts w:ascii="宋体" w:hAnsi="宋体" w:eastAsia="宋体" w:cs="宋体"/>
    </w:rPr>
  </w:style>
  <w:style w:type="paragraph" w:customStyle="1" w:styleId="77">
    <w:name w:val="标准文件_三级条标题"/>
    <w:basedOn w:val="46"/>
    <w:next w:val="35"/>
    <w:qFormat/>
    <w:uiPriority w:val="0"/>
    <w:pPr>
      <w:numPr>
        <w:ilvl w:val="3"/>
      </w:numPr>
      <w:spacing w:before="157" w:after="157"/>
      <w:ind w:firstLine="0"/>
      <w:outlineLvl w:val="3"/>
    </w:pPr>
  </w:style>
  <w:style w:type="paragraph" w:customStyle="1" w:styleId="78">
    <w:name w:val="标准文件_四级条标题"/>
    <w:next w:val="35"/>
    <w:qFormat/>
    <w:uiPriority w:val="0"/>
    <w:pPr>
      <w:numPr>
        <w:ilvl w:val="4"/>
        <w:numId w:val="5"/>
      </w:numPr>
      <w:suppressAutoHyphens w:val="0"/>
      <w:spacing w:before="157" w:beforeLines="50" w:after="157" w:afterLines="50"/>
      <w:jc w:val="both"/>
      <w:outlineLvl w:val="4"/>
    </w:pPr>
    <w:rPr>
      <w:rFonts w:hint="eastAsia" w:ascii="黑体" w:hAnsi="黑体" w:eastAsia="黑体" w:cs="黑体"/>
      <w:sz w:val="21"/>
    </w:rPr>
  </w:style>
  <w:style w:type="paragraph" w:customStyle="1" w:styleId="79">
    <w:name w:val="标准文件_五级条标题"/>
    <w:next w:val="35"/>
    <w:qFormat/>
    <w:uiPriority w:val="0"/>
    <w:pPr>
      <w:numPr>
        <w:ilvl w:val="5"/>
        <w:numId w:val="5"/>
      </w:numPr>
      <w:suppressAutoHyphens w:val="0"/>
      <w:spacing w:before="157" w:beforeLines="50" w:after="157" w:afterLines="50"/>
      <w:jc w:val="both"/>
      <w:outlineLvl w:val="4"/>
    </w:pPr>
    <w:rPr>
      <w:rFonts w:hint="eastAsia" w:ascii="黑体" w:hAnsi="黑体" w:eastAsia="黑体" w:cs="黑体"/>
      <w:sz w:val="21"/>
    </w:rPr>
  </w:style>
  <w:style w:type="paragraph" w:customStyle="1" w:styleId="80">
    <w:name w:val="标准文件_三级无标题"/>
    <w:basedOn w:val="77"/>
    <w:qFormat/>
    <w:uiPriority w:val="0"/>
    <w:pPr>
      <w:spacing w:before="4" w:beforeLines="1" w:after="4" w:afterLines="1"/>
      <w:outlineLvl w:val="9"/>
    </w:pPr>
    <w:rPr>
      <w:rFonts w:ascii="宋体" w:hAnsi="宋体" w:eastAsia="宋体" w:cs="宋体"/>
    </w:rPr>
  </w:style>
  <w:style w:type="paragraph" w:customStyle="1" w:styleId="81">
    <w:name w:val="标准文件_四级无标题"/>
    <w:basedOn w:val="78"/>
    <w:qFormat/>
    <w:uiPriority w:val="0"/>
    <w:pPr>
      <w:spacing w:before="4" w:beforeLines="1" w:after="4" w:afterLines="1"/>
      <w:outlineLvl w:val="9"/>
    </w:pPr>
    <w:rPr>
      <w:rFonts w:ascii="宋体" w:hAnsi="宋体" w:eastAsia="宋体" w:cs="宋体"/>
    </w:rPr>
  </w:style>
  <w:style w:type="paragraph" w:customStyle="1" w:styleId="82">
    <w:name w:val="标准文件_五级无标题"/>
    <w:basedOn w:val="79"/>
    <w:qFormat/>
    <w:uiPriority w:val="0"/>
    <w:pPr>
      <w:spacing w:before="4" w:beforeLines="1" w:after="4" w:afterLines="1"/>
      <w:outlineLvl w:val="9"/>
    </w:pPr>
    <w:rPr>
      <w:rFonts w:ascii="宋体" w:hAnsi="宋体" w:eastAsia="宋体" w:cs="宋体"/>
    </w:rPr>
  </w:style>
  <w:style w:type="paragraph" w:customStyle="1" w:styleId="83">
    <w:name w:val="标准文件_术语条二"/>
    <w:basedOn w:val="45"/>
    <w:next w:val="35"/>
    <w:qFormat/>
    <w:uiPriority w:val="0"/>
    <w:pPr>
      <w:ind w:left="420" w:hanging="420" w:hangingChars="200"/>
    </w:pPr>
    <w:rPr>
      <w:rFonts w:ascii="黑体" w:hAnsi="黑体" w:eastAsia="黑体" w:cs="黑体"/>
    </w:rPr>
  </w:style>
  <w:style w:type="paragraph" w:customStyle="1" w:styleId="84">
    <w:name w:val="标准文件_术语条三"/>
    <w:basedOn w:val="80"/>
    <w:next w:val="35"/>
    <w:qFormat/>
    <w:uiPriority w:val="0"/>
    <w:pPr>
      <w:ind w:left="420" w:hanging="420" w:hangingChars="200"/>
    </w:pPr>
    <w:rPr>
      <w:rFonts w:ascii="黑体" w:hAnsi="黑体" w:eastAsia="黑体" w:cs="黑体"/>
    </w:rPr>
  </w:style>
  <w:style w:type="paragraph" w:customStyle="1" w:styleId="85">
    <w:name w:val="标准文件_术语条四"/>
    <w:basedOn w:val="81"/>
    <w:next w:val="35"/>
    <w:qFormat/>
    <w:uiPriority w:val="0"/>
    <w:pPr>
      <w:ind w:left="420" w:hanging="420" w:hangingChars="200"/>
    </w:pPr>
    <w:rPr>
      <w:rFonts w:ascii="黑体" w:hAnsi="黑体" w:eastAsia="黑体" w:cs="黑体"/>
    </w:rPr>
  </w:style>
  <w:style w:type="paragraph" w:customStyle="1" w:styleId="86">
    <w:name w:val="标准文件_术语条五"/>
    <w:basedOn w:val="82"/>
    <w:next w:val="35"/>
    <w:qFormat/>
    <w:uiPriority w:val="0"/>
    <w:pPr>
      <w:ind w:left="420" w:hanging="420" w:hangingChars="200"/>
    </w:pPr>
    <w:rPr>
      <w:rFonts w:ascii="黑体" w:hAnsi="黑体" w:eastAsia="黑体" w:cs="黑体"/>
    </w:rPr>
  </w:style>
  <w:style w:type="paragraph" w:customStyle="1" w:styleId="87">
    <w:name w:val="标准文件_附录标识"/>
    <w:basedOn w:val="1"/>
    <w:next w:val="35"/>
    <w:qFormat/>
    <w:uiPriority w:val="0"/>
    <w:pPr>
      <w:widowControl/>
      <w:numPr>
        <w:ilvl w:val="0"/>
        <w:numId w:val="9"/>
      </w:numPr>
      <w:suppressAutoHyphens w:val="0"/>
      <w:spacing w:before="79" w:beforeLines="25" w:after="157" w:afterLines="50"/>
      <w:jc w:val="center"/>
      <w:outlineLvl w:val="0"/>
    </w:pPr>
    <w:rPr>
      <w:rFonts w:ascii="黑体" w:hAnsi="黑体" w:eastAsia="黑体" w:cs="黑体"/>
    </w:rPr>
  </w:style>
  <w:style w:type="paragraph" w:customStyle="1" w:styleId="88">
    <w:name w:val="标准文件_附录一级条标题"/>
    <w:next w:val="35"/>
    <w:qFormat/>
    <w:uiPriority w:val="0"/>
    <w:pPr>
      <w:numPr>
        <w:ilvl w:val="1"/>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89">
    <w:name w:val="标准文件_附录二级条标题"/>
    <w:next w:val="35"/>
    <w:qFormat/>
    <w:uiPriority w:val="0"/>
    <w:pPr>
      <w:numPr>
        <w:ilvl w:val="2"/>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三级条标题"/>
    <w:next w:val="35"/>
    <w:qFormat/>
    <w:uiPriority w:val="0"/>
    <w:pPr>
      <w:numPr>
        <w:ilvl w:val="3"/>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四级条标题"/>
    <w:next w:val="35"/>
    <w:qFormat/>
    <w:uiPriority w:val="0"/>
    <w:pPr>
      <w:numPr>
        <w:ilvl w:val="4"/>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五级条标题"/>
    <w:next w:val="35"/>
    <w:qFormat/>
    <w:uiPriority w:val="0"/>
    <w:pPr>
      <w:numPr>
        <w:ilvl w:val="5"/>
        <w:numId w:val="9"/>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一级无标题"/>
    <w:basedOn w:val="88"/>
    <w:qFormat/>
    <w:uiPriority w:val="0"/>
    <w:pPr>
      <w:spacing w:before="4" w:beforeLines="1" w:after="4" w:afterLines="1" w:line="276" w:lineRule="auto"/>
    </w:pPr>
    <w:rPr>
      <w:rFonts w:ascii="宋体" w:hAnsi="宋体" w:eastAsia="宋体" w:cs="宋体"/>
    </w:rPr>
  </w:style>
  <w:style w:type="paragraph" w:customStyle="1" w:styleId="94">
    <w:name w:val="标准文件_附录二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三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四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五级无标题"/>
    <w:basedOn w:val="92"/>
    <w:qFormat/>
    <w:uiPriority w:val="0"/>
    <w:pPr>
      <w:spacing w:before="4" w:beforeLines="1" w:after="4" w:afterLines="1" w:line="276" w:lineRule="auto"/>
    </w:pPr>
    <w:rPr>
      <w:rFonts w:ascii="宋体" w:hAnsi="宋体" w:eastAsia="宋体" w:cs="宋体"/>
    </w:rPr>
  </w:style>
  <w:style w:type="paragraph" w:customStyle="1" w:styleId="98">
    <w:name w:val="附录图标号"/>
    <w:basedOn w:val="35"/>
    <w:next w:val="35"/>
    <w:qFormat/>
    <w:uiPriority w:val="0"/>
    <w:pPr>
      <w:numPr>
        <w:ilvl w:val="0"/>
        <w:numId w:val="2"/>
      </w:numPr>
      <w:spacing w:line="14" w:lineRule="exact"/>
      <w:ind w:left="0"/>
      <w:jc w:val="center"/>
    </w:pPr>
    <w:rPr>
      <w:sz w:val="2"/>
    </w:rPr>
  </w:style>
  <w:style w:type="paragraph" w:customStyle="1" w:styleId="99">
    <w:name w:val="附录图标题"/>
    <w:next w:val="35"/>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0">
    <w:name w:val="附录表标号"/>
    <w:basedOn w:val="35"/>
    <w:next w:val="35"/>
    <w:qFormat/>
    <w:uiPriority w:val="0"/>
    <w:pPr>
      <w:numPr>
        <w:ilvl w:val="0"/>
        <w:numId w:val="10"/>
      </w:numPr>
      <w:spacing w:line="14" w:lineRule="exact"/>
      <w:ind w:left="0"/>
      <w:jc w:val="center"/>
    </w:pPr>
    <w:rPr>
      <w:sz w:val="2"/>
    </w:rPr>
  </w:style>
  <w:style w:type="paragraph" w:customStyle="1" w:styleId="101">
    <w:name w:val="附录表标题"/>
    <w:next w:val="35"/>
    <w:qFormat/>
    <w:uiPriority w:val="0"/>
    <w:pPr>
      <w:numPr>
        <w:ilvl w:val="1"/>
        <w:numId w:val="10"/>
      </w:numPr>
      <w:spacing w:before="157" w:beforeLines="50" w:after="157" w:afterLines="50"/>
      <w:jc w:val="center"/>
    </w:pPr>
    <w:rPr>
      <w:rFonts w:hint="eastAsia" w:ascii="黑体" w:hAnsi="黑体" w:eastAsia="黑体" w:cs="黑体"/>
      <w:sz w:val="21"/>
    </w:rPr>
  </w:style>
  <w:style w:type="paragraph" w:customStyle="1" w:styleId="102">
    <w:name w:val="标准文件_示例内容"/>
    <w:basedOn w:val="35"/>
    <w:qFormat/>
    <w:uiPriority w:val="0"/>
    <w:pPr>
      <w:suppressAutoHyphens w:val="0"/>
    </w:pPr>
    <w:rPr>
      <w:rFonts w:hAnsi="宋体"/>
      <w:sz w:val="18"/>
    </w:rPr>
  </w:style>
  <w:style w:type="paragraph" w:customStyle="1" w:styleId="103">
    <w:name w:val="标准文件_示例"/>
    <w:next w:val="102"/>
    <w:qFormat/>
    <w:uiPriority w:val="0"/>
    <w:pPr>
      <w:numPr>
        <w:ilvl w:val="0"/>
        <w:numId w:val="11"/>
      </w:numPr>
      <w:suppressAutoHyphens w:val="0"/>
      <w:jc w:val="both"/>
    </w:pPr>
    <w:rPr>
      <w:rFonts w:hint="eastAsia" w:ascii="宋体" w:hAnsi="宋体" w:eastAsia="宋体" w:cs="宋体"/>
      <w:sz w:val="18"/>
    </w:rPr>
  </w:style>
  <w:style w:type="paragraph" w:customStyle="1" w:styleId="104">
    <w:name w:val="标准文件_示例×"/>
    <w:basedOn w:val="1"/>
    <w:next w:val="102"/>
    <w:qFormat/>
    <w:uiPriority w:val="0"/>
    <w:pPr>
      <w:widowControl/>
      <w:numPr>
        <w:ilvl w:val="0"/>
        <w:numId w:val="12"/>
      </w:numPr>
      <w:suppressAutoHyphens w:val="0"/>
      <w:ind w:firstLine="363"/>
    </w:pPr>
    <w:rPr>
      <w:rFonts w:hAnsi="Times New Roman"/>
      <w:sz w:val="18"/>
    </w:rPr>
  </w:style>
  <w:style w:type="paragraph" w:customStyle="1" w:styleId="105">
    <w:name w:val="标准文件_注×"/>
    <w:next w:val="35"/>
    <w:qFormat/>
    <w:uiPriority w:val="0"/>
    <w:pPr>
      <w:numPr>
        <w:ilvl w:val="0"/>
        <w:numId w:val="13"/>
      </w:numPr>
      <w:jc w:val="both"/>
    </w:pPr>
    <w:rPr>
      <w:rFonts w:hint="eastAsia" w:ascii="宋体" w:hAnsi="宋体" w:eastAsia="宋体" w:cs="宋体"/>
      <w:sz w:val="18"/>
    </w:rPr>
  </w:style>
  <w:style w:type="paragraph" w:customStyle="1" w:styleId="106">
    <w:name w:val="标准文件_图表脚注"/>
    <w:basedOn w:val="1"/>
    <w:next w:val="35"/>
    <w:qFormat/>
    <w:uiPriority w:val="0"/>
    <w:pPr>
      <w:numPr>
        <w:ilvl w:val="0"/>
        <w:numId w:val="14"/>
      </w:numPr>
      <w:suppressAutoHyphens w:val="0"/>
      <w:adjustRightInd w:val="0"/>
      <w:jc w:val="left"/>
    </w:pPr>
    <w:rPr>
      <w:rFonts w:hAnsi="宋体"/>
      <w:sz w:val="18"/>
    </w:rPr>
  </w:style>
  <w:style w:type="paragraph" w:customStyle="1" w:styleId="107">
    <w:name w:val="标准文件_标准正文"/>
    <w:basedOn w:val="1"/>
    <w:next w:val="35"/>
    <w:qFormat/>
    <w:uiPriority w:val="0"/>
    <w:pPr>
      <w:ind w:firstLine="420" w:firstLineChars="200"/>
    </w:pPr>
  </w:style>
  <w:style w:type="paragraph" w:customStyle="1" w:styleId="108">
    <w:name w:val="标准文件_正文公式"/>
    <w:basedOn w:val="1"/>
    <w:next w:val="107"/>
    <w:qFormat/>
    <w:uiPriority w:val="0"/>
    <w:pPr>
      <w:tabs>
        <w:tab w:val="center" w:pos="4678"/>
        <w:tab w:val="right" w:leader="middleDot" w:pos="9355"/>
      </w:tabs>
    </w:pPr>
  </w:style>
  <w:style w:type="paragraph" w:customStyle="1" w:styleId="109">
    <w:name w:val="标准文件_表格"/>
    <w:basedOn w:val="35"/>
    <w:qFormat/>
    <w:uiPriority w:val="0"/>
    <w:pPr>
      <w:jc w:val="center"/>
    </w:pPr>
    <w:rPr>
      <w:sz w:val="18"/>
    </w:rPr>
  </w:style>
  <w:style w:type="paragraph" w:customStyle="1" w:styleId="110">
    <w:name w:val="标准文件_正文表标题"/>
    <w:next w:val="35"/>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1">
    <w:name w:val="标准文件_正文图标题"/>
    <w:next w:val="35"/>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2">
    <w:name w:val="标准文件_索引标题"/>
    <w:basedOn w:val="56"/>
    <w:next w:val="35"/>
    <w:qFormat/>
    <w:uiPriority w:val="0"/>
    <w:rPr>
      <w:rFonts w:hAnsi="黑体"/>
    </w:rPr>
  </w:style>
  <w:style w:type="paragraph" w:customStyle="1" w:styleId="113">
    <w:name w:val="标准文件_索引项"/>
    <w:basedOn w:val="35"/>
    <w:next w:val="35"/>
    <w:qFormat/>
    <w:uiPriority w:val="0"/>
    <w:pPr>
      <w:tabs>
        <w:tab w:val="right" w:leader="dot" w:pos="9355"/>
      </w:tabs>
      <w:autoSpaceDE w:val="0"/>
      <w:autoSpaceDN w:val="0"/>
      <w:ind w:left="77" w:hanging="77" w:hangingChars="37"/>
      <w:jc w:val="left"/>
    </w:pPr>
  </w:style>
  <w:style w:type="paragraph" w:customStyle="1" w:styleId="114">
    <w:name w:val="标准文件_索引字母"/>
    <w:next w:val="35"/>
    <w:qFormat/>
    <w:uiPriority w:val="0"/>
    <w:pPr>
      <w:jc w:val="center"/>
    </w:pPr>
    <w:rPr>
      <w:rFonts w:hint="eastAsia" w:ascii="宋体" w:hAnsi="宋体" w:eastAsia="宋体" w:cs="宋体"/>
      <w:b/>
      <w:kern w:val="2"/>
      <w:sz w:val="21"/>
    </w:rPr>
  </w:style>
  <w:style w:type="paragraph" w:customStyle="1" w:styleId="115">
    <w:name w:val="标准文件_提示"/>
    <w:basedOn w:val="1"/>
    <w:qFormat/>
    <w:uiPriority w:val="0"/>
    <w:pPr>
      <w:ind w:firstLine="420" w:firstLineChars="200"/>
    </w:pPr>
    <w:rPr>
      <w:rFonts w:ascii="黑体" w:hAnsi="黑体" w:eastAsia="黑体" w:cs="黑体"/>
    </w:rPr>
  </w:style>
  <w:style w:type="paragraph" w:customStyle="1" w:styleId="116">
    <w:name w:val="标准文件_参考文献编号"/>
    <w:basedOn w:val="35"/>
    <w:qFormat/>
    <w:uiPriority w:val="0"/>
    <w:pPr>
      <w:numPr>
        <w:ilvl w:val="0"/>
        <w:numId w:val="17"/>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7c0a685-4c72-4f53-8162-ffb53e220565}"/>
        <w:style w:val=""/>
        <w:category>
          <w:name w:val="常规"/>
          <w:gallery w:val="placeholder"/>
        </w:category>
        <w:types>
          <w:type w:val="bbPlcHdr"/>
        </w:types>
        <w:behaviors>
          <w:behavior w:val="content"/>
        </w:behaviors>
        <w:description w:val=""/>
        <w:guid w:val="{67c0a685-4c72-4f53-8162-ffb53e220565}"/>
      </w:docPartPr>
      <w:docPartBody>
        <w:p w14:paraId="29D60680">
          <w:r>
            <w:rPr>
              <w:color w:val="808080"/>
            </w:rPr>
            <w:t>选择一项。</w:t>
          </w:r>
        </w:p>
      </w:docPartBody>
    </w:docPart>
    <w:docPart>
      <w:docPartPr>
        <w:name w:val="{4bfc59d6-ba52-4e98-8c98-f8edf8f9a63f}"/>
        <w:style w:val=""/>
        <w:category>
          <w:name w:val="常规"/>
          <w:gallery w:val="placeholder"/>
        </w:category>
        <w:types>
          <w:type w:val="bbPlcHdr"/>
        </w:types>
        <w:behaviors>
          <w:behavior w:val="content"/>
        </w:behaviors>
        <w:description w:val=""/>
        <w:guid w:val="{4bfc59d6-ba52-4e98-8c98-f8edf8f9a63f}"/>
      </w:docPartPr>
      <w:docPartBody>
        <w:p w14:paraId="55EAAED2">
          <w:r>
            <w:rPr>
              <w:color w:val="808080"/>
            </w:rPr>
            <w:t>选择一项。</w:t>
          </w:r>
        </w:p>
      </w:docPartBody>
    </w:docPart>
    <w:docPart>
      <w:docPartPr>
        <w:name w:val="{3f9b9a6a-9d72-4237-8c69-4cfd781dc3dc}"/>
        <w:style w:val=""/>
        <w:category>
          <w:name w:val="常规"/>
          <w:gallery w:val="placeholder"/>
        </w:category>
        <w:types>
          <w:type w:val="bbPlcHdr"/>
        </w:types>
        <w:behaviors>
          <w:behavior w:val="content"/>
        </w:behaviors>
        <w:description w:val=""/>
        <w:guid w:val="{3f9b9a6a-9d72-4237-8c69-4cfd781dc3dc}"/>
      </w:docPartPr>
      <w:docPartBody>
        <w:p w14:paraId="0500C199">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4413</Words>
  <Characters>4676</Characters>
  <Lines>0</Lines>
  <Paragraphs>0</Paragraphs>
  <TotalTime>8</TotalTime>
  <ScaleCrop>false</ScaleCrop>
  <LinksUpToDate>false</LinksUpToDate>
  <CharactersWithSpaces>4755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2024-07-24T06:36:00Z</dcterms:created>
  <dc:creator>hunter</dc:creator>
  <cp:lastModifiedBy>陈星瞳</cp:lastModifiedBy>
  <cp:lastPrinted>2024-08-13T08:34:00Z</cp:lastPrinted>
  <dcterms:modified xsi:type="dcterms:W3CDTF">2024-10-11T02:40:52Z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87D5C7A31C6F4039AFD469D8F8CC82C4_13</vt:lpwstr>
  </property>
</Properties>
</file>