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5492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21B5C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94709A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14:paraId="3FFCA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9407E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1009FB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8C2120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BDA8235">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63</w:t>
            </w:r>
            <w:r>
              <w:fldChar w:fldCharType="end"/>
            </w:r>
            <w:bookmarkEnd w:id="3"/>
          </w:p>
        </w:tc>
      </w:tr>
    </w:tbl>
    <w:p w14:paraId="783B850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青海省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E6AD3CE">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034C484D">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07E69D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CB056D3">
      <w:pPr>
        <w:pStyle w:val="50"/>
        <w:framePr w:w="9639" w:h="6976" w:hRule="exact" w:hSpace="0" w:vSpace="0" w:wrap="around" w:hAnchor="page" w:y="6408"/>
        <w:jc w:val="center"/>
        <w:rPr>
          <w:rFonts w:ascii="黑体" w:hAnsi="黑体" w:eastAsia="黑体"/>
          <w:b w:val="0"/>
          <w:bCs w:val="0"/>
          <w:w w:val="100"/>
        </w:rPr>
      </w:pPr>
    </w:p>
    <w:p w14:paraId="03FF99B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大球盖菇设施栽培技术规范</w:t>
      </w:r>
      <w:r>
        <w:fldChar w:fldCharType="end"/>
      </w:r>
      <w:bookmarkEnd w:id="9"/>
    </w:p>
    <w:p w14:paraId="7FB9031A">
      <w:pPr>
        <w:framePr w:w="9639" w:h="6974" w:hRule="exact" w:wrap="around" w:vAnchor="page" w:hAnchor="page" w:x="1419" w:y="6408" w:anchorLock="1"/>
        <w:ind w:left="-1418"/>
      </w:pPr>
    </w:p>
    <w:p w14:paraId="77B905C9">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101FEE47">
      <w:pPr>
        <w:framePr w:w="9639" w:h="6974" w:hRule="exact" w:wrap="around" w:vAnchor="page" w:hAnchor="page" w:x="1419" w:y="6408" w:anchorLock="1"/>
        <w:spacing w:line="760" w:lineRule="exact"/>
        <w:ind w:left="-1418"/>
      </w:pPr>
    </w:p>
    <w:p w14:paraId="3404CFD1">
      <w:pPr>
        <w:pStyle w:val="125"/>
        <w:framePr w:w="9639" w:h="6974" w:hRule="exact" w:wrap="around" w:vAnchor="page" w:hAnchor="page" w:x="1419" w:y="6408" w:anchorLock="1"/>
        <w:textAlignment w:val="bottom"/>
        <w:rPr>
          <w:rFonts w:eastAsia="黑体"/>
          <w:szCs w:val="28"/>
        </w:rPr>
      </w:pPr>
    </w:p>
    <w:p w14:paraId="37A55D5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DFAB95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6A4CCD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B53419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4078CC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0B0891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青海省市场监督管理局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C90496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9E1EA26">
      <w:pPr>
        <w:pStyle w:val="89"/>
        <w:spacing w:before="900" w:after="468"/>
      </w:pPr>
      <w:bookmarkStart w:id="21" w:name="BookMark2"/>
      <w:r>
        <w:rPr>
          <w:spacing w:val="320"/>
        </w:rPr>
        <w:t>前</w:t>
      </w:r>
      <w:r>
        <w:t>言</w:t>
      </w:r>
    </w:p>
    <w:p w14:paraId="5AE086E6">
      <w:pPr>
        <w:pStyle w:val="56"/>
        <w:ind w:firstLine="420"/>
        <w:rPr>
          <w:rFonts w:hint="eastAsia"/>
        </w:rPr>
      </w:pPr>
      <w:r>
        <w:rPr>
          <w:rFonts w:hint="eastAsia"/>
        </w:rPr>
        <w:t>本文件按照GB/T 1.1—2020《标准化工作导则  第1部分：标准化文件的结构和起草规则》的规定起草。</w:t>
      </w:r>
    </w:p>
    <w:p w14:paraId="72A41040">
      <w:pPr>
        <w:pStyle w:val="56"/>
        <w:ind w:firstLine="420"/>
        <w:rPr>
          <w:rFonts w:hint="eastAsia"/>
        </w:rPr>
      </w:pPr>
      <w:bookmarkStart w:id="22" w:name="_Hlk178087164"/>
      <w:r>
        <w:rPr>
          <w:rFonts w:hint="eastAsia"/>
        </w:rPr>
        <w:t>请注意本文件的某些内容可能涉及专利。本文件的发布机构不承担识别专利的责任。</w:t>
      </w:r>
    </w:p>
    <w:bookmarkEnd w:id="22"/>
    <w:p w14:paraId="1B105A44">
      <w:pPr>
        <w:ind w:firstLine="420" w:firstLineChars="200"/>
        <w:rPr>
          <w:rFonts w:hint="eastAsia"/>
        </w:rPr>
      </w:pPr>
      <w:r>
        <w:rPr>
          <w:rFonts w:hint="eastAsia"/>
        </w:rPr>
        <w:t>本文件由</w:t>
      </w:r>
      <w:r>
        <w:rPr>
          <w:rFonts w:hint="eastAsia" w:ascii="宋体" w:hAnsi="宋体"/>
        </w:rPr>
        <w:t>青海省农牧业标准化技术委员会</w:t>
      </w:r>
      <w:r>
        <w:rPr>
          <w:rFonts w:hint="eastAsia"/>
        </w:rPr>
        <w:t>提出。</w:t>
      </w:r>
    </w:p>
    <w:p w14:paraId="5D63B5A6">
      <w:pPr>
        <w:pStyle w:val="56"/>
        <w:ind w:firstLine="420"/>
        <w:rPr>
          <w:rFonts w:hint="eastAsia"/>
        </w:rPr>
      </w:pPr>
      <w:r>
        <w:rPr>
          <w:rFonts w:hint="eastAsia"/>
        </w:rPr>
        <w:t>本文件由青海省农业农村厅归口。</w:t>
      </w:r>
    </w:p>
    <w:p w14:paraId="553C7E11">
      <w:pPr>
        <w:pStyle w:val="56"/>
        <w:ind w:firstLine="420"/>
        <w:rPr>
          <w:rFonts w:hint="eastAsia"/>
          <w:szCs w:val="21"/>
        </w:rPr>
      </w:pPr>
      <w:r>
        <w:rPr>
          <w:rFonts w:hint="eastAsia"/>
        </w:rPr>
        <w:t>本文件起草单位：</w:t>
      </w:r>
      <w:r>
        <w:rPr>
          <w:rFonts w:hint="eastAsia" w:hAnsi="宋体"/>
        </w:rPr>
        <w:t>青海省农业技术推广总站、民和县现代农业服务中心、乐都区蔬菜技术服务中心。</w:t>
      </w:r>
    </w:p>
    <w:p w14:paraId="0CBD2713">
      <w:pPr>
        <w:pStyle w:val="56"/>
        <w:ind w:firstLine="420"/>
      </w:pPr>
      <w:r>
        <w:rPr>
          <w:rFonts w:hint="eastAsia"/>
        </w:rPr>
        <w:t>本文件主要起草人：张优良、柳红、史瑞琪、高斌、霍建强、王春兰、何婷、钟应霞、何迎昌、许永丽、马国业、郭国寿、郭新志、杨超、吴亨祺。</w:t>
      </w:r>
    </w:p>
    <w:p w14:paraId="4F90AFA9">
      <w:pPr>
        <w:pStyle w:val="56"/>
        <w:ind w:firstLine="420"/>
      </w:pPr>
      <w:bookmarkStart w:id="23" w:name="_Hlk178087376"/>
      <w:r>
        <w:rPr>
          <w:rFonts w:hint="eastAsia"/>
        </w:rPr>
        <w:t>本文件由青海省农业农村厅监</w:t>
      </w:r>
      <w:bookmarkStart w:id="50" w:name="_GoBack"/>
      <w:bookmarkEnd w:id="50"/>
      <w:r>
        <w:rPr>
          <w:rFonts w:hint="eastAsia"/>
        </w:rPr>
        <w:t>督实施。</w:t>
      </w:r>
    </w:p>
    <w:bookmarkEnd w:id="23"/>
    <w:p w14:paraId="22D1D87C">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7DE18A4B">
      <w:pPr>
        <w:spacing w:line="20" w:lineRule="exact"/>
        <w:jc w:val="center"/>
        <w:rPr>
          <w:rFonts w:ascii="黑体" w:hAnsi="黑体" w:eastAsia="黑体"/>
          <w:sz w:val="32"/>
          <w:szCs w:val="32"/>
        </w:rPr>
      </w:pPr>
      <w:bookmarkStart w:id="24" w:name="BookMark4"/>
    </w:p>
    <w:p w14:paraId="508353C2">
      <w:pPr>
        <w:spacing w:line="20" w:lineRule="exact"/>
        <w:jc w:val="center"/>
        <w:rPr>
          <w:rFonts w:ascii="黑体" w:hAnsi="黑体" w:eastAsia="黑体"/>
          <w:sz w:val="32"/>
          <w:szCs w:val="32"/>
        </w:rPr>
      </w:pPr>
    </w:p>
    <w:sdt>
      <w:sdtPr>
        <w:tag w:val="NEW_STAND_NAME"/>
        <w:id w:val="595910757"/>
        <w:lock w:val="sdtLocked"/>
        <w:placeholder>
          <w:docPart w:val="2D115DE0D9614A3BBD08B12941636457"/>
        </w:placeholder>
      </w:sdtPr>
      <w:sdtContent>
        <w:p w14:paraId="593124B3">
          <w:pPr>
            <w:pStyle w:val="177"/>
            <w:spacing w:before="3" w:beforeLines="1" w:after="686" w:afterLines="220"/>
          </w:pPr>
          <w:bookmarkStart w:id="25" w:name="NEW_STAND_NAME"/>
          <w:r>
            <w:rPr>
              <w:rFonts w:hint="eastAsia"/>
            </w:rPr>
            <w:t>大球盖菇设施栽培技术规范</w:t>
          </w:r>
        </w:p>
      </w:sdtContent>
    </w:sdt>
    <w:bookmarkEnd w:id="25"/>
    <w:p w14:paraId="4D59BE18">
      <w:pPr>
        <w:pStyle w:val="104"/>
        <w:spacing w:before="312" w:after="312"/>
      </w:pPr>
      <w:bookmarkStart w:id="26" w:name="_Toc26648465"/>
      <w:bookmarkStart w:id="27" w:name="_Toc17233333"/>
      <w:bookmarkStart w:id="28" w:name="_Toc17233325"/>
      <w:bookmarkStart w:id="29" w:name="_Toc24884211"/>
      <w:bookmarkStart w:id="30" w:name="_Toc24884218"/>
      <w:bookmarkStart w:id="31" w:name="_Toc26986771"/>
      <w:bookmarkStart w:id="32" w:name="_Toc26986530"/>
      <w:bookmarkStart w:id="33" w:name="_Toc97191423"/>
      <w:bookmarkStart w:id="34" w:name="_Toc26718930"/>
      <w:r>
        <w:rPr>
          <w:rFonts w:hint="eastAsia"/>
        </w:rPr>
        <w:t>范围</w:t>
      </w:r>
      <w:bookmarkEnd w:id="26"/>
      <w:bookmarkEnd w:id="27"/>
      <w:bookmarkEnd w:id="28"/>
      <w:bookmarkEnd w:id="29"/>
      <w:bookmarkEnd w:id="30"/>
      <w:bookmarkEnd w:id="31"/>
      <w:bookmarkEnd w:id="32"/>
      <w:bookmarkEnd w:id="33"/>
      <w:bookmarkEnd w:id="34"/>
    </w:p>
    <w:p w14:paraId="06DE7B1C">
      <w:pPr>
        <w:pStyle w:val="56"/>
        <w:ind w:firstLine="420"/>
        <w:rPr>
          <w:rFonts w:hint="eastAsia"/>
        </w:rPr>
      </w:pPr>
      <w:bookmarkStart w:id="35" w:name="_Toc24884219"/>
      <w:bookmarkStart w:id="36" w:name="_Toc17233326"/>
      <w:bookmarkStart w:id="37" w:name="_Toc17233334"/>
      <w:bookmarkStart w:id="38" w:name="_Toc24884212"/>
      <w:bookmarkStart w:id="39" w:name="_Toc26648466"/>
      <w:r>
        <w:rPr>
          <w:rFonts w:hint="eastAsia"/>
        </w:rPr>
        <w:t>本文件规定了大球盖菇设施栽培技术的术语和定义、产量指标、产地选择、菌种选择、栽培季节、栽培流程、栽培料配方及预处理、栽培技术及采收。</w:t>
      </w:r>
    </w:p>
    <w:p w14:paraId="2025933A">
      <w:pPr>
        <w:pStyle w:val="56"/>
        <w:ind w:firstLine="420"/>
      </w:pPr>
      <w:r>
        <w:rPr>
          <w:rFonts w:hint="eastAsia"/>
        </w:rPr>
        <w:t>本文件适用于大球盖菇的设施栽培。</w:t>
      </w:r>
    </w:p>
    <w:p w14:paraId="5C8DD86F">
      <w:pPr>
        <w:pStyle w:val="104"/>
        <w:spacing w:before="312" w:after="312"/>
      </w:pPr>
      <w:bookmarkStart w:id="40" w:name="_Toc26718931"/>
      <w:bookmarkStart w:id="41" w:name="_Toc26986531"/>
      <w:bookmarkStart w:id="42" w:name="_Toc97191424"/>
      <w:bookmarkStart w:id="43" w:name="_Toc26986772"/>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FE132AC41CD74E56B7588F2C81D685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8B4F54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132DEFD">
      <w:pPr>
        <w:pStyle w:val="56"/>
        <w:ind w:firstLine="420"/>
        <w:rPr>
          <w:szCs w:val="21"/>
        </w:rPr>
      </w:pPr>
      <w:bookmarkStart w:id="44" w:name="_Hlk178087441"/>
      <w:r>
        <w:rPr>
          <w:rFonts w:hint="eastAsia" w:hAnsi="宋体"/>
        </w:rPr>
        <w:t>GB</w:t>
      </w:r>
      <w:r>
        <w:rPr>
          <w:rFonts w:hint="eastAsia"/>
        </w:rPr>
        <w:t xml:space="preserve"> </w:t>
      </w:r>
      <w:r>
        <w:rPr>
          <w:rFonts w:hint="eastAsia" w:hAnsi="宋体"/>
        </w:rPr>
        <w:t>5749  生活饮用水卫生标准</w:t>
      </w:r>
    </w:p>
    <w:bookmarkEnd w:id="44"/>
    <w:p w14:paraId="77A17835">
      <w:pPr>
        <w:pStyle w:val="56"/>
        <w:ind w:firstLine="420"/>
        <w:rPr>
          <w:rFonts w:hint="eastAsia"/>
        </w:rPr>
      </w:pPr>
      <w:r>
        <w:rPr>
          <w:rFonts w:hint="eastAsia" w:hAnsi="宋体"/>
        </w:rPr>
        <w:t>NY/T 1742  食用菌菌种通用技术要求</w:t>
      </w:r>
    </w:p>
    <w:p w14:paraId="088D8377">
      <w:pPr>
        <w:pStyle w:val="56"/>
        <w:ind w:firstLine="420"/>
        <w:rPr>
          <w:rFonts w:hint="eastAsia"/>
        </w:rPr>
      </w:pPr>
      <w:r>
        <w:rPr>
          <w:rFonts w:hint="eastAsia" w:hAnsi="宋体"/>
        </w:rPr>
        <w:t>NY/T</w:t>
      </w:r>
      <w:r>
        <w:rPr>
          <w:rFonts w:hint="eastAsia"/>
        </w:rPr>
        <w:t xml:space="preserve"> </w:t>
      </w:r>
      <w:r>
        <w:rPr>
          <w:rFonts w:hint="eastAsia" w:hAnsi="宋体"/>
        </w:rPr>
        <w:t>1935  食用菌栽培基质质量安全要求</w:t>
      </w:r>
    </w:p>
    <w:p w14:paraId="37F92999">
      <w:pPr>
        <w:pStyle w:val="56"/>
        <w:ind w:firstLine="420"/>
        <w:rPr>
          <w:rFonts w:hint="eastAsia"/>
        </w:rPr>
      </w:pPr>
      <w:r>
        <w:rPr>
          <w:rFonts w:hint="eastAsia" w:hAnsi="宋体"/>
        </w:rPr>
        <w:t>NY/T</w:t>
      </w:r>
      <w:r>
        <w:rPr>
          <w:rFonts w:hint="eastAsia"/>
        </w:rPr>
        <w:t xml:space="preserve"> </w:t>
      </w:r>
      <w:r>
        <w:rPr>
          <w:rFonts w:hint="eastAsia" w:hAnsi="宋体"/>
        </w:rPr>
        <w:t>2375</w:t>
      </w:r>
      <w:r>
        <w:rPr>
          <w:rFonts w:hint="eastAsia"/>
        </w:rPr>
        <w:t xml:space="preserve">  </w:t>
      </w:r>
      <w:r>
        <w:rPr>
          <w:rFonts w:hint="eastAsia" w:hAnsi="宋体"/>
        </w:rPr>
        <w:t>食用菌生产技术规范</w:t>
      </w:r>
    </w:p>
    <w:p w14:paraId="6CBDA35A">
      <w:pPr>
        <w:pStyle w:val="56"/>
        <w:ind w:firstLine="420"/>
      </w:pPr>
      <w:r>
        <w:rPr>
          <w:rFonts w:hint="eastAsia" w:hAnsi="宋体"/>
        </w:rPr>
        <w:t>NY/T</w:t>
      </w:r>
      <w:r>
        <w:rPr>
          <w:rFonts w:hint="eastAsia"/>
        </w:rPr>
        <w:t xml:space="preserve"> </w:t>
      </w:r>
      <w:r>
        <w:rPr>
          <w:rFonts w:hint="eastAsia" w:hAnsi="宋体"/>
        </w:rPr>
        <w:t>2798.5</w:t>
      </w:r>
      <w:r>
        <w:rPr>
          <w:rFonts w:hint="eastAsia" w:ascii="MS Gothic" w:hAnsi="MS Gothic" w:cs="MS Gothic"/>
        </w:rPr>
        <w:t xml:space="preserve">  </w:t>
      </w:r>
      <w:r>
        <w:rPr>
          <w:rFonts w:hint="eastAsia" w:hAnsi="宋体"/>
        </w:rPr>
        <w:t>无公害农产品生产质量安全控制技术规范</w:t>
      </w:r>
      <w:r>
        <w:rPr>
          <w:rFonts w:hint="eastAsia"/>
        </w:rPr>
        <w:t xml:space="preserve"> </w:t>
      </w:r>
      <w:r>
        <w:rPr>
          <w:rFonts w:hint="eastAsia" w:hAnsi="宋体"/>
        </w:rPr>
        <w:t>第5部分：食用菌</w:t>
      </w:r>
    </w:p>
    <w:p w14:paraId="4230AC8E">
      <w:pPr>
        <w:pStyle w:val="104"/>
        <w:spacing w:before="312" w:after="312"/>
      </w:pPr>
      <w:bookmarkStart w:id="45" w:name="_Toc97191425"/>
      <w:r>
        <w:rPr>
          <w:rFonts w:hint="eastAsia"/>
          <w:szCs w:val="21"/>
        </w:rPr>
        <w:t>术语和定义</w:t>
      </w:r>
      <w:bookmarkEnd w:id="45"/>
    </w:p>
    <w:sdt>
      <w:sdtPr>
        <w:id w:val="-1909835108"/>
        <w:placeholder>
          <w:docPart w:val="47801F0CF832423BA5E08D8A61B0168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589CF9">
          <w:pPr>
            <w:pStyle w:val="56"/>
            <w:ind w:firstLine="420"/>
          </w:pPr>
          <w:bookmarkStart w:id="46" w:name="_Toc26986532"/>
          <w:bookmarkEnd w:id="46"/>
          <w:r>
            <w:t>下列术语和定义适用于本文件。</w:t>
          </w:r>
        </w:p>
      </w:sdtContent>
    </w:sdt>
    <w:p w14:paraId="428AF10C">
      <w:pPr>
        <w:pStyle w:val="105"/>
        <w:spacing w:before="156" w:after="156"/>
      </w:pPr>
    </w:p>
    <w:p w14:paraId="674E251C">
      <w:pPr>
        <w:pStyle w:val="105"/>
        <w:numPr>
          <w:ilvl w:val="0"/>
          <w:numId w:val="0"/>
        </w:numPr>
        <w:spacing w:before="156" w:after="156"/>
        <w:ind w:firstLine="420" w:firstLineChars="200"/>
        <w:rPr>
          <w:rFonts w:hint="eastAsia"/>
        </w:rPr>
      </w:pPr>
      <w:bookmarkStart w:id="47" w:name="_Hlk178087547"/>
      <w:r>
        <w:rPr>
          <w:rFonts w:hint="eastAsia"/>
        </w:rPr>
        <w:t>大球盖菇</w:t>
      </w:r>
      <w:bookmarkEnd w:id="47"/>
      <w:r>
        <w:rPr>
          <w:rFonts w:hint="eastAsia"/>
          <w:i/>
          <w:iCs/>
        </w:rPr>
        <w:t>Stropharia rugosoannulata</w:t>
      </w:r>
      <w:r>
        <w:rPr>
          <w:rFonts w:hint="eastAsia"/>
        </w:rPr>
        <w:t>( Farl.ex Murrill)</w:t>
      </w:r>
    </w:p>
    <w:p w14:paraId="3BF29583">
      <w:pPr>
        <w:pStyle w:val="56"/>
        <w:ind w:firstLine="420"/>
      </w:pPr>
      <w:r>
        <w:rPr>
          <w:rFonts w:hint="eastAsia"/>
        </w:rPr>
        <w:t>隶属于菌物界、担子菌门、伞菌纲、伞菌目、球盖菇科、球盖菇属的一类食用菌。又名皱环球盖菇、皱球盖菇、酒红色球盖菇、斐氏球盖菇。</w:t>
      </w:r>
    </w:p>
    <w:p w14:paraId="645EA378">
      <w:pPr>
        <w:pStyle w:val="105"/>
        <w:spacing w:before="156" w:after="156"/>
      </w:pPr>
    </w:p>
    <w:p w14:paraId="1DB22D7B">
      <w:pPr>
        <w:pStyle w:val="105"/>
        <w:numPr>
          <w:ilvl w:val="0"/>
          <w:numId w:val="0"/>
        </w:numPr>
        <w:spacing w:before="156" w:after="156"/>
        <w:ind w:firstLine="420" w:firstLineChars="200"/>
      </w:pPr>
      <w:r>
        <w:rPr>
          <w:rFonts w:hint="eastAsia"/>
        </w:rPr>
        <w:t>栽培种</w:t>
      </w:r>
    </w:p>
    <w:p w14:paraId="578776F6">
      <w:pPr>
        <w:pStyle w:val="56"/>
        <w:ind w:firstLine="420"/>
      </w:pPr>
      <w:r>
        <w:rPr>
          <w:rFonts w:hint="eastAsia"/>
        </w:rPr>
        <w:t>从母种经过二次扩繁后培养的生产菌种。栽培种只用于栽培，不可再次扩繁。</w:t>
      </w:r>
    </w:p>
    <w:p w14:paraId="02EBACD0">
      <w:pPr>
        <w:pStyle w:val="104"/>
        <w:spacing w:before="312" w:after="312"/>
      </w:pPr>
      <w:r>
        <w:rPr>
          <w:rFonts w:hint="eastAsia"/>
        </w:rPr>
        <w:t>产量指标</w:t>
      </w:r>
    </w:p>
    <w:p w14:paraId="26515B31">
      <w:pPr>
        <w:pStyle w:val="56"/>
        <w:ind w:firstLine="420"/>
      </w:pPr>
      <w:r>
        <w:rPr>
          <w:rFonts w:hint="eastAsia"/>
        </w:rPr>
        <w:t>一般产量</w:t>
      </w:r>
      <w:r>
        <w:t>22.50</w:t>
      </w:r>
      <w:r>
        <w:rPr>
          <w:rFonts w:hint="eastAsia"/>
        </w:rPr>
        <w:t>0</w:t>
      </w:r>
      <w:r>
        <w:t xml:space="preserve"> t/hm</w:t>
      </w:r>
      <w:r>
        <w:rPr>
          <w:vertAlign w:val="superscript"/>
        </w:rPr>
        <w:t>2</w:t>
      </w:r>
      <w:r>
        <w:t>～37.50</w:t>
      </w:r>
      <w:r>
        <w:rPr>
          <w:rFonts w:hint="eastAsia"/>
        </w:rPr>
        <w:t>0</w:t>
      </w:r>
      <w:r>
        <w:t xml:space="preserve"> t/hm</w:t>
      </w:r>
      <w:r>
        <w:rPr>
          <w:vertAlign w:val="superscript"/>
        </w:rPr>
        <w:t>2</w:t>
      </w:r>
      <w:r>
        <w:t>（1500.00 kg/667 m</w:t>
      </w:r>
      <w:r>
        <w:rPr>
          <w:vertAlign w:val="superscript"/>
        </w:rPr>
        <w:t>2</w:t>
      </w:r>
      <w:r>
        <w:t>～2500.00 kg/667 m</w:t>
      </w:r>
      <w:r>
        <w:rPr>
          <w:vertAlign w:val="superscript"/>
        </w:rPr>
        <w:t>2</w:t>
      </w:r>
      <w:r>
        <w:t xml:space="preserve">），高产产量37.50 </w:t>
      </w:r>
      <w:r>
        <w:rPr>
          <w:rFonts w:hint="eastAsia"/>
        </w:rPr>
        <w:t>0</w:t>
      </w:r>
      <w:r>
        <w:t>t/hm</w:t>
      </w:r>
      <w:r>
        <w:rPr>
          <w:vertAlign w:val="superscript"/>
        </w:rPr>
        <w:t>2</w:t>
      </w:r>
      <w:r>
        <w:t>～52.50</w:t>
      </w:r>
      <w:r>
        <w:rPr>
          <w:rFonts w:hint="eastAsia"/>
        </w:rPr>
        <w:t>0</w:t>
      </w:r>
      <w:r>
        <w:t> t/hm</w:t>
      </w:r>
      <w:r>
        <w:rPr>
          <w:vertAlign w:val="superscript"/>
        </w:rPr>
        <w:t>2</w:t>
      </w:r>
      <w:r>
        <w:t>（2500.00 kg/667 m</w:t>
      </w:r>
      <w:r>
        <w:rPr>
          <w:vertAlign w:val="superscript"/>
        </w:rPr>
        <w:t>2</w:t>
      </w:r>
      <w:r>
        <w:t>～3500.00 kg/667 m</w:t>
      </w:r>
      <w:r>
        <w:rPr>
          <w:vertAlign w:val="superscript"/>
        </w:rPr>
        <w:t>2</w:t>
      </w:r>
      <w:r>
        <w:t>）</w:t>
      </w:r>
      <w:r>
        <w:rPr>
          <w:rFonts w:hint="eastAsia"/>
        </w:rPr>
        <w:t>。</w:t>
      </w:r>
    </w:p>
    <w:p w14:paraId="1A24200D">
      <w:pPr>
        <w:pStyle w:val="104"/>
        <w:spacing w:before="312" w:after="312"/>
        <w:rPr>
          <w:rFonts w:hint="eastAsia"/>
        </w:rPr>
      </w:pPr>
      <w:r>
        <w:rPr>
          <w:rFonts w:hint="eastAsia"/>
        </w:rPr>
        <w:t>产地选择</w:t>
      </w:r>
    </w:p>
    <w:p w14:paraId="76EE5482">
      <w:pPr>
        <w:pStyle w:val="105"/>
        <w:spacing w:before="156" w:after="156"/>
      </w:pPr>
      <w:r>
        <w:rPr>
          <w:rFonts w:hint="eastAsia"/>
        </w:rPr>
        <w:t>生产环境</w:t>
      </w:r>
    </w:p>
    <w:p w14:paraId="302CEB80">
      <w:pPr>
        <w:pStyle w:val="56"/>
        <w:ind w:firstLine="420"/>
      </w:pPr>
      <w:r>
        <w:rPr>
          <w:rFonts w:hint="eastAsia"/>
        </w:rPr>
        <w:t>生产环境符合NY/T 2375的规定，用水符合GB 5749的规定。</w:t>
      </w:r>
    </w:p>
    <w:p w14:paraId="4653531C">
      <w:pPr>
        <w:pStyle w:val="105"/>
        <w:spacing w:before="156" w:after="156"/>
      </w:pPr>
      <w:r>
        <w:rPr>
          <w:rFonts w:hint="eastAsia"/>
        </w:rPr>
        <w:t>菇房选择</w:t>
      </w:r>
    </w:p>
    <w:p w14:paraId="05A82933">
      <w:pPr>
        <w:pStyle w:val="56"/>
        <w:ind w:firstLine="420"/>
      </w:pPr>
      <w:r>
        <w:rPr>
          <w:rFonts w:hint="eastAsia"/>
        </w:rPr>
        <w:t>保温、保湿、通风性能好、便于遮阴的日光温室或拱棚。场地远离工业工厂、养殖场所等。</w:t>
      </w:r>
    </w:p>
    <w:p w14:paraId="1F413CB5">
      <w:pPr>
        <w:pStyle w:val="104"/>
        <w:spacing w:before="312" w:after="312"/>
      </w:pPr>
      <w:r>
        <w:rPr>
          <w:rFonts w:hint="eastAsia"/>
        </w:rPr>
        <w:t>菌种选择</w:t>
      </w:r>
    </w:p>
    <w:p w14:paraId="24C2A18E">
      <w:pPr>
        <w:pStyle w:val="56"/>
        <w:ind w:firstLine="420"/>
      </w:pPr>
      <w:r>
        <w:rPr>
          <w:rFonts w:hint="eastAsia"/>
        </w:rPr>
        <w:t>选用适宜当地栽培、发菌出菇快、抗逆性强、高产优质、商品型好的菌种。菌种质量满足NY/T 1742的要求。</w:t>
      </w:r>
    </w:p>
    <w:p w14:paraId="59BC8818">
      <w:pPr>
        <w:pStyle w:val="104"/>
        <w:spacing w:before="312" w:after="312"/>
      </w:pPr>
      <w:r>
        <w:rPr>
          <w:rFonts w:hint="eastAsia"/>
        </w:rPr>
        <w:t>栽培季节</w:t>
      </w:r>
    </w:p>
    <w:p w14:paraId="30BDF3CF">
      <w:pPr>
        <w:pStyle w:val="56"/>
        <w:ind w:firstLine="420"/>
      </w:pPr>
      <w:r>
        <w:rPr>
          <w:rFonts w:hint="eastAsia"/>
        </w:rPr>
        <w:t>日光温室宜9月至11月适时播种，拱棚宜4月至7月适时播种。</w:t>
      </w:r>
    </w:p>
    <w:p w14:paraId="023F260B">
      <w:pPr>
        <w:pStyle w:val="104"/>
        <w:spacing w:before="312" w:after="312"/>
      </w:pPr>
      <w:r>
        <w:rPr>
          <w:rFonts w:hint="eastAsia"/>
        </w:rPr>
        <w:t>栽培技术</w:t>
      </w:r>
    </w:p>
    <w:p w14:paraId="4BA31F4E">
      <w:pPr>
        <w:pStyle w:val="105"/>
        <w:spacing w:before="156" w:after="156"/>
        <w:rPr>
          <w:rFonts w:hint="eastAsia"/>
        </w:rPr>
      </w:pPr>
      <w:r>
        <w:rPr>
          <w:rFonts w:hint="eastAsia"/>
        </w:rPr>
        <w:t>栽培料配方及预处理</w:t>
      </w:r>
    </w:p>
    <w:p w14:paraId="4BF4CCBA">
      <w:pPr>
        <w:pStyle w:val="65"/>
        <w:spacing w:before="156" w:after="156"/>
      </w:pPr>
      <w:r>
        <w:rPr>
          <w:rFonts w:hint="eastAsia"/>
        </w:rPr>
        <w:t>栽培原料及配方</w:t>
      </w:r>
    </w:p>
    <w:p w14:paraId="095EE0CD">
      <w:pPr>
        <w:pStyle w:val="56"/>
        <w:ind w:firstLine="420"/>
      </w:pPr>
      <w:r>
        <w:rPr>
          <w:rFonts w:hint="eastAsia"/>
        </w:rPr>
        <w:t>主料选用玉米芯、木屑、麦秸、棉籽壳、稻壳，辅料为麦麸、石灰粉、石膏等，符合NY/T 1935的要求。栽培料配方根据实际可选用如下配方之一。</w:t>
      </w:r>
    </w:p>
    <w:p w14:paraId="17E2DB29">
      <w:pPr>
        <w:pStyle w:val="56"/>
        <w:ind w:firstLine="420"/>
      </w:pPr>
      <w:r>
        <w:rPr>
          <w:rFonts w:hint="eastAsia"/>
        </w:rPr>
        <w:t>——</w:t>
      </w:r>
      <w:r>
        <w:t>玉米芯30 %、木屑26 %、棉籽壳26 %、麦麸16 %、石灰粉1 %、石膏1 %。</w:t>
      </w:r>
    </w:p>
    <w:p w14:paraId="74FE80B1">
      <w:pPr>
        <w:pStyle w:val="56"/>
        <w:ind w:firstLine="420"/>
      </w:pPr>
      <w:r>
        <w:rPr>
          <w:rFonts w:hint="eastAsia"/>
        </w:rPr>
        <w:t>——玉米芯38</w:t>
      </w:r>
      <w:r>
        <w:rPr>
          <w:rFonts w:hint="eastAsia" w:ascii="MS Gothic" w:hAnsi="MS Gothic" w:eastAsia="MS Gothic" w:cs="MS Gothic"/>
        </w:rPr>
        <w:t> </w:t>
      </w:r>
      <w:r>
        <w:rPr>
          <w:rFonts w:hint="eastAsia"/>
        </w:rPr>
        <w:t>%、麦秸30</w:t>
      </w:r>
      <w:r>
        <w:rPr>
          <w:rFonts w:hint="eastAsia" w:ascii="MS Gothic" w:hAnsi="MS Gothic" w:eastAsia="MS Gothic" w:cs="MS Gothic"/>
        </w:rPr>
        <w:t> </w:t>
      </w:r>
      <w:r>
        <w:rPr>
          <w:rFonts w:hint="eastAsia"/>
        </w:rPr>
        <w:t>%、稻壳20</w:t>
      </w:r>
      <w:r>
        <w:rPr>
          <w:rFonts w:hint="eastAsia" w:ascii="MS Gothic" w:hAnsi="MS Gothic" w:eastAsia="MS Gothic" w:cs="MS Gothic"/>
        </w:rPr>
        <w:t> </w:t>
      </w:r>
      <w:r>
        <w:rPr>
          <w:rFonts w:hint="eastAsia"/>
        </w:rPr>
        <w:t>%、木屑10</w:t>
      </w:r>
      <w:r>
        <w:rPr>
          <w:rFonts w:hint="eastAsia" w:ascii="MS Gothic" w:hAnsi="MS Gothic" w:eastAsia="MS Gothic" w:cs="MS Gothic"/>
        </w:rPr>
        <w:t> </w:t>
      </w:r>
      <w:r>
        <w:rPr>
          <w:rFonts w:hint="eastAsia"/>
        </w:rPr>
        <w:t>%、石灰粉1</w:t>
      </w:r>
      <w:r>
        <w:rPr>
          <w:rFonts w:hint="eastAsia" w:ascii="MS Gothic" w:hAnsi="MS Gothic" w:eastAsia="MS Gothic" w:cs="MS Gothic"/>
        </w:rPr>
        <w:t> </w:t>
      </w:r>
      <w:r>
        <w:rPr>
          <w:rFonts w:hint="eastAsia"/>
        </w:rPr>
        <w:t>%、石膏1</w:t>
      </w:r>
      <w:r>
        <w:rPr>
          <w:rFonts w:hint="eastAsia" w:ascii="MS Gothic" w:hAnsi="MS Gothic" w:eastAsia="MS Gothic" w:cs="MS Gothic"/>
        </w:rPr>
        <w:t> </w:t>
      </w:r>
      <w:r>
        <w:rPr>
          <w:rFonts w:hint="eastAsia"/>
        </w:rPr>
        <w:t>%。</w:t>
      </w:r>
    </w:p>
    <w:p w14:paraId="629C0D78">
      <w:pPr>
        <w:pStyle w:val="56"/>
        <w:ind w:firstLine="420"/>
      </w:pPr>
      <w:r>
        <w:rPr>
          <w:rFonts w:hint="eastAsia"/>
        </w:rPr>
        <w:t>——</w:t>
      </w:r>
      <w:r>
        <w:t>麦秸48 %、玉米芯30 %、木屑10 %、麦麸10 %、石灰粉1 %、石膏1 %。</w:t>
      </w:r>
    </w:p>
    <w:p w14:paraId="17BDA883">
      <w:pPr>
        <w:pStyle w:val="65"/>
        <w:spacing w:before="156" w:after="156"/>
      </w:pPr>
      <w:r>
        <w:rPr>
          <w:rFonts w:hint="eastAsia"/>
        </w:rPr>
        <w:t>预处理</w:t>
      </w:r>
    </w:p>
    <w:p w14:paraId="61F65CFD">
      <w:pPr>
        <w:pStyle w:val="56"/>
        <w:ind w:firstLine="420"/>
      </w:pPr>
      <w:r>
        <w:t>木屑</w:t>
      </w:r>
      <w:r>
        <w:rPr>
          <w:rFonts w:hint="eastAsia"/>
        </w:rPr>
        <w:t>粒径为</w:t>
      </w:r>
      <w:r>
        <w:t>2.00 cm～4.00 cm，麦秸</w:t>
      </w:r>
      <w:r>
        <w:rPr>
          <w:rFonts w:hint="eastAsia"/>
        </w:rPr>
        <w:t>粒径为</w:t>
      </w:r>
      <w:r>
        <w:t>4.00 cm～6.00 cm、玉米芯</w:t>
      </w:r>
      <w:r>
        <w:rPr>
          <w:rFonts w:hint="eastAsia"/>
        </w:rPr>
        <w:t>粒径为</w:t>
      </w:r>
      <w:r>
        <w:t>0.50 cm～1.00 cm。木屑提前预湿，与麦秸、玉米芯、棉籽壳、麦麸、石灰粉、石膏混合均匀补充水分至70 %～75 %。</w:t>
      </w:r>
    </w:p>
    <w:p w14:paraId="435A46FA">
      <w:pPr>
        <w:pStyle w:val="65"/>
        <w:spacing w:before="156" w:after="156"/>
      </w:pPr>
      <w:r>
        <w:rPr>
          <w:rFonts w:hint="eastAsia"/>
        </w:rPr>
        <w:t>建堆与发酵</w:t>
      </w:r>
    </w:p>
    <w:p w14:paraId="7961C254">
      <w:pPr>
        <w:pStyle w:val="56"/>
        <w:ind w:firstLine="420"/>
      </w:pPr>
      <w:r>
        <w:t>将预处理栽培料搅拌均匀，</w:t>
      </w:r>
      <w:r>
        <w:rPr>
          <w:rFonts w:hint="eastAsia"/>
        </w:rPr>
        <w:t>堆</w:t>
      </w:r>
      <w:r>
        <w:t>成底宽2.00 m～4.00 m、顶宽1.00 m～1.20 m、高1.00 m～1.50 m</w:t>
      </w:r>
      <w:r>
        <w:rPr>
          <w:rFonts w:hint="eastAsia"/>
        </w:rPr>
        <w:t>的</w:t>
      </w:r>
      <w:r>
        <w:t>发酵堆。距离料面30.00 cm处温度达到60 ℃～65 ℃，发酵48</w:t>
      </w:r>
      <w:r>
        <w:rPr>
          <w:rFonts w:hint="eastAsia"/>
        </w:rPr>
        <w:t xml:space="preserve"> </w:t>
      </w:r>
      <w:r>
        <w:t>h进行第一次翻堆，翻堆时将表面层和贴近地面的低温栽培料翻到料堆中央，料堆中央的栽培料翻到外层；重新建堆后用直径5.00 cm～10.00 cm的木棒，每隔30.00 cm自上而下打透气孔。</w:t>
      </w:r>
      <w:r>
        <w:rPr>
          <w:rFonts w:hint="eastAsia"/>
        </w:rPr>
        <w:t>重复发酵</w:t>
      </w:r>
      <w:r>
        <w:t>3 ～4次。发酵料</w:t>
      </w:r>
      <w:r>
        <w:rPr>
          <w:rFonts w:hint="eastAsia"/>
        </w:rPr>
        <w:t>应</w:t>
      </w:r>
      <w:r>
        <w:t>无异味，手感松软，pH</w:t>
      </w:r>
      <w:r>
        <w:rPr>
          <w:rFonts w:hint="eastAsia"/>
        </w:rPr>
        <w:t>值</w:t>
      </w:r>
      <w:r>
        <w:t>达到6.3～6.8时发酵完成。</w:t>
      </w:r>
    </w:p>
    <w:p w14:paraId="366904BB">
      <w:pPr>
        <w:pStyle w:val="105"/>
        <w:spacing w:before="156" w:after="156"/>
      </w:pPr>
      <w:r>
        <w:rPr>
          <w:rFonts w:hint="eastAsia"/>
        </w:rPr>
        <w:t>整地作畦</w:t>
      </w:r>
    </w:p>
    <w:p w14:paraId="75E74948">
      <w:pPr>
        <w:pStyle w:val="56"/>
        <w:ind w:firstLine="420"/>
      </w:pPr>
      <w:r>
        <w:t>土壤翻松晾晒7 d～10 d，平整土地作畦，畦宽80.00 cm～100.00 cm，畦高10.00 cm～15.00 cm，畦面修整成龟背形，畦间走道25.00 cm～30.00 cm。</w:t>
      </w:r>
    </w:p>
    <w:p w14:paraId="44F336B5">
      <w:pPr>
        <w:pStyle w:val="105"/>
        <w:spacing w:before="156" w:after="156"/>
      </w:pPr>
      <w:r>
        <w:rPr>
          <w:rFonts w:hint="eastAsia"/>
        </w:rPr>
        <w:t>栽培种用量</w:t>
      </w:r>
    </w:p>
    <w:p w14:paraId="418698CB">
      <w:pPr>
        <w:pStyle w:val="56"/>
        <w:ind w:firstLine="420"/>
      </w:pPr>
      <w:r>
        <w:t>3.00 t/hm</w:t>
      </w:r>
      <w:r>
        <w:rPr>
          <w:vertAlign w:val="superscript"/>
        </w:rPr>
        <w:t>2</w:t>
      </w:r>
      <w:r>
        <w:t>～3.75 t/hm</w:t>
      </w:r>
      <w:r>
        <w:rPr>
          <w:vertAlign w:val="superscript"/>
        </w:rPr>
        <w:t>2</w:t>
      </w:r>
      <w:r>
        <w:t>（200.00 kg/667</w:t>
      </w:r>
      <w:r>
        <w:rPr>
          <w:rFonts w:hint="eastAsia"/>
        </w:rPr>
        <w:t xml:space="preserve"> </w:t>
      </w:r>
      <w:r>
        <w:t>m</w:t>
      </w:r>
      <w:r>
        <w:rPr>
          <w:vertAlign w:val="superscript"/>
        </w:rPr>
        <w:t>2</w:t>
      </w:r>
      <w:r>
        <w:t>～250.00 kg/667</w:t>
      </w:r>
      <w:r>
        <w:rPr>
          <w:rFonts w:hint="eastAsia"/>
        </w:rPr>
        <w:t xml:space="preserve"> </w:t>
      </w:r>
      <w:r>
        <w:t>m</w:t>
      </w:r>
      <w:r>
        <w:rPr>
          <w:vertAlign w:val="superscript"/>
        </w:rPr>
        <w:t>2</w:t>
      </w:r>
      <w:r>
        <w:t>）。</w:t>
      </w:r>
    </w:p>
    <w:p w14:paraId="63A071D2">
      <w:pPr>
        <w:pStyle w:val="105"/>
        <w:spacing w:before="156" w:after="156"/>
      </w:pPr>
      <w:r>
        <w:rPr>
          <w:rFonts w:hint="eastAsia"/>
        </w:rPr>
        <w:t>铺料播种</w:t>
      </w:r>
    </w:p>
    <w:p w14:paraId="1D3B6978">
      <w:pPr>
        <w:pStyle w:val="56"/>
        <w:ind w:firstLine="420"/>
      </w:pPr>
      <w:r>
        <w:t>先铺厚10.00 cm～12.00 cm的栽培料，将</w:t>
      </w:r>
      <w:r>
        <w:rPr>
          <w:rFonts w:hint="eastAsia"/>
        </w:rPr>
        <w:t>栽培种</w:t>
      </w:r>
      <w:r>
        <w:t>播入栽培料内，第一层用种量约占总量的60 %；再铺第二层栽培料厚10.00 cm～12.00 cm，同样的方法播入</w:t>
      </w:r>
      <w:r>
        <w:rPr>
          <w:rFonts w:hint="eastAsia"/>
        </w:rPr>
        <w:t>栽培种</w:t>
      </w:r>
      <w:r>
        <w:t>，用种量约占总量的40 %；最上层铺3.00 cm～5.00 cm厚的</w:t>
      </w:r>
      <w:r>
        <w:rPr>
          <w:rFonts w:hint="eastAsia"/>
        </w:rPr>
        <w:t>栽培</w:t>
      </w:r>
      <w:r>
        <w:t>料，覆盖带孔薄膜保持湿度。</w:t>
      </w:r>
    </w:p>
    <w:p w14:paraId="0B49F4D1">
      <w:pPr>
        <w:pStyle w:val="105"/>
        <w:spacing w:before="156" w:after="156"/>
      </w:pPr>
      <w:r>
        <w:rPr>
          <w:rFonts w:hint="eastAsia"/>
        </w:rPr>
        <w:t>发菌管理</w:t>
      </w:r>
    </w:p>
    <w:p w14:paraId="2F41AFB2">
      <w:pPr>
        <w:pStyle w:val="56"/>
        <w:ind w:firstLine="420"/>
      </w:pPr>
      <w:r>
        <w:rPr>
          <w:rFonts w:hint="eastAsia"/>
        </w:rPr>
        <w:t>播种完成后</w:t>
      </w:r>
      <w:r>
        <w:t>菇房内悬挂遮阳网，</w:t>
      </w:r>
      <w:r>
        <w:rPr>
          <w:rFonts w:hint="eastAsia"/>
        </w:rPr>
        <w:t>室温</w:t>
      </w:r>
      <w:r>
        <w:t>控制在18 ℃～23 ℃。室温</w:t>
      </w:r>
      <w:r>
        <w:rPr>
          <w:rFonts w:hint="eastAsia"/>
        </w:rPr>
        <w:t>大于</w:t>
      </w:r>
      <w:r>
        <w:t>23 ℃时，采取遮阴或喷水降温。</w:t>
      </w:r>
    </w:p>
    <w:p w14:paraId="05FE1B3B">
      <w:pPr>
        <w:pStyle w:val="105"/>
        <w:spacing w:before="156" w:after="156"/>
      </w:pPr>
      <w:r>
        <w:rPr>
          <w:rFonts w:hint="eastAsia"/>
        </w:rPr>
        <w:t>覆土</w:t>
      </w:r>
    </w:p>
    <w:p w14:paraId="00675891">
      <w:pPr>
        <w:pStyle w:val="56"/>
        <w:ind w:firstLine="420"/>
      </w:pPr>
      <w:r>
        <w:t>菌丝布满栽培料面</w:t>
      </w:r>
      <w:r>
        <w:rPr>
          <w:rFonts w:hint="eastAsia"/>
        </w:rPr>
        <w:t>三分之二</w:t>
      </w:r>
      <w:r>
        <w:t>时，覆盖质地疏松</w:t>
      </w:r>
      <w:r>
        <w:rPr>
          <w:rFonts w:hint="eastAsia"/>
        </w:rPr>
        <w:t>、</w:t>
      </w:r>
      <w:r>
        <w:t>含水量60 %～70 %的土壤，厚度2.5</w:t>
      </w:r>
      <w:r>
        <w:rPr>
          <w:rFonts w:hint="eastAsia"/>
        </w:rPr>
        <w:t>0</w:t>
      </w:r>
      <w:r>
        <w:t xml:space="preserve"> cm～3.5</w:t>
      </w:r>
      <w:r>
        <w:rPr>
          <w:rFonts w:hint="eastAsia"/>
        </w:rPr>
        <w:t>0</w:t>
      </w:r>
      <w:r>
        <w:t> cm。</w:t>
      </w:r>
    </w:p>
    <w:p w14:paraId="17BD53A6">
      <w:pPr>
        <w:pStyle w:val="105"/>
        <w:spacing w:before="156" w:after="156"/>
      </w:pPr>
      <w:r>
        <w:rPr>
          <w:rFonts w:hint="eastAsia"/>
        </w:rPr>
        <w:t>育菇管理</w:t>
      </w:r>
    </w:p>
    <w:p w14:paraId="553EB7C9">
      <w:pPr>
        <w:pStyle w:val="56"/>
        <w:ind w:firstLine="420"/>
      </w:pPr>
      <w:r>
        <w:t>室内温度控制在12 ℃～23 ℃，空气湿度控制在85 %～90 %，透光率控制在30 %～40 %。第一潮菇收完后，补</w:t>
      </w:r>
      <w:r>
        <w:rPr>
          <w:rFonts w:hint="eastAsia"/>
        </w:rPr>
        <w:t>充</w:t>
      </w:r>
      <w:r>
        <w:t>料内含水量</w:t>
      </w:r>
      <w:r>
        <w:rPr>
          <w:rFonts w:hint="eastAsia"/>
        </w:rPr>
        <w:t>达70</w:t>
      </w:r>
      <w:r>
        <w:t> %～</w:t>
      </w:r>
      <w:r>
        <w:rPr>
          <w:rFonts w:hint="eastAsia"/>
        </w:rPr>
        <w:t>75</w:t>
      </w:r>
      <w:r>
        <w:t> %，第二潮菇管理方法同第一潮菇</w:t>
      </w:r>
      <w:r>
        <w:rPr>
          <w:rFonts w:hint="eastAsia"/>
        </w:rPr>
        <w:t>。</w:t>
      </w:r>
    </w:p>
    <w:p w14:paraId="621D6FDE">
      <w:pPr>
        <w:pStyle w:val="104"/>
        <w:spacing w:before="312" w:after="312"/>
      </w:pPr>
      <w:r>
        <w:rPr>
          <w:rFonts w:hint="eastAsia"/>
        </w:rPr>
        <w:t>病虫害防治</w:t>
      </w:r>
    </w:p>
    <w:p w14:paraId="1E597F80">
      <w:pPr>
        <w:pStyle w:val="105"/>
        <w:spacing w:before="156" w:after="156"/>
      </w:pPr>
      <w:r>
        <w:rPr>
          <w:rFonts w:hint="eastAsia"/>
        </w:rPr>
        <w:t>主要病虫害</w:t>
      </w:r>
    </w:p>
    <w:p w14:paraId="6A7D21E5">
      <w:pPr>
        <w:pStyle w:val="56"/>
        <w:ind w:firstLine="420"/>
      </w:pPr>
      <w:r>
        <w:rPr>
          <w:rFonts w:hint="eastAsia"/>
        </w:rPr>
        <w:t>主要病害有绿霉；主要虫害有螨类、菌蝇、菌蚊等。</w:t>
      </w:r>
    </w:p>
    <w:p w14:paraId="5D8A4A92">
      <w:pPr>
        <w:pStyle w:val="105"/>
        <w:spacing w:before="156" w:after="156"/>
      </w:pPr>
      <w:r>
        <w:rPr>
          <w:rFonts w:hint="eastAsia"/>
        </w:rPr>
        <w:t>物理防治</w:t>
      </w:r>
    </w:p>
    <w:p w14:paraId="1D5BB0F6">
      <w:pPr>
        <w:pStyle w:val="56"/>
        <w:ind w:firstLine="420"/>
      </w:pPr>
      <w:r>
        <w:rPr>
          <w:rFonts w:hint="eastAsia"/>
        </w:rPr>
        <w:t>通风口处安装防虫网，利用粘虫板、糖醋液、杀虫灯进行诱杀。</w:t>
      </w:r>
    </w:p>
    <w:p w14:paraId="61A092C0">
      <w:pPr>
        <w:pStyle w:val="105"/>
        <w:spacing w:before="156" w:after="156"/>
      </w:pPr>
      <w:r>
        <w:rPr>
          <w:rFonts w:hint="eastAsia"/>
        </w:rPr>
        <w:t>生物防治</w:t>
      </w:r>
    </w:p>
    <w:p w14:paraId="682AB13B">
      <w:pPr>
        <w:pStyle w:val="56"/>
        <w:ind w:firstLine="420"/>
      </w:pPr>
      <w:r>
        <w:rPr>
          <w:rFonts w:hint="eastAsia"/>
        </w:rPr>
        <w:t>使用BT生物农药、植物源农药。</w:t>
      </w:r>
    </w:p>
    <w:p w14:paraId="48DE0A56">
      <w:pPr>
        <w:pStyle w:val="105"/>
        <w:spacing w:before="156" w:after="156"/>
      </w:pPr>
      <w:r>
        <w:rPr>
          <w:rFonts w:hint="eastAsia"/>
        </w:rPr>
        <w:t>化学防治</w:t>
      </w:r>
    </w:p>
    <w:p w14:paraId="093F6049">
      <w:pPr>
        <w:pStyle w:val="56"/>
        <w:ind w:firstLine="420"/>
      </w:pPr>
      <w:r>
        <w:rPr>
          <w:rFonts w:hint="eastAsia"/>
        </w:rPr>
        <w:t xml:space="preserve">优先选用生物农药，化学防治采用高效低毒低残留农药。符合NY/T 393和NY/T 2375的规定。不得在出菇期向子实体上喷药。防治方法参加附录A。 </w:t>
      </w:r>
    </w:p>
    <w:p w14:paraId="5F5D783B">
      <w:pPr>
        <w:pStyle w:val="104"/>
        <w:spacing w:before="312" w:after="312"/>
      </w:pPr>
      <w:r>
        <w:rPr>
          <w:rFonts w:hint="eastAsia"/>
        </w:rPr>
        <w:t>采收</w:t>
      </w:r>
    </w:p>
    <w:p w14:paraId="1FDA539D">
      <w:pPr>
        <w:pStyle w:val="56"/>
        <w:ind w:firstLine="420"/>
      </w:pPr>
      <w:r>
        <w:t>子实体长至6.00 cm～8.00 cm，表层菌膜未破裂时及时采收，采收2～3 潮菇。</w:t>
      </w:r>
    </w:p>
    <w:p w14:paraId="52588CBB">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4"/>
    <w:p w14:paraId="7B7FD7BE">
      <w:pPr>
        <w:pStyle w:val="198"/>
        <w:rPr>
          <w:vanish w:val="0"/>
        </w:rPr>
      </w:pPr>
      <w:bookmarkStart w:id="48" w:name="BookMark5"/>
    </w:p>
    <w:p w14:paraId="728495F2">
      <w:pPr>
        <w:pStyle w:val="199"/>
        <w:rPr>
          <w:vanish w:val="0"/>
        </w:rPr>
      </w:pPr>
    </w:p>
    <w:p w14:paraId="637963EA">
      <w:pPr>
        <w:pStyle w:val="76"/>
        <w:spacing w:after="156"/>
        <w:rPr>
          <w:rFonts w:hint="eastAsia"/>
        </w:rPr>
      </w:pPr>
      <w:r>
        <w:br w:type="textWrapping"/>
      </w:r>
      <w:r>
        <w:rPr>
          <w:rFonts w:hint="eastAsia"/>
        </w:rPr>
        <w:t>（资料性）</w:t>
      </w:r>
      <w:r>
        <w:br w:type="textWrapping"/>
      </w:r>
      <w:r>
        <w:rPr>
          <w:rFonts w:hint="eastAsia"/>
        </w:rPr>
        <w:t>大球盖菇常见病虫害化学防治方法</w:t>
      </w:r>
    </w:p>
    <w:p w14:paraId="42FB03B7">
      <w:pPr>
        <w:pStyle w:val="56"/>
        <w:ind w:firstLine="420"/>
      </w:pPr>
      <w:r>
        <w:rPr>
          <w:rFonts w:hint="eastAsia"/>
        </w:rPr>
        <w:t>表A</w:t>
      </w:r>
      <w:r>
        <w:t>.1</w:t>
      </w:r>
      <w:r>
        <w:rPr>
          <w:rFonts w:hint="eastAsia"/>
        </w:rPr>
        <w:t>规定了大球盖菇常见病虫害及防治方法</w:t>
      </w:r>
    </w:p>
    <w:p w14:paraId="32CA590D">
      <w:pPr>
        <w:pStyle w:val="77"/>
        <w:spacing w:before="156" w:after="156"/>
      </w:pPr>
      <w:r>
        <w:rPr>
          <w:rFonts w:hint="eastAsia"/>
        </w:rPr>
        <w:t>大球盖菇常见病虫害化学防治方法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3544"/>
        <w:gridCol w:w="4382"/>
      </w:tblGrid>
      <w:tr w14:paraId="0C868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shd w:val="clear" w:color="auto" w:fill="auto"/>
            <w:vAlign w:val="center"/>
          </w:tcPr>
          <w:p w14:paraId="17C70BD6">
            <w:pPr>
              <w:pStyle w:val="178"/>
            </w:pPr>
            <w:r>
              <w:rPr>
                <w:rFonts w:hint="eastAsia"/>
              </w:rPr>
              <w:t>病虫害名称</w:t>
            </w:r>
          </w:p>
        </w:tc>
        <w:tc>
          <w:tcPr>
            <w:tcW w:w="3544" w:type="dxa"/>
            <w:tcBorders>
              <w:top w:val="single" w:color="auto" w:sz="8" w:space="0"/>
              <w:bottom w:val="single" w:color="auto" w:sz="8" w:space="0"/>
            </w:tcBorders>
            <w:shd w:val="clear" w:color="auto" w:fill="auto"/>
            <w:vAlign w:val="center"/>
          </w:tcPr>
          <w:p w14:paraId="4A1DC87D">
            <w:pPr>
              <w:pStyle w:val="178"/>
            </w:pPr>
            <w:r>
              <w:rPr>
                <w:rFonts w:hint="eastAsia"/>
              </w:rPr>
              <w:t>药剂</w:t>
            </w:r>
          </w:p>
        </w:tc>
        <w:tc>
          <w:tcPr>
            <w:tcW w:w="4382" w:type="dxa"/>
            <w:tcBorders>
              <w:top w:val="single" w:color="auto" w:sz="8" w:space="0"/>
              <w:bottom w:val="single" w:color="auto" w:sz="8" w:space="0"/>
            </w:tcBorders>
            <w:shd w:val="clear" w:color="auto" w:fill="auto"/>
            <w:vAlign w:val="center"/>
          </w:tcPr>
          <w:p w14:paraId="73A142A4">
            <w:pPr>
              <w:pStyle w:val="178"/>
            </w:pPr>
            <w:r>
              <w:rPr>
                <w:rFonts w:hint="eastAsia"/>
              </w:rPr>
              <w:t>用量及使用方法</w:t>
            </w:r>
          </w:p>
        </w:tc>
      </w:tr>
      <w:tr w14:paraId="17781B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restart"/>
            <w:tcBorders>
              <w:top w:val="single" w:color="auto" w:sz="8" w:space="0"/>
            </w:tcBorders>
            <w:shd w:val="clear" w:color="auto" w:fill="auto"/>
            <w:vAlign w:val="center"/>
          </w:tcPr>
          <w:p w14:paraId="2033AC67">
            <w:pPr>
              <w:pStyle w:val="178"/>
            </w:pPr>
            <w:r>
              <w:rPr>
                <w:rFonts w:hint="eastAsia"/>
              </w:rPr>
              <w:t>绿霉</w:t>
            </w:r>
          </w:p>
        </w:tc>
        <w:tc>
          <w:tcPr>
            <w:tcW w:w="3544" w:type="dxa"/>
            <w:tcBorders>
              <w:top w:val="single" w:color="auto" w:sz="8" w:space="0"/>
            </w:tcBorders>
            <w:shd w:val="clear" w:color="auto" w:fill="auto"/>
            <w:vAlign w:val="center"/>
          </w:tcPr>
          <w:p w14:paraId="7969BC30">
            <w:pPr>
              <w:pStyle w:val="178"/>
              <w:rPr>
                <w:rFonts w:hint="eastAsia"/>
              </w:rPr>
            </w:pPr>
            <w:r>
              <w:rPr>
                <w:rFonts w:hint="eastAsia"/>
              </w:rPr>
              <w:t>石灰</w:t>
            </w:r>
          </w:p>
        </w:tc>
        <w:tc>
          <w:tcPr>
            <w:tcW w:w="4382" w:type="dxa"/>
            <w:tcBorders>
              <w:top w:val="single" w:color="auto" w:sz="8" w:space="0"/>
            </w:tcBorders>
            <w:shd w:val="clear" w:color="auto" w:fill="auto"/>
            <w:vAlign w:val="center"/>
          </w:tcPr>
          <w:p w14:paraId="6865764B">
            <w:pPr>
              <w:pStyle w:val="178"/>
              <w:rPr>
                <w:rFonts w:hint="eastAsia"/>
              </w:rPr>
            </w:pPr>
            <w:r>
              <w:rPr>
                <w:rFonts w:hint="eastAsia"/>
              </w:rPr>
              <w:t>5%-10%澄清物喷洒；直接撒粉；与硫酸铜合用</w:t>
            </w:r>
          </w:p>
        </w:tc>
      </w:tr>
      <w:tr w14:paraId="648BD0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continue"/>
            <w:shd w:val="clear" w:color="auto" w:fill="auto"/>
            <w:vAlign w:val="center"/>
          </w:tcPr>
          <w:p w14:paraId="75B09D39">
            <w:pPr>
              <w:pStyle w:val="178"/>
            </w:pPr>
          </w:p>
        </w:tc>
        <w:tc>
          <w:tcPr>
            <w:tcW w:w="3544" w:type="dxa"/>
            <w:shd w:val="clear" w:color="auto" w:fill="auto"/>
            <w:vAlign w:val="center"/>
          </w:tcPr>
          <w:p w14:paraId="138C85D3">
            <w:pPr>
              <w:pStyle w:val="178"/>
              <w:rPr>
                <w:rFonts w:hint="eastAsia"/>
              </w:rPr>
            </w:pPr>
            <w:r>
              <w:rPr>
                <w:rFonts w:hint="eastAsia"/>
              </w:rPr>
              <w:t>枯草芽孢杆菌</w:t>
            </w:r>
          </w:p>
        </w:tc>
        <w:tc>
          <w:tcPr>
            <w:tcW w:w="4382" w:type="dxa"/>
            <w:shd w:val="clear" w:color="auto" w:fill="auto"/>
            <w:vAlign w:val="center"/>
          </w:tcPr>
          <w:p w14:paraId="10F6BBB5">
            <w:pPr>
              <w:pStyle w:val="178"/>
              <w:rPr>
                <w:rFonts w:hint="eastAsia"/>
              </w:rPr>
            </w:pPr>
            <w:r>
              <w:rPr>
                <w:rFonts w:hint="eastAsia"/>
              </w:rPr>
              <w:t>100亿芽孢/g可湿性粉剂66.7g/667㎡</w:t>
            </w:r>
            <w:r>
              <w:t>～</w:t>
            </w:r>
            <w:r>
              <w:rPr>
                <w:rFonts w:hint="eastAsia"/>
              </w:rPr>
              <w:t>670g/667㎡喷雾</w:t>
            </w:r>
          </w:p>
        </w:tc>
      </w:tr>
      <w:tr w14:paraId="35F0E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continue"/>
            <w:shd w:val="clear" w:color="auto" w:fill="auto"/>
            <w:vAlign w:val="center"/>
          </w:tcPr>
          <w:p w14:paraId="62C0AAEB">
            <w:pPr>
              <w:pStyle w:val="178"/>
            </w:pPr>
          </w:p>
        </w:tc>
        <w:tc>
          <w:tcPr>
            <w:tcW w:w="3544" w:type="dxa"/>
            <w:shd w:val="clear" w:color="auto" w:fill="auto"/>
            <w:vAlign w:val="center"/>
          </w:tcPr>
          <w:p w14:paraId="1469F5C1">
            <w:pPr>
              <w:pStyle w:val="178"/>
              <w:rPr>
                <w:rFonts w:hint="eastAsia"/>
              </w:rPr>
            </w:pPr>
            <w:r>
              <w:rPr>
                <w:rFonts w:hint="eastAsia"/>
              </w:rPr>
              <w:t>40%噻菌灵</w:t>
            </w:r>
          </w:p>
        </w:tc>
        <w:tc>
          <w:tcPr>
            <w:tcW w:w="4382" w:type="dxa"/>
            <w:shd w:val="clear" w:color="auto" w:fill="auto"/>
            <w:vAlign w:val="center"/>
          </w:tcPr>
          <w:p w14:paraId="4005B4AC">
            <w:pPr>
              <w:pStyle w:val="178"/>
              <w:rPr>
                <w:rFonts w:hint="eastAsia"/>
              </w:rPr>
            </w:pPr>
            <w:r>
              <w:rPr>
                <w:rFonts w:hint="eastAsia"/>
              </w:rPr>
              <w:t>530g/667㎡</w:t>
            </w:r>
            <w:r>
              <w:t>～</w:t>
            </w:r>
            <w:r>
              <w:rPr>
                <w:rFonts w:hint="eastAsia"/>
              </w:rPr>
              <w:t>6670g/667㎡喷雾</w:t>
            </w:r>
          </w:p>
        </w:tc>
      </w:tr>
      <w:tr w14:paraId="0D308F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restart"/>
            <w:shd w:val="clear" w:color="auto" w:fill="auto"/>
            <w:vAlign w:val="center"/>
          </w:tcPr>
          <w:p w14:paraId="772EF921">
            <w:pPr>
              <w:pStyle w:val="178"/>
              <w:rPr>
                <w:rFonts w:hint="eastAsia"/>
              </w:rPr>
            </w:pPr>
            <w:r>
              <w:rPr>
                <w:rFonts w:hint="eastAsia"/>
              </w:rPr>
              <w:t>螨类</w:t>
            </w:r>
          </w:p>
        </w:tc>
        <w:tc>
          <w:tcPr>
            <w:tcW w:w="3544" w:type="dxa"/>
            <w:shd w:val="clear" w:color="auto" w:fill="auto"/>
            <w:vAlign w:val="center"/>
          </w:tcPr>
          <w:p w14:paraId="60184CE4">
            <w:pPr>
              <w:pStyle w:val="178"/>
              <w:rPr>
                <w:rFonts w:hint="eastAsia"/>
              </w:rPr>
            </w:pPr>
            <w:r>
              <w:rPr>
                <w:rFonts w:hint="eastAsia"/>
              </w:rPr>
              <w:t>阿维菌素</w:t>
            </w:r>
          </w:p>
        </w:tc>
        <w:tc>
          <w:tcPr>
            <w:tcW w:w="4382" w:type="dxa"/>
            <w:shd w:val="clear" w:color="auto" w:fill="auto"/>
            <w:vAlign w:val="center"/>
          </w:tcPr>
          <w:p w14:paraId="1F4AA1DE">
            <w:pPr>
              <w:pStyle w:val="178"/>
              <w:rPr>
                <w:rFonts w:hint="eastAsia"/>
              </w:rPr>
            </w:pPr>
            <w:r>
              <w:rPr>
                <w:rFonts w:hint="eastAsia"/>
              </w:rPr>
              <w:t>1%乳油4000倍液喷雾</w:t>
            </w:r>
          </w:p>
        </w:tc>
      </w:tr>
      <w:tr w14:paraId="490E7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continue"/>
            <w:shd w:val="clear" w:color="auto" w:fill="auto"/>
            <w:vAlign w:val="center"/>
          </w:tcPr>
          <w:p w14:paraId="1B069064">
            <w:pPr>
              <w:pStyle w:val="178"/>
            </w:pPr>
          </w:p>
        </w:tc>
        <w:tc>
          <w:tcPr>
            <w:tcW w:w="3544" w:type="dxa"/>
            <w:shd w:val="clear" w:color="auto" w:fill="auto"/>
            <w:vAlign w:val="center"/>
          </w:tcPr>
          <w:p w14:paraId="65DDFA2F">
            <w:pPr>
              <w:pStyle w:val="178"/>
              <w:rPr>
                <w:rFonts w:hint="eastAsia"/>
              </w:rPr>
            </w:pPr>
            <w:r>
              <w:rPr>
                <w:rFonts w:hint="eastAsia"/>
              </w:rPr>
              <w:t>0.5%苦参碱</w:t>
            </w:r>
          </w:p>
        </w:tc>
        <w:tc>
          <w:tcPr>
            <w:tcW w:w="4382" w:type="dxa"/>
            <w:shd w:val="clear" w:color="auto" w:fill="auto"/>
            <w:vAlign w:val="center"/>
          </w:tcPr>
          <w:p w14:paraId="0FD3BD36">
            <w:pPr>
              <w:pStyle w:val="178"/>
              <w:rPr>
                <w:rFonts w:hint="eastAsia"/>
              </w:rPr>
            </w:pPr>
            <w:r>
              <w:rPr>
                <w:rFonts w:hint="eastAsia"/>
              </w:rPr>
              <w:t>1000</w:t>
            </w:r>
            <w:r>
              <w:t>～</w:t>
            </w:r>
            <w:r>
              <w:rPr>
                <w:rFonts w:hint="eastAsia"/>
              </w:rPr>
              <w:t>1500倍液喷雾</w:t>
            </w:r>
          </w:p>
        </w:tc>
      </w:tr>
      <w:tr w14:paraId="7D4A17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continue"/>
            <w:shd w:val="clear" w:color="auto" w:fill="auto"/>
            <w:vAlign w:val="center"/>
          </w:tcPr>
          <w:p w14:paraId="4ACAAB6A">
            <w:pPr>
              <w:pStyle w:val="178"/>
            </w:pPr>
          </w:p>
        </w:tc>
        <w:tc>
          <w:tcPr>
            <w:tcW w:w="3544" w:type="dxa"/>
            <w:shd w:val="clear" w:color="auto" w:fill="auto"/>
            <w:vAlign w:val="center"/>
          </w:tcPr>
          <w:p w14:paraId="5C1EEF34">
            <w:pPr>
              <w:pStyle w:val="178"/>
              <w:rPr>
                <w:rFonts w:hint="eastAsia"/>
              </w:rPr>
            </w:pPr>
            <w:r>
              <w:rPr>
                <w:rFonts w:hint="eastAsia"/>
              </w:rPr>
              <w:t>0.1%黎芦根茎提取物</w:t>
            </w:r>
          </w:p>
        </w:tc>
        <w:tc>
          <w:tcPr>
            <w:tcW w:w="4382" w:type="dxa"/>
            <w:shd w:val="clear" w:color="auto" w:fill="auto"/>
            <w:vAlign w:val="center"/>
          </w:tcPr>
          <w:p w14:paraId="29CB74BC">
            <w:pPr>
              <w:pStyle w:val="178"/>
              <w:rPr>
                <w:rFonts w:hint="eastAsia"/>
              </w:rPr>
            </w:pPr>
            <w:r>
              <w:rPr>
                <w:rFonts w:hint="eastAsia"/>
              </w:rPr>
              <w:t>120g/667㎡</w:t>
            </w:r>
            <w:r>
              <w:t>～</w:t>
            </w:r>
            <w:r>
              <w:rPr>
                <w:rFonts w:hint="eastAsia"/>
              </w:rPr>
              <w:t>140g/667㎡喷雾</w:t>
            </w:r>
          </w:p>
        </w:tc>
      </w:tr>
      <w:tr w14:paraId="750D16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restart"/>
            <w:shd w:val="clear" w:color="auto" w:fill="auto"/>
            <w:vAlign w:val="center"/>
          </w:tcPr>
          <w:p w14:paraId="1E7F1213">
            <w:pPr>
              <w:pStyle w:val="178"/>
            </w:pPr>
            <w:r>
              <w:rPr>
                <w:rFonts w:hint="eastAsia"/>
              </w:rPr>
              <w:t>菌蝇、菌蚊</w:t>
            </w:r>
          </w:p>
        </w:tc>
        <w:tc>
          <w:tcPr>
            <w:tcW w:w="3544" w:type="dxa"/>
            <w:shd w:val="clear" w:color="auto" w:fill="auto"/>
            <w:vAlign w:val="center"/>
          </w:tcPr>
          <w:p w14:paraId="0BE52238">
            <w:pPr>
              <w:pStyle w:val="178"/>
              <w:rPr>
                <w:rFonts w:hint="eastAsia"/>
              </w:rPr>
            </w:pPr>
            <w:r>
              <w:rPr>
                <w:rFonts w:hint="eastAsia"/>
              </w:rPr>
              <w:t>苏云金芽孢杆菌</w:t>
            </w:r>
          </w:p>
        </w:tc>
        <w:tc>
          <w:tcPr>
            <w:tcW w:w="4382" w:type="dxa"/>
            <w:shd w:val="clear" w:color="auto" w:fill="auto"/>
            <w:vAlign w:val="center"/>
          </w:tcPr>
          <w:p w14:paraId="705E8479">
            <w:pPr>
              <w:pStyle w:val="178"/>
              <w:rPr>
                <w:rFonts w:hint="eastAsia"/>
              </w:rPr>
            </w:pPr>
            <w:r>
              <w:rPr>
                <w:rFonts w:hint="eastAsia"/>
              </w:rPr>
              <w:t>500倍液喷雾</w:t>
            </w:r>
          </w:p>
        </w:tc>
      </w:tr>
      <w:tr w14:paraId="4C275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continue"/>
            <w:shd w:val="clear" w:color="auto" w:fill="auto"/>
            <w:vAlign w:val="center"/>
          </w:tcPr>
          <w:p w14:paraId="122EF39C">
            <w:pPr>
              <w:pStyle w:val="178"/>
              <w:rPr>
                <w:rFonts w:hint="eastAsia"/>
              </w:rPr>
            </w:pPr>
          </w:p>
        </w:tc>
        <w:tc>
          <w:tcPr>
            <w:tcW w:w="3544" w:type="dxa"/>
            <w:shd w:val="clear" w:color="auto" w:fill="auto"/>
            <w:vAlign w:val="center"/>
          </w:tcPr>
          <w:p w14:paraId="2E446723">
            <w:pPr>
              <w:pStyle w:val="178"/>
              <w:rPr>
                <w:rFonts w:hint="eastAsia"/>
              </w:rPr>
            </w:pPr>
            <w:r>
              <w:rPr>
                <w:rFonts w:hint="eastAsia"/>
              </w:rPr>
              <w:t xml:space="preserve"> 0.1%黎芦根茎提取物</w:t>
            </w:r>
          </w:p>
        </w:tc>
        <w:tc>
          <w:tcPr>
            <w:tcW w:w="4382" w:type="dxa"/>
            <w:shd w:val="clear" w:color="auto" w:fill="auto"/>
            <w:vAlign w:val="center"/>
          </w:tcPr>
          <w:p w14:paraId="11357DCA">
            <w:pPr>
              <w:pStyle w:val="178"/>
              <w:rPr>
                <w:rFonts w:hint="eastAsia"/>
              </w:rPr>
            </w:pPr>
            <w:r>
              <w:rPr>
                <w:rFonts w:hint="eastAsia"/>
              </w:rPr>
              <w:t>120g/667㎡</w:t>
            </w:r>
            <w:r>
              <w:t>～</w:t>
            </w:r>
            <w:r>
              <w:rPr>
                <w:rFonts w:hint="eastAsia"/>
              </w:rPr>
              <w:t>140g/667㎡喷雾</w:t>
            </w:r>
          </w:p>
        </w:tc>
      </w:tr>
      <w:tr w14:paraId="4A44E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Merge w:val="continue"/>
            <w:tcBorders>
              <w:bottom w:val="single" w:color="auto" w:sz="8" w:space="0"/>
            </w:tcBorders>
            <w:shd w:val="clear" w:color="auto" w:fill="auto"/>
            <w:vAlign w:val="center"/>
          </w:tcPr>
          <w:p w14:paraId="1CBCD3CA">
            <w:pPr>
              <w:pStyle w:val="178"/>
            </w:pPr>
          </w:p>
        </w:tc>
        <w:tc>
          <w:tcPr>
            <w:tcW w:w="3544" w:type="dxa"/>
            <w:tcBorders>
              <w:bottom w:val="single" w:color="auto" w:sz="8" w:space="0"/>
            </w:tcBorders>
            <w:shd w:val="clear" w:color="auto" w:fill="auto"/>
            <w:vAlign w:val="center"/>
          </w:tcPr>
          <w:p w14:paraId="13159DC3">
            <w:pPr>
              <w:pStyle w:val="178"/>
              <w:rPr>
                <w:rFonts w:hint="eastAsia"/>
              </w:rPr>
            </w:pPr>
            <w:r>
              <w:rPr>
                <w:rFonts w:hint="eastAsia"/>
              </w:rPr>
              <w:t>43%联苯肼酯悬浮剂</w:t>
            </w:r>
          </w:p>
        </w:tc>
        <w:tc>
          <w:tcPr>
            <w:tcW w:w="4382" w:type="dxa"/>
            <w:tcBorders>
              <w:bottom w:val="single" w:color="auto" w:sz="8" w:space="0"/>
            </w:tcBorders>
            <w:shd w:val="clear" w:color="auto" w:fill="auto"/>
            <w:vAlign w:val="center"/>
          </w:tcPr>
          <w:p w14:paraId="3F521037">
            <w:pPr>
              <w:pStyle w:val="178"/>
              <w:rPr>
                <w:rFonts w:hint="eastAsia"/>
              </w:rPr>
            </w:pPr>
            <w:r>
              <w:rPr>
                <w:rFonts w:hint="eastAsia"/>
              </w:rPr>
              <w:t>10ml/667㎡</w:t>
            </w:r>
            <w:r>
              <w:t>～</w:t>
            </w:r>
            <w:r>
              <w:rPr>
                <w:rFonts w:hint="eastAsia"/>
              </w:rPr>
              <w:t>30ml/667㎡喷雾</w:t>
            </w:r>
          </w:p>
        </w:tc>
      </w:tr>
      <w:bookmarkEnd w:id="48"/>
    </w:tbl>
    <w:p w14:paraId="50787538">
      <w:pPr>
        <w:pStyle w:val="56"/>
        <w:ind w:firstLine="0" w:firstLineChars="0"/>
        <w:jc w:val="center"/>
        <w:rPr>
          <w:rFonts w:hint="eastAsia"/>
        </w:rPr>
      </w:pPr>
      <w:bookmarkStart w:id="49"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1550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584C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49F8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76DA">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5E27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38C5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EA3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4BACD">
    <w:pPr>
      <w:pStyle w:val="61"/>
    </w:pPr>
    <w:r>
      <w:fldChar w:fldCharType="begin"/>
    </w:r>
    <w:r>
      <w:instrText xml:space="preserve"> STYLEREF  标准文件_文件编号  \* MERGEFORMAT </w:instrText>
    </w:r>
    <w:r>
      <w:fldChar w:fldCharType="separate"/>
    </w:r>
    <w:r>
      <w:t>DB 63/T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D267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d57K1jMsmpH/GU33TfCCfJB0xQrs2//elElmFg1LvRpEy5CAdrJuFGVAx3tIgoBd27z1RlzIPc8fOnwIRvH0BA==" w:salt="2gO/0Jcitp1qB3QDYOy0U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1MWIxNTdmZDk4OGU1MmYyMDcwZTZlZWQ5ZjliNjQifQ=="/>
  </w:docVars>
  <w:rsids>
    <w:rsidRoot w:val="00597D1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83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043"/>
    <w:rsid w:val="003221B4"/>
    <w:rsid w:val="0032258D"/>
    <w:rsid w:val="00322E62"/>
    <w:rsid w:val="00324D13"/>
    <w:rsid w:val="00324D2A"/>
    <w:rsid w:val="00324EDD"/>
    <w:rsid w:val="003331E4"/>
    <w:rsid w:val="00336C64"/>
    <w:rsid w:val="00337162"/>
    <w:rsid w:val="00341523"/>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D1E"/>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210"/>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59"/>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447"/>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28F"/>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4DA4"/>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6EB9"/>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44E"/>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9745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D115DE0D9614A3BBD08B12941636457"/>
        <w:style w:val=""/>
        <w:category>
          <w:name w:val="常规"/>
          <w:gallery w:val="placeholder"/>
        </w:category>
        <w:types>
          <w:type w:val="bbPlcHdr"/>
        </w:types>
        <w:behaviors>
          <w:behavior w:val="content"/>
        </w:behaviors>
        <w:description w:val=""/>
        <w:guid w:val="{3824034C-FD36-42C2-8985-1927175F2EB8}"/>
      </w:docPartPr>
      <w:docPartBody>
        <w:p w14:paraId="657C41C1">
          <w:pPr>
            <w:pStyle w:val="5"/>
          </w:pPr>
          <w:r>
            <w:rPr>
              <w:rStyle w:val="4"/>
              <w:rFonts w:hint="eastAsia"/>
            </w:rPr>
            <w:t>单击或点击此处输入文字。</w:t>
          </w:r>
        </w:p>
      </w:docPartBody>
    </w:docPart>
    <w:docPart>
      <w:docPartPr>
        <w:name w:val="FE132AC41CD74E56B7588F2C81D68501"/>
        <w:style w:val=""/>
        <w:category>
          <w:name w:val="常规"/>
          <w:gallery w:val="placeholder"/>
        </w:category>
        <w:types>
          <w:type w:val="bbPlcHdr"/>
        </w:types>
        <w:behaviors>
          <w:behavior w:val="content"/>
        </w:behaviors>
        <w:description w:val=""/>
        <w:guid w:val="{47477B68-9A87-4313-903B-BEBB25FA35A3}"/>
      </w:docPartPr>
      <w:docPartBody>
        <w:p w14:paraId="2D743020">
          <w:pPr>
            <w:pStyle w:val="6"/>
          </w:pPr>
          <w:r>
            <w:rPr>
              <w:rStyle w:val="4"/>
              <w:rFonts w:hint="eastAsia"/>
            </w:rPr>
            <w:t>选择一项。</w:t>
          </w:r>
        </w:p>
      </w:docPartBody>
    </w:docPart>
    <w:docPart>
      <w:docPartPr>
        <w:name w:val="47801F0CF832423BA5E08D8A61B01683"/>
        <w:style w:val=""/>
        <w:category>
          <w:name w:val="常规"/>
          <w:gallery w:val="placeholder"/>
        </w:category>
        <w:types>
          <w:type w:val="bbPlcHdr"/>
        </w:types>
        <w:behaviors>
          <w:behavior w:val="content"/>
        </w:behaviors>
        <w:description w:val=""/>
        <w:guid w:val="{9111FAAA-698F-477D-AB2D-43D8D96A1E82}"/>
      </w:docPartPr>
      <w:docPartBody>
        <w:p w14:paraId="3F781AD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37B"/>
    <w:rsid w:val="00A91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D115DE0D9614A3BBD08B1294163645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E132AC41CD74E56B7588F2C81D685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7801F0CF832423BA5E08D8A61B0168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C76C7-5397-4649-A4B3-6D00ACC05079}">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2041</Words>
  <Characters>2724</Characters>
  <Lines>299</Lines>
  <Paragraphs>269</Paragraphs>
  <TotalTime>405</TotalTime>
  <ScaleCrop>false</ScaleCrop>
  <LinksUpToDate>false</LinksUpToDate>
  <CharactersWithSpaces>2791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2024-09-24T02:07:00Z</dcterms:created>
  <dc:creator>Yc</dc:creator>
  <dc:description>&lt;config cover="true" show_menu="true" version="1.0.0" doctype="SDKXY"&gt;_x000d_
&lt;/config&gt;</dc:description>
  <cp:lastModifiedBy>Kalkin</cp:lastModifiedBy>
  <cp:lastPrinted>2024-09-24T09:44:00Z</cp:lastPrinted>
  <dcterms:modified xsi:type="dcterms:W3CDTF">2024-09-24T10:00:03Z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44020A5F1C2C4F13BFFD0DDCD4C99AC8_12</vt:lpwstr>
  </property>
</Properties>
</file>