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7D9D9E0">
      <w:pPr>
        <w:pStyle w:val="49"/>
        <w:bidi w:val="0"/>
        <w:rPr>
          <w:rFonts w:hint="eastAsia"/>
          <w:lang w:val="en-US" w:eastAsia="zh-CN"/>
        </w:rPr>
      </w:pPr>
      <w:r>
        <w:rPr>
          <w:rFonts w:hint="eastAsia"/>
          <w:lang w:val="en-US" w:eastAsia="zh-CN"/>
        </w:rPr>
        <w:fldChar w:fldCharType="begin">
          <w:ffData>
            <w:name w:val="DBMark2"/>
            <w:enabled/>
            <w:calcOnExit w:val="0"/>
            <w:textInput/>
          </w:ffData>
        </w:fldChar>
      </w:r>
      <w:bookmarkStart w:id="0" w:name="DBMark2"/>
      <w:r>
        <w:rPr>
          <w:rFonts w:hint="eastAsia"/>
          <w:lang w:val="en-US" w:eastAsia="zh-CN"/>
        </w:rPr>
        <w:instrText xml:space="preserve">FORMTEXT</w:instrText>
      </w:r>
      <w:r>
        <w:rPr>
          <w:rFonts w:hint="eastAsia"/>
          <w:lang w:val="en-US" w:eastAsia="zh-CN"/>
        </w:rPr>
        <w:fldChar w:fldCharType="separate"/>
      </w:r>
      <w:r>
        <w:rPr>
          <w:rFonts w:hint="default"/>
          <w:lang w:val="en-US" w:eastAsia="zh-CN"/>
        </w:rPr>
        <w:t>     </w:t>
      </w:r>
      <w:r>
        <w:rPr>
          <w:rFonts w:hint="eastAsia"/>
          <w:lang w:val="en-US" w:eastAsia="zh-CN"/>
        </w:rPr>
        <w:fldChar w:fldCharType="end"/>
      </w:r>
      <w:bookmarkEnd w:id="0"/>
      <w:r>
        <w:rPr>
          <w:rFonts w:hint="eastAsia"/>
          <w:lang w:val="en-US" w:eastAsia="zh-CN"/>
        </w:rPr>
        <w:t>地方标准</w:t>
      </w:r>
    </w:p>
    <w:p w14:paraId="14F19CE4">
      <w:pPr>
        <w:pStyle w:val="60"/>
        <w:bidi w:val="0"/>
        <w:rPr>
          <w:rFonts w:hint="eastAsia"/>
          <w:lang w:val="en-US" w:eastAsia="zh-CN"/>
        </w:rPr>
      </w:pPr>
      <w:bookmarkStart w:id="1" w:name="StandNo"/>
      <w:r>
        <w:rPr>
          <w:rFonts w:hint="eastAsia" w:ascii="黑体" w:hAnsi="Times New Roman" w:eastAsia="黑体" w:cs="Times New Roman"/>
          <w:sz w:val="28"/>
          <w:lang w:val="en-US" w:eastAsia="zh-CN"/>
        </w:rPr>
        <w:fldChar w:fldCharType="begin">
          <w:ffData>
            <w:name w:val="StandNo"/>
            <w:enabled/>
            <w:calcOnExit w:val="0"/>
            <w:textInput>
              <w:default w:val="DB36/T XXX—XXXX"/>
            </w:textInput>
          </w:ffData>
        </w:fldChar>
      </w:r>
      <w:r>
        <w:rPr>
          <w:rFonts w:hint="eastAsia" w:ascii="黑体" w:hAnsi="Times New Roman" w:eastAsia="黑体" w:cs="Times New Roman"/>
          <w:sz w:val="28"/>
          <w:lang w:val="en-US" w:eastAsia="zh-CN"/>
        </w:rPr>
        <w:instrText xml:space="preserve">FORMTEXT</w:instrText>
      </w:r>
      <w:r>
        <w:rPr>
          <w:rFonts w:hint="eastAsia" w:ascii="黑体" w:hAnsi="Times New Roman" w:eastAsia="黑体" w:cs="Times New Roman"/>
          <w:sz w:val="28"/>
          <w:lang w:val="en-US" w:eastAsia="zh-CN"/>
        </w:rPr>
        <w:fldChar w:fldCharType="separate"/>
      </w:r>
      <w:r>
        <w:rPr>
          <w:rFonts w:hint="eastAsia" w:ascii="黑体" w:hAnsi="Times New Roman" w:eastAsia="黑体" w:cs="Times New Roman"/>
          <w:sz w:val="28"/>
          <w:lang w:val="en-US" w:eastAsia="zh-CN"/>
        </w:rPr>
        <w:t>DB36/T XXX—XXXX</w:t>
      </w:r>
      <w:r>
        <w:rPr>
          <w:rFonts w:hint="eastAsia" w:ascii="黑体" w:hAnsi="Times New Roman" w:eastAsia="黑体" w:cs="Times New Roman"/>
          <w:sz w:val="28"/>
          <w:lang w:val="en-US" w:eastAsia="zh-CN"/>
        </w:rPr>
        <w:fldChar w:fldCharType="end"/>
      </w:r>
      <w:bookmarkEnd w:id="1"/>
    </w:p>
    <w:p w14:paraId="05739B5B">
      <w:pPr>
        <w:pStyle w:val="59"/>
        <w:bidi w:val="0"/>
        <w:rPr>
          <w:rFonts w:hint="eastAsia"/>
          <w:lang w:val="en-US" w:eastAsia="zh-CN"/>
        </w:rPr>
      </w:pPr>
      <w:r>
        <w:rPr>
          <w:rFonts w:hint="eastAsia"/>
          <w:lang w:val="en-US" w:eastAsia="zh-CN"/>
        </w:rPr>
        <w:fldChar w:fldCharType="begin">
          <w:ffData>
            <w:name w:val="ReplaceDB"/>
            <w:enabled/>
            <w:calcOnExit w:val="0"/>
            <w:textInput/>
          </w:ffData>
        </w:fldChar>
      </w:r>
      <w:bookmarkStart w:id="2" w:name="ReplaceDB"/>
      <w:r>
        <w:rPr>
          <w:rFonts w:hint="eastAsia"/>
          <w:lang w:val="en-US" w:eastAsia="zh-CN"/>
        </w:rPr>
        <w:instrText xml:space="preserve">FORMTEXT</w:instrText>
      </w:r>
      <w:r>
        <w:rPr>
          <w:rFonts w:hint="eastAsia"/>
          <w:lang w:val="en-US" w:eastAsia="zh-CN"/>
        </w:rPr>
        <w:fldChar w:fldCharType="separate"/>
      </w:r>
      <w:r>
        <w:rPr>
          <w:rFonts w:hint="default"/>
          <w:lang w:val="en-US" w:eastAsia="zh-CN"/>
        </w:rPr>
        <w:t>     </w:t>
      </w:r>
      <w:r>
        <w:rPr>
          <w:rFonts w:hint="eastAsia"/>
          <w:lang w:val="en-US" w:eastAsia="zh-CN"/>
        </w:rPr>
        <w:fldChar w:fldCharType="end"/>
      </w:r>
      <w:bookmarkEnd w:id="2"/>
    </w:p>
    <w:tbl>
      <w:tblPr>
        <w:tblStyle w:val="26"/>
        <w:tblW w:w="9741"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9741"/>
      </w:tblGrid>
      <w:tr w14:paraId="3A99A2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9889" w:type="dxa"/>
            <w:tcBorders>
              <w:top w:val="single" w:color="auto" w:sz="8" w:space="0"/>
            </w:tcBorders>
          </w:tcPr>
          <w:p w14:paraId="1CBAD8E0">
            <w:pPr>
              <w:pStyle w:val="54"/>
              <w:bidi w:val="0"/>
              <w:rPr>
                <w:rFonts w:hint="eastAsia"/>
                <w:sz w:val="10"/>
                <w:vertAlign w:val="baseline"/>
                <w:lang w:val="en-US" w:eastAsia="zh-CN"/>
              </w:rPr>
            </w:pPr>
          </w:p>
        </w:tc>
      </w:tr>
    </w:tbl>
    <w:p w14:paraId="5E96B057">
      <w:pPr>
        <w:pStyle w:val="61"/>
        <w:bidi w:val="0"/>
        <w:rPr>
          <w:rFonts w:hint="eastAsia"/>
          <w:lang w:val="en-US" w:eastAsia="zh-CN"/>
        </w:rPr>
      </w:pPr>
      <w:r>
        <w:rPr>
          <w:rFonts w:hint="eastAsia"/>
          <w:lang w:val="en-US" w:eastAsia="zh-CN"/>
        </w:rPr>
        <w:fldChar w:fldCharType="begin">
          <w:ffData>
            <w:name w:val="StdName"/>
            <w:enabled/>
            <w:calcOnExit w:val="0"/>
            <w:textInput>
              <w:default w:val="123"/>
            </w:textInput>
          </w:ffData>
        </w:fldChar>
      </w:r>
      <w:bookmarkStart w:id="3" w:name="StdName"/>
      <w:r>
        <w:rPr>
          <w:rFonts w:hint="eastAsia"/>
          <w:lang w:val="en-US" w:eastAsia="zh-CN"/>
        </w:rPr>
        <w:instrText xml:space="preserve">FORMTEXT</w:instrText>
      </w:r>
      <w:r>
        <w:rPr>
          <w:rFonts w:hint="eastAsia"/>
          <w:lang w:val="en-US" w:eastAsia="zh-CN"/>
        </w:rPr>
        <w:fldChar w:fldCharType="separate"/>
      </w:r>
      <w:r>
        <w:rPr>
          <w:rFonts w:hint="eastAsia"/>
          <w:lang w:val="en-US" w:eastAsia="zh-CN"/>
        </w:rPr>
        <w:t>重大决策社会稳定风险评估工作规范</w:t>
      </w:r>
      <w:r>
        <w:rPr>
          <w:rFonts w:hint="eastAsia"/>
          <w:lang w:val="en-US" w:eastAsia="zh-CN"/>
        </w:rPr>
        <w:fldChar w:fldCharType="end"/>
      </w:r>
      <w:bookmarkEnd w:id="3"/>
    </w:p>
    <w:p w14:paraId="7E28E4C3">
      <w:pPr>
        <w:pStyle w:val="62"/>
        <w:bidi w:val="0"/>
        <w:rPr>
          <w:rFonts w:hint="eastAsia"/>
          <w:lang w:val="en-US" w:eastAsia="zh-CN"/>
        </w:rPr>
      </w:pPr>
      <w:r>
        <w:rPr>
          <w:rFonts w:hint="eastAsia"/>
          <w:lang w:val="en-US" w:eastAsia="zh-CN"/>
        </w:rPr>
        <w:fldChar w:fldCharType="begin">
          <w:ffData>
            <w:name w:val="StdEnglishName"/>
            <w:enabled/>
            <w:calcOnExit w:val="0"/>
            <w:textInput>
              <w:default w:val="点击此处添加标准英文译名"/>
            </w:textInput>
          </w:ffData>
        </w:fldChar>
      </w:r>
      <w:bookmarkStart w:id="4" w:name="StdEnglishName"/>
      <w:r>
        <w:rPr>
          <w:rFonts w:hint="eastAsia"/>
          <w:lang w:val="en-US" w:eastAsia="zh-CN"/>
        </w:rPr>
        <w:instrText xml:space="preserve">FORMTEXT</w:instrText>
      </w:r>
      <w:r>
        <w:rPr>
          <w:rFonts w:hint="eastAsia"/>
          <w:lang w:val="en-US" w:eastAsia="zh-CN"/>
        </w:rPr>
        <w:fldChar w:fldCharType="separate"/>
      </w:r>
      <w:r>
        <w:rPr>
          <w:rFonts w:hint="eastAsia"/>
          <w:lang w:val="en-US" w:eastAsia="zh-CN"/>
        </w:rPr>
        <w:t>点击此处添加标准英文译名</w:t>
      </w:r>
      <w:r>
        <w:rPr>
          <w:rFonts w:hint="eastAsia"/>
          <w:lang w:val="en-US" w:eastAsia="zh-CN"/>
        </w:rPr>
        <w:fldChar w:fldCharType="end"/>
      </w:r>
      <w:bookmarkEnd w:id="4"/>
    </w:p>
    <w:p w14:paraId="75D04483">
      <w:pPr>
        <w:pStyle w:val="63"/>
        <w:bidi w:val="0"/>
        <w:rPr>
          <w:rFonts w:hint="eastAsia"/>
          <w:lang w:val="en-US" w:eastAsia="zh-CN"/>
        </w:rPr>
      </w:pPr>
      <w:r>
        <w:rPr>
          <w:rFonts w:hint="eastAsia"/>
          <w:lang w:val="en-US" w:eastAsia="zh-CN"/>
        </w:rPr>
        <w:fldChar w:fldCharType="begin">
          <w:ffData>
            <w:name w:val="YZBS"/>
            <w:enabled/>
            <w:calcOnExit w:val="0"/>
            <w:textInput>
              <w:default w:val="(点击此处添加与国际标准一致性程度的标识)"/>
            </w:textInput>
          </w:ffData>
        </w:fldChar>
      </w:r>
      <w:bookmarkStart w:id="5" w:name="YZBS"/>
      <w:r>
        <w:rPr>
          <w:rFonts w:hint="eastAsia"/>
          <w:lang w:val="en-US" w:eastAsia="zh-CN"/>
        </w:rPr>
        <w:instrText xml:space="preserve">FORMTEXT</w:instrText>
      </w:r>
      <w:r>
        <w:rPr>
          <w:rFonts w:hint="eastAsia"/>
          <w:lang w:val="en-US" w:eastAsia="zh-CN"/>
        </w:rPr>
        <w:fldChar w:fldCharType="separate"/>
      </w:r>
      <w:r>
        <w:rPr>
          <w:rFonts w:hint="eastAsia"/>
          <w:lang w:val="en-US" w:eastAsia="zh-CN"/>
        </w:rPr>
        <w:t>(点击此处添加与国际标准一致性程度的标识)</w:t>
      </w:r>
      <w:r>
        <w:rPr>
          <w:rFonts w:hint="eastAsia"/>
          <w:lang w:val="en-US" w:eastAsia="zh-CN"/>
        </w:rPr>
        <w:fldChar w:fldCharType="end"/>
      </w:r>
      <w:bookmarkEnd w:id="5"/>
    </w:p>
    <w:p w14:paraId="59629758">
      <w:pPr>
        <w:pStyle w:val="64"/>
        <w:bidi w:val="0"/>
        <w:spacing w:after="0"/>
        <w:rPr>
          <w:rFonts w:hint="eastAsia"/>
          <w:lang w:val="en-US" w:eastAsia="zh-CN"/>
        </w:rPr>
      </w:pPr>
      <w:r>
        <w:rPr>
          <w:rFonts w:hint="eastAsia"/>
          <w:lang w:val="en-US" w:eastAsia="zh-CN"/>
        </w:rPr>
        <w:fldChar w:fldCharType="begin">
          <w:ffData>
            <w:name w:val="LB"/>
            <w:enabled/>
            <w:calcOnExit w:val="0"/>
            <w:ddList>
              <w:result w:val="2"/>
              <w:default w:val="2"/>
              <w:listEntry w:val="     "/>
              <w:listEntry w:val="草案版次选择"/>
              <w:listEntry w:val="（工作组讨论稿）"/>
              <w:listEntry w:val="（征求意见稿）"/>
              <w:listEntry w:val="（送审讨论稿）"/>
              <w:listEntry w:val="（送审稿）"/>
              <w:listEntry w:val="（报批稿）"/>
            </w:ddList>
          </w:ffData>
        </w:fldChar>
      </w:r>
      <w:bookmarkStart w:id="6" w:name="LB"/>
      <w:r>
        <w:rPr>
          <w:rFonts w:hint="eastAsia"/>
          <w:lang w:val="en-US" w:eastAsia="zh-CN"/>
        </w:rPr>
        <w:instrText xml:space="preserve">FORMDROPDOWN</w:instrText>
      </w:r>
      <w:r>
        <w:rPr>
          <w:rFonts w:hint="eastAsia"/>
          <w:lang w:val="en-US" w:eastAsia="zh-CN"/>
        </w:rPr>
        <w:fldChar w:fldCharType="separate"/>
      </w:r>
      <w:r>
        <w:rPr>
          <w:rFonts w:hint="eastAsia"/>
          <w:lang w:val="en-US" w:eastAsia="zh-CN"/>
        </w:rPr>
        <w:fldChar w:fldCharType="end"/>
      </w:r>
      <w:bookmarkEnd w:id="6"/>
    </w:p>
    <w:p w14:paraId="6ED21A16">
      <w:pPr>
        <w:pStyle w:val="65"/>
        <w:bidi w:val="0"/>
        <w:spacing w:before="100"/>
        <w:rPr>
          <w:rFonts w:hint="eastAsia"/>
          <w:lang w:val="en-US" w:eastAsia="zh-CN"/>
        </w:rPr>
      </w:pPr>
      <w:r>
        <w:rPr>
          <w:rFonts w:hint="eastAsia"/>
          <w:lang w:val="en-US" w:eastAsia="zh-CN"/>
        </w:rPr>
        <w:fldChar w:fldCharType="begin">
          <w:ffData>
            <w:name w:val="WCRQ"/>
            <w:enabled/>
            <w:calcOnExit w:val="0"/>
            <w:textInput/>
          </w:ffData>
        </w:fldChar>
      </w:r>
      <w:bookmarkStart w:id="7" w:name="WCRQ"/>
      <w:r>
        <w:rPr>
          <w:rFonts w:hint="eastAsia"/>
          <w:lang w:val="en-US" w:eastAsia="zh-CN"/>
        </w:rPr>
        <w:instrText xml:space="preserve">FORMTEXT</w:instrText>
      </w:r>
      <w:r>
        <w:rPr>
          <w:rFonts w:hint="eastAsia"/>
          <w:lang w:val="en-US" w:eastAsia="zh-CN"/>
        </w:rPr>
        <w:fldChar w:fldCharType="separate"/>
      </w:r>
      <w:r>
        <w:rPr>
          <w:rFonts w:hint="default"/>
          <w:lang w:val="en-US" w:eastAsia="zh-CN"/>
        </w:rPr>
        <w:t>     </w:t>
      </w:r>
      <w:r>
        <w:rPr>
          <w:rFonts w:hint="eastAsia"/>
          <w:lang w:val="en-US" w:eastAsia="zh-CN"/>
        </w:rPr>
        <w:fldChar w:fldCharType="end"/>
      </w:r>
      <w:bookmarkEnd w:id="7"/>
    </w:p>
    <w:p w14:paraId="0F56A44F">
      <w:pPr>
        <w:pStyle w:val="66"/>
        <w:bidi w:val="0"/>
        <w:spacing w:before="0" w:beforeLines="220"/>
        <w:rPr>
          <w:rFonts w:hint="eastAsia"/>
          <w:lang w:val="en-US" w:eastAsia="zh-CN"/>
        </w:rPr>
      </w:pPr>
      <w:r>
        <w:rPr>
          <w:rFonts w:hint="eastAsia"/>
          <w:lang w:val="en-US" w:eastAsia="zh-CN"/>
        </w:rPr>
        <w:fldChar w:fldCharType="begin">
          <w:ffData>
            <w:name w:val="FileSelect"/>
            <w:enabled/>
            <w:calcOnExit w:val="0"/>
            <w:ddList>
              <w:result w:val="1"/>
              <w:default w:val="1"/>
              <w:listEntry w:val="     "/>
              <w:listEntry w:val="在提交反馈意见时，请将您知道的相关专利连同支持性文件一并附上。"/>
            </w:ddList>
          </w:ffData>
        </w:fldChar>
      </w:r>
      <w:bookmarkStart w:id="8" w:name="FileSelect"/>
      <w:r>
        <w:rPr>
          <w:rFonts w:hint="eastAsia"/>
          <w:lang w:val="en-US" w:eastAsia="zh-CN"/>
        </w:rPr>
        <w:instrText xml:space="preserve">FORMDROPDOWN</w:instrText>
      </w:r>
      <w:r>
        <w:rPr>
          <w:rFonts w:hint="eastAsia"/>
          <w:lang w:val="en-US" w:eastAsia="zh-CN"/>
        </w:rPr>
        <w:fldChar w:fldCharType="separate"/>
      </w:r>
      <w:r>
        <w:rPr>
          <w:rFonts w:hint="eastAsia"/>
          <w:lang w:val="en-US" w:eastAsia="zh-CN"/>
        </w:rPr>
        <w:fldChar w:fldCharType="end"/>
      </w:r>
      <w:bookmarkEnd w:id="8"/>
    </w:p>
    <w:tbl>
      <w:tblPr>
        <w:tblStyle w:val="26"/>
        <w:tblW w:w="9741"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4870"/>
        <w:gridCol w:w="4871"/>
      </w:tblGrid>
      <w:tr w14:paraId="1CDF1F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63" w:hRule="exact"/>
        </w:trPr>
        <w:tc>
          <w:tcPr>
            <w:tcW w:w="4944" w:type="dxa"/>
            <w:tcBorders>
              <w:bottom w:val="single" w:color="auto" w:sz="8" w:space="0"/>
            </w:tcBorders>
            <w:tcMar>
              <w:left w:w="57" w:type="dxa"/>
              <w:bottom w:w="28" w:type="dxa"/>
            </w:tcMar>
          </w:tcPr>
          <w:p w14:paraId="215FCB16">
            <w:pPr>
              <w:pStyle w:val="58"/>
              <w:bidi w:val="0"/>
              <w:rPr>
                <w:rFonts w:hint="eastAsia"/>
                <w:vertAlign w:val="baseline"/>
                <w:lang w:val="en-US" w:eastAsia="zh-CN"/>
              </w:rPr>
            </w:pPr>
            <w:r>
              <w:rPr>
                <w:rFonts w:hint="eastAsia"/>
                <w:vertAlign w:val="baseline"/>
                <w:lang w:val="en-US" w:eastAsia="zh-CN"/>
              </w:rPr>
              <w:fldChar w:fldCharType="begin">
                <w:ffData>
                  <w:name w:val="FY"/>
                  <w:enabled/>
                  <w:calcOnExit w:val="0"/>
                  <w:textInput>
                    <w:default w:val="XXXX"/>
                    <w:maxLength w:val="4"/>
                  </w:textInput>
                </w:ffData>
              </w:fldChar>
            </w:r>
            <w:bookmarkStart w:id="9" w:name="FY"/>
            <w:r>
              <w:rPr>
                <w:rFonts w:hint="eastAsia"/>
                <w:vertAlign w:val="baseline"/>
                <w:lang w:val="en-US" w:eastAsia="zh-CN"/>
              </w:rPr>
              <w:instrText xml:space="preserve">FORMTEXT</w:instrText>
            </w:r>
            <w:r>
              <w:rPr>
                <w:rFonts w:hint="eastAsia"/>
                <w:vertAlign w:val="baseline"/>
                <w:lang w:val="en-US" w:eastAsia="zh-CN"/>
              </w:rPr>
              <w:fldChar w:fldCharType="separate"/>
            </w:r>
            <w:r>
              <w:rPr>
                <w:rFonts w:hint="eastAsia"/>
                <w:vertAlign w:val="baseline"/>
                <w:lang w:val="en-US" w:eastAsia="zh-CN"/>
              </w:rPr>
              <w:t>XXXX</w:t>
            </w:r>
            <w:r>
              <w:rPr>
                <w:rFonts w:hint="eastAsia"/>
                <w:vertAlign w:val="baseline"/>
                <w:lang w:val="en-US" w:eastAsia="zh-CN"/>
              </w:rPr>
              <w:fldChar w:fldCharType="end"/>
            </w:r>
            <w:bookmarkEnd w:id="9"/>
            <w:r>
              <w:rPr>
                <w:rFonts w:hint="eastAsia"/>
                <w:vertAlign w:val="baseline"/>
                <w:lang w:val="en-US" w:eastAsia="zh-CN"/>
              </w:rPr>
              <w:t xml:space="preserve"> - </w:t>
            </w:r>
            <w:r>
              <w:rPr>
                <w:rFonts w:hint="eastAsia"/>
                <w:vertAlign w:val="baseline"/>
                <w:lang w:val="en-US" w:eastAsia="zh-CN"/>
              </w:rPr>
              <w:fldChar w:fldCharType="begin">
                <w:ffData>
                  <w:name w:val="FM"/>
                  <w:enabled/>
                  <w:calcOnExit w:val="0"/>
                  <w:textInput>
                    <w:default w:val="XX"/>
                    <w:maxLength w:val="2"/>
                  </w:textInput>
                </w:ffData>
              </w:fldChar>
            </w:r>
            <w:bookmarkStart w:id="10" w:name="FM"/>
            <w:r>
              <w:rPr>
                <w:rFonts w:hint="eastAsia"/>
                <w:vertAlign w:val="baseline"/>
                <w:lang w:val="en-US" w:eastAsia="zh-CN"/>
              </w:rPr>
              <w:instrText xml:space="preserve">FORMTEXT</w:instrText>
            </w:r>
            <w:r>
              <w:rPr>
                <w:rFonts w:hint="eastAsia"/>
                <w:vertAlign w:val="baseline"/>
                <w:lang w:val="en-US" w:eastAsia="zh-CN"/>
              </w:rPr>
              <w:fldChar w:fldCharType="separate"/>
            </w:r>
            <w:r>
              <w:rPr>
                <w:rFonts w:hint="eastAsia"/>
                <w:vertAlign w:val="baseline"/>
                <w:lang w:val="en-US" w:eastAsia="zh-CN"/>
              </w:rPr>
              <w:t>XX</w:t>
            </w:r>
            <w:r>
              <w:rPr>
                <w:rFonts w:hint="eastAsia"/>
                <w:vertAlign w:val="baseline"/>
                <w:lang w:val="en-US" w:eastAsia="zh-CN"/>
              </w:rPr>
              <w:fldChar w:fldCharType="end"/>
            </w:r>
            <w:bookmarkEnd w:id="10"/>
            <w:r>
              <w:rPr>
                <w:rFonts w:hint="eastAsia"/>
                <w:vertAlign w:val="baseline"/>
                <w:lang w:val="en-US" w:eastAsia="zh-CN"/>
              </w:rPr>
              <w:t xml:space="preserve"> - </w:t>
            </w:r>
            <w:r>
              <w:rPr>
                <w:rFonts w:hint="eastAsia"/>
                <w:vertAlign w:val="baseline"/>
                <w:lang w:val="en-US" w:eastAsia="zh-CN"/>
              </w:rPr>
              <w:fldChar w:fldCharType="begin">
                <w:ffData>
                  <w:name w:val="FD"/>
                  <w:enabled/>
                  <w:calcOnExit w:val="0"/>
                  <w:textInput>
                    <w:default w:val="XX"/>
                    <w:maxLength w:val="2"/>
                  </w:textInput>
                </w:ffData>
              </w:fldChar>
            </w:r>
            <w:bookmarkStart w:id="11" w:name="FD"/>
            <w:r>
              <w:rPr>
                <w:rFonts w:hint="eastAsia"/>
                <w:vertAlign w:val="baseline"/>
                <w:lang w:val="en-US" w:eastAsia="zh-CN"/>
              </w:rPr>
              <w:instrText xml:space="preserve">FORMTEXT</w:instrText>
            </w:r>
            <w:r>
              <w:rPr>
                <w:rFonts w:hint="eastAsia"/>
                <w:vertAlign w:val="baseline"/>
                <w:lang w:val="en-US" w:eastAsia="zh-CN"/>
              </w:rPr>
              <w:fldChar w:fldCharType="separate"/>
            </w:r>
            <w:r>
              <w:rPr>
                <w:rFonts w:hint="eastAsia"/>
                <w:vertAlign w:val="baseline"/>
                <w:lang w:val="en-US" w:eastAsia="zh-CN"/>
              </w:rPr>
              <w:t>XX</w:t>
            </w:r>
            <w:r>
              <w:rPr>
                <w:rFonts w:hint="eastAsia"/>
                <w:vertAlign w:val="baseline"/>
                <w:lang w:val="en-US" w:eastAsia="zh-CN"/>
              </w:rPr>
              <w:fldChar w:fldCharType="end"/>
            </w:r>
            <w:bookmarkEnd w:id="11"/>
            <w:r>
              <w:rPr>
                <w:rFonts w:hint="eastAsia"/>
                <w:vertAlign w:val="baseline"/>
                <w:lang w:val="en-US" w:eastAsia="zh-CN"/>
              </w:rPr>
              <w:t xml:space="preserve"> 发布</w:t>
            </w:r>
          </w:p>
        </w:tc>
        <w:tc>
          <w:tcPr>
            <w:tcW w:w="4945" w:type="dxa"/>
            <w:tcBorders>
              <w:bottom w:val="single" w:color="auto" w:sz="8" w:space="0"/>
            </w:tcBorders>
            <w:tcMar>
              <w:right w:w="57" w:type="dxa"/>
            </w:tcMar>
          </w:tcPr>
          <w:p w14:paraId="60F2E0A0">
            <w:pPr>
              <w:pStyle w:val="58"/>
              <w:bidi w:val="0"/>
              <w:jc w:val="right"/>
              <w:rPr>
                <w:rFonts w:hint="eastAsia"/>
                <w:vertAlign w:val="baseline"/>
                <w:lang w:val="en-US" w:eastAsia="zh-CN"/>
              </w:rPr>
            </w:pPr>
            <w:r>
              <w:rPr>
                <w:rFonts w:hint="eastAsia"/>
                <w:vertAlign w:val="baseline"/>
                <w:lang w:val="en-US" w:eastAsia="zh-CN"/>
              </w:rPr>
              <w:fldChar w:fldCharType="begin">
                <w:ffData>
                  <w:name w:val="SY"/>
                  <w:enabled/>
                  <w:calcOnExit w:val="0"/>
                  <w:textInput>
                    <w:default w:val="XXXX"/>
                    <w:maxLength w:val="4"/>
                  </w:textInput>
                </w:ffData>
              </w:fldChar>
            </w:r>
            <w:bookmarkStart w:id="12" w:name="SY"/>
            <w:r>
              <w:rPr>
                <w:rFonts w:hint="eastAsia"/>
                <w:vertAlign w:val="baseline"/>
                <w:lang w:val="en-US" w:eastAsia="zh-CN"/>
              </w:rPr>
              <w:instrText xml:space="preserve">FORMTEXT</w:instrText>
            </w:r>
            <w:r>
              <w:rPr>
                <w:rFonts w:hint="eastAsia"/>
                <w:vertAlign w:val="baseline"/>
                <w:lang w:val="en-US" w:eastAsia="zh-CN"/>
              </w:rPr>
              <w:fldChar w:fldCharType="separate"/>
            </w:r>
            <w:r>
              <w:rPr>
                <w:rFonts w:hint="eastAsia"/>
                <w:vertAlign w:val="baseline"/>
                <w:lang w:val="en-US" w:eastAsia="zh-CN"/>
              </w:rPr>
              <w:t>XXXX</w:t>
            </w:r>
            <w:r>
              <w:rPr>
                <w:rFonts w:hint="eastAsia"/>
                <w:vertAlign w:val="baseline"/>
                <w:lang w:val="en-US" w:eastAsia="zh-CN"/>
              </w:rPr>
              <w:fldChar w:fldCharType="end"/>
            </w:r>
            <w:bookmarkEnd w:id="12"/>
            <w:r>
              <w:rPr>
                <w:rFonts w:hint="eastAsia"/>
                <w:vertAlign w:val="baseline"/>
                <w:lang w:val="en-US" w:eastAsia="zh-CN"/>
              </w:rPr>
              <w:t xml:space="preserve"> - </w:t>
            </w:r>
            <w:r>
              <w:rPr>
                <w:rFonts w:hint="eastAsia"/>
                <w:vertAlign w:val="baseline"/>
                <w:lang w:val="en-US" w:eastAsia="zh-CN"/>
              </w:rPr>
              <w:fldChar w:fldCharType="begin">
                <w:ffData>
                  <w:name w:val="SM"/>
                  <w:enabled/>
                  <w:calcOnExit w:val="0"/>
                  <w:textInput>
                    <w:default w:val="XX"/>
                    <w:maxLength w:val="2"/>
                  </w:textInput>
                </w:ffData>
              </w:fldChar>
            </w:r>
            <w:bookmarkStart w:id="13" w:name="SM"/>
            <w:r>
              <w:rPr>
                <w:rFonts w:hint="eastAsia"/>
                <w:vertAlign w:val="baseline"/>
                <w:lang w:val="en-US" w:eastAsia="zh-CN"/>
              </w:rPr>
              <w:instrText xml:space="preserve">FORMTEXT</w:instrText>
            </w:r>
            <w:r>
              <w:rPr>
                <w:rFonts w:hint="eastAsia"/>
                <w:vertAlign w:val="baseline"/>
                <w:lang w:val="en-US" w:eastAsia="zh-CN"/>
              </w:rPr>
              <w:fldChar w:fldCharType="separate"/>
            </w:r>
            <w:r>
              <w:rPr>
                <w:rFonts w:hint="eastAsia"/>
                <w:vertAlign w:val="baseline"/>
                <w:lang w:val="en-US" w:eastAsia="zh-CN"/>
              </w:rPr>
              <w:t>XX</w:t>
            </w:r>
            <w:r>
              <w:rPr>
                <w:rFonts w:hint="eastAsia"/>
                <w:vertAlign w:val="baseline"/>
                <w:lang w:val="en-US" w:eastAsia="zh-CN"/>
              </w:rPr>
              <w:fldChar w:fldCharType="end"/>
            </w:r>
            <w:bookmarkEnd w:id="13"/>
            <w:r>
              <w:rPr>
                <w:rFonts w:hint="eastAsia"/>
                <w:vertAlign w:val="baseline"/>
                <w:lang w:val="en-US" w:eastAsia="zh-CN"/>
              </w:rPr>
              <w:t xml:space="preserve"> - </w:t>
            </w:r>
            <w:r>
              <w:rPr>
                <w:rFonts w:hint="eastAsia"/>
                <w:vertAlign w:val="baseline"/>
                <w:lang w:val="en-US" w:eastAsia="zh-CN"/>
              </w:rPr>
              <w:fldChar w:fldCharType="begin">
                <w:ffData>
                  <w:name w:val="SD"/>
                  <w:enabled/>
                  <w:calcOnExit w:val="0"/>
                  <w:textInput>
                    <w:default w:val="XX"/>
                    <w:maxLength w:val="2"/>
                  </w:textInput>
                </w:ffData>
              </w:fldChar>
            </w:r>
            <w:bookmarkStart w:id="14" w:name="SD"/>
            <w:r>
              <w:rPr>
                <w:rFonts w:hint="eastAsia"/>
                <w:vertAlign w:val="baseline"/>
                <w:lang w:val="en-US" w:eastAsia="zh-CN"/>
              </w:rPr>
              <w:instrText xml:space="preserve">FORMTEXT</w:instrText>
            </w:r>
            <w:r>
              <w:rPr>
                <w:rFonts w:hint="eastAsia"/>
                <w:vertAlign w:val="baseline"/>
                <w:lang w:val="en-US" w:eastAsia="zh-CN"/>
              </w:rPr>
              <w:fldChar w:fldCharType="separate"/>
            </w:r>
            <w:r>
              <w:rPr>
                <w:rFonts w:hint="eastAsia"/>
                <w:vertAlign w:val="baseline"/>
                <w:lang w:val="en-US" w:eastAsia="zh-CN"/>
              </w:rPr>
              <w:t>XX</w:t>
            </w:r>
            <w:r>
              <w:rPr>
                <w:rFonts w:hint="eastAsia"/>
                <w:vertAlign w:val="baseline"/>
                <w:lang w:val="en-US" w:eastAsia="zh-CN"/>
              </w:rPr>
              <w:fldChar w:fldCharType="end"/>
            </w:r>
            <w:bookmarkEnd w:id="14"/>
            <w:r>
              <w:rPr>
                <w:rFonts w:hint="eastAsia"/>
                <w:vertAlign w:val="baseline"/>
                <w:lang w:val="en-US" w:eastAsia="zh-CN"/>
              </w:rPr>
              <w:t xml:space="preserve"> 实施</w:t>
            </w:r>
          </w:p>
        </w:tc>
      </w:tr>
    </w:tbl>
    <w:p w14:paraId="7D450D15">
      <w:pPr>
        <w:pStyle w:val="68"/>
        <w:bidi w:val="0"/>
        <w:spacing w:before="0"/>
        <w:rPr>
          <w:rFonts w:hint="eastAsia"/>
          <w:spacing w:val="0"/>
          <w:w w:val="100"/>
          <w:sz w:val="28"/>
          <w:lang w:val="en-US" w:eastAsia="zh-CN"/>
        </w:rPr>
      </w:pPr>
      <w:r>
        <w:rPr>
          <w:rFonts w:hint="eastAsia"/>
          <w:lang w:val="en-US" w:eastAsia="zh-CN"/>
        </w:rPr>
        <w:fldChar w:fldCharType="begin">
          <w:ffData>
            <w:name w:val="FM2"/>
            <w:enabled/>
            <w:calcOnExit w:val="0"/>
            <w:textInput/>
          </w:ffData>
        </w:fldChar>
      </w:r>
      <w:bookmarkStart w:id="15" w:name="FM2"/>
      <w:r>
        <w:rPr>
          <w:rFonts w:hint="eastAsia"/>
          <w:lang w:val="en-US" w:eastAsia="zh-CN"/>
        </w:rPr>
        <w:instrText xml:space="preserve">FORMTEXT</w:instrText>
      </w:r>
      <w:r>
        <w:rPr>
          <w:rFonts w:hint="eastAsia"/>
          <w:lang w:val="en-US" w:eastAsia="zh-CN"/>
        </w:rPr>
        <w:fldChar w:fldCharType="separate"/>
      </w:r>
      <w:r>
        <w:rPr>
          <w:rFonts w:hint="default"/>
          <w:lang w:val="en-US" w:eastAsia="zh-CN"/>
        </w:rPr>
        <w:t>     </w:t>
      </w:r>
      <w:r>
        <w:rPr>
          <w:rFonts w:hint="eastAsia"/>
          <w:lang w:val="en-US" w:eastAsia="zh-CN"/>
        </w:rPr>
        <w:fldChar w:fldCharType="end"/>
      </w:r>
      <w:bookmarkEnd w:id="15"/>
      <w:r>
        <w:rPr>
          <w:rFonts w:hint="eastAsia"/>
          <w:sz w:val="28"/>
          <w:lang w:val="en-US" w:eastAsia="zh-CN"/>
        </w:rPr>
        <w:t>  </w:t>
      </w:r>
      <w:r>
        <w:rPr>
          <w:rFonts w:hint="eastAsia"/>
          <w:spacing w:val="85"/>
          <w:w w:val="100"/>
          <w:sz w:val="28"/>
          <w:lang w:val="en-US" w:eastAsia="zh-CN"/>
        </w:rPr>
        <w:t>发</w:t>
      </w:r>
      <w:r>
        <w:rPr>
          <w:rFonts w:hint="eastAsia"/>
          <w:spacing w:val="0"/>
          <w:w w:val="100"/>
          <w:sz w:val="28"/>
          <w:lang w:val="en-US" w:eastAsia="zh-CN"/>
        </w:rPr>
        <w:t>布</w:t>
      </w:r>
    </w:p>
    <w:tbl>
      <w:tblPr>
        <w:tblStyle w:val="26"/>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463"/>
        <w:gridCol w:w="9107"/>
      </w:tblGrid>
      <w:tr w14:paraId="5B422C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463" w:type="dxa"/>
          </w:tcPr>
          <w:p w14:paraId="66DC3483">
            <w:pPr>
              <w:pStyle w:val="72"/>
              <w:framePr w:w="9639" w:wrap="around"/>
              <w:bidi w:val="0"/>
              <w:rPr>
                <w:rFonts w:hint="eastAsia"/>
                <w:vertAlign w:val="baseline"/>
                <w:lang w:val="en-US" w:eastAsia="zh-CN"/>
              </w:rPr>
            </w:pPr>
            <w:r>
              <w:rPr>
                <w:rFonts w:hint="eastAsia"/>
                <w:vertAlign w:val="baseline"/>
                <w:lang w:val="en-US" w:eastAsia="zh-CN"/>
              </w:rPr>
              <w:t>ICS</w:t>
            </w:r>
          </w:p>
        </w:tc>
        <w:tc>
          <w:tcPr>
            <w:tcW w:w="9107" w:type="dxa"/>
          </w:tcPr>
          <w:p w14:paraId="237C2991">
            <w:pPr>
              <w:pStyle w:val="72"/>
              <w:framePr w:w="9639" w:wrap="around"/>
              <w:bidi w:val="0"/>
              <w:rPr>
                <w:rFonts w:hint="eastAsia"/>
                <w:vertAlign w:val="baseline"/>
                <w:lang w:val="en-US" w:eastAsia="zh-CN"/>
              </w:rPr>
            </w:pPr>
            <w:bookmarkStart w:id="16" w:name="ICS"/>
            <w:r>
              <w:rPr>
                <w:rFonts w:hint="eastAsia"/>
                <w:vertAlign w:val="baseline"/>
                <w:lang w:val="en-US" w:eastAsia="zh-CN"/>
              </w:rPr>
              <w:fldChar w:fldCharType="begin">
                <w:ffData>
                  <w:name w:val="ICS"/>
                  <w:enabled/>
                  <w:calcOnExit w:val="0"/>
                  <w:textInput>
                    <w:default w:val="点击此处添加ICS号"/>
                  </w:textInput>
                </w:ffData>
              </w:fldChar>
            </w:r>
            <w:r>
              <w:rPr>
                <w:rFonts w:hint="eastAsia"/>
                <w:vertAlign w:val="baseline"/>
                <w:lang w:val="en-US" w:eastAsia="zh-CN"/>
              </w:rPr>
              <w:instrText xml:space="preserve">FORMTEXT</w:instrText>
            </w:r>
            <w:r>
              <w:rPr>
                <w:rFonts w:hint="eastAsia"/>
                <w:vertAlign w:val="baseline"/>
                <w:lang w:val="en-US" w:eastAsia="zh-CN"/>
              </w:rPr>
              <w:fldChar w:fldCharType="separate"/>
            </w:r>
            <w:r>
              <w:rPr>
                <w:rFonts w:hint="eastAsia"/>
                <w:vertAlign w:val="baseline"/>
                <w:lang w:val="en-US" w:eastAsia="zh-CN"/>
              </w:rPr>
              <w:t>点击此处添加ICS号</w:t>
            </w:r>
            <w:r>
              <w:rPr>
                <w:rFonts w:hint="eastAsia"/>
                <w:vertAlign w:val="baseline"/>
                <w:lang w:val="en-US" w:eastAsia="zh-CN"/>
              </w:rPr>
              <w:fldChar w:fldCharType="end"/>
            </w:r>
            <w:bookmarkEnd w:id="16"/>
          </w:p>
        </w:tc>
      </w:tr>
      <w:tr w14:paraId="15EBE8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463" w:type="dxa"/>
          </w:tcPr>
          <w:p w14:paraId="58A1BD2F">
            <w:pPr>
              <w:pStyle w:val="72"/>
              <w:framePr w:w="9639" w:wrap="around"/>
              <w:bidi w:val="0"/>
              <w:rPr>
                <w:rFonts w:hint="eastAsia"/>
                <w:vertAlign w:val="baseline"/>
                <w:lang w:val="en-US" w:eastAsia="zh-CN"/>
              </w:rPr>
            </w:pPr>
            <w:r>
              <w:rPr>
                <w:rFonts w:hint="eastAsia"/>
                <w:vertAlign w:val="baseline"/>
                <w:lang w:val="en-US" w:eastAsia="zh-CN"/>
              </w:rPr>
              <w:t>CCS</w:t>
            </w:r>
          </w:p>
        </w:tc>
        <w:tc>
          <w:tcPr>
            <w:tcW w:w="9107" w:type="dxa"/>
          </w:tcPr>
          <w:p w14:paraId="37464F7A">
            <w:pPr>
              <w:pStyle w:val="72"/>
              <w:framePr w:w="9639" w:wrap="around"/>
              <w:bidi w:val="0"/>
              <w:rPr>
                <w:rFonts w:hint="eastAsia"/>
                <w:vertAlign w:val="baseline"/>
                <w:lang w:val="en-US" w:eastAsia="zh-CN"/>
              </w:rPr>
            </w:pPr>
            <w:bookmarkStart w:id="17" w:name="CCS"/>
            <w:r>
              <w:rPr>
                <w:rFonts w:hint="eastAsia"/>
                <w:vertAlign w:val="baseline"/>
                <w:lang w:val="en-US" w:eastAsia="zh-CN"/>
              </w:rPr>
              <w:fldChar w:fldCharType="begin">
                <w:ffData>
                  <w:name w:val="CCS"/>
                  <w:enabled/>
                  <w:calcOnExit w:val="0"/>
                  <w:textInput>
                    <w:default w:val="点击此处添加CCS号"/>
                  </w:textInput>
                </w:ffData>
              </w:fldChar>
            </w:r>
            <w:r>
              <w:rPr>
                <w:rFonts w:hint="eastAsia"/>
                <w:vertAlign w:val="baseline"/>
                <w:lang w:val="en-US" w:eastAsia="zh-CN"/>
              </w:rPr>
              <w:instrText xml:space="preserve">FORMTEXT</w:instrText>
            </w:r>
            <w:r>
              <w:rPr>
                <w:rFonts w:hint="eastAsia"/>
                <w:vertAlign w:val="baseline"/>
                <w:lang w:val="en-US" w:eastAsia="zh-CN"/>
              </w:rPr>
              <w:fldChar w:fldCharType="separate"/>
            </w:r>
            <w:r>
              <w:rPr>
                <w:rFonts w:hint="eastAsia"/>
                <w:vertAlign w:val="baseline"/>
                <w:lang w:val="en-US" w:eastAsia="zh-CN"/>
              </w:rPr>
              <w:t>点击此处添加CCS号</w:t>
            </w:r>
            <w:r>
              <w:rPr>
                <w:rFonts w:hint="eastAsia"/>
                <w:vertAlign w:val="baseline"/>
                <w:lang w:val="en-US" w:eastAsia="zh-CN"/>
              </w:rPr>
              <w:fldChar w:fldCharType="end"/>
            </w:r>
            <w:bookmarkEnd w:id="17"/>
          </w:p>
          <w:tbl>
            <w:tblPr>
              <w:tblStyle w:val="26"/>
              <w:tblpPr w:vertAnchor="page" w:horzAnchor="margin" w:tblpXSpec="right" w:tblpY="114"/>
              <w:tblOverlap w:val="never"/>
              <w:tblW w:w="6662"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6662"/>
            </w:tblGrid>
            <w:tr w14:paraId="3CBDC0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9107" w:type="dxa"/>
                  <w:vAlign w:val="center"/>
                </w:tcPr>
                <w:p w14:paraId="63E5DEFA">
                  <w:pPr>
                    <w:pStyle w:val="72"/>
                    <w:framePr w:w="9639" w:wrap="around"/>
                    <w:bidi w:val="0"/>
                    <w:jc w:val="right"/>
                    <w:rPr>
                      <w:rFonts w:hint="eastAsia" w:ascii="Times New Roman" w:hAnsi="Times New Roman" w:eastAsia="宋体" w:cs="Times New Roman"/>
                      <w:b/>
                      <w:w w:val="130"/>
                      <w:kern w:val="0"/>
                      <w:sz w:val="21"/>
                      <w:vertAlign w:val="baseline"/>
                      <w:lang w:val="en-US" w:eastAsia="zh-CN"/>
                    </w:rPr>
                  </w:pPr>
                  <w:r>
                    <w:rPr>
                      <w:rFonts w:hint="eastAsia" w:ascii="Times New Roman" w:hAnsi="Times New Roman" w:eastAsia="宋体" w:cs="Times New Roman"/>
                      <w:b/>
                      <w:w w:val="130"/>
                      <w:kern w:val="0"/>
                      <w:sz w:val="96"/>
                      <w:vertAlign w:val="baseline"/>
                      <w:lang w:val="en-US" w:eastAsia="zh-CN"/>
                    </w:rPr>
                    <w:drawing>
                      <wp:inline distT="0" distB="0" distL="114300" distR="114300">
                        <wp:extent cx="798195" cy="399415"/>
                        <wp:effectExtent l="0" t="0" r="1905" b="635"/>
                        <wp:docPr id="1" name="图片 1" descr="地标"/>
                        <wp:cNvGraphicFramePr/>
                        <a:graphic xmlns:a="http://schemas.openxmlformats.org/drawingml/2006/main">
                          <a:graphicData uri="http://schemas.openxmlformats.org/drawingml/2006/picture">
                            <pic:pic xmlns:pic="http://schemas.openxmlformats.org/drawingml/2006/picture">
                              <pic:nvPicPr>
                                <pic:cNvPr id="1" name="图片 1" descr="地标"/>
                                <pic:cNvPicPr/>
                              </pic:nvPicPr>
                              <pic:blipFill>
                                <a:blip r:embed="rId7"/>
                                <a:stretch>
                                  <a:fillRect/>
                                </a:stretch>
                              </pic:blipFill>
                              <pic:spPr>
                                <a:xfrm>
                                  <a:off x="0" y="0"/>
                                  <a:ext cx="798195" cy="399415"/>
                                </a:xfrm>
                                <a:prstGeom prst="rect">
                                  <a:avLst/>
                                </a:prstGeom>
                              </pic:spPr>
                            </pic:pic>
                          </a:graphicData>
                        </a:graphic>
                      </wp:inline>
                    </w:drawing>
                  </w:r>
                  <w:r>
                    <w:rPr>
                      <w:rFonts w:hint="eastAsia" w:ascii="Times New Roman" w:eastAsia="宋体" w:cs="Times New Roman"/>
                      <w:b/>
                      <w:w w:val="130"/>
                      <w:kern w:val="0"/>
                      <w:sz w:val="21"/>
                      <w:vertAlign w:val="baseline"/>
                      <w:lang w:val="en-US" w:eastAsia="zh-CN"/>
                    </w:rPr>
                    <w:t xml:space="preserve"> </w:t>
                  </w:r>
                  <w:bookmarkStart w:id="18" w:name="DBMark"/>
                  <w:r>
                    <w:rPr>
                      <w:rFonts w:hint="eastAsia" w:ascii="Times New Roman" w:hAnsi="Times New Roman" w:eastAsia="宋体" w:cs="Times New Roman"/>
                      <w:b/>
                      <w:w w:val="130"/>
                      <w:kern w:val="0"/>
                      <w:sz w:val="96"/>
                      <w:vertAlign w:val="baseline"/>
                      <w:lang w:val="en-US" w:eastAsia="zh-CN"/>
                    </w:rPr>
                    <w:fldChar w:fldCharType="begin">
                      <w:ffData>
                        <w:name w:val="DBMark"/>
                        <w:enabled/>
                        <w:calcOnExit w:val="0"/>
                        <w:textInput>
                          <w:default w:val="36"/>
                          <w:maxLength w:val="8"/>
                        </w:textInput>
                      </w:ffData>
                    </w:fldChar>
                  </w:r>
                  <w:r>
                    <w:rPr>
                      <w:rFonts w:hint="eastAsia" w:ascii="Times New Roman" w:hAnsi="Times New Roman" w:eastAsia="宋体" w:cs="Times New Roman"/>
                      <w:b/>
                      <w:w w:val="130"/>
                      <w:kern w:val="0"/>
                      <w:sz w:val="96"/>
                      <w:vertAlign w:val="baseline"/>
                      <w:lang w:val="en-US" w:eastAsia="zh-CN"/>
                    </w:rPr>
                    <w:instrText xml:space="preserve">FORMTEXT</w:instrText>
                  </w:r>
                  <w:r>
                    <w:rPr>
                      <w:rFonts w:hint="eastAsia" w:ascii="Times New Roman" w:hAnsi="Times New Roman" w:eastAsia="宋体" w:cs="Times New Roman"/>
                      <w:b/>
                      <w:w w:val="130"/>
                      <w:kern w:val="0"/>
                      <w:sz w:val="96"/>
                      <w:vertAlign w:val="baseline"/>
                      <w:lang w:val="en-US" w:eastAsia="zh-CN"/>
                    </w:rPr>
                    <w:fldChar w:fldCharType="separate"/>
                  </w:r>
                  <w:r>
                    <w:rPr>
                      <w:rFonts w:hint="eastAsia" w:ascii="Times New Roman" w:hAnsi="Times New Roman" w:eastAsia="宋体" w:cs="Times New Roman"/>
                      <w:b/>
                      <w:w w:val="130"/>
                      <w:kern w:val="0"/>
                      <w:sz w:val="96"/>
                      <w:vertAlign w:val="baseline"/>
                      <w:lang w:val="en-US" w:eastAsia="zh-CN"/>
                    </w:rPr>
                    <w:t>36</w:t>
                  </w:r>
                  <w:r>
                    <w:rPr>
                      <w:rFonts w:hint="eastAsia" w:ascii="Times New Roman" w:hAnsi="Times New Roman" w:eastAsia="宋体" w:cs="Times New Roman"/>
                      <w:b/>
                      <w:w w:val="130"/>
                      <w:kern w:val="0"/>
                      <w:sz w:val="96"/>
                      <w:vertAlign w:val="baseline"/>
                      <w:lang w:val="en-US" w:eastAsia="zh-CN"/>
                    </w:rPr>
                    <w:fldChar w:fldCharType="end"/>
                  </w:r>
                  <w:bookmarkEnd w:id="18"/>
                </w:p>
              </w:tc>
            </w:tr>
          </w:tbl>
          <w:p w14:paraId="31CA7CB1">
            <w:pPr>
              <w:pStyle w:val="72"/>
              <w:framePr w:w="9639" w:wrap="around"/>
              <w:bidi w:val="0"/>
              <w:rPr>
                <w:rFonts w:hint="eastAsia"/>
                <w:vertAlign w:val="baseline"/>
                <w:lang w:val="en-US" w:eastAsia="zh-CN"/>
              </w:rPr>
            </w:pPr>
          </w:p>
        </w:tc>
      </w:tr>
    </w:tbl>
    <w:p w14:paraId="5914C194">
      <w:pPr>
        <w:pStyle w:val="72"/>
        <w:framePr w:w="9639" w:wrap="around"/>
        <w:bidi w:val="0"/>
        <w:rPr>
          <w:rFonts w:hint="eastAsia"/>
          <w:lang w:val="en-US" w:eastAsia="zh-CN"/>
        </w:rPr>
        <w:sectPr>
          <w:pgSz w:w="11906" w:h="16840"/>
          <w:pgMar w:top="-340" w:right="1134" w:bottom="1021" w:left="1134" w:header="0" w:footer="0" w:gutter="284"/>
          <w:lnNumType w:countBy="0" w:restart="continuous"/>
          <w:pgNumType w:fmt="decimal" w:start="1"/>
          <w:cols w:space="720" w:num="1"/>
          <w:titlePg/>
        </w:sectPr>
      </w:pPr>
    </w:p>
    <w:p w14:paraId="3676BE68">
      <w:pPr>
        <w:pStyle w:val="74"/>
        <w:bidi w:val="0"/>
        <w:rPr>
          <w:rFonts w:hint="eastAsia"/>
          <w:lang w:val="en-US" w:eastAsia="zh-CN"/>
        </w:rPr>
      </w:pPr>
      <w:r>
        <w:rPr>
          <w:rFonts w:hint="eastAsia"/>
          <w:spacing w:val="317"/>
          <w:lang w:val="en-US" w:eastAsia="zh-CN"/>
        </w:rPr>
        <w:t>前</w:t>
      </w:r>
      <w:bookmarkStart w:id="19" w:name="BKQY"/>
      <w:r>
        <w:rPr>
          <w:rFonts w:hint="eastAsia"/>
          <w:lang w:val="en-US" w:eastAsia="zh-CN"/>
        </w:rPr>
        <w:t>言</w:t>
      </w:r>
    </w:p>
    <w:p w14:paraId="43192589">
      <w:pPr>
        <w:pStyle w:val="44"/>
        <w:bidi w:val="0"/>
        <w:rPr>
          <w:rFonts w:hint="eastAsia"/>
          <w:lang w:val="en-US" w:eastAsia="zh-CN"/>
        </w:rPr>
      </w:pPr>
      <w:r>
        <w:rPr>
          <w:rFonts w:hint="eastAsia"/>
          <w:lang w:val="en-US" w:eastAsia="zh-CN"/>
        </w:rPr>
        <w:t>本标准按照GB/T 1.1—2020《标准化工作导则  第1部分：标准化文件的结构和起草规则》的规定起草。</w:t>
      </w:r>
    </w:p>
    <w:p w14:paraId="052B5C85">
      <w:pPr>
        <w:pStyle w:val="44"/>
        <w:bidi w:val="0"/>
        <w:rPr>
          <w:rFonts w:hint="eastAsia"/>
          <w:lang w:val="en-US" w:eastAsia="zh-CN"/>
        </w:rPr>
      </w:pPr>
    </w:p>
    <w:p w14:paraId="21B10FDE">
      <w:pPr>
        <w:pStyle w:val="44"/>
        <w:bidi w:val="0"/>
        <w:rPr>
          <w:rFonts w:hint="eastAsia"/>
          <w:lang w:val="en-US" w:eastAsia="zh-CN"/>
        </w:rPr>
      </w:pPr>
    </w:p>
    <w:p w14:paraId="7A47CB86">
      <w:pPr>
        <w:pStyle w:val="44"/>
        <w:bidi w:val="0"/>
        <w:rPr>
          <w:rFonts w:hint="eastAsia"/>
          <w:lang w:val="en-US" w:eastAsia="zh-CN"/>
        </w:rPr>
      </w:pPr>
      <w:r>
        <w:rPr>
          <w:rFonts w:hint="eastAsia"/>
          <w:lang w:val="en-US" w:eastAsia="zh-CN"/>
        </w:rPr>
        <w:t>请注意本标准的某些内容可能涉及专利。本标准的发布机构不承担识别专利的责任。</w:t>
      </w:r>
    </w:p>
    <w:p w14:paraId="34AFD01D">
      <w:pPr>
        <w:pStyle w:val="44"/>
        <w:bidi w:val="0"/>
        <w:rPr>
          <w:rFonts w:hint="eastAsia"/>
          <w:lang w:val="en-US" w:eastAsia="zh-CN"/>
        </w:rPr>
      </w:pPr>
      <w:r>
        <w:rPr>
          <w:rFonts w:hint="eastAsia"/>
          <w:lang w:val="en-US" w:eastAsia="zh-CN"/>
        </w:rPr>
        <w:t>本标准由中共江西省委政法委员会提出并归口。</w:t>
      </w:r>
    </w:p>
    <w:p w14:paraId="18222392">
      <w:pPr>
        <w:pStyle w:val="44"/>
        <w:bidi w:val="0"/>
        <w:rPr>
          <w:rFonts w:hint="eastAsia"/>
          <w:lang w:val="en-US" w:eastAsia="zh-CN"/>
        </w:rPr>
      </w:pPr>
      <w:r>
        <w:rPr>
          <w:rFonts w:hint="eastAsia"/>
          <w:lang w:val="en-US" w:eastAsia="zh-CN"/>
        </w:rPr>
        <w:t>本标准起草单位：江西财经大学、中共江西省委政法委员会。</w:t>
      </w:r>
    </w:p>
    <w:p w14:paraId="01A4ED64">
      <w:pPr>
        <w:pStyle w:val="44"/>
        <w:bidi w:val="0"/>
        <w:rPr>
          <w:rFonts w:hint="eastAsia"/>
          <w:lang w:val="en-US" w:eastAsia="zh-CN"/>
        </w:rPr>
      </w:pPr>
      <w:r>
        <w:rPr>
          <w:rFonts w:hint="eastAsia"/>
          <w:lang w:val="en-US" w:eastAsia="zh-CN"/>
        </w:rPr>
        <w:t>本标准主要起草人：杨道田、黄文辉、彭霖、毛剑、张朝根、段奉刚、叶勇明、舒志雄、郭萍、张仲芳、肖飞、黄继军、张春发。</w:t>
      </w:r>
    </w:p>
    <w:p w14:paraId="1286ECCD">
      <w:pPr>
        <w:pStyle w:val="44"/>
        <w:bidi w:val="0"/>
        <w:rPr>
          <w:rFonts w:hint="eastAsia"/>
          <w:lang w:val="en-US" w:eastAsia="zh-CN"/>
        </w:rPr>
      </w:pPr>
    </w:p>
    <w:bookmarkEnd w:id="19"/>
    <w:p w14:paraId="1105FBF5">
      <w:pPr>
        <w:rPr>
          <w:rFonts w:hint="eastAsia"/>
          <w:lang w:val="en-US" w:eastAsia="zh-CN"/>
        </w:rPr>
      </w:pPr>
    </w:p>
    <w:p w14:paraId="4074E6A2">
      <w:pPr>
        <w:rPr>
          <w:rFonts w:hint="eastAsia"/>
          <w:lang w:val="en-US" w:eastAsia="zh-CN"/>
        </w:rPr>
      </w:pPr>
    </w:p>
    <w:p w14:paraId="452ABC7B">
      <w:pPr>
        <w:rPr>
          <w:rFonts w:hint="eastAsia"/>
          <w:lang w:val="en-US" w:eastAsia="zh-CN"/>
        </w:rPr>
        <w:sectPr>
          <w:headerReference r:id="rId3" w:type="default"/>
          <w:footerReference r:id="rId4" w:type="default"/>
          <w:pgSz w:w="11906" w:h="16840"/>
          <w:pgMar w:top="2410" w:right="1134" w:bottom="1134" w:left="1134" w:header="1418" w:footer="1134" w:gutter="284"/>
          <w:lnNumType w:countBy="0" w:restart="continuous"/>
          <w:pgNumType w:fmt="upperRoman" w:start="1"/>
          <w:cols w:space="720" w:num="1"/>
        </w:sectPr>
      </w:pPr>
    </w:p>
    <w:sdt>
      <w:sdtPr>
        <w:rPr>
          <w:rStyle w:val="139"/>
          <w:rFonts w:hint="eastAsia"/>
          <w:lang w:val="en-US" w:eastAsia="zh-CN"/>
        </w:rPr>
        <w:tag w:val="StandardName"/>
        <w:id w:val="147455882"/>
        <w:lock w:val="sdtLocked"/>
        <w:placeholder>
          <w:docPart w:val="{d4996252-4ce1-4e5b-af26-82856b86ec70}"/>
        </w:placeholder>
      </w:sdtPr>
      <w:sdtEndPr>
        <w:rPr>
          <w:rStyle w:val="139"/>
          <w:rFonts w:hint="eastAsia"/>
          <w:lang w:val="en-US" w:eastAsia="zh-CN"/>
        </w:rPr>
      </w:sdtEndPr>
      <w:sdtContent>
        <w:p w14:paraId="5288BDDE">
          <w:pPr>
            <w:pStyle w:val="75"/>
            <w:bidi w:val="0"/>
            <w:rPr>
              <w:rStyle w:val="139"/>
              <w:rFonts w:hint="eastAsia"/>
              <w:lang w:val="en-US" w:eastAsia="zh-CN"/>
            </w:rPr>
          </w:pPr>
          <w:bookmarkStart w:id="20" w:name="StandardName"/>
          <w:r>
            <w:rPr>
              <w:rStyle w:val="139"/>
              <w:rFonts w:hint="eastAsia"/>
              <w:lang w:val="en-US" w:eastAsia="zh-CN"/>
            </w:rPr>
            <w:t>重大决策社会稳定风险评估工作规范</w:t>
          </w:r>
          <w:bookmarkEnd w:id="20"/>
        </w:p>
      </w:sdtContent>
    </w:sdt>
    <w:p w14:paraId="402BC7FB">
      <w:pPr>
        <w:pStyle w:val="91"/>
        <w:numPr>
          <w:ilvl w:val="0"/>
          <w:numId w:val="0"/>
        </w:numPr>
        <w:bidi w:val="0"/>
        <w:ind w:left="0" w:leftChars="0" w:firstLine="0" w:firstLineChars="0"/>
        <w:rPr>
          <w:rStyle w:val="139"/>
          <w:rFonts w:hint="eastAsia"/>
          <w:lang w:val="en-US" w:eastAsia="zh-CN"/>
        </w:rPr>
      </w:pPr>
      <w:r>
        <w:rPr>
          <w:rFonts w:hint="default" w:ascii="黑体" w:hAnsi="黑体" w:eastAsia="黑体" w:cs="黑体"/>
          <w:sz w:val="20"/>
          <w:lang w:val="en-US" w:eastAsia="zh-CN"/>
        </w:rPr>
        <w:t>1　</w:t>
      </w:r>
      <w:r>
        <w:rPr>
          <w:rFonts w:hint="eastAsia"/>
          <w:lang w:val="en-US" w:eastAsia="zh-CN"/>
        </w:rPr>
        <w:t>范围</w:t>
      </w:r>
    </w:p>
    <w:p w14:paraId="7ED30408">
      <w:pPr>
        <w:pStyle w:val="44"/>
        <w:bidi w:val="0"/>
        <w:rPr>
          <w:rFonts w:hint="eastAsia"/>
        </w:rPr>
      </w:pPr>
      <w:r>
        <w:rPr>
          <w:rFonts w:hint="eastAsia"/>
        </w:rPr>
        <w:t>本标准界定了重大决策社会稳定风险评估的定义，确立了重大决策社会稳定风险评估的总体原则，规定了重大决策评估范围、评估方式、评估程序、评估指标、评估方法、结果应用等内容。</w:t>
      </w:r>
    </w:p>
    <w:p w14:paraId="1967DA07">
      <w:pPr>
        <w:pStyle w:val="91"/>
        <w:numPr>
          <w:ilvl w:val="0"/>
          <w:numId w:val="0"/>
        </w:numPr>
        <w:bidi w:val="0"/>
        <w:ind w:left="0" w:leftChars="0" w:firstLine="0" w:firstLineChars="0"/>
        <w:rPr>
          <w:rFonts w:hint="eastAsia" w:eastAsia="宋体" w:asciiTheme="minorEastAsia" w:hAnsiTheme="minorEastAsia" w:cstheme="minorEastAsia"/>
          <w:color w:val="000000" w:themeColor="text1"/>
          <w:szCs w:val="30"/>
          <w:lang w:eastAsia="zh-CN"/>
          <w14:textFill>
            <w14:solidFill>
              <w14:schemeClr w14:val="tx1"/>
            </w14:solidFill>
          </w14:textFill>
        </w:rPr>
      </w:pPr>
      <w:r>
        <w:rPr>
          <w:rFonts w:hint="default" w:ascii="黑体" w:hAnsi="黑体" w:eastAsia="黑体" w:cs="黑体"/>
          <w:color w:val="000000" w:themeColor="text1"/>
          <w:sz w:val="20"/>
          <w:szCs w:val="30"/>
          <w:lang w:eastAsia="zh-CN"/>
          <w14:textFill>
            <w14:solidFill>
              <w14:schemeClr w14:val="tx1"/>
            </w14:solidFill>
          </w14:textFill>
        </w:rPr>
        <w:t>2　</w:t>
      </w:r>
      <w:r>
        <w:rPr>
          <w:rFonts w:hint="eastAsia"/>
          <w:lang w:eastAsia="zh-CN"/>
        </w:rPr>
        <w:t>规范性引用文件</w:t>
      </w:r>
    </w:p>
    <w:sdt>
      <w:sdtPr>
        <w:rPr>
          <w:rFonts w:hint="eastAsia" w:ascii="宋体" w:hAnsi="Times New Roman" w:eastAsia="宋体" w:cs="宋体"/>
          <w:sz w:val="21"/>
          <w:lang w:eastAsia="zh-CN"/>
        </w:rPr>
        <w:tag w:val="StandNameFile"/>
        <w:id w:val="147474187"/>
        <w:placeholder>
          <w:docPart w:val="{83f8d296-a56b-4109-a557-0e35abfa8959}"/>
        </w:placeholder>
        <w:comboBox>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comboBox>
      </w:sdtPr>
      <w:sdtEndPr>
        <w:rPr>
          <w:rFonts w:hint="eastAsia" w:ascii="宋体" w:hAnsi="Times New Roman" w:eastAsia="宋体" w:cs="宋体"/>
          <w:sz w:val="21"/>
          <w:lang w:eastAsia="zh-CN"/>
        </w:rPr>
      </w:sdtEndPr>
      <w:sdtContent>
        <w:p w14:paraId="06B156D1">
          <w:pPr>
            <w:bidi w:val="0"/>
            <w:ind w:firstLine="420" w:firstLineChars="200"/>
            <w:jc w:val="both"/>
            <w:rPr>
              <w:rFonts w:hint="eastAsia" w:ascii="宋体" w:hAnsi="Times New Roman" w:eastAsia="宋体" w:cs="宋体"/>
              <w:sz w:val="21"/>
              <w:lang w:eastAsia="zh-CN"/>
            </w:rPr>
          </w:pPr>
          <w:r>
            <w:rPr>
              <w:rFonts w:hint="eastAsia" w:ascii="宋体" w:hAnsi="Times New Roman" w:eastAsia="宋体" w:cs="宋体"/>
              <w:sz w:val="21"/>
              <w:lang w:eastAsia="zh-CN"/>
            </w:rPr>
            <w:t>本文件没有规范性引用文件。</w:t>
          </w:r>
        </w:p>
      </w:sdtContent>
    </w:sdt>
    <w:p w14:paraId="5A568A18">
      <w:pPr>
        <w:pStyle w:val="91"/>
        <w:numPr>
          <w:ilvl w:val="0"/>
          <w:numId w:val="0"/>
        </w:numPr>
        <w:bidi w:val="0"/>
        <w:ind w:left="0" w:leftChars="0" w:firstLine="0" w:firstLineChars="0"/>
        <w:rPr>
          <w:rFonts w:hint="eastAsia" w:ascii="宋体" w:hAnsi="Times New Roman" w:eastAsia="宋体" w:cs="宋体"/>
          <w:lang w:eastAsia="zh-CN"/>
        </w:rPr>
      </w:pPr>
      <w:r>
        <w:rPr>
          <w:rFonts w:hint="default" w:ascii="黑体" w:hAnsi="黑体" w:eastAsia="黑体" w:cs="黑体"/>
          <w:sz w:val="20"/>
          <w:lang w:eastAsia="zh-CN"/>
        </w:rPr>
        <w:t>3　</w:t>
      </w:r>
      <w:r>
        <w:rPr>
          <w:rFonts w:hint="eastAsia"/>
          <w:lang w:eastAsia="zh-CN"/>
        </w:rPr>
        <w:t>术语和定义</w:t>
      </w:r>
    </w:p>
    <w:sdt>
      <w:sdtPr>
        <w:rPr>
          <w:rFonts w:hint="eastAsia" w:ascii="宋体" w:hAnsi="Times New Roman" w:eastAsia="宋体" w:cs="宋体"/>
          <w:sz w:val="21"/>
          <w:lang w:eastAsia="zh-CN"/>
        </w:rPr>
        <w:tag w:val="TermContent"/>
        <w:id w:val="147452889"/>
        <w:placeholder>
          <w:docPart w:val="{4507e718-7468-4a50-97de-ff86308922d4}"/>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rPr>
          <w:rFonts w:hint="eastAsia" w:ascii="宋体" w:hAnsi="Times New Roman" w:eastAsia="宋体" w:cs="宋体"/>
          <w:sz w:val="21"/>
          <w:lang w:eastAsia="zh-CN"/>
        </w:rPr>
      </w:sdtEndPr>
      <w:sdtContent>
        <w:p w14:paraId="160148E5">
          <w:pPr>
            <w:ind w:firstLine="420" w:firstLineChars="200"/>
            <w:jc w:val="both"/>
            <w:rPr>
              <w:rFonts w:hint="eastAsia" w:ascii="宋体" w:hAnsi="Times New Roman" w:eastAsia="宋体" w:cs="宋体"/>
              <w:sz w:val="21"/>
              <w:lang w:eastAsia="zh-CN"/>
            </w:rPr>
          </w:pPr>
          <w:r>
            <w:rPr>
              <w:rFonts w:hint="eastAsia" w:ascii="宋体" w:hAnsi="Times New Roman" w:eastAsia="宋体" w:cs="宋体"/>
              <w:sz w:val="21"/>
              <w:lang w:eastAsia="zh-CN"/>
            </w:rPr>
            <w:t>下列术语和定义适用于本文件。</w:t>
          </w:r>
        </w:p>
      </w:sdtContent>
    </w:sdt>
    <w:p w14:paraId="6DD12FE4">
      <w:pPr>
        <w:pStyle w:val="92"/>
        <w:numPr>
          <w:ilvl w:val="1"/>
          <w:numId w:val="0"/>
        </w:numPr>
        <w:bidi w:val="0"/>
        <w:ind w:left="0" w:leftChars="0" w:firstLine="0" w:firstLineChars="0"/>
      </w:pPr>
      <w:bookmarkStart w:id="21" w:name="_Toc177670734"/>
      <w:r>
        <w:rPr>
          <w:rFonts w:hint="default" w:ascii="黑体" w:hAnsi="黑体" w:eastAsia="黑体" w:cs="黑体"/>
          <w:sz w:val="20"/>
        </w:rPr>
        <w:t>3.1　</w:t>
      </w:r>
    </w:p>
    <w:p w14:paraId="0BF9CA9C">
      <w:pPr>
        <w:pStyle w:val="92"/>
        <w:numPr>
          <w:ilvl w:val="1"/>
          <w:numId w:val="0"/>
        </w:numPr>
        <w:bidi w:val="0"/>
        <w:ind w:leftChars="0" w:firstLine="420" w:firstLineChars="200"/>
      </w:pPr>
      <w:r>
        <w:rPr>
          <w:rFonts w:hint="eastAsia"/>
        </w:rPr>
        <w:t>重大决策</w:t>
      </w:r>
      <w:bookmarkEnd w:id="21"/>
      <w:r>
        <w:rPr>
          <w:rFonts w:hint="eastAsia"/>
        </w:rPr>
        <w:t xml:space="preserve"> </w:t>
      </w:r>
    </w:p>
    <w:p w14:paraId="510FDB17">
      <w:pPr>
        <w:pStyle w:val="44"/>
        <w:bidi w:val="0"/>
        <w:rPr>
          <w:rFonts w:hint="eastAsia"/>
        </w:rPr>
      </w:pPr>
      <w:r>
        <w:rPr>
          <w:rFonts w:hint="eastAsia"/>
        </w:rPr>
        <w:t>直接关系人民群众切身利益，且对社会稳定、公共安全等方面可能造成较大社会影响的重大事项，包括重大政策制定或调整、重大改革改制举措出台、重大项目建设和重大活动安排等。</w:t>
      </w:r>
      <w:bookmarkStart w:id="22" w:name="_Toc177670735"/>
    </w:p>
    <w:p w14:paraId="7CA56673">
      <w:pPr>
        <w:pStyle w:val="92"/>
        <w:numPr>
          <w:ilvl w:val="1"/>
          <w:numId w:val="0"/>
        </w:numPr>
        <w:bidi w:val="0"/>
        <w:ind w:left="0" w:leftChars="0" w:firstLine="0" w:firstLineChars="0"/>
      </w:pPr>
      <w:r>
        <w:rPr>
          <w:rFonts w:hint="default" w:ascii="黑体" w:hAnsi="黑体" w:eastAsia="黑体" w:cs="黑体"/>
          <w:sz w:val="20"/>
        </w:rPr>
        <w:t>3.2　</w:t>
      </w:r>
    </w:p>
    <w:p w14:paraId="38AAEA92">
      <w:pPr>
        <w:pStyle w:val="92"/>
        <w:numPr>
          <w:ilvl w:val="1"/>
          <w:numId w:val="0"/>
        </w:numPr>
        <w:bidi w:val="0"/>
        <w:ind w:leftChars="0" w:firstLine="420" w:firstLineChars="200"/>
      </w:pPr>
      <w:r>
        <w:rPr>
          <w:rFonts w:hint="eastAsia"/>
        </w:rPr>
        <w:t>重大决策社会稳定风险评估</w:t>
      </w:r>
      <w:bookmarkEnd w:id="22"/>
    </w:p>
    <w:p w14:paraId="0A56F264">
      <w:pPr>
        <w:pStyle w:val="44"/>
        <w:bidi w:val="0"/>
      </w:pPr>
      <w:r>
        <w:rPr>
          <w:rFonts w:hint="eastAsia"/>
        </w:rPr>
        <w:t>重大决策事项在制定出台、审核审批前，对可能影响社会稳定和公共安全的风险因素开展系统调查，科学预测、分析和评判风险因素发生的概率、影响程度和风险等级，制定并落实风险防范化解措施，从源头上规避、预防和控制可能产生的社会稳定风险。</w:t>
      </w:r>
    </w:p>
    <w:p w14:paraId="3F75283A">
      <w:pPr>
        <w:pStyle w:val="126"/>
        <w:bidi w:val="0"/>
        <w:ind w:left="811" w:leftChars="0" w:hanging="448" w:firstLineChars="0"/>
      </w:pPr>
      <w:r>
        <w:rPr>
          <w:rFonts w:hint="eastAsia"/>
        </w:rPr>
        <w:t>注：在不引起混淆的情况下，本标准中的“重大决策社会稳定风险评估”简称“稳评”。</w:t>
      </w:r>
    </w:p>
    <w:p w14:paraId="3DFC0E92">
      <w:pPr>
        <w:pStyle w:val="92"/>
        <w:numPr>
          <w:ilvl w:val="1"/>
          <w:numId w:val="0"/>
        </w:numPr>
        <w:bidi w:val="0"/>
        <w:ind w:left="0" w:leftChars="0" w:firstLine="0" w:firstLineChars="0"/>
      </w:pPr>
      <w:bookmarkStart w:id="23" w:name="_Toc177670736"/>
      <w:r>
        <w:rPr>
          <w:rFonts w:hint="default" w:ascii="黑体" w:hAnsi="黑体" w:eastAsia="黑体" w:cs="黑体"/>
          <w:sz w:val="20"/>
        </w:rPr>
        <w:t>3.3　</w:t>
      </w:r>
    </w:p>
    <w:p w14:paraId="4C300313">
      <w:pPr>
        <w:pStyle w:val="92"/>
        <w:numPr>
          <w:ilvl w:val="1"/>
          <w:numId w:val="0"/>
        </w:numPr>
        <w:bidi w:val="0"/>
        <w:ind w:leftChars="0" w:firstLine="420" w:firstLineChars="200"/>
      </w:pPr>
      <w:r>
        <w:rPr>
          <w:rFonts w:hint="eastAsia"/>
        </w:rPr>
        <w:t>决策主体</w:t>
      </w:r>
      <w:bookmarkEnd w:id="23"/>
      <w:r>
        <w:rPr>
          <w:rFonts w:hint="eastAsia"/>
        </w:rPr>
        <w:t xml:space="preserve"> </w:t>
      </w:r>
    </w:p>
    <w:p w14:paraId="2426C7C4">
      <w:pPr>
        <w:pStyle w:val="44"/>
        <w:bidi w:val="0"/>
      </w:pPr>
      <w:r>
        <w:rPr>
          <w:rFonts w:hint="eastAsia"/>
          <w:lang w:eastAsia="zh-CN"/>
        </w:rPr>
        <w:t>依法对</w:t>
      </w:r>
      <w:r>
        <w:rPr>
          <w:rFonts w:hint="eastAsia"/>
        </w:rPr>
        <w:t>重大决策</w:t>
      </w:r>
      <w:r>
        <w:rPr>
          <w:rFonts w:hint="eastAsia"/>
          <w:lang w:eastAsia="zh-CN"/>
        </w:rPr>
        <w:t>事项是否实施进行审批、核准或者备案</w:t>
      </w:r>
      <w:r>
        <w:rPr>
          <w:rFonts w:hint="eastAsia"/>
        </w:rPr>
        <w:t>的党政机关、企事业单位和社会团体。</w:t>
      </w:r>
    </w:p>
    <w:p w14:paraId="21F7F60C">
      <w:pPr>
        <w:pStyle w:val="92"/>
        <w:numPr>
          <w:ilvl w:val="1"/>
          <w:numId w:val="0"/>
        </w:numPr>
        <w:bidi w:val="0"/>
        <w:ind w:left="0" w:leftChars="0" w:firstLine="0" w:firstLineChars="0"/>
      </w:pPr>
      <w:bookmarkStart w:id="24" w:name="_Toc177670737"/>
      <w:r>
        <w:rPr>
          <w:rFonts w:hint="default" w:ascii="黑体" w:hAnsi="黑体" w:eastAsia="黑体" w:cs="黑体"/>
          <w:sz w:val="20"/>
        </w:rPr>
        <w:t>3.4　</w:t>
      </w:r>
    </w:p>
    <w:p w14:paraId="5B5A272B">
      <w:pPr>
        <w:pStyle w:val="92"/>
        <w:numPr>
          <w:ilvl w:val="1"/>
          <w:numId w:val="0"/>
        </w:numPr>
        <w:bidi w:val="0"/>
        <w:ind w:leftChars="0" w:firstLine="420" w:firstLineChars="200"/>
      </w:pPr>
      <w:r>
        <w:rPr>
          <w:rFonts w:hint="eastAsia"/>
        </w:rPr>
        <w:t>评估主体</w:t>
      </w:r>
      <w:bookmarkEnd w:id="24"/>
      <w:r>
        <w:rPr>
          <w:rFonts w:hint="eastAsia"/>
        </w:rPr>
        <w:t xml:space="preserve"> </w:t>
      </w:r>
    </w:p>
    <w:p w14:paraId="413DB683">
      <w:pPr>
        <w:pStyle w:val="44"/>
        <w:bidi w:val="0"/>
      </w:pPr>
      <w:r>
        <w:rPr>
          <w:rFonts w:hint="eastAsia"/>
        </w:rPr>
        <w:t>按照“属地管理、分级负责，谁决策谁负责、谁主管谁负责”原则确定，承担重大决策事项社会稳定风险评估组织实施工作，并对评估过程和评估结果负责的党政机关、企事业单位和社会团体。</w:t>
      </w:r>
    </w:p>
    <w:p w14:paraId="6E678F6A">
      <w:pPr>
        <w:pStyle w:val="92"/>
        <w:numPr>
          <w:ilvl w:val="1"/>
          <w:numId w:val="0"/>
        </w:numPr>
        <w:bidi w:val="0"/>
        <w:ind w:left="0" w:leftChars="0" w:firstLine="0" w:firstLineChars="0"/>
      </w:pPr>
      <w:bookmarkStart w:id="25" w:name="_Toc177670738"/>
      <w:r>
        <w:rPr>
          <w:rFonts w:hint="default" w:ascii="黑体" w:hAnsi="黑体" w:eastAsia="黑体" w:cs="黑体"/>
          <w:sz w:val="20"/>
        </w:rPr>
        <w:t>3.5　</w:t>
      </w:r>
    </w:p>
    <w:p w14:paraId="1098D070">
      <w:pPr>
        <w:pStyle w:val="92"/>
        <w:numPr>
          <w:ilvl w:val="1"/>
          <w:numId w:val="0"/>
        </w:numPr>
        <w:bidi w:val="0"/>
        <w:ind w:leftChars="0" w:firstLine="420" w:firstLineChars="200"/>
      </w:pPr>
      <w:r>
        <w:rPr>
          <w:rFonts w:hint="eastAsia"/>
        </w:rPr>
        <w:t>风险防控主体</w:t>
      </w:r>
      <w:bookmarkEnd w:id="25"/>
      <w:r>
        <w:rPr>
          <w:rFonts w:hint="eastAsia"/>
        </w:rPr>
        <w:t xml:space="preserve"> </w:t>
      </w:r>
    </w:p>
    <w:p w14:paraId="2144D368">
      <w:pPr>
        <w:pStyle w:val="44"/>
        <w:bidi w:val="0"/>
      </w:pPr>
      <w:r>
        <w:rPr>
          <w:rFonts w:hint="eastAsia"/>
        </w:rPr>
        <w:t>负责重大决策事项社会稳定风险防控工作的组织、协调、实施的党政机关、企事业单位和社会团体。</w:t>
      </w:r>
    </w:p>
    <w:p w14:paraId="2A7AF3D9">
      <w:pPr>
        <w:pStyle w:val="92"/>
        <w:numPr>
          <w:ilvl w:val="1"/>
          <w:numId w:val="0"/>
        </w:numPr>
        <w:bidi w:val="0"/>
        <w:ind w:left="0" w:leftChars="0" w:firstLine="0" w:firstLineChars="0"/>
      </w:pPr>
      <w:bookmarkStart w:id="26" w:name="_Toc177670739"/>
      <w:r>
        <w:rPr>
          <w:rFonts w:hint="default" w:ascii="黑体" w:hAnsi="黑体" w:eastAsia="黑体" w:cs="黑体"/>
          <w:sz w:val="20"/>
        </w:rPr>
        <w:t>3.6　</w:t>
      </w:r>
    </w:p>
    <w:p w14:paraId="7E926983">
      <w:pPr>
        <w:pStyle w:val="92"/>
        <w:numPr>
          <w:ilvl w:val="1"/>
          <w:numId w:val="0"/>
        </w:numPr>
        <w:bidi w:val="0"/>
        <w:ind w:leftChars="0" w:firstLine="420" w:firstLineChars="200"/>
      </w:pPr>
      <w:r>
        <w:rPr>
          <w:rFonts w:hint="eastAsia"/>
        </w:rPr>
        <w:t>第三方评估机构</w:t>
      </w:r>
      <w:bookmarkEnd w:id="26"/>
      <w:r>
        <w:rPr>
          <w:rFonts w:hint="eastAsia"/>
        </w:rPr>
        <w:t xml:space="preserve"> </w:t>
      </w:r>
    </w:p>
    <w:p w14:paraId="55E384E3">
      <w:pPr>
        <w:pStyle w:val="44"/>
        <w:bidi w:val="0"/>
      </w:pPr>
      <w:r>
        <w:t>独立承担民事责任，</w:t>
      </w:r>
      <w:r>
        <w:rPr>
          <w:rFonts w:hint="eastAsia"/>
        </w:rPr>
        <w:t>经</w:t>
      </w:r>
      <w:r>
        <w:t>市场监督管理部门或其他法定登记管理机关登记注册</w:t>
      </w:r>
      <w:r>
        <w:rPr>
          <w:rFonts w:hint="eastAsia"/>
        </w:rPr>
        <w:t>，</w:t>
      </w:r>
      <w:r>
        <w:t>经营或研究范围包含重大决策社会稳定风险评估</w:t>
      </w:r>
      <w:r>
        <w:rPr>
          <w:rFonts w:hint="eastAsia"/>
        </w:rPr>
        <w:t>，并在党委政法委备案</w:t>
      </w:r>
      <w:r>
        <w:t>的专业机构、社会组织或企事业单位。</w:t>
      </w:r>
    </w:p>
    <w:p w14:paraId="41B665FF">
      <w:pPr>
        <w:pStyle w:val="92"/>
        <w:numPr>
          <w:ilvl w:val="1"/>
          <w:numId w:val="0"/>
        </w:numPr>
        <w:bidi w:val="0"/>
        <w:ind w:left="0" w:leftChars="0" w:firstLine="0" w:firstLineChars="0"/>
      </w:pPr>
      <w:bookmarkStart w:id="27" w:name="_Toc177670740"/>
      <w:r>
        <w:rPr>
          <w:rFonts w:hint="default" w:ascii="黑体" w:hAnsi="黑体" w:eastAsia="黑体" w:cs="黑体"/>
          <w:sz w:val="20"/>
        </w:rPr>
        <w:t>3.7　</w:t>
      </w:r>
    </w:p>
    <w:p w14:paraId="704C33E2">
      <w:pPr>
        <w:pStyle w:val="92"/>
        <w:numPr>
          <w:ilvl w:val="1"/>
          <w:numId w:val="0"/>
        </w:numPr>
        <w:bidi w:val="0"/>
        <w:ind w:leftChars="0" w:firstLine="420" w:firstLineChars="200"/>
      </w:pPr>
      <w:r>
        <w:rPr>
          <w:rFonts w:hint="eastAsia"/>
        </w:rPr>
        <w:t>评审专家</w:t>
      </w:r>
      <w:bookmarkEnd w:id="27"/>
      <w:r>
        <w:rPr>
          <w:rFonts w:hint="eastAsia"/>
        </w:rPr>
        <w:t xml:space="preserve"> </w:t>
      </w:r>
    </w:p>
    <w:p w14:paraId="0D41E277">
      <w:pPr>
        <w:pStyle w:val="44"/>
        <w:bidi w:val="0"/>
      </w:pPr>
      <w:r>
        <w:rPr>
          <w:rFonts w:hint="eastAsia"/>
        </w:rPr>
        <w:t>纳入“江西省重大决策社会稳定风险评估专家库成员名单”管理、以独立身份参加重大决策事项社会稳定风险评估分析论证、报告评审的人员。</w:t>
      </w:r>
    </w:p>
    <w:p w14:paraId="57626DC8">
      <w:pPr>
        <w:pStyle w:val="92"/>
        <w:numPr>
          <w:ilvl w:val="1"/>
          <w:numId w:val="0"/>
        </w:numPr>
        <w:bidi w:val="0"/>
        <w:ind w:left="0" w:leftChars="0" w:firstLine="0" w:firstLineChars="0"/>
      </w:pPr>
      <w:bookmarkStart w:id="28" w:name="_Toc177670741"/>
      <w:r>
        <w:rPr>
          <w:rFonts w:hint="default" w:ascii="黑体" w:hAnsi="黑体" w:eastAsia="黑体" w:cs="黑体"/>
          <w:sz w:val="20"/>
        </w:rPr>
        <w:t>3.8　</w:t>
      </w:r>
    </w:p>
    <w:p w14:paraId="5CB19B4D">
      <w:pPr>
        <w:pStyle w:val="92"/>
        <w:numPr>
          <w:ilvl w:val="1"/>
          <w:numId w:val="0"/>
        </w:numPr>
        <w:bidi w:val="0"/>
        <w:ind w:leftChars="0" w:firstLine="420" w:firstLineChars="200"/>
      </w:pPr>
      <w:r>
        <w:rPr>
          <w:rFonts w:hint="eastAsia"/>
        </w:rPr>
        <w:t>利益相关者</w:t>
      </w:r>
      <w:bookmarkEnd w:id="28"/>
      <w:r>
        <w:rPr>
          <w:rFonts w:hint="eastAsia"/>
        </w:rPr>
        <w:t xml:space="preserve"> </w:t>
      </w:r>
    </w:p>
    <w:p w14:paraId="2F30E4AE">
      <w:pPr>
        <w:pStyle w:val="44"/>
        <w:bidi w:val="0"/>
      </w:pPr>
      <w:r>
        <w:rPr>
          <w:rFonts w:hint="eastAsia"/>
        </w:rPr>
        <w:t>影响重大决策事项顺利实施或其利益可能受到重大决策事项影响的自然人、法人和非法人组织，包括直接利益相关者和间接利益相关者。</w:t>
      </w:r>
    </w:p>
    <w:p w14:paraId="554C10FE">
      <w:pPr>
        <w:pStyle w:val="91"/>
        <w:numPr>
          <w:ilvl w:val="0"/>
          <w:numId w:val="0"/>
        </w:numPr>
        <w:bidi w:val="0"/>
        <w:ind w:left="0" w:leftChars="0" w:firstLine="0" w:firstLineChars="0"/>
      </w:pPr>
      <w:bookmarkStart w:id="29" w:name="_Toc177670742"/>
      <w:r>
        <w:rPr>
          <w:rFonts w:hint="default" w:ascii="黑体" w:hAnsi="黑体" w:eastAsia="黑体" w:cs="黑体"/>
          <w:sz w:val="20"/>
        </w:rPr>
        <w:t>4　</w:t>
      </w:r>
      <w:r>
        <w:rPr>
          <w:rFonts w:hint="eastAsia"/>
        </w:rPr>
        <w:t>总体原则</w:t>
      </w:r>
      <w:bookmarkEnd w:id="29"/>
    </w:p>
    <w:p w14:paraId="528D9B0F">
      <w:pPr>
        <w:pStyle w:val="92"/>
        <w:numPr>
          <w:ilvl w:val="1"/>
          <w:numId w:val="0"/>
        </w:numPr>
        <w:bidi w:val="0"/>
        <w:ind w:left="0" w:leftChars="0" w:firstLine="0" w:firstLineChars="0"/>
      </w:pPr>
      <w:bookmarkStart w:id="30" w:name="_Toc177670743"/>
      <w:r>
        <w:rPr>
          <w:rFonts w:hint="default" w:ascii="黑体" w:hAnsi="黑体" w:eastAsia="黑体" w:cs="黑体"/>
          <w:sz w:val="20"/>
        </w:rPr>
        <w:t>4.1　</w:t>
      </w:r>
      <w:r>
        <w:rPr>
          <w:rFonts w:hint="eastAsia"/>
        </w:rPr>
        <w:t>坚持党的领导</w:t>
      </w:r>
      <w:bookmarkEnd w:id="30"/>
    </w:p>
    <w:p w14:paraId="5FA8B487">
      <w:pPr>
        <w:pStyle w:val="44"/>
        <w:bidi w:val="0"/>
      </w:pPr>
      <w:r>
        <w:rPr>
          <w:rFonts w:hint="eastAsia"/>
        </w:rPr>
        <w:t>以习近平新时代中国特色社会主义思想为指导，深入贯彻习近平法治思想，把法治思维和法治方式贯穿到重大决策社会稳定风险评估工作的全过程，确保重大决策符合党的方针政策和国家法律法规，维护国家政治安全和社会稳定。</w:t>
      </w:r>
    </w:p>
    <w:p w14:paraId="4896108A">
      <w:pPr>
        <w:pStyle w:val="92"/>
        <w:numPr>
          <w:ilvl w:val="1"/>
          <w:numId w:val="0"/>
        </w:numPr>
        <w:bidi w:val="0"/>
        <w:ind w:left="0" w:leftChars="0" w:firstLine="0" w:firstLineChars="0"/>
      </w:pPr>
      <w:bookmarkStart w:id="31" w:name="_Toc177670744"/>
      <w:r>
        <w:rPr>
          <w:rFonts w:hint="default" w:ascii="黑体" w:hAnsi="黑体" w:eastAsia="黑体" w:cs="黑体"/>
          <w:sz w:val="20"/>
        </w:rPr>
        <w:t>4.2　</w:t>
      </w:r>
      <w:r>
        <w:rPr>
          <w:rFonts w:hint="eastAsia"/>
        </w:rPr>
        <w:t>坚持以人民为中心</w:t>
      </w:r>
      <w:bookmarkEnd w:id="31"/>
    </w:p>
    <w:p w14:paraId="570CE2FC">
      <w:pPr>
        <w:pStyle w:val="44"/>
        <w:bidi w:val="0"/>
      </w:pPr>
      <w:r>
        <w:rPr>
          <w:rFonts w:hint="eastAsia"/>
        </w:rPr>
        <w:t>把保障重大决策顺利实施、服务改革发展稳定大局、维护群众合法权益作为出发点、落脚点，畅通诉求表达渠道，倾听群众呼声，充分掌握和回应利益相关者的真实诉求，从源头上防范化解社会矛盾。</w:t>
      </w:r>
    </w:p>
    <w:p w14:paraId="190BEFFA">
      <w:pPr>
        <w:pStyle w:val="92"/>
        <w:numPr>
          <w:ilvl w:val="1"/>
          <w:numId w:val="0"/>
        </w:numPr>
        <w:bidi w:val="0"/>
        <w:ind w:left="0" w:leftChars="0" w:firstLine="0" w:firstLineChars="0"/>
      </w:pPr>
      <w:bookmarkStart w:id="32" w:name="_Toc177670745"/>
      <w:r>
        <w:rPr>
          <w:rFonts w:hint="default" w:ascii="黑体" w:hAnsi="黑体" w:eastAsia="黑体" w:cs="黑体"/>
          <w:sz w:val="20"/>
        </w:rPr>
        <w:t>4.3　</w:t>
      </w:r>
      <w:r>
        <w:rPr>
          <w:rFonts w:hint="eastAsia"/>
        </w:rPr>
        <w:t>坚持高质量发展</w:t>
      </w:r>
      <w:bookmarkEnd w:id="32"/>
    </w:p>
    <w:p w14:paraId="22678468">
      <w:pPr>
        <w:pStyle w:val="44"/>
        <w:bidi w:val="0"/>
      </w:pPr>
      <w:r>
        <w:rPr>
          <w:rFonts w:hint="eastAsia"/>
        </w:rPr>
        <w:t>全面贯彻总体国家安全观，统筹发展和安全，实现高质量发展和高水平安全的良性互动。完整、准确、全面贯彻新发展理念，着力提升稳评工作科学化、专业化、法治化、社会化、智能化水平，不断提高稳评工作质效。</w:t>
      </w:r>
    </w:p>
    <w:p w14:paraId="6610733D">
      <w:pPr>
        <w:pStyle w:val="92"/>
        <w:numPr>
          <w:ilvl w:val="1"/>
          <w:numId w:val="0"/>
        </w:numPr>
        <w:bidi w:val="0"/>
        <w:ind w:left="0" w:leftChars="0" w:firstLine="0" w:firstLineChars="0"/>
      </w:pPr>
      <w:bookmarkStart w:id="33" w:name="_Toc177670746"/>
      <w:r>
        <w:rPr>
          <w:rFonts w:hint="default" w:ascii="黑体" w:hAnsi="黑体" w:eastAsia="黑体" w:cs="黑体"/>
          <w:sz w:val="20"/>
        </w:rPr>
        <w:t>4.4　</w:t>
      </w:r>
      <w:r>
        <w:rPr>
          <w:rFonts w:hint="eastAsia"/>
        </w:rPr>
        <w:t>坚持应评尽评</w:t>
      </w:r>
      <w:bookmarkEnd w:id="33"/>
    </w:p>
    <w:p w14:paraId="70B2FBDA">
      <w:pPr>
        <w:pStyle w:val="44"/>
        <w:bidi w:val="0"/>
      </w:pPr>
      <w:r>
        <w:rPr>
          <w:rFonts w:hint="eastAsia"/>
        </w:rPr>
        <w:t>对于直接关系人民群众的切身利益，且对社会稳定、公共安全等方面可能造成较大影响的重大决策事项，在制定出台、审核审批前均应进行社会稳定风险评估。</w:t>
      </w:r>
    </w:p>
    <w:p w14:paraId="5BF645F7">
      <w:pPr>
        <w:pStyle w:val="92"/>
        <w:numPr>
          <w:ilvl w:val="1"/>
          <w:numId w:val="0"/>
        </w:numPr>
        <w:bidi w:val="0"/>
        <w:ind w:left="0" w:leftChars="0" w:firstLine="0" w:firstLineChars="0"/>
      </w:pPr>
      <w:bookmarkStart w:id="34" w:name="_Toc177670747"/>
      <w:r>
        <w:rPr>
          <w:rFonts w:hint="default" w:ascii="黑体" w:hAnsi="黑体" w:eastAsia="黑体" w:cs="黑体"/>
          <w:sz w:val="20"/>
        </w:rPr>
        <w:t>4.5　</w:t>
      </w:r>
      <w:r>
        <w:rPr>
          <w:rFonts w:hint="eastAsia"/>
        </w:rPr>
        <w:t>坚持全面客观</w:t>
      </w:r>
      <w:bookmarkEnd w:id="34"/>
    </w:p>
    <w:p w14:paraId="16DC2EA8">
      <w:pPr>
        <w:pStyle w:val="44"/>
        <w:bidi w:val="0"/>
      </w:pPr>
      <w:r>
        <w:rPr>
          <w:rFonts w:hint="eastAsia"/>
        </w:rPr>
        <w:t>深入开展风险调查，全面收集、客观反映各方情况和意见，认真研究、系统分析重大决策事项的合法性、合理性、可行性、可控性，科学评判风险等级。</w:t>
      </w:r>
    </w:p>
    <w:p w14:paraId="4A28A89A">
      <w:pPr>
        <w:pStyle w:val="92"/>
        <w:numPr>
          <w:ilvl w:val="1"/>
          <w:numId w:val="0"/>
        </w:numPr>
        <w:bidi w:val="0"/>
        <w:ind w:left="0" w:leftChars="0" w:firstLine="0" w:firstLineChars="0"/>
      </w:pPr>
      <w:bookmarkStart w:id="35" w:name="_Toc177670748"/>
      <w:r>
        <w:rPr>
          <w:rFonts w:hint="default" w:ascii="黑体" w:hAnsi="黑体" w:eastAsia="黑体" w:cs="黑体"/>
          <w:sz w:val="20"/>
        </w:rPr>
        <w:t>4.6　</w:t>
      </w:r>
      <w:r>
        <w:rPr>
          <w:rFonts w:hint="eastAsia"/>
        </w:rPr>
        <w:t>坚持评用并重</w:t>
      </w:r>
      <w:bookmarkEnd w:id="35"/>
    </w:p>
    <w:p w14:paraId="51618280">
      <w:pPr>
        <w:pStyle w:val="44"/>
        <w:bidi w:val="0"/>
      </w:pPr>
      <w:r>
        <w:rPr>
          <w:rFonts w:hint="eastAsia"/>
        </w:rPr>
        <w:t>评估结论应作为重大决策的重要依据，按照评估报告的意见和建议，切实落实风险防范和化解措施，及时做好应对处置工作。</w:t>
      </w:r>
    </w:p>
    <w:p w14:paraId="403B9D25">
      <w:pPr>
        <w:pStyle w:val="92"/>
        <w:numPr>
          <w:ilvl w:val="1"/>
          <w:numId w:val="0"/>
        </w:numPr>
        <w:bidi w:val="0"/>
        <w:ind w:left="0" w:leftChars="0" w:firstLine="0" w:firstLineChars="0"/>
      </w:pPr>
      <w:bookmarkStart w:id="36" w:name="_Toc177670749"/>
      <w:r>
        <w:rPr>
          <w:rFonts w:hint="default" w:ascii="黑体" w:hAnsi="黑体" w:eastAsia="黑体" w:cs="黑体"/>
          <w:sz w:val="20"/>
        </w:rPr>
        <w:t>4.7　</w:t>
      </w:r>
      <w:r>
        <w:rPr>
          <w:rFonts w:hint="eastAsia"/>
        </w:rPr>
        <w:t>坚持全程管控</w:t>
      </w:r>
      <w:bookmarkEnd w:id="36"/>
    </w:p>
    <w:p w14:paraId="06EDAFF2">
      <w:pPr>
        <w:pStyle w:val="44"/>
        <w:bidi w:val="0"/>
      </w:pPr>
      <w:r>
        <w:rPr>
          <w:rFonts w:hint="eastAsia"/>
        </w:rPr>
        <w:t>落实边评估边化解、边实施边化解的要求，把风险防范化解工作贯穿评估全过程，尤应注意跟踪了解、切实做好重大决策实施过程中新发现风险、次生风险的防范化解工作。引发重大不稳定事件或存在重大矛盾风险的，应及时组织开展决策后风险评估。</w:t>
      </w:r>
    </w:p>
    <w:p w14:paraId="3EEBB77E">
      <w:pPr>
        <w:pStyle w:val="91"/>
        <w:numPr>
          <w:ilvl w:val="0"/>
          <w:numId w:val="0"/>
        </w:numPr>
        <w:bidi w:val="0"/>
        <w:ind w:left="0" w:leftChars="0" w:firstLine="0" w:firstLineChars="0"/>
      </w:pPr>
      <w:bookmarkStart w:id="37" w:name="_Toc177670750"/>
      <w:r>
        <w:rPr>
          <w:rFonts w:hint="default" w:ascii="黑体" w:hAnsi="黑体" w:eastAsia="黑体" w:cs="黑体"/>
          <w:sz w:val="20"/>
        </w:rPr>
        <w:t>5　</w:t>
      </w:r>
      <w:r>
        <w:rPr>
          <w:rFonts w:hint="eastAsia"/>
        </w:rPr>
        <w:t>评估范围</w:t>
      </w:r>
      <w:bookmarkEnd w:id="37"/>
    </w:p>
    <w:p w14:paraId="1BAFFC17">
      <w:pPr>
        <w:pStyle w:val="44"/>
        <w:bidi w:val="0"/>
      </w:pPr>
      <w:r>
        <w:rPr>
          <w:rFonts w:hint="eastAsia"/>
        </w:rPr>
        <w:t>评估范围主要包括但不限于如下重大决策事项。</w:t>
      </w:r>
    </w:p>
    <w:p w14:paraId="35427498">
      <w:pPr>
        <w:pStyle w:val="92"/>
        <w:numPr>
          <w:ilvl w:val="1"/>
          <w:numId w:val="0"/>
        </w:numPr>
        <w:bidi w:val="0"/>
        <w:ind w:left="0" w:leftChars="0" w:firstLine="0" w:firstLineChars="0"/>
      </w:pPr>
      <w:bookmarkStart w:id="38" w:name="_Toc177670751"/>
      <w:r>
        <w:rPr>
          <w:rFonts w:hint="default" w:ascii="黑体" w:hAnsi="黑体" w:eastAsia="黑体" w:cs="黑体"/>
          <w:sz w:val="20"/>
        </w:rPr>
        <w:t>5.1　</w:t>
      </w:r>
      <w:r>
        <w:rPr>
          <w:rFonts w:hint="eastAsia"/>
        </w:rPr>
        <w:t>重大政策制定或调整</w:t>
      </w:r>
      <w:bookmarkEnd w:id="38"/>
    </w:p>
    <w:p w14:paraId="4AF65A0B">
      <w:pPr>
        <w:pStyle w:val="76"/>
        <w:bidi w:val="0"/>
      </w:pPr>
      <w:r>
        <w:rPr>
          <w:rFonts w:hint="eastAsia" w:ascii="宋体" w:hAnsi="宋体" w:eastAsia="宋体"/>
          <w:color w:val="000000" w:themeColor="text1"/>
          <w:szCs w:val="28"/>
          <w14:textFill>
            <w14:solidFill>
              <w14:schemeClr w14:val="tx1"/>
            </w14:solidFill>
          </w14:textFill>
        </w:rPr>
        <w:t>行政</w:t>
      </w:r>
      <w:r>
        <w:rPr>
          <w:rFonts w:hint="eastAsia"/>
        </w:rPr>
        <w:t>区划调整；</w:t>
      </w:r>
    </w:p>
    <w:p w14:paraId="4BCD4DA5">
      <w:pPr>
        <w:pStyle w:val="76"/>
        <w:bidi w:val="0"/>
      </w:pPr>
      <w:r>
        <w:rPr>
          <w:rFonts w:hint="eastAsia"/>
        </w:rPr>
        <w:t>涉及教育考试招生、学区划分或调整、教师待遇、职称评聘，养老、社会救助、殡葬管理、不动产、公租房，水利工程移民、防灾救灾、畜禽养殖污染防治，网约车管理、货运汽车管理，重大招商引资、重大医疗保险等重大政策制定或调整；</w:t>
      </w:r>
    </w:p>
    <w:p w14:paraId="485A9ED2">
      <w:pPr>
        <w:pStyle w:val="76"/>
        <w:bidi w:val="0"/>
      </w:pPr>
      <w:r>
        <w:rPr>
          <w:rFonts w:hint="eastAsia"/>
        </w:rPr>
        <w:t>涉及群众切身利益的就业方面重大政策制定或调整；</w:t>
      </w:r>
    </w:p>
    <w:p w14:paraId="0B3115A7">
      <w:pPr>
        <w:pStyle w:val="76"/>
        <w:bidi w:val="0"/>
      </w:pPr>
      <w:r>
        <w:rPr>
          <w:rFonts w:hint="eastAsia"/>
        </w:rPr>
        <w:t>涉及国有企业改制中人员安置等重大举措出台；</w:t>
      </w:r>
    </w:p>
    <w:p w14:paraId="3C67709A">
      <w:pPr>
        <w:pStyle w:val="76"/>
        <w:bidi w:val="0"/>
        <w:rPr>
          <w:rFonts w:hint="eastAsia"/>
        </w:rPr>
      </w:pPr>
      <w:r>
        <w:rPr>
          <w:rFonts w:hint="eastAsia"/>
        </w:rPr>
        <w:t>与社会团体、基金会、民办非企业单位登记管理相关的政策制定或调整；</w:t>
      </w:r>
    </w:p>
    <w:p w14:paraId="163E15CC">
      <w:pPr>
        <w:pStyle w:val="76"/>
        <w:bidi w:val="0"/>
      </w:pPr>
      <w:r>
        <w:rPr>
          <w:rFonts w:hint="eastAsia"/>
        </w:rPr>
        <w:t>城镇燃气和瓶装液化石油气集中点设置等重大政策制定或调整；</w:t>
      </w:r>
    </w:p>
    <w:p w14:paraId="668B19B5">
      <w:pPr>
        <w:pStyle w:val="76"/>
        <w:bidi w:val="0"/>
      </w:pPr>
      <w:r>
        <w:rPr>
          <w:rFonts w:hint="eastAsia"/>
        </w:rPr>
        <w:t>涉及群众切身利益，可能对社会稳定产生影响的文化和旅游市场管理、综合执法、文物督察等重大行政决策；</w:t>
      </w:r>
    </w:p>
    <w:p w14:paraId="08B7E2FB">
      <w:pPr>
        <w:pStyle w:val="76"/>
        <w:bidi w:val="0"/>
      </w:pPr>
      <w:r>
        <w:rPr>
          <w:rFonts w:hint="eastAsia"/>
        </w:rPr>
        <w:t>重大公共卫生措施、落实生育政策的措施、医疗安全、血液安全、高风险和涉及重大伦理问题的临床研究和技术准入；</w:t>
      </w:r>
    </w:p>
    <w:p w14:paraId="2BA0E7BE">
      <w:pPr>
        <w:pStyle w:val="76"/>
        <w:bidi w:val="0"/>
      </w:pPr>
      <w:r>
        <w:rPr>
          <w:rFonts w:hint="eastAsia"/>
        </w:rPr>
        <w:t>二级以上医院及相应卫生服务机构因医疗安全存在重大问题或较大隐患暂停执业与恢复运营（法律法规有明确规定的除外）；</w:t>
      </w:r>
    </w:p>
    <w:p w14:paraId="383FDFE5">
      <w:pPr>
        <w:pStyle w:val="76"/>
        <w:bidi w:val="0"/>
      </w:pPr>
      <w:r>
        <w:rPr>
          <w:rFonts w:hint="eastAsia"/>
        </w:rPr>
        <w:t>涉及矿山、危险化学品、烟花爆竹、金属冶炼行业领域的重大安全监管政策制定或调整；</w:t>
      </w:r>
    </w:p>
    <w:p w14:paraId="3B82F68A">
      <w:pPr>
        <w:pStyle w:val="76"/>
        <w:bidi w:val="0"/>
      </w:pPr>
      <w:r>
        <w:rPr>
          <w:rFonts w:hint="eastAsia"/>
        </w:rPr>
        <w:t>涉及群众利益的水流、森林、草原（草地）、矿产、湿地等自然资源确权；</w:t>
      </w:r>
    </w:p>
    <w:p w14:paraId="7CB49626">
      <w:pPr>
        <w:pStyle w:val="76"/>
        <w:bidi w:val="0"/>
      </w:pPr>
      <w:r>
        <w:rPr>
          <w:rFonts w:hint="eastAsia"/>
        </w:rPr>
        <w:t>确定巡游出租车经营权限及运力投放规模、收购农村客运班线推进公交化改造等决策事项；</w:t>
      </w:r>
    </w:p>
    <w:p w14:paraId="620DE866">
      <w:pPr>
        <w:pStyle w:val="76"/>
        <w:bidi w:val="0"/>
      </w:pPr>
      <w:r>
        <w:rPr>
          <w:rFonts w:hint="eastAsia"/>
        </w:rPr>
        <w:t>涉及到诸多利益群体和影响企业长远发展的重大战略调整、企业搬迁等政策制定或调整；</w:t>
      </w:r>
    </w:p>
    <w:p w14:paraId="19A94FFA">
      <w:pPr>
        <w:pStyle w:val="76"/>
        <w:bidi w:val="0"/>
      </w:pPr>
      <w:r>
        <w:rPr>
          <w:rFonts w:hint="eastAsia"/>
        </w:rPr>
        <w:t>贯彻上级党委政府及主管部门涉及群众切身利益的相关政策的实施办法、意见、细则等；</w:t>
      </w:r>
    </w:p>
    <w:p w14:paraId="7AA03C30">
      <w:pPr>
        <w:pStyle w:val="76"/>
        <w:bidi w:val="0"/>
      </w:pPr>
      <w:r>
        <w:rPr>
          <w:rFonts w:hint="eastAsia"/>
        </w:rPr>
        <w:t>其他涉及民生的重大政策制定或调整。</w:t>
      </w:r>
    </w:p>
    <w:p w14:paraId="089411B3">
      <w:pPr>
        <w:pStyle w:val="92"/>
        <w:numPr>
          <w:ilvl w:val="1"/>
          <w:numId w:val="0"/>
        </w:numPr>
        <w:bidi w:val="0"/>
        <w:ind w:left="0" w:leftChars="0" w:firstLine="0" w:firstLineChars="0"/>
      </w:pPr>
      <w:bookmarkStart w:id="39" w:name="_Toc177670752"/>
      <w:r>
        <w:rPr>
          <w:rFonts w:hint="default" w:ascii="黑体" w:hAnsi="黑体" w:eastAsia="黑体" w:cs="黑体"/>
          <w:sz w:val="20"/>
        </w:rPr>
        <w:t>5.2　</w:t>
      </w:r>
      <w:r>
        <w:rPr>
          <w:rFonts w:hint="eastAsia"/>
        </w:rPr>
        <w:t>重大改革改制举措出台</w:t>
      </w:r>
      <w:bookmarkEnd w:id="39"/>
    </w:p>
    <w:p w14:paraId="12892B84">
      <w:pPr>
        <w:pStyle w:val="76"/>
        <w:bidi w:val="0"/>
      </w:pPr>
      <w:r>
        <w:rPr>
          <w:rFonts w:hint="eastAsia"/>
        </w:rPr>
        <w:t>涉及群众切身利益的社会保险制度改革、医疗保险制度改革；</w:t>
      </w:r>
    </w:p>
    <w:p w14:paraId="041B6CF8">
      <w:pPr>
        <w:pStyle w:val="76"/>
        <w:bidi w:val="0"/>
      </w:pPr>
      <w:r>
        <w:rPr>
          <w:rFonts w:hint="eastAsia"/>
        </w:rPr>
        <w:t>独立学院转设等学校改制事项；</w:t>
      </w:r>
    </w:p>
    <w:p w14:paraId="5E2E8E9C">
      <w:pPr>
        <w:pStyle w:val="76"/>
        <w:bidi w:val="0"/>
      </w:pPr>
      <w:r>
        <w:rPr>
          <w:rFonts w:hint="eastAsia"/>
        </w:rPr>
        <w:t>企业改制重组、关闭破产等重大改革事项；</w:t>
      </w:r>
    </w:p>
    <w:p w14:paraId="66BE57E4">
      <w:pPr>
        <w:pStyle w:val="76"/>
        <w:bidi w:val="0"/>
      </w:pPr>
      <w:r>
        <w:rPr>
          <w:rFonts w:hint="eastAsia"/>
        </w:rPr>
        <w:t>关系职工群众切身利益的企业劳动关系调整、薪酬分配改革等重大事项；</w:t>
      </w:r>
    </w:p>
    <w:p w14:paraId="53DE50B2">
      <w:pPr>
        <w:pStyle w:val="76"/>
        <w:bidi w:val="0"/>
      </w:pPr>
      <w:r>
        <w:rPr>
          <w:rFonts w:hint="eastAsia"/>
        </w:rPr>
        <w:t>涉及产权转让、资产处置、人员安置和社会保障等国有、集体医疗卫生健康机构改革或重组；</w:t>
      </w:r>
    </w:p>
    <w:p w14:paraId="2F7E2035">
      <w:pPr>
        <w:pStyle w:val="76"/>
        <w:bidi w:val="0"/>
      </w:pPr>
      <w:r>
        <w:rPr>
          <w:rFonts w:hint="eastAsia"/>
        </w:rPr>
        <w:t>其他涉及人员安置和重大利益调整的事业单位改革、国有企业改制等重大举措出台；</w:t>
      </w:r>
    </w:p>
    <w:p w14:paraId="60F33996">
      <w:pPr>
        <w:pStyle w:val="92"/>
        <w:numPr>
          <w:ilvl w:val="1"/>
          <w:numId w:val="0"/>
        </w:numPr>
        <w:bidi w:val="0"/>
        <w:ind w:left="0" w:leftChars="0" w:firstLine="0" w:firstLineChars="0"/>
      </w:pPr>
      <w:bookmarkStart w:id="40" w:name="_Toc177670753"/>
      <w:r>
        <w:rPr>
          <w:rFonts w:hint="default" w:ascii="黑体" w:hAnsi="黑体" w:eastAsia="黑体" w:cs="黑体"/>
          <w:sz w:val="20"/>
        </w:rPr>
        <w:t>5.3　</w:t>
      </w:r>
      <w:r>
        <w:rPr>
          <w:rFonts w:hint="eastAsia"/>
        </w:rPr>
        <w:t>重大项目建设</w:t>
      </w:r>
      <w:bookmarkEnd w:id="40"/>
    </w:p>
    <w:p w14:paraId="74340EE9">
      <w:pPr>
        <w:pStyle w:val="76"/>
        <w:bidi w:val="0"/>
      </w:pPr>
      <w:r>
        <w:rPr>
          <w:rFonts w:hint="eastAsia"/>
        </w:rPr>
        <w:t>涉及群众利益的土地征收、国有土地上房屋征收拆迁、市政重大工程项目建设；</w:t>
      </w:r>
    </w:p>
    <w:p w14:paraId="4F689257">
      <w:pPr>
        <w:pStyle w:val="76"/>
        <w:bidi w:val="0"/>
      </w:pPr>
      <w:r>
        <w:rPr>
          <w:rFonts w:hint="eastAsia"/>
        </w:rPr>
        <w:t>房地产项目、保障性住房项目、棚户区改造项目；</w:t>
      </w:r>
    </w:p>
    <w:p w14:paraId="1433A0DF">
      <w:pPr>
        <w:pStyle w:val="76"/>
        <w:bidi w:val="0"/>
      </w:pPr>
      <w:r>
        <w:rPr>
          <w:rFonts w:hint="eastAsia"/>
        </w:rPr>
        <w:t>重大招商引资项目、重大交通工程项目、“低空类”重大项目、重大水利工程项目、河道采砂项目，文化旅游领域可能造成重大环境影响或者存在重大环境风险、可能造成重大安全事故隐患、重大自然灾害后恢复重建等重大工程项目；</w:t>
      </w:r>
    </w:p>
    <w:p w14:paraId="52F33795">
      <w:pPr>
        <w:pStyle w:val="76"/>
        <w:bidi w:val="0"/>
      </w:pPr>
      <w:r>
        <w:rPr>
          <w:rFonts w:hint="eastAsia"/>
        </w:rPr>
        <w:t>涉及到诸多利益群体和影响企业长远发展的重大项目实施、房屋拆迁等重大事项；</w:t>
      </w:r>
    </w:p>
    <w:p w14:paraId="7CDEDF70">
      <w:pPr>
        <w:pStyle w:val="76"/>
        <w:bidi w:val="0"/>
      </w:pPr>
      <w:r>
        <w:rPr>
          <w:rFonts w:hint="eastAsia"/>
        </w:rPr>
        <w:t>涉及较大范围群众切身利益的卫生工程项目和特殊建设工程选址；</w:t>
      </w:r>
    </w:p>
    <w:p w14:paraId="20BD5DA3">
      <w:pPr>
        <w:pStyle w:val="76"/>
        <w:bidi w:val="0"/>
      </w:pPr>
      <w:r>
        <w:rPr>
          <w:rFonts w:hint="eastAsia"/>
        </w:rPr>
        <w:t>涉及矿产能源、石油化工、电网基站、油气管网、核能核电等资源开发与建设的重大项目建设；</w:t>
      </w:r>
    </w:p>
    <w:p w14:paraId="7AE287A6">
      <w:pPr>
        <w:pStyle w:val="76"/>
        <w:bidi w:val="0"/>
      </w:pPr>
      <w:r>
        <w:rPr>
          <w:rFonts w:hint="eastAsia"/>
        </w:rPr>
        <w:t>涉及垃圾处置、生物制药、殡葬服务等涉及环境敏感性高的重大项目；</w:t>
      </w:r>
    </w:p>
    <w:p w14:paraId="57442DB8">
      <w:pPr>
        <w:pStyle w:val="76"/>
        <w:bidi w:val="0"/>
      </w:pPr>
      <w:r>
        <w:rPr>
          <w:rFonts w:hint="eastAsia"/>
        </w:rPr>
        <w:t>项目用地规划选址范围内房屋征收及被征收人100户以上或者需移民安置人口超过500人的重大项目；</w:t>
      </w:r>
    </w:p>
    <w:p w14:paraId="3942047B">
      <w:pPr>
        <w:pStyle w:val="76"/>
        <w:bidi w:val="0"/>
      </w:pPr>
      <w:r>
        <w:rPr>
          <w:rFonts w:hint="eastAsia"/>
        </w:rPr>
        <w:t>按照《建设项目环境影响评价分类管理名录》的规定应当单独编制环境影响报告书的重大项目；</w:t>
      </w:r>
    </w:p>
    <w:p w14:paraId="320AB69F">
      <w:pPr>
        <w:pStyle w:val="76"/>
        <w:bidi w:val="0"/>
      </w:pPr>
      <w:r>
        <w:rPr>
          <w:rFonts w:hint="eastAsia"/>
        </w:rPr>
        <w:t>在项目审批、核准前发生过大规模集体上访或群体性事件的重大项目；</w:t>
      </w:r>
    </w:p>
    <w:p w14:paraId="46B23F45">
      <w:pPr>
        <w:pStyle w:val="76"/>
        <w:bidi w:val="0"/>
      </w:pPr>
      <w:r>
        <w:rPr>
          <w:rFonts w:hint="eastAsia"/>
        </w:rPr>
        <w:t>其他容易引发大规模集体上访或者群体性事件的重大项目。</w:t>
      </w:r>
    </w:p>
    <w:p w14:paraId="68CDE93A">
      <w:pPr>
        <w:pStyle w:val="92"/>
        <w:numPr>
          <w:ilvl w:val="1"/>
          <w:numId w:val="0"/>
        </w:numPr>
        <w:bidi w:val="0"/>
        <w:ind w:left="0" w:leftChars="0" w:firstLine="0" w:firstLineChars="0"/>
      </w:pPr>
      <w:bookmarkStart w:id="41" w:name="_Toc177670754"/>
      <w:r>
        <w:rPr>
          <w:rFonts w:hint="default" w:ascii="黑体" w:hAnsi="黑体" w:eastAsia="黑体" w:cs="黑体"/>
          <w:sz w:val="20"/>
        </w:rPr>
        <w:t>5.4　</w:t>
      </w:r>
      <w:r>
        <w:rPr>
          <w:rFonts w:hint="eastAsia"/>
        </w:rPr>
        <w:t>重大活动安排</w:t>
      </w:r>
      <w:bookmarkEnd w:id="41"/>
    </w:p>
    <w:p w14:paraId="4A29ED77">
      <w:pPr>
        <w:pStyle w:val="44"/>
        <w:bidi w:val="0"/>
      </w:pPr>
      <w:r>
        <w:rPr>
          <w:rFonts w:hint="eastAsia"/>
        </w:rPr>
        <w:t>按照国家大型群众性活动安全管理法律法规的规定，每场次预计参加人数达到1000人以上的下列活动：</w:t>
      </w:r>
    </w:p>
    <w:p w14:paraId="42BBE66E">
      <w:pPr>
        <w:pStyle w:val="76"/>
        <w:bidi w:val="0"/>
      </w:pPr>
      <w:r>
        <w:rPr>
          <w:rFonts w:hint="eastAsia"/>
        </w:rPr>
        <w:t>大型展览、大型展销等经贸活动；</w:t>
      </w:r>
    </w:p>
    <w:p w14:paraId="15D85BA7">
      <w:pPr>
        <w:pStyle w:val="76"/>
        <w:bidi w:val="0"/>
      </w:pPr>
      <w:r>
        <w:rPr>
          <w:rFonts w:hint="eastAsia"/>
        </w:rPr>
        <w:t>大型人才招聘会、大型现场开奖的彩票销售等活动；</w:t>
      </w:r>
    </w:p>
    <w:p w14:paraId="05FECD2C">
      <w:pPr>
        <w:pStyle w:val="76"/>
        <w:bidi w:val="0"/>
      </w:pPr>
      <w:r>
        <w:rPr>
          <w:rFonts w:hint="eastAsia"/>
        </w:rPr>
        <w:t>演唱会、音乐会、歌舞表演等大型文艺演出活动；</w:t>
      </w:r>
    </w:p>
    <w:p w14:paraId="31E56C26">
      <w:pPr>
        <w:pStyle w:val="76"/>
        <w:bidi w:val="0"/>
      </w:pPr>
      <w:r>
        <w:rPr>
          <w:rFonts w:hint="eastAsia"/>
        </w:rPr>
        <w:t>游园、灯会、庙会、花会、焰火晚会、花车巡游、舞龙灯等涉及人员多、敏感性强，可能对社会稳定产生影响的重大文化和旅游活动；</w:t>
      </w:r>
    </w:p>
    <w:p w14:paraId="517AC200">
      <w:pPr>
        <w:pStyle w:val="76"/>
        <w:bidi w:val="0"/>
      </w:pPr>
      <w:r>
        <w:rPr>
          <w:rFonts w:hint="eastAsia"/>
        </w:rPr>
        <w:t>路跑类（包括马拉松、半程马拉松、10公里、5公里）、山地越野类以及其他参会人数众多、人身危险性较高或者专业技术性较强的体育赛事活动；</w:t>
      </w:r>
    </w:p>
    <w:p w14:paraId="7DC8271C">
      <w:pPr>
        <w:pStyle w:val="76"/>
        <w:bidi w:val="0"/>
      </w:pPr>
      <w:r>
        <w:rPr>
          <w:rFonts w:hint="eastAsia"/>
        </w:rPr>
        <w:t>划龙舟、赛艇等水上群众体育赛事活动；</w:t>
      </w:r>
    </w:p>
    <w:p w14:paraId="5F907F63">
      <w:pPr>
        <w:pStyle w:val="76"/>
        <w:bidi w:val="0"/>
      </w:pPr>
      <w:r>
        <w:rPr>
          <w:rFonts w:hint="eastAsia"/>
        </w:rPr>
        <w:t>县级以上区域性综合运动会；</w:t>
      </w:r>
    </w:p>
    <w:p w14:paraId="53C38E14">
      <w:pPr>
        <w:pStyle w:val="76"/>
        <w:bidi w:val="0"/>
      </w:pPr>
      <w:r>
        <w:rPr>
          <w:rFonts w:hint="eastAsia"/>
        </w:rPr>
        <w:t>其他对群众生产生活秩序造成较大影响的重大活动。</w:t>
      </w:r>
    </w:p>
    <w:p w14:paraId="31EEF368">
      <w:pPr>
        <w:pStyle w:val="92"/>
        <w:numPr>
          <w:ilvl w:val="1"/>
          <w:numId w:val="0"/>
        </w:numPr>
        <w:bidi w:val="0"/>
        <w:ind w:left="0" w:leftChars="0" w:firstLine="0" w:firstLineChars="0"/>
      </w:pPr>
      <w:bookmarkStart w:id="42" w:name="_Toc177670755"/>
      <w:r>
        <w:rPr>
          <w:rFonts w:hint="default" w:ascii="黑体" w:hAnsi="黑体" w:eastAsia="黑体" w:cs="黑体"/>
          <w:sz w:val="20"/>
        </w:rPr>
        <w:t>5.5　</w:t>
      </w:r>
      <w:r>
        <w:rPr>
          <w:rFonts w:hint="eastAsia"/>
        </w:rPr>
        <w:t>其他重大决策事项</w:t>
      </w:r>
      <w:bookmarkEnd w:id="42"/>
    </w:p>
    <w:p w14:paraId="323CED3C">
      <w:pPr>
        <w:pStyle w:val="76"/>
        <w:bidi w:val="0"/>
      </w:pPr>
      <w:r>
        <w:rPr>
          <w:rFonts w:hint="eastAsia"/>
        </w:rPr>
        <w:t>其他事关群众利益且可能对社会稳定和公共安全有较大社会影响的重大决策事项；</w:t>
      </w:r>
    </w:p>
    <w:p w14:paraId="03F52A00">
      <w:pPr>
        <w:pStyle w:val="76"/>
        <w:bidi w:val="0"/>
      </w:pPr>
      <w:r>
        <w:rPr>
          <w:rFonts w:hint="eastAsia"/>
        </w:rPr>
        <w:t>重大决策社会稳定风险评估工作联席会议研判可能引发社会稳定风险的重大决策事项。</w:t>
      </w:r>
    </w:p>
    <w:p w14:paraId="190B2ADF">
      <w:pPr>
        <w:pStyle w:val="91"/>
        <w:numPr>
          <w:ilvl w:val="0"/>
          <w:numId w:val="0"/>
        </w:numPr>
        <w:bidi w:val="0"/>
        <w:ind w:left="0" w:leftChars="0" w:firstLine="0" w:firstLineChars="0"/>
      </w:pPr>
      <w:bookmarkStart w:id="43" w:name="_Toc177670756"/>
      <w:r>
        <w:rPr>
          <w:rFonts w:hint="default" w:ascii="黑体" w:hAnsi="黑体" w:eastAsia="黑体" w:cs="黑体"/>
          <w:sz w:val="20"/>
        </w:rPr>
        <w:t>6　</w:t>
      </w:r>
      <w:r>
        <w:rPr>
          <w:rFonts w:hint="eastAsia"/>
        </w:rPr>
        <w:t>评估方式</w:t>
      </w:r>
      <w:bookmarkEnd w:id="43"/>
    </w:p>
    <w:p w14:paraId="237F74E2">
      <w:pPr>
        <w:pStyle w:val="44"/>
        <w:bidi w:val="0"/>
      </w:pPr>
      <w:r>
        <w:rPr>
          <w:rFonts w:hint="eastAsia"/>
        </w:rPr>
        <w:t>评估主体可以自行组织评估，也可以委托有资质的第三方评估机构开展评估。</w:t>
      </w:r>
    </w:p>
    <w:p w14:paraId="6ED84133">
      <w:pPr>
        <w:pStyle w:val="92"/>
        <w:numPr>
          <w:ilvl w:val="1"/>
          <w:numId w:val="0"/>
        </w:numPr>
        <w:bidi w:val="0"/>
        <w:ind w:left="0" w:leftChars="0" w:firstLine="0" w:firstLineChars="0"/>
      </w:pPr>
      <w:bookmarkStart w:id="44" w:name="_Toc177670757"/>
      <w:r>
        <w:rPr>
          <w:rFonts w:hint="default" w:ascii="黑体" w:hAnsi="黑体" w:eastAsia="黑体" w:cs="黑体"/>
          <w:sz w:val="20"/>
        </w:rPr>
        <w:t>6.1　</w:t>
      </w:r>
      <w:r>
        <w:rPr>
          <w:rFonts w:hint="eastAsia"/>
        </w:rPr>
        <w:t>自行评估</w:t>
      </w:r>
      <w:bookmarkEnd w:id="44"/>
    </w:p>
    <w:p w14:paraId="6A6AD507">
      <w:pPr>
        <w:pStyle w:val="44"/>
        <w:bidi w:val="0"/>
      </w:pPr>
      <w:r>
        <w:rPr>
          <w:rFonts w:hint="eastAsia"/>
        </w:rPr>
        <w:t>自行组织评估的，应当邀请相关党政机关、司法机关、群团组织、社会组织、专业机构、人大代表、政协委员、专家学者、决策所涉及的群众代表等组成评估小组开展评估。</w:t>
      </w:r>
    </w:p>
    <w:p w14:paraId="5C32362A">
      <w:pPr>
        <w:pStyle w:val="44"/>
        <w:bidi w:val="0"/>
      </w:pPr>
      <w:r>
        <w:rPr>
          <w:rFonts w:hint="eastAsia"/>
        </w:rPr>
        <w:t>涉及国家安全、国民经济命脉以及涉密、敏感的重大决策事项，必须自行组织评估，不得委托第三方评估机构开展评估。</w:t>
      </w:r>
    </w:p>
    <w:p w14:paraId="6C2FACDE">
      <w:pPr>
        <w:pStyle w:val="92"/>
        <w:numPr>
          <w:ilvl w:val="1"/>
          <w:numId w:val="0"/>
        </w:numPr>
        <w:bidi w:val="0"/>
        <w:ind w:left="0" w:leftChars="0" w:firstLine="0" w:firstLineChars="0"/>
      </w:pPr>
      <w:bookmarkStart w:id="45" w:name="_Toc177670758"/>
      <w:r>
        <w:rPr>
          <w:rFonts w:hint="default" w:ascii="黑体" w:hAnsi="黑体" w:eastAsia="黑体" w:cs="黑体"/>
          <w:sz w:val="20"/>
        </w:rPr>
        <w:t>6.2　</w:t>
      </w:r>
      <w:r>
        <w:rPr>
          <w:rFonts w:hint="eastAsia"/>
        </w:rPr>
        <w:t>委托评估</w:t>
      </w:r>
      <w:bookmarkEnd w:id="45"/>
    </w:p>
    <w:p w14:paraId="46456D17">
      <w:pPr>
        <w:pStyle w:val="44"/>
        <w:bidi w:val="0"/>
      </w:pPr>
      <w:r>
        <w:rPr>
          <w:rFonts w:hint="eastAsia"/>
        </w:rPr>
        <w:t>委托第三方评估机构开展评估的，评估主体应依法依规确定受托方，并做好跟踪指导、监督检查、组织评审等工作，与受托方共同对评估过程、评估报告、评估质量负责。</w:t>
      </w:r>
    </w:p>
    <w:p w14:paraId="4377984D">
      <w:pPr>
        <w:pStyle w:val="93"/>
        <w:numPr>
          <w:ilvl w:val="2"/>
          <w:numId w:val="0"/>
        </w:numPr>
        <w:bidi w:val="0"/>
        <w:ind w:left="0" w:leftChars="0" w:firstLine="0" w:firstLineChars="0"/>
      </w:pPr>
      <w:r>
        <w:rPr>
          <w:rFonts w:hint="default" w:ascii="黑体" w:hAnsi="黑体" w:eastAsia="黑体" w:cs="黑体"/>
          <w:sz w:val="20"/>
        </w:rPr>
        <w:t>6.2.1　</w:t>
      </w:r>
      <w:r>
        <w:rPr>
          <w:rFonts w:hint="eastAsia"/>
        </w:rPr>
        <w:t>受托方条件</w:t>
      </w:r>
    </w:p>
    <w:p w14:paraId="75F62552">
      <w:pPr>
        <w:pStyle w:val="44"/>
        <w:bidi w:val="0"/>
      </w:pPr>
      <w:r>
        <w:rPr>
          <w:rFonts w:hint="eastAsia"/>
        </w:rPr>
        <w:t>必须是已纳入“江西省重大决策社会稳定风险评估第三方机构名单”（详见“江西政法网”）的第三方评估机构。</w:t>
      </w:r>
    </w:p>
    <w:p w14:paraId="4B7574F7">
      <w:pPr>
        <w:pStyle w:val="93"/>
        <w:numPr>
          <w:ilvl w:val="2"/>
          <w:numId w:val="0"/>
        </w:numPr>
        <w:bidi w:val="0"/>
        <w:ind w:left="0" w:leftChars="0" w:firstLine="0" w:firstLineChars="0"/>
      </w:pPr>
      <w:r>
        <w:rPr>
          <w:rFonts w:hint="default" w:ascii="黑体" w:hAnsi="黑体" w:eastAsia="黑体" w:cs="黑体"/>
          <w:sz w:val="20"/>
        </w:rPr>
        <w:t>6.2.2　</w:t>
      </w:r>
      <w:r>
        <w:rPr>
          <w:rFonts w:hint="eastAsia"/>
        </w:rPr>
        <w:t>委托方式</w:t>
      </w:r>
    </w:p>
    <w:p w14:paraId="68B55C57">
      <w:pPr>
        <w:pStyle w:val="44"/>
        <w:bidi w:val="0"/>
      </w:pPr>
      <w:r>
        <w:rPr>
          <w:rFonts w:hint="eastAsia"/>
        </w:rPr>
        <w:t>评估主体作为委托方应依法依规择优选定第三方评估机构，并正式签订《委托合同书》。《委托合同书》内容主要包括：委托内容、评估费用、双方的权利和义务、争议解决和违约责任等。《委托合同书》样式参见附录A。</w:t>
      </w:r>
    </w:p>
    <w:p w14:paraId="68074D9D">
      <w:pPr>
        <w:pStyle w:val="93"/>
        <w:numPr>
          <w:ilvl w:val="2"/>
          <w:numId w:val="0"/>
        </w:numPr>
        <w:bidi w:val="0"/>
        <w:ind w:left="0" w:leftChars="0" w:firstLine="0" w:firstLineChars="0"/>
      </w:pPr>
      <w:r>
        <w:rPr>
          <w:rFonts w:hint="default" w:ascii="黑体" w:hAnsi="黑体" w:eastAsia="黑体" w:cs="黑体"/>
          <w:sz w:val="20"/>
        </w:rPr>
        <w:t>6.2.3　</w:t>
      </w:r>
      <w:r>
        <w:rPr>
          <w:rFonts w:hint="eastAsia"/>
        </w:rPr>
        <w:t>评估费用构成</w:t>
      </w:r>
    </w:p>
    <w:p w14:paraId="685E0754">
      <w:pPr>
        <w:pStyle w:val="44"/>
        <w:bidi w:val="0"/>
      </w:pPr>
      <w:r>
        <w:rPr>
          <w:rFonts w:hint="eastAsia"/>
        </w:rPr>
        <w:t>稳评收费实行市场调节价</w:t>
      </w:r>
      <w:r>
        <w:t>，</w:t>
      </w:r>
      <w:r>
        <w:rPr>
          <w:rFonts w:hint="eastAsia"/>
        </w:rPr>
        <w:t>应综合考虑公告公示、风险调查、报告编制等工作量、难易程度，以及受托方需投入的人力、物力、交通、管理成本及合理利润等因素确定。社会稳定风险评估费用构成要素、收费计算公式及调整系数参见附录B。</w:t>
      </w:r>
    </w:p>
    <w:p w14:paraId="72A51FF4">
      <w:pPr>
        <w:pStyle w:val="93"/>
        <w:numPr>
          <w:ilvl w:val="2"/>
          <w:numId w:val="0"/>
        </w:numPr>
        <w:bidi w:val="0"/>
        <w:ind w:left="0" w:leftChars="0" w:firstLine="0" w:firstLineChars="0"/>
      </w:pPr>
      <w:r>
        <w:rPr>
          <w:rFonts w:hint="default" w:ascii="黑体" w:hAnsi="黑体" w:eastAsia="黑体" w:cs="黑体"/>
          <w:sz w:val="20"/>
        </w:rPr>
        <w:t>6.2.4　</w:t>
      </w:r>
      <w:r>
        <w:rPr>
          <w:rFonts w:hint="eastAsia"/>
        </w:rPr>
        <w:t>资信管理</w:t>
      </w:r>
      <w:r>
        <w:t xml:space="preserve"> </w:t>
      </w:r>
    </w:p>
    <w:p w14:paraId="2FF1AC5D">
      <w:pPr>
        <w:pStyle w:val="44"/>
        <w:bidi w:val="0"/>
      </w:pPr>
      <w:r>
        <w:rPr>
          <w:rFonts w:hint="eastAsia"/>
        </w:rPr>
        <w:t>对第三方评估机构实行资信管理，包括正面资信评价、负面资信评价及不良记录。</w:t>
      </w:r>
    </w:p>
    <w:p w14:paraId="37117B93">
      <w:pPr>
        <w:pStyle w:val="79"/>
        <w:tabs>
          <w:tab w:val="clear" w:pos="851"/>
        </w:tabs>
        <w:bidi w:val="0"/>
        <w:ind w:left="851" w:leftChars="0" w:hanging="426" w:firstLineChars="0"/>
      </w:pPr>
      <w:r>
        <w:rPr>
          <w:rFonts w:hint="eastAsia"/>
        </w:rPr>
        <w:t>正面资信评价：</w:t>
      </w:r>
      <w:r>
        <w:t>承接的重大决策社会稳定风险评估事项被设区市及以上党委政法委</w:t>
      </w:r>
      <w:r>
        <w:rPr>
          <w:rFonts w:hint="eastAsia"/>
          <w:lang w:eastAsia="zh-CN"/>
        </w:rPr>
        <w:t>，或者</w:t>
      </w:r>
      <w:r>
        <w:t>被中国应急管理学会社会风险评估与治理工作委员会评为优秀案例的</w:t>
      </w:r>
      <w:r>
        <w:rPr>
          <w:rFonts w:hint="eastAsia"/>
        </w:rPr>
        <w:t>；</w:t>
      </w:r>
      <w:r>
        <w:t>因重大决策社会稳定风险评估工作被备案的党委政法委及以上机关表彰奖励的</w:t>
      </w:r>
      <w:r>
        <w:rPr>
          <w:rFonts w:hint="eastAsia"/>
        </w:rPr>
        <w:t>；</w:t>
      </w:r>
      <w:r>
        <w:t>因重大决策社会稳定风险评估工作被省级以上媒体宣传报道的</w:t>
      </w:r>
      <w:r>
        <w:rPr>
          <w:rFonts w:hint="eastAsia"/>
        </w:rPr>
        <w:t>；规范开展稳评，工作得到评估主体、备案机关、决策机关充分肯定认可的</w:t>
      </w:r>
      <w:r>
        <w:t>。</w:t>
      </w:r>
    </w:p>
    <w:p w14:paraId="63D72609">
      <w:pPr>
        <w:pStyle w:val="79"/>
        <w:tabs>
          <w:tab w:val="clear" w:pos="851"/>
        </w:tabs>
        <w:bidi w:val="0"/>
        <w:ind w:left="851" w:leftChars="0" w:hanging="426" w:firstLineChars="0"/>
      </w:pPr>
      <w:r>
        <w:rPr>
          <w:rFonts w:hint="eastAsia"/>
        </w:rPr>
        <w:t>负面资信评价：</w:t>
      </w:r>
      <w:r>
        <w:t>采取不正当竞争方式扰乱市场秩序的</w:t>
      </w:r>
      <w:r>
        <w:rPr>
          <w:rFonts w:hint="eastAsia"/>
        </w:rPr>
        <w:t>；</w:t>
      </w:r>
      <w:r>
        <w:t>转卖、转包已中标重大决策社会稳定风险评估业务的</w:t>
      </w:r>
      <w:r>
        <w:rPr>
          <w:rFonts w:hint="eastAsia"/>
        </w:rPr>
        <w:t>；</w:t>
      </w:r>
      <w:r>
        <w:t>弄虚作假、虚构风险调查资料或数据；以虚假信息、诱导性表述等方式获取专家咨询、论证或评审会肯定性意见；隐瞒社会稳定风险因素，故意压低或者抬高风险等级的</w:t>
      </w:r>
      <w:r>
        <w:rPr>
          <w:rFonts w:hint="eastAsia"/>
        </w:rPr>
        <w:t>；</w:t>
      </w:r>
      <w:r>
        <w:t>不严格执行《江西省重大决策社会稳定风险评估实施办法》引发了涉稳事端的</w:t>
      </w:r>
      <w:r>
        <w:rPr>
          <w:rFonts w:hint="eastAsia"/>
        </w:rPr>
        <w:t>；</w:t>
      </w:r>
      <w:r>
        <w:t>违反保密规定造成负面影响的</w:t>
      </w:r>
      <w:r>
        <w:rPr>
          <w:rFonts w:hint="eastAsia"/>
        </w:rPr>
        <w:t>；稳评报告质量差，同一评估事项在党委政法委备案审查中被三次以上退回要求补充修改的；</w:t>
      </w:r>
      <w:r>
        <w:rPr>
          <w:rFonts w:hint="eastAsia"/>
          <w:lang w:eastAsia="zh-CN"/>
        </w:rPr>
        <w:t>在党委政法委备案后</w:t>
      </w:r>
      <w:r>
        <w:rPr>
          <w:rFonts w:hint="eastAsia"/>
        </w:rPr>
        <w:t>两年内未开展稳评业务的；</w:t>
      </w:r>
      <w:r>
        <w:t>有其他违法违规行为的。</w:t>
      </w:r>
    </w:p>
    <w:p w14:paraId="4A5AEC7E">
      <w:pPr>
        <w:pStyle w:val="79"/>
        <w:tabs>
          <w:tab w:val="clear" w:pos="851"/>
        </w:tabs>
        <w:bidi w:val="0"/>
        <w:ind w:left="851" w:leftChars="0" w:hanging="426" w:firstLineChars="0"/>
      </w:pPr>
      <w:r>
        <w:rPr>
          <w:rFonts w:hint="eastAsia"/>
        </w:rPr>
        <w:t>不良记录：</w:t>
      </w:r>
      <w:r>
        <w:t>第三方评估机构出现负面资信评价事项之一时，视为不良行为，由备案的党委政法委视情预警提示、限期整改、取消备案，上报省委政法委作出不良行为记录并进行公告。</w:t>
      </w:r>
    </w:p>
    <w:p w14:paraId="05198941">
      <w:pPr>
        <w:pStyle w:val="91"/>
        <w:numPr>
          <w:ilvl w:val="0"/>
          <w:numId w:val="0"/>
        </w:numPr>
        <w:bidi w:val="0"/>
        <w:ind w:left="0" w:leftChars="0" w:firstLine="0" w:firstLineChars="0"/>
      </w:pPr>
      <w:bookmarkStart w:id="46" w:name="_Toc177670759"/>
      <w:r>
        <w:rPr>
          <w:rFonts w:hint="default" w:ascii="黑体" w:hAnsi="黑体" w:eastAsia="黑体" w:cs="黑体"/>
          <w:sz w:val="20"/>
        </w:rPr>
        <w:t>7　</w:t>
      </w:r>
      <w:r>
        <w:rPr>
          <w:rFonts w:hint="eastAsia"/>
        </w:rPr>
        <w:t>评估程序</w:t>
      </w:r>
      <w:bookmarkEnd w:id="46"/>
    </w:p>
    <w:p w14:paraId="5CF66A7C">
      <w:pPr>
        <w:pStyle w:val="92"/>
        <w:numPr>
          <w:ilvl w:val="1"/>
          <w:numId w:val="0"/>
        </w:numPr>
        <w:bidi w:val="0"/>
        <w:ind w:left="0" w:leftChars="0" w:firstLine="0" w:firstLineChars="0"/>
      </w:pPr>
      <w:bookmarkStart w:id="47" w:name="_Toc177670760"/>
      <w:r>
        <w:rPr>
          <w:rFonts w:hint="default" w:ascii="黑体" w:hAnsi="黑体" w:eastAsia="黑体" w:cs="黑体"/>
          <w:sz w:val="20"/>
        </w:rPr>
        <w:t>7.1　</w:t>
      </w:r>
      <w:r>
        <w:rPr>
          <w:rFonts w:hint="eastAsia"/>
        </w:rPr>
        <w:t>评估工作启动</w:t>
      </w:r>
      <w:bookmarkEnd w:id="47"/>
    </w:p>
    <w:p w14:paraId="008B98C1">
      <w:pPr>
        <w:pStyle w:val="44"/>
        <w:bidi w:val="0"/>
      </w:pPr>
      <w:r>
        <w:rPr>
          <w:rFonts w:hint="eastAsia"/>
        </w:rPr>
        <w:t>重大政策制定或调整类</w:t>
      </w:r>
      <w:r>
        <w:rPr>
          <w:rFonts w:hint="eastAsia"/>
          <w:lang w:eastAsia="zh-CN"/>
        </w:rPr>
        <w:t>、</w:t>
      </w:r>
      <w:r>
        <w:rPr>
          <w:rFonts w:hint="eastAsia"/>
        </w:rPr>
        <w:t>重大改革改制举措出台类</w:t>
      </w:r>
      <w:r>
        <w:rPr>
          <w:rFonts w:hint="eastAsia"/>
          <w:lang w:eastAsia="zh-CN"/>
        </w:rPr>
        <w:t>、</w:t>
      </w:r>
      <w:r>
        <w:rPr>
          <w:rFonts w:hint="eastAsia"/>
        </w:rPr>
        <w:t>重大活动</w:t>
      </w:r>
      <w:r>
        <w:rPr>
          <w:rFonts w:hint="eastAsia"/>
          <w:lang w:eastAsia="zh-CN"/>
        </w:rPr>
        <w:t>安排</w:t>
      </w:r>
      <w:r>
        <w:rPr>
          <w:rFonts w:hint="eastAsia"/>
        </w:rPr>
        <w:t>类</w:t>
      </w:r>
      <w:r>
        <w:rPr>
          <w:rFonts w:hint="eastAsia"/>
          <w:lang w:eastAsia="zh-CN"/>
        </w:rPr>
        <w:t>等决策</w:t>
      </w:r>
      <w:r>
        <w:rPr>
          <w:rFonts w:hint="eastAsia"/>
        </w:rPr>
        <w:t>事项的稳评工作</w:t>
      </w:r>
      <w:r>
        <w:rPr>
          <w:rFonts w:hint="eastAsia"/>
          <w:lang w:eastAsia="zh-CN"/>
        </w:rPr>
        <w:t>，</w:t>
      </w:r>
      <w:r>
        <w:rPr>
          <w:rFonts w:hint="eastAsia"/>
        </w:rPr>
        <w:t>通常在</w:t>
      </w:r>
      <w:r>
        <w:rPr>
          <w:rFonts w:hint="eastAsia"/>
          <w:lang w:eastAsia="zh-CN"/>
        </w:rPr>
        <w:t>调研酝酿阶段由评估主体启动社会稳定风险评估程序；</w:t>
      </w:r>
      <w:r>
        <w:rPr>
          <w:rFonts w:hint="eastAsia"/>
        </w:rPr>
        <w:t>重大项目建设类决策事项一般在可行性研究</w:t>
      </w:r>
      <w:r>
        <w:rPr>
          <w:rFonts w:hint="eastAsia"/>
          <w:lang w:eastAsia="zh-CN"/>
        </w:rPr>
        <w:t>或项目申请报告编制阶段，由评估主体启动社会稳定风险评估程序</w:t>
      </w:r>
      <w:r>
        <w:rPr>
          <w:rFonts w:hint="eastAsia"/>
        </w:rPr>
        <w:t>。</w:t>
      </w:r>
    </w:p>
    <w:p w14:paraId="75199E9C">
      <w:pPr>
        <w:pStyle w:val="92"/>
        <w:numPr>
          <w:ilvl w:val="1"/>
          <w:numId w:val="0"/>
        </w:numPr>
        <w:bidi w:val="0"/>
        <w:ind w:left="0" w:leftChars="0" w:firstLine="0" w:firstLineChars="0"/>
      </w:pPr>
      <w:bookmarkStart w:id="48" w:name="_Toc177670761"/>
      <w:r>
        <w:rPr>
          <w:rFonts w:hint="default" w:ascii="黑体" w:hAnsi="黑体" w:eastAsia="黑体" w:cs="黑体"/>
          <w:sz w:val="20"/>
        </w:rPr>
        <w:t>7.2　</w:t>
      </w:r>
      <w:r>
        <w:rPr>
          <w:rFonts w:hint="eastAsia"/>
        </w:rPr>
        <w:t>评估程序划分</w:t>
      </w:r>
      <w:bookmarkEnd w:id="48"/>
    </w:p>
    <w:p w14:paraId="5C48EA08">
      <w:pPr>
        <w:pStyle w:val="44"/>
        <w:bidi w:val="0"/>
      </w:pPr>
      <w:r>
        <w:rPr>
          <w:rFonts w:hint="eastAsia"/>
        </w:rPr>
        <w:t>评估程序分为简易程序和普通程序。</w:t>
      </w:r>
    </w:p>
    <w:p w14:paraId="03FD8E19">
      <w:pPr>
        <w:pStyle w:val="93"/>
        <w:numPr>
          <w:ilvl w:val="2"/>
          <w:numId w:val="0"/>
        </w:numPr>
        <w:bidi w:val="0"/>
        <w:ind w:left="0" w:leftChars="0" w:firstLine="0" w:firstLineChars="0"/>
      </w:pPr>
      <w:r>
        <w:rPr>
          <w:rFonts w:hint="default" w:ascii="黑体" w:hAnsi="黑体" w:eastAsia="黑体" w:cs="黑体"/>
          <w:sz w:val="20"/>
        </w:rPr>
        <w:t>7.2.1　</w:t>
      </w:r>
      <w:r>
        <w:rPr>
          <w:rFonts w:hint="eastAsia"/>
        </w:rPr>
        <w:t>简易程序</w:t>
      </w:r>
    </w:p>
    <w:p w14:paraId="7A603369">
      <w:pPr>
        <w:pStyle w:val="79"/>
        <w:numPr>
          <w:ilvl w:val="0"/>
          <w:numId w:val="18"/>
        </w:numPr>
        <w:bidi w:val="0"/>
        <w:ind w:left="851" w:leftChars="0" w:hanging="426" w:firstLineChars="0"/>
      </w:pPr>
      <w:r>
        <w:rPr>
          <w:rFonts w:hint="eastAsia"/>
        </w:rPr>
        <w:t>适用范围。有下列情形之一的，可以适用简易程序。</w:t>
      </w:r>
    </w:p>
    <w:p w14:paraId="67F87A84">
      <w:pPr>
        <w:pStyle w:val="76"/>
        <w:bidi w:val="0"/>
      </w:pPr>
      <w:r>
        <w:rPr>
          <w:rFonts w:hint="eastAsia"/>
        </w:rPr>
        <w:t>不涉及“邻避”问题、征地拆迁、环评的重大项目建设；</w:t>
      </w:r>
    </w:p>
    <w:p w14:paraId="6A3BB0B2">
      <w:pPr>
        <w:pStyle w:val="76"/>
        <w:bidi w:val="0"/>
      </w:pPr>
      <w:r>
        <w:rPr>
          <w:rFonts w:hint="eastAsia"/>
        </w:rPr>
        <w:t>未达到大型群众性活动标准的相关活动；</w:t>
      </w:r>
    </w:p>
    <w:p w14:paraId="3DC20D8C">
      <w:pPr>
        <w:pStyle w:val="76"/>
        <w:bidi w:val="0"/>
      </w:pPr>
      <w:r>
        <w:rPr>
          <w:rFonts w:hint="eastAsia"/>
        </w:rPr>
        <w:t>矛盾问题相对集中单一，且比较容易化解，评估主体经集体分析研判，并征询同级党委政法委和相关职能部门以及相关基层组织意见，认为决策风险较小的。</w:t>
      </w:r>
    </w:p>
    <w:p w14:paraId="46243E95">
      <w:pPr>
        <w:pStyle w:val="79"/>
        <w:numPr>
          <w:ilvl w:val="0"/>
          <w:numId w:val="18"/>
        </w:numPr>
        <w:bidi w:val="0"/>
      </w:pPr>
      <w:r>
        <w:rPr>
          <w:rFonts w:hint="eastAsia"/>
        </w:rPr>
        <w:t>评估流程。简易程序应当严格遵循以下流程：</w:t>
      </w:r>
    </w:p>
    <w:p w14:paraId="153F8205">
      <w:pPr>
        <w:pStyle w:val="76"/>
        <w:bidi w:val="0"/>
      </w:pPr>
      <w:r>
        <w:rPr>
          <w:rFonts w:hint="eastAsia"/>
        </w:rPr>
        <w:t>风险排查。评估主体召开基层组织、相关部门、直接利益关系群众代表参加的座谈会，收集诉求与意见建议。</w:t>
      </w:r>
    </w:p>
    <w:p w14:paraId="45B7FEA6">
      <w:pPr>
        <w:pStyle w:val="76"/>
        <w:bidi w:val="0"/>
      </w:pPr>
      <w:r>
        <w:rPr>
          <w:rFonts w:hint="eastAsia"/>
        </w:rPr>
        <w:t>分析论证。根据风险排查情况，评估主体召开本单位防范化解社会稳定风险专题会议，就拟决策事项的合法性、合理性、可行性、可控性进行论证，作出评估结论。</w:t>
      </w:r>
    </w:p>
    <w:p w14:paraId="3708A655">
      <w:pPr>
        <w:pStyle w:val="76"/>
        <w:bidi w:val="0"/>
      </w:pPr>
      <w:r>
        <w:rPr>
          <w:rFonts w:hint="eastAsia"/>
        </w:rPr>
        <w:t>落实责任。评估主体逐一明确风险防范化解的责任领导、责任部门、具体责任人、具体措施与化解期限。</w:t>
      </w:r>
    </w:p>
    <w:p w14:paraId="23053996">
      <w:pPr>
        <w:pStyle w:val="76"/>
        <w:bidi w:val="0"/>
      </w:pPr>
      <w:r>
        <w:rPr>
          <w:rFonts w:hint="eastAsia"/>
        </w:rPr>
        <w:t>备案建档。评估主体编写社会稳定风险评估简易程序备案表，送同级党委政法委备案后，按要求建立评估档案。</w:t>
      </w:r>
      <w:r>
        <w:t xml:space="preserve"> </w:t>
      </w:r>
    </w:p>
    <w:p w14:paraId="1FA3D090">
      <w:pPr>
        <w:pStyle w:val="93"/>
        <w:numPr>
          <w:ilvl w:val="2"/>
          <w:numId w:val="0"/>
        </w:numPr>
        <w:bidi w:val="0"/>
        <w:ind w:left="0" w:leftChars="0" w:firstLine="0" w:firstLineChars="0"/>
      </w:pPr>
      <w:r>
        <w:rPr>
          <w:rFonts w:hint="default" w:ascii="黑体" w:hAnsi="黑体" w:eastAsia="黑体" w:cs="黑体"/>
          <w:sz w:val="20"/>
        </w:rPr>
        <w:t>7.2.2　</w:t>
      </w:r>
      <w:r>
        <w:rPr>
          <w:rFonts w:hint="eastAsia"/>
        </w:rPr>
        <w:t>普通程序</w:t>
      </w:r>
    </w:p>
    <w:p w14:paraId="57A24D60">
      <w:pPr>
        <w:pStyle w:val="44"/>
        <w:bidi w:val="0"/>
      </w:pPr>
      <w:r>
        <w:rPr>
          <w:rFonts w:hint="eastAsia"/>
        </w:rPr>
        <w:t>原则上，重大决策事项的稳评按普通程序进行。开展的流程参见7</w:t>
      </w:r>
      <w:r>
        <w:t>.</w:t>
      </w:r>
      <w:r>
        <w:rPr>
          <w:rFonts w:hint="eastAsia"/>
        </w:rPr>
        <w:t>3</w:t>
      </w:r>
      <w:r>
        <w:t>-</w:t>
      </w:r>
      <w:r>
        <w:rPr>
          <w:rFonts w:hint="eastAsia"/>
        </w:rPr>
        <w:t>7</w:t>
      </w:r>
      <w:r>
        <w:t>.</w:t>
      </w:r>
      <w:r>
        <w:rPr>
          <w:rFonts w:hint="eastAsia"/>
        </w:rPr>
        <w:t>10。</w:t>
      </w:r>
      <w:r>
        <w:t xml:space="preserve"> </w:t>
      </w:r>
    </w:p>
    <w:p w14:paraId="00BEF891">
      <w:pPr>
        <w:pStyle w:val="92"/>
        <w:numPr>
          <w:ilvl w:val="1"/>
          <w:numId w:val="0"/>
        </w:numPr>
        <w:bidi w:val="0"/>
        <w:ind w:left="0" w:leftChars="0" w:firstLine="0" w:firstLineChars="0"/>
      </w:pPr>
      <w:bookmarkStart w:id="49" w:name="_Toc177670762"/>
      <w:r>
        <w:rPr>
          <w:rFonts w:hint="default" w:ascii="黑体" w:hAnsi="黑体" w:eastAsia="黑体" w:cs="黑体"/>
          <w:sz w:val="20"/>
        </w:rPr>
        <w:t>7.3　</w:t>
      </w:r>
      <w:r>
        <w:rPr>
          <w:rFonts w:hint="eastAsia"/>
        </w:rPr>
        <w:t>评估方案制定</w:t>
      </w:r>
      <w:bookmarkEnd w:id="49"/>
      <w:r>
        <w:t xml:space="preserve"> </w:t>
      </w:r>
    </w:p>
    <w:p w14:paraId="4394C559">
      <w:pPr>
        <w:pStyle w:val="44"/>
        <w:bidi w:val="0"/>
      </w:pPr>
      <w:r>
        <w:rPr>
          <w:rFonts w:hint="eastAsia"/>
        </w:rPr>
        <w:t>评估主体应当按照一事项一方案要求编制评估方案，包括但不限于以下内容：</w:t>
      </w:r>
      <w:r>
        <w:t xml:space="preserve"> </w:t>
      </w:r>
    </w:p>
    <w:p w14:paraId="68FF6035">
      <w:pPr>
        <w:pStyle w:val="76"/>
        <w:bidi w:val="0"/>
      </w:pPr>
      <w:r>
        <w:rPr>
          <w:rFonts w:hint="eastAsia"/>
        </w:rPr>
        <w:t>重大决策事项简要情况；</w:t>
      </w:r>
    </w:p>
    <w:p w14:paraId="17508A83">
      <w:pPr>
        <w:pStyle w:val="76"/>
        <w:bidi w:val="0"/>
      </w:pPr>
      <w:r>
        <w:rPr>
          <w:rFonts w:hint="eastAsia"/>
        </w:rPr>
        <w:t>评估人员组成和职责分工；</w:t>
      </w:r>
    </w:p>
    <w:p w14:paraId="673061D0">
      <w:pPr>
        <w:pStyle w:val="76"/>
        <w:bidi w:val="0"/>
      </w:pPr>
      <w:r>
        <w:rPr>
          <w:rFonts w:hint="eastAsia"/>
        </w:rPr>
        <w:t>评估方式和内容；</w:t>
      </w:r>
    </w:p>
    <w:p w14:paraId="0DF3EEA5">
      <w:pPr>
        <w:pStyle w:val="76"/>
        <w:bidi w:val="0"/>
      </w:pPr>
      <w:r>
        <w:rPr>
          <w:rFonts w:hint="eastAsia"/>
        </w:rPr>
        <w:t>评估程序、完成时限和进度安排；</w:t>
      </w:r>
    </w:p>
    <w:p w14:paraId="3493D9A5">
      <w:pPr>
        <w:pStyle w:val="76"/>
        <w:bidi w:val="0"/>
      </w:pPr>
      <w:r>
        <w:rPr>
          <w:rFonts w:hint="eastAsia"/>
        </w:rPr>
        <w:t>风险调查的范围、对象和方式方法；</w:t>
      </w:r>
    </w:p>
    <w:p w14:paraId="7DE4843B">
      <w:pPr>
        <w:pStyle w:val="76"/>
        <w:bidi w:val="0"/>
      </w:pPr>
      <w:r>
        <w:rPr>
          <w:rFonts w:hint="eastAsia"/>
        </w:rPr>
        <w:t>评估的重点和难点；</w:t>
      </w:r>
    </w:p>
    <w:p w14:paraId="41E96DD1">
      <w:pPr>
        <w:pStyle w:val="76"/>
        <w:bidi w:val="0"/>
      </w:pPr>
      <w:r>
        <w:rPr>
          <w:rFonts w:hint="eastAsia"/>
        </w:rPr>
        <w:t>评估经费保障；</w:t>
      </w:r>
    </w:p>
    <w:p w14:paraId="09C45179">
      <w:pPr>
        <w:pStyle w:val="76"/>
        <w:bidi w:val="0"/>
      </w:pPr>
      <w:r>
        <w:rPr>
          <w:rFonts w:hint="eastAsia"/>
        </w:rPr>
        <w:t>其他需要列入方案的事宜。</w:t>
      </w:r>
    </w:p>
    <w:p w14:paraId="63FE6E69">
      <w:pPr>
        <w:pStyle w:val="92"/>
        <w:numPr>
          <w:ilvl w:val="1"/>
          <w:numId w:val="0"/>
        </w:numPr>
        <w:bidi w:val="0"/>
        <w:ind w:left="0" w:leftChars="0" w:firstLine="0" w:firstLineChars="0"/>
      </w:pPr>
      <w:bookmarkStart w:id="50" w:name="_Toc177670763"/>
      <w:r>
        <w:rPr>
          <w:rFonts w:hint="default" w:ascii="黑体" w:hAnsi="黑体" w:eastAsia="黑体" w:cs="黑体"/>
          <w:sz w:val="20"/>
        </w:rPr>
        <w:t>7.4　</w:t>
      </w:r>
      <w:r>
        <w:rPr>
          <w:rFonts w:hint="eastAsia"/>
        </w:rPr>
        <w:t>风险调查开展</w:t>
      </w:r>
      <w:bookmarkEnd w:id="50"/>
    </w:p>
    <w:p w14:paraId="6969C9DE">
      <w:pPr>
        <w:pStyle w:val="44"/>
        <w:bidi w:val="0"/>
      </w:pPr>
      <w:r>
        <w:rPr>
          <w:rFonts w:hint="eastAsia"/>
        </w:rPr>
        <w:t>主要包括公示、调查范围、调查内容和调查方法。</w:t>
      </w:r>
    </w:p>
    <w:p w14:paraId="49C1700C">
      <w:pPr>
        <w:pStyle w:val="93"/>
        <w:numPr>
          <w:ilvl w:val="2"/>
          <w:numId w:val="0"/>
        </w:numPr>
        <w:bidi w:val="0"/>
        <w:ind w:left="0" w:leftChars="0" w:firstLine="0" w:firstLineChars="0"/>
      </w:pPr>
      <w:r>
        <w:rPr>
          <w:rFonts w:hint="default" w:ascii="黑体" w:hAnsi="黑体" w:eastAsia="黑体" w:cs="黑体"/>
          <w:sz w:val="20"/>
        </w:rPr>
        <w:t>7.4.1　</w:t>
      </w:r>
      <w:r>
        <w:rPr>
          <w:rFonts w:hint="eastAsia"/>
        </w:rPr>
        <w:t>公示</w:t>
      </w:r>
    </w:p>
    <w:p w14:paraId="23174456">
      <w:pPr>
        <w:pStyle w:val="44"/>
        <w:bidi w:val="0"/>
      </w:pPr>
      <w:r>
        <w:rPr>
          <w:rFonts w:hint="eastAsia"/>
        </w:rPr>
        <w:t>根据决策事项性质，按规定在相应范围内予以公示，明确群众表达意见的渠道、方式和期限。</w:t>
      </w:r>
    </w:p>
    <w:p w14:paraId="7214CC4B">
      <w:pPr>
        <w:pStyle w:val="79"/>
        <w:numPr>
          <w:ilvl w:val="0"/>
          <w:numId w:val="19"/>
        </w:numPr>
        <w:bidi w:val="0"/>
        <w:ind w:left="851" w:leftChars="0" w:hanging="426" w:firstLineChars="0"/>
      </w:pPr>
      <w:r>
        <w:rPr>
          <w:rFonts w:hint="eastAsia"/>
        </w:rPr>
        <w:t>公示内容。</w:t>
      </w:r>
    </w:p>
    <w:p w14:paraId="666DCFF0">
      <w:pPr>
        <w:pStyle w:val="76"/>
        <w:bidi w:val="0"/>
      </w:pPr>
      <w:r>
        <w:rPr>
          <w:rFonts w:hint="eastAsia"/>
        </w:rPr>
        <w:t>决策事项的基本情况；</w:t>
      </w:r>
    </w:p>
    <w:p w14:paraId="73C0AA65">
      <w:pPr>
        <w:pStyle w:val="76"/>
        <w:bidi w:val="0"/>
      </w:pPr>
      <w:r>
        <w:rPr>
          <w:rFonts w:hint="eastAsia"/>
        </w:rPr>
        <w:t>决策事项可能影响的范围和对象；</w:t>
      </w:r>
    </w:p>
    <w:p w14:paraId="05B3D1F4">
      <w:pPr>
        <w:pStyle w:val="76"/>
        <w:bidi w:val="0"/>
      </w:pPr>
      <w:r>
        <w:rPr>
          <w:rFonts w:hint="eastAsia"/>
        </w:rPr>
        <w:t>公示的截止时间；</w:t>
      </w:r>
    </w:p>
    <w:p w14:paraId="46FD6738">
      <w:pPr>
        <w:pStyle w:val="76"/>
        <w:bidi w:val="0"/>
      </w:pPr>
      <w:r>
        <w:rPr>
          <w:rFonts w:hint="eastAsia"/>
        </w:rPr>
        <w:t>公众反馈意见的方式和渠道；</w:t>
      </w:r>
    </w:p>
    <w:p w14:paraId="22761142">
      <w:pPr>
        <w:pStyle w:val="76"/>
        <w:bidi w:val="0"/>
      </w:pPr>
      <w:r>
        <w:rPr>
          <w:rFonts w:hint="eastAsia"/>
        </w:rPr>
        <w:t>联系人、联系方式和联系地址；</w:t>
      </w:r>
    </w:p>
    <w:p w14:paraId="6C136DA6">
      <w:pPr>
        <w:pStyle w:val="76"/>
        <w:bidi w:val="0"/>
      </w:pPr>
      <w:r>
        <w:rPr>
          <w:rFonts w:hint="eastAsia"/>
        </w:rPr>
        <w:t>其他需要公示的内容。</w:t>
      </w:r>
    </w:p>
    <w:p w14:paraId="4D6BB489">
      <w:pPr>
        <w:pStyle w:val="79"/>
        <w:numPr>
          <w:ilvl w:val="0"/>
          <w:numId w:val="19"/>
        </w:numPr>
        <w:bidi w:val="0"/>
        <w:ind w:left="851" w:leftChars="0" w:hanging="426" w:firstLineChars="0"/>
      </w:pPr>
      <w:r>
        <w:rPr>
          <w:rFonts w:hint="eastAsia"/>
        </w:rPr>
        <w:t>公示方式。可选择以下</w:t>
      </w:r>
      <w:r>
        <w:rPr>
          <w:rFonts w:hint="eastAsia"/>
          <w:lang w:eastAsia="zh-CN"/>
        </w:rPr>
        <w:t>两种以上</w:t>
      </w:r>
      <w:r>
        <w:rPr>
          <w:rFonts w:hint="eastAsia"/>
        </w:rPr>
        <w:t>方式：</w:t>
      </w:r>
    </w:p>
    <w:p w14:paraId="60B6D19C">
      <w:pPr>
        <w:pStyle w:val="76"/>
        <w:bidi w:val="0"/>
      </w:pPr>
      <w:r>
        <w:rPr>
          <w:rFonts w:hint="eastAsia"/>
        </w:rPr>
        <w:t>在利益相关者聚居区、人员密集或人流量大的地点以及主要的办事、议事场所张贴公示；</w:t>
      </w:r>
    </w:p>
    <w:p w14:paraId="29213158">
      <w:pPr>
        <w:pStyle w:val="76"/>
        <w:bidi w:val="0"/>
      </w:pPr>
      <w:r>
        <w:rPr>
          <w:rFonts w:hint="eastAsia"/>
        </w:rPr>
        <w:t>在电视、电台、报纸或门户网站等媒体发布公告；</w:t>
      </w:r>
    </w:p>
    <w:p w14:paraId="4116A452">
      <w:pPr>
        <w:pStyle w:val="76"/>
        <w:bidi w:val="0"/>
      </w:pPr>
      <w:r>
        <w:rPr>
          <w:rFonts w:hint="eastAsia"/>
        </w:rPr>
        <w:t>采用电话、短信、邮件、QQ、微信、上门通知、直接派送公示材料等方式进行告知。</w:t>
      </w:r>
    </w:p>
    <w:p w14:paraId="5B65762D">
      <w:pPr>
        <w:pStyle w:val="79"/>
        <w:numPr>
          <w:ilvl w:val="0"/>
          <w:numId w:val="19"/>
        </w:numPr>
        <w:bidi w:val="0"/>
      </w:pPr>
      <w:r>
        <w:rPr>
          <w:rFonts w:hint="eastAsia"/>
        </w:rPr>
        <w:t>公示要求。</w:t>
      </w:r>
    </w:p>
    <w:p w14:paraId="157DE267">
      <w:pPr>
        <w:pStyle w:val="76"/>
        <w:bidi w:val="0"/>
      </w:pPr>
      <w:r>
        <w:rPr>
          <w:rFonts w:hint="eastAsia"/>
        </w:rPr>
        <w:t>委托受托方评估的，受托方应将公示材料报经评估主体审核同意后发布；</w:t>
      </w:r>
    </w:p>
    <w:p w14:paraId="28F8D473">
      <w:pPr>
        <w:pStyle w:val="76"/>
        <w:bidi w:val="0"/>
      </w:pPr>
      <w:r>
        <w:rPr>
          <w:rFonts w:hint="eastAsia"/>
        </w:rPr>
        <w:t>应充分考虑公示后可能引发的次生风险，密切关注动态，提前制定风险防范化解预案；</w:t>
      </w:r>
      <w:r>
        <w:t xml:space="preserve"> </w:t>
      </w:r>
    </w:p>
    <w:p w14:paraId="764280A7">
      <w:pPr>
        <w:pStyle w:val="76"/>
        <w:bidi w:val="0"/>
      </w:pPr>
      <w:r>
        <w:rPr>
          <w:rFonts w:hint="eastAsia"/>
        </w:rPr>
        <w:t>公示的联系方式须确保畅通，联系人要耐心细致、认真负责地接收公众反馈意见，并客观记录在案；</w:t>
      </w:r>
    </w:p>
    <w:p w14:paraId="53972146">
      <w:pPr>
        <w:pStyle w:val="76"/>
        <w:bidi w:val="0"/>
      </w:pPr>
      <w:r>
        <w:rPr>
          <w:rFonts w:hint="eastAsia"/>
        </w:rPr>
        <w:t>有“邻避”效应的环境敏感性建设项目、土地征收项目、房屋征收项目以及其他涉及人数众多的决策事项的公示时间不宜低于</w:t>
      </w:r>
      <w:r>
        <w:t>10</w:t>
      </w:r>
      <w:r>
        <w:rPr>
          <w:rFonts w:hint="eastAsia"/>
        </w:rPr>
        <w:t>个工作日，其他决策事项的公示时间不宜低于</w:t>
      </w:r>
      <w:r>
        <w:t>7</w:t>
      </w:r>
      <w:r>
        <w:rPr>
          <w:rFonts w:hint="eastAsia"/>
        </w:rPr>
        <w:t>个工作日；</w:t>
      </w:r>
    </w:p>
    <w:p w14:paraId="20083E19">
      <w:pPr>
        <w:pStyle w:val="76"/>
        <w:bidi w:val="0"/>
      </w:pPr>
      <w:r>
        <w:rPr>
          <w:rFonts w:hint="eastAsia"/>
        </w:rPr>
        <w:t>留存张贴或发布公告公示的照片或图片。</w:t>
      </w:r>
    </w:p>
    <w:p w14:paraId="113252A8">
      <w:pPr>
        <w:pStyle w:val="93"/>
        <w:numPr>
          <w:ilvl w:val="2"/>
          <w:numId w:val="0"/>
        </w:numPr>
        <w:bidi w:val="0"/>
        <w:ind w:left="0" w:leftChars="0" w:firstLine="0" w:firstLineChars="0"/>
      </w:pPr>
      <w:r>
        <w:rPr>
          <w:rFonts w:hint="default" w:ascii="黑体" w:hAnsi="黑体" w:eastAsia="黑体" w:cs="黑体"/>
          <w:sz w:val="20"/>
        </w:rPr>
        <w:t>7.4.2　</w:t>
      </w:r>
      <w:r>
        <w:rPr>
          <w:rFonts w:hint="eastAsia"/>
        </w:rPr>
        <w:t>调查范围</w:t>
      </w:r>
    </w:p>
    <w:p w14:paraId="295FD10F">
      <w:pPr>
        <w:pStyle w:val="44"/>
        <w:bidi w:val="0"/>
      </w:pPr>
      <w:r>
        <w:rPr>
          <w:rFonts w:hint="eastAsia"/>
        </w:rPr>
        <w:t>调查范围应坚持分层、分级、分类原则，总体要求是全面反映各利益相关人员和群体意见。</w:t>
      </w:r>
    </w:p>
    <w:p w14:paraId="43E45FFA">
      <w:pPr>
        <w:pStyle w:val="44"/>
        <w:bidi w:val="0"/>
      </w:pPr>
      <w:r>
        <w:rPr>
          <w:rFonts w:hint="eastAsia"/>
        </w:rPr>
        <w:t>对受决策事项影响较大的企事业单位、群体、有特殊困难的家庭和个人应当重点走访，当面听取意见，并说明决策的法律和政策依据、决策方案、决策可能产生的影响，以便群众了解真实情况、表达真实意见。</w:t>
      </w:r>
    </w:p>
    <w:p w14:paraId="5D9863AF">
      <w:pPr>
        <w:pStyle w:val="44"/>
        <w:bidi w:val="0"/>
      </w:pPr>
      <w:r>
        <w:rPr>
          <w:rFonts w:hint="eastAsia"/>
        </w:rPr>
        <w:t>不同决策事项的风险调查范围、调查户数和抽样标准应符合</w:t>
      </w:r>
      <w:r>
        <w:fldChar w:fldCharType="begin"/>
      </w:r>
      <w:r>
        <w:instrText xml:space="preserve"> HYPERLINK \l "_附录C" </w:instrText>
      </w:r>
      <w:r>
        <w:fldChar w:fldCharType="separate"/>
      </w:r>
      <w:r>
        <w:rPr>
          <w:rFonts w:hint="eastAsia"/>
        </w:rPr>
        <w:t>附录</w:t>
      </w:r>
      <w:r>
        <w:rPr>
          <w:rFonts w:hint="eastAsia"/>
        </w:rPr>
        <w:fldChar w:fldCharType="end"/>
      </w:r>
      <w:r>
        <w:rPr>
          <w:rFonts w:hint="eastAsia"/>
        </w:rPr>
        <w:t>C的规定。</w:t>
      </w:r>
    </w:p>
    <w:p w14:paraId="31D858A8">
      <w:pPr>
        <w:pStyle w:val="93"/>
        <w:numPr>
          <w:ilvl w:val="2"/>
          <w:numId w:val="0"/>
        </w:numPr>
        <w:bidi w:val="0"/>
        <w:ind w:left="0" w:leftChars="0" w:firstLine="0" w:firstLineChars="0"/>
      </w:pPr>
      <w:r>
        <w:rPr>
          <w:rFonts w:hint="default" w:ascii="黑体" w:hAnsi="黑体" w:eastAsia="黑体" w:cs="黑体"/>
          <w:sz w:val="20"/>
        </w:rPr>
        <w:t>7.4.3　</w:t>
      </w:r>
      <w:r>
        <w:rPr>
          <w:rFonts w:hint="eastAsia"/>
        </w:rPr>
        <w:t>调查内容</w:t>
      </w:r>
    </w:p>
    <w:p w14:paraId="01530BF9">
      <w:pPr>
        <w:pStyle w:val="44"/>
        <w:bidi w:val="0"/>
      </w:pPr>
      <w:r>
        <w:rPr>
          <w:rFonts w:hint="eastAsia"/>
        </w:rPr>
        <w:t>调查内容主要包括决策事项的公众知晓度、支持认可度、相关诉求、意见建议等。</w:t>
      </w:r>
    </w:p>
    <w:p w14:paraId="39088B17">
      <w:pPr>
        <w:pStyle w:val="93"/>
        <w:numPr>
          <w:ilvl w:val="2"/>
          <w:numId w:val="0"/>
        </w:numPr>
        <w:bidi w:val="0"/>
        <w:ind w:left="0" w:leftChars="0" w:firstLine="0" w:firstLineChars="0"/>
      </w:pPr>
      <w:r>
        <w:rPr>
          <w:rFonts w:hint="default" w:ascii="黑体" w:hAnsi="黑体" w:eastAsia="黑体" w:cs="黑体"/>
          <w:sz w:val="20"/>
        </w:rPr>
        <w:t>7.4.4　</w:t>
      </w:r>
      <w:r>
        <w:rPr>
          <w:rFonts w:hint="eastAsia"/>
        </w:rPr>
        <w:t>调查方法</w:t>
      </w:r>
    </w:p>
    <w:p w14:paraId="195CFB50">
      <w:pPr>
        <w:pStyle w:val="44"/>
        <w:bidi w:val="0"/>
      </w:pPr>
      <w:r>
        <w:rPr>
          <w:rFonts w:hint="eastAsia"/>
        </w:rPr>
        <w:t>调查方法是指为达到调查目的所采取的多种途径和手段。调查方法包括：</w:t>
      </w:r>
    </w:p>
    <w:p w14:paraId="7872DA8A">
      <w:pPr>
        <w:pStyle w:val="79"/>
        <w:numPr>
          <w:ilvl w:val="0"/>
          <w:numId w:val="20"/>
        </w:numPr>
        <w:bidi w:val="0"/>
        <w:ind w:left="851" w:leftChars="0" w:hanging="426" w:firstLineChars="0"/>
      </w:pPr>
      <w:r>
        <w:rPr>
          <w:rFonts w:hint="eastAsia"/>
        </w:rPr>
        <w:t>问卷法</w:t>
      </w:r>
    </w:p>
    <w:p w14:paraId="60EC114B">
      <w:pPr>
        <w:pStyle w:val="44"/>
        <w:bidi w:val="0"/>
      </w:pPr>
      <w:r>
        <w:rPr>
          <w:rFonts w:hint="eastAsia"/>
        </w:rPr>
        <w:t>通过问卷调查客观反映被调查者对决策事项社会影响的认知、实施的态度和风险防范化解工作的意见和建议，调查人员应在调查问卷上签字。问卷调查样表参见</w:t>
      </w:r>
      <w:r>
        <w:fldChar w:fldCharType="begin"/>
      </w:r>
      <w:r>
        <w:instrText xml:space="preserve"> HYPERLINK \l "_附录C" </w:instrText>
      </w:r>
      <w:r>
        <w:fldChar w:fldCharType="separate"/>
      </w:r>
      <w:r>
        <w:rPr>
          <w:rStyle w:val="29"/>
          <w:rFonts w:hint="eastAsia" w:ascii="宋体" w:hAnsi="宋体" w:eastAsia="宋体"/>
          <w:color w:val="000000" w:themeColor="text1"/>
          <w:szCs w:val="28"/>
          <w:u w:val="none"/>
          <w14:textFill>
            <w14:solidFill>
              <w14:schemeClr w14:val="tx1"/>
            </w14:solidFill>
          </w14:textFill>
        </w:rPr>
        <w:t>附录</w:t>
      </w:r>
      <w:r>
        <w:rPr>
          <w:rStyle w:val="29"/>
          <w:rFonts w:ascii="宋体" w:hAnsi="宋体" w:eastAsia="宋体"/>
          <w:color w:val="000000" w:themeColor="text1"/>
          <w:szCs w:val="28"/>
          <w:u w:val="none"/>
          <w14:textFill>
            <w14:solidFill>
              <w14:schemeClr w14:val="tx1"/>
            </w14:solidFill>
          </w14:textFill>
        </w:rPr>
        <w:fldChar w:fldCharType="end"/>
      </w:r>
      <w:r>
        <w:rPr>
          <w:rStyle w:val="29"/>
          <w:rFonts w:hint="eastAsia" w:ascii="宋体" w:hAnsi="宋体" w:eastAsia="宋体"/>
          <w:color w:val="000000" w:themeColor="text1"/>
          <w:szCs w:val="28"/>
          <w:u w:val="none"/>
          <w14:textFill>
            <w14:solidFill>
              <w14:schemeClr w14:val="tx1"/>
            </w14:solidFill>
          </w14:textFill>
        </w:rPr>
        <w:t>D</w:t>
      </w:r>
      <w:r>
        <w:rPr>
          <w:rFonts w:hint="eastAsia"/>
        </w:rPr>
        <w:t>的规定。</w:t>
      </w:r>
    </w:p>
    <w:p w14:paraId="0A2D973D">
      <w:pPr>
        <w:pStyle w:val="79"/>
        <w:numPr>
          <w:ilvl w:val="0"/>
          <w:numId w:val="20"/>
        </w:numPr>
        <w:bidi w:val="0"/>
        <w:ind w:left="851" w:leftChars="0" w:hanging="426" w:firstLineChars="0"/>
      </w:pPr>
      <w:r>
        <w:rPr>
          <w:rFonts w:hint="eastAsia"/>
        </w:rPr>
        <w:t>访谈法</w:t>
      </w:r>
    </w:p>
    <w:p w14:paraId="0C3F5067">
      <w:pPr>
        <w:pStyle w:val="76"/>
        <w:bidi w:val="0"/>
      </w:pPr>
      <w:r>
        <w:rPr>
          <w:rFonts w:hint="eastAsia"/>
        </w:rPr>
        <w:t>访谈法包括个别访谈、小组访谈等形式；</w:t>
      </w:r>
    </w:p>
    <w:p w14:paraId="6219E191">
      <w:pPr>
        <w:pStyle w:val="76"/>
        <w:bidi w:val="0"/>
      </w:pPr>
      <w:r>
        <w:rPr>
          <w:rFonts w:hint="eastAsia"/>
        </w:rPr>
        <w:t>应重点走访受决策影响较大、</w:t>
      </w:r>
      <w:r>
        <w:rPr>
          <w:rFonts w:hint="eastAsia"/>
          <w:lang w:eastAsia="zh-CN"/>
        </w:rPr>
        <w:t>反映</w:t>
      </w:r>
      <w:r>
        <w:rPr>
          <w:rFonts w:hint="eastAsia"/>
        </w:rPr>
        <w:t>比较强烈的利益相关者，当面听取其意见和建议；</w:t>
      </w:r>
    </w:p>
    <w:p w14:paraId="3569BBBE">
      <w:pPr>
        <w:pStyle w:val="76"/>
        <w:bidi w:val="0"/>
      </w:pPr>
      <w:r>
        <w:rPr>
          <w:rFonts w:hint="eastAsia"/>
        </w:rPr>
        <w:t>在走访中应阐述清楚决策所依据的法规政策、实施方案和实施可能产生的影响；</w:t>
      </w:r>
    </w:p>
    <w:p w14:paraId="269A04AF">
      <w:pPr>
        <w:pStyle w:val="76"/>
        <w:bidi w:val="0"/>
      </w:pPr>
      <w:r>
        <w:rPr>
          <w:rFonts w:hint="eastAsia"/>
        </w:rPr>
        <w:t>走访结束后，应对资料进行梳理、归类和汇总。</w:t>
      </w:r>
    </w:p>
    <w:p w14:paraId="670EE730">
      <w:pPr>
        <w:pStyle w:val="79"/>
        <w:numPr>
          <w:ilvl w:val="0"/>
          <w:numId w:val="20"/>
        </w:numPr>
        <w:bidi w:val="0"/>
        <w:ind w:left="851" w:leftChars="0" w:hanging="426" w:firstLineChars="0"/>
      </w:pPr>
      <w:r>
        <w:rPr>
          <w:rFonts w:hint="eastAsia"/>
        </w:rPr>
        <w:t>观察法</w:t>
      </w:r>
    </w:p>
    <w:p w14:paraId="7F98F4E3">
      <w:pPr>
        <w:pStyle w:val="76"/>
        <w:bidi w:val="0"/>
      </w:pPr>
      <w:r>
        <w:rPr>
          <w:rFonts w:hint="eastAsia"/>
        </w:rPr>
        <w:t>应遵循客观性、全面性和深入性原则；要选好观察对象和环境，选准观察时间和场合；</w:t>
      </w:r>
    </w:p>
    <w:p w14:paraId="6946319F">
      <w:pPr>
        <w:pStyle w:val="76"/>
        <w:bidi w:val="0"/>
      </w:pPr>
      <w:r>
        <w:rPr>
          <w:rFonts w:hint="eastAsia"/>
        </w:rPr>
        <w:t>要建立良好互动，尽量减少观察活动对被观察者的影响；</w:t>
      </w:r>
    </w:p>
    <w:p w14:paraId="6E8AC86B">
      <w:pPr>
        <w:pStyle w:val="76"/>
        <w:bidi w:val="0"/>
      </w:pPr>
      <w:r>
        <w:rPr>
          <w:rFonts w:hint="eastAsia"/>
        </w:rPr>
        <w:t>要对观察过程和结果形成记录。</w:t>
      </w:r>
      <w:r>
        <w:t xml:space="preserve"> </w:t>
      </w:r>
    </w:p>
    <w:p w14:paraId="444CFB17">
      <w:pPr>
        <w:pStyle w:val="79"/>
        <w:numPr>
          <w:ilvl w:val="0"/>
          <w:numId w:val="20"/>
        </w:numPr>
        <w:bidi w:val="0"/>
        <w:ind w:left="851" w:leftChars="0" w:hanging="426" w:firstLineChars="0"/>
      </w:pPr>
      <w:r>
        <w:rPr>
          <w:rFonts w:hint="eastAsia"/>
        </w:rPr>
        <w:t>座谈法</w:t>
      </w:r>
    </w:p>
    <w:p w14:paraId="0CB3B54D">
      <w:pPr>
        <w:pStyle w:val="76"/>
        <w:bidi w:val="0"/>
      </w:pPr>
      <w:r>
        <w:rPr>
          <w:rFonts w:hint="eastAsia"/>
        </w:rPr>
        <w:t>应提前向参会者通报决策事项情况并提供有关材料；</w:t>
      </w:r>
    </w:p>
    <w:p w14:paraId="6AA7331E">
      <w:pPr>
        <w:pStyle w:val="76"/>
        <w:bidi w:val="0"/>
      </w:pPr>
      <w:r>
        <w:rPr>
          <w:rFonts w:hint="eastAsia"/>
        </w:rPr>
        <w:t>让参会者充分表达真实意见，着力消除群众疑虑；</w:t>
      </w:r>
    </w:p>
    <w:p w14:paraId="69845D11">
      <w:pPr>
        <w:pStyle w:val="76"/>
        <w:bidi w:val="0"/>
      </w:pPr>
      <w:r>
        <w:rPr>
          <w:rFonts w:hint="eastAsia"/>
        </w:rPr>
        <w:t>会议结束后，应形成会议记录或纪要，并附参会人员名单。</w:t>
      </w:r>
      <w:r>
        <w:t xml:space="preserve"> </w:t>
      </w:r>
    </w:p>
    <w:p w14:paraId="0773A657">
      <w:pPr>
        <w:pStyle w:val="79"/>
        <w:numPr>
          <w:ilvl w:val="0"/>
          <w:numId w:val="20"/>
        </w:numPr>
        <w:bidi w:val="0"/>
        <w:ind w:left="851" w:leftChars="0" w:hanging="426" w:firstLineChars="0"/>
      </w:pPr>
      <w:r>
        <w:rPr>
          <w:rFonts w:hint="eastAsia"/>
        </w:rPr>
        <w:t>网络舆情分析法</w:t>
      </w:r>
    </w:p>
    <w:p w14:paraId="22BCE63C">
      <w:pPr>
        <w:pStyle w:val="76"/>
        <w:bidi w:val="0"/>
      </w:pPr>
      <w:r>
        <w:rPr>
          <w:rFonts w:hint="eastAsia"/>
        </w:rPr>
        <w:t>通过网络媒体、</w:t>
      </w:r>
      <w:r>
        <w:rPr>
          <w:rFonts w:hint="eastAsia"/>
          <w:lang w:eastAsia="zh-CN"/>
        </w:rPr>
        <w:t>政务服务</w:t>
      </w:r>
      <w:r>
        <w:rPr>
          <w:rFonts w:hint="eastAsia"/>
        </w:rPr>
        <w:t>热线、地方信访部门等平台，收集决策事项舆情动态；</w:t>
      </w:r>
    </w:p>
    <w:p w14:paraId="2044D44B">
      <w:pPr>
        <w:pStyle w:val="76"/>
        <w:bidi w:val="0"/>
      </w:pPr>
      <w:r>
        <w:rPr>
          <w:rFonts w:hint="eastAsia"/>
        </w:rPr>
        <w:t>收集和分析决策事项直接利益相关者的构成、特征和主要诉求；</w:t>
      </w:r>
    </w:p>
    <w:p w14:paraId="7BDD577A">
      <w:pPr>
        <w:pStyle w:val="76"/>
        <w:bidi w:val="0"/>
      </w:pPr>
      <w:r>
        <w:rPr>
          <w:rFonts w:hint="eastAsia"/>
        </w:rPr>
        <w:t>收集相似的决策事项引起的历史事件和矛盾纠纷资料；</w:t>
      </w:r>
    </w:p>
    <w:p w14:paraId="5DC7A081">
      <w:pPr>
        <w:pStyle w:val="76"/>
        <w:bidi w:val="0"/>
      </w:pPr>
      <w:r>
        <w:rPr>
          <w:rFonts w:hint="eastAsia"/>
        </w:rPr>
        <w:t>收集各类媒体的关注重点和关注程度。</w:t>
      </w:r>
    </w:p>
    <w:p w14:paraId="17A366BD">
      <w:pPr>
        <w:pStyle w:val="79"/>
        <w:numPr>
          <w:ilvl w:val="0"/>
          <w:numId w:val="20"/>
        </w:numPr>
        <w:bidi w:val="0"/>
      </w:pPr>
      <w:r>
        <w:rPr>
          <w:rFonts w:hint="eastAsia"/>
        </w:rPr>
        <w:t>文献法</w:t>
      </w:r>
    </w:p>
    <w:p w14:paraId="26B26C68">
      <w:pPr>
        <w:pStyle w:val="76"/>
        <w:bidi w:val="0"/>
      </w:pPr>
      <w:r>
        <w:rPr>
          <w:rFonts w:hint="eastAsia"/>
        </w:rPr>
        <w:t>应按照决策事项的资料清单收集相应的文献资料；</w:t>
      </w:r>
    </w:p>
    <w:p w14:paraId="137569E1">
      <w:pPr>
        <w:pStyle w:val="76"/>
        <w:bidi w:val="0"/>
      </w:pPr>
      <w:r>
        <w:rPr>
          <w:rFonts w:hint="eastAsia"/>
        </w:rPr>
        <w:t>应着重</w:t>
      </w:r>
      <w:r>
        <w:t>收集历史上类似事件的</w:t>
      </w:r>
      <w:r>
        <w:rPr>
          <w:rFonts w:hint="eastAsia"/>
        </w:rPr>
        <w:t>相关</w:t>
      </w:r>
      <w:r>
        <w:t>文献资料</w:t>
      </w:r>
      <w:r>
        <w:rPr>
          <w:rFonts w:hint="eastAsia"/>
        </w:rPr>
        <w:t>；</w:t>
      </w:r>
    </w:p>
    <w:p w14:paraId="2118C08A">
      <w:pPr>
        <w:pStyle w:val="76"/>
        <w:bidi w:val="0"/>
      </w:pPr>
      <w:r>
        <w:rPr>
          <w:rFonts w:hint="eastAsia"/>
        </w:rPr>
        <w:t>文献资料应当权威、全面和客观。</w:t>
      </w:r>
      <w:r>
        <w:t xml:space="preserve"> </w:t>
      </w:r>
    </w:p>
    <w:p w14:paraId="2EE05A47">
      <w:pPr>
        <w:pStyle w:val="93"/>
        <w:numPr>
          <w:ilvl w:val="2"/>
          <w:numId w:val="0"/>
        </w:numPr>
        <w:bidi w:val="0"/>
        <w:ind w:left="0" w:leftChars="0" w:firstLine="0" w:firstLineChars="0"/>
      </w:pPr>
      <w:r>
        <w:rPr>
          <w:rFonts w:hint="default" w:ascii="黑体" w:hAnsi="黑体" w:eastAsia="黑体" w:cs="黑体"/>
          <w:sz w:val="20"/>
        </w:rPr>
        <w:t>7.4.5　</w:t>
      </w:r>
      <w:r>
        <w:rPr>
          <w:rFonts w:hint="eastAsia"/>
        </w:rPr>
        <w:t>利益相关者分析</w:t>
      </w:r>
    </w:p>
    <w:p w14:paraId="51C04D8A">
      <w:pPr>
        <w:pStyle w:val="44"/>
        <w:bidi w:val="0"/>
      </w:pPr>
      <w:r>
        <w:t>系统地识别所有可能受到决策影响或能够影响决策结果的个人、群体或组织，并评估他们的利益、需求、期望、影响力和潜在的冲突</w:t>
      </w:r>
      <w:r>
        <w:rPr>
          <w:rFonts w:hint="eastAsia"/>
        </w:rPr>
        <w:t>。</w:t>
      </w:r>
    </w:p>
    <w:p w14:paraId="264E5FE7">
      <w:pPr>
        <w:pStyle w:val="76"/>
        <w:bidi w:val="0"/>
      </w:pPr>
      <w:r>
        <w:rPr>
          <w:rFonts w:hint="eastAsia"/>
        </w:rPr>
        <w:t>重点分析直接利益相关者、弱势群体的利益诉求和意见；分析地方党委、政府</w:t>
      </w:r>
      <w:r>
        <w:rPr>
          <w:rFonts w:hint="eastAsia"/>
          <w:lang w:eastAsia="zh-CN"/>
        </w:rPr>
        <w:t>相关</w:t>
      </w:r>
      <w:r>
        <w:rPr>
          <w:rFonts w:hint="eastAsia"/>
        </w:rPr>
        <w:t>部门、</w:t>
      </w:r>
      <w:r>
        <w:rPr>
          <w:rFonts w:hint="eastAsia"/>
          <w:lang w:eastAsia="zh-CN"/>
        </w:rPr>
        <w:t>基层组织</w:t>
      </w:r>
      <w:r>
        <w:rPr>
          <w:rFonts w:hint="eastAsia"/>
        </w:rPr>
        <w:t>对决策事项的态度、意见和建议；</w:t>
      </w:r>
    </w:p>
    <w:p w14:paraId="5B596ED6">
      <w:pPr>
        <w:pStyle w:val="76"/>
        <w:bidi w:val="0"/>
      </w:pPr>
      <w:r>
        <w:rPr>
          <w:rFonts w:hint="eastAsia"/>
        </w:rPr>
        <w:t>分析相关领域的专家学者以及社会各界的意见和建议；</w:t>
      </w:r>
    </w:p>
    <w:p w14:paraId="0858C970">
      <w:pPr>
        <w:pStyle w:val="76"/>
        <w:bidi w:val="0"/>
      </w:pPr>
      <w:r>
        <w:rPr>
          <w:rFonts w:hint="eastAsia"/>
        </w:rPr>
        <w:t>分析决策事项所在地与决策事项有关的社会矛盾、历史遗留问题和群众信访重点；</w:t>
      </w:r>
    </w:p>
    <w:p w14:paraId="3B24BB30">
      <w:pPr>
        <w:pStyle w:val="76"/>
        <w:bidi w:val="0"/>
      </w:pPr>
      <w:r>
        <w:rPr>
          <w:rFonts w:hint="eastAsia"/>
        </w:rPr>
        <w:t>分析媒体对决策事项的态度，重点分析热点舆情；</w:t>
      </w:r>
    </w:p>
    <w:p w14:paraId="34472428">
      <w:pPr>
        <w:pStyle w:val="76"/>
        <w:bidi w:val="0"/>
      </w:pPr>
      <w:r>
        <w:rPr>
          <w:rFonts w:hint="eastAsia"/>
        </w:rPr>
        <w:t>深层次、多维度分析调查结果，应全面、客观反映不同利益相关者的诉求、意见和建议。</w:t>
      </w:r>
      <w:r>
        <w:t xml:space="preserve"> </w:t>
      </w:r>
    </w:p>
    <w:p w14:paraId="0A437F2C">
      <w:pPr>
        <w:pStyle w:val="92"/>
        <w:numPr>
          <w:ilvl w:val="1"/>
          <w:numId w:val="0"/>
        </w:numPr>
        <w:bidi w:val="0"/>
        <w:ind w:left="0" w:leftChars="0" w:firstLine="0" w:firstLineChars="0"/>
      </w:pPr>
      <w:bookmarkStart w:id="51" w:name="_Toc177670764"/>
      <w:r>
        <w:rPr>
          <w:rFonts w:hint="default" w:ascii="黑体" w:hAnsi="黑体" w:eastAsia="黑体" w:cs="黑体"/>
          <w:sz w:val="20"/>
        </w:rPr>
        <w:t>7.5　</w:t>
      </w:r>
      <w:r>
        <w:rPr>
          <w:rFonts w:hint="eastAsia"/>
        </w:rPr>
        <w:t>风险分析研判</w:t>
      </w:r>
      <w:bookmarkEnd w:id="51"/>
    </w:p>
    <w:p w14:paraId="2C379B37">
      <w:pPr>
        <w:pStyle w:val="44"/>
        <w:bidi w:val="0"/>
      </w:pPr>
      <w:r>
        <w:rPr>
          <w:rFonts w:hint="eastAsia"/>
        </w:rPr>
        <w:t>主要包括识别风险、分析风险、判断风险发生概率与影响程度。</w:t>
      </w:r>
    </w:p>
    <w:p w14:paraId="5548CA23">
      <w:pPr>
        <w:pStyle w:val="93"/>
        <w:numPr>
          <w:ilvl w:val="2"/>
          <w:numId w:val="0"/>
        </w:numPr>
        <w:bidi w:val="0"/>
        <w:ind w:left="0" w:leftChars="0" w:firstLine="0" w:firstLineChars="0"/>
      </w:pPr>
      <w:r>
        <w:rPr>
          <w:rFonts w:hint="default" w:ascii="黑体" w:hAnsi="黑体" w:eastAsia="黑体" w:cs="黑体"/>
          <w:sz w:val="20"/>
        </w:rPr>
        <w:t>7.5.1　</w:t>
      </w:r>
      <w:r>
        <w:rPr>
          <w:rFonts w:hint="eastAsia"/>
        </w:rPr>
        <w:t>识别风险</w:t>
      </w:r>
    </w:p>
    <w:p w14:paraId="27454D1E">
      <w:pPr>
        <w:pStyle w:val="44"/>
        <w:bidi w:val="0"/>
      </w:pPr>
      <w:r>
        <w:rPr>
          <w:rFonts w:hint="eastAsia"/>
        </w:rPr>
        <w:t>全面梳理风险调查过程中收集的各方意见及诉求，根据决策事项类型，对照附录F.2.1中社会稳定风险评估指标体系中的三级指标，确定决策事项风险因素。</w:t>
      </w:r>
    </w:p>
    <w:p w14:paraId="048D8426">
      <w:pPr>
        <w:pStyle w:val="44"/>
        <w:bidi w:val="0"/>
      </w:pPr>
      <w:r>
        <w:rPr>
          <w:rFonts w:hint="eastAsia"/>
        </w:rPr>
        <w:t>任何决策事项都可能有其特殊性，评估主体、第三方评估机构在对照附录F.2.1进行识别风险基础上，可以采取专家咨询方式，咨询专家对社会风险类型和因素的意见和建议。专家的意见超出附录F.2.1的，应作为相应补充予以采纳。</w:t>
      </w:r>
    </w:p>
    <w:p w14:paraId="308E909F">
      <w:pPr>
        <w:pStyle w:val="93"/>
        <w:numPr>
          <w:ilvl w:val="2"/>
          <w:numId w:val="0"/>
        </w:numPr>
        <w:bidi w:val="0"/>
        <w:ind w:left="0" w:leftChars="0" w:firstLine="0" w:firstLineChars="0"/>
      </w:pPr>
      <w:r>
        <w:rPr>
          <w:rFonts w:hint="default" w:ascii="黑体" w:hAnsi="黑体" w:eastAsia="黑体" w:cs="黑体"/>
          <w:sz w:val="20"/>
        </w:rPr>
        <w:t>7.5.2　</w:t>
      </w:r>
      <w:r>
        <w:rPr>
          <w:rFonts w:hint="eastAsia"/>
        </w:rPr>
        <w:t>分析风险</w:t>
      </w:r>
    </w:p>
    <w:p w14:paraId="5D35DF06">
      <w:pPr>
        <w:pStyle w:val="44"/>
        <w:bidi w:val="0"/>
        <w:rPr>
          <w:lang w:val="en"/>
        </w:rPr>
      </w:pPr>
      <w:r>
        <w:rPr>
          <w:rFonts w:hint="eastAsia"/>
        </w:rPr>
        <w:t>对识别出来的风险因素逐一判断其发生概率、影响程度，计算其风险程度、风险指数。</w:t>
      </w:r>
    </w:p>
    <w:p w14:paraId="50B21ED7">
      <w:pPr>
        <w:pStyle w:val="44"/>
        <w:bidi w:val="0"/>
      </w:pPr>
      <w:r>
        <w:rPr>
          <w:rFonts w:hint="eastAsia"/>
        </w:rPr>
        <w:t>风险发生概率、影响程度和风险程度按附录E的格式编制，风险指数按</w:t>
      </w:r>
      <w:r>
        <w:fldChar w:fldCharType="begin"/>
      </w:r>
      <w:r>
        <w:instrText xml:space="preserve"> HYPERLINK \l "_附录D" </w:instrText>
      </w:r>
      <w:r>
        <w:fldChar w:fldCharType="separate"/>
      </w:r>
      <w:r>
        <w:rPr>
          <w:rStyle w:val="29"/>
          <w:rFonts w:hint="eastAsia" w:ascii="宋体" w:hAnsi="宋体" w:eastAsia="宋体"/>
          <w:color w:val="000000" w:themeColor="text1"/>
          <w:szCs w:val="28"/>
          <w:u w:val="none"/>
          <w14:textFill>
            <w14:solidFill>
              <w14:schemeClr w14:val="tx1"/>
            </w14:solidFill>
          </w14:textFill>
        </w:rPr>
        <w:t>附录F</w:t>
      </w:r>
      <w:r>
        <w:rPr>
          <w:rStyle w:val="29"/>
          <w:rFonts w:hint="eastAsia" w:ascii="宋体" w:hAnsi="宋体" w:eastAsia="宋体"/>
          <w:color w:val="000000" w:themeColor="text1"/>
          <w:szCs w:val="28"/>
          <w:u w:val="none"/>
          <w14:textFill>
            <w14:solidFill>
              <w14:schemeClr w14:val="tx1"/>
            </w14:solidFill>
          </w14:textFill>
        </w:rPr>
        <w:fldChar w:fldCharType="end"/>
      </w:r>
      <w:r>
        <w:rPr>
          <w:rStyle w:val="29"/>
          <w:rFonts w:hint="eastAsia" w:ascii="宋体" w:hAnsi="宋体" w:eastAsia="宋体"/>
          <w:color w:val="000000" w:themeColor="text1"/>
          <w:szCs w:val="28"/>
          <w:u w:val="none"/>
          <w14:textFill>
            <w14:solidFill>
              <w14:schemeClr w14:val="tx1"/>
            </w14:solidFill>
          </w14:textFill>
        </w:rPr>
        <w:t>.2.2</w:t>
      </w:r>
      <w:r>
        <w:rPr>
          <w:rFonts w:hint="eastAsia"/>
        </w:rPr>
        <w:t>的格式编制。</w:t>
      </w:r>
      <w:r>
        <w:t xml:space="preserve"> </w:t>
      </w:r>
    </w:p>
    <w:p w14:paraId="3D25803B">
      <w:pPr>
        <w:pStyle w:val="93"/>
        <w:numPr>
          <w:ilvl w:val="2"/>
          <w:numId w:val="0"/>
        </w:numPr>
        <w:bidi w:val="0"/>
        <w:ind w:left="0" w:leftChars="0" w:firstLine="0" w:firstLineChars="0"/>
      </w:pPr>
      <w:r>
        <w:rPr>
          <w:rFonts w:hint="default" w:ascii="黑体" w:hAnsi="黑体" w:eastAsia="黑体" w:cs="黑体"/>
          <w:sz w:val="20"/>
        </w:rPr>
        <w:t>7.5.3　</w:t>
      </w:r>
      <w:r>
        <w:rPr>
          <w:rFonts w:hint="eastAsia"/>
        </w:rPr>
        <w:t>专家论证</w:t>
      </w:r>
    </w:p>
    <w:p w14:paraId="2D7DC4C7">
      <w:pPr>
        <w:pStyle w:val="44"/>
        <w:bidi w:val="0"/>
      </w:pPr>
      <w:r>
        <w:rPr>
          <w:rFonts w:hint="eastAsia"/>
        </w:rPr>
        <w:t>组织专家对决策方案在合法性、合理性、可行性、可控性方面可能引发的社会稳定风险进行研究论证，对初步评估结论和风险防范化解建议进行完善。风险防范化解的要点为：</w:t>
      </w:r>
      <w:r>
        <w:t xml:space="preserve"> </w:t>
      </w:r>
    </w:p>
    <w:p w14:paraId="53F6EA2D">
      <w:pPr>
        <w:pStyle w:val="79"/>
        <w:numPr>
          <w:ilvl w:val="0"/>
          <w:numId w:val="21"/>
        </w:numPr>
        <w:bidi w:val="0"/>
        <w:ind w:left="851" w:leftChars="0" w:hanging="426" w:firstLineChars="0"/>
      </w:pPr>
      <w:r>
        <w:rPr>
          <w:rFonts w:hint="eastAsia"/>
        </w:rPr>
        <w:t>全程性。风险防范措施的研究应贯穿于事项实施的全过程，在识别风险因素的基础上，针对风险程度，应优先从规范审批流程、实施方案、实施过程上采取风险防范化解措施；</w:t>
      </w:r>
      <w:r>
        <w:t xml:space="preserve"> </w:t>
      </w:r>
    </w:p>
    <w:p w14:paraId="6EFC3705">
      <w:pPr>
        <w:pStyle w:val="79"/>
        <w:numPr>
          <w:ilvl w:val="0"/>
          <w:numId w:val="21"/>
        </w:numPr>
        <w:bidi w:val="0"/>
        <w:ind w:left="851" w:leftChars="0" w:hanging="426" w:firstLineChars="0"/>
      </w:pPr>
      <w:r>
        <w:rPr>
          <w:rFonts w:hint="eastAsia"/>
        </w:rPr>
        <w:t>保障性。从保障相关者利益、化解群众矛盾、组织保障和处置预案等角度提出风险防范化解措施；</w:t>
      </w:r>
      <w:r>
        <w:t xml:space="preserve"> </w:t>
      </w:r>
    </w:p>
    <w:p w14:paraId="21AC2554">
      <w:pPr>
        <w:pStyle w:val="79"/>
        <w:numPr>
          <w:ilvl w:val="0"/>
          <w:numId w:val="21"/>
        </w:numPr>
        <w:bidi w:val="0"/>
        <w:ind w:left="851" w:leftChars="0" w:hanging="426" w:firstLineChars="0"/>
      </w:pPr>
      <w:r>
        <w:rPr>
          <w:rFonts w:hint="eastAsia"/>
        </w:rPr>
        <w:t>针对性。应结合决策事项特点，针对主要和关键的风险因素逐一提出风险防范化解措施，逐一明确风险防范化解的责任主体、职责分工、时间进度安排；</w:t>
      </w:r>
      <w:r>
        <w:t xml:space="preserve"> </w:t>
      </w:r>
    </w:p>
    <w:p w14:paraId="59639FBC">
      <w:pPr>
        <w:pStyle w:val="79"/>
        <w:numPr>
          <w:ilvl w:val="0"/>
          <w:numId w:val="21"/>
        </w:numPr>
        <w:bidi w:val="0"/>
        <w:ind w:left="851" w:leftChars="0" w:hanging="426" w:firstLineChars="0"/>
      </w:pPr>
      <w:r>
        <w:rPr>
          <w:rFonts w:hint="eastAsia"/>
        </w:rPr>
        <w:t>可行性。风险防范化解措施应立足现实，应在技术、人力、物力和财力上可行；</w:t>
      </w:r>
      <w:r>
        <w:t xml:space="preserve"> </w:t>
      </w:r>
    </w:p>
    <w:p w14:paraId="08DBB890">
      <w:pPr>
        <w:pStyle w:val="79"/>
        <w:numPr>
          <w:ilvl w:val="0"/>
          <w:numId w:val="21"/>
        </w:numPr>
        <w:bidi w:val="0"/>
        <w:ind w:left="851" w:leftChars="0" w:hanging="426" w:firstLineChars="0"/>
      </w:pPr>
      <w:r>
        <w:rPr>
          <w:rFonts w:hint="eastAsia"/>
        </w:rPr>
        <w:t>协同性。风险防控主体应与相关单位及时沟通，会同有关部门商议明确各单位的职责，明确责任单位和协助单位，做好矛盾调处和化解工作，确保决策顺利实施。风险防范和化解措施汇总表参见</w:t>
      </w:r>
      <w:r>
        <w:fldChar w:fldCharType="begin"/>
      </w:r>
      <w:r>
        <w:instrText xml:space="preserve"> HYPERLINK \l "_附录F" </w:instrText>
      </w:r>
      <w:r>
        <w:fldChar w:fldCharType="separate"/>
      </w:r>
      <w:r>
        <w:rPr>
          <w:rStyle w:val="29"/>
          <w:rFonts w:hint="eastAsia" w:ascii="宋体" w:hAnsi="宋体" w:eastAsia="宋体"/>
          <w:color w:val="000000" w:themeColor="text1"/>
          <w:szCs w:val="28"/>
          <w:u w:val="none"/>
          <w14:textFill>
            <w14:solidFill>
              <w14:schemeClr w14:val="tx1"/>
            </w14:solidFill>
          </w14:textFill>
        </w:rPr>
        <w:t>附录G</w:t>
      </w:r>
      <w:r>
        <w:rPr>
          <w:rStyle w:val="29"/>
          <w:rFonts w:hint="eastAsia" w:ascii="宋体" w:hAnsi="宋体" w:eastAsia="宋体"/>
          <w:color w:val="000000" w:themeColor="text1"/>
          <w:szCs w:val="28"/>
          <w:u w:val="none"/>
          <w14:textFill>
            <w14:solidFill>
              <w14:schemeClr w14:val="tx1"/>
            </w14:solidFill>
          </w14:textFill>
        </w:rPr>
        <w:fldChar w:fldCharType="end"/>
      </w:r>
      <w:r>
        <w:rPr>
          <w:rFonts w:hint="eastAsia"/>
        </w:rPr>
        <w:t>。</w:t>
      </w:r>
      <w:r>
        <w:t xml:space="preserve"> </w:t>
      </w:r>
    </w:p>
    <w:p w14:paraId="0DCCF589">
      <w:pPr>
        <w:pStyle w:val="92"/>
        <w:numPr>
          <w:ilvl w:val="1"/>
          <w:numId w:val="0"/>
        </w:numPr>
        <w:bidi w:val="0"/>
        <w:ind w:left="0" w:leftChars="0" w:firstLine="0" w:firstLineChars="0"/>
      </w:pPr>
      <w:bookmarkStart w:id="52" w:name="_Toc177670765"/>
      <w:r>
        <w:rPr>
          <w:rFonts w:hint="default" w:ascii="黑体" w:hAnsi="黑体" w:eastAsia="黑体" w:cs="黑体"/>
          <w:sz w:val="20"/>
        </w:rPr>
        <w:t>7.6　</w:t>
      </w:r>
      <w:r>
        <w:rPr>
          <w:rFonts w:hint="eastAsia"/>
        </w:rPr>
        <w:t>风险等级确定</w:t>
      </w:r>
      <w:bookmarkEnd w:id="52"/>
    </w:p>
    <w:p w14:paraId="07949DD0">
      <w:pPr>
        <w:pStyle w:val="93"/>
        <w:numPr>
          <w:ilvl w:val="2"/>
          <w:numId w:val="0"/>
        </w:numPr>
        <w:bidi w:val="0"/>
        <w:ind w:left="0" w:leftChars="0" w:firstLine="0" w:firstLineChars="0"/>
      </w:pPr>
      <w:r>
        <w:rPr>
          <w:rFonts w:hint="default" w:ascii="黑体" w:hAnsi="黑体" w:eastAsia="黑体" w:cs="黑体"/>
          <w:sz w:val="20"/>
        </w:rPr>
        <w:t>7.6.1　</w:t>
      </w:r>
      <w:r>
        <w:rPr>
          <w:rFonts w:hint="eastAsia"/>
        </w:rPr>
        <w:t>风险等级划分</w:t>
      </w:r>
      <w:r>
        <w:t xml:space="preserve"> </w:t>
      </w:r>
    </w:p>
    <w:p w14:paraId="6A723F02">
      <w:pPr>
        <w:pStyle w:val="44"/>
        <w:bidi w:val="0"/>
      </w:pPr>
      <w:r>
        <w:rPr>
          <w:rFonts w:hint="eastAsia"/>
        </w:rPr>
        <w:t>在全面分析论证基础上，按照决策实施后可能对社会稳定造成的影响程度，将决策事项划分为低风险、中风险、高风险</w:t>
      </w:r>
      <w:r>
        <w:t>3</w:t>
      </w:r>
      <w:r>
        <w:rPr>
          <w:rFonts w:hint="eastAsia"/>
        </w:rPr>
        <w:t>个等级。</w:t>
      </w:r>
      <w:r>
        <w:t xml:space="preserve"> </w:t>
      </w:r>
    </w:p>
    <w:p w14:paraId="60BA5682">
      <w:pPr>
        <w:pStyle w:val="93"/>
        <w:numPr>
          <w:ilvl w:val="2"/>
          <w:numId w:val="0"/>
        </w:numPr>
        <w:bidi w:val="0"/>
        <w:ind w:left="0" w:leftChars="0" w:firstLine="0" w:firstLineChars="0"/>
      </w:pPr>
      <w:r>
        <w:rPr>
          <w:rFonts w:hint="default" w:ascii="黑体" w:hAnsi="黑体" w:eastAsia="黑体" w:cs="黑体"/>
          <w:sz w:val="20"/>
        </w:rPr>
        <w:t>7.6.2　</w:t>
      </w:r>
      <w:r>
        <w:rPr>
          <w:rFonts w:hint="eastAsia"/>
        </w:rPr>
        <w:t>风险等级评判方法</w:t>
      </w:r>
    </w:p>
    <w:p w14:paraId="50AD5D99">
      <w:pPr>
        <w:pStyle w:val="44"/>
        <w:bidi w:val="0"/>
      </w:pPr>
      <w:r>
        <w:rPr>
          <w:rFonts w:hint="eastAsia"/>
        </w:rPr>
        <w:t>采用定性分析和定量分析方法对决策事项风险等级进行综合评判，确定风险等级。风险等级评判方法应符合</w:t>
      </w:r>
      <w:r>
        <w:fldChar w:fldCharType="begin"/>
      </w:r>
      <w:r>
        <w:instrText xml:space="preserve"> HYPERLINK \l "_附录F" </w:instrText>
      </w:r>
      <w:r>
        <w:fldChar w:fldCharType="separate"/>
      </w:r>
      <w:r>
        <w:rPr>
          <w:rStyle w:val="29"/>
          <w:rFonts w:hint="eastAsia" w:ascii="宋体" w:hAnsi="宋体" w:eastAsia="宋体"/>
          <w:color w:val="000000" w:themeColor="text1"/>
          <w:szCs w:val="28"/>
          <w:u w:val="none"/>
          <w14:textFill>
            <w14:solidFill>
              <w14:schemeClr w14:val="tx1"/>
            </w14:solidFill>
          </w14:textFill>
        </w:rPr>
        <w:t>附录F</w:t>
      </w:r>
      <w:r>
        <w:rPr>
          <w:rStyle w:val="29"/>
          <w:rFonts w:hint="eastAsia" w:ascii="宋体" w:hAnsi="宋体" w:eastAsia="宋体"/>
          <w:color w:val="000000" w:themeColor="text1"/>
          <w:szCs w:val="28"/>
          <w:u w:val="none"/>
          <w14:textFill>
            <w14:solidFill>
              <w14:schemeClr w14:val="tx1"/>
            </w14:solidFill>
          </w14:textFill>
        </w:rPr>
        <w:fldChar w:fldCharType="end"/>
      </w:r>
      <w:r>
        <w:rPr>
          <w:rFonts w:hint="eastAsia"/>
        </w:rPr>
        <w:t>的规定。</w:t>
      </w:r>
      <w:r>
        <w:t xml:space="preserve"> </w:t>
      </w:r>
    </w:p>
    <w:p w14:paraId="7F7964D5">
      <w:pPr>
        <w:pStyle w:val="93"/>
        <w:numPr>
          <w:ilvl w:val="2"/>
          <w:numId w:val="0"/>
        </w:numPr>
        <w:bidi w:val="0"/>
        <w:ind w:left="0" w:leftChars="0" w:firstLine="0" w:firstLineChars="0"/>
      </w:pPr>
      <w:r>
        <w:rPr>
          <w:rFonts w:hint="default" w:ascii="黑体" w:hAnsi="黑体" w:eastAsia="黑体" w:cs="黑体"/>
          <w:sz w:val="20"/>
        </w:rPr>
        <w:t>7.6.3　</w:t>
      </w:r>
      <w:r>
        <w:rPr>
          <w:rFonts w:hint="eastAsia"/>
        </w:rPr>
        <w:t>风险等级评判流程</w:t>
      </w:r>
    </w:p>
    <w:p w14:paraId="1465C591">
      <w:pPr>
        <w:pStyle w:val="44"/>
        <w:bidi w:val="0"/>
      </w:pPr>
      <w:r>
        <w:rPr>
          <w:rFonts w:hint="eastAsia"/>
        </w:rPr>
        <w:t>首先，判定是否有直接定性指标情形；</w:t>
      </w:r>
    </w:p>
    <w:p w14:paraId="56F3BB76">
      <w:pPr>
        <w:pStyle w:val="44"/>
        <w:bidi w:val="0"/>
      </w:pPr>
      <w:r>
        <w:rPr>
          <w:rFonts w:hint="eastAsia"/>
        </w:rPr>
        <w:t>其次，计算风险指数；</w:t>
      </w:r>
    </w:p>
    <w:p w14:paraId="74FFE883">
      <w:pPr>
        <w:pStyle w:val="44"/>
        <w:bidi w:val="0"/>
      </w:pPr>
      <w:r>
        <w:rPr>
          <w:rFonts w:hint="eastAsia"/>
        </w:rPr>
        <w:t>再次，生成风险等级综合评判标准表；</w:t>
      </w:r>
    </w:p>
    <w:p w14:paraId="19F0E480">
      <w:pPr>
        <w:pStyle w:val="44"/>
        <w:bidi w:val="0"/>
      </w:pPr>
      <w:r>
        <w:rPr>
          <w:rFonts w:hint="eastAsia"/>
        </w:rPr>
        <w:t>第四，确定风险等级。具有直接定性指标情形的，按相应指标确定风险等级；不具有直接定性指标情形的，按综合评判标准确定风险等级。</w:t>
      </w:r>
    </w:p>
    <w:p w14:paraId="259932AE">
      <w:pPr>
        <w:pStyle w:val="92"/>
        <w:numPr>
          <w:ilvl w:val="1"/>
          <w:numId w:val="0"/>
        </w:numPr>
        <w:bidi w:val="0"/>
        <w:ind w:left="0" w:leftChars="0" w:firstLine="0" w:firstLineChars="0"/>
      </w:pPr>
      <w:bookmarkStart w:id="53" w:name="_Toc177670766"/>
      <w:r>
        <w:rPr>
          <w:rFonts w:hint="default" w:ascii="黑体" w:hAnsi="黑体" w:eastAsia="黑体" w:cs="黑体"/>
          <w:sz w:val="20"/>
        </w:rPr>
        <w:t>7.7　</w:t>
      </w:r>
      <w:r>
        <w:rPr>
          <w:rFonts w:hint="eastAsia"/>
        </w:rPr>
        <w:t>评估报告编制</w:t>
      </w:r>
      <w:bookmarkEnd w:id="53"/>
    </w:p>
    <w:p w14:paraId="7F98B6FC">
      <w:pPr>
        <w:pStyle w:val="44"/>
        <w:bidi w:val="0"/>
      </w:pPr>
      <w:r>
        <w:rPr>
          <w:rFonts w:hint="eastAsia"/>
        </w:rPr>
        <w:t>评估报告由评估主体负责编制，包括决策事项和评估过程，各方意见及采纳情况，决策合法性、合理性、可行性及可控性分析论证，决策可能引发的社会稳定风险等级及评判依据，风险评估结论、风险防控建议及应急处置预案等内容。评估报告的样式应符合</w:t>
      </w:r>
      <w:r>
        <w:fldChar w:fldCharType="begin"/>
      </w:r>
      <w:r>
        <w:instrText xml:space="preserve"> HYPERLINK \l "_附录F" </w:instrText>
      </w:r>
      <w:r>
        <w:fldChar w:fldCharType="separate"/>
      </w:r>
      <w:r>
        <w:rPr>
          <w:rStyle w:val="29"/>
          <w:rFonts w:hint="eastAsia" w:ascii="宋体" w:hAnsi="宋体" w:eastAsia="宋体"/>
          <w:color w:val="000000" w:themeColor="text1"/>
          <w:szCs w:val="28"/>
          <w:u w:val="none"/>
          <w14:textFill>
            <w14:solidFill>
              <w14:schemeClr w14:val="tx1"/>
            </w14:solidFill>
          </w14:textFill>
        </w:rPr>
        <w:t>附录</w:t>
      </w:r>
      <w:r>
        <w:rPr>
          <w:rStyle w:val="29"/>
          <w:rFonts w:hint="eastAsia" w:ascii="宋体" w:hAnsi="宋体" w:eastAsia="宋体"/>
          <w:color w:val="000000" w:themeColor="text1"/>
          <w:szCs w:val="28"/>
          <w:u w:val="none"/>
          <w14:textFill>
            <w14:solidFill>
              <w14:schemeClr w14:val="tx1"/>
            </w14:solidFill>
          </w14:textFill>
        </w:rPr>
        <w:fldChar w:fldCharType="end"/>
      </w:r>
      <w:r>
        <w:rPr>
          <w:rStyle w:val="29"/>
          <w:rFonts w:hint="eastAsia" w:ascii="宋体" w:hAnsi="宋体" w:eastAsia="宋体"/>
          <w:color w:val="000000" w:themeColor="text1"/>
          <w:szCs w:val="28"/>
          <w:u w:val="none"/>
          <w14:textFill>
            <w14:solidFill>
              <w14:schemeClr w14:val="tx1"/>
            </w14:solidFill>
          </w14:textFill>
        </w:rPr>
        <w:t>H</w:t>
      </w:r>
      <w:r>
        <w:rPr>
          <w:rFonts w:hint="eastAsia"/>
        </w:rPr>
        <w:t>的规定。</w:t>
      </w:r>
      <w:r>
        <w:t xml:space="preserve"> </w:t>
      </w:r>
    </w:p>
    <w:p w14:paraId="2781884B">
      <w:pPr>
        <w:pStyle w:val="92"/>
        <w:numPr>
          <w:ilvl w:val="1"/>
          <w:numId w:val="0"/>
        </w:numPr>
        <w:bidi w:val="0"/>
        <w:ind w:left="0" w:leftChars="0" w:firstLine="0" w:firstLineChars="0"/>
      </w:pPr>
      <w:bookmarkStart w:id="54" w:name="_Toc177670767"/>
      <w:r>
        <w:rPr>
          <w:rFonts w:hint="default" w:ascii="黑体" w:hAnsi="黑体" w:eastAsia="黑体" w:cs="黑体"/>
          <w:sz w:val="20"/>
        </w:rPr>
        <w:t>7.8　</w:t>
      </w:r>
      <w:r>
        <w:rPr>
          <w:rFonts w:hint="eastAsia"/>
        </w:rPr>
        <w:t>评估报告评审</w:t>
      </w:r>
      <w:bookmarkEnd w:id="54"/>
    </w:p>
    <w:p w14:paraId="1133B218">
      <w:pPr>
        <w:pStyle w:val="44"/>
        <w:bidi w:val="0"/>
      </w:pPr>
      <w:r>
        <w:rPr>
          <w:rFonts w:hint="eastAsia"/>
        </w:rPr>
        <w:t>评估主体按照编审分离原则，组织党政机关代表、专业人员等对评估报告进行集体评审。</w:t>
      </w:r>
    </w:p>
    <w:p w14:paraId="6941B2F3">
      <w:pPr>
        <w:pStyle w:val="93"/>
        <w:numPr>
          <w:ilvl w:val="2"/>
          <w:numId w:val="0"/>
        </w:numPr>
        <w:bidi w:val="0"/>
        <w:ind w:left="0" w:leftChars="0" w:firstLine="0" w:firstLineChars="0"/>
      </w:pPr>
      <w:r>
        <w:rPr>
          <w:rFonts w:hint="default" w:ascii="黑体" w:hAnsi="黑体" w:eastAsia="黑体" w:cs="黑体"/>
          <w:sz w:val="20"/>
        </w:rPr>
        <w:t>7.8.1　</w:t>
      </w:r>
      <w:r>
        <w:rPr>
          <w:rFonts w:hint="eastAsia"/>
        </w:rPr>
        <w:t>评审内容</w:t>
      </w:r>
      <w:r>
        <w:t xml:space="preserve"> </w:t>
      </w:r>
    </w:p>
    <w:p w14:paraId="3EB60241">
      <w:pPr>
        <w:pStyle w:val="76"/>
        <w:bidi w:val="0"/>
      </w:pPr>
      <w:r>
        <w:rPr>
          <w:rFonts w:hint="eastAsia"/>
        </w:rPr>
        <w:t>评估方案是否科学合理；</w:t>
      </w:r>
      <w:r>
        <w:t xml:space="preserve"> </w:t>
      </w:r>
    </w:p>
    <w:p w14:paraId="3946D917">
      <w:pPr>
        <w:pStyle w:val="76"/>
        <w:bidi w:val="0"/>
      </w:pPr>
      <w:r>
        <w:rPr>
          <w:rFonts w:hint="eastAsia"/>
        </w:rPr>
        <w:t>评估程序是否符合要求；</w:t>
      </w:r>
    </w:p>
    <w:p w14:paraId="357F48AE">
      <w:pPr>
        <w:pStyle w:val="76"/>
        <w:bidi w:val="0"/>
      </w:pPr>
      <w:r>
        <w:rPr>
          <w:rFonts w:hint="eastAsia"/>
        </w:rPr>
        <w:t>评估内容的合法性、合理性、可行性、可控性分析是否全面、详实、准确；</w:t>
      </w:r>
    </w:p>
    <w:p w14:paraId="26986992">
      <w:pPr>
        <w:pStyle w:val="76"/>
        <w:bidi w:val="0"/>
      </w:pPr>
      <w:r>
        <w:rPr>
          <w:rFonts w:hint="eastAsia"/>
        </w:rPr>
        <w:t>风险调查收集的资料和数据是否全面、真实；</w:t>
      </w:r>
      <w:r>
        <w:t xml:space="preserve"> </w:t>
      </w:r>
    </w:p>
    <w:p w14:paraId="5841A79E">
      <w:pPr>
        <w:pStyle w:val="76"/>
        <w:bidi w:val="0"/>
      </w:pPr>
      <w:r>
        <w:rPr>
          <w:rFonts w:hint="eastAsia"/>
        </w:rPr>
        <w:t>风险点排查是否全面，风险发生概率、影响程度、风险程度评判是否科学准确；</w:t>
      </w:r>
      <w:r>
        <w:t xml:space="preserve"> </w:t>
      </w:r>
    </w:p>
    <w:p w14:paraId="497C2FEA">
      <w:pPr>
        <w:pStyle w:val="76"/>
        <w:bidi w:val="0"/>
      </w:pPr>
      <w:r>
        <w:rPr>
          <w:rFonts w:hint="eastAsia"/>
        </w:rPr>
        <w:t>提出的决策方案修改意见、风险防范化解措施是否合理有效，是否兼具针对性、操作性；</w:t>
      </w:r>
    </w:p>
    <w:p w14:paraId="53EE3303">
      <w:pPr>
        <w:pStyle w:val="76"/>
        <w:bidi w:val="0"/>
      </w:pPr>
      <w:r>
        <w:rPr>
          <w:rFonts w:hint="eastAsia"/>
        </w:rPr>
        <w:t>风险等级确定及评估结论是否科学准确；</w:t>
      </w:r>
      <w:r>
        <w:t xml:space="preserve"> </w:t>
      </w:r>
    </w:p>
    <w:p w14:paraId="33F6E7E3">
      <w:pPr>
        <w:pStyle w:val="76"/>
        <w:bidi w:val="0"/>
      </w:pPr>
      <w:r>
        <w:rPr>
          <w:rFonts w:hint="eastAsia"/>
        </w:rPr>
        <w:t>各类风险是否可控；</w:t>
      </w:r>
    </w:p>
    <w:p w14:paraId="0FE8E7D5">
      <w:pPr>
        <w:pStyle w:val="76"/>
        <w:bidi w:val="0"/>
      </w:pPr>
      <w:r>
        <w:rPr>
          <w:rFonts w:hint="eastAsia"/>
        </w:rPr>
        <w:t>其他需要评审的内容。</w:t>
      </w:r>
    </w:p>
    <w:p w14:paraId="4E3865A7">
      <w:pPr>
        <w:pStyle w:val="93"/>
        <w:numPr>
          <w:ilvl w:val="2"/>
          <w:numId w:val="0"/>
        </w:numPr>
        <w:bidi w:val="0"/>
        <w:ind w:left="0" w:leftChars="0" w:firstLine="0" w:firstLineChars="0"/>
      </w:pPr>
      <w:r>
        <w:rPr>
          <w:rFonts w:hint="default" w:ascii="黑体" w:hAnsi="黑体" w:eastAsia="黑体" w:cs="黑体"/>
          <w:sz w:val="20"/>
        </w:rPr>
        <w:t>7.8.2　</w:t>
      </w:r>
      <w:r>
        <w:rPr>
          <w:rFonts w:hint="eastAsia"/>
        </w:rPr>
        <w:t>评审程序</w:t>
      </w:r>
    </w:p>
    <w:p w14:paraId="7FA3122C">
      <w:pPr>
        <w:pStyle w:val="76"/>
        <w:bidi w:val="0"/>
      </w:pPr>
      <w:r>
        <w:rPr>
          <w:rFonts w:hint="eastAsia"/>
        </w:rPr>
        <w:t>评估主体从“江西省重大决策社会稳定风险评估专家库成员名单”（详见“江西政法网”）中邀请3名及以上专家组成评审组，涉及面广、情况复杂的决策事项专家组成员为5～</w:t>
      </w:r>
      <w:r>
        <w:t>11</w:t>
      </w:r>
      <w:r>
        <w:rPr>
          <w:rFonts w:hint="eastAsia"/>
        </w:rPr>
        <w:t>名，并提前3日将评估报告提交所选取的评审专家；</w:t>
      </w:r>
    </w:p>
    <w:p w14:paraId="4513C466">
      <w:pPr>
        <w:pStyle w:val="76"/>
        <w:bidi w:val="0"/>
      </w:pPr>
      <w:r>
        <w:rPr>
          <w:rFonts w:hint="eastAsia"/>
        </w:rPr>
        <w:t>推选专家评审组组长。评估主体介绍评审会基本情况，由专家评审组人员推举专家评审组长，由专家评审组组长主持评审会；</w:t>
      </w:r>
    </w:p>
    <w:p w14:paraId="2820D90B">
      <w:pPr>
        <w:pStyle w:val="76"/>
        <w:bidi w:val="0"/>
      </w:pPr>
      <w:r>
        <w:rPr>
          <w:rFonts w:hint="eastAsia"/>
        </w:rPr>
        <w:t>介绍项目稳评工作情况。由评估主体或第三方评估机构介绍决策事项稳评工作情况；</w:t>
      </w:r>
    </w:p>
    <w:p w14:paraId="63E1DF37">
      <w:pPr>
        <w:pStyle w:val="76"/>
        <w:bidi w:val="0"/>
      </w:pPr>
      <w:r>
        <w:rPr>
          <w:rFonts w:hint="eastAsia"/>
        </w:rPr>
        <w:t>评审质询。专家评审人员根据情况介绍进行询问，评估主体或第三方评估机构解答疑问；</w:t>
      </w:r>
    </w:p>
    <w:p w14:paraId="2FDDA4BC">
      <w:pPr>
        <w:pStyle w:val="76"/>
        <w:bidi w:val="0"/>
      </w:pPr>
      <w:r>
        <w:rPr>
          <w:rFonts w:hint="eastAsia"/>
        </w:rPr>
        <w:t>发表意见。参会人员分别发表意见建议。人员包括决策事项涉及的相关部门、基层组织等利益相关者。专家评审组人员充分听取意见建议，发表个人意见建议，填写专家评审意见表（见附录I-1）并签名，作为稳评报告评审综合意见表附件留存；</w:t>
      </w:r>
    </w:p>
    <w:p w14:paraId="486616E9">
      <w:pPr>
        <w:pStyle w:val="76"/>
        <w:bidi w:val="0"/>
      </w:pPr>
      <w:r>
        <w:rPr>
          <w:rFonts w:hint="eastAsia"/>
        </w:rPr>
        <w:t>形成评审意见。专家评审组综合各方意见建议，讨论形成统一书面评审意见，由专家评审组组长现场宣读。对未被采纳的专家个人意见建议，应记录在案；</w:t>
      </w:r>
    </w:p>
    <w:p w14:paraId="4B3F4F6A">
      <w:pPr>
        <w:pStyle w:val="76"/>
        <w:bidi w:val="0"/>
      </w:pPr>
      <w:r>
        <w:rPr>
          <w:rFonts w:hint="eastAsia"/>
        </w:rPr>
        <w:t>填写评审综合意见表。专家评审组组长在评审综合意见表上签字(见附录I-2)，评估主体综合评审意见等情况形成综合意见。</w:t>
      </w:r>
    </w:p>
    <w:p w14:paraId="3E689376">
      <w:pPr>
        <w:pStyle w:val="93"/>
        <w:numPr>
          <w:ilvl w:val="2"/>
          <w:numId w:val="0"/>
        </w:numPr>
        <w:bidi w:val="0"/>
        <w:ind w:left="0" w:leftChars="0" w:firstLine="0" w:firstLineChars="0"/>
      </w:pPr>
      <w:bookmarkStart w:id="55" w:name="_Toc159751426"/>
      <w:r>
        <w:rPr>
          <w:rFonts w:hint="default" w:ascii="黑体" w:hAnsi="黑体" w:eastAsia="黑体" w:cs="黑体"/>
          <w:sz w:val="20"/>
        </w:rPr>
        <w:t>7.8.3　</w:t>
      </w:r>
      <w:r>
        <w:rPr>
          <w:rFonts w:hint="eastAsia"/>
        </w:rPr>
        <w:t>评审专家</w:t>
      </w:r>
    </w:p>
    <w:p w14:paraId="5290B140">
      <w:pPr>
        <w:pStyle w:val="44"/>
        <w:bidi w:val="0"/>
      </w:pPr>
      <w:r>
        <w:rPr>
          <w:rFonts w:hint="eastAsia"/>
        </w:rPr>
        <w:t>评审专家应当从“江西省重大决策社会稳定风险评估专家库成员名单”（详见“江西政法网”）中选取，选取评审专家应当根据评估事项类型，合理搭配社科研究、工程技术、综合管理三种类别专家数量（总数为单数），并且</w:t>
      </w:r>
      <w:r>
        <w:rPr>
          <w:rFonts w:hint="eastAsia"/>
          <w:lang w:eastAsia="zh-CN"/>
        </w:rPr>
        <w:t>至少有1名</w:t>
      </w:r>
      <w:r>
        <w:rPr>
          <w:rFonts w:hint="eastAsia"/>
        </w:rPr>
        <w:t>熟悉决策事项所在地情况的专家。</w:t>
      </w:r>
    </w:p>
    <w:p w14:paraId="1F8B1BB8">
      <w:pPr>
        <w:pStyle w:val="93"/>
        <w:numPr>
          <w:ilvl w:val="2"/>
          <w:numId w:val="0"/>
        </w:numPr>
        <w:bidi w:val="0"/>
        <w:ind w:left="0" w:leftChars="0" w:firstLine="0" w:firstLineChars="0"/>
      </w:pPr>
      <w:r>
        <w:rPr>
          <w:rFonts w:hint="default" w:ascii="黑体" w:hAnsi="黑体" w:eastAsia="黑体" w:cs="黑体"/>
          <w:sz w:val="20"/>
        </w:rPr>
        <w:t>7.8.4　</w:t>
      </w:r>
      <w:r>
        <w:rPr>
          <w:rFonts w:hint="eastAsia"/>
        </w:rPr>
        <w:t>评审要求</w:t>
      </w:r>
      <w:r>
        <w:t xml:space="preserve"> </w:t>
      </w:r>
    </w:p>
    <w:p w14:paraId="1B95A28E">
      <w:pPr>
        <w:pStyle w:val="76"/>
        <w:bidi w:val="0"/>
      </w:pPr>
      <w:r>
        <w:rPr>
          <w:rFonts w:hint="eastAsia"/>
        </w:rPr>
        <w:t>评审会议应当由评估主体或行业主管部门组织，评估小组或第三方评估机构不得作为评审组织者、承办者；</w:t>
      </w:r>
    </w:p>
    <w:p w14:paraId="71550DE6">
      <w:pPr>
        <w:pStyle w:val="76"/>
        <w:bidi w:val="0"/>
      </w:pPr>
      <w:r>
        <w:rPr>
          <w:rFonts w:hint="eastAsia"/>
        </w:rPr>
        <w:t>与该评审事项有直接利益关系的评审人员应当回避；</w:t>
      </w:r>
    </w:p>
    <w:p w14:paraId="2F2AF84C">
      <w:pPr>
        <w:pStyle w:val="76"/>
        <w:bidi w:val="0"/>
      </w:pPr>
      <w:r>
        <w:rPr>
          <w:rFonts w:hint="eastAsia"/>
        </w:rPr>
        <w:t>在环境敏感性建设项目、发生过或易引发群体性事件的决策事项社会稳定风险评估报告评审会前，评估主体应组织评审组成员踏勘现场和走访群众；</w:t>
      </w:r>
    </w:p>
    <w:p w14:paraId="3CD75F08">
      <w:pPr>
        <w:pStyle w:val="76"/>
        <w:bidi w:val="0"/>
      </w:pPr>
      <w:r>
        <w:rPr>
          <w:rFonts w:hint="eastAsia"/>
        </w:rPr>
        <w:t>评审会议由专家组主导，评估主体主要负责搭建平台，做好服务保障；</w:t>
      </w:r>
    </w:p>
    <w:p w14:paraId="576C61A2">
      <w:pPr>
        <w:pStyle w:val="76"/>
        <w:bidi w:val="0"/>
      </w:pPr>
      <w:r>
        <w:rPr>
          <w:rFonts w:hint="eastAsia"/>
        </w:rPr>
        <w:t>评审会后，评估主体应根据评审意见修改评估报告，如果决策事项有新增风险点，应及时补充资料和风险调查，完善风险点和化解措施，并经原评审专家组认可。</w:t>
      </w:r>
      <w:r>
        <w:t xml:space="preserve"> </w:t>
      </w:r>
    </w:p>
    <w:bookmarkEnd w:id="55"/>
    <w:p w14:paraId="27F25F11">
      <w:pPr>
        <w:pStyle w:val="92"/>
        <w:numPr>
          <w:ilvl w:val="1"/>
          <w:numId w:val="0"/>
        </w:numPr>
        <w:bidi w:val="0"/>
        <w:ind w:left="0" w:leftChars="0" w:firstLine="0" w:firstLineChars="0"/>
      </w:pPr>
      <w:bookmarkStart w:id="56" w:name="_Toc177670768"/>
      <w:r>
        <w:rPr>
          <w:rFonts w:hint="default" w:ascii="黑体" w:hAnsi="黑体" w:eastAsia="黑体" w:cs="黑体"/>
          <w:sz w:val="20"/>
        </w:rPr>
        <w:t>7.9　</w:t>
      </w:r>
      <w:r>
        <w:rPr>
          <w:rFonts w:hint="eastAsia"/>
        </w:rPr>
        <w:t>评估报告备案</w:t>
      </w:r>
      <w:bookmarkEnd w:id="56"/>
    </w:p>
    <w:p w14:paraId="71FD3826">
      <w:pPr>
        <w:pStyle w:val="44"/>
        <w:bidi w:val="0"/>
      </w:pPr>
      <w:r>
        <w:rPr>
          <w:rFonts w:hint="eastAsia"/>
        </w:rPr>
        <w:t>评估报告备案由评估主体负责，不得单独由第三方评估机构报送党委政法委备案。评估和备案工作应当在重大决策事项提交决策主体集体讨论前完成。评估报告结论及报告评审意见一般不予公开。涉密或有特殊要求的，应按相关法律规定执行。</w:t>
      </w:r>
    </w:p>
    <w:p w14:paraId="47801195">
      <w:pPr>
        <w:pStyle w:val="98"/>
        <w:numPr>
          <w:ilvl w:val="2"/>
          <w:numId w:val="0"/>
        </w:numPr>
        <w:bidi w:val="0"/>
        <w:spacing w:before="0" w:beforeLines="0" w:after="0" w:afterLines="0"/>
        <w:ind w:left="0" w:leftChars="0" w:firstLine="0" w:firstLineChars="0"/>
      </w:pPr>
      <w:r>
        <w:rPr>
          <w:rFonts w:hint="default" w:ascii="黑体" w:hAnsi="黑体" w:eastAsia="黑体" w:cs="黑体"/>
          <w:sz w:val="20"/>
        </w:rPr>
        <w:t>7.9.1　</w:t>
      </w:r>
      <w:r>
        <w:rPr>
          <w:rFonts w:hint="eastAsia"/>
        </w:rPr>
        <w:t>备案所需材料</w:t>
      </w:r>
    </w:p>
    <w:p w14:paraId="3596AB41">
      <w:pPr>
        <w:pStyle w:val="79"/>
        <w:numPr>
          <w:ilvl w:val="0"/>
          <w:numId w:val="22"/>
        </w:numPr>
        <w:bidi w:val="0"/>
        <w:ind w:left="851" w:leftChars="0" w:hanging="426" w:firstLineChars="0"/>
      </w:pPr>
      <w:r>
        <w:rPr>
          <w:rFonts w:hint="eastAsia"/>
        </w:rPr>
        <w:t>采取普通程序开展评估的，评估主体应提供如下备案资料：</w:t>
      </w:r>
    </w:p>
    <w:p w14:paraId="16C7AEA4">
      <w:pPr>
        <w:pStyle w:val="76"/>
        <w:bidi w:val="0"/>
      </w:pPr>
      <w:r>
        <w:rPr>
          <w:rFonts w:hint="eastAsia"/>
        </w:rPr>
        <w:t>江西省社会稳定风险评估普通程序备案表（见附录J-1）；</w:t>
      </w:r>
    </w:p>
    <w:p w14:paraId="03F6828C">
      <w:pPr>
        <w:pStyle w:val="76"/>
        <w:bidi w:val="0"/>
      </w:pPr>
      <w:r>
        <w:rPr>
          <w:rFonts w:hint="eastAsia"/>
        </w:rPr>
        <w:t>评估主体领导班子集体审议评估报告的会议纪要或评估主体主要负责人签署的承诺书；</w:t>
      </w:r>
    </w:p>
    <w:p w14:paraId="5BB496C7">
      <w:pPr>
        <w:pStyle w:val="76"/>
        <w:bidi w:val="0"/>
      </w:pPr>
      <w:r>
        <w:rPr>
          <w:rFonts w:hint="eastAsia"/>
        </w:rPr>
        <w:t>评估报告（含附件）；</w:t>
      </w:r>
    </w:p>
    <w:p w14:paraId="38B3D655">
      <w:pPr>
        <w:pStyle w:val="76"/>
        <w:bidi w:val="0"/>
      </w:pPr>
      <w:r>
        <w:rPr>
          <w:rFonts w:hint="eastAsia"/>
        </w:rPr>
        <w:t>风险防范化解措施汇总表（见附录G）；</w:t>
      </w:r>
    </w:p>
    <w:p w14:paraId="04C8B028">
      <w:pPr>
        <w:pStyle w:val="76"/>
        <w:bidi w:val="0"/>
      </w:pPr>
      <w:r>
        <w:rPr>
          <w:rFonts w:hint="eastAsia"/>
        </w:rPr>
        <w:t>评估过程中已化解风险或降低风险程度的说明。</w:t>
      </w:r>
    </w:p>
    <w:p w14:paraId="3BFE0748">
      <w:pPr>
        <w:pStyle w:val="79"/>
        <w:numPr>
          <w:ilvl w:val="0"/>
          <w:numId w:val="22"/>
        </w:numPr>
        <w:bidi w:val="0"/>
      </w:pPr>
      <w:r>
        <w:rPr>
          <w:rFonts w:hint="eastAsia"/>
        </w:rPr>
        <w:t>采取简易程序开展评估的，评估主体应提供如下备案资料：</w:t>
      </w:r>
    </w:p>
    <w:p w14:paraId="7A766B3D">
      <w:pPr>
        <w:pStyle w:val="76"/>
        <w:bidi w:val="0"/>
      </w:pPr>
      <w:r>
        <w:rPr>
          <w:rFonts w:hint="eastAsia"/>
        </w:rPr>
        <w:t>江西省社会稳定风险评估简易程序备案表（见附录J-2）；</w:t>
      </w:r>
    </w:p>
    <w:p w14:paraId="7685E109">
      <w:pPr>
        <w:pStyle w:val="76"/>
        <w:bidi w:val="0"/>
      </w:pPr>
      <w:r>
        <w:rPr>
          <w:rFonts w:hint="eastAsia"/>
        </w:rPr>
        <w:t>评估主体召开相关座谈会的记录；</w:t>
      </w:r>
    </w:p>
    <w:p w14:paraId="2ECC37F5">
      <w:pPr>
        <w:pStyle w:val="76"/>
        <w:bidi w:val="0"/>
      </w:pPr>
      <w:r>
        <w:rPr>
          <w:rFonts w:hint="eastAsia"/>
        </w:rPr>
        <w:t>评估主体召开本单位防范化解社会稳定风险专题会议纪要；</w:t>
      </w:r>
    </w:p>
    <w:p w14:paraId="40C96B3C">
      <w:pPr>
        <w:pStyle w:val="76"/>
        <w:bidi w:val="0"/>
      </w:pPr>
      <w:r>
        <w:rPr>
          <w:rFonts w:hint="eastAsia"/>
        </w:rPr>
        <w:t>风险防范化解措施汇总表及应急预案；</w:t>
      </w:r>
    </w:p>
    <w:p w14:paraId="09CF791F">
      <w:pPr>
        <w:pStyle w:val="76"/>
        <w:bidi w:val="0"/>
      </w:pPr>
      <w:r>
        <w:rPr>
          <w:rFonts w:hint="eastAsia"/>
        </w:rPr>
        <w:t>评估过程中已化解风险或降低风险程度的说明。</w:t>
      </w:r>
    </w:p>
    <w:p w14:paraId="711E7790">
      <w:pPr>
        <w:pStyle w:val="93"/>
        <w:numPr>
          <w:ilvl w:val="2"/>
          <w:numId w:val="0"/>
        </w:numPr>
        <w:bidi w:val="0"/>
        <w:ind w:left="0" w:leftChars="0" w:firstLine="0" w:firstLineChars="0"/>
      </w:pPr>
      <w:r>
        <w:rPr>
          <w:rFonts w:hint="default" w:ascii="黑体" w:hAnsi="黑体" w:eastAsia="黑体" w:cs="黑体"/>
          <w:sz w:val="20"/>
        </w:rPr>
        <w:t>7.9.2　</w:t>
      </w:r>
      <w:r>
        <w:rPr>
          <w:rFonts w:hint="eastAsia"/>
        </w:rPr>
        <w:t>备案审查内容</w:t>
      </w:r>
    </w:p>
    <w:p w14:paraId="65543648">
      <w:pPr>
        <w:pStyle w:val="44"/>
        <w:bidi w:val="0"/>
      </w:pPr>
      <w:r>
        <w:rPr>
          <w:rFonts w:hint="eastAsia"/>
        </w:rPr>
        <w:t>党委政法委应当在5个工作日内完成评估报告的备案性审查，并反馈是否同意备案的意见。审查不对评估结论做评价，不承担评估主体责任。主要审查内容如下：</w:t>
      </w:r>
    </w:p>
    <w:p w14:paraId="63091177">
      <w:pPr>
        <w:pStyle w:val="76"/>
        <w:bidi w:val="0"/>
      </w:pPr>
      <w:r>
        <w:rPr>
          <w:rFonts w:hint="eastAsia"/>
        </w:rPr>
        <w:t>提供的备案材料有无缺失；</w:t>
      </w:r>
    </w:p>
    <w:p w14:paraId="16F9857C">
      <w:pPr>
        <w:pStyle w:val="76"/>
        <w:bidi w:val="0"/>
      </w:pPr>
      <w:r>
        <w:rPr>
          <w:rFonts w:hint="eastAsia"/>
        </w:rPr>
        <w:t>评估主体是否合规、评估程序是否到位、有无针对性的防范化解风险措施、有无评估结论、有无应急处置预案；</w:t>
      </w:r>
    </w:p>
    <w:p w14:paraId="72D1622D">
      <w:pPr>
        <w:pStyle w:val="76"/>
        <w:bidi w:val="0"/>
      </w:pPr>
      <w:r>
        <w:rPr>
          <w:rFonts w:hint="eastAsia"/>
        </w:rPr>
        <w:t>查核委托的第三方评估机构是否属于“江西省重大决策社会稳定风险评估第三方机构名单”范围，选取的评审专家是否属于“江西省重大决策社会稳定风险评估专家库成员名单”范围；对不符合名单范围要求的，责令按要求整改到位后再予以备案；</w:t>
      </w:r>
    </w:p>
    <w:p w14:paraId="5B1C2B9F">
      <w:pPr>
        <w:pStyle w:val="76"/>
        <w:bidi w:val="0"/>
      </w:pPr>
      <w:r>
        <w:rPr>
          <w:rFonts w:hint="eastAsia"/>
        </w:rPr>
        <w:t>审核问卷调查样本是否符合要求，并随机抽查5-10个问卷调查对象，核实问卷调查的真实性；</w:t>
      </w:r>
    </w:p>
    <w:p w14:paraId="77F78C86">
      <w:pPr>
        <w:pStyle w:val="76"/>
        <w:bidi w:val="0"/>
      </w:pPr>
      <w:r>
        <w:rPr>
          <w:rFonts w:hint="eastAsia"/>
        </w:rPr>
        <w:t>必须评估的风险因素是否全部评估；</w:t>
      </w:r>
    </w:p>
    <w:p w14:paraId="055B0AFA">
      <w:pPr>
        <w:pStyle w:val="76"/>
        <w:bidi w:val="0"/>
      </w:pPr>
      <w:r>
        <w:rPr>
          <w:rFonts w:hint="eastAsia"/>
        </w:rPr>
        <w:t>委托评估的，要向评估主体、利益相关方了解受托方开展稳评工作情况，查核有无不良行为。</w:t>
      </w:r>
    </w:p>
    <w:p w14:paraId="4781F1F7">
      <w:pPr>
        <w:pStyle w:val="92"/>
        <w:numPr>
          <w:ilvl w:val="1"/>
          <w:numId w:val="0"/>
        </w:numPr>
        <w:bidi w:val="0"/>
        <w:ind w:left="0" w:leftChars="0" w:firstLine="0" w:firstLineChars="0"/>
      </w:pPr>
      <w:bookmarkStart w:id="57" w:name="_Toc177670769"/>
      <w:r>
        <w:rPr>
          <w:rFonts w:hint="default" w:ascii="黑体" w:hAnsi="黑体" w:eastAsia="黑体" w:cs="黑体"/>
          <w:sz w:val="20"/>
        </w:rPr>
        <w:t>7.10　</w:t>
      </w:r>
      <w:r>
        <w:rPr>
          <w:rFonts w:hint="eastAsia"/>
        </w:rPr>
        <w:t>评估档案建立</w:t>
      </w:r>
      <w:bookmarkEnd w:id="57"/>
    </w:p>
    <w:p w14:paraId="19F36D20">
      <w:pPr>
        <w:pStyle w:val="44"/>
        <w:bidi w:val="0"/>
        <w:rPr>
          <w:rFonts w:ascii="宋体" w:hAnsi="宋体" w:eastAsia="宋体"/>
          <w:color w:val="000000" w:themeColor="text1"/>
          <w:szCs w:val="28"/>
          <w14:textFill>
            <w14:solidFill>
              <w14:schemeClr w14:val="tx1"/>
            </w14:solidFill>
          </w14:textFill>
        </w:rPr>
      </w:pPr>
      <w:r>
        <w:rPr>
          <w:rFonts w:hint="eastAsia"/>
        </w:rPr>
        <w:t>评估主体应当按照及时全面、内容规范、数据详实、凭证原始、留存备份的要求，做好评估资料收集归档工作，做到一个评估事项一份评估档案。</w:t>
      </w:r>
    </w:p>
    <w:p w14:paraId="4E712375">
      <w:pPr>
        <w:pStyle w:val="91"/>
        <w:numPr>
          <w:ilvl w:val="0"/>
          <w:numId w:val="0"/>
        </w:numPr>
        <w:bidi w:val="0"/>
        <w:ind w:left="0" w:leftChars="0" w:firstLine="0" w:firstLineChars="0"/>
      </w:pPr>
      <w:bookmarkStart w:id="58" w:name="_Toc177670770"/>
      <w:r>
        <w:rPr>
          <w:rFonts w:hint="default" w:ascii="黑体" w:hAnsi="黑体" w:eastAsia="黑体" w:cs="黑体"/>
          <w:sz w:val="20"/>
        </w:rPr>
        <w:t>8　</w:t>
      </w:r>
      <w:r>
        <w:rPr>
          <w:rFonts w:hint="eastAsia"/>
        </w:rPr>
        <w:t>结果运用及后评估</w:t>
      </w:r>
      <w:bookmarkEnd w:id="58"/>
    </w:p>
    <w:p w14:paraId="15635D32">
      <w:pPr>
        <w:pStyle w:val="92"/>
        <w:numPr>
          <w:ilvl w:val="1"/>
          <w:numId w:val="0"/>
        </w:numPr>
        <w:bidi w:val="0"/>
        <w:ind w:left="0" w:leftChars="0" w:firstLine="0" w:firstLineChars="0"/>
      </w:pPr>
      <w:bookmarkStart w:id="59" w:name="_Toc177670771"/>
      <w:r>
        <w:rPr>
          <w:rFonts w:hint="default" w:ascii="黑体" w:hAnsi="黑体" w:eastAsia="黑体" w:cs="黑体"/>
          <w:sz w:val="20"/>
        </w:rPr>
        <w:t>8.1　</w:t>
      </w:r>
      <w:r>
        <w:rPr>
          <w:rFonts w:hint="eastAsia"/>
        </w:rPr>
        <w:t>结果运用</w:t>
      </w:r>
      <w:bookmarkEnd w:id="59"/>
    </w:p>
    <w:p w14:paraId="55FC9E1B">
      <w:pPr>
        <w:pStyle w:val="76"/>
        <w:bidi w:val="0"/>
      </w:pPr>
      <w:r>
        <w:rPr>
          <w:rFonts w:hint="eastAsia"/>
        </w:rPr>
        <w:t>决策主体作出决策前，应当对评估主体提交的评估报告进行审查，对评估报告不符合规定程序和要求的，或者存在隐瞒真实情况、弄虚作假等情形的，应当责成评估主体重新进行评估，并通报备案</w:t>
      </w:r>
      <w:r>
        <w:rPr>
          <w:rFonts w:hint="eastAsia"/>
          <w:lang w:eastAsia="zh-CN"/>
        </w:rPr>
        <w:t>的党委政法委</w:t>
      </w:r>
      <w:r>
        <w:rPr>
          <w:rFonts w:hint="eastAsia"/>
        </w:rPr>
        <w:t>；</w:t>
      </w:r>
    </w:p>
    <w:p w14:paraId="5539F6A8">
      <w:pPr>
        <w:pStyle w:val="76"/>
        <w:bidi w:val="0"/>
      </w:pPr>
      <w:r>
        <w:rPr>
          <w:rFonts w:hint="eastAsia"/>
        </w:rPr>
        <w:t>依法需要进行审批、核准的重大项目建设、重大活动举办和新技术应用、新业态推广等，申报单位在向决策主体报送的申报文件中，应当包含对该项目社会稳定风险评估报告的意见，并附评估报告；</w:t>
      </w:r>
    </w:p>
    <w:p w14:paraId="1357CA29">
      <w:pPr>
        <w:pStyle w:val="76"/>
        <w:bidi w:val="0"/>
      </w:pPr>
      <w:r>
        <w:rPr>
          <w:rFonts w:hint="eastAsia"/>
        </w:rPr>
        <w:t>决策主体应当把社会稳定风险评估结果作为决策的重要依据。实施决策方案，应对规避、防范、化解、管控决策可能引发的社会稳定风险等工作进行部署，对采取化解措施、调整决策方案降低风险等级等工作作出安排。</w:t>
      </w:r>
    </w:p>
    <w:p w14:paraId="2FC00061">
      <w:pPr>
        <w:pStyle w:val="76"/>
        <w:bidi w:val="0"/>
      </w:pPr>
      <w:r>
        <w:rPr>
          <w:rFonts w:hint="eastAsia"/>
        </w:rPr>
        <w:t>决策主体在作出决策后，评估主体须及时将决策结果反馈给同级党委政法委；</w:t>
      </w:r>
    </w:p>
    <w:p w14:paraId="48FEDF5A">
      <w:pPr>
        <w:pStyle w:val="76"/>
        <w:bidi w:val="0"/>
      </w:pPr>
      <w:r>
        <w:rPr>
          <w:rFonts w:hint="eastAsia"/>
        </w:rPr>
        <w:t>决策主体不根据社会稳定风险评估结果进行决策，造成重大损失或者导致影响社会稳定突出问题的，依法依纪进行责任追究。</w:t>
      </w:r>
    </w:p>
    <w:p w14:paraId="5E437BD3">
      <w:pPr>
        <w:pStyle w:val="92"/>
        <w:numPr>
          <w:ilvl w:val="1"/>
          <w:numId w:val="0"/>
        </w:numPr>
        <w:bidi w:val="0"/>
        <w:ind w:left="0" w:leftChars="0" w:firstLine="0" w:firstLineChars="0"/>
      </w:pPr>
      <w:bookmarkStart w:id="60" w:name="_Toc177670772"/>
      <w:r>
        <w:rPr>
          <w:rFonts w:hint="default" w:ascii="黑体" w:hAnsi="黑体" w:eastAsia="黑体" w:cs="黑体"/>
          <w:sz w:val="20"/>
        </w:rPr>
        <w:t>8.2　</w:t>
      </w:r>
      <w:r>
        <w:rPr>
          <w:rFonts w:hint="eastAsia"/>
        </w:rPr>
        <w:t>后评估</w:t>
      </w:r>
      <w:bookmarkEnd w:id="60"/>
    </w:p>
    <w:p w14:paraId="108EDE06">
      <w:pPr>
        <w:pStyle w:val="93"/>
        <w:numPr>
          <w:ilvl w:val="2"/>
          <w:numId w:val="0"/>
        </w:numPr>
        <w:bidi w:val="0"/>
        <w:ind w:left="0" w:leftChars="0" w:firstLine="0" w:firstLineChars="0"/>
      </w:pPr>
      <w:r>
        <w:rPr>
          <w:rFonts w:hint="default" w:ascii="黑体" w:hAnsi="黑体" w:eastAsia="黑体" w:cs="黑体"/>
          <w:sz w:val="20"/>
        </w:rPr>
        <w:t>8.2.1　</w:t>
      </w:r>
      <w:r>
        <w:rPr>
          <w:rFonts w:hint="eastAsia"/>
        </w:rPr>
        <w:t>启动的条件</w:t>
      </w:r>
    </w:p>
    <w:p w14:paraId="1FB8F2AE">
      <w:pPr>
        <w:pStyle w:val="44"/>
        <w:bidi w:val="0"/>
      </w:pPr>
      <w:r>
        <w:rPr>
          <w:rFonts w:hint="eastAsia"/>
        </w:rPr>
        <w:t>引发重大社会不稳定事件或者存在重大矛盾风险的，决策主体、评估主体应当及时组织召开决策后风险评估，并将评估结果作为暂缓实施、调整实施或者终止实施等后续决策的重要依据。</w:t>
      </w:r>
    </w:p>
    <w:p w14:paraId="1EFEF931">
      <w:pPr>
        <w:pStyle w:val="93"/>
        <w:numPr>
          <w:ilvl w:val="2"/>
          <w:numId w:val="0"/>
        </w:numPr>
        <w:bidi w:val="0"/>
        <w:ind w:left="0" w:leftChars="0" w:firstLine="0" w:firstLineChars="0"/>
      </w:pPr>
      <w:r>
        <w:rPr>
          <w:rFonts w:hint="default" w:ascii="黑体" w:hAnsi="黑体" w:eastAsia="黑体" w:cs="黑体"/>
          <w:sz w:val="20"/>
        </w:rPr>
        <w:t>8.2.2　</w:t>
      </w:r>
      <w:r>
        <w:rPr>
          <w:rFonts w:hint="eastAsia"/>
        </w:rPr>
        <w:t>启动的程序</w:t>
      </w:r>
    </w:p>
    <w:p w14:paraId="1CF85F9A">
      <w:pPr>
        <w:pStyle w:val="44"/>
        <w:bidi w:val="0"/>
      </w:pPr>
      <w:r>
        <w:rPr>
          <w:rFonts w:hint="eastAsia"/>
        </w:rPr>
        <w:t>决策后评估参照决策前评估的方式和程序进行，但不适用简易程序。</w:t>
      </w:r>
    </w:p>
    <w:p w14:paraId="6BBB6480">
      <w:pPr>
        <w:pStyle w:val="93"/>
        <w:numPr>
          <w:ilvl w:val="2"/>
          <w:numId w:val="0"/>
        </w:numPr>
        <w:bidi w:val="0"/>
        <w:ind w:left="0" w:leftChars="0" w:firstLine="0" w:firstLineChars="0"/>
      </w:pPr>
      <w:r>
        <w:rPr>
          <w:rFonts w:hint="default" w:ascii="黑体" w:hAnsi="黑体" w:eastAsia="黑体" w:cs="黑体"/>
          <w:sz w:val="20"/>
        </w:rPr>
        <w:t>8.2.3　</w:t>
      </w:r>
      <w:r>
        <w:rPr>
          <w:rFonts w:hint="eastAsia"/>
        </w:rPr>
        <w:t>基本要求</w:t>
      </w:r>
    </w:p>
    <w:p w14:paraId="292EE446">
      <w:pPr>
        <w:pStyle w:val="44"/>
        <w:bidi w:val="0"/>
      </w:pPr>
      <w:r>
        <w:rPr>
          <w:rFonts w:hint="eastAsia"/>
        </w:rPr>
        <w:t>决策前评估委托第三方机构开展的，决策后评估不得再委托同一机构开展。</w:t>
      </w:r>
    </w:p>
    <w:p w14:paraId="2C8D5B7B">
      <w:pPr>
        <w:pStyle w:val="44"/>
        <w:bidi w:val="0"/>
      </w:pPr>
      <w:r>
        <w:rPr>
          <w:rFonts w:hint="eastAsia"/>
        </w:rPr>
        <w:t>决策主体或评估主体应保持对重大决策事项社会稳定风险的全程动态跟踪，做好风险的记录和报告，及时做好调处化解工作。</w:t>
      </w:r>
    </w:p>
    <w:p w14:paraId="04BA9442">
      <w:pPr>
        <w:widowControl/>
        <w:jc w:val="left"/>
        <w:rPr>
          <w:rFonts w:ascii="宋体" w:hAnsi="宋体" w:eastAsia="宋体"/>
          <w:color w:val="000000" w:themeColor="text1"/>
          <w:sz w:val="28"/>
          <w:szCs w:val="28"/>
          <w14:textFill>
            <w14:solidFill>
              <w14:schemeClr w14:val="tx1"/>
            </w14:solidFill>
          </w14:textFill>
        </w:rPr>
      </w:pPr>
      <w:r>
        <w:rPr>
          <w:rFonts w:ascii="宋体" w:hAnsi="宋体" w:eastAsia="宋体"/>
          <w:color w:val="000000" w:themeColor="text1"/>
          <w:sz w:val="28"/>
          <w:szCs w:val="28"/>
          <w14:textFill>
            <w14:solidFill>
              <w14:schemeClr w14:val="tx1"/>
            </w14:solidFill>
          </w14:textFill>
        </w:rPr>
        <w:br w:type="page"/>
      </w:r>
    </w:p>
    <w:p w14:paraId="3B2B1361">
      <w:pPr>
        <w:numPr>
          <w:ilvl w:val="0"/>
          <w:numId w:val="23"/>
        </w:numPr>
        <w:bidi w:val="0"/>
        <w:spacing w:line="14" w:lineRule="exact"/>
        <w:ind w:left="425" w:firstLine="40" w:firstLineChars="200"/>
        <w:jc w:val="center"/>
        <w:rPr>
          <w:rFonts w:hint="eastAsia" w:ascii="宋体" w:hAnsi="Times New Roman" w:eastAsia="宋体" w:cs="宋体"/>
          <w:sz w:val="2"/>
          <w:lang w:eastAsia="zh-CN"/>
        </w:rPr>
      </w:pPr>
    </w:p>
    <w:p w14:paraId="53A00612">
      <w:pPr>
        <w:numPr>
          <w:ilvl w:val="0"/>
          <w:numId w:val="24"/>
        </w:numPr>
        <w:bidi w:val="0"/>
        <w:spacing w:line="14" w:lineRule="exact"/>
        <w:ind w:left="425" w:firstLine="40" w:firstLineChars="200"/>
        <w:jc w:val="center"/>
        <w:rPr>
          <w:rFonts w:hint="eastAsia" w:ascii="宋体" w:hAnsi="Times New Roman" w:eastAsia="宋体" w:cs="宋体"/>
          <w:sz w:val="2"/>
          <w:lang w:eastAsia="zh-CN"/>
        </w:rPr>
      </w:pPr>
    </w:p>
    <w:p w14:paraId="6ABA364C">
      <w:pPr>
        <w:pStyle w:val="107"/>
        <w:bidi w:val="0"/>
        <w:ind w:left="0" w:leftChars="0" w:firstLine="0" w:firstLineChars="0"/>
        <w:rPr>
          <w:rFonts w:hint="eastAsia"/>
          <w:lang w:eastAsia="zh-CN"/>
        </w:rPr>
      </w:pPr>
      <w:r>
        <w:rPr>
          <w:rFonts w:hint="eastAsia"/>
          <w:lang w:eastAsia="zh-CN"/>
        </w:rPr>
        <w:br w:type="textWrapping"/>
      </w:r>
      <w:r>
        <w:rPr>
          <w:rFonts w:hint="eastAsia"/>
          <w:lang w:eastAsia="zh-CN"/>
        </w:rPr>
        <w:t>（资料性）</w:t>
      </w:r>
      <w:r>
        <w:rPr>
          <w:rFonts w:hint="eastAsia"/>
          <w:lang w:eastAsia="zh-CN"/>
        </w:rPr>
        <w:br w:type="textWrapping"/>
      </w:r>
      <w:r>
        <w:rPr>
          <w:rFonts w:hint="eastAsia"/>
          <w:lang w:eastAsia="zh-CN"/>
        </w:rPr>
        <w:t>重大决策社会稳定风险评估委托合同书</w:t>
      </w:r>
    </w:p>
    <w:p w14:paraId="45E39423">
      <w:pPr>
        <w:pStyle w:val="44"/>
        <w:rPr>
          <w:rFonts w:hint="eastAsia"/>
          <w:lang w:eastAsia="zh-CN"/>
        </w:rPr>
      </w:pPr>
    </w:p>
    <w:p w14:paraId="0F7E432E">
      <w:pPr>
        <w:pStyle w:val="44"/>
        <w:rPr>
          <w:rFonts w:hint="eastAsia"/>
          <w:lang w:eastAsia="zh-CN"/>
        </w:rPr>
      </w:pPr>
    </w:p>
    <w:p w14:paraId="0158673C">
      <w:pPr>
        <w:pStyle w:val="44"/>
        <w:rPr>
          <w:rFonts w:hint="eastAsia"/>
          <w:lang w:eastAsia="zh-CN"/>
        </w:rPr>
      </w:pPr>
    </w:p>
    <w:p w14:paraId="6B53782A">
      <w:pPr>
        <w:pStyle w:val="44"/>
        <w:bidi w:val="0"/>
        <w:jc w:val="center"/>
        <w:rPr>
          <w:rFonts w:hint="eastAsia"/>
          <w:b/>
          <w:bCs/>
          <w:sz w:val="22"/>
          <w:szCs w:val="21"/>
          <w:lang w:eastAsia="zh-CN"/>
        </w:rPr>
      </w:pPr>
      <w:r>
        <w:rPr>
          <w:rFonts w:hint="eastAsia"/>
          <w:b/>
          <w:bCs/>
          <w:sz w:val="22"/>
          <w:szCs w:val="21"/>
          <w:lang w:eastAsia="zh-CN"/>
        </w:rPr>
        <w:t>重大决策社会稳定风险评估委托合同书</w:t>
      </w:r>
    </w:p>
    <w:p w14:paraId="213DB95F">
      <w:pPr>
        <w:pStyle w:val="44"/>
        <w:bidi w:val="0"/>
        <w:jc w:val="center"/>
        <w:rPr>
          <w:rFonts w:hint="eastAsia"/>
          <w:lang w:eastAsia="zh-CN"/>
        </w:rPr>
      </w:pPr>
    </w:p>
    <w:p w14:paraId="25B7893D">
      <w:pPr>
        <w:pStyle w:val="44"/>
        <w:bidi w:val="0"/>
        <w:jc w:val="center"/>
        <w:rPr>
          <w:rFonts w:hint="eastAsia"/>
          <w:lang w:eastAsia="zh-CN"/>
        </w:rPr>
      </w:pPr>
    </w:p>
    <w:p w14:paraId="49E87313">
      <w:pPr>
        <w:pStyle w:val="44"/>
        <w:bidi w:val="0"/>
        <w:jc w:val="center"/>
        <w:rPr>
          <w:rFonts w:hint="eastAsia"/>
          <w:lang w:eastAsia="zh-CN"/>
        </w:rPr>
      </w:pPr>
    </w:p>
    <w:p w14:paraId="490C621A">
      <w:pPr>
        <w:pStyle w:val="44"/>
        <w:bidi w:val="0"/>
        <w:jc w:val="center"/>
        <w:rPr>
          <w:rFonts w:hint="eastAsia"/>
          <w:lang w:eastAsia="zh-CN"/>
        </w:rPr>
      </w:pPr>
    </w:p>
    <w:p w14:paraId="4D9746D0">
      <w:pPr>
        <w:pStyle w:val="44"/>
        <w:bidi w:val="0"/>
        <w:rPr>
          <w:rFonts w:hint="eastAsia"/>
          <w:lang w:eastAsia="zh-CN"/>
        </w:rPr>
      </w:pPr>
    </w:p>
    <w:p w14:paraId="5D92DFBB">
      <w:pPr>
        <w:pStyle w:val="44"/>
        <w:bidi w:val="0"/>
        <w:rPr>
          <w:rFonts w:hint="eastAsia" w:asciiTheme="minorEastAsia" w:hAnsiTheme="minorEastAsia" w:eastAsiaTheme="minorEastAsia"/>
          <w:b/>
          <w:color w:val="000000" w:themeColor="text1"/>
          <w:spacing w:val="-2"/>
          <w:sz w:val="28"/>
          <w:szCs w:val="28"/>
          <w:u w:val="single"/>
          <w:lang w:eastAsia="zh-CN"/>
          <w14:textFill>
            <w14:solidFill>
              <w14:schemeClr w14:val="tx1"/>
            </w14:solidFill>
          </w14:textFill>
        </w:rPr>
      </w:pPr>
      <w:r>
        <w:rPr>
          <w:rFonts w:hint="eastAsia"/>
          <w:lang w:eastAsia="zh-CN"/>
        </w:rPr>
        <w:t>决策事项</w:t>
      </w:r>
      <w:r>
        <w:rPr>
          <w:lang w:eastAsia="zh-CN"/>
        </w:rPr>
        <w:t>：</w:t>
      </w:r>
      <w:r>
        <w:rPr>
          <w:rFonts w:asciiTheme="minorEastAsia" w:hAnsiTheme="minorEastAsia" w:eastAsiaTheme="minorEastAsia"/>
          <w:b/>
          <w:color w:val="000000" w:themeColor="text1"/>
          <w:spacing w:val="-2"/>
          <w:sz w:val="28"/>
          <w:szCs w:val="28"/>
          <w:u w:val="single"/>
          <w:lang w:eastAsia="zh-CN"/>
          <w14:textFill>
            <w14:solidFill>
              <w14:schemeClr w14:val="tx1"/>
            </w14:solidFill>
          </w14:textFill>
        </w:rPr>
        <w:t xml:space="preserve">                                 </w:t>
      </w:r>
      <w:r>
        <w:rPr>
          <w:rFonts w:hint="eastAsia" w:asciiTheme="minorEastAsia" w:hAnsiTheme="minorEastAsia" w:eastAsiaTheme="minorEastAsia"/>
          <w:b/>
          <w:color w:val="000000" w:themeColor="text1"/>
          <w:spacing w:val="-2"/>
          <w:sz w:val="28"/>
          <w:szCs w:val="28"/>
          <w:u w:val="single"/>
          <w:lang w:eastAsia="zh-CN"/>
          <w14:textFill>
            <w14:solidFill>
              <w14:schemeClr w14:val="tx1"/>
            </w14:solidFill>
          </w14:textFill>
        </w:rPr>
        <w:t xml:space="preserve">     </w:t>
      </w:r>
    </w:p>
    <w:p w14:paraId="4282B5B4">
      <w:pPr>
        <w:pStyle w:val="44"/>
        <w:bidi w:val="0"/>
        <w:rPr>
          <w:rFonts w:hint="eastAsia" w:asciiTheme="minorEastAsia" w:hAnsiTheme="minorEastAsia" w:eastAsiaTheme="minorEastAsia"/>
          <w:b/>
          <w:color w:val="000000" w:themeColor="text1"/>
          <w:spacing w:val="-2"/>
          <w:sz w:val="28"/>
          <w:szCs w:val="28"/>
          <w:u w:val="single"/>
          <w:lang w:eastAsia="zh-CN"/>
          <w14:textFill>
            <w14:solidFill>
              <w14:schemeClr w14:val="tx1"/>
            </w14:solidFill>
          </w14:textFill>
        </w:rPr>
      </w:pPr>
    </w:p>
    <w:p w14:paraId="77E90C51">
      <w:pPr>
        <w:pStyle w:val="44"/>
        <w:bidi w:val="0"/>
        <w:jc w:val="left"/>
        <w:rPr>
          <w:rFonts w:hint="eastAsia"/>
          <w:lang w:val="en-US" w:eastAsia="zh-CN"/>
        </w:rPr>
      </w:pPr>
      <w:r>
        <w:rPr>
          <w:lang w:eastAsia="zh-CN"/>
        </w:rPr>
        <w:t>委托</w:t>
      </w:r>
      <w:r>
        <w:rPr>
          <w:rFonts w:hint="eastAsia"/>
          <w:lang w:eastAsia="zh-CN"/>
        </w:rPr>
        <w:t>单位</w:t>
      </w:r>
      <w:r>
        <w:rPr>
          <w:lang w:eastAsia="zh-CN"/>
        </w:rPr>
        <w:t>（甲方）：</w:t>
      </w:r>
      <w:r>
        <w:rPr>
          <w:rFonts w:asciiTheme="minorEastAsia" w:hAnsiTheme="minorEastAsia" w:eastAsiaTheme="minorEastAsia"/>
          <w:b/>
          <w:color w:val="000000" w:themeColor="text1"/>
          <w:spacing w:val="-2"/>
          <w:sz w:val="28"/>
          <w:szCs w:val="28"/>
          <w:u w:val="single"/>
          <w:lang w:eastAsia="zh-CN"/>
          <w14:textFill>
            <w14:solidFill>
              <w14:schemeClr w14:val="tx1"/>
            </w14:solidFill>
          </w14:textFill>
        </w:rPr>
        <w:t xml:space="preserve">             </w:t>
      </w:r>
      <w:r>
        <w:rPr>
          <w:rFonts w:hint="eastAsia" w:asciiTheme="minorEastAsia" w:hAnsiTheme="minorEastAsia" w:eastAsiaTheme="minorEastAsia"/>
          <w:b/>
          <w:color w:val="000000" w:themeColor="text1"/>
          <w:spacing w:val="-2"/>
          <w:sz w:val="28"/>
          <w:szCs w:val="28"/>
          <w:u w:val="single"/>
          <w:lang w:val="en-US" w:eastAsia="zh-CN"/>
          <w14:textFill>
            <w14:solidFill>
              <w14:schemeClr w14:val="tx1"/>
            </w14:solidFill>
          </w14:textFill>
        </w:rPr>
        <w:t xml:space="preserve">                 </w:t>
      </w:r>
      <w:r>
        <w:rPr>
          <w:rFonts w:asciiTheme="minorEastAsia" w:hAnsiTheme="minorEastAsia" w:eastAsiaTheme="minorEastAsia"/>
          <w:b/>
          <w:color w:val="000000" w:themeColor="text1"/>
          <w:spacing w:val="-2"/>
          <w:sz w:val="28"/>
          <w:szCs w:val="28"/>
          <w:u w:val="single"/>
          <w:lang w:eastAsia="zh-CN"/>
          <w14:textFill>
            <w14:solidFill>
              <w14:schemeClr w14:val="tx1"/>
            </w14:solidFill>
          </w14:textFill>
        </w:rPr>
        <w:t xml:space="preserve">  </w:t>
      </w:r>
    </w:p>
    <w:p w14:paraId="7154F9FE">
      <w:pPr>
        <w:pStyle w:val="44"/>
        <w:bidi w:val="0"/>
        <w:jc w:val="left"/>
        <w:rPr>
          <w:rFonts w:hint="default"/>
          <w:lang w:val="en-US" w:eastAsia="zh-CN"/>
        </w:rPr>
      </w:pPr>
    </w:p>
    <w:p w14:paraId="2A9F5D79">
      <w:pPr>
        <w:pStyle w:val="44"/>
        <w:bidi w:val="0"/>
        <w:rPr>
          <w:rFonts w:asciiTheme="minorEastAsia" w:hAnsiTheme="minorEastAsia" w:eastAsiaTheme="minorEastAsia"/>
          <w:b/>
          <w:color w:val="000000" w:themeColor="text1"/>
          <w:spacing w:val="-2"/>
          <w:sz w:val="28"/>
          <w:szCs w:val="28"/>
          <w:u w:val="single"/>
          <w:lang w:eastAsia="zh-CN"/>
          <w14:textFill>
            <w14:solidFill>
              <w14:schemeClr w14:val="tx1"/>
            </w14:solidFill>
          </w14:textFill>
        </w:rPr>
      </w:pPr>
      <w:r>
        <w:rPr>
          <w:lang w:eastAsia="zh-CN"/>
        </w:rPr>
        <w:t>评估</w:t>
      </w:r>
      <w:r>
        <w:rPr>
          <w:rFonts w:hint="eastAsia"/>
          <w:lang w:eastAsia="zh-CN"/>
        </w:rPr>
        <w:t>机构</w:t>
      </w:r>
      <w:r>
        <w:rPr>
          <w:lang w:eastAsia="zh-CN"/>
        </w:rPr>
        <w:t>（乙方）：</w:t>
      </w:r>
      <w:r>
        <w:rPr>
          <w:rFonts w:asciiTheme="minorEastAsia" w:hAnsiTheme="minorEastAsia" w:eastAsiaTheme="minorEastAsia"/>
          <w:b/>
          <w:color w:val="000000" w:themeColor="text1"/>
          <w:spacing w:val="-2"/>
          <w:sz w:val="28"/>
          <w:szCs w:val="28"/>
          <w:u w:val="single"/>
          <w:lang w:eastAsia="zh-CN"/>
          <w14:textFill>
            <w14:solidFill>
              <w14:schemeClr w14:val="tx1"/>
            </w14:solidFill>
          </w14:textFill>
        </w:rPr>
        <w:t xml:space="preserve">          </w:t>
      </w:r>
      <w:r>
        <w:rPr>
          <w:rFonts w:hint="eastAsia" w:asciiTheme="minorEastAsia" w:hAnsiTheme="minorEastAsia" w:eastAsiaTheme="minorEastAsia"/>
          <w:b/>
          <w:color w:val="000000" w:themeColor="text1"/>
          <w:spacing w:val="-2"/>
          <w:sz w:val="28"/>
          <w:szCs w:val="28"/>
          <w:u w:val="single"/>
          <w:lang w:val="en-US" w:eastAsia="zh-CN"/>
          <w14:textFill>
            <w14:solidFill>
              <w14:schemeClr w14:val="tx1"/>
            </w14:solidFill>
          </w14:textFill>
        </w:rPr>
        <w:t xml:space="preserve">                 </w:t>
      </w:r>
      <w:r>
        <w:rPr>
          <w:rFonts w:asciiTheme="minorEastAsia" w:hAnsiTheme="minorEastAsia" w:eastAsiaTheme="minorEastAsia"/>
          <w:b/>
          <w:color w:val="000000" w:themeColor="text1"/>
          <w:spacing w:val="-2"/>
          <w:sz w:val="28"/>
          <w:szCs w:val="28"/>
          <w:u w:val="single"/>
          <w:lang w:eastAsia="zh-CN"/>
          <w14:textFill>
            <w14:solidFill>
              <w14:schemeClr w14:val="tx1"/>
            </w14:solidFill>
          </w14:textFill>
        </w:rPr>
        <w:t xml:space="preserve">     </w:t>
      </w:r>
    </w:p>
    <w:p w14:paraId="684175F8">
      <w:pPr>
        <w:pStyle w:val="44"/>
        <w:bidi w:val="0"/>
        <w:rPr>
          <w:rFonts w:asciiTheme="minorEastAsia" w:hAnsiTheme="minorEastAsia" w:eastAsiaTheme="minorEastAsia"/>
          <w:b/>
          <w:color w:val="000000" w:themeColor="text1"/>
          <w:spacing w:val="-2"/>
          <w:sz w:val="28"/>
          <w:szCs w:val="28"/>
          <w:u w:val="single"/>
          <w:lang w:eastAsia="zh-CN"/>
          <w14:textFill>
            <w14:solidFill>
              <w14:schemeClr w14:val="tx1"/>
            </w14:solidFill>
          </w14:textFill>
        </w:rPr>
      </w:pPr>
    </w:p>
    <w:p w14:paraId="08322F4C">
      <w:pPr>
        <w:pStyle w:val="44"/>
        <w:bidi w:val="0"/>
        <w:rPr>
          <w:lang w:eastAsia="zh-CN"/>
        </w:rPr>
      </w:pPr>
      <w:r>
        <w:rPr>
          <w:lang w:eastAsia="zh-CN"/>
        </w:rPr>
        <w:t>合同编号：</w:t>
      </w:r>
      <w:r>
        <w:rPr>
          <w:rFonts w:asciiTheme="minorEastAsia" w:hAnsiTheme="minorEastAsia" w:eastAsiaTheme="minorEastAsia"/>
          <w:b/>
          <w:color w:val="000000" w:themeColor="text1"/>
          <w:spacing w:val="-2"/>
          <w:sz w:val="28"/>
          <w:szCs w:val="28"/>
          <w:u w:val="single"/>
          <w:lang w:eastAsia="zh-CN"/>
          <w14:textFill>
            <w14:solidFill>
              <w14:schemeClr w14:val="tx1"/>
            </w14:solidFill>
          </w14:textFill>
        </w:rPr>
        <w:t xml:space="preserve">         </w:t>
      </w:r>
      <w:r>
        <w:rPr>
          <w:rFonts w:hint="eastAsia" w:asciiTheme="minorEastAsia" w:hAnsiTheme="minorEastAsia" w:eastAsiaTheme="minorEastAsia"/>
          <w:b/>
          <w:color w:val="000000" w:themeColor="text1"/>
          <w:spacing w:val="-2"/>
          <w:sz w:val="28"/>
          <w:szCs w:val="28"/>
          <w:u w:val="single"/>
          <w:lang w:val="en-US" w:eastAsia="zh-CN"/>
          <w14:textFill>
            <w14:solidFill>
              <w14:schemeClr w14:val="tx1"/>
            </w14:solidFill>
          </w14:textFill>
        </w:rPr>
        <w:t xml:space="preserve">                       </w:t>
      </w:r>
      <w:r>
        <w:rPr>
          <w:rFonts w:asciiTheme="minorEastAsia" w:hAnsiTheme="minorEastAsia" w:eastAsiaTheme="minorEastAsia"/>
          <w:b/>
          <w:color w:val="000000" w:themeColor="text1"/>
          <w:spacing w:val="-2"/>
          <w:sz w:val="28"/>
          <w:szCs w:val="28"/>
          <w:u w:val="single"/>
          <w:lang w:eastAsia="zh-CN"/>
          <w14:textFill>
            <w14:solidFill>
              <w14:schemeClr w14:val="tx1"/>
            </w14:solidFill>
          </w14:textFill>
        </w:rPr>
        <w:t xml:space="preserve">      </w:t>
      </w:r>
    </w:p>
    <w:p w14:paraId="7426C477">
      <w:pPr>
        <w:pStyle w:val="44"/>
        <w:bidi w:val="0"/>
      </w:pPr>
    </w:p>
    <w:p w14:paraId="4D80A4B0">
      <w:pPr>
        <w:pStyle w:val="44"/>
        <w:bidi w:val="0"/>
      </w:pPr>
    </w:p>
    <w:p w14:paraId="7A42CF26">
      <w:pPr>
        <w:pStyle w:val="44"/>
        <w:bidi w:val="0"/>
      </w:pPr>
    </w:p>
    <w:p w14:paraId="3671EBF7">
      <w:pPr>
        <w:pStyle w:val="44"/>
        <w:bidi w:val="0"/>
      </w:pPr>
    </w:p>
    <w:p w14:paraId="424CD07E">
      <w:pPr>
        <w:pStyle w:val="44"/>
        <w:bidi w:val="0"/>
      </w:pPr>
    </w:p>
    <w:p w14:paraId="5B46A9E2">
      <w:pPr>
        <w:pStyle w:val="44"/>
        <w:bidi w:val="0"/>
      </w:pPr>
    </w:p>
    <w:p w14:paraId="3B4F64F7">
      <w:pPr>
        <w:pStyle w:val="44"/>
        <w:bidi w:val="0"/>
        <w:jc w:val="center"/>
      </w:pPr>
      <w:r>
        <w:rPr>
          <w:rFonts w:hint="eastAsia"/>
        </w:rPr>
        <w:t>年    月    日</w:t>
      </w:r>
    </w:p>
    <w:p w14:paraId="12CB7CE7">
      <w:pPr>
        <w:pStyle w:val="44"/>
        <w:bidi w:val="0"/>
      </w:pPr>
      <w:r>
        <w:br w:type="page"/>
      </w:r>
    </w:p>
    <w:p w14:paraId="72562A18">
      <w:pPr>
        <w:pStyle w:val="44"/>
        <w:bidi w:val="0"/>
      </w:pPr>
    </w:p>
    <w:p w14:paraId="1DF87F9C">
      <w:pPr>
        <w:pStyle w:val="44"/>
        <w:bidi w:val="0"/>
      </w:pPr>
      <w:r>
        <w:rPr>
          <w:rFonts w:hint="eastAsia"/>
        </w:rPr>
        <w:t>委托单位(甲方):____________________________________________</w:t>
      </w:r>
    </w:p>
    <w:p w14:paraId="48D0553C">
      <w:pPr>
        <w:pStyle w:val="44"/>
        <w:bidi w:val="0"/>
      </w:pPr>
      <w:r>
        <w:rPr>
          <w:rFonts w:hint="eastAsia"/>
        </w:rPr>
        <w:t>法定代表人（授权委托人）:_____________联系电话:____________</w:t>
      </w:r>
    </w:p>
    <w:p w14:paraId="4A0DE40C">
      <w:pPr>
        <w:pStyle w:val="44"/>
        <w:bidi w:val="0"/>
      </w:pPr>
      <w:r>
        <w:rPr>
          <w:rFonts w:hint="eastAsia"/>
        </w:rPr>
        <w:t>评估机构(乙方):____________________________________________</w:t>
      </w:r>
    </w:p>
    <w:p w14:paraId="21C7B623">
      <w:pPr>
        <w:pStyle w:val="44"/>
        <w:bidi w:val="0"/>
      </w:pPr>
      <w:r>
        <w:rPr>
          <w:rFonts w:hint="eastAsia"/>
        </w:rPr>
        <w:t>法定代表人（委托代理人）:_________联系电话:________________</w:t>
      </w:r>
    </w:p>
    <w:p w14:paraId="2475F8F7">
      <w:pPr>
        <w:pStyle w:val="44"/>
        <w:bidi w:val="0"/>
      </w:pPr>
      <w:r>
        <w:rPr>
          <w:rFonts w:hint="eastAsia"/>
        </w:rPr>
        <w:t>经双方协商，甲方委托乙方对_________________________决策事项开展稳评工作，根据《民法典》《政府投资条例》《重大行政决策程序暂行条例》《江西省县级以上人民政府重大行政决策程序规定》(根据实际情况选用)及中央、省关于建立完善新形势下重大决策社会稳定风险评估机制的意见等法律法规和文件的规定,双方</w:t>
      </w:r>
      <w:r>
        <w:rPr>
          <w:rFonts w:hint="eastAsia"/>
          <w:lang w:eastAsia="zh-CN"/>
        </w:rPr>
        <w:t>签订合同</w:t>
      </w:r>
      <w:r>
        <w:rPr>
          <w:rFonts w:hint="eastAsia"/>
        </w:rPr>
        <w:t>如下：</w:t>
      </w:r>
    </w:p>
    <w:p w14:paraId="283ECFE7">
      <w:pPr>
        <w:pStyle w:val="44"/>
        <w:bidi w:val="0"/>
        <w:rPr>
          <w:b/>
          <w:bCs/>
        </w:rPr>
      </w:pPr>
      <w:r>
        <w:rPr>
          <w:rFonts w:hint="eastAsia"/>
          <w:b/>
          <w:bCs/>
        </w:rPr>
        <w:t>一、甲方的权利和义务</w:t>
      </w:r>
    </w:p>
    <w:p w14:paraId="7406EA22">
      <w:pPr>
        <w:pStyle w:val="44"/>
        <w:bidi w:val="0"/>
      </w:pPr>
      <w:r>
        <w:rPr>
          <w:rFonts w:hint="eastAsia"/>
        </w:rPr>
        <w:t>1.甲方对所委托的事项及其稳评结果具有独立的决策、处置权和最终决定权；</w:t>
      </w:r>
    </w:p>
    <w:p w14:paraId="6A337F9C">
      <w:pPr>
        <w:pStyle w:val="44"/>
        <w:bidi w:val="0"/>
      </w:pPr>
      <w:r>
        <w:rPr>
          <w:rFonts w:hint="eastAsia"/>
        </w:rPr>
        <w:t>2.有权对乙方制定的稳评实施方案和稳评案卷提出建议；</w:t>
      </w:r>
    </w:p>
    <w:p w14:paraId="5578F97F">
      <w:pPr>
        <w:pStyle w:val="44"/>
        <w:bidi w:val="0"/>
      </w:pPr>
      <w:r>
        <w:rPr>
          <w:rFonts w:hint="eastAsia"/>
        </w:rPr>
        <w:t>3.有权督促乙方按计划要求和相关规定认真完成各项工作任务；</w:t>
      </w:r>
    </w:p>
    <w:p w14:paraId="69A6D282">
      <w:pPr>
        <w:pStyle w:val="44"/>
        <w:bidi w:val="0"/>
      </w:pPr>
      <w:r>
        <w:rPr>
          <w:rFonts w:hint="eastAsia"/>
        </w:rPr>
        <w:t>4.甲方建立相应稳评协调组织，明确分管领导，并指定一名联系人，做好与乙方的对接与协调工作，同时协助乙方做好稳评工作所涉及的外部关系的协调，为乙方稳评工作提供外部条件及与其他组织相联系的渠道，以便乙方收集必要的信息；</w:t>
      </w:r>
    </w:p>
    <w:p w14:paraId="414EF3BC">
      <w:pPr>
        <w:pStyle w:val="44"/>
        <w:bidi w:val="0"/>
      </w:pPr>
      <w:r>
        <w:rPr>
          <w:rFonts w:hint="eastAsia"/>
        </w:rPr>
        <w:t>5.甲方应及时、如实提供该项目相关的背景资料、项目技术资料、前置报告及批准文件等资料。资料应满足法律法规和乙方开展稳评工作的要求，甲方应对所提供资料的真实性负责；</w:t>
      </w:r>
    </w:p>
    <w:p w14:paraId="4BAB7A2E">
      <w:pPr>
        <w:pStyle w:val="44"/>
        <w:bidi w:val="0"/>
      </w:pPr>
      <w:r>
        <w:rPr>
          <w:rFonts w:hint="eastAsia"/>
        </w:rPr>
        <w:t>6.甲方应在双方商定的时间内，就乙方以书面形式提交给甲方的与稳评工作相关事宜，作出书面意见；</w:t>
      </w:r>
    </w:p>
    <w:p w14:paraId="2429B425">
      <w:pPr>
        <w:pStyle w:val="44"/>
        <w:bidi w:val="0"/>
      </w:pPr>
      <w:r>
        <w:rPr>
          <w:rFonts w:hint="eastAsia"/>
        </w:rPr>
        <w:t>7.当其他前置条件不具备时，如甲方要求，乙方应配合甲方先行向属地稳评职能主管部门申请审查，若最终评价结果中出现与项目其他前置报告不一致内容时，其责任由甲方承担；</w:t>
      </w:r>
    </w:p>
    <w:p w14:paraId="7F5ADC66">
      <w:pPr>
        <w:pStyle w:val="44"/>
        <w:bidi w:val="0"/>
      </w:pPr>
      <w:r>
        <w:rPr>
          <w:rFonts w:hint="eastAsia"/>
        </w:rPr>
        <w:t>8.按合同约定支付稳评工作费用。</w:t>
      </w:r>
    </w:p>
    <w:p w14:paraId="591772CC">
      <w:pPr>
        <w:pStyle w:val="44"/>
        <w:bidi w:val="0"/>
        <w:rPr>
          <w:b/>
          <w:bCs/>
        </w:rPr>
      </w:pPr>
      <w:r>
        <w:rPr>
          <w:rFonts w:hint="eastAsia"/>
          <w:b/>
          <w:bCs/>
        </w:rPr>
        <w:t>二、乙方的权利和义务</w:t>
      </w:r>
    </w:p>
    <w:p w14:paraId="68CEBF08">
      <w:pPr>
        <w:pStyle w:val="44"/>
        <w:bidi w:val="0"/>
      </w:pPr>
      <w:r>
        <w:rPr>
          <w:rFonts w:hint="eastAsia"/>
        </w:rPr>
        <w:t>1.根据</w:t>
      </w:r>
      <w:r>
        <w:rPr>
          <w:rFonts w:hint="eastAsia"/>
          <w:lang w:eastAsia="zh-CN"/>
        </w:rPr>
        <w:t>稳评工作</w:t>
      </w:r>
      <w:r>
        <w:rPr>
          <w:rFonts w:hint="eastAsia"/>
        </w:rPr>
        <w:t>规范及实际需要确定调查方法、稳评方式和工作方案；</w:t>
      </w:r>
    </w:p>
    <w:p w14:paraId="59739A67">
      <w:pPr>
        <w:pStyle w:val="44"/>
        <w:bidi w:val="0"/>
      </w:pPr>
      <w:r>
        <w:rPr>
          <w:rFonts w:hint="eastAsia"/>
        </w:rPr>
        <w:t>2.</w:t>
      </w:r>
      <w:r>
        <w:rPr>
          <w:rFonts w:hint="eastAsia"/>
          <w:lang w:eastAsia="zh-CN"/>
        </w:rPr>
        <w:t>经甲方同意认可，</w:t>
      </w:r>
      <w:r>
        <w:rPr>
          <w:rFonts w:hint="eastAsia"/>
        </w:rPr>
        <w:t>有权对委托事项的基本概况以及决策依据、理由、程序、批准手续、经济规模、实施主体等主要情况和认为有必要的内容(保密事项除外)进行对外公示；</w:t>
      </w:r>
    </w:p>
    <w:p w14:paraId="619AB490">
      <w:pPr>
        <w:pStyle w:val="44"/>
        <w:bidi w:val="0"/>
      </w:pPr>
      <w:r>
        <w:rPr>
          <w:rFonts w:hint="eastAsia"/>
        </w:rPr>
        <w:t>3.认真组织风险</w:t>
      </w:r>
      <w:r>
        <w:rPr>
          <w:rFonts w:hint="eastAsia"/>
          <w:lang w:eastAsia="zh-CN"/>
        </w:rPr>
        <w:t>调查</w:t>
      </w:r>
      <w:r>
        <w:rPr>
          <w:rFonts w:hint="eastAsia"/>
        </w:rPr>
        <w:t>和风险因素分析，科学确定风险等级，根据风险程度提出相应、切实可行的建议和对策，并形成系统的书面报告；</w:t>
      </w:r>
    </w:p>
    <w:p w14:paraId="7C4F56ED">
      <w:pPr>
        <w:pStyle w:val="44"/>
        <w:bidi w:val="0"/>
      </w:pPr>
      <w:r>
        <w:rPr>
          <w:rFonts w:hint="eastAsia"/>
        </w:rPr>
        <w:t>4.协助甲方做好专家评审和报备的各项准备工作，及时提供所需资料；</w:t>
      </w:r>
    </w:p>
    <w:p w14:paraId="7908DBA5">
      <w:pPr>
        <w:pStyle w:val="44"/>
        <w:bidi w:val="0"/>
      </w:pPr>
      <w:r>
        <w:rPr>
          <w:rFonts w:hint="eastAsia"/>
        </w:rPr>
        <w:t>5.负责做好稳评资料的整理、归档、立卷；</w:t>
      </w:r>
    </w:p>
    <w:p w14:paraId="46155F97">
      <w:pPr>
        <w:pStyle w:val="44"/>
        <w:bidi w:val="0"/>
      </w:pPr>
      <w:r>
        <w:rPr>
          <w:rFonts w:hint="eastAsia"/>
        </w:rPr>
        <w:t>6.乙方仅对委托事项的稳评提供咨询与服务，不得干涉甲方的决策及相关工作；</w:t>
      </w:r>
    </w:p>
    <w:p w14:paraId="1AE6749A">
      <w:pPr>
        <w:pStyle w:val="44"/>
        <w:bidi w:val="0"/>
      </w:pPr>
      <w:r>
        <w:rPr>
          <w:rFonts w:hint="eastAsia"/>
        </w:rPr>
        <w:t>7.乙方在整个稳评过程中应积极协助甲方做好正面宣传</w:t>
      </w:r>
      <w:r>
        <w:rPr>
          <w:rFonts w:hint="eastAsia"/>
          <w:lang w:eastAsia="zh-CN"/>
        </w:rPr>
        <w:t>与矛盾风险防范化解</w:t>
      </w:r>
      <w:r>
        <w:rPr>
          <w:rFonts w:hint="eastAsia"/>
        </w:rPr>
        <w:t>工作，自觉维护社会稳定。</w:t>
      </w:r>
    </w:p>
    <w:p w14:paraId="327DF665">
      <w:pPr>
        <w:pStyle w:val="44"/>
        <w:bidi w:val="0"/>
      </w:pPr>
      <w:r>
        <w:rPr>
          <w:rFonts w:hint="eastAsia"/>
          <w:b/>
          <w:bCs/>
        </w:rPr>
        <w:t>三、评估费用及其支付</w:t>
      </w:r>
    </w:p>
    <w:p w14:paraId="73999677">
      <w:pPr>
        <w:pStyle w:val="44"/>
        <w:bidi w:val="0"/>
      </w:pPr>
      <w:r>
        <w:rPr>
          <w:rFonts w:hint="eastAsia"/>
        </w:rPr>
        <w:t>本决策事项评估费用总额为_______________元整。自本合同签订后________日内，甲方应向乙方预付费用总额的_________ %，计人民币_______________元作为定金(本合同履行后，定金可抵作稳评费)。本项目稳评报告通过</w:t>
      </w:r>
      <w:r>
        <w:rPr>
          <w:rFonts w:hint="eastAsia"/>
          <w:lang w:eastAsia="zh-CN"/>
        </w:rPr>
        <w:t>党委政法委备案审查</w:t>
      </w:r>
      <w:r>
        <w:rPr>
          <w:rFonts w:hint="eastAsia"/>
        </w:rPr>
        <w:t>后________日内，甲方应向乙方支付稳评费用余款，乙方应当提供正式税务发票给甲方。</w:t>
      </w:r>
    </w:p>
    <w:p w14:paraId="6CF24166">
      <w:pPr>
        <w:pStyle w:val="44"/>
        <w:bidi w:val="0"/>
        <w:rPr>
          <w:b/>
          <w:bCs/>
        </w:rPr>
      </w:pPr>
      <w:r>
        <w:rPr>
          <w:rFonts w:hint="eastAsia"/>
          <w:b/>
          <w:bCs/>
        </w:rPr>
        <w:t>四、合同的履行</w:t>
      </w:r>
    </w:p>
    <w:p w14:paraId="3EA18477">
      <w:pPr>
        <w:pStyle w:val="44"/>
        <w:bidi w:val="0"/>
      </w:pPr>
      <w:r>
        <w:rPr>
          <w:rFonts w:hint="eastAsia"/>
        </w:rPr>
        <w:t>本合同自签订之日起生效，乙方收到甲方的定金且甲方按乙方所列清单向乙方提供了必要的资料、数据和相关文件后_______日内，完成</w:t>
      </w:r>
      <w:r>
        <w:rPr>
          <w:rFonts w:hint="eastAsia"/>
          <w:lang w:eastAsia="zh-CN"/>
        </w:rPr>
        <w:t>本决策事项</w:t>
      </w:r>
      <w:r>
        <w:rPr>
          <w:rFonts w:hint="eastAsia"/>
        </w:rPr>
        <w:t>稳评</w:t>
      </w:r>
      <w:r>
        <w:rPr>
          <w:rFonts w:hint="eastAsia"/>
          <w:lang w:eastAsia="zh-CN"/>
        </w:rPr>
        <w:t>工作</w:t>
      </w:r>
      <w:r>
        <w:rPr>
          <w:rFonts w:hint="eastAsia"/>
        </w:rPr>
        <w:t>，若甲方资料提供不及时或定金不能及时到位，则提交报告时间顺延。</w:t>
      </w:r>
    </w:p>
    <w:p w14:paraId="6D8D7711">
      <w:pPr>
        <w:pStyle w:val="44"/>
        <w:bidi w:val="0"/>
        <w:rPr>
          <w:b/>
          <w:bCs/>
        </w:rPr>
      </w:pPr>
      <w:r>
        <w:rPr>
          <w:rFonts w:hint="eastAsia"/>
          <w:b/>
          <w:bCs/>
        </w:rPr>
        <w:t>五、技术成果和版权归属</w:t>
      </w:r>
    </w:p>
    <w:p w14:paraId="7DFEC0F5">
      <w:pPr>
        <w:pStyle w:val="44"/>
        <w:bidi w:val="0"/>
      </w:pPr>
      <w:r>
        <w:rPr>
          <w:rFonts w:hint="eastAsia"/>
        </w:rPr>
        <w:t>1.所有提交给甲方的稳评报告及相关资料的最后文本，包括为履行本稳评服务工作所绘制的图纸,计划和证明资料等，所有权归甲方，乙方在提交给甲方之前应将上述资料进行整理归类；</w:t>
      </w:r>
    </w:p>
    <w:p w14:paraId="51029B88">
      <w:pPr>
        <w:pStyle w:val="44"/>
        <w:bidi w:val="0"/>
      </w:pPr>
      <w:r>
        <w:rPr>
          <w:rFonts w:hint="eastAsia"/>
        </w:rPr>
        <w:t>2.乙方可保存上述资料的复印件，包括甲方提供的资料，未经甲方的书面同意，乙方不得将上述资料用于与本稳评项目之外的任何项目；</w:t>
      </w:r>
    </w:p>
    <w:p w14:paraId="3FFBD039">
      <w:pPr>
        <w:pStyle w:val="44"/>
        <w:bidi w:val="0"/>
      </w:pPr>
      <w:r>
        <w:rPr>
          <w:rFonts w:hint="eastAsia"/>
        </w:rPr>
        <w:t>3.未经另一方事先书面同意，无论是甲方或是乙方均不得将其合同权利或义务转让或转包给他人。</w:t>
      </w:r>
    </w:p>
    <w:p w14:paraId="55CC33C1">
      <w:pPr>
        <w:pStyle w:val="44"/>
        <w:bidi w:val="0"/>
      </w:pPr>
      <w:r>
        <w:rPr>
          <w:rFonts w:hint="eastAsia"/>
          <w:b/>
          <w:bCs/>
        </w:rPr>
        <w:t>六、技术情报和资料的保密</w:t>
      </w:r>
    </w:p>
    <w:p w14:paraId="5F5365D1">
      <w:pPr>
        <w:pStyle w:val="44"/>
        <w:bidi w:val="0"/>
      </w:pPr>
      <w:r>
        <w:rPr>
          <w:rFonts w:hint="eastAsia"/>
        </w:rPr>
        <w:t>1.由甲方提供的与本合同事项工作有关的所有资料在提供给乙方时，均被视为保密。除稳评工作必须公示的甲方资料外，不得泄漏给除甲方或其指定的代表之外的任何人、企业或公司，不管本合同因何种原因终止，本条款一直约束乙方；</w:t>
      </w:r>
    </w:p>
    <w:p w14:paraId="4311AF31">
      <w:pPr>
        <w:pStyle w:val="44"/>
        <w:bidi w:val="0"/>
      </w:pPr>
      <w:r>
        <w:rPr>
          <w:rFonts w:hint="eastAsia"/>
        </w:rPr>
        <w:t>2.一方和其技术人员在履行合同过程中所获得或接触到的任何保密信息,另一方有义务予以保密；</w:t>
      </w:r>
    </w:p>
    <w:p w14:paraId="4036D316">
      <w:pPr>
        <w:pStyle w:val="44"/>
        <w:bidi w:val="0"/>
      </w:pPr>
      <w:r>
        <w:rPr>
          <w:rFonts w:hint="eastAsia"/>
        </w:rPr>
        <w:t>3.不论合同是否变更、解除或者终止，合同保密条款不受其限制而继续有效，各方均应继续承担保密义务。</w:t>
      </w:r>
    </w:p>
    <w:p w14:paraId="2D044760">
      <w:pPr>
        <w:pStyle w:val="44"/>
        <w:bidi w:val="0"/>
        <w:rPr>
          <w:b/>
          <w:bCs/>
        </w:rPr>
      </w:pPr>
      <w:r>
        <w:rPr>
          <w:rFonts w:hint="eastAsia"/>
          <w:b/>
          <w:bCs/>
        </w:rPr>
        <w:t>七、成果的验收</w:t>
      </w:r>
    </w:p>
    <w:p w14:paraId="1D476AAB">
      <w:pPr>
        <w:pStyle w:val="44"/>
        <w:bidi w:val="0"/>
      </w:pPr>
      <w:r>
        <w:rPr>
          <w:rFonts w:hint="eastAsia"/>
        </w:rPr>
        <w:t>乙方向甲方提交本项目稳评案卷，稳评案卷应符合国家及地方有关规定，对其质量负全面责任</w:t>
      </w:r>
      <w:r>
        <w:rPr>
          <w:rFonts w:hint="eastAsia"/>
          <w:lang w:eastAsia="zh-CN"/>
        </w:rPr>
        <w:t>。</w:t>
      </w:r>
      <w:r>
        <w:rPr>
          <w:rFonts w:hint="eastAsia"/>
        </w:rPr>
        <w:t>案卷</w:t>
      </w:r>
      <w:r>
        <w:rPr>
          <w:rFonts w:hint="eastAsia"/>
          <w:lang w:eastAsia="zh-CN"/>
        </w:rPr>
        <w:t>通过党委政法委备案审查</w:t>
      </w:r>
      <w:r>
        <w:rPr>
          <w:rFonts w:hint="eastAsia"/>
        </w:rPr>
        <w:t>后，即视为符合要求。</w:t>
      </w:r>
    </w:p>
    <w:p w14:paraId="424A3707">
      <w:pPr>
        <w:pStyle w:val="44"/>
        <w:bidi w:val="0"/>
        <w:rPr>
          <w:b/>
          <w:bCs/>
        </w:rPr>
      </w:pPr>
      <w:r>
        <w:rPr>
          <w:rFonts w:hint="eastAsia"/>
          <w:b/>
          <w:bCs/>
        </w:rPr>
        <w:t>八、违约责任</w:t>
      </w:r>
    </w:p>
    <w:p w14:paraId="65A703B3">
      <w:pPr>
        <w:pStyle w:val="44"/>
        <w:bidi w:val="0"/>
      </w:pPr>
      <w:r>
        <w:rPr>
          <w:rFonts w:hint="eastAsia"/>
        </w:rPr>
        <w:t>1.甲方违反本合同约定，未能按期向乙方支付相关费用，每逾期1天按合同额的 2‰向乙方支付违约金，乙方同时有权要求甲方继续</w:t>
      </w:r>
      <w:r>
        <w:rPr>
          <w:rFonts w:hint="eastAsia"/>
          <w:lang w:eastAsia="zh-CN"/>
        </w:rPr>
        <w:t>履</w:t>
      </w:r>
      <w:r>
        <w:rPr>
          <w:rFonts w:hint="eastAsia"/>
        </w:rPr>
        <w:t>行合同；</w:t>
      </w:r>
    </w:p>
    <w:p w14:paraId="568A60EE">
      <w:pPr>
        <w:pStyle w:val="44"/>
        <w:bidi w:val="0"/>
      </w:pPr>
      <w:r>
        <w:rPr>
          <w:rFonts w:hint="eastAsia"/>
        </w:rPr>
        <w:t>2.甲方违反本合同约定，未能及时按照合同约定向乙方提供稳评服务所需的相关资料和数据，或者所提供的数据、资料存在虚假、错误、不完整的，并由此致使乙方影响工作进度和质量的，由甲方承担责任，乙方不负任何责任；</w:t>
      </w:r>
    </w:p>
    <w:p w14:paraId="218096BB">
      <w:pPr>
        <w:pStyle w:val="44"/>
        <w:bidi w:val="0"/>
      </w:pPr>
      <w:r>
        <w:rPr>
          <w:rFonts w:hint="eastAsia"/>
        </w:rPr>
        <w:t>3.甲方逾期两个月不提供或者不补充有关技术资料、数据和工作条件，导致乙方无法开展工作的，乙方有权解除合同，甲方应当支付违约金或者赔偿损失；</w:t>
      </w:r>
    </w:p>
    <w:p w14:paraId="1877913D">
      <w:pPr>
        <w:pStyle w:val="44"/>
        <w:bidi w:val="0"/>
      </w:pPr>
      <w:r>
        <w:rPr>
          <w:rFonts w:hint="eastAsia"/>
        </w:rPr>
        <w:t>4.在合同履行期间，甲方单方提出解除合同的，乙方未开始相关工作，不退还甲方已付的定金；已开始相关工作的，按</w:t>
      </w:r>
      <w:r>
        <w:rPr>
          <w:rFonts w:hint="eastAsia"/>
          <w:lang w:eastAsia="zh-CN"/>
        </w:rPr>
        <w:t>《民法典》</w:t>
      </w:r>
      <w:r>
        <w:rPr>
          <w:rFonts w:hint="eastAsia"/>
        </w:rPr>
        <w:t>相关规定执行。</w:t>
      </w:r>
    </w:p>
    <w:p w14:paraId="14F2B1A9">
      <w:pPr>
        <w:pStyle w:val="44"/>
        <w:bidi w:val="0"/>
      </w:pPr>
      <w:r>
        <w:rPr>
          <w:rFonts w:hint="eastAsia"/>
        </w:rPr>
        <w:t>5.由于乙方原因，未按期交付稳评案卷，每逾期1天按合同额的 2%向甲方支付违约金；乙方超过合同期限________天未完成并交付案卷的，甲方有权解除合同并有权拒绝支付剩余款项，同时有权要求乙方返还甲方已支付款项，并赔偿甲方相应损失。由于甲方未正确履行本合同义务</w:t>
      </w:r>
      <w:r>
        <w:rPr>
          <w:rFonts w:hint="eastAsia"/>
          <w:lang w:eastAsia="zh-CN"/>
        </w:rPr>
        <w:t>或</w:t>
      </w:r>
      <w:r>
        <w:rPr>
          <w:rFonts w:hint="eastAsia"/>
        </w:rPr>
        <w:t>甲方认可的特殊原因、不可抗力原因而影响乙方履行本合同义务的除外；</w:t>
      </w:r>
    </w:p>
    <w:p w14:paraId="60C0ED28">
      <w:pPr>
        <w:pStyle w:val="44"/>
        <w:bidi w:val="0"/>
      </w:pPr>
      <w:r>
        <w:rPr>
          <w:rFonts w:hint="eastAsia"/>
        </w:rPr>
        <w:t>6. 乙方不如实出具风险评估报告的，造成甲方重大决策失误或影响重大的，应承担相应法律责任。</w:t>
      </w:r>
    </w:p>
    <w:p w14:paraId="0D144E71">
      <w:pPr>
        <w:pStyle w:val="44"/>
        <w:bidi w:val="0"/>
        <w:rPr>
          <w:b/>
          <w:bCs/>
        </w:rPr>
      </w:pPr>
      <w:r>
        <w:rPr>
          <w:rFonts w:hint="eastAsia"/>
          <w:b/>
          <w:bCs/>
        </w:rPr>
        <w:t>九、合同的解除</w:t>
      </w:r>
    </w:p>
    <w:p w14:paraId="4B4235FC">
      <w:pPr>
        <w:pStyle w:val="44"/>
        <w:bidi w:val="0"/>
      </w:pPr>
      <w:r>
        <w:rPr>
          <w:rFonts w:hint="eastAsia"/>
        </w:rPr>
        <w:t>1.甲方可以单方面解除合同，对乙方造成损失的，应承担赔偿责任；</w:t>
      </w:r>
    </w:p>
    <w:p w14:paraId="7EBAAB32">
      <w:pPr>
        <w:pStyle w:val="44"/>
        <w:bidi w:val="0"/>
      </w:pPr>
      <w:r>
        <w:rPr>
          <w:rFonts w:hint="eastAsia"/>
        </w:rPr>
        <w:t>2.合同生效后，乙方单方提出解除合同的，乙方应双倍返还定金，同时按照有关规定赔偿甲方损失；</w:t>
      </w:r>
    </w:p>
    <w:p w14:paraId="637BF029">
      <w:pPr>
        <w:pStyle w:val="44"/>
        <w:bidi w:val="0"/>
      </w:pPr>
      <w:r>
        <w:rPr>
          <w:rFonts w:hint="eastAsia"/>
        </w:rPr>
        <w:t>3.发生不可抗力，致使本合同不能履行，可以解除合同。</w:t>
      </w:r>
    </w:p>
    <w:p w14:paraId="058A0ED6">
      <w:pPr>
        <w:pStyle w:val="44"/>
        <w:bidi w:val="0"/>
        <w:rPr>
          <w:b/>
          <w:bCs/>
        </w:rPr>
      </w:pPr>
      <w:r>
        <w:rPr>
          <w:rFonts w:hint="eastAsia"/>
          <w:b/>
          <w:bCs/>
        </w:rPr>
        <w:t>十、合同争议的解决</w:t>
      </w:r>
    </w:p>
    <w:p w14:paraId="45765AFB">
      <w:pPr>
        <w:pStyle w:val="44"/>
        <w:bidi w:val="0"/>
      </w:pPr>
      <w:r>
        <w:rPr>
          <w:rFonts w:hint="eastAsia"/>
        </w:rPr>
        <w:t>双方因履行本合同而发生的争议，可以选择双方协商、第三方调解、仲裁或者诉讼的方式解决。</w:t>
      </w:r>
    </w:p>
    <w:p w14:paraId="25257F4F">
      <w:pPr>
        <w:pStyle w:val="44"/>
        <w:bidi w:val="0"/>
        <w:rPr>
          <w:b/>
          <w:bCs/>
        </w:rPr>
      </w:pPr>
      <w:r>
        <w:rPr>
          <w:rFonts w:hint="eastAsia"/>
          <w:b/>
          <w:bCs/>
        </w:rPr>
        <w:t>十一、其他事宜</w:t>
      </w:r>
    </w:p>
    <w:p w14:paraId="170FD186">
      <w:pPr>
        <w:pStyle w:val="44"/>
        <w:bidi w:val="0"/>
      </w:pPr>
      <w:r>
        <w:rPr>
          <w:rFonts w:hint="eastAsia"/>
        </w:rPr>
        <w:t>1.甲、乙双方另行签订书面补充协议的，补充协议与本合同具有同等效力；</w:t>
      </w:r>
    </w:p>
    <w:p w14:paraId="1A4F4C2C">
      <w:pPr>
        <w:pStyle w:val="44"/>
        <w:bidi w:val="0"/>
      </w:pPr>
      <w:r>
        <w:rPr>
          <w:rFonts w:hint="eastAsia"/>
        </w:rPr>
        <w:t>2.所有对本合同的修订、补充、删减或变更等事项均以书面完成并经双方授权代表签字盖章生效,生效的修订、补充、删减或变更构成本合同不可分割的组成部分，与合同正文具有同等法律效力；</w:t>
      </w:r>
    </w:p>
    <w:p w14:paraId="4E2E72D9">
      <w:pPr>
        <w:pStyle w:val="44"/>
        <w:bidi w:val="0"/>
      </w:pPr>
      <w:r>
        <w:rPr>
          <w:rFonts w:hint="eastAsia"/>
        </w:rPr>
        <w:t>3.双方确定，在合同有效期内，甲方指定______为甲方联系人，联系电话：___________，乙方指定________为乙方联系人，联系电话：___________。一方变更联系人的，应当及时以书面形式通知另一方。一方未及时书面通知而影响本合同履行或给对方造成损失的，应承担相应的违约责任；</w:t>
      </w:r>
    </w:p>
    <w:p w14:paraId="5187343B">
      <w:pPr>
        <w:pStyle w:val="44"/>
        <w:bidi w:val="0"/>
      </w:pPr>
      <w:r>
        <w:rPr>
          <w:rFonts w:hint="eastAsia"/>
        </w:rPr>
        <w:t>4.本合同正本一式</w:t>
      </w:r>
      <w:r>
        <w:rPr>
          <w:rFonts w:hint="eastAsia"/>
          <w:lang w:eastAsia="zh-CN"/>
        </w:rPr>
        <w:t>二</w:t>
      </w:r>
      <w:r>
        <w:rPr>
          <w:rFonts w:hint="eastAsia"/>
        </w:rPr>
        <w:t>份，双方各执一份；</w:t>
      </w:r>
    </w:p>
    <w:p w14:paraId="7D890EDD">
      <w:pPr>
        <w:pStyle w:val="44"/>
        <w:bidi w:val="0"/>
      </w:pPr>
      <w:r>
        <w:rPr>
          <w:rFonts w:hint="eastAsia"/>
        </w:rPr>
        <w:t>5.本合同经双方签字、盖章后生效。</w:t>
      </w:r>
    </w:p>
    <w:p w14:paraId="1DF1FD49">
      <w:pPr>
        <w:pStyle w:val="44"/>
        <w:bidi w:val="0"/>
      </w:pPr>
    </w:p>
    <w:p w14:paraId="46399F2B">
      <w:pPr>
        <w:pStyle w:val="44"/>
        <w:bidi w:val="0"/>
      </w:pPr>
      <w:r>
        <w:rPr>
          <w:rFonts w:hint="eastAsia"/>
        </w:rPr>
        <w:t>甲方:                                 乙方:</w:t>
      </w:r>
    </w:p>
    <w:p w14:paraId="53E0D957">
      <w:pPr>
        <w:pStyle w:val="44"/>
        <w:bidi w:val="0"/>
      </w:pPr>
      <w:r>
        <w:rPr>
          <w:rFonts w:hint="eastAsia"/>
        </w:rPr>
        <w:t>法定代表人/授权委托人:           法定代表人/委托代理人:</w:t>
      </w:r>
    </w:p>
    <w:p w14:paraId="1636DA39">
      <w:pPr>
        <w:pStyle w:val="44"/>
        <w:bidi w:val="0"/>
        <w:rPr>
          <w:rFonts w:asciiTheme="minorEastAsia" w:hAnsiTheme="minorEastAsia"/>
          <w:color w:val="000000" w:themeColor="text1"/>
          <w:szCs w:val="28"/>
          <w14:textFill>
            <w14:solidFill>
              <w14:schemeClr w14:val="tx1"/>
            </w14:solidFill>
          </w14:textFill>
        </w:rPr>
      </w:pPr>
      <w:r>
        <w:rPr>
          <w:rFonts w:hint="eastAsia"/>
        </w:rPr>
        <w:t>年   月   日                           年   月   日</w:t>
      </w:r>
    </w:p>
    <w:p w14:paraId="6F2478C6">
      <w:pPr>
        <w:spacing w:line="520" w:lineRule="auto"/>
        <w:ind w:firstLine="562" w:firstLineChars="200"/>
        <w:rPr>
          <w:rFonts w:asciiTheme="minorEastAsia" w:hAnsiTheme="minorEastAsia"/>
          <w:b/>
          <w:color w:val="000000" w:themeColor="text1"/>
          <w:sz w:val="28"/>
          <w:szCs w:val="28"/>
          <w14:textFill>
            <w14:solidFill>
              <w14:schemeClr w14:val="tx1"/>
            </w14:solidFill>
          </w14:textFill>
        </w:rPr>
        <w:sectPr>
          <w:pgSz w:w="11906" w:h="16840"/>
          <w:pgMar w:top="2410" w:right="1134" w:bottom="1134" w:left="1134" w:header="1418" w:footer="1134" w:gutter="284"/>
          <w:lnNumType w:countBy="0" w:restart="continuous"/>
          <w:pgNumType w:start="1"/>
          <w:cols w:space="720" w:num="1"/>
        </w:sectPr>
      </w:pPr>
    </w:p>
    <w:p w14:paraId="735A6BAA">
      <w:pPr>
        <w:numPr>
          <w:ilvl w:val="0"/>
          <w:numId w:val="25"/>
        </w:numPr>
        <w:bidi w:val="0"/>
        <w:spacing w:line="14" w:lineRule="exact"/>
        <w:ind w:left="0" w:firstLine="40" w:firstLineChars="200"/>
        <w:jc w:val="center"/>
        <w:rPr>
          <w:rFonts w:hint="eastAsia" w:ascii="宋体" w:hAnsi="Times New Roman" w:eastAsia="宋体" w:cs="宋体"/>
          <w:sz w:val="2"/>
          <w:lang w:eastAsia="zh-CN"/>
        </w:rPr>
      </w:pPr>
    </w:p>
    <w:p w14:paraId="466BA013">
      <w:pPr>
        <w:numPr>
          <w:ilvl w:val="0"/>
          <w:numId w:val="26"/>
        </w:numPr>
        <w:bidi w:val="0"/>
        <w:spacing w:line="14" w:lineRule="exact"/>
        <w:ind w:left="0" w:firstLine="40" w:firstLineChars="200"/>
        <w:jc w:val="center"/>
        <w:rPr>
          <w:rFonts w:hint="eastAsia" w:ascii="宋体" w:hAnsi="Times New Roman" w:eastAsia="宋体" w:cs="宋体"/>
          <w:sz w:val="2"/>
          <w:lang w:eastAsia="zh-CN"/>
        </w:rPr>
      </w:pPr>
    </w:p>
    <w:p w14:paraId="5A9A3BDD">
      <w:pPr>
        <w:pStyle w:val="107"/>
        <w:bidi w:val="0"/>
        <w:ind w:left="0" w:leftChars="0" w:firstLine="0" w:firstLineChars="0"/>
        <w:rPr>
          <w:rFonts w:hint="eastAsia"/>
          <w:lang w:eastAsia="zh-CN"/>
        </w:rPr>
      </w:pPr>
      <w:r>
        <w:rPr>
          <w:rFonts w:hint="eastAsia"/>
          <w:lang w:eastAsia="zh-CN"/>
        </w:rPr>
        <w:br w:type="textWrapping"/>
      </w:r>
      <w:r>
        <w:rPr>
          <w:rFonts w:hint="eastAsia"/>
          <w:lang w:eastAsia="zh-CN"/>
        </w:rPr>
        <w:t>（资料性）</w:t>
      </w:r>
      <w:r>
        <w:rPr>
          <w:rFonts w:hint="eastAsia"/>
          <w:lang w:eastAsia="zh-CN"/>
        </w:rPr>
        <w:br w:type="textWrapping"/>
      </w:r>
      <w:r>
        <w:rPr>
          <w:rFonts w:hint="eastAsia"/>
          <w:lang w:eastAsia="zh-CN"/>
        </w:rPr>
        <w:t>社会稳定风险评估费用构成要素及调整系数</w:t>
      </w:r>
    </w:p>
    <w:p w14:paraId="6B69AA21">
      <w:pPr>
        <w:pStyle w:val="92"/>
        <w:numPr>
          <w:ilvl w:val="1"/>
          <w:numId w:val="0"/>
        </w:numPr>
        <w:bidi w:val="0"/>
        <w:ind w:left="0" w:leftChars="0" w:firstLine="0" w:firstLineChars="0"/>
      </w:pPr>
      <w:r>
        <w:t>B.1</w:t>
      </w:r>
      <w:r>
        <w:rPr>
          <w:rFonts w:hint="eastAsia"/>
        </w:rPr>
        <w:t>　社会稳定风险评估费用构成要素</w:t>
      </w:r>
    </w:p>
    <w:p w14:paraId="7CAF3642">
      <w:pPr>
        <w:pStyle w:val="44"/>
        <w:bidi w:val="0"/>
      </w:pPr>
      <w:r>
        <w:rPr>
          <w:rFonts w:hint="eastAsia"/>
        </w:rPr>
        <w:t>表</w:t>
      </w:r>
      <w:r>
        <w:t>B</w:t>
      </w:r>
      <w:r>
        <w:rPr>
          <w:rFonts w:hint="eastAsia"/>
          <w:lang w:val="en-US" w:eastAsia="zh-CN"/>
        </w:rPr>
        <w:t>.</w:t>
      </w:r>
      <w:r>
        <w:t>1</w:t>
      </w:r>
      <w:r>
        <w:rPr>
          <w:rFonts w:hint="eastAsia"/>
        </w:rPr>
        <w:t>给出了社会稳定风险评估费用构成要素。</w:t>
      </w:r>
    </w:p>
    <w:p w14:paraId="41F36D80">
      <w:pPr>
        <w:pStyle w:val="132"/>
        <w:numPr>
          <w:ilvl w:val="0"/>
          <w:numId w:val="0"/>
        </w:numPr>
        <w:bidi w:val="0"/>
        <w:ind w:left="0" w:leftChars="0" w:firstLine="0" w:firstLineChars="0"/>
        <w:rPr>
          <w:rFonts w:hint="eastAsia"/>
        </w:rPr>
      </w:pPr>
      <w:r>
        <w:rPr>
          <w:rFonts w:hint="eastAsia" w:ascii="黑体" w:hAnsi="黑体" w:eastAsia="黑体" w:cs="黑体"/>
          <w:sz w:val="21"/>
          <w:vertAlign w:val="baseline"/>
        </w:rPr>
        <w:t>表</w:t>
      </w:r>
      <w:r>
        <w:rPr>
          <w:rFonts w:hint="eastAsia" w:cs="黑体"/>
          <w:sz w:val="21"/>
          <w:vertAlign w:val="baseline"/>
          <w:lang w:val="en-US" w:eastAsia="zh-CN"/>
        </w:rPr>
        <w:t>B.1</w:t>
      </w:r>
      <w:r>
        <w:rPr>
          <w:rFonts w:hint="eastAsia" w:ascii="黑体" w:hAnsi="黑体" w:eastAsia="黑体" w:cs="黑体"/>
          <w:sz w:val="21"/>
          <w:vertAlign w:val="baseline"/>
        </w:rPr>
        <w:t xml:space="preserve">  </w:t>
      </w:r>
      <w:r>
        <w:rPr>
          <w:rFonts w:hint="eastAsia"/>
        </w:rPr>
        <w:t>社会稳定风险评估费用构成要素表</w:t>
      </w:r>
    </w:p>
    <w:tbl>
      <w:tblPr>
        <w:tblStyle w:val="26"/>
        <w:tblW w:w="875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64"/>
        <w:gridCol w:w="1512"/>
        <w:gridCol w:w="5677"/>
        <w:gridCol w:w="906"/>
      </w:tblGrid>
      <w:tr w14:paraId="66652B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Align w:val="center"/>
          </w:tcPr>
          <w:p w14:paraId="21BB8914">
            <w:pPr>
              <w:pStyle w:val="44"/>
              <w:bidi w:val="0"/>
              <w:ind w:left="0" w:leftChars="0" w:firstLine="0" w:firstLineChars="0"/>
              <w:jc w:val="center"/>
              <w:rPr>
                <w:sz w:val="18"/>
                <w:szCs w:val="18"/>
              </w:rPr>
            </w:pPr>
            <w:r>
              <w:rPr>
                <w:rFonts w:hint="eastAsia"/>
                <w:sz w:val="18"/>
                <w:szCs w:val="18"/>
              </w:rPr>
              <w:t>序号</w:t>
            </w:r>
          </w:p>
        </w:tc>
        <w:tc>
          <w:tcPr>
            <w:tcW w:w="1560" w:type="dxa"/>
            <w:vAlign w:val="center"/>
          </w:tcPr>
          <w:p w14:paraId="531C0CBB">
            <w:pPr>
              <w:pStyle w:val="44"/>
              <w:bidi w:val="0"/>
              <w:ind w:left="0" w:leftChars="0" w:firstLine="0" w:firstLineChars="0"/>
              <w:jc w:val="center"/>
              <w:rPr>
                <w:sz w:val="18"/>
                <w:szCs w:val="18"/>
              </w:rPr>
            </w:pPr>
            <w:r>
              <w:rPr>
                <w:rFonts w:hint="eastAsia"/>
                <w:sz w:val="18"/>
                <w:szCs w:val="18"/>
              </w:rPr>
              <w:t>构成要素</w:t>
            </w:r>
          </w:p>
        </w:tc>
        <w:tc>
          <w:tcPr>
            <w:tcW w:w="5885" w:type="dxa"/>
            <w:vAlign w:val="center"/>
          </w:tcPr>
          <w:p w14:paraId="67E6173A">
            <w:pPr>
              <w:pStyle w:val="44"/>
              <w:bidi w:val="0"/>
              <w:ind w:left="0" w:leftChars="0" w:firstLine="0" w:firstLineChars="0"/>
              <w:jc w:val="center"/>
              <w:rPr>
                <w:sz w:val="18"/>
                <w:szCs w:val="18"/>
              </w:rPr>
            </w:pPr>
            <w:r>
              <w:rPr>
                <w:rFonts w:hint="eastAsia"/>
                <w:sz w:val="18"/>
                <w:szCs w:val="18"/>
              </w:rPr>
              <w:t>说明</w:t>
            </w:r>
          </w:p>
        </w:tc>
        <w:tc>
          <w:tcPr>
            <w:tcW w:w="639" w:type="dxa"/>
            <w:vAlign w:val="center"/>
          </w:tcPr>
          <w:p w14:paraId="5B2BD781">
            <w:pPr>
              <w:pStyle w:val="44"/>
              <w:bidi w:val="0"/>
              <w:ind w:left="0" w:leftChars="0" w:firstLine="0" w:firstLineChars="0"/>
              <w:rPr>
                <w:sz w:val="18"/>
                <w:szCs w:val="18"/>
              </w:rPr>
            </w:pPr>
            <w:r>
              <w:rPr>
                <w:rFonts w:hint="eastAsia"/>
                <w:sz w:val="18"/>
                <w:szCs w:val="18"/>
              </w:rPr>
              <w:t>代号</w:t>
            </w:r>
          </w:p>
        </w:tc>
      </w:tr>
      <w:tr w14:paraId="0491DE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Align w:val="center"/>
          </w:tcPr>
          <w:p w14:paraId="796158F7">
            <w:pPr>
              <w:pStyle w:val="44"/>
              <w:bidi w:val="0"/>
              <w:ind w:left="0" w:leftChars="0" w:firstLine="0" w:firstLineChars="0"/>
              <w:jc w:val="center"/>
              <w:rPr>
                <w:sz w:val="18"/>
                <w:szCs w:val="18"/>
              </w:rPr>
            </w:pPr>
            <w:r>
              <w:rPr>
                <w:rFonts w:hint="eastAsia"/>
                <w:sz w:val="18"/>
                <w:szCs w:val="18"/>
              </w:rPr>
              <w:t>1</w:t>
            </w:r>
          </w:p>
        </w:tc>
        <w:tc>
          <w:tcPr>
            <w:tcW w:w="1560" w:type="dxa"/>
            <w:vAlign w:val="center"/>
          </w:tcPr>
          <w:p w14:paraId="08C344D2">
            <w:pPr>
              <w:pStyle w:val="44"/>
              <w:bidi w:val="0"/>
              <w:ind w:left="0" w:leftChars="0" w:firstLine="0" w:firstLineChars="0"/>
              <w:jc w:val="center"/>
              <w:rPr>
                <w:sz w:val="18"/>
                <w:szCs w:val="18"/>
              </w:rPr>
            </w:pPr>
            <w:r>
              <w:rPr>
                <w:rFonts w:hint="eastAsia"/>
                <w:sz w:val="18"/>
                <w:szCs w:val="18"/>
              </w:rPr>
              <w:t>制定评估方案</w:t>
            </w:r>
          </w:p>
        </w:tc>
        <w:tc>
          <w:tcPr>
            <w:tcW w:w="5885" w:type="dxa"/>
          </w:tcPr>
          <w:p w14:paraId="2255DACF">
            <w:pPr>
              <w:pStyle w:val="44"/>
              <w:bidi w:val="0"/>
              <w:rPr>
                <w:sz w:val="18"/>
                <w:szCs w:val="18"/>
              </w:rPr>
            </w:pPr>
            <w:r>
              <w:rPr>
                <w:rFonts w:hint="eastAsia"/>
                <w:sz w:val="18"/>
                <w:szCs w:val="18"/>
              </w:rPr>
              <w:t>评估方案包括：通过实地走访初步拟定评估服务步骤、工作内容、工作重点及进度要求，确定风险调查范围、对象，编制调查问卷等。</w:t>
            </w:r>
            <w:r>
              <w:rPr>
                <w:sz w:val="18"/>
                <w:szCs w:val="18"/>
              </w:rPr>
              <w:t xml:space="preserve"> </w:t>
            </w:r>
          </w:p>
        </w:tc>
        <w:tc>
          <w:tcPr>
            <w:tcW w:w="639" w:type="dxa"/>
            <w:vAlign w:val="center"/>
          </w:tcPr>
          <w:p w14:paraId="5E1E773A">
            <w:pPr>
              <w:pStyle w:val="44"/>
              <w:bidi w:val="0"/>
              <w:rPr>
                <w:sz w:val="18"/>
                <w:szCs w:val="18"/>
              </w:rPr>
            </w:pPr>
            <w:r>
              <w:rPr>
                <w:rFonts w:hint="eastAsia"/>
                <w:sz w:val="18"/>
                <w:szCs w:val="18"/>
              </w:rPr>
              <w:t>C1</w:t>
            </w:r>
          </w:p>
        </w:tc>
      </w:tr>
      <w:tr w14:paraId="682983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Align w:val="center"/>
          </w:tcPr>
          <w:p w14:paraId="5E7E52C0">
            <w:pPr>
              <w:pStyle w:val="44"/>
              <w:bidi w:val="0"/>
              <w:ind w:left="0" w:leftChars="0" w:firstLine="0" w:firstLineChars="0"/>
              <w:jc w:val="center"/>
              <w:rPr>
                <w:sz w:val="18"/>
                <w:szCs w:val="18"/>
              </w:rPr>
            </w:pPr>
            <w:r>
              <w:rPr>
                <w:rFonts w:hint="eastAsia"/>
                <w:sz w:val="18"/>
                <w:szCs w:val="18"/>
              </w:rPr>
              <w:t>2</w:t>
            </w:r>
          </w:p>
        </w:tc>
        <w:tc>
          <w:tcPr>
            <w:tcW w:w="1560" w:type="dxa"/>
            <w:vAlign w:val="center"/>
          </w:tcPr>
          <w:p w14:paraId="11641A31">
            <w:pPr>
              <w:pStyle w:val="44"/>
              <w:bidi w:val="0"/>
              <w:ind w:left="0" w:leftChars="0" w:firstLine="0" w:firstLineChars="0"/>
              <w:jc w:val="center"/>
              <w:rPr>
                <w:sz w:val="18"/>
                <w:szCs w:val="18"/>
              </w:rPr>
            </w:pPr>
            <w:r>
              <w:rPr>
                <w:rFonts w:hint="eastAsia"/>
                <w:sz w:val="18"/>
                <w:szCs w:val="18"/>
              </w:rPr>
              <w:t>评估公示</w:t>
            </w:r>
          </w:p>
        </w:tc>
        <w:tc>
          <w:tcPr>
            <w:tcW w:w="5885" w:type="dxa"/>
          </w:tcPr>
          <w:p w14:paraId="65680465">
            <w:pPr>
              <w:pStyle w:val="44"/>
              <w:bidi w:val="0"/>
              <w:rPr>
                <w:sz w:val="18"/>
                <w:szCs w:val="18"/>
              </w:rPr>
            </w:pPr>
            <w:r>
              <w:rPr>
                <w:rFonts w:hint="eastAsia"/>
                <w:sz w:val="18"/>
                <w:szCs w:val="18"/>
              </w:rPr>
              <w:t>采取张贴公告方式；通过报纸、电视、网络，以及其他公众易于知悉的方式进行公示，依照实际费用计费。</w:t>
            </w:r>
          </w:p>
        </w:tc>
        <w:tc>
          <w:tcPr>
            <w:tcW w:w="639" w:type="dxa"/>
            <w:vAlign w:val="center"/>
          </w:tcPr>
          <w:p w14:paraId="7FA437C5">
            <w:pPr>
              <w:pStyle w:val="44"/>
              <w:bidi w:val="0"/>
              <w:rPr>
                <w:sz w:val="18"/>
                <w:szCs w:val="18"/>
              </w:rPr>
            </w:pPr>
            <w:r>
              <w:rPr>
                <w:rFonts w:hint="eastAsia"/>
                <w:sz w:val="18"/>
                <w:szCs w:val="18"/>
              </w:rPr>
              <w:t>C2</w:t>
            </w:r>
          </w:p>
        </w:tc>
      </w:tr>
      <w:tr w14:paraId="6409B1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Align w:val="center"/>
          </w:tcPr>
          <w:p w14:paraId="4E962CD7">
            <w:pPr>
              <w:pStyle w:val="44"/>
              <w:bidi w:val="0"/>
              <w:ind w:left="0" w:leftChars="0" w:firstLine="0" w:firstLineChars="0"/>
              <w:jc w:val="center"/>
              <w:rPr>
                <w:sz w:val="18"/>
                <w:szCs w:val="18"/>
              </w:rPr>
            </w:pPr>
            <w:r>
              <w:rPr>
                <w:rFonts w:hint="eastAsia"/>
                <w:sz w:val="18"/>
                <w:szCs w:val="18"/>
              </w:rPr>
              <w:t>3</w:t>
            </w:r>
          </w:p>
        </w:tc>
        <w:tc>
          <w:tcPr>
            <w:tcW w:w="1560" w:type="dxa"/>
            <w:vAlign w:val="center"/>
          </w:tcPr>
          <w:p w14:paraId="56746268">
            <w:pPr>
              <w:pStyle w:val="44"/>
              <w:bidi w:val="0"/>
              <w:ind w:left="0" w:leftChars="0" w:firstLine="0" w:firstLineChars="0"/>
              <w:jc w:val="center"/>
              <w:rPr>
                <w:sz w:val="18"/>
                <w:szCs w:val="18"/>
              </w:rPr>
            </w:pPr>
            <w:r>
              <w:rPr>
                <w:rFonts w:hint="eastAsia"/>
                <w:sz w:val="18"/>
                <w:szCs w:val="18"/>
              </w:rPr>
              <w:t>风险调查</w:t>
            </w:r>
          </w:p>
        </w:tc>
        <w:tc>
          <w:tcPr>
            <w:tcW w:w="5885" w:type="dxa"/>
          </w:tcPr>
          <w:p w14:paraId="3835FB63">
            <w:pPr>
              <w:pStyle w:val="44"/>
              <w:bidi w:val="0"/>
              <w:ind w:left="0" w:leftChars="0" w:firstLine="360" w:firstLineChars="200"/>
              <w:rPr>
                <w:sz w:val="18"/>
                <w:szCs w:val="18"/>
              </w:rPr>
            </w:pPr>
            <w:r>
              <w:rPr>
                <w:rFonts w:hint="eastAsia"/>
                <w:sz w:val="18"/>
                <w:szCs w:val="18"/>
                <w:lang w:val="en-US" w:eastAsia="zh-CN"/>
              </w:rPr>
              <w:t>1.</w:t>
            </w:r>
            <w:r>
              <w:rPr>
                <w:rFonts w:hint="eastAsia"/>
                <w:sz w:val="18"/>
                <w:szCs w:val="18"/>
              </w:rPr>
              <w:t>座谈会费用，包括场租费、参会人员交通费、食宿费等；</w:t>
            </w:r>
          </w:p>
          <w:p w14:paraId="3B645784">
            <w:pPr>
              <w:pStyle w:val="44"/>
              <w:bidi w:val="0"/>
              <w:ind w:left="0" w:leftChars="0" w:firstLine="360" w:firstLineChars="200"/>
              <w:rPr>
                <w:sz w:val="18"/>
                <w:szCs w:val="18"/>
              </w:rPr>
            </w:pPr>
            <w:r>
              <w:rPr>
                <w:rFonts w:hint="eastAsia"/>
                <w:sz w:val="18"/>
                <w:szCs w:val="18"/>
                <w:lang w:val="en-US" w:eastAsia="zh-CN"/>
              </w:rPr>
              <w:t>2.</w:t>
            </w:r>
            <w:r>
              <w:rPr>
                <w:rFonts w:hint="eastAsia"/>
                <w:sz w:val="18"/>
                <w:szCs w:val="18"/>
              </w:rPr>
              <w:t>问卷调查费用，按照调查方式和调查问卷数量测算；</w:t>
            </w:r>
            <w:r>
              <w:rPr>
                <w:sz w:val="18"/>
                <w:szCs w:val="18"/>
              </w:rPr>
              <w:t xml:space="preserve"> </w:t>
            </w:r>
          </w:p>
          <w:p w14:paraId="3B038ACD">
            <w:pPr>
              <w:pStyle w:val="44"/>
              <w:bidi w:val="0"/>
              <w:ind w:left="0" w:leftChars="0" w:firstLine="360" w:firstLineChars="200"/>
              <w:rPr>
                <w:sz w:val="18"/>
                <w:szCs w:val="18"/>
              </w:rPr>
            </w:pPr>
            <w:r>
              <w:rPr>
                <w:rFonts w:hint="eastAsia"/>
                <w:sz w:val="18"/>
                <w:szCs w:val="18"/>
                <w:lang w:val="en-US" w:eastAsia="zh-CN"/>
              </w:rPr>
              <w:t>3.</w:t>
            </w:r>
            <w:r>
              <w:rPr>
                <w:rFonts w:hint="eastAsia"/>
                <w:sz w:val="18"/>
                <w:szCs w:val="18"/>
              </w:rPr>
              <w:t>现场勘察费用，包括人员交通费、食宿费等；</w:t>
            </w:r>
            <w:r>
              <w:rPr>
                <w:sz w:val="18"/>
                <w:szCs w:val="18"/>
              </w:rPr>
              <w:t xml:space="preserve"> </w:t>
            </w:r>
          </w:p>
          <w:p w14:paraId="51A8BCC7">
            <w:pPr>
              <w:pStyle w:val="44"/>
              <w:bidi w:val="0"/>
              <w:ind w:left="0" w:leftChars="0" w:firstLine="360" w:firstLineChars="200"/>
              <w:rPr>
                <w:sz w:val="18"/>
                <w:szCs w:val="18"/>
              </w:rPr>
            </w:pPr>
            <w:r>
              <w:rPr>
                <w:rFonts w:hint="eastAsia"/>
                <w:sz w:val="18"/>
                <w:szCs w:val="18"/>
                <w:lang w:val="en-US" w:eastAsia="zh-CN"/>
              </w:rPr>
              <w:t>4.</w:t>
            </w:r>
            <w:r>
              <w:rPr>
                <w:rFonts w:hint="eastAsia"/>
                <w:sz w:val="18"/>
                <w:szCs w:val="18"/>
              </w:rPr>
              <w:t>调查人员和配合人员劳务费，按照人员数量、能力素质、工作时间等要素计列；</w:t>
            </w:r>
            <w:r>
              <w:rPr>
                <w:sz w:val="18"/>
                <w:szCs w:val="18"/>
              </w:rPr>
              <w:t xml:space="preserve"> </w:t>
            </w:r>
          </w:p>
          <w:p w14:paraId="12882FEC">
            <w:pPr>
              <w:pStyle w:val="44"/>
              <w:bidi w:val="0"/>
              <w:ind w:left="0" w:leftChars="0" w:firstLine="360" w:firstLineChars="200"/>
              <w:rPr>
                <w:sz w:val="18"/>
                <w:szCs w:val="18"/>
              </w:rPr>
            </w:pPr>
            <w:r>
              <w:rPr>
                <w:rFonts w:hint="eastAsia"/>
                <w:sz w:val="18"/>
                <w:szCs w:val="18"/>
                <w:lang w:val="en-US" w:eastAsia="zh-CN"/>
              </w:rPr>
              <w:t>5.</w:t>
            </w:r>
            <w:r>
              <w:rPr>
                <w:rFonts w:hint="eastAsia"/>
                <w:sz w:val="18"/>
                <w:szCs w:val="18"/>
              </w:rPr>
              <w:t>采用其它调查方式的，参照上述标准。</w:t>
            </w:r>
          </w:p>
        </w:tc>
        <w:tc>
          <w:tcPr>
            <w:tcW w:w="639" w:type="dxa"/>
            <w:vAlign w:val="center"/>
          </w:tcPr>
          <w:p w14:paraId="67E032A1">
            <w:pPr>
              <w:pStyle w:val="44"/>
              <w:bidi w:val="0"/>
              <w:rPr>
                <w:sz w:val="18"/>
                <w:szCs w:val="18"/>
              </w:rPr>
            </w:pPr>
            <w:r>
              <w:rPr>
                <w:rFonts w:hint="eastAsia"/>
                <w:sz w:val="18"/>
                <w:szCs w:val="18"/>
              </w:rPr>
              <w:t>C3</w:t>
            </w:r>
          </w:p>
        </w:tc>
      </w:tr>
      <w:tr w14:paraId="149513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Align w:val="center"/>
          </w:tcPr>
          <w:p w14:paraId="27A97813">
            <w:pPr>
              <w:pStyle w:val="44"/>
              <w:bidi w:val="0"/>
              <w:ind w:left="0" w:leftChars="0" w:firstLine="0" w:firstLineChars="0"/>
              <w:jc w:val="center"/>
              <w:rPr>
                <w:sz w:val="18"/>
                <w:szCs w:val="18"/>
              </w:rPr>
            </w:pPr>
            <w:r>
              <w:rPr>
                <w:rFonts w:hint="eastAsia"/>
                <w:sz w:val="18"/>
                <w:szCs w:val="18"/>
              </w:rPr>
              <w:t>4</w:t>
            </w:r>
          </w:p>
        </w:tc>
        <w:tc>
          <w:tcPr>
            <w:tcW w:w="1560" w:type="dxa"/>
            <w:vAlign w:val="center"/>
          </w:tcPr>
          <w:p w14:paraId="24A71755">
            <w:pPr>
              <w:pStyle w:val="44"/>
              <w:bidi w:val="0"/>
              <w:ind w:left="0" w:leftChars="0" w:firstLine="0" w:firstLineChars="0"/>
              <w:jc w:val="center"/>
              <w:rPr>
                <w:sz w:val="18"/>
                <w:szCs w:val="18"/>
              </w:rPr>
            </w:pPr>
            <w:r>
              <w:rPr>
                <w:rFonts w:hint="eastAsia"/>
                <w:sz w:val="18"/>
                <w:szCs w:val="18"/>
              </w:rPr>
              <w:t>分析论证</w:t>
            </w:r>
          </w:p>
        </w:tc>
        <w:tc>
          <w:tcPr>
            <w:tcW w:w="5885" w:type="dxa"/>
          </w:tcPr>
          <w:p w14:paraId="796AB9AA">
            <w:pPr>
              <w:pStyle w:val="44"/>
              <w:bidi w:val="0"/>
              <w:ind w:left="0" w:leftChars="0" w:firstLine="360" w:firstLineChars="200"/>
              <w:rPr>
                <w:sz w:val="18"/>
                <w:szCs w:val="18"/>
              </w:rPr>
            </w:pPr>
            <w:r>
              <w:rPr>
                <w:rFonts w:hint="eastAsia"/>
                <w:sz w:val="18"/>
                <w:szCs w:val="18"/>
              </w:rPr>
              <w:t>一般采用外部专家论证或内部专家论证的方式。</w:t>
            </w:r>
            <w:r>
              <w:rPr>
                <w:sz w:val="18"/>
                <w:szCs w:val="18"/>
              </w:rPr>
              <w:t xml:space="preserve"> </w:t>
            </w:r>
          </w:p>
          <w:p w14:paraId="66EE5FD9">
            <w:pPr>
              <w:pStyle w:val="44"/>
              <w:bidi w:val="0"/>
              <w:ind w:left="0" w:leftChars="0" w:firstLine="360" w:firstLineChars="200"/>
              <w:rPr>
                <w:sz w:val="18"/>
                <w:szCs w:val="18"/>
              </w:rPr>
            </w:pPr>
            <w:r>
              <w:rPr>
                <w:rFonts w:hint="eastAsia"/>
                <w:sz w:val="18"/>
                <w:szCs w:val="18"/>
                <w:lang w:val="en-US" w:eastAsia="zh-CN"/>
              </w:rPr>
              <w:t>1.</w:t>
            </w:r>
            <w:r>
              <w:rPr>
                <w:rFonts w:hint="eastAsia"/>
                <w:sz w:val="18"/>
                <w:szCs w:val="18"/>
              </w:rPr>
              <w:t>数据分析人员费用；</w:t>
            </w:r>
            <w:r>
              <w:rPr>
                <w:sz w:val="18"/>
                <w:szCs w:val="18"/>
              </w:rPr>
              <w:t xml:space="preserve"> </w:t>
            </w:r>
          </w:p>
          <w:p w14:paraId="3D287CA0">
            <w:pPr>
              <w:pStyle w:val="44"/>
              <w:bidi w:val="0"/>
              <w:ind w:left="0" w:leftChars="0" w:firstLine="360" w:firstLineChars="200"/>
              <w:rPr>
                <w:sz w:val="18"/>
                <w:szCs w:val="18"/>
              </w:rPr>
            </w:pPr>
            <w:r>
              <w:rPr>
                <w:rFonts w:hint="eastAsia"/>
                <w:sz w:val="18"/>
                <w:szCs w:val="18"/>
                <w:lang w:val="en-US" w:eastAsia="zh-CN"/>
              </w:rPr>
              <w:t>2.内</w:t>
            </w:r>
            <w:r>
              <w:rPr>
                <w:rFonts w:hint="eastAsia"/>
                <w:sz w:val="18"/>
                <w:szCs w:val="18"/>
              </w:rPr>
              <w:t>部专家费用；</w:t>
            </w:r>
            <w:r>
              <w:rPr>
                <w:sz w:val="18"/>
                <w:szCs w:val="18"/>
              </w:rPr>
              <w:t xml:space="preserve"> </w:t>
            </w:r>
          </w:p>
          <w:p w14:paraId="7F29918A">
            <w:pPr>
              <w:pStyle w:val="44"/>
              <w:bidi w:val="0"/>
              <w:ind w:left="0" w:leftChars="0" w:firstLine="360" w:firstLineChars="200"/>
              <w:rPr>
                <w:sz w:val="18"/>
                <w:szCs w:val="18"/>
              </w:rPr>
            </w:pPr>
            <w:r>
              <w:rPr>
                <w:rFonts w:hint="eastAsia"/>
                <w:sz w:val="18"/>
                <w:szCs w:val="18"/>
                <w:lang w:val="en-US" w:eastAsia="zh-CN"/>
              </w:rPr>
              <w:t>3.</w:t>
            </w:r>
            <w:r>
              <w:rPr>
                <w:rFonts w:hint="eastAsia"/>
                <w:sz w:val="18"/>
                <w:szCs w:val="18"/>
              </w:rPr>
              <w:t>外部专家费用。</w:t>
            </w:r>
            <w:r>
              <w:rPr>
                <w:sz w:val="18"/>
                <w:szCs w:val="18"/>
              </w:rPr>
              <w:t xml:space="preserve"> </w:t>
            </w:r>
          </w:p>
        </w:tc>
        <w:tc>
          <w:tcPr>
            <w:tcW w:w="639" w:type="dxa"/>
            <w:vAlign w:val="center"/>
          </w:tcPr>
          <w:p w14:paraId="20A5862F">
            <w:pPr>
              <w:pStyle w:val="44"/>
              <w:bidi w:val="0"/>
              <w:rPr>
                <w:sz w:val="18"/>
                <w:szCs w:val="18"/>
              </w:rPr>
            </w:pPr>
            <w:r>
              <w:rPr>
                <w:rFonts w:hint="eastAsia"/>
                <w:sz w:val="18"/>
                <w:szCs w:val="18"/>
              </w:rPr>
              <w:t>C4</w:t>
            </w:r>
          </w:p>
        </w:tc>
      </w:tr>
      <w:tr w14:paraId="379D03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Align w:val="center"/>
          </w:tcPr>
          <w:p w14:paraId="448A1F53">
            <w:pPr>
              <w:pStyle w:val="44"/>
              <w:bidi w:val="0"/>
              <w:ind w:left="0" w:leftChars="0" w:firstLine="0" w:firstLineChars="0"/>
              <w:jc w:val="center"/>
              <w:rPr>
                <w:sz w:val="18"/>
                <w:szCs w:val="18"/>
              </w:rPr>
            </w:pPr>
            <w:r>
              <w:rPr>
                <w:rFonts w:hint="eastAsia"/>
                <w:sz w:val="18"/>
                <w:szCs w:val="18"/>
              </w:rPr>
              <w:t>5</w:t>
            </w:r>
          </w:p>
        </w:tc>
        <w:tc>
          <w:tcPr>
            <w:tcW w:w="1560" w:type="dxa"/>
            <w:vAlign w:val="center"/>
          </w:tcPr>
          <w:p w14:paraId="659C9BAF">
            <w:pPr>
              <w:pStyle w:val="44"/>
              <w:bidi w:val="0"/>
              <w:ind w:left="0" w:leftChars="0" w:firstLine="0" w:firstLineChars="0"/>
              <w:jc w:val="center"/>
              <w:rPr>
                <w:sz w:val="18"/>
                <w:szCs w:val="18"/>
              </w:rPr>
            </w:pPr>
            <w:r>
              <w:rPr>
                <w:rFonts w:hint="eastAsia"/>
                <w:sz w:val="18"/>
                <w:szCs w:val="18"/>
              </w:rPr>
              <w:t>评估报告编制</w:t>
            </w:r>
          </w:p>
        </w:tc>
        <w:tc>
          <w:tcPr>
            <w:tcW w:w="5885" w:type="dxa"/>
          </w:tcPr>
          <w:p w14:paraId="76BAFA2D">
            <w:pPr>
              <w:pStyle w:val="44"/>
              <w:bidi w:val="0"/>
              <w:ind w:left="0" w:leftChars="0" w:firstLine="360" w:firstLineChars="200"/>
              <w:rPr>
                <w:sz w:val="18"/>
                <w:szCs w:val="18"/>
              </w:rPr>
            </w:pPr>
            <w:r>
              <w:rPr>
                <w:rFonts w:hint="eastAsia"/>
                <w:sz w:val="18"/>
                <w:szCs w:val="18"/>
                <w:lang w:val="en-US" w:eastAsia="zh-CN"/>
              </w:rPr>
              <w:t>1.</w:t>
            </w:r>
            <w:r>
              <w:rPr>
                <w:rFonts w:hint="eastAsia"/>
                <w:sz w:val="18"/>
                <w:szCs w:val="18"/>
              </w:rPr>
              <w:t>报告编制人员劳务费；</w:t>
            </w:r>
          </w:p>
          <w:p w14:paraId="35B0A62F">
            <w:pPr>
              <w:pStyle w:val="44"/>
              <w:bidi w:val="0"/>
              <w:ind w:left="0" w:leftChars="0" w:firstLine="360" w:firstLineChars="200"/>
              <w:rPr>
                <w:sz w:val="18"/>
                <w:szCs w:val="18"/>
              </w:rPr>
            </w:pPr>
            <w:r>
              <w:rPr>
                <w:rFonts w:hint="eastAsia"/>
                <w:sz w:val="18"/>
                <w:szCs w:val="18"/>
                <w:lang w:val="en-US" w:eastAsia="zh-CN"/>
              </w:rPr>
              <w:t>2.</w:t>
            </w:r>
            <w:r>
              <w:rPr>
                <w:rFonts w:hint="eastAsia"/>
                <w:sz w:val="18"/>
                <w:szCs w:val="18"/>
              </w:rPr>
              <w:t>外部专家劳务费；</w:t>
            </w:r>
          </w:p>
          <w:p w14:paraId="0C108628">
            <w:pPr>
              <w:pStyle w:val="44"/>
              <w:bidi w:val="0"/>
              <w:ind w:left="0" w:leftChars="0" w:firstLine="360" w:firstLineChars="200"/>
              <w:rPr>
                <w:sz w:val="18"/>
                <w:szCs w:val="18"/>
              </w:rPr>
            </w:pPr>
            <w:r>
              <w:rPr>
                <w:rFonts w:hint="eastAsia"/>
                <w:sz w:val="18"/>
                <w:szCs w:val="18"/>
                <w:lang w:val="en-US" w:eastAsia="zh-CN"/>
              </w:rPr>
              <w:t>3.</w:t>
            </w:r>
            <w:r>
              <w:rPr>
                <w:rFonts w:hint="eastAsia"/>
                <w:sz w:val="18"/>
                <w:szCs w:val="18"/>
              </w:rPr>
              <w:t>报告印制费。</w:t>
            </w:r>
            <w:r>
              <w:rPr>
                <w:sz w:val="18"/>
                <w:szCs w:val="18"/>
              </w:rPr>
              <w:t xml:space="preserve"> </w:t>
            </w:r>
          </w:p>
        </w:tc>
        <w:tc>
          <w:tcPr>
            <w:tcW w:w="639" w:type="dxa"/>
            <w:vAlign w:val="center"/>
          </w:tcPr>
          <w:p w14:paraId="719F85A9">
            <w:pPr>
              <w:pStyle w:val="44"/>
              <w:bidi w:val="0"/>
              <w:rPr>
                <w:sz w:val="18"/>
                <w:szCs w:val="18"/>
              </w:rPr>
            </w:pPr>
            <w:r>
              <w:rPr>
                <w:rFonts w:hint="eastAsia"/>
                <w:sz w:val="18"/>
                <w:szCs w:val="18"/>
              </w:rPr>
              <w:t>C5</w:t>
            </w:r>
          </w:p>
        </w:tc>
      </w:tr>
      <w:tr w14:paraId="647849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Align w:val="center"/>
          </w:tcPr>
          <w:p w14:paraId="3816D8A2">
            <w:pPr>
              <w:pStyle w:val="44"/>
              <w:bidi w:val="0"/>
              <w:ind w:left="0" w:leftChars="0" w:firstLine="0" w:firstLineChars="0"/>
              <w:jc w:val="center"/>
              <w:rPr>
                <w:sz w:val="18"/>
                <w:szCs w:val="18"/>
              </w:rPr>
            </w:pPr>
            <w:r>
              <w:rPr>
                <w:rFonts w:hint="eastAsia"/>
                <w:sz w:val="18"/>
                <w:szCs w:val="18"/>
              </w:rPr>
              <w:t>6</w:t>
            </w:r>
          </w:p>
        </w:tc>
        <w:tc>
          <w:tcPr>
            <w:tcW w:w="1560" w:type="dxa"/>
            <w:vAlign w:val="center"/>
          </w:tcPr>
          <w:p w14:paraId="74037A12">
            <w:pPr>
              <w:pStyle w:val="44"/>
              <w:bidi w:val="0"/>
              <w:ind w:left="0" w:leftChars="0" w:firstLine="0" w:firstLineChars="0"/>
              <w:jc w:val="center"/>
              <w:rPr>
                <w:sz w:val="18"/>
                <w:szCs w:val="18"/>
              </w:rPr>
            </w:pPr>
            <w:r>
              <w:rPr>
                <w:rFonts w:hint="eastAsia"/>
                <w:sz w:val="18"/>
                <w:szCs w:val="18"/>
              </w:rPr>
              <w:t>评估报告评审</w:t>
            </w:r>
          </w:p>
        </w:tc>
        <w:tc>
          <w:tcPr>
            <w:tcW w:w="5885" w:type="dxa"/>
          </w:tcPr>
          <w:p w14:paraId="0D7494CF">
            <w:pPr>
              <w:pStyle w:val="44"/>
              <w:bidi w:val="0"/>
              <w:ind w:left="0" w:leftChars="0" w:firstLine="360" w:firstLineChars="200"/>
              <w:rPr>
                <w:sz w:val="18"/>
                <w:szCs w:val="18"/>
              </w:rPr>
            </w:pPr>
            <w:r>
              <w:rPr>
                <w:rFonts w:hint="eastAsia"/>
                <w:sz w:val="18"/>
                <w:szCs w:val="18"/>
                <w:lang w:val="en-US" w:eastAsia="zh-CN"/>
              </w:rPr>
              <w:t>1.</w:t>
            </w:r>
            <w:r>
              <w:rPr>
                <w:rFonts w:hint="eastAsia"/>
                <w:sz w:val="18"/>
                <w:szCs w:val="18"/>
              </w:rPr>
              <w:t>专家评审费、食宿费、交通费及场租费等应按实计；</w:t>
            </w:r>
          </w:p>
          <w:p w14:paraId="5CDC788E">
            <w:pPr>
              <w:pStyle w:val="44"/>
              <w:bidi w:val="0"/>
              <w:ind w:left="0" w:leftChars="0" w:firstLine="360" w:firstLineChars="200"/>
              <w:rPr>
                <w:sz w:val="18"/>
                <w:szCs w:val="18"/>
              </w:rPr>
            </w:pPr>
            <w:r>
              <w:rPr>
                <w:rFonts w:hint="eastAsia"/>
                <w:sz w:val="18"/>
                <w:szCs w:val="18"/>
                <w:lang w:val="en-US" w:eastAsia="zh-CN"/>
              </w:rPr>
              <w:t>2.</w:t>
            </w:r>
            <w:r>
              <w:rPr>
                <w:rFonts w:hint="eastAsia"/>
                <w:sz w:val="18"/>
                <w:szCs w:val="18"/>
              </w:rPr>
              <w:t>组织评审所发生的其他成本费。</w:t>
            </w:r>
            <w:r>
              <w:rPr>
                <w:sz w:val="18"/>
                <w:szCs w:val="18"/>
              </w:rPr>
              <w:t xml:space="preserve"> </w:t>
            </w:r>
          </w:p>
        </w:tc>
        <w:tc>
          <w:tcPr>
            <w:tcW w:w="639" w:type="dxa"/>
            <w:vAlign w:val="center"/>
          </w:tcPr>
          <w:p w14:paraId="00A3DB03">
            <w:pPr>
              <w:pStyle w:val="44"/>
              <w:bidi w:val="0"/>
              <w:rPr>
                <w:sz w:val="18"/>
                <w:szCs w:val="18"/>
              </w:rPr>
            </w:pPr>
            <w:r>
              <w:rPr>
                <w:rFonts w:hint="eastAsia"/>
                <w:sz w:val="18"/>
                <w:szCs w:val="18"/>
              </w:rPr>
              <w:t>C6</w:t>
            </w:r>
          </w:p>
        </w:tc>
      </w:tr>
      <w:tr w14:paraId="7056BC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Align w:val="center"/>
          </w:tcPr>
          <w:p w14:paraId="34228C34">
            <w:pPr>
              <w:pStyle w:val="44"/>
              <w:bidi w:val="0"/>
              <w:ind w:left="0" w:leftChars="0" w:firstLine="0" w:firstLineChars="0"/>
              <w:jc w:val="center"/>
              <w:rPr>
                <w:sz w:val="18"/>
                <w:szCs w:val="18"/>
              </w:rPr>
            </w:pPr>
            <w:r>
              <w:rPr>
                <w:rFonts w:hint="eastAsia"/>
                <w:sz w:val="18"/>
                <w:szCs w:val="18"/>
              </w:rPr>
              <w:t>7</w:t>
            </w:r>
          </w:p>
        </w:tc>
        <w:tc>
          <w:tcPr>
            <w:tcW w:w="1560" w:type="dxa"/>
            <w:vAlign w:val="center"/>
          </w:tcPr>
          <w:p w14:paraId="7D2787C9">
            <w:pPr>
              <w:pStyle w:val="44"/>
              <w:bidi w:val="0"/>
              <w:ind w:left="0" w:leftChars="0" w:firstLine="0" w:firstLineChars="0"/>
              <w:jc w:val="center"/>
              <w:rPr>
                <w:sz w:val="18"/>
                <w:szCs w:val="18"/>
              </w:rPr>
            </w:pPr>
            <w:r>
              <w:rPr>
                <w:rFonts w:hint="eastAsia"/>
                <w:sz w:val="18"/>
                <w:szCs w:val="18"/>
              </w:rPr>
              <w:t>其他费用</w:t>
            </w:r>
          </w:p>
        </w:tc>
        <w:tc>
          <w:tcPr>
            <w:tcW w:w="5885" w:type="dxa"/>
          </w:tcPr>
          <w:p w14:paraId="22C0685D">
            <w:pPr>
              <w:pStyle w:val="44"/>
              <w:bidi w:val="0"/>
              <w:ind w:left="0" w:leftChars="0" w:firstLine="360" w:firstLineChars="200"/>
              <w:rPr>
                <w:sz w:val="18"/>
                <w:szCs w:val="18"/>
              </w:rPr>
            </w:pPr>
            <w:r>
              <w:rPr>
                <w:rFonts w:hint="eastAsia"/>
                <w:sz w:val="18"/>
                <w:szCs w:val="18"/>
              </w:rPr>
              <w:t>根据服务范围、服务内容等具体情况，充分考虑未纳入</w:t>
            </w:r>
            <w:r>
              <w:rPr>
                <w:sz w:val="18"/>
                <w:szCs w:val="18"/>
              </w:rPr>
              <w:t>C1</w:t>
            </w:r>
            <w:r>
              <w:rPr>
                <w:rFonts w:hint="eastAsia"/>
                <w:sz w:val="18"/>
                <w:szCs w:val="18"/>
              </w:rPr>
              <w:t>～</w:t>
            </w:r>
            <w:r>
              <w:rPr>
                <w:sz w:val="18"/>
                <w:szCs w:val="18"/>
              </w:rPr>
              <w:t>C6</w:t>
            </w:r>
            <w:r>
              <w:rPr>
                <w:rFonts w:hint="eastAsia"/>
                <w:sz w:val="18"/>
                <w:szCs w:val="18"/>
              </w:rPr>
              <w:t>范围内的其他投入，按</w:t>
            </w:r>
            <w:r>
              <w:rPr>
                <w:sz w:val="18"/>
                <w:szCs w:val="18"/>
              </w:rPr>
              <w:t>C1</w:t>
            </w:r>
            <w:r>
              <w:rPr>
                <w:rFonts w:hint="eastAsia"/>
                <w:sz w:val="18"/>
                <w:szCs w:val="18"/>
              </w:rPr>
              <w:t>～</w:t>
            </w:r>
            <w:r>
              <w:rPr>
                <w:sz w:val="18"/>
                <w:szCs w:val="18"/>
              </w:rPr>
              <w:t>C6</w:t>
            </w:r>
            <w:r>
              <w:rPr>
                <w:rFonts w:hint="eastAsia"/>
                <w:sz w:val="18"/>
                <w:szCs w:val="18"/>
              </w:rPr>
              <w:t>之和的</w:t>
            </w:r>
            <w:r>
              <w:rPr>
                <w:sz w:val="18"/>
                <w:szCs w:val="18"/>
              </w:rPr>
              <w:t>5%</w:t>
            </w:r>
            <w:r>
              <w:rPr>
                <w:rFonts w:hint="eastAsia"/>
                <w:sz w:val="18"/>
                <w:szCs w:val="18"/>
              </w:rPr>
              <w:t>～</w:t>
            </w:r>
            <w:r>
              <w:rPr>
                <w:sz w:val="18"/>
                <w:szCs w:val="18"/>
              </w:rPr>
              <w:t>20%</w:t>
            </w:r>
            <w:r>
              <w:rPr>
                <w:rFonts w:hint="eastAsia"/>
                <w:sz w:val="18"/>
                <w:szCs w:val="18"/>
              </w:rPr>
              <w:t>计取。</w:t>
            </w:r>
            <w:r>
              <w:rPr>
                <w:sz w:val="18"/>
                <w:szCs w:val="18"/>
              </w:rPr>
              <w:t xml:space="preserve"> </w:t>
            </w:r>
          </w:p>
        </w:tc>
        <w:tc>
          <w:tcPr>
            <w:tcW w:w="639" w:type="dxa"/>
            <w:vAlign w:val="center"/>
          </w:tcPr>
          <w:p w14:paraId="4D1FDF26">
            <w:pPr>
              <w:pStyle w:val="44"/>
              <w:bidi w:val="0"/>
              <w:rPr>
                <w:sz w:val="18"/>
                <w:szCs w:val="18"/>
              </w:rPr>
            </w:pPr>
            <w:r>
              <w:rPr>
                <w:rFonts w:hint="eastAsia"/>
                <w:sz w:val="18"/>
                <w:szCs w:val="18"/>
              </w:rPr>
              <w:t>C7</w:t>
            </w:r>
          </w:p>
        </w:tc>
      </w:tr>
      <w:tr w14:paraId="4D6DEF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Align w:val="center"/>
          </w:tcPr>
          <w:p w14:paraId="2C43634B">
            <w:pPr>
              <w:pStyle w:val="44"/>
              <w:bidi w:val="0"/>
              <w:ind w:left="0" w:leftChars="0" w:firstLine="0" w:firstLineChars="0"/>
              <w:jc w:val="center"/>
              <w:rPr>
                <w:sz w:val="18"/>
                <w:szCs w:val="18"/>
              </w:rPr>
            </w:pPr>
            <w:r>
              <w:rPr>
                <w:rFonts w:hint="eastAsia"/>
                <w:sz w:val="18"/>
                <w:szCs w:val="18"/>
              </w:rPr>
              <w:t>8</w:t>
            </w:r>
          </w:p>
        </w:tc>
        <w:tc>
          <w:tcPr>
            <w:tcW w:w="1560" w:type="dxa"/>
            <w:vAlign w:val="center"/>
          </w:tcPr>
          <w:p w14:paraId="0ECAE181">
            <w:pPr>
              <w:pStyle w:val="44"/>
              <w:bidi w:val="0"/>
              <w:ind w:left="0" w:leftChars="0" w:firstLine="0" w:firstLineChars="0"/>
              <w:jc w:val="center"/>
              <w:rPr>
                <w:sz w:val="18"/>
                <w:szCs w:val="18"/>
              </w:rPr>
            </w:pPr>
            <w:r>
              <w:rPr>
                <w:rFonts w:hint="eastAsia"/>
                <w:sz w:val="18"/>
                <w:szCs w:val="18"/>
              </w:rPr>
              <w:t>单位管理费</w:t>
            </w:r>
          </w:p>
        </w:tc>
        <w:tc>
          <w:tcPr>
            <w:tcW w:w="5885" w:type="dxa"/>
          </w:tcPr>
          <w:p w14:paraId="1F546AC7">
            <w:pPr>
              <w:pStyle w:val="44"/>
              <w:bidi w:val="0"/>
              <w:ind w:left="0" w:leftChars="0" w:firstLine="360" w:firstLineChars="200"/>
              <w:rPr>
                <w:sz w:val="18"/>
                <w:szCs w:val="18"/>
              </w:rPr>
            </w:pPr>
            <w:r>
              <w:rPr>
                <w:rFonts w:hint="eastAsia"/>
                <w:sz w:val="18"/>
                <w:szCs w:val="18"/>
              </w:rPr>
              <w:t>根据各评估实施单位自身经营情况，按</w:t>
            </w:r>
            <w:r>
              <w:rPr>
                <w:sz w:val="18"/>
                <w:szCs w:val="18"/>
              </w:rPr>
              <w:t>C1</w:t>
            </w:r>
            <w:r>
              <w:rPr>
                <w:rFonts w:hint="eastAsia"/>
                <w:sz w:val="18"/>
                <w:szCs w:val="18"/>
              </w:rPr>
              <w:t>～</w:t>
            </w:r>
            <w:r>
              <w:rPr>
                <w:sz w:val="18"/>
                <w:szCs w:val="18"/>
              </w:rPr>
              <w:t>C7</w:t>
            </w:r>
            <w:r>
              <w:rPr>
                <w:rFonts w:hint="eastAsia"/>
                <w:sz w:val="18"/>
                <w:szCs w:val="18"/>
              </w:rPr>
              <w:t>之和的</w:t>
            </w:r>
            <w:r>
              <w:rPr>
                <w:sz w:val="18"/>
                <w:szCs w:val="18"/>
              </w:rPr>
              <w:t>10%</w:t>
            </w:r>
            <w:r>
              <w:rPr>
                <w:rFonts w:hint="eastAsia"/>
                <w:sz w:val="18"/>
                <w:szCs w:val="18"/>
              </w:rPr>
              <w:t>～</w:t>
            </w:r>
            <w:r>
              <w:rPr>
                <w:sz w:val="18"/>
                <w:szCs w:val="18"/>
              </w:rPr>
              <w:t>25%</w:t>
            </w:r>
            <w:r>
              <w:rPr>
                <w:rFonts w:hint="eastAsia"/>
                <w:sz w:val="18"/>
                <w:szCs w:val="18"/>
              </w:rPr>
              <w:t>计取。</w:t>
            </w:r>
            <w:r>
              <w:rPr>
                <w:sz w:val="18"/>
                <w:szCs w:val="18"/>
              </w:rPr>
              <w:t xml:space="preserve"> </w:t>
            </w:r>
          </w:p>
        </w:tc>
        <w:tc>
          <w:tcPr>
            <w:tcW w:w="639" w:type="dxa"/>
            <w:vAlign w:val="center"/>
          </w:tcPr>
          <w:p w14:paraId="6E67F6CD">
            <w:pPr>
              <w:pStyle w:val="44"/>
              <w:bidi w:val="0"/>
              <w:rPr>
                <w:sz w:val="18"/>
                <w:szCs w:val="18"/>
              </w:rPr>
            </w:pPr>
            <w:r>
              <w:rPr>
                <w:rFonts w:hint="eastAsia"/>
                <w:sz w:val="18"/>
                <w:szCs w:val="18"/>
              </w:rPr>
              <w:t>C8</w:t>
            </w:r>
          </w:p>
        </w:tc>
      </w:tr>
      <w:tr w14:paraId="7BBA74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Align w:val="center"/>
          </w:tcPr>
          <w:p w14:paraId="38D56D6B">
            <w:pPr>
              <w:pStyle w:val="44"/>
              <w:bidi w:val="0"/>
              <w:ind w:left="0" w:leftChars="0" w:firstLine="0" w:firstLineChars="0"/>
              <w:jc w:val="center"/>
              <w:rPr>
                <w:sz w:val="18"/>
                <w:szCs w:val="18"/>
              </w:rPr>
            </w:pPr>
            <w:r>
              <w:rPr>
                <w:rFonts w:hint="eastAsia"/>
                <w:sz w:val="18"/>
                <w:szCs w:val="18"/>
              </w:rPr>
              <w:t>9</w:t>
            </w:r>
          </w:p>
        </w:tc>
        <w:tc>
          <w:tcPr>
            <w:tcW w:w="1560" w:type="dxa"/>
            <w:vAlign w:val="center"/>
          </w:tcPr>
          <w:p w14:paraId="44800309">
            <w:pPr>
              <w:pStyle w:val="44"/>
              <w:bidi w:val="0"/>
              <w:ind w:left="0" w:leftChars="0" w:firstLine="0" w:firstLineChars="0"/>
              <w:jc w:val="center"/>
              <w:rPr>
                <w:sz w:val="18"/>
                <w:szCs w:val="18"/>
              </w:rPr>
            </w:pPr>
            <w:r>
              <w:rPr>
                <w:rFonts w:hint="eastAsia"/>
                <w:sz w:val="18"/>
                <w:szCs w:val="18"/>
              </w:rPr>
              <w:t>企业利润</w:t>
            </w:r>
          </w:p>
        </w:tc>
        <w:tc>
          <w:tcPr>
            <w:tcW w:w="5885" w:type="dxa"/>
          </w:tcPr>
          <w:p w14:paraId="0040C1F7">
            <w:pPr>
              <w:pStyle w:val="44"/>
              <w:bidi w:val="0"/>
              <w:rPr>
                <w:sz w:val="18"/>
                <w:szCs w:val="18"/>
              </w:rPr>
            </w:pPr>
            <w:r>
              <w:rPr>
                <w:rFonts w:hint="eastAsia"/>
                <w:sz w:val="18"/>
                <w:szCs w:val="18"/>
              </w:rPr>
              <w:t>根据各评估实施单位自身经营情况，按</w:t>
            </w:r>
            <w:r>
              <w:rPr>
                <w:sz w:val="18"/>
                <w:szCs w:val="18"/>
              </w:rPr>
              <w:t>C1</w:t>
            </w:r>
            <w:r>
              <w:rPr>
                <w:rFonts w:hint="eastAsia"/>
                <w:sz w:val="18"/>
                <w:szCs w:val="18"/>
              </w:rPr>
              <w:t>～</w:t>
            </w:r>
            <w:r>
              <w:rPr>
                <w:sz w:val="18"/>
                <w:szCs w:val="18"/>
              </w:rPr>
              <w:t>C8</w:t>
            </w:r>
            <w:r>
              <w:rPr>
                <w:rFonts w:hint="eastAsia"/>
                <w:sz w:val="18"/>
                <w:szCs w:val="18"/>
              </w:rPr>
              <w:t>之和的合理比例计取。</w:t>
            </w:r>
            <w:r>
              <w:rPr>
                <w:sz w:val="18"/>
                <w:szCs w:val="18"/>
              </w:rPr>
              <w:t xml:space="preserve"> </w:t>
            </w:r>
          </w:p>
        </w:tc>
        <w:tc>
          <w:tcPr>
            <w:tcW w:w="639" w:type="dxa"/>
            <w:vAlign w:val="center"/>
          </w:tcPr>
          <w:p w14:paraId="2C299752">
            <w:pPr>
              <w:pStyle w:val="44"/>
              <w:bidi w:val="0"/>
              <w:rPr>
                <w:sz w:val="18"/>
                <w:szCs w:val="18"/>
              </w:rPr>
            </w:pPr>
            <w:r>
              <w:rPr>
                <w:rFonts w:hint="eastAsia"/>
                <w:sz w:val="18"/>
                <w:szCs w:val="18"/>
              </w:rPr>
              <w:t>C9</w:t>
            </w:r>
          </w:p>
        </w:tc>
      </w:tr>
      <w:tr w14:paraId="6C4F35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Align w:val="center"/>
          </w:tcPr>
          <w:p w14:paraId="436E405C">
            <w:pPr>
              <w:pStyle w:val="44"/>
              <w:bidi w:val="0"/>
              <w:ind w:left="0" w:leftChars="0" w:firstLine="0" w:firstLineChars="0"/>
              <w:jc w:val="center"/>
              <w:rPr>
                <w:sz w:val="18"/>
                <w:szCs w:val="18"/>
              </w:rPr>
            </w:pPr>
            <w:r>
              <w:rPr>
                <w:rFonts w:hint="eastAsia"/>
                <w:sz w:val="18"/>
                <w:szCs w:val="18"/>
              </w:rPr>
              <w:t>10</w:t>
            </w:r>
          </w:p>
        </w:tc>
        <w:tc>
          <w:tcPr>
            <w:tcW w:w="1560" w:type="dxa"/>
            <w:vAlign w:val="center"/>
          </w:tcPr>
          <w:p w14:paraId="5DA42D26">
            <w:pPr>
              <w:pStyle w:val="44"/>
              <w:bidi w:val="0"/>
              <w:ind w:left="0" w:leftChars="0" w:firstLine="0" w:firstLineChars="0"/>
              <w:jc w:val="center"/>
              <w:rPr>
                <w:sz w:val="18"/>
                <w:szCs w:val="18"/>
              </w:rPr>
            </w:pPr>
            <w:r>
              <w:rPr>
                <w:rFonts w:hint="eastAsia"/>
                <w:sz w:val="18"/>
                <w:szCs w:val="18"/>
              </w:rPr>
              <w:t>应缴纳税费</w:t>
            </w:r>
          </w:p>
        </w:tc>
        <w:tc>
          <w:tcPr>
            <w:tcW w:w="5885" w:type="dxa"/>
          </w:tcPr>
          <w:p w14:paraId="23BF9F3C">
            <w:pPr>
              <w:pStyle w:val="44"/>
              <w:bidi w:val="0"/>
              <w:rPr>
                <w:sz w:val="18"/>
                <w:szCs w:val="18"/>
              </w:rPr>
            </w:pPr>
            <w:r>
              <w:rPr>
                <w:rFonts w:hint="eastAsia"/>
                <w:sz w:val="18"/>
                <w:szCs w:val="18"/>
              </w:rPr>
              <w:t>各评估实施单位根据税务部门的相关规定计取。</w:t>
            </w:r>
            <w:r>
              <w:rPr>
                <w:sz w:val="18"/>
                <w:szCs w:val="18"/>
              </w:rPr>
              <w:t xml:space="preserve"> </w:t>
            </w:r>
          </w:p>
        </w:tc>
        <w:tc>
          <w:tcPr>
            <w:tcW w:w="639" w:type="dxa"/>
            <w:vAlign w:val="center"/>
          </w:tcPr>
          <w:p w14:paraId="12633828">
            <w:pPr>
              <w:pStyle w:val="44"/>
              <w:bidi w:val="0"/>
              <w:rPr>
                <w:sz w:val="18"/>
                <w:szCs w:val="18"/>
              </w:rPr>
            </w:pPr>
            <w:r>
              <w:rPr>
                <w:rFonts w:hint="eastAsia"/>
                <w:sz w:val="18"/>
                <w:szCs w:val="18"/>
              </w:rPr>
              <w:t>C10</w:t>
            </w:r>
          </w:p>
        </w:tc>
      </w:tr>
      <w:tr w14:paraId="6285B2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59" w:type="dxa"/>
            <w:gridSpan w:val="4"/>
          </w:tcPr>
          <w:p w14:paraId="53AA7AB9">
            <w:pPr>
              <w:pStyle w:val="44"/>
              <w:bidi w:val="0"/>
              <w:rPr>
                <w:sz w:val="18"/>
                <w:szCs w:val="18"/>
              </w:rPr>
            </w:pPr>
            <w:r>
              <w:rPr>
                <w:rFonts w:hint="eastAsia"/>
                <w:sz w:val="18"/>
                <w:szCs w:val="18"/>
              </w:rPr>
              <w:t>注：上述收费中已经包含受托方在开展稳评过程中所发生的人工费、资料购置费、差旅费、文印费、通讯费等。</w:t>
            </w:r>
          </w:p>
        </w:tc>
      </w:tr>
    </w:tbl>
    <w:p w14:paraId="36B12837">
      <w:pPr>
        <w:pStyle w:val="44"/>
        <w:bidi w:val="0"/>
        <w:ind w:left="0" w:leftChars="0" w:firstLine="0" w:firstLineChars="0"/>
        <w:rPr>
          <w:rFonts w:hint="eastAsia" w:ascii="黑体" w:hAnsi="Times New Roman" w:eastAsia="黑体" w:cs="黑体"/>
          <w:sz w:val="21"/>
        </w:rPr>
      </w:pPr>
      <w:r>
        <w:rPr>
          <w:rFonts w:hint="eastAsia" w:ascii="黑体" w:hAnsi="Times New Roman" w:eastAsia="黑体" w:cs="黑体"/>
          <w:sz w:val="21"/>
        </w:rPr>
        <w:t>B.</w:t>
      </w:r>
      <w:r>
        <w:rPr>
          <w:rFonts w:hint="eastAsia" w:ascii="黑体" w:eastAsia="黑体" w:cs="黑体"/>
          <w:sz w:val="21"/>
          <w:lang w:val="en-US" w:eastAsia="zh-CN"/>
        </w:rPr>
        <w:t>2</w:t>
      </w:r>
      <w:r>
        <w:rPr>
          <w:rFonts w:hint="eastAsia" w:ascii="黑体" w:hAnsi="Times New Roman" w:eastAsia="黑体" w:cs="黑体"/>
          <w:sz w:val="21"/>
        </w:rPr>
        <w:t>　社会稳定风险评估收费调整参考系数</w:t>
      </w:r>
    </w:p>
    <w:p w14:paraId="4F361AE4">
      <w:pPr>
        <w:pStyle w:val="44"/>
        <w:bidi w:val="0"/>
        <w:rPr>
          <w:rFonts w:ascii="宋体" w:hAnsi="宋体" w:eastAsia="宋体"/>
          <w:b/>
          <w:bCs/>
          <w:color w:val="000000" w:themeColor="text1"/>
          <w:kern w:val="44"/>
          <w:sz w:val="28"/>
          <w:szCs w:val="28"/>
          <w14:textFill>
            <w14:solidFill>
              <w14:schemeClr w14:val="tx1"/>
            </w14:solidFill>
          </w14:textFill>
        </w:rPr>
      </w:pPr>
      <w:r>
        <w:rPr>
          <w:rFonts w:hint="eastAsia"/>
        </w:rPr>
        <w:t>依据决策事项社会稳定风险的社会影响程度、涉及地域范围大小、风险调查和风险识别的难易程度、服务周期长短和工作进度、工作条件和工作边界的复杂程度、工作方式方法创新性等进行综合评判系数，取值区间为0.8~2。其中，土地征收评估费用的调整系数取值不高于</w:t>
      </w:r>
      <w:r>
        <w:t>1.</w:t>
      </w:r>
      <w:r>
        <w:rPr>
          <w:rFonts w:hint="eastAsia"/>
        </w:rPr>
        <w:t>3，房屋征收评估费用的调整系数取值不高于</w:t>
      </w:r>
      <w:r>
        <w:t>1.</w:t>
      </w:r>
      <w:r>
        <w:rPr>
          <w:rFonts w:hint="eastAsia"/>
        </w:rPr>
        <w:t>4，环境敏感类建设项目评估费用的调整系数取值不高于</w:t>
      </w:r>
      <w:r>
        <w:t>1.</w:t>
      </w:r>
      <w:r>
        <w:rPr>
          <w:rFonts w:hint="eastAsia"/>
        </w:rPr>
        <w:t>6，当地类似项目已发生集体信访或群体性事件的决策事项评估费用的调整系数取值为不高于</w:t>
      </w:r>
      <w:r>
        <w:t>2</w:t>
      </w:r>
      <w:r>
        <w:rPr>
          <w:lang w:val="en"/>
        </w:rPr>
        <w:t>；近三年内承接的重大决策社会稳定风险评估事项被中国应急管理学会社会稳定风险评估与治理工作委员会评为优秀案例的，调整系数</w:t>
      </w:r>
      <w:r>
        <w:rPr>
          <w:rFonts w:hint="eastAsia"/>
          <w:lang w:val="en"/>
        </w:rPr>
        <w:t>不高于</w:t>
      </w:r>
      <w:r>
        <w:rPr>
          <w:lang w:val="en"/>
        </w:rPr>
        <w:t>1.6</w:t>
      </w:r>
      <w:r>
        <w:rPr>
          <w:rFonts w:hint="eastAsia"/>
          <w:lang w:val="en"/>
        </w:rPr>
        <w:t>，被省委政法委评为优秀案例的，调整系数取值不高于</w:t>
      </w:r>
      <w:r>
        <w:rPr>
          <w:rFonts w:hint="eastAsia"/>
        </w:rPr>
        <w:t>1.4，被设区市委政法委评为优秀案例或者稳评工作被设区市级以上党委政法委表彰奖励的，以及被省级以上媒体宣传报道的，调整系数取值</w:t>
      </w:r>
      <w:r>
        <w:rPr>
          <w:rFonts w:hint="eastAsia"/>
          <w:lang w:val="en"/>
        </w:rPr>
        <w:t>不高于</w:t>
      </w:r>
      <w:r>
        <w:rPr>
          <w:rFonts w:hint="eastAsia"/>
        </w:rPr>
        <w:t>1.2。</w:t>
      </w:r>
      <w:r>
        <w:rPr>
          <w:rFonts w:ascii="宋体" w:hAnsi="宋体" w:eastAsia="宋体"/>
          <w:color w:val="000000" w:themeColor="text1"/>
          <w:sz w:val="28"/>
          <w:szCs w:val="28"/>
          <w14:textFill>
            <w14:solidFill>
              <w14:schemeClr w14:val="tx1"/>
            </w14:solidFill>
          </w14:textFill>
        </w:rPr>
        <w:br w:type="page"/>
      </w:r>
    </w:p>
    <w:p w14:paraId="11255BC7">
      <w:pPr>
        <w:pStyle w:val="107"/>
        <w:bidi w:val="0"/>
        <w:ind w:left="0" w:leftChars="0" w:firstLine="0" w:firstLineChars="0"/>
        <w:rPr>
          <w:rFonts w:hint="eastAsia"/>
          <w:lang w:eastAsia="zh-CN"/>
        </w:rPr>
      </w:pPr>
      <w:r>
        <w:rPr>
          <w:rFonts w:hint="eastAsia"/>
          <w:lang w:eastAsia="zh-CN"/>
        </w:rPr>
        <w:br w:type="textWrapping"/>
      </w:r>
      <w:r>
        <w:rPr>
          <w:rFonts w:hint="eastAsia"/>
          <w:lang w:eastAsia="zh-CN"/>
        </w:rPr>
        <w:t>（</w:t>
      </w:r>
      <w:r>
        <w:rPr>
          <w:rFonts w:hint="eastAsia"/>
          <w:lang w:val="en-US" w:eastAsia="zh-CN"/>
        </w:rPr>
        <w:t>规范性</w:t>
      </w:r>
      <w:r>
        <w:rPr>
          <w:rFonts w:hint="eastAsia"/>
          <w:lang w:eastAsia="zh-CN"/>
        </w:rPr>
        <w:t>）</w:t>
      </w:r>
      <w:r>
        <w:rPr>
          <w:rFonts w:hint="eastAsia"/>
          <w:lang w:eastAsia="zh-CN"/>
        </w:rPr>
        <w:br w:type="textWrapping"/>
      </w:r>
      <w:r>
        <w:rPr>
          <w:rFonts w:hint="eastAsia"/>
          <w:lang w:eastAsia="zh-CN"/>
        </w:rPr>
        <w:t>风险调查范围和抽样标准</w:t>
      </w:r>
    </w:p>
    <w:p w14:paraId="2679DE16">
      <w:pPr>
        <w:pStyle w:val="44"/>
        <w:bidi w:val="0"/>
      </w:pPr>
      <w:r>
        <w:rPr>
          <w:rFonts w:hint="eastAsia"/>
        </w:rPr>
        <w:t>社会稳定风险调查应获取各类利益相关者的意见，具备广泛性和代表性。表C</w:t>
      </w:r>
      <w:r>
        <w:rPr>
          <w:rFonts w:hint="eastAsia"/>
          <w:lang w:val="en-US" w:eastAsia="zh-CN"/>
        </w:rPr>
        <w:t>.</w:t>
      </w:r>
      <w:r>
        <w:t>1</w:t>
      </w:r>
      <w:r>
        <w:rPr>
          <w:rFonts w:hint="eastAsia"/>
        </w:rPr>
        <w:t>、表C</w:t>
      </w:r>
      <w:r>
        <w:rPr>
          <w:rFonts w:hint="eastAsia"/>
          <w:lang w:val="en-US" w:eastAsia="zh-CN"/>
        </w:rPr>
        <w:t>.</w:t>
      </w:r>
      <w:r>
        <w:rPr>
          <w:rFonts w:hint="eastAsia"/>
        </w:rPr>
        <w:t>2、表C</w:t>
      </w:r>
      <w:r>
        <w:rPr>
          <w:rFonts w:hint="eastAsia"/>
          <w:lang w:val="en-US" w:eastAsia="zh-CN"/>
        </w:rPr>
        <w:t>.</w:t>
      </w:r>
      <w:r>
        <w:rPr>
          <w:rFonts w:hint="eastAsia"/>
        </w:rPr>
        <w:t>3、表C</w:t>
      </w:r>
      <w:r>
        <w:rPr>
          <w:rFonts w:hint="eastAsia"/>
          <w:lang w:val="en-US" w:eastAsia="zh-CN"/>
        </w:rPr>
        <w:t>.</w:t>
      </w:r>
      <w:r>
        <w:rPr>
          <w:rFonts w:hint="eastAsia"/>
        </w:rPr>
        <w:t>4分别给出了各类型的风险调查范围和抽样标准对照表。</w:t>
      </w:r>
    </w:p>
    <w:p w14:paraId="33A50657">
      <w:pPr>
        <w:pStyle w:val="132"/>
        <w:numPr>
          <w:ilvl w:val="0"/>
          <w:numId w:val="0"/>
        </w:numPr>
        <w:bidi w:val="0"/>
        <w:ind w:left="0" w:leftChars="0" w:firstLine="0" w:firstLineChars="0"/>
      </w:pPr>
      <w:r>
        <w:rPr>
          <w:rFonts w:hint="eastAsia" w:ascii="黑体" w:hAnsi="黑体" w:eastAsia="黑体" w:cs="黑体"/>
          <w:sz w:val="21"/>
          <w:vertAlign w:val="baseline"/>
        </w:rPr>
        <w:t>表</w:t>
      </w:r>
      <w:r>
        <w:rPr>
          <w:rFonts w:hint="eastAsia" w:cs="黑体"/>
          <w:sz w:val="21"/>
          <w:vertAlign w:val="baseline"/>
          <w:lang w:val="en-US" w:eastAsia="zh-CN"/>
        </w:rPr>
        <w:t>C.</w:t>
      </w:r>
      <w:r>
        <w:rPr>
          <w:rFonts w:hint="eastAsia" w:ascii="黑体" w:hAnsi="黑体" w:eastAsia="黑体" w:cs="黑体"/>
          <w:sz w:val="21"/>
          <w:vertAlign w:val="baseline"/>
        </w:rPr>
        <w:t xml:space="preserve">1  </w:t>
      </w:r>
      <w:r>
        <w:rPr>
          <w:rFonts w:hint="eastAsia"/>
        </w:rPr>
        <w:t>重大政策制定或调整类决策事项调查范围和抽样标准</w:t>
      </w:r>
    </w:p>
    <w:tbl>
      <w:tblPr>
        <w:tblStyle w:val="26"/>
        <w:tblW w:w="899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794"/>
        <w:gridCol w:w="5200"/>
      </w:tblGrid>
      <w:tr w14:paraId="2E069E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94" w:type="dxa"/>
          </w:tcPr>
          <w:p w14:paraId="6581A343">
            <w:pPr>
              <w:pStyle w:val="36"/>
              <w:jc w:val="center"/>
              <w:rPr>
                <w:b/>
                <w:color w:val="000000" w:themeColor="text1"/>
                <w:sz w:val="18"/>
                <w:szCs w:val="18"/>
                <w14:textFill>
                  <w14:solidFill>
                    <w14:schemeClr w14:val="tx1"/>
                  </w14:solidFill>
                </w14:textFill>
              </w:rPr>
            </w:pPr>
            <w:r>
              <w:rPr>
                <w:rFonts w:hint="eastAsia"/>
                <w:b/>
                <w:color w:val="000000" w:themeColor="text1"/>
                <w:sz w:val="18"/>
                <w:szCs w:val="18"/>
                <w14:textFill>
                  <w14:solidFill>
                    <w14:schemeClr w14:val="tx1"/>
                  </w14:solidFill>
                </w14:textFill>
              </w:rPr>
              <w:t>调查范围</w:t>
            </w:r>
          </w:p>
        </w:tc>
        <w:tc>
          <w:tcPr>
            <w:tcW w:w="5200" w:type="dxa"/>
          </w:tcPr>
          <w:p w14:paraId="58026875">
            <w:pPr>
              <w:pStyle w:val="36"/>
              <w:jc w:val="center"/>
              <w:rPr>
                <w:b/>
                <w:color w:val="000000" w:themeColor="text1"/>
                <w:sz w:val="18"/>
                <w:szCs w:val="18"/>
                <w14:textFill>
                  <w14:solidFill>
                    <w14:schemeClr w14:val="tx1"/>
                  </w14:solidFill>
                </w14:textFill>
              </w:rPr>
            </w:pPr>
            <w:r>
              <w:rPr>
                <w:rFonts w:hint="eastAsia"/>
                <w:b/>
                <w:color w:val="000000" w:themeColor="text1"/>
                <w:sz w:val="18"/>
                <w:szCs w:val="18"/>
                <w14:textFill>
                  <w14:solidFill>
                    <w14:schemeClr w14:val="tx1"/>
                  </w14:solidFill>
                </w14:textFill>
              </w:rPr>
              <w:t>抽样标准</w:t>
            </w:r>
          </w:p>
        </w:tc>
      </w:tr>
      <w:tr w14:paraId="45FC8E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94" w:type="dxa"/>
            <w:vAlign w:val="center"/>
          </w:tcPr>
          <w:p w14:paraId="576C8BB4">
            <w:pPr>
              <w:pStyle w:val="44"/>
              <w:bidi w:val="0"/>
              <w:ind w:left="0" w:leftChars="0" w:firstLine="0" w:firstLineChars="0"/>
              <w:rPr>
                <w:sz w:val="18"/>
                <w:szCs w:val="18"/>
              </w:rPr>
            </w:pPr>
            <w:r>
              <w:rPr>
                <w:rFonts w:hint="eastAsia"/>
                <w:sz w:val="18"/>
                <w:szCs w:val="18"/>
                <w:lang w:val="en-US" w:eastAsia="zh-CN"/>
              </w:rPr>
              <w:t>1.</w:t>
            </w:r>
            <w:r>
              <w:rPr>
                <w:sz w:val="18"/>
                <w:szCs w:val="18"/>
              </w:rPr>
              <w:t>决策事项涉及</w:t>
            </w:r>
            <w:r>
              <w:rPr>
                <w:rFonts w:hint="eastAsia"/>
                <w:sz w:val="18"/>
                <w:szCs w:val="18"/>
              </w:rPr>
              <w:t>全省、</w:t>
            </w:r>
            <w:r>
              <w:rPr>
                <w:sz w:val="18"/>
                <w:szCs w:val="18"/>
              </w:rPr>
              <w:t>全市、全</w:t>
            </w:r>
            <w:r>
              <w:rPr>
                <w:rFonts w:hint="eastAsia"/>
                <w:sz w:val="18"/>
                <w:szCs w:val="18"/>
              </w:rPr>
              <w:t>县（</w:t>
            </w:r>
            <w:r>
              <w:rPr>
                <w:sz w:val="18"/>
                <w:szCs w:val="18"/>
              </w:rPr>
              <w:t>区</w:t>
            </w:r>
            <w:r>
              <w:rPr>
                <w:rFonts w:hint="eastAsia"/>
                <w:sz w:val="18"/>
                <w:szCs w:val="18"/>
              </w:rPr>
              <w:t>）</w:t>
            </w:r>
            <w:r>
              <w:rPr>
                <w:sz w:val="18"/>
                <w:szCs w:val="18"/>
              </w:rPr>
              <w:t>、全镇（街道）范围，风险调查范围应对应覆盖</w:t>
            </w:r>
            <w:r>
              <w:rPr>
                <w:rFonts w:hint="eastAsia"/>
                <w:sz w:val="18"/>
                <w:szCs w:val="18"/>
              </w:rPr>
              <w:t>全省、</w:t>
            </w:r>
            <w:r>
              <w:rPr>
                <w:sz w:val="18"/>
                <w:szCs w:val="18"/>
              </w:rPr>
              <w:t>全市、</w:t>
            </w:r>
            <w:r>
              <w:rPr>
                <w:rFonts w:hint="eastAsia"/>
                <w:sz w:val="18"/>
                <w:szCs w:val="18"/>
              </w:rPr>
              <w:t>全县（</w:t>
            </w:r>
            <w:r>
              <w:rPr>
                <w:sz w:val="18"/>
                <w:szCs w:val="18"/>
              </w:rPr>
              <w:t>区</w:t>
            </w:r>
            <w:r>
              <w:rPr>
                <w:rFonts w:hint="eastAsia"/>
                <w:sz w:val="18"/>
                <w:szCs w:val="18"/>
              </w:rPr>
              <w:t>）</w:t>
            </w:r>
            <w:r>
              <w:rPr>
                <w:sz w:val="18"/>
                <w:szCs w:val="18"/>
              </w:rPr>
              <w:t>、全</w:t>
            </w:r>
            <w:r>
              <w:rPr>
                <w:rFonts w:hint="eastAsia"/>
                <w:sz w:val="18"/>
                <w:szCs w:val="18"/>
              </w:rPr>
              <w:t>乡</w:t>
            </w:r>
            <w:r>
              <w:rPr>
                <w:sz w:val="18"/>
                <w:szCs w:val="18"/>
              </w:rPr>
              <w:t>镇（街道）的居民。</w:t>
            </w:r>
          </w:p>
          <w:p w14:paraId="09766FDF">
            <w:pPr>
              <w:pStyle w:val="44"/>
              <w:bidi w:val="0"/>
              <w:ind w:left="0" w:leftChars="0" w:firstLine="0" w:firstLineChars="0"/>
              <w:rPr>
                <w:sz w:val="18"/>
                <w:szCs w:val="18"/>
              </w:rPr>
            </w:pPr>
            <w:r>
              <w:rPr>
                <w:rFonts w:hint="eastAsia"/>
                <w:sz w:val="18"/>
                <w:szCs w:val="18"/>
                <w:lang w:val="en-US" w:eastAsia="zh-CN"/>
              </w:rPr>
              <w:t>2.</w:t>
            </w:r>
            <w:r>
              <w:rPr>
                <w:sz w:val="18"/>
                <w:szCs w:val="18"/>
              </w:rPr>
              <w:t>遵循概率抽样原则</w:t>
            </w:r>
            <w:r>
              <w:rPr>
                <w:rFonts w:hint="eastAsia"/>
                <w:sz w:val="18"/>
                <w:szCs w:val="18"/>
              </w:rPr>
              <w:t>选择</w:t>
            </w:r>
            <w:r>
              <w:rPr>
                <w:sz w:val="18"/>
                <w:szCs w:val="18"/>
              </w:rPr>
              <w:t>直接利益相关者和间接利益相关者的调查对象。</w:t>
            </w:r>
          </w:p>
          <w:p w14:paraId="25A40CDF">
            <w:pPr>
              <w:pStyle w:val="44"/>
              <w:bidi w:val="0"/>
              <w:ind w:left="0" w:leftChars="0" w:firstLine="0" w:firstLineChars="0"/>
              <w:rPr>
                <w:sz w:val="18"/>
                <w:szCs w:val="18"/>
              </w:rPr>
            </w:pPr>
            <w:r>
              <w:rPr>
                <w:rFonts w:hint="eastAsia"/>
                <w:sz w:val="18"/>
                <w:szCs w:val="18"/>
                <w:lang w:val="en-US" w:eastAsia="zh-CN"/>
              </w:rPr>
              <w:t>3.</w:t>
            </w:r>
            <w:r>
              <w:rPr>
                <w:sz w:val="18"/>
                <w:szCs w:val="18"/>
              </w:rPr>
              <w:t>应通过召开座谈会、听证会等形式征求相</w:t>
            </w:r>
            <w:r>
              <w:rPr>
                <w:rFonts w:hint="eastAsia"/>
                <w:sz w:val="18"/>
                <w:szCs w:val="18"/>
              </w:rPr>
              <w:t>关部门及专家、学者的意见。</w:t>
            </w:r>
          </w:p>
        </w:tc>
        <w:tc>
          <w:tcPr>
            <w:tcW w:w="5200" w:type="dxa"/>
          </w:tcPr>
          <w:p w14:paraId="462CED71">
            <w:pPr>
              <w:pStyle w:val="44"/>
              <w:bidi w:val="0"/>
              <w:ind w:left="0" w:leftChars="0" w:firstLine="0" w:firstLineChars="0"/>
              <w:rPr>
                <w:sz w:val="18"/>
                <w:szCs w:val="18"/>
              </w:rPr>
            </w:pPr>
            <w:r>
              <w:rPr>
                <w:rFonts w:hint="eastAsia"/>
                <w:sz w:val="18"/>
                <w:szCs w:val="18"/>
                <w:lang w:val="en-US" w:eastAsia="zh-CN"/>
              </w:rPr>
              <w:t>1.</w:t>
            </w:r>
            <w:r>
              <w:rPr>
                <w:rFonts w:hint="eastAsia"/>
                <w:sz w:val="18"/>
                <w:szCs w:val="18"/>
              </w:rPr>
              <w:t>省</w:t>
            </w:r>
            <w:r>
              <w:rPr>
                <w:sz w:val="18"/>
                <w:szCs w:val="18"/>
              </w:rPr>
              <w:t>级</w:t>
            </w:r>
            <w:r>
              <w:rPr>
                <w:rFonts w:hint="eastAsia"/>
                <w:sz w:val="18"/>
                <w:szCs w:val="18"/>
              </w:rPr>
              <w:t>、</w:t>
            </w:r>
            <w:r>
              <w:rPr>
                <w:sz w:val="18"/>
                <w:szCs w:val="18"/>
              </w:rPr>
              <w:t>市级</w:t>
            </w:r>
            <w:r>
              <w:rPr>
                <w:rFonts w:hint="eastAsia"/>
                <w:sz w:val="18"/>
                <w:szCs w:val="18"/>
              </w:rPr>
              <w:t>、县（市、区）级、乡镇（街道）级</w:t>
            </w:r>
            <w:r>
              <w:rPr>
                <w:sz w:val="18"/>
                <w:szCs w:val="18"/>
              </w:rPr>
              <w:t>决策事项直接利益群体的</w:t>
            </w:r>
            <w:r>
              <w:rPr>
                <w:rFonts w:hint="eastAsia"/>
                <w:sz w:val="18"/>
                <w:szCs w:val="18"/>
              </w:rPr>
              <w:t>有效</w:t>
            </w:r>
            <w:r>
              <w:rPr>
                <w:sz w:val="18"/>
                <w:szCs w:val="18"/>
              </w:rPr>
              <w:t>问卷调查</w:t>
            </w:r>
            <w:r>
              <w:rPr>
                <w:rFonts w:hint="eastAsia"/>
                <w:sz w:val="18"/>
                <w:szCs w:val="18"/>
              </w:rPr>
              <w:t>分别</w:t>
            </w:r>
            <w:r>
              <w:rPr>
                <w:sz w:val="18"/>
                <w:szCs w:val="18"/>
              </w:rPr>
              <w:t>不应少于</w:t>
            </w:r>
            <w:r>
              <w:rPr>
                <w:rFonts w:hint="eastAsia"/>
                <w:sz w:val="18"/>
                <w:szCs w:val="18"/>
              </w:rPr>
              <w:t>1000</w:t>
            </w:r>
            <w:r>
              <w:rPr>
                <w:sz w:val="18"/>
                <w:szCs w:val="18"/>
              </w:rPr>
              <w:t>份</w:t>
            </w:r>
            <w:r>
              <w:rPr>
                <w:rFonts w:hint="eastAsia"/>
                <w:sz w:val="18"/>
                <w:szCs w:val="18"/>
              </w:rPr>
              <w:t>、</w:t>
            </w:r>
            <w:r>
              <w:rPr>
                <w:sz w:val="18"/>
                <w:szCs w:val="18"/>
              </w:rPr>
              <w:t>500份</w:t>
            </w:r>
            <w:r>
              <w:rPr>
                <w:rFonts w:hint="eastAsia"/>
                <w:sz w:val="18"/>
                <w:szCs w:val="18"/>
              </w:rPr>
              <w:t>、</w:t>
            </w:r>
            <w:r>
              <w:rPr>
                <w:sz w:val="18"/>
                <w:szCs w:val="18"/>
              </w:rPr>
              <w:t>250</w:t>
            </w:r>
            <w:r>
              <w:rPr>
                <w:rFonts w:hint="eastAsia"/>
                <w:sz w:val="18"/>
                <w:szCs w:val="18"/>
              </w:rPr>
              <w:t>份、100</w:t>
            </w:r>
            <w:r>
              <w:rPr>
                <w:sz w:val="18"/>
                <w:szCs w:val="18"/>
              </w:rPr>
              <w:t>份；</w:t>
            </w:r>
          </w:p>
          <w:p w14:paraId="117A4AFD">
            <w:pPr>
              <w:pStyle w:val="44"/>
              <w:bidi w:val="0"/>
              <w:ind w:left="0" w:leftChars="0" w:firstLine="0" w:firstLineChars="0"/>
              <w:rPr>
                <w:sz w:val="18"/>
                <w:szCs w:val="18"/>
              </w:rPr>
            </w:pPr>
            <w:r>
              <w:rPr>
                <w:rFonts w:hint="eastAsia"/>
                <w:sz w:val="18"/>
                <w:szCs w:val="18"/>
                <w:lang w:val="en-US" w:eastAsia="zh-CN"/>
              </w:rPr>
              <w:t>2.</w:t>
            </w:r>
            <w:r>
              <w:rPr>
                <w:rFonts w:hint="eastAsia"/>
                <w:sz w:val="18"/>
                <w:szCs w:val="18"/>
              </w:rPr>
              <w:t>省</w:t>
            </w:r>
            <w:r>
              <w:rPr>
                <w:sz w:val="18"/>
                <w:szCs w:val="18"/>
              </w:rPr>
              <w:t>级</w:t>
            </w:r>
            <w:r>
              <w:rPr>
                <w:rFonts w:hint="eastAsia"/>
                <w:sz w:val="18"/>
                <w:szCs w:val="18"/>
              </w:rPr>
              <w:t>、</w:t>
            </w:r>
            <w:r>
              <w:rPr>
                <w:sz w:val="18"/>
                <w:szCs w:val="18"/>
              </w:rPr>
              <w:t>市级</w:t>
            </w:r>
            <w:r>
              <w:rPr>
                <w:rFonts w:hint="eastAsia"/>
                <w:sz w:val="18"/>
                <w:szCs w:val="18"/>
              </w:rPr>
              <w:t>、县（市、区）级、乡镇（街道）级</w:t>
            </w:r>
            <w:r>
              <w:rPr>
                <w:sz w:val="18"/>
                <w:szCs w:val="18"/>
              </w:rPr>
              <w:t>决策事项</w:t>
            </w:r>
            <w:r>
              <w:rPr>
                <w:rFonts w:hint="eastAsia"/>
                <w:sz w:val="18"/>
                <w:szCs w:val="18"/>
              </w:rPr>
              <w:t>间</w:t>
            </w:r>
            <w:r>
              <w:rPr>
                <w:sz w:val="18"/>
                <w:szCs w:val="18"/>
              </w:rPr>
              <w:t>接利益群体的</w:t>
            </w:r>
            <w:r>
              <w:rPr>
                <w:rFonts w:hint="eastAsia"/>
                <w:sz w:val="18"/>
                <w:szCs w:val="18"/>
              </w:rPr>
              <w:t>有效</w:t>
            </w:r>
            <w:r>
              <w:rPr>
                <w:sz w:val="18"/>
                <w:szCs w:val="18"/>
              </w:rPr>
              <w:t>问卷调查</w:t>
            </w:r>
            <w:r>
              <w:rPr>
                <w:rFonts w:hint="eastAsia"/>
                <w:sz w:val="18"/>
                <w:szCs w:val="18"/>
              </w:rPr>
              <w:t>分别</w:t>
            </w:r>
            <w:r>
              <w:rPr>
                <w:sz w:val="18"/>
                <w:szCs w:val="18"/>
              </w:rPr>
              <w:t>不应少于</w:t>
            </w:r>
            <w:r>
              <w:rPr>
                <w:rFonts w:hint="eastAsia"/>
                <w:sz w:val="18"/>
                <w:szCs w:val="18"/>
              </w:rPr>
              <w:t>300</w:t>
            </w:r>
            <w:r>
              <w:rPr>
                <w:sz w:val="18"/>
                <w:szCs w:val="18"/>
              </w:rPr>
              <w:t>份</w:t>
            </w:r>
            <w:r>
              <w:rPr>
                <w:rFonts w:hint="eastAsia"/>
                <w:sz w:val="18"/>
                <w:szCs w:val="18"/>
              </w:rPr>
              <w:t>、2</w:t>
            </w:r>
            <w:r>
              <w:rPr>
                <w:sz w:val="18"/>
                <w:szCs w:val="18"/>
              </w:rPr>
              <w:t>00份</w:t>
            </w:r>
            <w:r>
              <w:rPr>
                <w:rFonts w:hint="eastAsia"/>
                <w:sz w:val="18"/>
                <w:szCs w:val="18"/>
              </w:rPr>
              <w:t>、10</w:t>
            </w:r>
            <w:r>
              <w:rPr>
                <w:sz w:val="18"/>
                <w:szCs w:val="18"/>
              </w:rPr>
              <w:t>0份</w:t>
            </w:r>
            <w:r>
              <w:rPr>
                <w:rFonts w:hint="eastAsia"/>
                <w:sz w:val="18"/>
                <w:szCs w:val="18"/>
              </w:rPr>
              <w:t>、50份</w:t>
            </w:r>
            <w:r>
              <w:rPr>
                <w:sz w:val="18"/>
                <w:szCs w:val="18"/>
              </w:rPr>
              <w:t>；</w:t>
            </w:r>
          </w:p>
          <w:p w14:paraId="5448A422">
            <w:pPr>
              <w:pStyle w:val="44"/>
              <w:bidi w:val="0"/>
              <w:ind w:left="0" w:leftChars="0" w:firstLine="0" w:firstLineChars="0"/>
              <w:rPr>
                <w:sz w:val="18"/>
                <w:szCs w:val="18"/>
              </w:rPr>
            </w:pPr>
            <w:r>
              <w:rPr>
                <w:rFonts w:hint="eastAsia"/>
                <w:sz w:val="18"/>
                <w:szCs w:val="18"/>
                <w:lang w:val="en-US" w:eastAsia="zh-CN"/>
              </w:rPr>
              <w:t>3.</w:t>
            </w:r>
            <w:r>
              <w:rPr>
                <w:sz w:val="18"/>
                <w:szCs w:val="18"/>
              </w:rPr>
              <w:t>适当兼顾历史遗留问题，重点关注低收入、弱势等相关特殊群体；</w:t>
            </w:r>
          </w:p>
          <w:p w14:paraId="735909FD">
            <w:pPr>
              <w:pStyle w:val="44"/>
              <w:bidi w:val="0"/>
              <w:ind w:left="0" w:leftChars="0" w:firstLine="0" w:firstLineChars="0"/>
              <w:rPr>
                <w:sz w:val="18"/>
                <w:szCs w:val="18"/>
              </w:rPr>
            </w:pPr>
            <w:r>
              <w:rPr>
                <w:rFonts w:hint="eastAsia"/>
                <w:sz w:val="18"/>
                <w:szCs w:val="18"/>
                <w:lang w:val="en-US" w:eastAsia="zh-CN"/>
              </w:rPr>
              <w:t>4.</w:t>
            </w:r>
            <w:r>
              <w:rPr>
                <w:rFonts w:hint="eastAsia"/>
                <w:sz w:val="18"/>
                <w:szCs w:val="18"/>
              </w:rPr>
              <w:t>对决策事项敏感、影响较大的，有效问卷调查样本量应超过上述最低标准20%以上</w:t>
            </w:r>
            <w:r>
              <w:rPr>
                <w:sz w:val="18"/>
                <w:szCs w:val="18"/>
              </w:rPr>
              <w:t>。</w:t>
            </w:r>
          </w:p>
        </w:tc>
      </w:tr>
      <w:tr w14:paraId="3DE78B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trPr>
        <w:tc>
          <w:tcPr>
            <w:tcW w:w="8994" w:type="dxa"/>
            <w:gridSpan w:val="2"/>
            <w:vAlign w:val="center"/>
          </w:tcPr>
          <w:p w14:paraId="014519EF">
            <w:pP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注：</w:t>
            </w:r>
            <w:r>
              <w:rPr>
                <w:color w:val="000000" w:themeColor="text1"/>
                <w:sz w:val="18"/>
                <w:szCs w:val="18"/>
                <w14:textFill>
                  <w14:solidFill>
                    <w14:schemeClr w14:val="tx1"/>
                  </w14:solidFill>
                </w14:textFill>
              </w:rPr>
              <w:t xml:space="preserve"> </w:t>
            </w:r>
            <w:r>
              <w:rPr>
                <w:rFonts w:hint="eastAsia"/>
                <w:color w:val="000000" w:themeColor="text1"/>
                <w:sz w:val="18"/>
                <w:szCs w:val="18"/>
                <w14:textFill>
                  <w14:solidFill>
                    <w14:schemeClr w14:val="tx1"/>
                  </w14:solidFill>
                </w14:textFill>
              </w:rPr>
              <w:t>调查对象应在年龄、性别、政治面貌、职业、收入等方面具有代表性。</w:t>
            </w:r>
          </w:p>
        </w:tc>
      </w:tr>
    </w:tbl>
    <w:p w14:paraId="4AC9CE50">
      <w:pPr>
        <w:ind w:firstLine="540"/>
        <w:jc w:val="center"/>
        <w:rPr>
          <w:rFonts w:ascii="宋体" w:hAnsi="宋体" w:eastAsia="宋体"/>
          <w:b/>
          <w:color w:val="000000" w:themeColor="text1"/>
          <w:sz w:val="28"/>
          <w:szCs w:val="28"/>
          <w14:textFill>
            <w14:solidFill>
              <w14:schemeClr w14:val="tx1"/>
            </w14:solidFill>
          </w14:textFill>
        </w:rPr>
      </w:pPr>
      <w:r>
        <w:rPr>
          <w:rFonts w:hint="eastAsia" w:ascii="黑体" w:hAnsi="黑体" w:eastAsia="黑体" w:cs="黑体"/>
          <w:kern w:val="0"/>
          <w:sz w:val="21"/>
          <w:szCs w:val="20"/>
          <w:lang w:val="en-US" w:eastAsia="zh-CN"/>
        </w:rPr>
        <w:t>表</w:t>
      </w:r>
      <w:r>
        <w:rPr>
          <w:rFonts w:hint="eastAsia" w:ascii="黑体" w:hAnsi="黑体" w:eastAsia="黑体" w:cs="黑体"/>
          <w:kern w:val="0"/>
          <w:sz w:val="21"/>
          <w:szCs w:val="20"/>
        </w:rPr>
        <w:t>C</w:t>
      </w:r>
      <w:r>
        <w:rPr>
          <w:rFonts w:hint="eastAsia" w:ascii="黑体" w:hAnsi="黑体" w:eastAsia="黑体" w:cs="黑体"/>
          <w:kern w:val="0"/>
          <w:sz w:val="21"/>
          <w:szCs w:val="20"/>
          <w:lang w:val="en-US" w:eastAsia="zh-CN"/>
        </w:rPr>
        <w:t>.</w:t>
      </w:r>
      <w:r>
        <w:rPr>
          <w:rFonts w:hint="eastAsia" w:ascii="黑体" w:hAnsi="黑体" w:eastAsia="黑体" w:cs="黑体"/>
          <w:kern w:val="0"/>
          <w:sz w:val="21"/>
          <w:szCs w:val="20"/>
        </w:rPr>
        <w:t>2  重大改革改制举措出台类决策事项调查范围和抽样标准</w:t>
      </w:r>
    </w:p>
    <w:tbl>
      <w:tblPr>
        <w:tblStyle w:val="26"/>
        <w:tblW w:w="899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790"/>
        <w:gridCol w:w="5204"/>
      </w:tblGrid>
      <w:tr w14:paraId="75F5F8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90" w:type="dxa"/>
          </w:tcPr>
          <w:p w14:paraId="33F40EA6">
            <w:pPr>
              <w:pStyle w:val="36"/>
              <w:jc w:val="center"/>
              <w:rPr>
                <w:b/>
                <w:color w:val="000000" w:themeColor="text1"/>
                <w:sz w:val="18"/>
                <w:szCs w:val="18"/>
                <w14:textFill>
                  <w14:solidFill>
                    <w14:schemeClr w14:val="tx1"/>
                  </w14:solidFill>
                </w14:textFill>
              </w:rPr>
            </w:pPr>
            <w:r>
              <w:rPr>
                <w:rFonts w:hint="eastAsia"/>
                <w:b/>
                <w:color w:val="000000" w:themeColor="text1"/>
                <w:sz w:val="18"/>
                <w:szCs w:val="18"/>
                <w14:textFill>
                  <w14:solidFill>
                    <w14:schemeClr w14:val="tx1"/>
                  </w14:solidFill>
                </w14:textFill>
              </w:rPr>
              <w:t>调查范围</w:t>
            </w:r>
          </w:p>
        </w:tc>
        <w:tc>
          <w:tcPr>
            <w:tcW w:w="5204" w:type="dxa"/>
          </w:tcPr>
          <w:p w14:paraId="2B064813">
            <w:pPr>
              <w:pStyle w:val="36"/>
              <w:jc w:val="center"/>
              <w:rPr>
                <w:b/>
                <w:color w:val="000000" w:themeColor="text1"/>
                <w:sz w:val="18"/>
                <w:szCs w:val="18"/>
                <w14:textFill>
                  <w14:solidFill>
                    <w14:schemeClr w14:val="tx1"/>
                  </w14:solidFill>
                </w14:textFill>
              </w:rPr>
            </w:pPr>
            <w:r>
              <w:rPr>
                <w:rFonts w:hint="eastAsia"/>
                <w:b/>
                <w:color w:val="000000" w:themeColor="text1"/>
                <w:sz w:val="18"/>
                <w:szCs w:val="18"/>
                <w14:textFill>
                  <w14:solidFill>
                    <w14:schemeClr w14:val="tx1"/>
                  </w14:solidFill>
                </w14:textFill>
              </w:rPr>
              <w:t>抽样标准</w:t>
            </w:r>
          </w:p>
        </w:tc>
      </w:tr>
      <w:tr w14:paraId="20B7F6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90" w:type="dxa"/>
            <w:vAlign w:val="center"/>
          </w:tcPr>
          <w:p w14:paraId="6F3CEDA0">
            <w:pPr>
              <w:rPr>
                <w:color w:val="000000" w:themeColor="text1"/>
                <w:sz w:val="18"/>
                <w:szCs w:val="18"/>
                <w14:textFill>
                  <w14:solidFill>
                    <w14:schemeClr w14:val="tx1"/>
                  </w14:solidFill>
                </w14:textFill>
              </w:rPr>
            </w:pPr>
            <w:r>
              <w:rPr>
                <w:rFonts w:hint="eastAsia"/>
                <w:color w:val="000000" w:themeColor="text1"/>
                <w:sz w:val="18"/>
                <w:szCs w:val="18"/>
                <w:lang w:val="en-US" w:eastAsia="zh-CN"/>
                <w14:textFill>
                  <w14:solidFill>
                    <w14:schemeClr w14:val="tx1"/>
                  </w14:solidFill>
                </w14:textFill>
              </w:rPr>
              <w:t>1.</w:t>
            </w:r>
            <w:r>
              <w:rPr>
                <w:rFonts w:hint="eastAsia"/>
                <w:color w:val="000000" w:themeColor="text1"/>
                <w:sz w:val="18"/>
                <w:szCs w:val="18"/>
                <w14:textFill>
                  <w14:solidFill>
                    <w14:schemeClr w14:val="tx1"/>
                  </w14:solidFill>
                </w14:textFill>
              </w:rPr>
              <w:t>涉改革改制事业单位、国有企业的全体管理人员和职工，包括在职人员和离退休人员。</w:t>
            </w:r>
          </w:p>
          <w:p w14:paraId="208225E7">
            <w:pP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2.涉改革改制事业单位、国有企业的债权人、债务人，供应商、服务商、承包商等商业伙伴与业务合作伙伴，劳务派遣用工人员、临时用工人员等</w:t>
            </w:r>
            <w:r>
              <w:rPr>
                <w:color w:val="000000" w:themeColor="text1"/>
                <w:sz w:val="18"/>
                <w:szCs w:val="18"/>
                <w14:textFill>
                  <w14:solidFill>
                    <w14:schemeClr w14:val="tx1"/>
                  </w14:solidFill>
                </w14:textFill>
              </w:rPr>
              <w:t>。</w:t>
            </w:r>
          </w:p>
          <w:p w14:paraId="2F33B779">
            <w:pP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w:t>
            </w:r>
            <w:r>
              <w:rPr>
                <w:color w:val="000000" w:themeColor="text1"/>
                <w:sz w:val="18"/>
                <w:szCs w:val="18"/>
                <w14:textFill>
                  <w14:solidFill>
                    <w14:schemeClr w14:val="tx1"/>
                  </w14:solidFill>
                </w14:textFill>
              </w:rPr>
              <w:t>.应通过召开座谈会、听证会等形式征求相</w:t>
            </w:r>
            <w:r>
              <w:rPr>
                <w:rFonts w:hint="eastAsia"/>
                <w:color w:val="000000" w:themeColor="text1"/>
                <w:sz w:val="18"/>
                <w:szCs w:val="18"/>
                <w14:textFill>
                  <w14:solidFill>
                    <w14:schemeClr w14:val="tx1"/>
                  </w14:solidFill>
                </w14:textFill>
              </w:rPr>
              <w:t>关部门及专家、学者的意见。</w:t>
            </w:r>
          </w:p>
        </w:tc>
        <w:tc>
          <w:tcPr>
            <w:tcW w:w="5204" w:type="dxa"/>
          </w:tcPr>
          <w:p w14:paraId="37930CD1">
            <w:pP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直接利益相关者有效问卷调查原则上应全覆盖；涉及人员达到600人的调查人数应达到80%，且不少于500人；涉及人员达到1000人的调查人数应达到60%，且不少于600人；涉及人员超过2000人的调查人数应达到40%，且不少于800人。</w:t>
            </w:r>
          </w:p>
          <w:p w14:paraId="0F94C40B">
            <w:pP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2.间接利益相关者有效问卷调查数应超过</w:t>
            </w:r>
            <w:r>
              <w:rPr>
                <w:color w:val="000000" w:themeColor="text1"/>
                <w:sz w:val="18"/>
                <w:szCs w:val="18"/>
                <w14:textFill>
                  <w14:solidFill>
                    <w14:schemeClr w14:val="tx1"/>
                  </w14:solidFill>
                </w14:textFill>
              </w:rPr>
              <w:t>1/3</w:t>
            </w:r>
            <w:r>
              <w:rPr>
                <w:rFonts w:hint="eastAsia"/>
                <w:color w:val="000000" w:themeColor="text1"/>
                <w:sz w:val="18"/>
                <w:szCs w:val="18"/>
                <w14:textFill>
                  <w14:solidFill>
                    <w14:schemeClr w14:val="tx1"/>
                  </w14:solidFill>
                </w14:textFill>
              </w:rPr>
              <w:t>；</w:t>
            </w:r>
          </w:p>
          <w:p w14:paraId="1C8F0F6D">
            <w:pPr>
              <w:rPr>
                <w:sz w:val="18"/>
                <w:szCs w:val="20"/>
              </w:rPr>
            </w:pPr>
            <w:r>
              <w:rPr>
                <w:rFonts w:hint="eastAsia"/>
                <w:color w:val="000000" w:themeColor="text1"/>
                <w:sz w:val="18"/>
                <w:szCs w:val="18"/>
                <w14:textFill>
                  <w14:solidFill>
                    <w14:schemeClr w14:val="tx1"/>
                  </w14:solidFill>
                </w14:textFill>
              </w:rPr>
              <w:t>3</w:t>
            </w:r>
            <w:r>
              <w:rPr>
                <w:color w:val="000000" w:themeColor="text1"/>
                <w:sz w:val="18"/>
                <w:szCs w:val="18"/>
                <w14:textFill>
                  <w14:solidFill>
                    <w14:schemeClr w14:val="tx1"/>
                  </w14:solidFill>
                </w14:textFill>
              </w:rPr>
              <w:t>.间接利益相关者的调查对象选择应遵循概率抽样原则，样本需</w:t>
            </w:r>
            <w:r>
              <w:rPr>
                <w:rFonts w:hint="eastAsia"/>
                <w:color w:val="000000" w:themeColor="text1"/>
                <w:sz w:val="18"/>
                <w:szCs w:val="18"/>
                <w14:textFill>
                  <w14:solidFill>
                    <w14:schemeClr w14:val="tx1"/>
                  </w14:solidFill>
                </w14:textFill>
              </w:rPr>
              <w:t>覆盖不同类型利益群体，以体现样本的代表性；</w:t>
            </w:r>
          </w:p>
          <w:p w14:paraId="4DE55E1B">
            <w:pP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4.</w:t>
            </w:r>
            <w:r>
              <w:rPr>
                <w:color w:val="000000" w:themeColor="text1"/>
                <w:sz w:val="18"/>
                <w:szCs w:val="18"/>
                <w14:textFill>
                  <w14:solidFill>
                    <w14:schemeClr w14:val="tx1"/>
                  </w14:solidFill>
                </w14:textFill>
              </w:rPr>
              <w:t>适当兼顾历史遗留问题，重点关注低收入、弱势等相关特殊群体</w:t>
            </w:r>
            <w:r>
              <w:rPr>
                <w:rFonts w:hint="eastAsia"/>
                <w:color w:val="000000" w:themeColor="text1"/>
                <w:sz w:val="18"/>
                <w:szCs w:val="18"/>
                <w14:textFill>
                  <w14:solidFill>
                    <w14:schemeClr w14:val="tx1"/>
                  </w14:solidFill>
                </w14:textFill>
              </w:rPr>
              <w:t>，</w:t>
            </w:r>
            <w:r>
              <w:rPr>
                <w:color w:val="000000" w:themeColor="text1"/>
                <w:sz w:val="18"/>
                <w:szCs w:val="18"/>
                <w14:textFill>
                  <w14:solidFill>
                    <w14:schemeClr w14:val="tx1"/>
                  </w14:solidFill>
                </w14:textFill>
              </w:rPr>
              <w:t>调查样本</w:t>
            </w:r>
            <w:r>
              <w:rPr>
                <w:rFonts w:hint="eastAsia"/>
                <w:color w:val="000000" w:themeColor="text1"/>
                <w:sz w:val="18"/>
                <w:szCs w:val="18"/>
                <w14:textFill>
                  <w14:solidFill>
                    <w14:schemeClr w14:val="tx1"/>
                  </w14:solidFill>
                </w14:textFill>
              </w:rPr>
              <w:t>原则上需要达到特殊群体60%以上</w:t>
            </w:r>
            <w:r>
              <w:rPr>
                <w:color w:val="000000" w:themeColor="text1"/>
                <w:sz w:val="18"/>
                <w:szCs w:val="18"/>
                <w14:textFill>
                  <w14:solidFill>
                    <w14:schemeClr w14:val="tx1"/>
                  </w14:solidFill>
                </w14:textFill>
              </w:rPr>
              <w:t>；</w:t>
            </w:r>
          </w:p>
          <w:p w14:paraId="3FE9E419">
            <w:pP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5</w:t>
            </w:r>
            <w:r>
              <w:rPr>
                <w:color w:val="000000" w:themeColor="text1"/>
                <w:sz w:val="18"/>
                <w:szCs w:val="18"/>
                <w14:textFill>
                  <w14:solidFill>
                    <w14:schemeClr w14:val="tx1"/>
                  </w14:solidFill>
                </w14:textFill>
              </w:rPr>
              <w:t>.以上</w:t>
            </w:r>
            <w:r>
              <w:rPr>
                <w:rFonts w:hint="eastAsia"/>
                <w:color w:val="000000" w:themeColor="text1"/>
                <w:sz w:val="18"/>
                <w:szCs w:val="18"/>
                <w14:textFill>
                  <w14:solidFill>
                    <w14:schemeClr w14:val="tx1"/>
                  </w14:solidFill>
                </w14:textFill>
              </w:rPr>
              <w:t>第2、3、4</w:t>
            </w:r>
            <w:r>
              <w:rPr>
                <w:color w:val="000000" w:themeColor="text1"/>
                <w:sz w:val="18"/>
                <w:szCs w:val="18"/>
                <w14:textFill>
                  <w14:solidFill>
                    <w14:schemeClr w14:val="tx1"/>
                  </w14:solidFill>
                </w14:textFill>
              </w:rPr>
              <w:t>条调查比例标准可</w:t>
            </w:r>
            <w:r>
              <w:rPr>
                <w:rFonts w:hint="eastAsia"/>
                <w:color w:val="000000" w:themeColor="text1"/>
                <w:sz w:val="18"/>
                <w:szCs w:val="18"/>
                <w14:textFill>
                  <w14:solidFill>
                    <w14:schemeClr w14:val="tx1"/>
                  </w14:solidFill>
                </w14:textFill>
              </w:rPr>
              <w:t>根据</w:t>
            </w:r>
            <w:r>
              <w:rPr>
                <w:color w:val="000000" w:themeColor="text1"/>
                <w:sz w:val="18"/>
                <w:szCs w:val="18"/>
                <w14:textFill>
                  <w14:solidFill>
                    <w14:schemeClr w14:val="tx1"/>
                  </w14:solidFill>
                </w14:textFill>
              </w:rPr>
              <w:t>实际受影响范围的变化而作相应</w:t>
            </w:r>
            <w:r>
              <w:rPr>
                <w:rFonts w:hint="eastAsia"/>
                <w:color w:val="000000" w:themeColor="text1"/>
                <w:sz w:val="18"/>
                <w:szCs w:val="18"/>
                <w14:textFill>
                  <w14:solidFill>
                    <w14:schemeClr w14:val="tx1"/>
                  </w14:solidFill>
                </w14:textFill>
              </w:rPr>
              <w:t>调整。</w:t>
            </w:r>
          </w:p>
        </w:tc>
      </w:tr>
      <w:tr w14:paraId="7BEBFB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trPr>
        <w:tc>
          <w:tcPr>
            <w:tcW w:w="8994" w:type="dxa"/>
            <w:gridSpan w:val="2"/>
            <w:vAlign w:val="center"/>
          </w:tcPr>
          <w:p w14:paraId="6DD44CF9">
            <w:pP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注：</w:t>
            </w:r>
            <w:r>
              <w:rPr>
                <w:color w:val="000000" w:themeColor="text1"/>
                <w:sz w:val="18"/>
                <w:szCs w:val="18"/>
                <w14:textFill>
                  <w14:solidFill>
                    <w14:schemeClr w14:val="tx1"/>
                  </w14:solidFill>
                </w14:textFill>
              </w:rPr>
              <w:t xml:space="preserve"> </w:t>
            </w:r>
            <w:r>
              <w:rPr>
                <w:rFonts w:hint="eastAsia"/>
                <w:color w:val="000000" w:themeColor="text1"/>
                <w:sz w:val="18"/>
                <w:szCs w:val="18"/>
                <w14:textFill>
                  <w14:solidFill>
                    <w14:schemeClr w14:val="tx1"/>
                  </w14:solidFill>
                </w14:textFill>
              </w:rPr>
              <w:t>调查对象应在年龄、性别、政治面貌、职业、收入等方面具有代表性。</w:t>
            </w:r>
          </w:p>
        </w:tc>
      </w:tr>
    </w:tbl>
    <w:p w14:paraId="42A1E980">
      <w:pPr>
        <w:ind w:firstLine="540"/>
        <w:jc w:val="center"/>
        <w:rPr>
          <w:rFonts w:hint="eastAsia" w:ascii="黑体" w:hAnsi="黑体" w:eastAsia="黑体" w:cs="黑体"/>
          <w:kern w:val="0"/>
          <w:sz w:val="21"/>
          <w:szCs w:val="20"/>
        </w:rPr>
      </w:pPr>
      <w:r>
        <w:rPr>
          <w:rFonts w:hint="eastAsia" w:ascii="黑体" w:hAnsi="黑体" w:eastAsia="黑体" w:cs="黑体"/>
          <w:kern w:val="0"/>
          <w:sz w:val="21"/>
          <w:szCs w:val="20"/>
        </w:rPr>
        <w:t>表C</w:t>
      </w:r>
      <w:r>
        <w:rPr>
          <w:rFonts w:hint="eastAsia" w:ascii="黑体" w:hAnsi="黑体" w:eastAsia="黑体" w:cs="黑体"/>
          <w:kern w:val="0"/>
          <w:sz w:val="21"/>
          <w:szCs w:val="20"/>
          <w:lang w:val="en-US" w:eastAsia="zh-CN"/>
        </w:rPr>
        <w:t>.3</w:t>
      </w:r>
      <w:r>
        <w:rPr>
          <w:rFonts w:hint="eastAsia" w:ascii="黑体" w:hAnsi="黑体" w:eastAsia="黑体" w:cs="黑体"/>
          <w:kern w:val="0"/>
          <w:sz w:val="21"/>
          <w:szCs w:val="20"/>
        </w:rPr>
        <w:t xml:space="preserve">  重大项目建设类决策事项调查范围和抽样标准</w:t>
      </w:r>
    </w:p>
    <w:tbl>
      <w:tblPr>
        <w:tblStyle w:val="26"/>
        <w:tblW w:w="899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95"/>
        <w:gridCol w:w="3591"/>
        <w:gridCol w:w="4208"/>
      </w:tblGrid>
      <w:tr w14:paraId="0842C6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95" w:type="dxa"/>
          </w:tcPr>
          <w:p w14:paraId="47BE6682">
            <w:pPr>
              <w:pStyle w:val="36"/>
              <w:jc w:val="center"/>
              <w:rPr>
                <w:b/>
                <w:color w:val="000000" w:themeColor="text1"/>
                <w:sz w:val="18"/>
                <w:szCs w:val="18"/>
                <w14:textFill>
                  <w14:solidFill>
                    <w14:schemeClr w14:val="tx1"/>
                  </w14:solidFill>
                </w14:textFill>
              </w:rPr>
            </w:pPr>
            <w:r>
              <w:rPr>
                <w:rFonts w:hint="eastAsia"/>
                <w:b/>
                <w:color w:val="000000" w:themeColor="text1"/>
                <w:sz w:val="18"/>
                <w:szCs w:val="18"/>
                <w14:textFill>
                  <w14:solidFill>
                    <w14:schemeClr w14:val="tx1"/>
                  </w14:solidFill>
                </w14:textFill>
              </w:rPr>
              <w:t>项目类型</w:t>
            </w:r>
          </w:p>
        </w:tc>
        <w:tc>
          <w:tcPr>
            <w:tcW w:w="3591" w:type="dxa"/>
          </w:tcPr>
          <w:p w14:paraId="618E4F27">
            <w:pPr>
              <w:pStyle w:val="36"/>
              <w:jc w:val="center"/>
              <w:rPr>
                <w:b/>
                <w:color w:val="000000" w:themeColor="text1"/>
                <w:sz w:val="18"/>
                <w:szCs w:val="18"/>
                <w14:textFill>
                  <w14:solidFill>
                    <w14:schemeClr w14:val="tx1"/>
                  </w14:solidFill>
                </w14:textFill>
              </w:rPr>
            </w:pPr>
            <w:r>
              <w:rPr>
                <w:rFonts w:hint="eastAsia"/>
                <w:b/>
                <w:color w:val="000000" w:themeColor="text1"/>
                <w:sz w:val="18"/>
                <w:szCs w:val="18"/>
                <w14:textFill>
                  <w14:solidFill>
                    <w14:schemeClr w14:val="tx1"/>
                  </w14:solidFill>
                </w14:textFill>
              </w:rPr>
              <w:t>调查范围</w:t>
            </w:r>
          </w:p>
        </w:tc>
        <w:tc>
          <w:tcPr>
            <w:tcW w:w="4208" w:type="dxa"/>
          </w:tcPr>
          <w:p w14:paraId="503ECB8C">
            <w:pPr>
              <w:pStyle w:val="36"/>
              <w:jc w:val="center"/>
              <w:rPr>
                <w:b/>
                <w:color w:val="000000" w:themeColor="text1"/>
                <w:sz w:val="18"/>
                <w:szCs w:val="18"/>
                <w14:textFill>
                  <w14:solidFill>
                    <w14:schemeClr w14:val="tx1"/>
                  </w14:solidFill>
                </w14:textFill>
              </w:rPr>
            </w:pPr>
            <w:r>
              <w:rPr>
                <w:rFonts w:hint="eastAsia"/>
                <w:b/>
                <w:color w:val="000000" w:themeColor="text1"/>
                <w:sz w:val="18"/>
                <w:szCs w:val="18"/>
                <w14:textFill>
                  <w14:solidFill>
                    <w14:schemeClr w14:val="tx1"/>
                  </w14:solidFill>
                </w14:textFill>
              </w:rPr>
              <w:t>抽样标准</w:t>
            </w:r>
          </w:p>
        </w:tc>
      </w:tr>
      <w:tr w14:paraId="364CCA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95" w:type="dxa"/>
            <w:vAlign w:val="center"/>
          </w:tcPr>
          <w:p w14:paraId="20AAF2AC">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环境敏感性项目</w:t>
            </w:r>
          </w:p>
        </w:tc>
        <w:tc>
          <w:tcPr>
            <w:tcW w:w="3591" w:type="dxa"/>
            <w:vAlign w:val="center"/>
          </w:tcPr>
          <w:p w14:paraId="77DC23CC">
            <w:pP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一、直接利益相关者的调查范围：</w:t>
            </w:r>
          </w:p>
          <w:p w14:paraId="59FA86DD">
            <w:pP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1.一般以生态环境部公布的系列《环境影响评价技术导则》所规定的评价范围为参考依据</w:t>
            </w:r>
            <w:r>
              <w:rPr>
                <w:rFonts w:hint="eastAsia"/>
                <w:color w:val="000000" w:themeColor="text1"/>
                <w:sz w:val="18"/>
                <w:szCs w:val="18"/>
                <w14:textFill>
                  <w14:solidFill>
                    <w14:schemeClr w14:val="tx1"/>
                  </w14:solidFill>
                </w14:textFill>
              </w:rPr>
              <w:t>；</w:t>
            </w:r>
          </w:p>
          <w:p w14:paraId="078C2647">
            <w:pP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2.</w:t>
            </w:r>
            <w:r>
              <w:rPr>
                <w:rFonts w:hint="eastAsia"/>
                <w:color w:val="000000" w:themeColor="text1"/>
                <w:sz w:val="18"/>
                <w:szCs w:val="18"/>
                <w14:textFill>
                  <w14:solidFill>
                    <w14:schemeClr w14:val="tx1"/>
                  </w14:solidFill>
                </w14:textFill>
              </w:rPr>
              <w:t>遵循</w:t>
            </w:r>
            <w:r>
              <w:rPr>
                <w:color w:val="000000" w:themeColor="text1"/>
                <w:sz w:val="18"/>
                <w:szCs w:val="18"/>
                <w14:textFill>
                  <w14:solidFill>
                    <w14:schemeClr w14:val="tx1"/>
                  </w14:solidFill>
                </w14:textFill>
              </w:rPr>
              <w:t>项目所属行业的技术规范和管理办法</w:t>
            </w:r>
            <w:r>
              <w:rPr>
                <w:rFonts w:hint="eastAsia"/>
                <w:color w:val="000000" w:themeColor="text1"/>
                <w:sz w:val="18"/>
                <w:szCs w:val="18"/>
                <w14:textFill>
                  <w14:solidFill>
                    <w14:schemeClr w14:val="tx1"/>
                  </w14:solidFill>
                </w14:textFill>
              </w:rPr>
              <w:t>规定的地理空间标准确定；</w:t>
            </w:r>
          </w:p>
          <w:p w14:paraId="52E9F6FE">
            <w:pP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w:t>
            </w:r>
            <w:r>
              <w:rPr>
                <w:color w:val="000000" w:themeColor="text1"/>
                <w:sz w:val="18"/>
                <w:szCs w:val="18"/>
                <w14:textFill>
                  <w14:solidFill>
                    <w14:schemeClr w14:val="tx1"/>
                  </w14:solidFill>
                </w14:textFill>
              </w:rPr>
              <w:t>.产生大气有害物质无组织排放的建设项目</w:t>
            </w:r>
            <w:r>
              <w:rPr>
                <w:rFonts w:hint="eastAsia"/>
                <w:color w:val="000000" w:themeColor="text1"/>
                <w:sz w:val="18"/>
                <w:szCs w:val="18"/>
                <w14:textFill>
                  <w14:solidFill>
                    <w14:schemeClr w14:val="tx1"/>
                  </w14:solidFill>
                </w14:textFill>
              </w:rPr>
              <w:t>，</w:t>
            </w:r>
            <w:r>
              <w:rPr>
                <w:color w:val="000000" w:themeColor="text1"/>
                <w:sz w:val="18"/>
                <w:szCs w:val="18"/>
                <w14:textFill>
                  <w14:solidFill>
                    <w14:schemeClr w14:val="tx1"/>
                  </w14:solidFill>
                </w14:textFill>
              </w:rPr>
              <w:t>其卫生防护距离的计算方法和确定依据为《大气有害物质无组织排放卫生防护距离推导技术导则》；</w:t>
            </w:r>
          </w:p>
          <w:p w14:paraId="138A22D1">
            <w:pP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4.易产生“邻避”效应的建设</w:t>
            </w:r>
            <w:r>
              <w:rPr>
                <w:rFonts w:hint="eastAsia"/>
                <w:color w:val="000000" w:themeColor="text1"/>
                <w:sz w:val="18"/>
                <w:szCs w:val="18"/>
                <w:lang w:eastAsia="zh-CN"/>
                <w14:textFill>
                  <w14:solidFill>
                    <w14:schemeClr w14:val="tx1"/>
                  </w14:solidFill>
                </w14:textFill>
              </w:rPr>
              <w:t>项目</w:t>
            </w:r>
            <w:r>
              <w:rPr>
                <w:rFonts w:hint="eastAsia"/>
                <w:color w:val="000000" w:themeColor="text1"/>
                <w:sz w:val="18"/>
                <w:szCs w:val="18"/>
                <w14:textFill>
                  <w14:solidFill>
                    <w14:schemeClr w14:val="tx1"/>
                  </w14:solidFill>
                </w14:textFill>
              </w:rPr>
              <w:t>，调查范围地理空间按相应技术规范和管理办法的最高值确定。</w:t>
            </w:r>
          </w:p>
          <w:p w14:paraId="793FFEAF">
            <w:pP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二、间接利益相关者的调查范围以直接利益相关者调查范围边界外延50%～100%距离，根据不同项目生态环境影响情况确定具体调查范围。</w:t>
            </w:r>
          </w:p>
        </w:tc>
        <w:tc>
          <w:tcPr>
            <w:tcW w:w="4208" w:type="dxa"/>
            <w:vAlign w:val="center"/>
          </w:tcPr>
          <w:p w14:paraId="2826D88F">
            <w:pP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1.直接利益相关者的调查户数如下：居民不足100户的调查户数应</w:t>
            </w:r>
            <w:r>
              <w:rPr>
                <w:rFonts w:hint="eastAsia"/>
                <w:color w:val="000000" w:themeColor="text1"/>
                <w:sz w:val="18"/>
                <w:szCs w:val="18"/>
                <w14:textFill>
                  <w14:solidFill>
                    <w14:schemeClr w14:val="tx1"/>
                  </w14:solidFill>
                </w14:textFill>
              </w:rPr>
              <w:t>达到10</w:t>
            </w:r>
            <w:r>
              <w:rPr>
                <w:color w:val="000000" w:themeColor="text1"/>
                <w:sz w:val="18"/>
                <w:szCs w:val="18"/>
                <w14:textFill>
                  <w14:solidFill>
                    <w14:schemeClr w14:val="tx1"/>
                  </w14:solidFill>
                </w14:textFill>
              </w:rPr>
              <w:t>0%；超过100户不足500户的调查户数应超过60%，且不</w:t>
            </w:r>
            <w:r>
              <w:rPr>
                <w:rFonts w:hint="eastAsia"/>
                <w:color w:val="000000" w:themeColor="text1"/>
                <w:sz w:val="18"/>
                <w:szCs w:val="18"/>
                <w14:textFill>
                  <w14:solidFill>
                    <w14:schemeClr w14:val="tx1"/>
                  </w14:solidFill>
                </w14:textFill>
              </w:rPr>
              <w:t>少</w:t>
            </w:r>
            <w:r>
              <w:rPr>
                <w:color w:val="000000" w:themeColor="text1"/>
                <w:sz w:val="18"/>
                <w:szCs w:val="18"/>
                <w14:textFill>
                  <w14:solidFill>
                    <w14:schemeClr w14:val="tx1"/>
                  </w14:solidFill>
                </w14:textFill>
              </w:rPr>
              <w:t>于</w:t>
            </w:r>
            <w:r>
              <w:rPr>
                <w:rFonts w:hint="eastAsia"/>
                <w:color w:val="000000" w:themeColor="text1"/>
                <w:sz w:val="18"/>
                <w:szCs w:val="18"/>
                <w14:textFill>
                  <w14:solidFill>
                    <w14:schemeClr w14:val="tx1"/>
                  </w14:solidFill>
                </w14:textFill>
              </w:rPr>
              <w:t>100</w:t>
            </w:r>
            <w:r>
              <w:rPr>
                <w:color w:val="000000" w:themeColor="text1"/>
                <w:sz w:val="18"/>
                <w:szCs w:val="18"/>
                <w14:textFill>
                  <w14:solidFill>
                    <w14:schemeClr w14:val="tx1"/>
                  </w14:solidFill>
                </w14:textFill>
              </w:rPr>
              <w:t>户；超过500户的调查户数应超过40%，且不</w:t>
            </w:r>
            <w:r>
              <w:rPr>
                <w:rFonts w:hint="eastAsia"/>
                <w:color w:val="000000" w:themeColor="text1"/>
                <w:sz w:val="18"/>
                <w:szCs w:val="18"/>
                <w14:textFill>
                  <w14:solidFill>
                    <w14:schemeClr w14:val="tx1"/>
                  </w14:solidFill>
                </w14:textFill>
              </w:rPr>
              <w:t>少</w:t>
            </w:r>
            <w:r>
              <w:rPr>
                <w:color w:val="000000" w:themeColor="text1"/>
                <w:sz w:val="18"/>
                <w:szCs w:val="18"/>
                <w14:textFill>
                  <w14:solidFill>
                    <w14:schemeClr w14:val="tx1"/>
                  </w14:solidFill>
                </w14:textFill>
              </w:rPr>
              <w:t>于300户；涉及企事业单位的应征求全部企事业单位的负责人意见；</w:t>
            </w:r>
          </w:p>
          <w:p w14:paraId="4FD01820">
            <w:pP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2.间接利益相关者的调查户数如下：居民不足100户的调查户数应超过50%；超过100户不足500户的调查户数应超过30%，且不</w:t>
            </w:r>
            <w:r>
              <w:rPr>
                <w:rFonts w:hint="eastAsia"/>
                <w:color w:val="000000" w:themeColor="text1"/>
                <w:sz w:val="18"/>
                <w:szCs w:val="18"/>
                <w14:textFill>
                  <w14:solidFill>
                    <w14:schemeClr w14:val="tx1"/>
                  </w14:solidFill>
                </w14:textFill>
              </w:rPr>
              <w:t>少</w:t>
            </w:r>
            <w:r>
              <w:rPr>
                <w:color w:val="000000" w:themeColor="text1"/>
                <w:sz w:val="18"/>
                <w:szCs w:val="18"/>
                <w14:textFill>
                  <w14:solidFill>
                    <w14:schemeClr w14:val="tx1"/>
                  </w14:solidFill>
                </w14:textFill>
              </w:rPr>
              <w:t>于50户；超过500户的调查户数应超过10%，且不</w:t>
            </w:r>
            <w:r>
              <w:rPr>
                <w:rFonts w:hint="eastAsia"/>
                <w:color w:val="000000" w:themeColor="text1"/>
                <w:sz w:val="18"/>
                <w:szCs w:val="18"/>
                <w14:textFill>
                  <w14:solidFill>
                    <w14:schemeClr w14:val="tx1"/>
                  </w14:solidFill>
                </w14:textFill>
              </w:rPr>
              <w:t>少</w:t>
            </w:r>
            <w:r>
              <w:rPr>
                <w:color w:val="000000" w:themeColor="text1"/>
                <w:sz w:val="18"/>
                <w:szCs w:val="18"/>
                <w14:textFill>
                  <w14:solidFill>
                    <w14:schemeClr w14:val="tx1"/>
                  </w14:solidFill>
                </w14:textFill>
              </w:rPr>
              <w:t>于150户；</w:t>
            </w:r>
          </w:p>
          <w:p w14:paraId="3F834E30">
            <w:pP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3.遵循概率抽样原则，样本需覆盖不同类型利益群体，以体现样本的代表性；</w:t>
            </w:r>
          </w:p>
          <w:p w14:paraId="320BD1BD">
            <w:pP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4.适当兼顾历史遗留问题，重点关注低收入、弱势等相关特殊群体；</w:t>
            </w:r>
          </w:p>
          <w:p w14:paraId="2DA66F3D">
            <w:pP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5.以上4条调查比例标准可</w:t>
            </w:r>
            <w:r>
              <w:rPr>
                <w:rFonts w:hint="eastAsia"/>
                <w:color w:val="000000" w:themeColor="text1"/>
                <w:sz w:val="18"/>
                <w:szCs w:val="18"/>
                <w14:textFill>
                  <w14:solidFill>
                    <w14:schemeClr w14:val="tx1"/>
                  </w14:solidFill>
                </w14:textFill>
              </w:rPr>
              <w:t>根据</w:t>
            </w:r>
            <w:r>
              <w:rPr>
                <w:color w:val="000000" w:themeColor="text1"/>
                <w:sz w:val="18"/>
                <w:szCs w:val="18"/>
                <w14:textFill>
                  <w14:solidFill>
                    <w14:schemeClr w14:val="tx1"/>
                  </w14:solidFill>
                </w14:textFill>
              </w:rPr>
              <w:t>实际受影响范围的变化而作</w:t>
            </w:r>
            <w:r>
              <w:rPr>
                <w:rFonts w:hint="eastAsia"/>
                <w:color w:val="000000" w:themeColor="text1"/>
                <w:sz w:val="18"/>
                <w:szCs w:val="18"/>
                <w14:textFill>
                  <w14:solidFill>
                    <w14:schemeClr w14:val="tx1"/>
                  </w14:solidFill>
                </w14:textFill>
              </w:rPr>
              <w:t>相应调整。</w:t>
            </w:r>
          </w:p>
        </w:tc>
      </w:tr>
      <w:tr w14:paraId="195E28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95" w:type="dxa"/>
            <w:vAlign w:val="center"/>
          </w:tcPr>
          <w:p w14:paraId="2AF4BFB5">
            <w:pPr>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土地</w:t>
            </w:r>
            <w:r>
              <w:rPr>
                <w:rFonts w:hint="eastAsia"/>
                <w:color w:val="000000" w:themeColor="text1"/>
                <w:sz w:val="18"/>
                <w:szCs w:val="18"/>
                <w14:textFill>
                  <w14:solidFill>
                    <w14:schemeClr w14:val="tx1"/>
                  </w14:solidFill>
                </w14:textFill>
              </w:rPr>
              <w:t>、房屋</w:t>
            </w:r>
            <w:r>
              <w:rPr>
                <w:color w:val="000000" w:themeColor="text1"/>
                <w:sz w:val="18"/>
                <w:szCs w:val="18"/>
                <w14:textFill>
                  <w14:solidFill>
                    <w14:schemeClr w14:val="tx1"/>
                  </w14:solidFill>
                </w14:textFill>
              </w:rPr>
              <w:t>征收</w:t>
            </w:r>
            <w:r>
              <w:rPr>
                <w:rFonts w:hint="eastAsia"/>
                <w:color w:val="000000" w:themeColor="text1"/>
                <w:sz w:val="18"/>
                <w:szCs w:val="18"/>
                <w14:textFill>
                  <w14:solidFill>
                    <w14:schemeClr w14:val="tx1"/>
                  </w14:solidFill>
                </w14:textFill>
              </w:rPr>
              <w:t>类项目</w:t>
            </w:r>
          </w:p>
        </w:tc>
        <w:tc>
          <w:tcPr>
            <w:tcW w:w="3591" w:type="dxa"/>
            <w:vAlign w:val="center"/>
          </w:tcPr>
          <w:p w14:paraId="145C31F0">
            <w:pP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根据土地征收</w:t>
            </w:r>
            <w:r>
              <w:rPr>
                <w:rFonts w:hint="eastAsia"/>
                <w:color w:val="000000" w:themeColor="text1"/>
                <w:sz w:val="18"/>
                <w:szCs w:val="18"/>
                <w14:textFill>
                  <w14:solidFill>
                    <w14:schemeClr w14:val="tx1"/>
                  </w14:solidFill>
                </w14:textFill>
              </w:rPr>
              <w:t>、房屋征收</w:t>
            </w:r>
            <w:r>
              <w:rPr>
                <w:color w:val="000000" w:themeColor="text1"/>
                <w:sz w:val="18"/>
                <w:szCs w:val="18"/>
                <w14:textFill>
                  <w14:solidFill>
                    <w14:schemeClr w14:val="tx1"/>
                  </w14:solidFill>
                </w14:textFill>
              </w:rPr>
              <w:t>的实际影响范围，确定合理的</w:t>
            </w:r>
            <w:r>
              <w:rPr>
                <w:rFonts w:hint="eastAsia"/>
                <w:color w:val="000000" w:themeColor="text1"/>
                <w:sz w:val="18"/>
                <w:szCs w:val="18"/>
                <w14:textFill>
                  <w14:solidFill>
                    <w14:schemeClr w14:val="tx1"/>
                  </w14:solidFill>
                </w14:textFill>
              </w:rPr>
              <w:t>调查范围。</w:t>
            </w:r>
          </w:p>
        </w:tc>
        <w:tc>
          <w:tcPr>
            <w:tcW w:w="4208" w:type="dxa"/>
          </w:tcPr>
          <w:p w14:paraId="27AD770A">
            <w:pP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1.调查户数为全部受征收影响的直接利益相关者，受征收影响的企事业单位的直接利益相关者为企事业负责人和企事业单位职工代表；</w:t>
            </w:r>
          </w:p>
          <w:p w14:paraId="7C32FD50">
            <w:pP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2.间接利益相关者的调查对象选择应遵循概率抽样原则，样本需覆盖不同类型利益群体，以体现样本的代表性；</w:t>
            </w:r>
          </w:p>
          <w:p w14:paraId="14984B41">
            <w:pP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3.适当兼顾历史遗留问题，重点关注低收入、无劳动能力、残疾人、老年人等相关特殊群体；</w:t>
            </w:r>
          </w:p>
          <w:p w14:paraId="3DF769DA">
            <w:pP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4.以上3条调查比例标准可随实际受影响范围的变化而作相应调整。</w:t>
            </w:r>
          </w:p>
        </w:tc>
      </w:tr>
      <w:tr w14:paraId="2504FE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95" w:type="dxa"/>
            <w:vAlign w:val="center"/>
          </w:tcPr>
          <w:p w14:paraId="46F215FF">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其他建设项目</w:t>
            </w:r>
          </w:p>
        </w:tc>
        <w:tc>
          <w:tcPr>
            <w:tcW w:w="3591" w:type="dxa"/>
            <w:vAlign w:val="center"/>
          </w:tcPr>
          <w:p w14:paraId="72532D36">
            <w:pP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根据工程项目的实际影响范围，结合项目用</w:t>
            </w:r>
            <w:r>
              <w:rPr>
                <w:rFonts w:hint="eastAsia"/>
                <w:color w:val="000000" w:themeColor="text1"/>
                <w:sz w:val="18"/>
                <w:szCs w:val="18"/>
                <w14:textFill>
                  <w14:solidFill>
                    <w14:schemeClr w14:val="tx1"/>
                  </w14:solidFill>
                </w14:textFill>
              </w:rPr>
              <w:t>地规划边界确定合理的调查范围。</w:t>
            </w:r>
          </w:p>
        </w:tc>
        <w:tc>
          <w:tcPr>
            <w:tcW w:w="4208" w:type="dxa"/>
          </w:tcPr>
          <w:p w14:paraId="0C383F06">
            <w:pP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1.直接利益者不足100户调查数应</w:t>
            </w:r>
            <w:r>
              <w:rPr>
                <w:rFonts w:hint="eastAsia"/>
                <w:color w:val="000000" w:themeColor="text1"/>
                <w:sz w:val="18"/>
                <w:szCs w:val="18"/>
                <w14:textFill>
                  <w14:solidFill>
                    <w14:schemeClr w14:val="tx1"/>
                  </w14:solidFill>
                </w14:textFill>
              </w:rPr>
              <w:t>达到80</w:t>
            </w:r>
            <w:r>
              <w:rPr>
                <w:color w:val="000000" w:themeColor="text1"/>
                <w:sz w:val="18"/>
                <w:szCs w:val="18"/>
                <w14:textFill>
                  <w14:solidFill>
                    <w14:schemeClr w14:val="tx1"/>
                  </w14:solidFill>
                </w14:textFill>
              </w:rPr>
              <w:t>%；超过100户不足500户调查数应超过50%，且不应低于</w:t>
            </w:r>
            <w:r>
              <w:rPr>
                <w:rFonts w:hint="eastAsia"/>
                <w:color w:val="000000" w:themeColor="text1"/>
                <w:sz w:val="18"/>
                <w:szCs w:val="18"/>
                <w14:textFill>
                  <w14:solidFill>
                    <w14:schemeClr w14:val="tx1"/>
                  </w14:solidFill>
                </w14:textFill>
              </w:rPr>
              <w:t>100</w:t>
            </w:r>
            <w:r>
              <w:rPr>
                <w:color w:val="000000" w:themeColor="text1"/>
                <w:sz w:val="18"/>
                <w:szCs w:val="18"/>
                <w14:textFill>
                  <w14:solidFill>
                    <w14:schemeClr w14:val="tx1"/>
                  </w14:solidFill>
                </w14:textFill>
              </w:rPr>
              <w:t>户；超过500户调查数应超过30%，且不应低于250户；</w:t>
            </w:r>
          </w:p>
          <w:p w14:paraId="21728B33">
            <w:pP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2.间接利益相关者的调查对象选择应遵循概率抽样原则，样本需覆盖不同类型利益群体，以体现样本的代表性；</w:t>
            </w:r>
          </w:p>
          <w:p w14:paraId="4DBA1D6D">
            <w:pP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3.适当兼顾历史遗留问题，重点关注低收入、弱势等相关特殊群体；</w:t>
            </w:r>
          </w:p>
          <w:p w14:paraId="63122B2F">
            <w:pP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4.以上3条调查比例标准可随实际受影响范围的变化而作相应</w:t>
            </w:r>
            <w:r>
              <w:rPr>
                <w:rFonts w:hint="eastAsia"/>
                <w:color w:val="000000" w:themeColor="text1"/>
                <w:sz w:val="18"/>
                <w:szCs w:val="18"/>
                <w14:textFill>
                  <w14:solidFill>
                    <w14:schemeClr w14:val="tx1"/>
                  </w14:solidFill>
                </w14:textFill>
              </w:rPr>
              <w:t>调整。</w:t>
            </w:r>
          </w:p>
        </w:tc>
      </w:tr>
      <w:tr w14:paraId="44E711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trPr>
        <w:tc>
          <w:tcPr>
            <w:tcW w:w="8994" w:type="dxa"/>
            <w:gridSpan w:val="3"/>
            <w:vAlign w:val="center"/>
          </w:tcPr>
          <w:p w14:paraId="58744788">
            <w:pP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注：</w:t>
            </w:r>
            <w:r>
              <w:rPr>
                <w:color w:val="000000" w:themeColor="text1"/>
                <w:sz w:val="18"/>
                <w:szCs w:val="18"/>
                <w14:textFill>
                  <w14:solidFill>
                    <w14:schemeClr w14:val="tx1"/>
                  </w14:solidFill>
                </w14:textFill>
              </w:rPr>
              <w:t xml:space="preserve"> </w:t>
            </w:r>
            <w:r>
              <w:rPr>
                <w:rFonts w:hint="eastAsia"/>
                <w:color w:val="000000" w:themeColor="text1"/>
                <w:sz w:val="18"/>
                <w:szCs w:val="18"/>
                <w14:textFill>
                  <w14:solidFill>
                    <w14:schemeClr w14:val="tx1"/>
                  </w14:solidFill>
                </w14:textFill>
              </w:rPr>
              <w:t>调查对象应在年龄、性别、政治面貌、职业、收入等方面具有代表性。</w:t>
            </w:r>
          </w:p>
        </w:tc>
      </w:tr>
    </w:tbl>
    <w:p w14:paraId="155EC3C7">
      <w:pPr>
        <w:ind w:firstLine="540"/>
        <w:jc w:val="center"/>
        <w:rPr>
          <w:rFonts w:hint="eastAsia" w:ascii="黑体" w:hAnsi="黑体" w:eastAsia="黑体" w:cs="黑体"/>
          <w:kern w:val="0"/>
          <w:sz w:val="21"/>
          <w:szCs w:val="20"/>
          <w:lang w:val="en-US" w:eastAsia="zh-CN"/>
        </w:rPr>
      </w:pPr>
      <w:r>
        <w:rPr>
          <w:rFonts w:hint="eastAsia" w:ascii="黑体" w:hAnsi="黑体" w:eastAsia="黑体" w:cs="黑体"/>
          <w:kern w:val="0"/>
          <w:sz w:val="21"/>
          <w:szCs w:val="20"/>
          <w:lang w:val="en-US" w:eastAsia="zh-CN"/>
        </w:rPr>
        <w:t>表C.4  重大活动类决策事项调查范围和抽样标准</w:t>
      </w:r>
    </w:p>
    <w:tbl>
      <w:tblPr>
        <w:tblStyle w:val="26"/>
        <w:tblW w:w="899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44"/>
        <w:gridCol w:w="4350"/>
      </w:tblGrid>
      <w:tr w14:paraId="595C2B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Pr>
          <w:p w14:paraId="7E918B93">
            <w:pPr>
              <w:pStyle w:val="36"/>
              <w:jc w:val="center"/>
              <w:rPr>
                <w:b/>
                <w:color w:val="000000" w:themeColor="text1"/>
                <w:sz w:val="18"/>
                <w:szCs w:val="18"/>
                <w14:textFill>
                  <w14:solidFill>
                    <w14:schemeClr w14:val="tx1"/>
                  </w14:solidFill>
                </w14:textFill>
              </w:rPr>
            </w:pPr>
            <w:r>
              <w:rPr>
                <w:rFonts w:hint="eastAsia"/>
                <w:b/>
                <w:color w:val="000000" w:themeColor="text1"/>
                <w:sz w:val="18"/>
                <w:szCs w:val="18"/>
                <w14:textFill>
                  <w14:solidFill>
                    <w14:schemeClr w14:val="tx1"/>
                  </w14:solidFill>
                </w14:textFill>
              </w:rPr>
              <w:t>调查范围</w:t>
            </w:r>
          </w:p>
        </w:tc>
        <w:tc>
          <w:tcPr>
            <w:tcW w:w="4350" w:type="dxa"/>
          </w:tcPr>
          <w:p w14:paraId="34CB83CC">
            <w:pPr>
              <w:pStyle w:val="36"/>
              <w:jc w:val="center"/>
              <w:rPr>
                <w:b/>
                <w:color w:val="000000" w:themeColor="text1"/>
                <w:sz w:val="18"/>
                <w:szCs w:val="18"/>
                <w14:textFill>
                  <w14:solidFill>
                    <w14:schemeClr w14:val="tx1"/>
                  </w14:solidFill>
                </w14:textFill>
              </w:rPr>
            </w:pPr>
            <w:r>
              <w:rPr>
                <w:rFonts w:hint="eastAsia"/>
                <w:b/>
                <w:color w:val="000000" w:themeColor="text1"/>
                <w:sz w:val="18"/>
                <w:szCs w:val="18"/>
                <w14:textFill>
                  <w14:solidFill>
                    <w14:schemeClr w14:val="tx1"/>
                  </w14:solidFill>
                </w14:textFill>
              </w:rPr>
              <w:t>抽样标准</w:t>
            </w:r>
          </w:p>
        </w:tc>
      </w:tr>
      <w:tr w14:paraId="63FF7C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vAlign w:val="center"/>
          </w:tcPr>
          <w:p w14:paraId="5835B755">
            <w:pP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活动现场周边与沿线受影响的群众、企事业单位、商铺店面，活动涉及的有关部门、安保单位、应急救援单位等。</w:t>
            </w:r>
          </w:p>
        </w:tc>
        <w:tc>
          <w:tcPr>
            <w:tcW w:w="4350" w:type="dxa"/>
          </w:tcPr>
          <w:p w14:paraId="41342AC3">
            <w:pP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 xml:space="preserve">1. </w:t>
            </w:r>
            <w:r>
              <w:rPr>
                <w:rFonts w:hint="eastAsia"/>
                <w:color w:val="000000" w:themeColor="text1"/>
                <w:sz w:val="18"/>
                <w:szCs w:val="18"/>
                <w14:textFill>
                  <w14:solidFill>
                    <w14:schemeClr w14:val="tx1"/>
                  </w14:solidFill>
                </w14:textFill>
              </w:rPr>
              <w:t>参与人数超过1 000人的重大活动，利益相关者的有效调查数量不少于100人</w:t>
            </w:r>
            <w:r>
              <w:rPr>
                <w:color w:val="000000" w:themeColor="text1"/>
                <w:sz w:val="18"/>
                <w:szCs w:val="18"/>
                <w14:textFill>
                  <w14:solidFill>
                    <w14:schemeClr w14:val="tx1"/>
                  </w14:solidFill>
                </w14:textFill>
              </w:rPr>
              <w:t>；</w:t>
            </w:r>
          </w:p>
          <w:p w14:paraId="62AE506E">
            <w:pP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2.</w:t>
            </w:r>
            <w:r>
              <w:rPr>
                <w:rFonts w:hint="eastAsia"/>
                <w:color w:val="000000" w:themeColor="text1"/>
                <w:sz w:val="18"/>
                <w:szCs w:val="18"/>
                <w14:textFill>
                  <w14:solidFill>
                    <w14:schemeClr w14:val="tx1"/>
                  </w14:solidFill>
                </w14:textFill>
              </w:rPr>
              <w:t xml:space="preserve"> 参与人数超过5 000人的重大活动，利益相关者的有效调查数量不少于200人。</w:t>
            </w:r>
          </w:p>
        </w:tc>
      </w:tr>
      <w:tr w14:paraId="72FB90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trPr>
        <w:tc>
          <w:tcPr>
            <w:tcW w:w="8994" w:type="dxa"/>
            <w:gridSpan w:val="2"/>
            <w:vAlign w:val="center"/>
          </w:tcPr>
          <w:p w14:paraId="51B8A5D7">
            <w:pP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注：</w:t>
            </w:r>
            <w:r>
              <w:rPr>
                <w:color w:val="000000" w:themeColor="text1"/>
                <w:sz w:val="18"/>
                <w:szCs w:val="18"/>
                <w14:textFill>
                  <w14:solidFill>
                    <w14:schemeClr w14:val="tx1"/>
                  </w14:solidFill>
                </w14:textFill>
              </w:rPr>
              <w:t xml:space="preserve"> </w:t>
            </w:r>
            <w:r>
              <w:rPr>
                <w:rFonts w:hint="eastAsia"/>
                <w:color w:val="000000" w:themeColor="text1"/>
                <w:sz w:val="18"/>
                <w:szCs w:val="18"/>
                <w14:textFill>
                  <w14:solidFill>
                    <w14:schemeClr w14:val="tx1"/>
                  </w14:solidFill>
                </w14:textFill>
              </w:rPr>
              <w:t>调查对象应在年龄、性别、政治面貌、职业、收入等方面具有代表性。</w:t>
            </w:r>
          </w:p>
        </w:tc>
      </w:tr>
    </w:tbl>
    <w:p w14:paraId="1A5A4969">
      <w:pPr>
        <w:rPr>
          <w:rFonts w:ascii="宋体" w:hAnsi="宋体" w:eastAsia="宋体"/>
          <w:b/>
          <w:color w:val="000000" w:themeColor="text1"/>
          <w:sz w:val="28"/>
          <w:szCs w:val="28"/>
          <w14:textFill>
            <w14:solidFill>
              <w14:schemeClr w14:val="tx1"/>
            </w14:solidFill>
          </w14:textFill>
        </w:rPr>
      </w:pPr>
    </w:p>
    <w:p w14:paraId="2E0134A0">
      <w:pPr>
        <w:widowControl/>
        <w:jc w:val="left"/>
        <w:rPr>
          <w:rFonts w:ascii="宋体" w:hAnsi="宋体" w:eastAsia="宋体"/>
          <w:b/>
          <w:bCs/>
          <w:color w:val="000000" w:themeColor="text1"/>
          <w:kern w:val="44"/>
          <w:sz w:val="28"/>
          <w:szCs w:val="28"/>
          <w14:textFill>
            <w14:solidFill>
              <w14:schemeClr w14:val="tx1"/>
            </w14:solidFill>
          </w14:textFill>
        </w:rPr>
      </w:pPr>
      <w:bookmarkStart w:id="61" w:name="_附录D"/>
      <w:bookmarkEnd w:id="61"/>
      <w:r>
        <w:rPr>
          <w:rFonts w:ascii="宋体" w:hAnsi="宋体" w:eastAsia="宋体"/>
          <w:color w:val="000000" w:themeColor="text1"/>
          <w:sz w:val="28"/>
          <w:szCs w:val="28"/>
          <w14:textFill>
            <w14:solidFill>
              <w14:schemeClr w14:val="tx1"/>
            </w14:solidFill>
          </w14:textFill>
        </w:rPr>
        <w:br w:type="page"/>
      </w:r>
    </w:p>
    <w:p w14:paraId="0FE11B43">
      <w:pPr>
        <w:pStyle w:val="107"/>
        <w:bidi w:val="0"/>
        <w:ind w:left="0" w:leftChars="0" w:firstLine="0" w:firstLineChars="0"/>
        <w:rPr>
          <w:rFonts w:hint="eastAsia"/>
          <w:lang w:eastAsia="zh-CN"/>
        </w:rPr>
      </w:pPr>
      <w:r>
        <w:rPr>
          <w:rFonts w:hint="eastAsia"/>
          <w:lang w:eastAsia="zh-CN"/>
        </w:rPr>
        <w:br w:type="textWrapping"/>
      </w:r>
      <w:r>
        <w:rPr>
          <w:rFonts w:hint="eastAsia"/>
          <w:lang w:eastAsia="zh-CN"/>
        </w:rPr>
        <w:t>（</w:t>
      </w:r>
      <w:r>
        <w:rPr>
          <w:rFonts w:hint="eastAsia"/>
          <w:lang w:val="en-US" w:eastAsia="zh-CN"/>
        </w:rPr>
        <w:t>资料性</w:t>
      </w:r>
      <w:r>
        <w:rPr>
          <w:rFonts w:hint="eastAsia"/>
          <w:lang w:eastAsia="zh-CN"/>
        </w:rPr>
        <w:t>）</w:t>
      </w:r>
      <w:r>
        <w:rPr>
          <w:rFonts w:hint="eastAsia"/>
          <w:lang w:eastAsia="zh-CN"/>
        </w:rPr>
        <w:br w:type="textWrapping"/>
      </w:r>
      <w:r>
        <w:rPr>
          <w:rFonts w:hint="eastAsia"/>
          <w:lang w:eastAsia="zh-CN"/>
        </w:rPr>
        <w:t>调查问卷样式</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04"/>
        <w:gridCol w:w="389"/>
        <w:gridCol w:w="1134"/>
        <w:gridCol w:w="1276"/>
        <w:gridCol w:w="4019"/>
      </w:tblGrid>
      <w:tr w14:paraId="30B6BC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5"/>
          </w:tcPr>
          <w:p w14:paraId="67611359">
            <w:pPr>
              <w:spacing w:beforeLines="0" w:afterLines="0"/>
              <w:ind w:firstLine="540"/>
              <w:jc w:val="center"/>
              <w:rPr>
                <w:rFonts w:hint="eastAsia" w:hAnsi="宋体"/>
                <w:b/>
                <w:color w:val="000000"/>
                <w:sz w:val="18"/>
                <w:szCs w:val="18"/>
              </w:rPr>
            </w:pPr>
            <w:r>
              <w:rPr>
                <w:rFonts w:hint="eastAsia" w:hAnsi="宋体"/>
                <w:b/>
                <w:color w:val="000000"/>
                <w:sz w:val="18"/>
                <w:szCs w:val="18"/>
              </w:rPr>
              <w:t>风险评估调查问卷</w:t>
            </w:r>
          </w:p>
          <w:p w14:paraId="2FA1B08A">
            <w:pPr>
              <w:spacing w:beforeLines="0" w:afterLines="0" w:line="360" w:lineRule="auto"/>
              <w:ind w:firstLine="420"/>
              <w:rPr>
                <w:rFonts w:hint="eastAsia"/>
                <w:color w:val="000000"/>
                <w:sz w:val="18"/>
                <w:szCs w:val="18"/>
                <w:u w:val="single"/>
              </w:rPr>
            </w:pPr>
            <w:r>
              <w:rPr>
                <w:rFonts w:hint="eastAsia"/>
                <w:color w:val="000000"/>
                <w:sz w:val="18"/>
                <w:szCs w:val="18"/>
              </w:rPr>
              <w:t>【决策事项概况】</w:t>
            </w:r>
            <w:r>
              <w:rPr>
                <w:rFonts w:hint="eastAsia"/>
                <w:color w:val="000000"/>
                <w:sz w:val="18"/>
                <w:szCs w:val="18"/>
                <w:u w:val="single"/>
              </w:rPr>
              <w:t xml:space="preserve">                                                  </w:t>
            </w:r>
          </w:p>
          <w:p w14:paraId="587C9175">
            <w:pPr>
              <w:spacing w:beforeLines="0" w:afterLines="0" w:line="360" w:lineRule="auto"/>
              <w:ind w:firstLine="420"/>
              <w:rPr>
                <w:rFonts w:hint="eastAsia"/>
                <w:color w:val="000000"/>
                <w:sz w:val="18"/>
                <w:szCs w:val="18"/>
                <w:u w:val="single"/>
              </w:rPr>
            </w:pPr>
            <w:r>
              <w:rPr>
                <w:rFonts w:hint="eastAsia"/>
                <w:color w:val="000000"/>
                <w:sz w:val="18"/>
                <w:szCs w:val="18"/>
                <w:u w:val="single"/>
              </w:rPr>
              <w:t xml:space="preserve">                                                                  </w:t>
            </w:r>
          </w:p>
          <w:p w14:paraId="6AA50075">
            <w:pPr>
              <w:spacing w:beforeLines="0" w:afterLines="0" w:line="360" w:lineRule="auto"/>
              <w:ind w:firstLine="420"/>
              <w:rPr>
                <w:rFonts w:hint="eastAsia"/>
                <w:color w:val="000000"/>
                <w:sz w:val="18"/>
                <w:szCs w:val="18"/>
                <w:u w:val="single"/>
              </w:rPr>
            </w:pPr>
            <w:r>
              <w:rPr>
                <w:rFonts w:hint="eastAsia"/>
                <w:color w:val="000000"/>
                <w:sz w:val="18"/>
                <w:szCs w:val="18"/>
                <w:u w:val="single"/>
              </w:rPr>
              <w:t xml:space="preserve">                                                                   </w:t>
            </w:r>
          </w:p>
          <w:p w14:paraId="167224F9">
            <w:pPr>
              <w:spacing w:beforeLines="0" w:afterLines="0" w:line="360" w:lineRule="auto"/>
              <w:ind w:firstLine="420"/>
              <w:rPr>
                <w:rFonts w:hint="eastAsia"/>
                <w:color w:val="000000"/>
                <w:sz w:val="18"/>
                <w:szCs w:val="18"/>
              </w:rPr>
            </w:pPr>
          </w:p>
          <w:p w14:paraId="3671D8D9">
            <w:pPr>
              <w:spacing w:beforeLines="0" w:afterLines="0" w:line="360" w:lineRule="auto"/>
              <w:ind w:firstLine="420"/>
              <w:rPr>
                <w:rFonts w:hint="eastAsia"/>
                <w:color w:val="000000"/>
                <w:sz w:val="18"/>
                <w:szCs w:val="18"/>
              </w:rPr>
            </w:pPr>
            <w:r>
              <w:rPr>
                <w:rFonts w:hint="eastAsia"/>
                <w:color w:val="000000"/>
                <w:sz w:val="18"/>
                <w:szCs w:val="18"/>
              </w:rPr>
              <w:t>【开头语】_____________决策事项，正在进行社会稳定风险评估，现就有关事宜进行民意调查，征求您的意见和建议。我们承诺，本次调查所获的所有信息，仅用于编制社会稳定风险评估报告，并将严格保密，感谢您的支持和配合！</w:t>
            </w:r>
          </w:p>
          <w:p w14:paraId="50230FAA">
            <w:pPr>
              <w:spacing w:line="360" w:lineRule="auto"/>
              <w:rPr>
                <w:rFonts w:hint="eastAsia"/>
                <w:color w:val="000000"/>
                <w:sz w:val="18"/>
                <w:szCs w:val="18"/>
              </w:rPr>
            </w:pPr>
          </w:p>
        </w:tc>
      </w:tr>
      <w:tr w14:paraId="0CD77E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3" w:type="dxa"/>
            <w:gridSpan w:val="2"/>
          </w:tcPr>
          <w:p w14:paraId="4F1EEA04">
            <w:pPr>
              <w:spacing w:line="360" w:lineRule="auto"/>
              <w:rPr>
                <w:color w:val="000000"/>
                <w:sz w:val="18"/>
                <w:szCs w:val="18"/>
              </w:rPr>
            </w:pPr>
            <w:r>
              <w:rPr>
                <w:rFonts w:hint="eastAsia"/>
                <w:color w:val="000000"/>
                <w:sz w:val="18"/>
                <w:szCs w:val="18"/>
              </w:rPr>
              <w:t>姓名：</w:t>
            </w:r>
          </w:p>
        </w:tc>
        <w:tc>
          <w:tcPr>
            <w:tcW w:w="1134" w:type="dxa"/>
          </w:tcPr>
          <w:p w14:paraId="29A14864">
            <w:pPr>
              <w:spacing w:line="360" w:lineRule="auto"/>
              <w:rPr>
                <w:rFonts w:eastAsia="宋体"/>
                <w:color w:val="000000"/>
                <w:sz w:val="18"/>
                <w:szCs w:val="18"/>
              </w:rPr>
            </w:pPr>
            <w:r>
              <w:rPr>
                <w:rFonts w:hint="eastAsia"/>
                <w:color w:val="000000"/>
                <w:sz w:val="18"/>
                <w:szCs w:val="18"/>
              </w:rPr>
              <w:t>性别：</w:t>
            </w:r>
          </w:p>
        </w:tc>
        <w:tc>
          <w:tcPr>
            <w:tcW w:w="1276" w:type="dxa"/>
          </w:tcPr>
          <w:p w14:paraId="7D8E1386">
            <w:pPr>
              <w:spacing w:line="360" w:lineRule="auto"/>
              <w:rPr>
                <w:rFonts w:eastAsia="宋体"/>
                <w:color w:val="000000"/>
                <w:sz w:val="18"/>
                <w:szCs w:val="18"/>
              </w:rPr>
            </w:pPr>
            <w:r>
              <w:rPr>
                <w:rFonts w:hint="eastAsia"/>
                <w:color w:val="000000"/>
                <w:sz w:val="18"/>
                <w:szCs w:val="18"/>
              </w:rPr>
              <w:t>年龄：</w:t>
            </w:r>
          </w:p>
        </w:tc>
        <w:tc>
          <w:tcPr>
            <w:tcW w:w="4019" w:type="dxa"/>
          </w:tcPr>
          <w:p w14:paraId="0CFBD6AC">
            <w:pPr>
              <w:spacing w:line="360" w:lineRule="auto"/>
              <w:rPr>
                <w:color w:val="000000"/>
                <w:sz w:val="18"/>
                <w:szCs w:val="18"/>
              </w:rPr>
            </w:pPr>
            <w:r>
              <w:rPr>
                <w:rFonts w:hint="eastAsia"/>
                <w:color w:val="000000"/>
                <w:sz w:val="18"/>
                <w:szCs w:val="18"/>
              </w:rPr>
              <w:t>联系电话：</w:t>
            </w:r>
          </w:p>
        </w:tc>
      </w:tr>
      <w:tr w14:paraId="62BB42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5"/>
          </w:tcPr>
          <w:p w14:paraId="162ED229">
            <w:pPr>
              <w:spacing w:line="360" w:lineRule="auto"/>
              <w:rPr>
                <w:color w:val="000000"/>
                <w:sz w:val="18"/>
                <w:szCs w:val="18"/>
              </w:rPr>
            </w:pPr>
            <w:r>
              <w:rPr>
                <w:rFonts w:hint="eastAsia"/>
                <w:color w:val="000000"/>
                <w:sz w:val="18"/>
                <w:szCs w:val="18"/>
              </w:rPr>
              <w:t xml:space="preserve">住址：          县（市、区）          镇（街道）           村（社区）   </w:t>
            </w:r>
          </w:p>
        </w:tc>
      </w:tr>
      <w:tr w14:paraId="0F9D81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5"/>
          </w:tcPr>
          <w:p w14:paraId="71D535ED">
            <w:pPr>
              <w:spacing w:line="360" w:lineRule="auto"/>
              <w:jc w:val="left"/>
              <w:rPr>
                <w:color w:val="000000"/>
                <w:sz w:val="18"/>
                <w:szCs w:val="18"/>
              </w:rPr>
            </w:pPr>
            <w:r>
              <w:rPr>
                <w:rFonts w:hint="eastAsia"/>
                <w:color w:val="000000"/>
                <w:sz w:val="18"/>
                <w:szCs w:val="18"/>
              </w:rPr>
              <w:t xml:space="preserve">1.您的职业：（    ） A.国家机关工作人员  B.事业单位工作人员  C.企业工作人员  </w:t>
            </w:r>
          </w:p>
          <w:p w14:paraId="5E67E5CB">
            <w:pPr>
              <w:spacing w:line="360" w:lineRule="auto"/>
              <w:jc w:val="left"/>
              <w:rPr>
                <w:sz w:val="18"/>
                <w:szCs w:val="18"/>
              </w:rPr>
            </w:pPr>
            <w:r>
              <w:rPr>
                <w:rFonts w:hint="eastAsia"/>
                <w:color w:val="000000"/>
                <w:sz w:val="18"/>
                <w:szCs w:val="18"/>
              </w:rPr>
              <w:t>D.个体商户  E.商业服务业人员  F.学生  G.农民  H.自由职业者  I.待业  J.退休  K.其他</w:t>
            </w:r>
          </w:p>
        </w:tc>
      </w:tr>
      <w:tr w14:paraId="5DDF1F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trPr>
        <w:tc>
          <w:tcPr>
            <w:tcW w:w="8522" w:type="dxa"/>
            <w:gridSpan w:val="5"/>
          </w:tcPr>
          <w:p w14:paraId="7388F4BF">
            <w:pPr>
              <w:spacing w:line="360" w:lineRule="auto"/>
              <w:jc w:val="left"/>
              <w:rPr>
                <w:rFonts w:eastAsia="宋体"/>
                <w:color w:val="000000"/>
                <w:sz w:val="18"/>
                <w:szCs w:val="18"/>
              </w:rPr>
            </w:pPr>
            <w:r>
              <w:rPr>
                <w:rFonts w:hint="eastAsia"/>
                <w:color w:val="000000"/>
                <w:sz w:val="18"/>
                <w:szCs w:val="18"/>
              </w:rPr>
              <w:t>2.您是否了解本决策事项？（    ）   A. 了解   B. 基本了解 C.不太了解 D.不了解</w:t>
            </w:r>
          </w:p>
        </w:tc>
      </w:tr>
      <w:tr w14:paraId="02E44A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5"/>
          </w:tcPr>
          <w:p w14:paraId="4C4FCF97">
            <w:pPr>
              <w:spacing w:line="360" w:lineRule="auto"/>
              <w:rPr>
                <w:color w:val="000000"/>
                <w:sz w:val="18"/>
                <w:szCs w:val="18"/>
              </w:rPr>
            </w:pPr>
            <w:r>
              <w:rPr>
                <w:rFonts w:hint="eastAsia"/>
                <w:color w:val="000000"/>
                <w:sz w:val="18"/>
                <w:szCs w:val="18"/>
              </w:rPr>
              <w:t xml:space="preserve">3.您对本决策事项的态度（    ）  A.支持  B.基本支持  C.无所谓  D.反对  </w:t>
            </w:r>
          </w:p>
          <w:p w14:paraId="77548C6B">
            <w:pPr>
              <w:spacing w:line="360" w:lineRule="auto"/>
              <w:rPr>
                <w:color w:val="000000"/>
                <w:sz w:val="18"/>
                <w:szCs w:val="18"/>
              </w:rPr>
            </w:pPr>
            <w:r>
              <w:rPr>
                <w:rFonts w:hint="eastAsia"/>
                <w:color w:val="000000"/>
                <w:sz w:val="18"/>
                <w:szCs w:val="18"/>
              </w:rPr>
              <w:t>如果反对，您的理由是：</w:t>
            </w:r>
          </w:p>
          <w:p w14:paraId="11129244">
            <w:pPr>
              <w:spacing w:line="360" w:lineRule="auto"/>
              <w:rPr>
                <w:color w:val="000000"/>
                <w:sz w:val="18"/>
                <w:szCs w:val="18"/>
              </w:rPr>
            </w:pPr>
          </w:p>
        </w:tc>
      </w:tr>
      <w:tr w14:paraId="3FDA95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5"/>
          </w:tcPr>
          <w:p w14:paraId="569B0E54">
            <w:pPr>
              <w:spacing w:line="360" w:lineRule="auto"/>
              <w:rPr>
                <w:rFonts w:eastAsia="宋体"/>
                <w:color w:val="000000"/>
                <w:sz w:val="18"/>
                <w:szCs w:val="18"/>
              </w:rPr>
            </w:pPr>
            <w:r>
              <w:rPr>
                <w:rFonts w:hint="eastAsia"/>
                <w:color w:val="000000"/>
                <w:sz w:val="18"/>
                <w:szCs w:val="18"/>
              </w:rPr>
              <w:t>4.您比较关心本决策事项的哪些方面（可多选）（    ） A.合法性 B.环境影响 C.征收类的补偿标准与安置 D.决策事项落实的进度与质量 E.对个人发展的影响 F.对当地经济社会发展的影响 G.对公共安全、社会治安的影响</w:t>
            </w:r>
          </w:p>
        </w:tc>
      </w:tr>
      <w:tr w14:paraId="63F2CF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5"/>
          </w:tcPr>
          <w:p w14:paraId="0CF99E1F">
            <w:pPr>
              <w:spacing w:line="360" w:lineRule="auto"/>
              <w:rPr>
                <w:rFonts w:eastAsia="宋体"/>
                <w:color w:val="000000"/>
                <w:sz w:val="18"/>
                <w:szCs w:val="18"/>
              </w:rPr>
            </w:pPr>
            <w:r>
              <w:rPr>
                <w:rFonts w:hint="eastAsia"/>
                <w:color w:val="000000"/>
                <w:sz w:val="18"/>
                <w:szCs w:val="18"/>
              </w:rPr>
              <w:t>5.您认为本决策事项可能产生哪些负面影响（可多选）（    ）A.污染环境 B.影响正常的生产经营 C.交通出行不便 D.社会治安恶化 E.收入下降 F.就业困难 G.就学、就医不便 H.物价上涨 I.没有负面影响</w:t>
            </w:r>
          </w:p>
        </w:tc>
      </w:tr>
      <w:tr w14:paraId="153B09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5"/>
          </w:tcPr>
          <w:p w14:paraId="03CFE07A">
            <w:pPr>
              <w:spacing w:line="360" w:lineRule="auto"/>
              <w:rPr>
                <w:color w:val="000000"/>
                <w:sz w:val="18"/>
                <w:szCs w:val="18"/>
              </w:rPr>
            </w:pPr>
            <w:r>
              <w:rPr>
                <w:rFonts w:hint="eastAsia"/>
                <w:color w:val="000000"/>
                <w:sz w:val="18"/>
                <w:szCs w:val="18"/>
              </w:rPr>
              <w:t>6.您会采取何种方式和表达解决诉求（可多选）（    ）  A.投诉  B.调解  C.其他</w:t>
            </w:r>
          </w:p>
        </w:tc>
      </w:tr>
      <w:tr w14:paraId="51A800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trPr>
        <w:tc>
          <w:tcPr>
            <w:tcW w:w="1704" w:type="dxa"/>
            <w:vMerge w:val="restart"/>
          </w:tcPr>
          <w:p w14:paraId="17B0A9FB">
            <w:pPr>
              <w:spacing w:line="360" w:lineRule="auto"/>
              <w:rPr>
                <w:rFonts w:eastAsia="宋体"/>
                <w:color w:val="000000"/>
                <w:sz w:val="18"/>
                <w:szCs w:val="18"/>
              </w:rPr>
            </w:pPr>
            <w:r>
              <w:rPr>
                <w:rFonts w:hint="eastAsia"/>
                <w:color w:val="000000"/>
                <w:sz w:val="18"/>
                <w:szCs w:val="18"/>
              </w:rPr>
              <w:t>7.针对本决策事项的拓展问卷问题</w:t>
            </w:r>
          </w:p>
        </w:tc>
        <w:tc>
          <w:tcPr>
            <w:tcW w:w="6818" w:type="dxa"/>
            <w:gridSpan w:val="4"/>
          </w:tcPr>
          <w:p w14:paraId="01074E2F">
            <w:pPr>
              <w:spacing w:line="360" w:lineRule="auto"/>
              <w:rPr>
                <w:rFonts w:eastAsia="宋体"/>
                <w:color w:val="000000"/>
                <w:sz w:val="18"/>
                <w:szCs w:val="18"/>
              </w:rPr>
            </w:pPr>
            <w:r>
              <w:rPr>
                <w:color w:val="000000"/>
                <w:sz w:val="18"/>
                <w:szCs w:val="18"/>
              </w:rPr>
              <w:fldChar w:fldCharType="begin"/>
            </w:r>
            <w:r>
              <w:rPr>
                <w:color w:val="000000"/>
                <w:sz w:val="18"/>
                <w:szCs w:val="18"/>
              </w:rPr>
              <w:instrText xml:space="preserve"> </w:instrText>
            </w:r>
            <w:r>
              <w:rPr>
                <w:rFonts w:hint="eastAsia"/>
                <w:color w:val="000000"/>
                <w:sz w:val="18"/>
                <w:szCs w:val="18"/>
              </w:rPr>
              <w:instrText xml:space="preserve">= 1 \* GB3</w:instrText>
            </w:r>
            <w:r>
              <w:rPr>
                <w:color w:val="000000"/>
                <w:sz w:val="18"/>
                <w:szCs w:val="18"/>
              </w:rPr>
              <w:instrText xml:space="preserve"> </w:instrText>
            </w:r>
            <w:r>
              <w:rPr>
                <w:color w:val="000000"/>
                <w:sz w:val="18"/>
                <w:szCs w:val="18"/>
              </w:rPr>
              <w:fldChar w:fldCharType="separate"/>
            </w:r>
            <w:r>
              <w:rPr>
                <w:rFonts w:hint="eastAsia"/>
                <w:color w:val="000000"/>
                <w:sz w:val="18"/>
                <w:szCs w:val="18"/>
              </w:rPr>
              <w:t>①</w:t>
            </w:r>
            <w:r>
              <w:rPr>
                <w:color w:val="000000"/>
                <w:sz w:val="18"/>
                <w:szCs w:val="18"/>
              </w:rPr>
              <w:fldChar w:fldCharType="end"/>
            </w:r>
          </w:p>
        </w:tc>
      </w:tr>
      <w:tr w14:paraId="342E40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trPr>
        <w:tc>
          <w:tcPr>
            <w:tcW w:w="1704" w:type="dxa"/>
            <w:vMerge w:val="continue"/>
          </w:tcPr>
          <w:p w14:paraId="1CA804A7">
            <w:pPr>
              <w:spacing w:line="360" w:lineRule="auto"/>
              <w:rPr>
                <w:sz w:val="18"/>
                <w:szCs w:val="18"/>
              </w:rPr>
            </w:pPr>
          </w:p>
        </w:tc>
        <w:tc>
          <w:tcPr>
            <w:tcW w:w="6818" w:type="dxa"/>
            <w:gridSpan w:val="4"/>
          </w:tcPr>
          <w:p w14:paraId="4564FA09">
            <w:pPr>
              <w:spacing w:line="360" w:lineRule="auto"/>
              <w:rPr>
                <w:rFonts w:eastAsia="宋体"/>
                <w:color w:val="000000"/>
                <w:sz w:val="18"/>
                <w:szCs w:val="18"/>
              </w:rPr>
            </w:pPr>
            <w:r>
              <w:rPr>
                <w:color w:val="000000"/>
                <w:sz w:val="18"/>
                <w:szCs w:val="18"/>
              </w:rPr>
              <w:fldChar w:fldCharType="begin"/>
            </w:r>
            <w:r>
              <w:rPr>
                <w:color w:val="000000"/>
                <w:sz w:val="18"/>
                <w:szCs w:val="18"/>
              </w:rPr>
              <w:instrText xml:space="preserve"> </w:instrText>
            </w:r>
            <w:r>
              <w:rPr>
                <w:rFonts w:hint="eastAsia"/>
                <w:color w:val="000000"/>
                <w:sz w:val="18"/>
                <w:szCs w:val="18"/>
              </w:rPr>
              <w:instrText xml:space="preserve">= 2 \* GB3</w:instrText>
            </w:r>
            <w:r>
              <w:rPr>
                <w:color w:val="000000"/>
                <w:sz w:val="18"/>
                <w:szCs w:val="18"/>
              </w:rPr>
              <w:instrText xml:space="preserve"> </w:instrText>
            </w:r>
            <w:r>
              <w:rPr>
                <w:color w:val="000000"/>
                <w:sz w:val="18"/>
                <w:szCs w:val="18"/>
              </w:rPr>
              <w:fldChar w:fldCharType="separate"/>
            </w:r>
            <w:r>
              <w:rPr>
                <w:rFonts w:hint="eastAsia"/>
                <w:color w:val="000000"/>
                <w:sz w:val="18"/>
                <w:szCs w:val="18"/>
              </w:rPr>
              <w:t>②</w:t>
            </w:r>
            <w:r>
              <w:rPr>
                <w:color w:val="000000"/>
                <w:sz w:val="18"/>
                <w:szCs w:val="18"/>
              </w:rPr>
              <w:fldChar w:fldCharType="end"/>
            </w:r>
          </w:p>
        </w:tc>
      </w:tr>
      <w:tr w14:paraId="6C4174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trPr>
        <w:tc>
          <w:tcPr>
            <w:tcW w:w="1704" w:type="dxa"/>
            <w:vMerge w:val="continue"/>
          </w:tcPr>
          <w:p w14:paraId="1456F7B1">
            <w:pPr>
              <w:spacing w:line="360" w:lineRule="auto"/>
              <w:rPr>
                <w:color w:val="000000"/>
                <w:sz w:val="18"/>
                <w:szCs w:val="18"/>
              </w:rPr>
            </w:pPr>
          </w:p>
        </w:tc>
        <w:tc>
          <w:tcPr>
            <w:tcW w:w="6818" w:type="dxa"/>
            <w:gridSpan w:val="4"/>
          </w:tcPr>
          <w:p w14:paraId="15D7C2CB">
            <w:pPr>
              <w:spacing w:line="360" w:lineRule="auto"/>
              <w:rPr>
                <w:rFonts w:eastAsia="宋体"/>
                <w:color w:val="000000"/>
                <w:sz w:val="18"/>
                <w:szCs w:val="18"/>
              </w:rPr>
            </w:pPr>
            <w:r>
              <w:rPr>
                <w:color w:val="000000"/>
                <w:sz w:val="18"/>
                <w:szCs w:val="18"/>
              </w:rPr>
              <w:fldChar w:fldCharType="begin"/>
            </w:r>
            <w:r>
              <w:rPr>
                <w:color w:val="000000"/>
                <w:sz w:val="18"/>
                <w:szCs w:val="18"/>
              </w:rPr>
              <w:instrText xml:space="preserve"> </w:instrText>
            </w:r>
            <w:r>
              <w:rPr>
                <w:rFonts w:hint="eastAsia"/>
                <w:color w:val="000000"/>
                <w:sz w:val="18"/>
                <w:szCs w:val="18"/>
              </w:rPr>
              <w:instrText xml:space="preserve">= 3 \* GB3</w:instrText>
            </w:r>
            <w:r>
              <w:rPr>
                <w:color w:val="000000"/>
                <w:sz w:val="18"/>
                <w:szCs w:val="18"/>
              </w:rPr>
              <w:instrText xml:space="preserve"> </w:instrText>
            </w:r>
            <w:r>
              <w:rPr>
                <w:color w:val="000000"/>
                <w:sz w:val="18"/>
                <w:szCs w:val="18"/>
              </w:rPr>
              <w:fldChar w:fldCharType="separate"/>
            </w:r>
            <w:r>
              <w:rPr>
                <w:rFonts w:hint="eastAsia"/>
                <w:color w:val="000000"/>
                <w:sz w:val="18"/>
                <w:szCs w:val="18"/>
              </w:rPr>
              <w:t>③</w:t>
            </w:r>
            <w:r>
              <w:rPr>
                <w:color w:val="000000"/>
                <w:sz w:val="18"/>
                <w:szCs w:val="18"/>
              </w:rPr>
              <w:fldChar w:fldCharType="end"/>
            </w:r>
          </w:p>
        </w:tc>
      </w:tr>
      <w:tr w14:paraId="43DF51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trPr>
        <w:tc>
          <w:tcPr>
            <w:tcW w:w="1704" w:type="dxa"/>
            <w:vMerge w:val="continue"/>
          </w:tcPr>
          <w:p w14:paraId="5A06E7CF">
            <w:pPr>
              <w:spacing w:line="360" w:lineRule="auto"/>
              <w:rPr>
                <w:color w:val="000000"/>
                <w:sz w:val="18"/>
                <w:szCs w:val="18"/>
              </w:rPr>
            </w:pPr>
          </w:p>
        </w:tc>
        <w:tc>
          <w:tcPr>
            <w:tcW w:w="6818" w:type="dxa"/>
            <w:gridSpan w:val="4"/>
          </w:tcPr>
          <w:p w14:paraId="31AC1655">
            <w:pPr>
              <w:spacing w:line="360" w:lineRule="auto"/>
              <w:rPr>
                <w:rFonts w:eastAsia="宋体"/>
                <w:color w:val="000000"/>
                <w:sz w:val="18"/>
                <w:szCs w:val="18"/>
              </w:rPr>
            </w:pPr>
            <w:r>
              <w:rPr>
                <w:rFonts w:hint="eastAsia"/>
                <w:color w:val="000000"/>
                <w:sz w:val="18"/>
                <w:szCs w:val="18"/>
              </w:rPr>
              <w:t>.....</w:t>
            </w:r>
          </w:p>
        </w:tc>
      </w:tr>
      <w:tr w14:paraId="4895FB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4" w:type="dxa"/>
            <w:vAlign w:val="center"/>
          </w:tcPr>
          <w:p w14:paraId="73BDC007">
            <w:pPr>
              <w:spacing w:line="360" w:lineRule="auto"/>
              <w:jc w:val="center"/>
              <w:rPr>
                <w:color w:val="000000"/>
                <w:sz w:val="18"/>
                <w:szCs w:val="18"/>
              </w:rPr>
            </w:pPr>
            <w:r>
              <w:rPr>
                <w:rFonts w:hint="eastAsia"/>
                <w:color w:val="000000"/>
                <w:sz w:val="18"/>
                <w:szCs w:val="18"/>
              </w:rPr>
              <w:t>8.您的意见和建议</w:t>
            </w:r>
          </w:p>
        </w:tc>
        <w:tc>
          <w:tcPr>
            <w:tcW w:w="6818" w:type="dxa"/>
            <w:gridSpan w:val="4"/>
          </w:tcPr>
          <w:p w14:paraId="6D75591B">
            <w:pPr>
              <w:spacing w:line="360" w:lineRule="auto"/>
              <w:rPr>
                <w:color w:val="000000"/>
                <w:sz w:val="18"/>
                <w:szCs w:val="18"/>
              </w:rPr>
            </w:pPr>
          </w:p>
          <w:p w14:paraId="7345B954">
            <w:pPr>
              <w:spacing w:line="360" w:lineRule="auto"/>
              <w:rPr>
                <w:color w:val="000000"/>
                <w:sz w:val="18"/>
                <w:szCs w:val="18"/>
              </w:rPr>
            </w:pPr>
          </w:p>
        </w:tc>
      </w:tr>
      <w:tr w14:paraId="1A497B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4" w:type="dxa"/>
          </w:tcPr>
          <w:p w14:paraId="7FA1E7F0">
            <w:pPr>
              <w:spacing w:line="360" w:lineRule="auto"/>
              <w:jc w:val="center"/>
              <w:rPr>
                <w:color w:val="000000"/>
                <w:sz w:val="18"/>
                <w:szCs w:val="18"/>
              </w:rPr>
            </w:pPr>
            <w:r>
              <w:rPr>
                <w:rFonts w:hint="eastAsia"/>
                <w:color w:val="000000"/>
                <w:sz w:val="18"/>
                <w:szCs w:val="18"/>
              </w:rPr>
              <w:t>调查员签名</w:t>
            </w:r>
          </w:p>
        </w:tc>
        <w:tc>
          <w:tcPr>
            <w:tcW w:w="2799" w:type="dxa"/>
            <w:gridSpan w:val="3"/>
          </w:tcPr>
          <w:p w14:paraId="480C3703">
            <w:pPr>
              <w:spacing w:line="360" w:lineRule="auto"/>
              <w:rPr>
                <w:color w:val="000000"/>
                <w:sz w:val="18"/>
                <w:szCs w:val="18"/>
              </w:rPr>
            </w:pPr>
          </w:p>
        </w:tc>
        <w:tc>
          <w:tcPr>
            <w:tcW w:w="4019" w:type="dxa"/>
          </w:tcPr>
          <w:p w14:paraId="22D8EBA4">
            <w:pPr>
              <w:spacing w:line="360" w:lineRule="auto"/>
              <w:rPr>
                <w:color w:val="000000"/>
                <w:sz w:val="18"/>
                <w:szCs w:val="18"/>
              </w:rPr>
            </w:pPr>
            <w:r>
              <w:rPr>
                <w:rFonts w:hint="eastAsia"/>
                <w:color w:val="000000"/>
                <w:sz w:val="18"/>
                <w:szCs w:val="18"/>
              </w:rPr>
              <w:t xml:space="preserve">       年     月     日</w:t>
            </w:r>
          </w:p>
        </w:tc>
      </w:tr>
    </w:tbl>
    <w:p w14:paraId="156C18BD"/>
    <w:p w14:paraId="34F1ED7D">
      <w:pPr>
        <w:widowControl/>
        <w:jc w:val="left"/>
        <w:rPr>
          <w:rFonts w:ascii="宋体" w:hAnsi="宋体" w:eastAsia="宋体"/>
          <w:b/>
          <w:bCs/>
          <w:color w:val="000000" w:themeColor="text1"/>
          <w:kern w:val="44"/>
          <w:sz w:val="28"/>
          <w:szCs w:val="28"/>
          <w14:textFill>
            <w14:solidFill>
              <w14:schemeClr w14:val="tx1"/>
            </w14:solidFill>
          </w14:textFill>
        </w:rPr>
      </w:pPr>
      <w:r>
        <w:rPr>
          <w:rFonts w:ascii="宋体" w:hAnsi="宋体" w:eastAsia="宋体"/>
          <w:color w:val="000000" w:themeColor="text1"/>
          <w:sz w:val="28"/>
          <w:szCs w:val="28"/>
          <w14:textFill>
            <w14:solidFill>
              <w14:schemeClr w14:val="tx1"/>
            </w14:solidFill>
          </w14:textFill>
        </w:rPr>
        <w:br w:type="page"/>
      </w:r>
    </w:p>
    <w:p w14:paraId="1B0C33D6">
      <w:pPr>
        <w:pStyle w:val="107"/>
        <w:bidi w:val="0"/>
        <w:ind w:left="0" w:leftChars="0" w:firstLine="0" w:firstLineChars="0"/>
        <w:rPr>
          <w:rFonts w:hint="eastAsia"/>
          <w:lang w:eastAsia="zh-CN"/>
        </w:rPr>
      </w:pPr>
      <w:r>
        <w:rPr>
          <w:rFonts w:hint="eastAsia"/>
          <w:lang w:eastAsia="zh-CN"/>
        </w:rPr>
        <w:br w:type="textWrapping"/>
      </w:r>
      <w:r>
        <w:rPr>
          <w:rFonts w:hint="eastAsia"/>
          <w:lang w:eastAsia="zh-CN"/>
        </w:rPr>
        <w:t>（</w:t>
      </w:r>
      <w:r>
        <w:rPr>
          <w:rFonts w:hint="eastAsia"/>
          <w:lang w:val="en-US" w:eastAsia="zh-CN"/>
        </w:rPr>
        <w:t>规范性</w:t>
      </w:r>
      <w:r>
        <w:rPr>
          <w:rFonts w:hint="eastAsia"/>
          <w:lang w:eastAsia="zh-CN"/>
        </w:rPr>
        <w:t>）</w:t>
      </w:r>
      <w:r>
        <w:rPr>
          <w:rFonts w:hint="eastAsia"/>
          <w:lang w:eastAsia="zh-CN"/>
        </w:rPr>
        <w:br w:type="textWrapping"/>
      </w:r>
      <w:r>
        <w:rPr>
          <w:rFonts w:hint="eastAsia"/>
          <w:lang w:eastAsia="zh-CN"/>
        </w:rPr>
        <w:t>主要风险因素及其风险程度汇总表</w:t>
      </w:r>
    </w:p>
    <w:p w14:paraId="3D46CCA4">
      <w:pPr>
        <w:pStyle w:val="92"/>
        <w:numPr>
          <w:ilvl w:val="1"/>
          <w:numId w:val="0"/>
        </w:numPr>
        <w:bidi w:val="0"/>
        <w:ind w:left="0" w:leftChars="0" w:firstLine="0" w:firstLineChars="0"/>
      </w:pPr>
      <w:r>
        <w:rPr>
          <w:rFonts w:hint="eastAsia"/>
          <w:lang w:val="en-US" w:eastAsia="zh-CN"/>
        </w:rPr>
        <w:t>E</w:t>
      </w:r>
      <w:r>
        <w:t>.1</w:t>
      </w:r>
      <w:r>
        <w:rPr>
          <w:rFonts w:hint="eastAsia"/>
        </w:rPr>
        <w:t>　风险发生概率</w:t>
      </w:r>
    </w:p>
    <w:p w14:paraId="65B5D439">
      <w:pPr>
        <w:pStyle w:val="44"/>
        <w:bidi w:val="0"/>
      </w:pPr>
      <w:r>
        <w:rPr>
          <w:rFonts w:hint="eastAsia"/>
        </w:rPr>
        <w:t>风险发生概率是指决策事项社会风险因素发生的可能性，可依据经验或预测进行确定。按照风险因素发生的可能性，可将各主要风险因素的风险概率（p）划分为五档，即：很高（概率在81%-100%）、较高（概率在61%-80%）、中等（概率在41%-60%）、较低（概率在21%-40%）、很低（概率在0%-20%）。风险发生概率分级参见表E</w:t>
      </w:r>
      <w:r>
        <w:rPr>
          <w:rFonts w:hint="eastAsia"/>
          <w:lang w:val="en-US" w:eastAsia="zh-CN"/>
        </w:rPr>
        <w:t>.</w:t>
      </w:r>
      <w:r>
        <w:rPr>
          <w:rFonts w:hint="eastAsia"/>
        </w:rPr>
        <w:t>1。</w:t>
      </w:r>
    </w:p>
    <w:p w14:paraId="04255929">
      <w:pPr>
        <w:pStyle w:val="132"/>
        <w:numPr>
          <w:ilvl w:val="0"/>
          <w:numId w:val="0"/>
        </w:numPr>
        <w:bidi w:val="0"/>
        <w:ind w:left="0" w:leftChars="0" w:firstLine="0" w:firstLineChars="0"/>
      </w:pPr>
      <w:r>
        <w:rPr>
          <w:rFonts w:hint="eastAsia" w:ascii="黑体" w:hAnsi="黑体" w:eastAsia="黑体" w:cs="黑体"/>
          <w:sz w:val="21"/>
          <w:vertAlign w:val="baseline"/>
        </w:rPr>
        <w:t>表</w:t>
      </w:r>
      <w:r>
        <w:rPr>
          <w:rFonts w:hint="eastAsia"/>
        </w:rPr>
        <w:t>E</w:t>
      </w:r>
      <w:r>
        <w:rPr>
          <w:rFonts w:hint="eastAsia"/>
          <w:lang w:val="en-US" w:eastAsia="zh-CN"/>
        </w:rPr>
        <w:t>.</w:t>
      </w:r>
      <w:r>
        <w:rPr>
          <w:rFonts w:hint="eastAsia"/>
        </w:rPr>
        <w:t>1  风险发生概率分级表</w:t>
      </w:r>
    </w:p>
    <w:tbl>
      <w:tblPr>
        <w:tblStyle w:val="2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9"/>
        <w:gridCol w:w="1592"/>
        <w:gridCol w:w="1521"/>
        <w:gridCol w:w="2636"/>
      </w:tblGrid>
      <w:tr w14:paraId="70D605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9" w:type="dxa"/>
            <w:vAlign w:val="center"/>
          </w:tcPr>
          <w:p w14:paraId="0E38FE28">
            <w:pPr>
              <w:jc w:val="center"/>
              <w:rPr>
                <w:rFonts w:ascii="宋体" w:hAnsi="宋体" w:eastAsia="宋体"/>
                <w:b/>
                <w:color w:val="000000" w:themeColor="text1"/>
                <w:sz w:val="18"/>
                <w:szCs w:val="18"/>
                <w14:textFill>
                  <w14:solidFill>
                    <w14:schemeClr w14:val="tx1"/>
                  </w14:solidFill>
                </w14:textFill>
              </w:rPr>
            </w:pPr>
            <w:r>
              <w:rPr>
                <w:rFonts w:hint="eastAsia" w:ascii="宋体" w:hAnsi="宋体" w:eastAsia="宋体"/>
                <w:b/>
                <w:color w:val="000000" w:themeColor="text1"/>
                <w:sz w:val="18"/>
                <w:szCs w:val="18"/>
                <w14:textFill>
                  <w14:solidFill>
                    <w14:schemeClr w14:val="tx1"/>
                  </w14:solidFill>
                </w14:textFill>
              </w:rPr>
              <w:t>序号</w:t>
            </w:r>
          </w:p>
        </w:tc>
        <w:tc>
          <w:tcPr>
            <w:tcW w:w="1592" w:type="dxa"/>
            <w:vAlign w:val="center"/>
          </w:tcPr>
          <w:p w14:paraId="7ACDC574">
            <w:pPr>
              <w:jc w:val="center"/>
              <w:rPr>
                <w:rFonts w:ascii="宋体" w:hAnsi="宋体" w:eastAsia="宋体"/>
                <w:b/>
                <w:color w:val="000000" w:themeColor="text1"/>
                <w:sz w:val="18"/>
                <w:szCs w:val="18"/>
                <w14:textFill>
                  <w14:solidFill>
                    <w14:schemeClr w14:val="tx1"/>
                  </w14:solidFill>
                </w14:textFill>
              </w:rPr>
            </w:pPr>
            <w:r>
              <w:rPr>
                <w:rFonts w:hint="eastAsia" w:ascii="宋体" w:hAnsi="宋体" w:eastAsia="宋体"/>
                <w:b/>
                <w:color w:val="000000" w:themeColor="text1"/>
                <w:sz w:val="18"/>
                <w:szCs w:val="18"/>
                <w14:textFill>
                  <w14:solidFill>
                    <w14:schemeClr w14:val="tx1"/>
                  </w14:solidFill>
                </w14:textFill>
              </w:rPr>
              <w:t>发生概率</w:t>
            </w:r>
          </w:p>
        </w:tc>
        <w:tc>
          <w:tcPr>
            <w:tcW w:w="1521" w:type="dxa"/>
            <w:vAlign w:val="center"/>
          </w:tcPr>
          <w:p w14:paraId="6F21A52A">
            <w:pPr>
              <w:jc w:val="center"/>
              <w:rPr>
                <w:rFonts w:ascii="宋体" w:hAnsi="宋体" w:eastAsia="宋体"/>
                <w:b/>
                <w:color w:val="000000" w:themeColor="text1"/>
                <w:sz w:val="18"/>
                <w:szCs w:val="18"/>
                <w14:textFill>
                  <w14:solidFill>
                    <w14:schemeClr w14:val="tx1"/>
                  </w14:solidFill>
                </w14:textFill>
              </w:rPr>
            </w:pPr>
            <w:r>
              <w:rPr>
                <w:rFonts w:hint="eastAsia" w:ascii="宋体" w:hAnsi="宋体" w:eastAsia="宋体"/>
                <w:b/>
                <w:color w:val="000000" w:themeColor="text1"/>
                <w:sz w:val="18"/>
                <w:szCs w:val="18"/>
                <w14:textFill>
                  <w14:solidFill>
                    <w14:schemeClr w14:val="tx1"/>
                  </w14:solidFill>
                </w14:textFill>
              </w:rPr>
              <w:t>概率等级</w:t>
            </w:r>
          </w:p>
        </w:tc>
        <w:tc>
          <w:tcPr>
            <w:tcW w:w="2636" w:type="dxa"/>
            <w:vAlign w:val="center"/>
          </w:tcPr>
          <w:p w14:paraId="6BF5CD07">
            <w:pPr>
              <w:jc w:val="center"/>
              <w:rPr>
                <w:rFonts w:ascii="宋体" w:hAnsi="宋体" w:eastAsia="宋体"/>
                <w:b/>
                <w:color w:val="000000" w:themeColor="text1"/>
                <w:sz w:val="18"/>
                <w:szCs w:val="18"/>
                <w14:textFill>
                  <w14:solidFill>
                    <w14:schemeClr w14:val="tx1"/>
                  </w14:solidFill>
                </w14:textFill>
              </w:rPr>
            </w:pPr>
            <w:r>
              <w:rPr>
                <w:rFonts w:hint="eastAsia" w:ascii="宋体" w:hAnsi="宋体" w:eastAsia="宋体"/>
                <w:b/>
                <w:color w:val="000000" w:themeColor="text1"/>
                <w:sz w:val="18"/>
                <w:szCs w:val="18"/>
                <w14:textFill>
                  <w14:solidFill>
                    <w14:schemeClr w14:val="tx1"/>
                  </w14:solidFill>
                </w14:textFill>
              </w:rPr>
              <w:t>判断依据</w:t>
            </w:r>
          </w:p>
        </w:tc>
      </w:tr>
      <w:tr w14:paraId="613E01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9" w:type="dxa"/>
            <w:vAlign w:val="center"/>
          </w:tcPr>
          <w:p w14:paraId="0EF68BDF">
            <w:pPr>
              <w:jc w:val="center"/>
              <w:rPr>
                <w:rFonts w:ascii="宋体" w:hAnsi="宋体" w:eastAsia="宋体"/>
                <w:color w:val="000000" w:themeColor="text1"/>
                <w:sz w:val="18"/>
                <w:szCs w:val="18"/>
                <w14:textFill>
                  <w14:solidFill>
                    <w14:schemeClr w14:val="tx1"/>
                  </w14:solidFill>
                </w14:textFill>
              </w:rPr>
            </w:pPr>
            <w:r>
              <w:rPr>
                <w:rFonts w:hint="eastAsia" w:ascii="宋体" w:hAnsi="宋体" w:eastAsia="宋体"/>
                <w:color w:val="000000" w:themeColor="text1"/>
                <w:sz w:val="18"/>
                <w:szCs w:val="18"/>
                <w14:textFill>
                  <w14:solidFill>
                    <w14:schemeClr w14:val="tx1"/>
                  </w14:solidFill>
                </w14:textFill>
              </w:rPr>
              <w:t>1</w:t>
            </w:r>
          </w:p>
        </w:tc>
        <w:tc>
          <w:tcPr>
            <w:tcW w:w="1592" w:type="dxa"/>
            <w:vAlign w:val="center"/>
          </w:tcPr>
          <w:p w14:paraId="1C4230C4">
            <w:pPr>
              <w:jc w:val="center"/>
              <w:rPr>
                <w:rFonts w:ascii="宋体" w:hAnsi="宋体" w:eastAsia="宋体"/>
                <w:color w:val="000000" w:themeColor="text1"/>
                <w:sz w:val="18"/>
                <w:szCs w:val="18"/>
                <w14:textFill>
                  <w14:solidFill>
                    <w14:schemeClr w14:val="tx1"/>
                  </w14:solidFill>
                </w14:textFill>
              </w:rPr>
            </w:pPr>
            <w:r>
              <w:rPr>
                <w:rFonts w:hint="eastAsia" w:ascii="宋体" w:hAnsi="宋体" w:eastAsia="宋体"/>
                <w:color w:val="000000" w:themeColor="text1"/>
                <w:sz w:val="18"/>
                <w:szCs w:val="18"/>
                <w14:textFill>
                  <w14:solidFill>
                    <w14:schemeClr w14:val="tx1"/>
                  </w14:solidFill>
                </w14:textFill>
              </w:rPr>
              <w:t>81%-100%</w:t>
            </w:r>
          </w:p>
        </w:tc>
        <w:tc>
          <w:tcPr>
            <w:tcW w:w="1521" w:type="dxa"/>
            <w:vAlign w:val="center"/>
          </w:tcPr>
          <w:p w14:paraId="2F88AF4B">
            <w:pPr>
              <w:jc w:val="center"/>
              <w:rPr>
                <w:rFonts w:ascii="宋体" w:hAnsi="宋体" w:eastAsia="宋体"/>
                <w:color w:val="000000" w:themeColor="text1"/>
                <w:sz w:val="18"/>
                <w:szCs w:val="18"/>
                <w14:textFill>
                  <w14:solidFill>
                    <w14:schemeClr w14:val="tx1"/>
                  </w14:solidFill>
                </w14:textFill>
              </w:rPr>
            </w:pPr>
            <w:r>
              <w:rPr>
                <w:rFonts w:hint="eastAsia" w:ascii="宋体" w:hAnsi="宋体" w:eastAsia="宋体"/>
                <w:color w:val="000000" w:themeColor="text1"/>
                <w:sz w:val="18"/>
                <w:szCs w:val="18"/>
                <w14:textFill>
                  <w14:solidFill>
                    <w14:schemeClr w14:val="tx1"/>
                  </w14:solidFill>
                </w14:textFill>
              </w:rPr>
              <w:t>很高</w:t>
            </w:r>
          </w:p>
        </w:tc>
        <w:tc>
          <w:tcPr>
            <w:tcW w:w="2636" w:type="dxa"/>
            <w:vAlign w:val="center"/>
          </w:tcPr>
          <w:p w14:paraId="37A488D0">
            <w:pPr>
              <w:jc w:val="center"/>
              <w:rPr>
                <w:rFonts w:ascii="宋体" w:hAnsi="宋体" w:eastAsia="宋体"/>
                <w:color w:val="000000" w:themeColor="text1"/>
                <w:sz w:val="18"/>
                <w:szCs w:val="18"/>
                <w14:textFill>
                  <w14:solidFill>
                    <w14:schemeClr w14:val="tx1"/>
                  </w14:solidFill>
                </w14:textFill>
              </w:rPr>
            </w:pPr>
            <w:r>
              <w:rPr>
                <w:rFonts w:hint="eastAsia" w:ascii="宋体" w:hAnsi="宋体" w:eastAsia="宋体"/>
                <w:color w:val="000000" w:themeColor="text1"/>
                <w:sz w:val="18"/>
                <w:szCs w:val="18"/>
                <w14:textFill>
                  <w14:solidFill>
                    <w14:schemeClr w14:val="tx1"/>
                  </w14:solidFill>
                </w14:textFill>
              </w:rPr>
              <w:t>发生的可能性极大</w:t>
            </w:r>
          </w:p>
        </w:tc>
      </w:tr>
      <w:tr w14:paraId="0ED434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9" w:type="dxa"/>
            <w:vAlign w:val="center"/>
          </w:tcPr>
          <w:p w14:paraId="5D80D569">
            <w:pPr>
              <w:jc w:val="center"/>
              <w:rPr>
                <w:rFonts w:ascii="宋体" w:hAnsi="宋体" w:eastAsia="宋体"/>
                <w:color w:val="000000" w:themeColor="text1"/>
                <w:sz w:val="18"/>
                <w:szCs w:val="18"/>
                <w14:textFill>
                  <w14:solidFill>
                    <w14:schemeClr w14:val="tx1"/>
                  </w14:solidFill>
                </w14:textFill>
              </w:rPr>
            </w:pPr>
            <w:r>
              <w:rPr>
                <w:rFonts w:hint="eastAsia" w:ascii="宋体" w:hAnsi="宋体" w:eastAsia="宋体"/>
                <w:color w:val="000000" w:themeColor="text1"/>
                <w:sz w:val="18"/>
                <w:szCs w:val="18"/>
                <w14:textFill>
                  <w14:solidFill>
                    <w14:schemeClr w14:val="tx1"/>
                  </w14:solidFill>
                </w14:textFill>
              </w:rPr>
              <w:t>2</w:t>
            </w:r>
          </w:p>
        </w:tc>
        <w:tc>
          <w:tcPr>
            <w:tcW w:w="1592" w:type="dxa"/>
            <w:vAlign w:val="center"/>
          </w:tcPr>
          <w:p w14:paraId="1EF14736">
            <w:pPr>
              <w:jc w:val="center"/>
              <w:rPr>
                <w:rFonts w:ascii="宋体" w:hAnsi="宋体" w:eastAsia="宋体"/>
                <w:color w:val="000000" w:themeColor="text1"/>
                <w:sz w:val="18"/>
                <w:szCs w:val="18"/>
                <w14:textFill>
                  <w14:solidFill>
                    <w14:schemeClr w14:val="tx1"/>
                  </w14:solidFill>
                </w14:textFill>
              </w:rPr>
            </w:pPr>
            <w:r>
              <w:rPr>
                <w:rFonts w:hint="eastAsia" w:ascii="宋体" w:hAnsi="宋体" w:eastAsia="宋体"/>
                <w:color w:val="000000" w:themeColor="text1"/>
                <w:sz w:val="18"/>
                <w:szCs w:val="18"/>
                <w14:textFill>
                  <w14:solidFill>
                    <w14:schemeClr w14:val="tx1"/>
                  </w14:solidFill>
                </w14:textFill>
              </w:rPr>
              <w:t>61%-80%</w:t>
            </w:r>
          </w:p>
        </w:tc>
        <w:tc>
          <w:tcPr>
            <w:tcW w:w="1521" w:type="dxa"/>
            <w:vAlign w:val="center"/>
          </w:tcPr>
          <w:p w14:paraId="16CB1DFA">
            <w:pPr>
              <w:jc w:val="center"/>
              <w:rPr>
                <w:rFonts w:ascii="宋体" w:hAnsi="宋体" w:eastAsia="宋体"/>
                <w:color w:val="000000" w:themeColor="text1"/>
                <w:sz w:val="18"/>
                <w:szCs w:val="18"/>
                <w14:textFill>
                  <w14:solidFill>
                    <w14:schemeClr w14:val="tx1"/>
                  </w14:solidFill>
                </w14:textFill>
              </w:rPr>
            </w:pPr>
            <w:r>
              <w:rPr>
                <w:rFonts w:hint="eastAsia" w:ascii="宋体" w:hAnsi="宋体" w:eastAsia="宋体"/>
                <w:color w:val="000000" w:themeColor="text1"/>
                <w:sz w:val="18"/>
                <w:szCs w:val="18"/>
                <w14:textFill>
                  <w14:solidFill>
                    <w14:schemeClr w14:val="tx1"/>
                  </w14:solidFill>
                </w14:textFill>
              </w:rPr>
              <w:t>较高</w:t>
            </w:r>
          </w:p>
        </w:tc>
        <w:tc>
          <w:tcPr>
            <w:tcW w:w="2636" w:type="dxa"/>
            <w:vAlign w:val="center"/>
          </w:tcPr>
          <w:p w14:paraId="4765F2D2">
            <w:pPr>
              <w:jc w:val="center"/>
              <w:rPr>
                <w:rFonts w:ascii="宋体" w:hAnsi="宋体" w:eastAsia="宋体"/>
                <w:color w:val="000000" w:themeColor="text1"/>
                <w:sz w:val="18"/>
                <w:szCs w:val="18"/>
                <w14:textFill>
                  <w14:solidFill>
                    <w14:schemeClr w14:val="tx1"/>
                  </w14:solidFill>
                </w14:textFill>
              </w:rPr>
            </w:pPr>
            <w:r>
              <w:rPr>
                <w:rFonts w:hint="eastAsia" w:ascii="宋体" w:hAnsi="宋体" w:eastAsia="宋体"/>
                <w:color w:val="000000" w:themeColor="text1"/>
                <w:sz w:val="18"/>
                <w:szCs w:val="18"/>
                <w14:textFill>
                  <w14:solidFill>
                    <w14:schemeClr w14:val="tx1"/>
                  </w14:solidFill>
                </w14:textFill>
              </w:rPr>
              <w:t>发生的可能性很大</w:t>
            </w:r>
          </w:p>
        </w:tc>
      </w:tr>
      <w:tr w14:paraId="7BB473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9" w:type="dxa"/>
            <w:vAlign w:val="center"/>
          </w:tcPr>
          <w:p w14:paraId="7CBCE8D1">
            <w:pPr>
              <w:jc w:val="center"/>
              <w:rPr>
                <w:rFonts w:ascii="宋体" w:hAnsi="宋体" w:eastAsia="宋体"/>
                <w:color w:val="000000" w:themeColor="text1"/>
                <w:sz w:val="18"/>
                <w:szCs w:val="18"/>
                <w14:textFill>
                  <w14:solidFill>
                    <w14:schemeClr w14:val="tx1"/>
                  </w14:solidFill>
                </w14:textFill>
              </w:rPr>
            </w:pPr>
            <w:r>
              <w:rPr>
                <w:rFonts w:hint="eastAsia" w:ascii="宋体" w:hAnsi="宋体" w:eastAsia="宋体"/>
                <w:color w:val="000000" w:themeColor="text1"/>
                <w:sz w:val="18"/>
                <w:szCs w:val="18"/>
                <w14:textFill>
                  <w14:solidFill>
                    <w14:schemeClr w14:val="tx1"/>
                  </w14:solidFill>
                </w14:textFill>
              </w:rPr>
              <w:t>3</w:t>
            </w:r>
          </w:p>
        </w:tc>
        <w:tc>
          <w:tcPr>
            <w:tcW w:w="1592" w:type="dxa"/>
            <w:vAlign w:val="center"/>
          </w:tcPr>
          <w:p w14:paraId="58214C93">
            <w:pPr>
              <w:jc w:val="center"/>
              <w:rPr>
                <w:rFonts w:ascii="宋体" w:hAnsi="宋体" w:eastAsia="宋体"/>
                <w:color w:val="000000" w:themeColor="text1"/>
                <w:sz w:val="18"/>
                <w:szCs w:val="18"/>
                <w14:textFill>
                  <w14:solidFill>
                    <w14:schemeClr w14:val="tx1"/>
                  </w14:solidFill>
                </w14:textFill>
              </w:rPr>
            </w:pPr>
            <w:r>
              <w:rPr>
                <w:rFonts w:hint="eastAsia" w:ascii="宋体" w:hAnsi="宋体" w:eastAsia="宋体"/>
                <w:color w:val="000000" w:themeColor="text1"/>
                <w:sz w:val="18"/>
                <w:szCs w:val="18"/>
                <w14:textFill>
                  <w14:solidFill>
                    <w14:schemeClr w14:val="tx1"/>
                  </w14:solidFill>
                </w14:textFill>
              </w:rPr>
              <w:t>41%-60%</w:t>
            </w:r>
          </w:p>
        </w:tc>
        <w:tc>
          <w:tcPr>
            <w:tcW w:w="1521" w:type="dxa"/>
            <w:vAlign w:val="center"/>
          </w:tcPr>
          <w:p w14:paraId="3DDBC106">
            <w:pPr>
              <w:jc w:val="center"/>
              <w:rPr>
                <w:rFonts w:ascii="宋体" w:hAnsi="宋体" w:eastAsia="宋体"/>
                <w:color w:val="000000" w:themeColor="text1"/>
                <w:sz w:val="18"/>
                <w:szCs w:val="18"/>
                <w14:textFill>
                  <w14:solidFill>
                    <w14:schemeClr w14:val="tx1"/>
                  </w14:solidFill>
                </w14:textFill>
              </w:rPr>
            </w:pPr>
            <w:r>
              <w:rPr>
                <w:rFonts w:hint="eastAsia" w:ascii="宋体" w:hAnsi="宋体" w:eastAsia="宋体"/>
                <w:color w:val="000000" w:themeColor="text1"/>
                <w:sz w:val="18"/>
                <w:szCs w:val="18"/>
                <w14:textFill>
                  <w14:solidFill>
                    <w14:schemeClr w14:val="tx1"/>
                  </w14:solidFill>
                </w14:textFill>
              </w:rPr>
              <w:t>中等</w:t>
            </w:r>
          </w:p>
        </w:tc>
        <w:tc>
          <w:tcPr>
            <w:tcW w:w="2636" w:type="dxa"/>
            <w:vAlign w:val="center"/>
          </w:tcPr>
          <w:p w14:paraId="22C5E807">
            <w:pPr>
              <w:jc w:val="center"/>
              <w:rPr>
                <w:rFonts w:ascii="宋体" w:hAnsi="宋体" w:eastAsia="宋体"/>
                <w:color w:val="000000" w:themeColor="text1"/>
                <w:sz w:val="18"/>
                <w:szCs w:val="18"/>
                <w14:textFill>
                  <w14:solidFill>
                    <w14:schemeClr w14:val="tx1"/>
                  </w14:solidFill>
                </w14:textFill>
              </w:rPr>
            </w:pPr>
            <w:r>
              <w:rPr>
                <w:rFonts w:hint="eastAsia" w:ascii="宋体" w:hAnsi="宋体" w:eastAsia="宋体"/>
                <w:color w:val="000000" w:themeColor="text1"/>
                <w:sz w:val="18"/>
                <w:szCs w:val="18"/>
                <w14:textFill>
                  <w14:solidFill>
                    <w14:schemeClr w14:val="tx1"/>
                  </w14:solidFill>
                </w14:textFill>
              </w:rPr>
              <w:t>发生的可能性较大</w:t>
            </w:r>
          </w:p>
        </w:tc>
      </w:tr>
      <w:tr w14:paraId="1CC752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9" w:type="dxa"/>
            <w:vAlign w:val="center"/>
          </w:tcPr>
          <w:p w14:paraId="117B83B1">
            <w:pPr>
              <w:jc w:val="center"/>
              <w:rPr>
                <w:rFonts w:ascii="宋体" w:hAnsi="宋体" w:eastAsia="宋体"/>
                <w:color w:val="000000" w:themeColor="text1"/>
                <w:sz w:val="18"/>
                <w:szCs w:val="18"/>
                <w14:textFill>
                  <w14:solidFill>
                    <w14:schemeClr w14:val="tx1"/>
                  </w14:solidFill>
                </w14:textFill>
              </w:rPr>
            </w:pPr>
            <w:r>
              <w:rPr>
                <w:rFonts w:hint="eastAsia" w:ascii="宋体" w:hAnsi="宋体" w:eastAsia="宋体"/>
                <w:color w:val="000000" w:themeColor="text1"/>
                <w:sz w:val="18"/>
                <w:szCs w:val="18"/>
                <w14:textFill>
                  <w14:solidFill>
                    <w14:schemeClr w14:val="tx1"/>
                  </w14:solidFill>
                </w14:textFill>
              </w:rPr>
              <w:t>4</w:t>
            </w:r>
          </w:p>
        </w:tc>
        <w:tc>
          <w:tcPr>
            <w:tcW w:w="1592" w:type="dxa"/>
            <w:vAlign w:val="center"/>
          </w:tcPr>
          <w:p w14:paraId="5F8E0D21">
            <w:pPr>
              <w:jc w:val="center"/>
              <w:rPr>
                <w:rFonts w:ascii="宋体" w:hAnsi="宋体" w:eastAsia="宋体"/>
                <w:color w:val="000000" w:themeColor="text1"/>
                <w:sz w:val="18"/>
                <w:szCs w:val="18"/>
                <w14:textFill>
                  <w14:solidFill>
                    <w14:schemeClr w14:val="tx1"/>
                  </w14:solidFill>
                </w14:textFill>
              </w:rPr>
            </w:pPr>
            <w:r>
              <w:rPr>
                <w:rFonts w:hint="eastAsia" w:ascii="宋体" w:hAnsi="宋体" w:eastAsia="宋体"/>
                <w:color w:val="000000" w:themeColor="text1"/>
                <w:sz w:val="18"/>
                <w:szCs w:val="18"/>
                <w14:textFill>
                  <w14:solidFill>
                    <w14:schemeClr w14:val="tx1"/>
                  </w14:solidFill>
                </w14:textFill>
              </w:rPr>
              <w:t>21%-40%</w:t>
            </w:r>
          </w:p>
        </w:tc>
        <w:tc>
          <w:tcPr>
            <w:tcW w:w="1521" w:type="dxa"/>
            <w:vAlign w:val="center"/>
          </w:tcPr>
          <w:p w14:paraId="64BDE497">
            <w:pPr>
              <w:jc w:val="center"/>
              <w:rPr>
                <w:rFonts w:ascii="宋体" w:hAnsi="宋体" w:eastAsia="宋体"/>
                <w:color w:val="000000" w:themeColor="text1"/>
                <w:sz w:val="18"/>
                <w:szCs w:val="18"/>
                <w14:textFill>
                  <w14:solidFill>
                    <w14:schemeClr w14:val="tx1"/>
                  </w14:solidFill>
                </w14:textFill>
              </w:rPr>
            </w:pPr>
            <w:r>
              <w:rPr>
                <w:rFonts w:hint="eastAsia" w:ascii="宋体" w:hAnsi="宋体" w:eastAsia="宋体"/>
                <w:color w:val="000000" w:themeColor="text1"/>
                <w:sz w:val="18"/>
                <w:szCs w:val="18"/>
                <w14:textFill>
                  <w14:solidFill>
                    <w14:schemeClr w14:val="tx1"/>
                  </w14:solidFill>
                </w14:textFill>
              </w:rPr>
              <w:t>较低</w:t>
            </w:r>
          </w:p>
        </w:tc>
        <w:tc>
          <w:tcPr>
            <w:tcW w:w="2636" w:type="dxa"/>
            <w:vAlign w:val="center"/>
          </w:tcPr>
          <w:p w14:paraId="419BF27E">
            <w:pPr>
              <w:jc w:val="center"/>
              <w:rPr>
                <w:rFonts w:ascii="宋体" w:hAnsi="宋体" w:eastAsia="宋体"/>
                <w:color w:val="000000" w:themeColor="text1"/>
                <w:sz w:val="18"/>
                <w:szCs w:val="18"/>
                <w14:textFill>
                  <w14:solidFill>
                    <w14:schemeClr w14:val="tx1"/>
                  </w14:solidFill>
                </w14:textFill>
              </w:rPr>
            </w:pPr>
            <w:r>
              <w:rPr>
                <w:rFonts w:hint="eastAsia" w:ascii="宋体" w:hAnsi="宋体" w:eastAsia="宋体"/>
                <w:color w:val="000000" w:themeColor="text1"/>
                <w:sz w:val="18"/>
                <w:szCs w:val="18"/>
                <w14:textFill>
                  <w14:solidFill>
                    <w14:schemeClr w14:val="tx1"/>
                  </w14:solidFill>
                </w14:textFill>
              </w:rPr>
              <w:t>发生的可能性很小</w:t>
            </w:r>
          </w:p>
        </w:tc>
      </w:tr>
      <w:tr w14:paraId="55F7CD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9" w:type="dxa"/>
            <w:vAlign w:val="center"/>
          </w:tcPr>
          <w:p w14:paraId="50C5054B">
            <w:pPr>
              <w:jc w:val="center"/>
              <w:rPr>
                <w:rFonts w:ascii="宋体" w:hAnsi="宋体" w:eastAsia="宋体"/>
                <w:color w:val="000000" w:themeColor="text1"/>
                <w:sz w:val="18"/>
                <w:szCs w:val="18"/>
                <w14:textFill>
                  <w14:solidFill>
                    <w14:schemeClr w14:val="tx1"/>
                  </w14:solidFill>
                </w14:textFill>
              </w:rPr>
            </w:pPr>
            <w:r>
              <w:rPr>
                <w:rFonts w:hint="eastAsia" w:ascii="宋体" w:hAnsi="宋体" w:eastAsia="宋体"/>
                <w:color w:val="000000" w:themeColor="text1"/>
                <w:sz w:val="18"/>
                <w:szCs w:val="18"/>
                <w14:textFill>
                  <w14:solidFill>
                    <w14:schemeClr w14:val="tx1"/>
                  </w14:solidFill>
                </w14:textFill>
              </w:rPr>
              <w:t>5</w:t>
            </w:r>
          </w:p>
        </w:tc>
        <w:tc>
          <w:tcPr>
            <w:tcW w:w="1592" w:type="dxa"/>
            <w:vAlign w:val="center"/>
          </w:tcPr>
          <w:p w14:paraId="40071ED8">
            <w:pPr>
              <w:jc w:val="center"/>
              <w:rPr>
                <w:rFonts w:ascii="宋体" w:hAnsi="宋体" w:eastAsia="宋体"/>
                <w:color w:val="000000" w:themeColor="text1"/>
                <w:sz w:val="18"/>
                <w:szCs w:val="18"/>
                <w14:textFill>
                  <w14:solidFill>
                    <w14:schemeClr w14:val="tx1"/>
                  </w14:solidFill>
                </w14:textFill>
              </w:rPr>
            </w:pPr>
            <w:r>
              <w:rPr>
                <w:rFonts w:hint="eastAsia" w:ascii="宋体" w:hAnsi="宋体" w:eastAsia="宋体"/>
                <w:color w:val="000000" w:themeColor="text1"/>
                <w:sz w:val="18"/>
                <w:szCs w:val="18"/>
                <w14:textFill>
                  <w14:solidFill>
                    <w14:schemeClr w14:val="tx1"/>
                  </w14:solidFill>
                </w14:textFill>
              </w:rPr>
              <w:t>0%-20%</w:t>
            </w:r>
          </w:p>
        </w:tc>
        <w:tc>
          <w:tcPr>
            <w:tcW w:w="1521" w:type="dxa"/>
            <w:vAlign w:val="center"/>
          </w:tcPr>
          <w:p w14:paraId="781D5D10">
            <w:pPr>
              <w:jc w:val="center"/>
              <w:rPr>
                <w:rFonts w:ascii="宋体" w:hAnsi="宋体" w:eastAsia="宋体"/>
                <w:color w:val="000000" w:themeColor="text1"/>
                <w:sz w:val="18"/>
                <w:szCs w:val="18"/>
                <w14:textFill>
                  <w14:solidFill>
                    <w14:schemeClr w14:val="tx1"/>
                  </w14:solidFill>
                </w14:textFill>
              </w:rPr>
            </w:pPr>
            <w:r>
              <w:rPr>
                <w:rFonts w:hint="eastAsia" w:ascii="宋体" w:hAnsi="宋体" w:eastAsia="宋体"/>
                <w:color w:val="000000" w:themeColor="text1"/>
                <w:sz w:val="18"/>
                <w:szCs w:val="18"/>
                <w14:textFill>
                  <w14:solidFill>
                    <w14:schemeClr w14:val="tx1"/>
                  </w14:solidFill>
                </w14:textFill>
              </w:rPr>
              <w:t>很低</w:t>
            </w:r>
          </w:p>
        </w:tc>
        <w:tc>
          <w:tcPr>
            <w:tcW w:w="2636" w:type="dxa"/>
            <w:vAlign w:val="center"/>
          </w:tcPr>
          <w:p w14:paraId="1B67EC13">
            <w:pPr>
              <w:jc w:val="center"/>
              <w:rPr>
                <w:rFonts w:ascii="宋体" w:hAnsi="宋体" w:eastAsia="宋体"/>
                <w:color w:val="000000" w:themeColor="text1"/>
                <w:sz w:val="18"/>
                <w:szCs w:val="18"/>
                <w14:textFill>
                  <w14:solidFill>
                    <w14:schemeClr w14:val="tx1"/>
                  </w14:solidFill>
                </w14:textFill>
              </w:rPr>
            </w:pPr>
            <w:r>
              <w:rPr>
                <w:rFonts w:hint="eastAsia" w:ascii="宋体" w:hAnsi="宋体" w:eastAsia="宋体"/>
                <w:color w:val="000000" w:themeColor="text1"/>
                <w:sz w:val="18"/>
                <w:szCs w:val="18"/>
                <w14:textFill>
                  <w14:solidFill>
                    <w14:schemeClr w14:val="tx1"/>
                  </w14:solidFill>
                </w14:textFill>
              </w:rPr>
              <w:t>几乎不可能发生</w:t>
            </w:r>
          </w:p>
        </w:tc>
      </w:tr>
    </w:tbl>
    <w:p w14:paraId="4580E982">
      <w:pPr>
        <w:ind w:firstLine="420" w:firstLineChars="200"/>
        <w:rPr>
          <w:rFonts w:hint="eastAsia" w:ascii="宋体" w:hAnsi="Times New Roman" w:eastAsia="宋体" w:cs="宋体"/>
          <w:kern w:val="0"/>
          <w:sz w:val="21"/>
          <w:szCs w:val="20"/>
        </w:rPr>
      </w:pPr>
      <w:r>
        <w:rPr>
          <w:rFonts w:hint="eastAsia" w:cs="宋体"/>
          <w:kern w:val="0"/>
          <w:sz w:val="21"/>
          <w:szCs w:val="20"/>
          <w:lang w:val="en-US" w:eastAsia="zh-CN"/>
        </w:rPr>
        <w:t>表</w:t>
      </w:r>
      <w:r>
        <w:rPr>
          <w:rFonts w:hint="eastAsia" w:ascii="宋体" w:hAnsi="Times New Roman" w:eastAsia="宋体" w:cs="宋体"/>
          <w:kern w:val="0"/>
          <w:sz w:val="21"/>
          <w:szCs w:val="20"/>
        </w:rPr>
        <w:t>E</w:t>
      </w:r>
      <w:r>
        <w:rPr>
          <w:rFonts w:hint="eastAsia" w:ascii="宋体" w:hAnsi="Times New Roman" w:eastAsia="宋体" w:cs="宋体"/>
          <w:kern w:val="0"/>
          <w:sz w:val="21"/>
          <w:szCs w:val="20"/>
          <w:lang w:val="en-US" w:eastAsia="zh-CN"/>
        </w:rPr>
        <w:t>.2　</w:t>
      </w:r>
      <w:r>
        <w:rPr>
          <w:rFonts w:hint="eastAsia" w:ascii="宋体" w:hAnsi="Times New Roman" w:eastAsia="宋体" w:cs="宋体"/>
          <w:kern w:val="0"/>
          <w:sz w:val="21"/>
          <w:szCs w:val="20"/>
        </w:rPr>
        <w:t>给出了风险发生概率汇总表。</w:t>
      </w:r>
    </w:p>
    <w:p w14:paraId="5C762438">
      <w:pPr>
        <w:ind w:firstLine="540"/>
        <w:jc w:val="center"/>
        <w:rPr>
          <w:rFonts w:hint="eastAsia" w:ascii="黑体" w:hAnsi="黑体" w:eastAsia="黑体" w:cs="黑体"/>
          <w:kern w:val="0"/>
          <w:sz w:val="21"/>
          <w:szCs w:val="20"/>
        </w:rPr>
      </w:pPr>
      <w:r>
        <w:rPr>
          <w:rFonts w:hint="eastAsia" w:ascii="黑体" w:hAnsi="黑体" w:eastAsia="黑体" w:cs="黑体"/>
          <w:kern w:val="0"/>
          <w:sz w:val="21"/>
          <w:szCs w:val="20"/>
        </w:rPr>
        <w:t>表E</w:t>
      </w:r>
      <w:r>
        <w:rPr>
          <w:rFonts w:hint="eastAsia" w:ascii="黑体" w:hAnsi="黑体" w:eastAsia="黑体" w:cs="黑体"/>
          <w:kern w:val="0"/>
          <w:sz w:val="21"/>
          <w:szCs w:val="20"/>
          <w:lang w:val="en-US" w:eastAsia="zh-CN"/>
        </w:rPr>
        <w:t>.</w:t>
      </w:r>
      <w:r>
        <w:rPr>
          <w:rFonts w:hint="eastAsia" w:ascii="黑体" w:hAnsi="黑体" w:eastAsia="黑体" w:cs="黑体"/>
          <w:kern w:val="0"/>
          <w:sz w:val="21"/>
          <w:szCs w:val="20"/>
        </w:rPr>
        <w:t>2  风险发生概率汇总表</w:t>
      </w:r>
    </w:p>
    <w:tbl>
      <w:tblPr>
        <w:tblStyle w:val="2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80"/>
        <w:gridCol w:w="1190"/>
        <w:gridCol w:w="1225"/>
        <w:gridCol w:w="1065"/>
        <w:gridCol w:w="1065"/>
        <w:gridCol w:w="1065"/>
        <w:gridCol w:w="1066"/>
        <w:gridCol w:w="1066"/>
      </w:tblGrid>
      <w:tr w14:paraId="3C3C30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0" w:type="dxa"/>
            <w:vMerge w:val="restart"/>
            <w:vAlign w:val="center"/>
          </w:tcPr>
          <w:p w14:paraId="2E1B85CA">
            <w:pPr>
              <w:jc w:val="center"/>
              <w:rPr>
                <w:rFonts w:ascii="宋体" w:hAnsi="宋体" w:eastAsia="宋体"/>
                <w:color w:val="000000" w:themeColor="text1"/>
                <w:sz w:val="18"/>
                <w:szCs w:val="18"/>
                <w14:textFill>
                  <w14:solidFill>
                    <w14:schemeClr w14:val="tx1"/>
                  </w14:solidFill>
                </w14:textFill>
              </w:rPr>
            </w:pPr>
            <w:r>
              <w:rPr>
                <w:rFonts w:hint="eastAsia" w:ascii="宋体" w:hAnsi="宋体" w:eastAsia="宋体"/>
                <w:color w:val="000000" w:themeColor="text1"/>
                <w:sz w:val="18"/>
                <w:szCs w:val="18"/>
                <w14:textFill>
                  <w14:solidFill>
                    <w14:schemeClr w14:val="tx1"/>
                  </w14:solidFill>
                </w14:textFill>
              </w:rPr>
              <w:t>序号</w:t>
            </w:r>
          </w:p>
        </w:tc>
        <w:tc>
          <w:tcPr>
            <w:tcW w:w="1190" w:type="dxa"/>
            <w:vMerge w:val="restart"/>
            <w:vAlign w:val="center"/>
          </w:tcPr>
          <w:p w14:paraId="0061E5F8">
            <w:pPr>
              <w:jc w:val="center"/>
              <w:rPr>
                <w:rFonts w:ascii="宋体" w:hAnsi="宋体" w:eastAsia="宋体"/>
                <w:color w:val="000000" w:themeColor="text1"/>
                <w:sz w:val="18"/>
                <w:szCs w:val="18"/>
                <w14:textFill>
                  <w14:solidFill>
                    <w14:schemeClr w14:val="tx1"/>
                  </w14:solidFill>
                </w14:textFill>
              </w:rPr>
            </w:pPr>
            <w:r>
              <w:rPr>
                <w:rFonts w:hint="eastAsia" w:ascii="宋体" w:hAnsi="宋体" w:eastAsia="宋体"/>
                <w:color w:val="000000" w:themeColor="text1"/>
                <w:sz w:val="18"/>
                <w:szCs w:val="18"/>
                <w14:textFill>
                  <w14:solidFill>
                    <w14:schemeClr w14:val="tx1"/>
                  </w14:solidFill>
                </w14:textFill>
              </w:rPr>
              <w:t>风险类型</w:t>
            </w:r>
          </w:p>
        </w:tc>
        <w:tc>
          <w:tcPr>
            <w:tcW w:w="1225" w:type="dxa"/>
            <w:vMerge w:val="restart"/>
            <w:vAlign w:val="center"/>
          </w:tcPr>
          <w:p w14:paraId="254E79BE">
            <w:pPr>
              <w:jc w:val="center"/>
              <w:rPr>
                <w:rFonts w:ascii="宋体" w:hAnsi="宋体" w:eastAsia="宋体"/>
                <w:color w:val="000000" w:themeColor="text1"/>
                <w:sz w:val="18"/>
                <w:szCs w:val="18"/>
                <w14:textFill>
                  <w14:solidFill>
                    <w14:schemeClr w14:val="tx1"/>
                  </w14:solidFill>
                </w14:textFill>
              </w:rPr>
            </w:pPr>
            <w:r>
              <w:rPr>
                <w:rFonts w:hint="eastAsia" w:ascii="宋体" w:hAnsi="宋体" w:eastAsia="宋体"/>
                <w:color w:val="000000" w:themeColor="text1"/>
                <w:sz w:val="18"/>
                <w:szCs w:val="18"/>
                <w14:textFill>
                  <w14:solidFill>
                    <w14:schemeClr w14:val="tx1"/>
                  </w14:solidFill>
                </w14:textFill>
              </w:rPr>
              <w:t>风险因素</w:t>
            </w:r>
          </w:p>
        </w:tc>
        <w:tc>
          <w:tcPr>
            <w:tcW w:w="5327" w:type="dxa"/>
            <w:gridSpan w:val="5"/>
            <w:vAlign w:val="center"/>
          </w:tcPr>
          <w:p w14:paraId="421DCCBA">
            <w:pPr>
              <w:jc w:val="center"/>
              <w:rPr>
                <w:rFonts w:ascii="宋体" w:hAnsi="宋体" w:eastAsia="宋体"/>
                <w:color w:val="000000" w:themeColor="text1"/>
                <w:sz w:val="18"/>
                <w:szCs w:val="18"/>
                <w14:textFill>
                  <w14:solidFill>
                    <w14:schemeClr w14:val="tx1"/>
                  </w14:solidFill>
                </w14:textFill>
              </w:rPr>
            </w:pPr>
            <w:r>
              <w:rPr>
                <w:rFonts w:hint="eastAsia" w:ascii="宋体" w:hAnsi="宋体" w:eastAsia="宋体"/>
                <w:color w:val="000000" w:themeColor="text1"/>
                <w:sz w:val="18"/>
                <w:szCs w:val="18"/>
                <w14:textFill>
                  <w14:solidFill>
                    <w14:schemeClr w14:val="tx1"/>
                  </w14:solidFill>
                </w14:textFill>
              </w:rPr>
              <w:t>风险发生概率</w:t>
            </w:r>
          </w:p>
        </w:tc>
      </w:tr>
      <w:tr w14:paraId="263FB6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0" w:type="dxa"/>
            <w:vMerge w:val="continue"/>
            <w:vAlign w:val="center"/>
          </w:tcPr>
          <w:p w14:paraId="50D8DD16">
            <w:pPr>
              <w:jc w:val="center"/>
              <w:rPr>
                <w:rFonts w:ascii="宋体" w:hAnsi="宋体" w:eastAsia="宋体"/>
                <w:color w:val="000000" w:themeColor="text1"/>
                <w:sz w:val="18"/>
                <w:szCs w:val="18"/>
                <w14:textFill>
                  <w14:solidFill>
                    <w14:schemeClr w14:val="tx1"/>
                  </w14:solidFill>
                </w14:textFill>
              </w:rPr>
            </w:pPr>
          </w:p>
        </w:tc>
        <w:tc>
          <w:tcPr>
            <w:tcW w:w="1190" w:type="dxa"/>
            <w:vMerge w:val="continue"/>
            <w:vAlign w:val="center"/>
          </w:tcPr>
          <w:p w14:paraId="58582A09">
            <w:pPr>
              <w:jc w:val="center"/>
              <w:rPr>
                <w:rFonts w:ascii="宋体" w:hAnsi="宋体" w:eastAsia="宋体"/>
                <w:color w:val="000000" w:themeColor="text1"/>
                <w:sz w:val="18"/>
                <w:szCs w:val="18"/>
                <w14:textFill>
                  <w14:solidFill>
                    <w14:schemeClr w14:val="tx1"/>
                  </w14:solidFill>
                </w14:textFill>
              </w:rPr>
            </w:pPr>
          </w:p>
        </w:tc>
        <w:tc>
          <w:tcPr>
            <w:tcW w:w="1225" w:type="dxa"/>
            <w:vMerge w:val="continue"/>
            <w:vAlign w:val="center"/>
          </w:tcPr>
          <w:p w14:paraId="1E0687CA">
            <w:pPr>
              <w:jc w:val="center"/>
              <w:rPr>
                <w:rFonts w:ascii="宋体" w:hAnsi="宋体" w:eastAsia="宋体"/>
                <w:color w:val="000000" w:themeColor="text1"/>
                <w:sz w:val="18"/>
                <w:szCs w:val="18"/>
                <w14:textFill>
                  <w14:solidFill>
                    <w14:schemeClr w14:val="tx1"/>
                  </w14:solidFill>
                </w14:textFill>
              </w:rPr>
            </w:pPr>
          </w:p>
        </w:tc>
        <w:tc>
          <w:tcPr>
            <w:tcW w:w="1065" w:type="dxa"/>
            <w:vAlign w:val="center"/>
          </w:tcPr>
          <w:p w14:paraId="7A73BDBA">
            <w:pPr>
              <w:jc w:val="center"/>
              <w:rPr>
                <w:rFonts w:ascii="宋体" w:hAnsi="宋体" w:eastAsia="宋体"/>
                <w:color w:val="000000" w:themeColor="text1"/>
                <w:sz w:val="18"/>
                <w:szCs w:val="18"/>
                <w14:textFill>
                  <w14:solidFill>
                    <w14:schemeClr w14:val="tx1"/>
                  </w14:solidFill>
                </w14:textFill>
              </w:rPr>
            </w:pPr>
            <w:r>
              <w:rPr>
                <w:rFonts w:hint="eastAsia" w:ascii="宋体" w:hAnsi="宋体" w:eastAsia="宋体"/>
                <w:color w:val="000000" w:themeColor="text1"/>
                <w:sz w:val="18"/>
                <w:szCs w:val="18"/>
                <w14:textFill>
                  <w14:solidFill>
                    <w14:schemeClr w14:val="tx1"/>
                  </w14:solidFill>
                </w14:textFill>
              </w:rPr>
              <w:t>很高</w:t>
            </w:r>
          </w:p>
        </w:tc>
        <w:tc>
          <w:tcPr>
            <w:tcW w:w="1065" w:type="dxa"/>
            <w:vAlign w:val="center"/>
          </w:tcPr>
          <w:p w14:paraId="6A68B046">
            <w:pPr>
              <w:jc w:val="center"/>
              <w:rPr>
                <w:rFonts w:ascii="宋体" w:hAnsi="宋体" w:eastAsia="宋体"/>
                <w:color w:val="000000" w:themeColor="text1"/>
                <w:sz w:val="18"/>
                <w:szCs w:val="18"/>
                <w14:textFill>
                  <w14:solidFill>
                    <w14:schemeClr w14:val="tx1"/>
                  </w14:solidFill>
                </w14:textFill>
              </w:rPr>
            </w:pPr>
            <w:r>
              <w:rPr>
                <w:rFonts w:hint="eastAsia" w:ascii="宋体" w:hAnsi="宋体" w:eastAsia="宋体"/>
                <w:color w:val="000000" w:themeColor="text1"/>
                <w:sz w:val="18"/>
                <w:szCs w:val="18"/>
                <w14:textFill>
                  <w14:solidFill>
                    <w14:schemeClr w14:val="tx1"/>
                  </w14:solidFill>
                </w14:textFill>
              </w:rPr>
              <w:t>较高</w:t>
            </w:r>
          </w:p>
        </w:tc>
        <w:tc>
          <w:tcPr>
            <w:tcW w:w="1065" w:type="dxa"/>
            <w:vAlign w:val="center"/>
          </w:tcPr>
          <w:p w14:paraId="74AA46AF">
            <w:pPr>
              <w:jc w:val="center"/>
              <w:rPr>
                <w:rFonts w:ascii="宋体" w:hAnsi="宋体" w:eastAsia="宋体"/>
                <w:color w:val="000000" w:themeColor="text1"/>
                <w:sz w:val="18"/>
                <w:szCs w:val="18"/>
                <w14:textFill>
                  <w14:solidFill>
                    <w14:schemeClr w14:val="tx1"/>
                  </w14:solidFill>
                </w14:textFill>
              </w:rPr>
            </w:pPr>
            <w:r>
              <w:rPr>
                <w:rFonts w:hint="eastAsia" w:ascii="宋体" w:hAnsi="宋体" w:eastAsia="宋体"/>
                <w:color w:val="000000" w:themeColor="text1"/>
                <w:sz w:val="18"/>
                <w:szCs w:val="18"/>
                <w14:textFill>
                  <w14:solidFill>
                    <w14:schemeClr w14:val="tx1"/>
                  </w14:solidFill>
                </w14:textFill>
              </w:rPr>
              <w:t>中等</w:t>
            </w:r>
          </w:p>
        </w:tc>
        <w:tc>
          <w:tcPr>
            <w:tcW w:w="1066" w:type="dxa"/>
            <w:vAlign w:val="center"/>
          </w:tcPr>
          <w:p w14:paraId="4F6558C9">
            <w:pPr>
              <w:jc w:val="center"/>
              <w:rPr>
                <w:rFonts w:ascii="宋体" w:hAnsi="宋体" w:eastAsia="宋体"/>
                <w:color w:val="000000" w:themeColor="text1"/>
                <w:sz w:val="18"/>
                <w:szCs w:val="18"/>
                <w14:textFill>
                  <w14:solidFill>
                    <w14:schemeClr w14:val="tx1"/>
                  </w14:solidFill>
                </w14:textFill>
              </w:rPr>
            </w:pPr>
            <w:r>
              <w:rPr>
                <w:rFonts w:hint="eastAsia" w:ascii="宋体" w:hAnsi="宋体" w:eastAsia="宋体"/>
                <w:color w:val="000000" w:themeColor="text1"/>
                <w:sz w:val="18"/>
                <w:szCs w:val="18"/>
                <w14:textFill>
                  <w14:solidFill>
                    <w14:schemeClr w14:val="tx1"/>
                  </w14:solidFill>
                </w14:textFill>
              </w:rPr>
              <w:t>较低</w:t>
            </w:r>
          </w:p>
        </w:tc>
        <w:tc>
          <w:tcPr>
            <w:tcW w:w="1066" w:type="dxa"/>
            <w:vAlign w:val="center"/>
          </w:tcPr>
          <w:p w14:paraId="3A1F59CD">
            <w:pPr>
              <w:jc w:val="center"/>
              <w:rPr>
                <w:rFonts w:ascii="宋体" w:hAnsi="宋体" w:eastAsia="宋体"/>
                <w:color w:val="000000" w:themeColor="text1"/>
                <w:sz w:val="18"/>
                <w:szCs w:val="18"/>
                <w14:textFill>
                  <w14:solidFill>
                    <w14:schemeClr w14:val="tx1"/>
                  </w14:solidFill>
                </w14:textFill>
              </w:rPr>
            </w:pPr>
            <w:r>
              <w:rPr>
                <w:rFonts w:hint="eastAsia" w:ascii="宋体" w:hAnsi="宋体" w:eastAsia="宋体"/>
                <w:color w:val="000000" w:themeColor="text1"/>
                <w:sz w:val="18"/>
                <w:szCs w:val="18"/>
                <w14:textFill>
                  <w14:solidFill>
                    <w14:schemeClr w14:val="tx1"/>
                  </w14:solidFill>
                </w14:textFill>
              </w:rPr>
              <w:t>很低</w:t>
            </w:r>
          </w:p>
        </w:tc>
      </w:tr>
      <w:tr w14:paraId="60F6AC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0" w:type="dxa"/>
            <w:vAlign w:val="center"/>
          </w:tcPr>
          <w:p w14:paraId="4D880C89">
            <w:pPr>
              <w:jc w:val="center"/>
              <w:rPr>
                <w:rFonts w:ascii="宋体" w:hAnsi="宋体" w:eastAsia="宋体"/>
                <w:color w:val="000000" w:themeColor="text1"/>
                <w:sz w:val="18"/>
                <w:szCs w:val="18"/>
                <w14:textFill>
                  <w14:solidFill>
                    <w14:schemeClr w14:val="tx1"/>
                  </w14:solidFill>
                </w14:textFill>
              </w:rPr>
            </w:pPr>
            <w:r>
              <w:rPr>
                <w:rFonts w:hint="eastAsia" w:ascii="宋体" w:hAnsi="宋体" w:eastAsia="宋体"/>
                <w:color w:val="000000" w:themeColor="text1"/>
                <w:sz w:val="18"/>
                <w:szCs w:val="18"/>
                <w14:textFill>
                  <w14:solidFill>
                    <w14:schemeClr w14:val="tx1"/>
                  </w14:solidFill>
                </w14:textFill>
              </w:rPr>
              <w:t>1</w:t>
            </w:r>
          </w:p>
        </w:tc>
        <w:tc>
          <w:tcPr>
            <w:tcW w:w="1190" w:type="dxa"/>
            <w:vAlign w:val="center"/>
          </w:tcPr>
          <w:p w14:paraId="7F9D17F7">
            <w:pPr>
              <w:jc w:val="center"/>
              <w:rPr>
                <w:rFonts w:ascii="宋体" w:hAnsi="宋体" w:eastAsia="宋体"/>
                <w:color w:val="000000" w:themeColor="text1"/>
                <w:sz w:val="18"/>
                <w:szCs w:val="18"/>
                <w14:textFill>
                  <w14:solidFill>
                    <w14:schemeClr w14:val="tx1"/>
                  </w14:solidFill>
                </w14:textFill>
              </w:rPr>
            </w:pPr>
          </w:p>
        </w:tc>
        <w:tc>
          <w:tcPr>
            <w:tcW w:w="1225" w:type="dxa"/>
            <w:vAlign w:val="center"/>
          </w:tcPr>
          <w:p w14:paraId="5A78EA87">
            <w:pPr>
              <w:jc w:val="center"/>
              <w:rPr>
                <w:rFonts w:ascii="宋体" w:hAnsi="宋体" w:eastAsia="宋体"/>
                <w:color w:val="000000" w:themeColor="text1"/>
                <w:sz w:val="18"/>
                <w:szCs w:val="18"/>
                <w14:textFill>
                  <w14:solidFill>
                    <w14:schemeClr w14:val="tx1"/>
                  </w14:solidFill>
                </w14:textFill>
              </w:rPr>
            </w:pPr>
          </w:p>
        </w:tc>
        <w:tc>
          <w:tcPr>
            <w:tcW w:w="1065" w:type="dxa"/>
            <w:vAlign w:val="center"/>
          </w:tcPr>
          <w:p w14:paraId="0E966D92">
            <w:pPr>
              <w:jc w:val="center"/>
              <w:rPr>
                <w:rFonts w:ascii="宋体" w:hAnsi="宋体" w:eastAsia="宋体"/>
                <w:color w:val="000000" w:themeColor="text1"/>
                <w:sz w:val="18"/>
                <w:szCs w:val="18"/>
                <w14:textFill>
                  <w14:solidFill>
                    <w14:schemeClr w14:val="tx1"/>
                  </w14:solidFill>
                </w14:textFill>
              </w:rPr>
            </w:pPr>
          </w:p>
        </w:tc>
        <w:tc>
          <w:tcPr>
            <w:tcW w:w="1065" w:type="dxa"/>
            <w:vAlign w:val="center"/>
          </w:tcPr>
          <w:p w14:paraId="16535CD4">
            <w:pPr>
              <w:jc w:val="center"/>
              <w:rPr>
                <w:rFonts w:ascii="宋体" w:hAnsi="宋体" w:eastAsia="宋体"/>
                <w:color w:val="000000" w:themeColor="text1"/>
                <w:sz w:val="18"/>
                <w:szCs w:val="18"/>
                <w14:textFill>
                  <w14:solidFill>
                    <w14:schemeClr w14:val="tx1"/>
                  </w14:solidFill>
                </w14:textFill>
              </w:rPr>
            </w:pPr>
          </w:p>
        </w:tc>
        <w:tc>
          <w:tcPr>
            <w:tcW w:w="1065" w:type="dxa"/>
            <w:vAlign w:val="center"/>
          </w:tcPr>
          <w:p w14:paraId="18F67021">
            <w:pPr>
              <w:jc w:val="center"/>
              <w:rPr>
                <w:rFonts w:ascii="宋体" w:hAnsi="宋体" w:eastAsia="宋体"/>
                <w:color w:val="000000" w:themeColor="text1"/>
                <w:sz w:val="18"/>
                <w:szCs w:val="18"/>
                <w14:textFill>
                  <w14:solidFill>
                    <w14:schemeClr w14:val="tx1"/>
                  </w14:solidFill>
                </w14:textFill>
              </w:rPr>
            </w:pPr>
          </w:p>
        </w:tc>
        <w:tc>
          <w:tcPr>
            <w:tcW w:w="1066" w:type="dxa"/>
            <w:vAlign w:val="center"/>
          </w:tcPr>
          <w:p w14:paraId="5D8BA5EC">
            <w:pPr>
              <w:jc w:val="center"/>
              <w:rPr>
                <w:rFonts w:ascii="宋体" w:hAnsi="宋体" w:eastAsia="宋体"/>
                <w:color w:val="000000" w:themeColor="text1"/>
                <w:sz w:val="18"/>
                <w:szCs w:val="18"/>
                <w14:textFill>
                  <w14:solidFill>
                    <w14:schemeClr w14:val="tx1"/>
                  </w14:solidFill>
                </w14:textFill>
              </w:rPr>
            </w:pPr>
          </w:p>
        </w:tc>
        <w:tc>
          <w:tcPr>
            <w:tcW w:w="1066" w:type="dxa"/>
            <w:vAlign w:val="center"/>
          </w:tcPr>
          <w:p w14:paraId="5A67343D">
            <w:pPr>
              <w:jc w:val="center"/>
              <w:rPr>
                <w:rFonts w:ascii="宋体" w:hAnsi="宋体" w:eastAsia="宋体"/>
                <w:color w:val="000000" w:themeColor="text1"/>
                <w:sz w:val="18"/>
                <w:szCs w:val="18"/>
                <w14:textFill>
                  <w14:solidFill>
                    <w14:schemeClr w14:val="tx1"/>
                  </w14:solidFill>
                </w14:textFill>
              </w:rPr>
            </w:pPr>
          </w:p>
        </w:tc>
      </w:tr>
      <w:tr w14:paraId="736A7B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0" w:type="dxa"/>
            <w:vAlign w:val="center"/>
          </w:tcPr>
          <w:p w14:paraId="4D0DE8A2">
            <w:pPr>
              <w:jc w:val="center"/>
              <w:rPr>
                <w:rFonts w:ascii="宋体" w:hAnsi="宋体" w:eastAsia="宋体"/>
                <w:color w:val="000000" w:themeColor="text1"/>
                <w:sz w:val="18"/>
                <w:szCs w:val="18"/>
                <w14:textFill>
                  <w14:solidFill>
                    <w14:schemeClr w14:val="tx1"/>
                  </w14:solidFill>
                </w14:textFill>
              </w:rPr>
            </w:pPr>
            <w:r>
              <w:rPr>
                <w:rFonts w:hint="eastAsia" w:ascii="宋体" w:hAnsi="宋体" w:eastAsia="宋体"/>
                <w:color w:val="000000" w:themeColor="text1"/>
                <w:sz w:val="18"/>
                <w:szCs w:val="18"/>
                <w14:textFill>
                  <w14:solidFill>
                    <w14:schemeClr w14:val="tx1"/>
                  </w14:solidFill>
                </w14:textFill>
              </w:rPr>
              <w:t>2</w:t>
            </w:r>
          </w:p>
        </w:tc>
        <w:tc>
          <w:tcPr>
            <w:tcW w:w="1190" w:type="dxa"/>
            <w:vAlign w:val="center"/>
          </w:tcPr>
          <w:p w14:paraId="7F01C254">
            <w:pPr>
              <w:jc w:val="center"/>
              <w:rPr>
                <w:rFonts w:ascii="宋体" w:hAnsi="宋体" w:eastAsia="宋体"/>
                <w:color w:val="000000" w:themeColor="text1"/>
                <w:sz w:val="18"/>
                <w:szCs w:val="18"/>
                <w14:textFill>
                  <w14:solidFill>
                    <w14:schemeClr w14:val="tx1"/>
                  </w14:solidFill>
                </w14:textFill>
              </w:rPr>
            </w:pPr>
          </w:p>
        </w:tc>
        <w:tc>
          <w:tcPr>
            <w:tcW w:w="1225" w:type="dxa"/>
            <w:vAlign w:val="center"/>
          </w:tcPr>
          <w:p w14:paraId="4A0F39E0">
            <w:pPr>
              <w:jc w:val="center"/>
              <w:rPr>
                <w:rFonts w:ascii="宋体" w:hAnsi="宋体" w:eastAsia="宋体"/>
                <w:color w:val="000000" w:themeColor="text1"/>
                <w:sz w:val="18"/>
                <w:szCs w:val="18"/>
                <w14:textFill>
                  <w14:solidFill>
                    <w14:schemeClr w14:val="tx1"/>
                  </w14:solidFill>
                </w14:textFill>
              </w:rPr>
            </w:pPr>
          </w:p>
        </w:tc>
        <w:tc>
          <w:tcPr>
            <w:tcW w:w="1065" w:type="dxa"/>
            <w:vAlign w:val="center"/>
          </w:tcPr>
          <w:p w14:paraId="772D978F">
            <w:pPr>
              <w:jc w:val="center"/>
              <w:rPr>
                <w:rFonts w:ascii="宋体" w:hAnsi="宋体" w:eastAsia="宋体"/>
                <w:color w:val="000000" w:themeColor="text1"/>
                <w:sz w:val="18"/>
                <w:szCs w:val="18"/>
                <w14:textFill>
                  <w14:solidFill>
                    <w14:schemeClr w14:val="tx1"/>
                  </w14:solidFill>
                </w14:textFill>
              </w:rPr>
            </w:pPr>
          </w:p>
        </w:tc>
        <w:tc>
          <w:tcPr>
            <w:tcW w:w="1065" w:type="dxa"/>
            <w:vAlign w:val="center"/>
          </w:tcPr>
          <w:p w14:paraId="1A122824">
            <w:pPr>
              <w:jc w:val="center"/>
              <w:rPr>
                <w:rFonts w:ascii="宋体" w:hAnsi="宋体" w:eastAsia="宋体"/>
                <w:color w:val="000000" w:themeColor="text1"/>
                <w:sz w:val="18"/>
                <w:szCs w:val="18"/>
                <w14:textFill>
                  <w14:solidFill>
                    <w14:schemeClr w14:val="tx1"/>
                  </w14:solidFill>
                </w14:textFill>
              </w:rPr>
            </w:pPr>
          </w:p>
        </w:tc>
        <w:tc>
          <w:tcPr>
            <w:tcW w:w="1065" w:type="dxa"/>
            <w:vAlign w:val="center"/>
          </w:tcPr>
          <w:p w14:paraId="0267E0BB">
            <w:pPr>
              <w:jc w:val="center"/>
              <w:rPr>
                <w:rFonts w:ascii="宋体" w:hAnsi="宋体" w:eastAsia="宋体"/>
                <w:color w:val="000000" w:themeColor="text1"/>
                <w:sz w:val="18"/>
                <w:szCs w:val="18"/>
                <w14:textFill>
                  <w14:solidFill>
                    <w14:schemeClr w14:val="tx1"/>
                  </w14:solidFill>
                </w14:textFill>
              </w:rPr>
            </w:pPr>
          </w:p>
        </w:tc>
        <w:tc>
          <w:tcPr>
            <w:tcW w:w="1066" w:type="dxa"/>
            <w:vAlign w:val="center"/>
          </w:tcPr>
          <w:p w14:paraId="5CDAA08D">
            <w:pPr>
              <w:jc w:val="center"/>
              <w:rPr>
                <w:rFonts w:ascii="宋体" w:hAnsi="宋体" w:eastAsia="宋体"/>
                <w:color w:val="000000" w:themeColor="text1"/>
                <w:sz w:val="18"/>
                <w:szCs w:val="18"/>
                <w14:textFill>
                  <w14:solidFill>
                    <w14:schemeClr w14:val="tx1"/>
                  </w14:solidFill>
                </w14:textFill>
              </w:rPr>
            </w:pPr>
          </w:p>
        </w:tc>
        <w:tc>
          <w:tcPr>
            <w:tcW w:w="1066" w:type="dxa"/>
            <w:vAlign w:val="center"/>
          </w:tcPr>
          <w:p w14:paraId="3B4B83E0">
            <w:pPr>
              <w:jc w:val="center"/>
              <w:rPr>
                <w:rFonts w:ascii="宋体" w:hAnsi="宋体" w:eastAsia="宋体"/>
                <w:color w:val="000000" w:themeColor="text1"/>
                <w:sz w:val="18"/>
                <w:szCs w:val="18"/>
                <w14:textFill>
                  <w14:solidFill>
                    <w14:schemeClr w14:val="tx1"/>
                  </w14:solidFill>
                </w14:textFill>
              </w:rPr>
            </w:pPr>
          </w:p>
        </w:tc>
      </w:tr>
      <w:tr w14:paraId="554031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0" w:type="dxa"/>
            <w:vAlign w:val="center"/>
          </w:tcPr>
          <w:p w14:paraId="07F0CC03">
            <w:pPr>
              <w:jc w:val="center"/>
              <w:rPr>
                <w:rFonts w:ascii="宋体" w:hAnsi="宋体" w:eastAsia="宋体"/>
                <w:color w:val="000000" w:themeColor="text1"/>
                <w:sz w:val="18"/>
                <w:szCs w:val="18"/>
                <w14:textFill>
                  <w14:solidFill>
                    <w14:schemeClr w14:val="tx1"/>
                  </w14:solidFill>
                </w14:textFill>
              </w:rPr>
            </w:pPr>
            <w:r>
              <w:rPr>
                <w:rFonts w:hint="eastAsia" w:ascii="宋体" w:hAnsi="宋体" w:eastAsia="宋体"/>
                <w:color w:val="000000" w:themeColor="text1"/>
                <w:sz w:val="18"/>
                <w:szCs w:val="18"/>
                <w14:textFill>
                  <w14:solidFill>
                    <w14:schemeClr w14:val="tx1"/>
                  </w14:solidFill>
                </w14:textFill>
              </w:rPr>
              <w:t>3</w:t>
            </w:r>
          </w:p>
        </w:tc>
        <w:tc>
          <w:tcPr>
            <w:tcW w:w="1190" w:type="dxa"/>
            <w:vAlign w:val="center"/>
          </w:tcPr>
          <w:p w14:paraId="793F9251">
            <w:pPr>
              <w:jc w:val="center"/>
              <w:rPr>
                <w:rFonts w:ascii="宋体" w:hAnsi="宋体" w:eastAsia="宋体"/>
                <w:color w:val="000000" w:themeColor="text1"/>
                <w:sz w:val="18"/>
                <w:szCs w:val="18"/>
                <w14:textFill>
                  <w14:solidFill>
                    <w14:schemeClr w14:val="tx1"/>
                  </w14:solidFill>
                </w14:textFill>
              </w:rPr>
            </w:pPr>
          </w:p>
        </w:tc>
        <w:tc>
          <w:tcPr>
            <w:tcW w:w="1225" w:type="dxa"/>
            <w:vAlign w:val="center"/>
          </w:tcPr>
          <w:p w14:paraId="43902EFC">
            <w:pPr>
              <w:jc w:val="center"/>
              <w:rPr>
                <w:rFonts w:ascii="宋体" w:hAnsi="宋体" w:eastAsia="宋体"/>
                <w:color w:val="000000" w:themeColor="text1"/>
                <w:sz w:val="18"/>
                <w:szCs w:val="18"/>
                <w14:textFill>
                  <w14:solidFill>
                    <w14:schemeClr w14:val="tx1"/>
                  </w14:solidFill>
                </w14:textFill>
              </w:rPr>
            </w:pPr>
          </w:p>
        </w:tc>
        <w:tc>
          <w:tcPr>
            <w:tcW w:w="1065" w:type="dxa"/>
            <w:vAlign w:val="center"/>
          </w:tcPr>
          <w:p w14:paraId="45EB285B">
            <w:pPr>
              <w:jc w:val="center"/>
              <w:rPr>
                <w:rFonts w:ascii="宋体" w:hAnsi="宋体" w:eastAsia="宋体"/>
                <w:color w:val="000000" w:themeColor="text1"/>
                <w:sz w:val="18"/>
                <w:szCs w:val="18"/>
                <w14:textFill>
                  <w14:solidFill>
                    <w14:schemeClr w14:val="tx1"/>
                  </w14:solidFill>
                </w14:textFill>
              </w:rPr>
            </w:pPr>
          </w:p>
        </w:tc>
        <w:tc>
          <w:tcPr>
            <w:tcW w:w="1065" w:type="dxa"/>
            <w:vAlign w:val="center"/>
          </w:tcPr>
          <w:p w14:paraId="17AA72EC">
            <w:pPr>
              <w:jc w:val="center"/>
              <w:rPr>
                <w:rFonts w:ascii="宋体" w:hAnsi="宋体" w:eastAsia="宋体"/>
                <w:color w:val="000000" w:themeColor="text1"/>
                <w:sz w:val="18"/>
                <w:szCs w:val="18"/>
                <w14:textFill>
                  <w14:solidFill>
                    <w14:schemeClr w14:val="tx1"/>
                  </w14:solidFill>
                </w14:textFill>
              </w:rPr>
            </w:pPr>
          </w:p>
        </w:tc>
        <w:tc>
          <w:tcPr>
            <w:tcW w:w="1065" w:type="dxa"/>
            <w:vAlign w:val="center"/>
          </w:tcPr>
          <w:p w14:paraId="1FC5378A">
            <w:pPr>
              <w:jc w:val="center"/>
              <w:rPr>
                <w:rFonts w:ascii="宋体" w:hAnsi="宋体" w:eastAsia="宋体"/>
                <w:color w:val="000000" w:themeColor="text1"/>
                <w:sz w:val="18"/>
                <w:szCs w:val="18"/>
                <w14:textFill>
                  <w14:solidFill>
                    <w14:schemeClr w14:val="tx1"/>
                  </w14:solidFill>
                </w14:textFill>
              </w:rPr>
            </w:pPr>
          </w:p>
        </w:tc>
        <w:tc>
          <w:tcPr>
            <w:tcW w:w="1066" w:type="dxa"/>
            <w:vAlign w:val="center"/>
          </w:tcPr>
          <w:p w14:paraId="21BDBB36">
            <w:pPr>
              <w:jc w:val="center"/>
              <w:rPr>
                <w:rFonts w:ascii="宋体" w:hAnsi="宋体" w:eastAsia="宋体"/>
                <w:color w:val="000000" w:themeColor="text1"/>
                <w:sz w:val="18"/>
                <w:szCs w:val="18"/>
                <w14:textFill>
                  <w14:solidFill>
                    <w14:schemeClr w14:val="tx1"/>
                  </w14:solidFill>
                </w14:textFill>
              </w:rPr>
            </w:pPr>
          </w:p>
        </w:tc>
        <w:tc>
          <w:tcPr>
            <w:tcW w:w="1066" w:type="dxa"/>
            <w:vAlign w:val="center"/>
          </w:tcPr>
          <w:p w14:paraId="5AF07ECD">
            <w:pPr>
              <w:jc w:val="center"/>
              <w:rPr>
                <w:rFonts w:ascii="宋体" w:hAnsi="宋体" w:eastAsia="宋体"/>
                <w:color w:val="000000" w:themeColor="text1"/>
                <w:sz w:val="18"/>
                <w:szCs w:val="18"/>
                <w14:textFill>
                  <w14:solidFill>
                    <w14:schemeClr w14:val="tx1"/>
                  </w14:solidFill>
                </w14:textFill>
              </w:rPr>
            </w:pPr>
          </w:p>
        </w:tc>
      </w:tr>
      <w:tr w14:paraId="1CFF24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0" w:type="dxa"/>
            <w:vAlign w:val="center"/>
          </w:tcPr>
          <w:p w14:paraId="6E103870">
            <w:pPr>
              <w:jc w:val="center"/>
              <w:rPr>
                <w:rFonts w:ascii="宋体" w:hAnsi="宋体" w:eastAsia="宋体"/>
                <w:color w:val="000000" w:themeColor="text1"/>
                <w:sz w:val="18"/>
                <w:szCs w:val="18"/>
                <w14:textFill>
                  <w14:solidFill>
                    <w14:schemeClr w14:val="tx1"/>
                  </w14:solidFill>
                </w14:textFill>
              </w:rPr>
            </w:pPr>
            <w:r>
              <w:rPr>
                <w:rFonts w:hint="eastAsia" w:ascii="宋体" w:hAnsi="宋体" w:eastAsia="宋体"/>
                <w:color w:val="000000" w:themeColor="text1"/>
                <w:sz w:val="18"/>
                <w:szCs w:val="18"/>
                <w14:textFill>
                  <w14:solidFill>
                    <w14:schemeClr w14:val="tx1"/>
                  </w14:solidFill>
                </w14:textFill>
              </w:rPr>
              <w:t>……</w:t>
            </w:r>
          </w:p>
        </w:tc>
        <w:tc>
          <w:tcPr>
            <w:tcW w:w="1190" w:type="dxa"/>
            <w:vAlign w:val="center"/>
          </w:tcPr>
          <w:p w14:paraId="36910466">
            <w:pPr>
              <w:jc w:val="center"/>
              <w:rPr>
                <w:rFonts w:ascii="宋体" w:hAnsi="宋体" w:eastAsia="宋体"/>
                <w:color w:val="000000" w:themeColor="text1"/>
                <w:sz w:val="18"/>
                <w:szCs w:val="18"/>
                <w14:textFill>
                  <w14:solidFill>
                    <w14:schemeClr w14:val="tx1"/>
                  </w14:solidFill>
                </w14:textFill>
              </w:rPr>
            </w:pPr>
          </w:p>
        </w:tc>
        <w:tc>
          <w:tcPr>
            <w:tcW w:w="1225" w:type="dxa"/>
            <w:vAlign w:val="center"/>
          </w:tcPr>
          <w:p w14:paraId="4A996782">
            <w:pPr>
              <w:jc w:val="center"/>
              <w:rPr>
                <w:rFonts w:ascii="宋体" w:hAnsi="宋体" w:eastAsia="宋体"/>
                <w:color w:val="000000" w:themeColor="text1"/>
                <w:sz w:val="18"/>
                <w:szCs w:val="18"/>
                <w14:textFill>
                  <w14:solidFill>
                    <w14:schemeClr w14:val="tx1"/>
                  </w14:solidFill>
                </w14:textFill>
              </w:rPr>
            </w:pPr>
          </w:p>
        </w:tc>
        <w:tc>
          <w:tcPr>
            <w:tcW w:w="1065" w:type="dxa"/>
            <w:vAlign w:val="center"/>
          </w:tcPr>
          <w:p w14:paraId="321CD040">
            <w:pPr>
              <w:jc w:val="center"/>
              <w:rPr>
                <w:rFonts w:ascii="宋体" w:hAnsi="宋体" w:eastAsia="宋体"/>
                <w:color w:val="000000" w:themeColor="text1"/>
                <w:sz w:val="18"/>
                <w:szCs w:val="18"/>
                <w14:textFill>
                  <w14:solidFill>
                    <w14:schemeClr w14:val="tx1"/>
                  </w14:solidFill>
                </w14:textFill>
              </w:rPr>
            </w:pPr>
          </w:p>
        </w:tc>
        <w:tc>
          <w:tcPr>
            <w:tcW w:w="1065" w:type="dxa"/>
            <w:vAlign w:val="center"/>
          </w:tcPr>
          <w:p w14:paraId="3B1A3645">
            <w:pPr>
              <w:jc w:val="center"/>
              <w:rPr>
                <w:rFonts w:ascii="宋体" w:hAnsi="宋体" w:eastAsia="宋体"/>
                <w:color w:val="000000" w:themeColor="text1"/>
                <w:sz w:val="18"/>
                <w:szCs w:val="18"/>
                <w14:textFill>
                  <w14:solidFill>
                    <w14:schemeClr w14:val="tx1"/>
                  </w14:solidFill>
                </w14:textFill>
              </w:rPr>
            </w:pPr>
          </w:p>
        </w:tc>
        <w:tc>
          <w:tcPr>
            <w:tcW w:w="1065" w:type="dxa"/>
            <w:vAlign w:val="center"/>
          </w:tcPr>
          <w:p w14:paraId="3F0B606E">
            <w:pPr>
              <w:jc w:val="center"/>
              <w:rPr>
                <w:rFonts w:ascii="宋体" w:hAnsi="宋体" w:eastAsia="宋体"/>
                <w:color w:val="000000" w:themeColor="text1"/>
                <w:sz w:val="18"/>
                <w:szCs w:val="18"/>
                <w14:textFill>
                  <w14:solidFill>
                    <w14:schemeClr w14:val="tx1"/>
                  </w14:solidFill>
                </w14:textFill>
              </w:rPr>
            </w:pPr>
          </w:p>
        </w:tc>
        <w:tc>
          <w:tcPr>
            <w:tcW w:w="1066" w:type="dxa"/>
            <w:vAlign w:val="center"/>
          </w:tcPr>
          <w:p w14:paraId="388C8B30">
            <w:pPr>
              <w:jc w:val="center"/>
              <w:rPr>
                <w:rFonts w:ascii="宋体" w:hAnsi="宋体" w:eastAsia="宋体"/>
                <w:color w:val="000000" w:themeColor="text1"/>
                <w:sz w:val="18"/>
                <w:szCs w:val="18"/>
                <w14:textFill>
                  <w14:solidFill>
                    <w14:schemeClr w14:val="tx1"/>
                  </w14:solidFill>
                </w14:textFill>
              </w:rPr>
            </w:pPr>
          </w:p>
        </w:tc>
        <w:tc>
          <w:tcPr>
            <w:tcW w:w="1066" w:type="dxa"/>
            <w:vAlign w:val="center"/>
          </w:tcPr>
          <w:p w14:paraId="77193C82">
            <w:pPr>
              <w:jc w:val="center"/>
              <w:rPr>
                <w:rFonts w:ascii="宋体" w:hAnsi="宋体" w:eastAsia="宋体"/>
                <w:color w:val="000000" w:themeColor="text1"/>
                <w:sz w:val="18"/>
                <w:szCs w:val="18"/>
                <w14:textFill>
                  <w14:solidFill>
                    <w14:schemeClr w14:val="tx1"/>
                  </w14:solidFill>
                </w14:textFill>
              </w:rPr>
            </w:pPr>
          </w:p>
        </w:tc>
      </w:tr>
    </w:tbl>
    <w:p w14:paraId="4A81B1FC">
      <w:pPr>
        <w:rPr>
          <w:rFonts w:hint="eastAsia" w:ascii="黑体" w:hAnsi="Times New Roman" w:eastAsia="黑体" w:cs="黑体"/>
          <w:kern w:val="0"/>
          <w:sz w:val="21"/>
          <w:szCs w:val="20"/>
          <w:lang w:val="en-US" w:eastAsia="zh-CN"/>
        </w:rPr>
      </w:pPr>
      <w:r>
        <w:rPr>
          <w:rFonts w:hint="eastAsia" w:ascii="黑体" w:hAnsi="Times New Roman" w:eastAsia="黑体" w:cs="黑体"/>
          <w:kern w:val="0"/>
          <w:sz w:val="21"/>
          <w:szCs w:val="20"/>
          <w:lang w:val="en-US" w:eastAsia="zh-CN"/>
        </w:rPr>
        <w:t>E.2　风险影响程度</w:t>
      </w:r>
    </w:p>
    <w:p w14:paraId="35CC869E">
      <w:pPr>
        <w:pStyle w:val="44"/>
        <w:bidi w:val="0"/>
        <w:rPr>
          <w:rFonts w:ascii="宋体" w:hAnsi="宋体" w:eastAsia="宋体"/>
          <w:color w:val="000000" w:themeColor="text1"/>
          <w:szCs w:val="28"/>
          <w14:textFill>
            <w14:solidFill>
              <w14:schemeClr w14:val="tx1"/>
            </w14:solidFill>
          </w14:textFill>
        </w:rPr>
      </w:pPr>
      <w:r>
        <w:rPr>
          <w:rFonts w:hint="eastAsia" w:ascii="宋体" w:hAnsi="宋体" w:eastAsia="宋体"/>
          <w:color w:val="000000" w:themeColor="text1"/>
          <w:szCs w:val="28"/>
          <w14:textFill>
            <w14:solidFill>
              <w14:schemeClr w14:val="tx1"/>
            </w14:solidFill>
          </w14:textFill>
        </w:rPr>
        <w:t>风</w:t>
      </w:r>
      <w:r>
        <w:rPr>
          <w:rFonts w:hint="eastAsia"/>
        </w:rPr>
        <w:t>险影响程度是指该风险因素影响规模、影响时</w:t>
      </w:r>
      <w:r>
        <w:rPr>
          <w:rFonts w:hint="eastAsia"/>
          <w:lang w:eastAsia="zh-CN"/>
        </w:rPr>
        <w:t>长</w:t>
      </w:r>
      <w:r>
        <w:rPr>
          <w:rFonts w:hint="eastAsia"/>
        </w:rPr>
        <w:t>、群众承受能力等综合情况</w:t>
      </w:r>
      <w:r>
        <w:rPr>
          <w:rFonts w:hint="eastAsia"/>
          <w:lang w:eastAsia="zh-CN"/>
        </w:rPr>
        <w:t>。</w:t>
      </w:r>
      <w:r>
        <w:rPr>
          <w:rFonts w:hint="eastAsia"/>
        </w:rPr>
        <w:t>按照风险发生后对决策事项的影响大小，将影响程度（q）划分为五档，即：严重（判断标准81%-100%）、较大（判断标准61%-80%）、中等（判断标准41%-60%）、较小（判断标准21%-40%）、可忽略（判断标准0%-20%）。风险发生后对决策事项的影响程度分级参见表E</w:t>
      </w:r>
      <w:r>
        <w:rPr>
          <w:rFonts w:hint="eastAsia"/>
          <w:lang w:val="en-US" w:eastAsia="zh-CN"/>
        </w:rPr>
        <w:t>.</w:t>
      </w:r>
      <w:r>
        <w:rPr>
          <w:rFonts w:hint="eastAsia"/>
        </w:rPr>
        <w:t>3。</w:t>
      </w:r>
    </w:p>
    <w:p w14:paraId="0C3231DB">
      <w:pPr>
        <w:ind w:firstLine="540"/>
        <w:jc w:val="center"/>
        <w:rPr>
          <w:rFonts w:hint="eastAsia" w:ascii="黑体" w:hAnsi="黑体" w:eastAsia="黑体" w:cs="黑体"/>
          <w:kern w:val="0"/>
          <w:sz w:val="21"/>
          <w:szCs w:val="20"/>
        </w:rPr>
      </w:pPr>
      <w:r>
        <w:rPr>
          <w:rFonts w:hint="eastAsia" w:ascii="黑体" w:hAnsi="黑体" w:eastAsia="黑体" w:cs="黑体"/>
          <w:kern w:val="0"/>
          <w:sz w:val="21"/>
          <w:szCs w:val="20"/>
        </w:rPr>
        <w:t>表E</w:t>
      </w:r>
      <w:r>
        <w:rPr>
          <w:rFonts w:hint="eastAsia" w:ascii="黑体" w:hAnsi="黑体" w:eastAsia="黑体" w:cs="黑体"/>
          <w:kern w:val="0"/>
          <w:sz w:val="21"/>
          <w:szCs w:val="20"/>
          <w:lang w:val="en-US" w:eastAsia="zh-CN"/>
        </w:rPr>
        <w:t>.3</w:t>
      </w:r>
      <w:r>
        <w:rPr>
          <w:rFonts w:hint="eastAsia" w:ascii="黑体" w:hAnsi="黑体" w:eastAsia="黑体" w:cs="黑体"/>
          <w:kern w:val="0"/>
          <w:sz w:val="21"/>
          <w:szCs w:val="20"/>
        </w:rPr>
        <w:t xml:space="preserve">  风险发生后对项目的影响程度分级表</w:t>
      </w:r>
    </w:p>
    <w:tbl>
      <w:tblPr>
        <w:tblStyle w:val="2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08"/>
        <w:gridCol w:w="1358"/>
        <w:gridCol w:w="1246"/>
        <w:gridCol w:w="5110"/>
      </w:tblGrid>
      <w:tr w14:paraId="1A3F4A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8" w:type="dxa"/>
            <w:vAlign w:val="center"/>
          </w:tcPr>
          <w:p w14:paraId="77FA612F">
            <w:pPr>
              <w:jc w:val="center"/>
              <w:rPr>
                <w:rFonts w:ascii="宋体" w:hAnsi="宋体" w:eastAsia="宋体"/>
                <w:b/>
                <w:color w:val="000000" w:themeColor="text1"/>
                <w:sz w:val="18"/>
                <w:szCs w:val="18"/>
                <w14:textFill>
                  <w14:solidFill>
                    <w14:schemeClr w14:val="tx1"/>
                  </w14:solidFill>
                </w14:textFill>
              </w:rPr>
            </w:pPr>
            <w:r>
              <w:rPr>
                <w:rFonts w:hint="eastAsia" w:ascii="宋体" w:hAnsi="宋体" w:eastAsia="宋体"/>
                <w:b/>
                <w:color w:val="000000" w:themeColor="text1"/>
                <w:sz w:val="18"/>
                <w:szCs w:val="18"/>
                <w14:textFill>
                  <w14:solidFill>
                    <w14:schemeClr w14:val="tx1"/>
                  </w14:solidFill>
                </w14:textFill>
              </w:rPr>
              <w:t>序号</w:t>
            </w:r>
          </w:p>
        </w:tc>
        <w:tc>
          <w:tcPr>
            <w:tcW w:w="1358" w:type="dxa"/>
            <w:vAlign w:val="center"/>
          </w:tcPr>
          <w:p w14:paraId="3FB3F81D">
            <w:pPr>
              <w:jc w:val="center"/>
              <w:rPr>
                <w:rFonts w:ascii="宋体" w:hAnsi="宋体" w:eastAsia="宋体"/>
                <w:b/>
                <w:color w:val="000000" w:themeColor="text1"/>
                <w:sz w:val="18"/>
                <w:szCs w:val="18"/>
                <w14:textFill>
                  <w14:solidFill>
                    <w14:schemeClr w14:val="tx1"/>
                  </w14:solidFill>
                </w14:textFill>
              </w:rPr>
            </w:pPr>
            <w:r>
              <w:rPr>
                <w:rFonts w:hint="eastAsia" w:ascii="宋体" w:hAnsi="宋体" w:eastAsia="宋体"/>
                <w:b/>
                <w:color w:val="000000" w:themeColor="text1"/>
                <w:sz w:val="18"/>
                <w:szCs w:val="18"/>
                <w14:textFill>
                  <w14:solidFill>
                    <w14:schemeClr w14:val="tx1"/>
                  </w14:solidFill>
                </w14:textFill>
              </w:rPr>
              <w:t>判断标准</w:t>
            </w:r>
          </w:p>
        </w:tc>
        <w:tc>
          <w:tcPr>
            <w:tcW w:w="1246" w:type="dxa"/>
            <w:vAlign w:val="center"/>
          </w:tcPr>
          <w:p w14:paraId="6DD6D488">
            <w:pPr>
              <w:jc w:val="center"/>
              <w:rPr>
                <w:rFonts w:ascii="宋体" w:hAnsi="宋体" w:eastAsia="宋体"/>
                <w:b/>
                <w:color w:val="000000" w:themeColor="text1"/>
                <w:sz w:val="18"/>
                <w:szCs w:val="18"/>
                <w14:textFill>
                  <w14:solidFill>
                    <w14:schemeClr w14:val="tx1"/>
                  </w14:solidFill>
                </w14:textFill>
              </w:rPr>
            </w:pPr>
            <w:r>
              <w:rPr>
                <w:rFonts w:hint="eastAsia" w:ascii="宋体" w:hAnsi="宋体" w:eastAsia="宋体"/>
                <w:b/>
                <w:color w:val="000000" w:themeColor="text1"/>
                <w:sz w:val="18"/>
                <w:szCs w:val="18"/>
                <w14:textFill>
                  <w14:solidFill>
                    <w14:schemeClr w14:val="tx1"/>
                  </w14:solidFill>
                </w14:textFill>
              </w:rPr>
              <w:t>影响程度</w:t>
            </w:r>
          </w:p>
        </w:tc>
        <w:tc>
          <w:tcPr>
            <w:tcW w:w="5110" w:type="dxa"/>
            <w:vAlign w:val="center"/>
          </w:tcPr>
          <w:p w14:paraId="32A454B2">
            <w:pPr>
              <w:jc w:val="center"/>
              <w:rPr>
                <w:rFonts w:ascii="宋体" w:hAnsi="宋体" w:eastAsia="宋体"/>
                <w:b/>
                <w:color w:val="000000" w:themeColor="text1"/>
                <w:sz w:val="18"/>
                <w:szCs w:val="18"/>
                <w14:textFill>
                  <w14:solidFill>
                    <w14:schemeClr w14:val="tx1"/>
                  </w14:solidFill>
                </w14:textFill>
              </w:rPr>
            </w:pPr>
            <w:r>
              <w:rPr>
                <w:rFonts w:hint="eastAsia" w:ascii="宋体" w:hAnsi="宋体" w:eastAsia="宋体"/>
                <w:b/>
                <w:color w:val="000000" w:themeColor="text1"/>
                <w:sz w:val="18"/>
                <w:szCs w:val="18"/>
                <w14:textFill>
                  <w14:solidFill>
                    <w14:schemeClr w14:val="tx1"/>
                  </w14:solidFill>
                </w14:textFill>
              </w:rPr>
              <w:t>判断依据</w:t>
            </w:r>
          </w:p>
        </w:tc>
      </w:tr>
      <w:tr w14:paraId="039306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8" w:type="dxa"/>
            <w:vAlign w:val="center"/>
          </w:tcPr>
          <w:p w14:paraId="7C7B6E4F">
            <w:pPr>
              <w:jc w:val="center"/>
              <w:rPr>
                <w:rFonts w:ascii="宋体" w:hAnsi="宋体" w:eastAsia="宋体"/>
                <w:color w:val="000000" w:themeColor="text1"/>
                <w:sz w:val="18"/>
                <w:szCs w:val="18"/>
                <w14:textFill>
                  <w14:solidFill>
                    <w14:schemeClr w14:val="tx1"/>
                  </w14:solidFill>
                </w14:textFill>
              </w:rPr>
            </w:pPr>
            <w:r>
              <w:rPr>
                <w:rFonts w:hint="eastAsia" w:ascii="宋体" w:hAnsi="宋体" w:eastAsia="宋体"/>
                <w:color w:val="000000" w:themeColor="text1"/>
                <w:sz w:val="18"/>
                <w:szCs w:val="18"/>
                <w14:textFill>
                  <w14:solidFill>
                    <w14:schemeClr w14:val="tx1"/>
                  </w14:solidFill>
                </w14:textFill>
              </w:rPr>
              <w:t>1</w:t>
            </w:r>
          </w:p>
        </w:tc>
        <w:tc>
          <w:tcPr>
            <w:tcW w:w="1358" w:type="dxa"/>
            <w:vAlign w:val="center"/>
          </w:tcPr>
          <w:p w14:paraId="27E25984">
            <w:pPr>
              <w:jc w:val="center"/>
              <w:rPr>
                <w:rFonts w:ascii="宋体" w:hAnsi="宋体" w:eastAsia="宋体"/>
                <w:color w:val="000000" w:themeColor="text1"/>
                <w:sz w:val="18"/>
                <w:szCs w:val="18"/>
                <w14:textFill>
                  <w14:solidFill>
                    <w14:schemeClr w14:val="tx1"/>
                  </w14:solidFill>
                </w14:textFill>
              </w:rPr>
            </w:pPr>
            <w:r>
              <w:rPr>
                <w:rFonts w:hint="eastAsia" w:ascii="宋体" w:hAnsi="宋体" w:eastAsia="宋体"/>
                <w:color w:val="000000" w:themeColor="text1"/>
                <w:sz w:val="18"/>
                <w:szCs w:val="18"/>
                <w14:textFill>
                  <w14:solidFill>
                    <w14:schemeClr w14:val="tx1"/>
                  </w14:solidFill>
                </w14:textFill>
              </w:rPr>
              <w:t>81%-100%</w:t>
            </w:r>
          </w:p>
        </w:tc>
        <w:tc>
          <w:tcPr>
            <w:tcW w:w="1246" w:type="dxa"/>
            <w:vAlign w:val="center"/>
          </w:tcPr>
          <w:p w14:paraId="6EC0ACED">
            <w:pPr>
              <w:jc w:val="center"/>
              <w:rPr>
                <w:rFonts w:ascii="宋体" w:hAnsi="宋体" w:eastAsia="宋体"/>
                <w:color w:val="000000" w:themeColor="text1"/>
                <w:sz w:val="18"/>
                <w:szCs w:val="18"/>
                <w14:textFill>
                  <w14:solidFill>
                    <w14:schemeClr w14:val="tx1"/>
                  </w14:solidFill>
                </w14:textFill>
              </w:rPr>
            </w:pPr>
            <w:r>
              <w:rPr>
                <w:rFonts w:hint="eastAsia" w:ascii="宋体" w:hAnsi="宋体" w:eastAsia="宋体"/>
                <w:color w:val="000000" w:themeColor="text1"/>
                <w:sz w:val="18"/>
                <w:szCs w:val="18"/>
                <w14:textFill>
                  <w14:solidFill>
                    <w14:schemeClr w14:val="tx1"/>
                  </w14:solidFill>
                </w14:textFill>
              </w:rPr>
              <w:t>严重</w:t>
            </w:r>
          </w:p>
        </w:tc>
        <w:tc>
          <w:tcPr>
            <w:tcW w:w="5110" w:type="dxa"/>
            <w:vAlign w:val="center"/>
          </w:tcPr>
          <w:p w14:paraId="3B965D0B">
            <w:pPr>
              <w:rPr>
                <w:rFonts w:ascii="宋体" w:hAnsi="宋体" w:eastAsia="宋体"/>
                <w:color w:val="000000" w:themeColor="text1"/>
                <w:sz w:val="18"/>
                <w:szCs w:val="18"/>
                <w14:textFill>
                  <w14:solidFill>
                    <w14:schemeClr w14:val="tx1"/>
                  </w14:solidFill>
                </w14:textFill>
              </w:rPr>
            </w:pPr>
            <w:r>
              <w:rPr>
                <w:rFonts w:hint="eastAsia" w:ascii="宋体" w:hAnsi="宋体" w:eastAsia="宋体"/>
                <w:color w:val="000000" w:themeColor="text1"/>
                <w:sz w:val="18"/>
                <w:szCs w:val="18"/>
                <w14:textFill>
                  <w14:solidFill>
                    <w14:schemeClr w14:val="tx1"/>
                  </w14:solidFill>
                </w14:textFill>
              </w:rPr>
              <w:t>在当地或更大范围内造成负面影响，需要通过长时间的努力才能消除，付出巨大代价，影响程度严重</w:t>
            </w:r>
          </w:p>
        </w:tc>
      </w:tr>
      <w:tr w14:paraId="374BA7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8" w:type="dxa"/>
            <w:vAlign w:val="center"/>
          </w:tcPr>
          <w:p w14:paraId="489E8A84">
            <w:pPr>
              <w:jc w:val="center"/>
              <w:rPr>
                <w:rFonts w:ascii="宋体" w:hAnsi="宋体" w:eastAsia="宋体"/>
                <w:color w:val="000000" w:themeColor="text1"/>
                <w:sz w:val="18"/>
                <w:szCs w:val="18"/>
                <w14:textFill>
                  <w14:solidFill>
                    <w14:schemeClr w14:val="tx1"/>
                  </w14:solidFill>
                </w14:textFill>
              </w:rPr>
            </w:pPr>
            <w:r>
              <w:rPr>
                <w:rFonts w:hint="eastAsia" w:ascii="宋体" w:hAnsi="宋体" w:eastAsia="宋体"/>
                <w:color w:val="000000" w:themeColor="text1"/>
                <w:sz w:val="18"/>
                <w:szCs w:val="18"/>
                <w14:textFill>
                  <w14:solidFill>
                    <w14:schemeClr w14:val="tx1"/>
                  </w14:solidFill>
                </w14:textFill>
              </w:rPr>
              <w:t>2</w:t>
            </w:r>
          </w:p>
        </w:tc>
        <w:tc>
          <w:tcPr>
            <w:tcW w:w="1358" w:type="dxa"/>
            <w:vAlign w:val="center"/>
          </w:tcPr>
          <w:p w14:paraId="0FE60C7D">
            <w:pPr>
              <w:jc w:val="center"/>
              <w:rPr>
                <w:rFonts w:ascii="宋体" w:hAnsi="宋体" w:eastAsia="宋体"/>
                <w:color w:val="000000" w:themeColor="text1"/>
                <w:sz w:val="18"/>
                <w:szCs w:val="18"/>
                <w14:textFill>
                  <w14:solidFill>
                    <w14:schemeClr w14:val="tx1"/>
                  </w14:solidFill>
                </w14:textFill>
              </w:rPr>
            </w:pPr>
            <w:r>
              <w:rPr>
                <w:rFonts w:hint="eastAsia" w:ascii="宋体" w:hAnsi="宋体" w:eastAsia="宋体"/>
                <w:color w:val="000000" w:themeColor="text1"/>
                <w:sz w:val="18"/>
                <w:szCs w:val="18"/>
                <w14:textFill>
                  <w14:solidFill>
                    <w14:schemeClr w14:val="tx1"/>
                  </w14:solidFill>
                </w14:textFill>
              </w:rPr>
              <w:t>61%-80%</w:t>
            </w:r>
          </w:p>
        </w:tc>
        <w:tc>
          <w:tcPr>
            <w:tcW w:w="1246" w:type="dxa"/>
            <w:vAlign w:val="center"/>
          </w:tcPr>
          <w:p w14:paraId="35453CE3">
            <w:pPr>
              <w:jc w:val="center"/>
              <w:rPr>
                <w:rFonts w:ascii="宋体" w:hAnsi="宋体" w:eastAsia="宋体"/>
                <w:color w:val="000000" w:themeColor="text1"/>
                <w:sz w:val="18"/>
                <w:szCs w:val="18"/>
                <w14:textFill>
                  <w14:solidFill>
                    <w14:schemeClr w14:val="tx1"/>
                  </w14:solidFill>
                </w14:textFill>
              </w:rPr>
            </w:pPr>
            <w:r>
              <w:rPr>
                <w:rFonts w:hint="eastAsia" w:ascii="宋体" w:hAnsi="宋体" w:eastAsia="宋体"/>
                <w:color w:val="000000" w:themeColor="text1"/>
                <w:sz w:val="18"/>
                <w:szCs w:val="18"/>
                <w14:textFill>
                  <w14:solidFill>
                    <w14:schemeClr w14:val="tx1"/>
                  </w14:solidFill>
                </w14:textFill>
              </w:rPr>
              <w:t>较大</w:t>
            </w:r>
          </w:p>
        </w:tc>
        <w:tc>
          <w:tcPr>
            <w:tcW w:w="5110" w:type="dxa"/>
            <w:vAlign w:val="center"/>
          </w:tcPr>
          <w:p w14:paraId="306E4E3C">
            <w:pPr>
              <w:rPr>
                <w:rFonts w:ascii="宋体" w:hAnsi="宋体" w:eastAsia="宋体"/>
                <w:color w:val="000000" w:themeColor="text1"/>
                <w:sz w:val="18"/>
                <w:szCs w:val="18"/>
                <w14:textFill>
                  <w14:solidFill>
                    <w14:schemeClr w14:val="tx1"/>
                  </w14:solidFill>
                </w14:textFill>
              </w:rPr>
            </w:pPr>
            <w:r>
              <w:rPr>
                <w:rFonts w:hint="eastAsia" w:ascii="宋体" w:hAnsi="宋体" w:eastAsia="宋体"/>
                <w:color w:val="000000" w:themeColor="text1"/>
                <w:sz w:val="18"/>
                <w:szCs w:val="18"/>
                <w14:textFill>
                  <w14:solidFill>
                    <w14:schemeClr w14:val="tx1"/>
                  </w14:solidFill>
                </w14:textFill>
              </w:rPr>
              <w:t>在当地造成一定负面影响，需要通过长时间的努力才能消除，付出较大代价，影响程度较大。</w:t>
            </w:r>
          </w:p>
        </w:tc>
      </w:tr>
      <w:tr w14:paraId="70F00D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8" w:type="dxa"/>
            <w:vAlign w:val="center"/>
          </w:tcPr>
          <w:p w14:paraId="72CFF7D9">
            <w:pPr>
              <w:jc w:val="center"/>
              <w:rPr>
                <w:rFonts w:ascii="宋体" w:hAnsi="宋体" w:eastAsia="宋体"/>
                <w:color w:val="000000" w:themeColor="text1"/>
                <w:sz w:val="18"/>
                <w:szCs w:val="18"/>
                <w14:textFill>
                  <w14:solidFill>
                    <w14:schemeClr w14:val="tx1"/>
                  </w14:solidFill>
                </w14:textFill>
              </w:rPr>
            </w:pPr>
            <w:r>
              <w:rPr>
                <w:rFonts w:hint="eastAsia" w:ascii="宋体" w:hAnsi="宋体" w:eastAsia="宋体"/>
                <w:color w:val="000000" w:themeColor="text1"/>
                <w:sz w:val="18"/>
                <w:szCs w:val="18"/>
                <w14:textFill>
                  <w14:solidFill>
                    <w14:schemeClr w14:val="tx1"/>
                  </w14:solidFill>
                </w14:textFill>
              </w:rPr>
              <w:t>3</w:t>
            </w:r>
          </w:p>
        </w:tc>
        <w:tc>
          <w:tcPr>
            <w:tcW w:w="1358" w:type="dxa"/>
            <w:vAlign w:val="center"/>
          </w:tcPr>
          <w:p w14:paraId="558DFD4F">
            <w:pPr>
              <w:jc w:val="center"/>
              <w:rPr>
                <w:rFonts w:ascii="宋体" w:hAnsi="宋体" w:eastAsia="宋体"/>
                <w:color w:val="000000" w:themeColor="text1"/>
                <w:sz w:val="18"/>
                <w:szCs w:val="18"/>
                <w14:textFill>
                  <w14:solidFill>
                    <w14:schemeClr w14:val="tx1"/>
                  </w14:solidFill>
                </w14:textFill>
              </w:rPr>
            </w:pPr>
            <w:r>
              <w:rPr>
                <w:rFonts w:hint="eastAsia" w:ascii="宋体" w:hAnsi="宋体" w:eastAsia="宋体"/>
                <w:color w:val="000000" w:themeColor="text1"/>
                <w:sz w:val="18"/>
                <w:szCs w:val="18"/>
                <w14:textFill>
                  <w14:solidFill>
                    <w14:schemeClr w14:val="tx1"/>
                  </w14:solidFill>
                </w14:textFill>
              </w:rPr>
              <w:t>41%-60%</w:t>
            </w:r>
          </w:p>
        </w:tc>
        <w:tc>
          <w:tcPr>
            <w:tcW w:w="1246" w:type="dxa"/>
            <w:vAlign w:val="center"/>
          </w:tcPr>
          <w:p w14:paraId="49CA553B">
            <w:pPr>
              <w:jc w:val="center"/>
              <w:rPr>
                <w:rFonts w:ascii="宋体" w:hAnsi="宋体" w:eastAsia="宋体"/>
                <w:color w:val="000000" w:themeColor="text1"/>
                <w:sz w:val="18"/>
                <w:szCs w:val="18"/>
                <w14:textFill>
                  <w14:solidFill>
                    <w14:schemeClr w14:val="tx1"/>
                  </w14:solidFill>
                </w14:textFill>
              </w:rPr>
            </w:pPr>
            <w:r>
              <w:rPr>
                <w:rFonts w:hint="eastAsia" w:ascii="宋体" w:hAnsi="宋体" w:eastAsia="宋体"/>
                <w:color w:val="000000" w:themeColor="text1"/>
                <w:sz w:val="18"/>
                <w:szCs w:val="18"/>
                <w14:textFill>
                  <w14:solidFill>
                    <w14:schemeClr w14:val="tx1"/>
                  </w14:solidFill>
                </w14:textFill>
              </w:rPr>
              <w:t>中等</w:t>
            </w:r>
          </w:p>
        </w:tc>
        <w:tc>
          <w:tcPr>
            <w:tcW w:w="5110" w:type="dxa"/>
            <w:vAlign w:val="center"/>
          </w:tcPr>
          <w:p w14:paraId="00AFC926">
            <w:pPr>
              <w:rPr>
                <w:rFonts w:ascii="宋体" w:hAnsi="宋体" w:eastAsia="宋体"/>
                <w:color w:val="000000" w:themeColor="text1"/>
                <w:sz w:val="18"/>
                <w:szCs w:val="18"/>
                <w14:textFill>
                  <w14:solidFill>
                    <w14:schemeClr w14:val="tx1"/>
                  </w14:solidFill>
                </w14:textFill>
              </w:rPr>
            </w:pPr>
            <w:r>
              <w:rPr>
                <w:rFonts w:hint="eastAsia" w:ascii="宋体" w:hAnsi="宋体" w:eastAsia="宋体"/>
                <w:color w:val="000000" w:themeColor="text1"/>
                <w:sz w:val="18"/>
                <w:szCs w:val="18"/>
                <w14:textFill>
                  <w14:solidFill>
                    <w14:schemeClr w14:val="tx1"/>
                  </w14:solidFill>
                </w14:textFill>
              </w:rPr>
              <w:t>在当地局部范围内造成一定影响，需要通过一定时间的努力才能消除，付出一定代价，影响程度中等。</w:t>
            </w:r>
          </w:p>
        </w:tc>
      </w:tr>
      <w:tr w14:paraId="31323F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8" w:type="dxa"/>
            <w:vAlign w:val="center"/>
          </w:tcPr>
          <w:p w14:paraId="558F603C">
            <w:pPr>
              <w:jc w:val="center"/>
              <w:rPr>
                <w:rFonts w:ascii="宋体" w:hAnsi="宋体" w:eastAsia="宋体"/>
                <w:color w:val="000000" w:themeColor="text1"/>
                <w:sz w:val="18"/>
                <w:szCs w:val="18"/>
                <w14:textFill>
                  <w14:solidFill>
                    <w14:schemeClr w14:val="tx1"/>
                  </w14:solidFill>
                </w14:textFill>
              </w:rPr>
            </w:pPr>
            <w:r>
              <w:rPr>
                <w:rFonts w:hint="eastAsia" w:ascii="宋体" w:hAnsi="宋体" w:eastAsia="宋体"/>
                <w:color w:val="000000" w:themeColor="text1"/>
                <w:sz w:val="18"/>
                <w:szCs w:val="18"/>
                <w14:textFill>
                  <w14:solidFill>
                    <w14:schemeClr w14:val="tx1"/>
                  </w14:solidFill>
                </w14:textFill>
              </w:rPr>
              <w:t>4</w:t>
            </w:r>
          </w:p>
        </w:tc>
        <w:tc>
          <w:tcPr>
            <w:tcW w:w="1358" w:type="dxa"/>
            <w:vAlign w:val="center"/>
          </w:tcPr>
          <w:p w14:paraId="2EE9E4CB">
            <w:pPr>
              <w:jc w:val="center"/>
              <w:rPr>
                <w:rFonts w:ascii="宋体" w:hAnsi="宋体" w:eastAsia="宋体"/>
                <w:color w:val="000000" w:themeColor="text1"/>
                <w:sz w:val="18"/>
                <w:szCs w:val="18"/>
                <w14:textFill>
                  <w14:solidFill>
                    <w14:schemeClr w14:val="tx1"/>
                  </w14:solidFill>
                </w14:textFill>
              </w:rPr>
            </w:pPr>
            <w:r>
              <w:rPr>
                <w:rFonts w:hint="eastAsia" w:ascii="宋体" w:hAnsi="宋体" w:eastAsia="宋体"/>
                <w:color w:val="000000" w:themeColor="text1"/>
                <w:sz w:val="18"/>
                <w:szCs w:val="18"/>
                <w14:textFill>
                  <w14:solidFill>
                    <w14:schemeClr w14:val="tx1"/>
                  </w14:solidFill>
                </w14:textFill>
              </w:rPr>
              <w:t>21%-40%</w:t>
            </w:r>
          </w:p>
        </w:tc>
        <w:tc>
          <w:tcPr>
            <w:tcW w:w="1246" w:type="dxa"/>
            <w:vAlign w:val="center"/>
          </w:tcPr>
          <w:p w14:paraId="0CF3B04B">
            <w:pPr>
              <w:jc w:val="center"/>
              <w:rPr>
                <w:rFonts w:ascii="宋体" w:hAnsi="宋体" w:eastAsia="宋体"/>
                <w:color w:val="000000" w:themeColor="text1"/>
                <w:sz w:val="18"/>
                <w:szCs w:val="18"/>
                <w14:textFill>
                  <w14:solidFill>
                    <w14:schemeClr w14:val="tx1"/>
                  </w14:solidFill>
                </w14:textFill>
              </w:rPr>
            </w:pPr>
            <w:r>
              <w:rPr>
                <w:rFonts w:hint="eastAsia" w:ascii="宋体" w:hAnsi="宋体" w:eastAsia="宋体"/>
                <w:color w:val="000000" w:themeColor="text1"/>
                <w:sz w:val="18"/>
                <w:szCs w:val="18"/>
                <w14:textFill>
                  <w14:solidFill>
                    <w14:schemeClr w14:val="tx1"/>
                  </w14:solidFill>
                </w14:textFill>
              </w:rPr>
              <w:t>较小</w:t>
            </w:r>
          </w:p>
        </w:tc>
        <w:tc>
          <w:tcPr>
            <w:tcW w:w="5110" w:type="dxa"/>
            <w:vAlign w:val="center"/>
          </w:tcPr>
          <w:p w14:paraId="1B800B49">
            <w:pPr>
              <w:rPr>
                <w:rFonts w:ascii="宋体" w:hAnsi="宋体" w:eastAsia="宋体"/>
                <w:color w:val="000000" w:themeColor="text1"/>
                <w:sz w:val="18"/>
                <w:szCs w:val="18"/>
                <w14:textFill>
                  <w14:solidFill>
                    <w14:schemeClr w14:val="tx1"/>
                  </w14:solidFill>
                </w14:textFill>
              </w:rPr>
            </w:pPr>
            <w:r>
              <w:rPr>
                <w:rFonts w:hint="eastAsia" w:ascii="宋体" w:hAnsi="宋体" w:eastAsia="宋体"/>
                <w:color w:val="000000" w:themeColor="text1"/>
                <w:sz w:val="18"/>
                <w:szCs w:val="18"/>
                <w14:textFill>
                  <w14:solidFill>
                    <w14:schemeClr w14:val="tx1"/>
                  </w14:solidFill>
                </w14:textFill>
              </w:rPr>
              <w:t>在当地局部范围内造成一定影响，但可在短时间内消除，影响程度较小。</w:t>
            </w:r>
          </w:p>
        </w:tc>
      </w:tr>
      <w:tr w14:paraId="50F572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8" w:type="dxa"/>
            <w:vAlign w:val="center"/>
          </w:tcPr>
          <w:p w14:paraId="2BDE754F">
            <w:pPr>
              <w:jc w:val="center"/>
              <w:rPr>
                <w:rFonts w:ascii="宋体" w:hAnsi="宋体" w:eastAsia="宋体"/>
                <w:color w:val="000000" w:themeColor="text1"/>
                <w:sz w:val="18"/>
                <w:szCs w:val="18"/>
                <w14:textFill>
                  <w14:solidFill>
                    <w14:schemeClr w14:val="tx1"/>
                  </w14:solidFill>
                </w14:textFill>
              </w:rPr>
            </w:pPr>
            <w:r>
              <w:rPr>
                <w:rFonts w:hint="eastAsia" w:ascii="宋体" w:hAnsi="宋体" w:eastAsia="宋体"/>
                <w:color w:val="000000" w:themeColor="text1"/>
                <w:sz w:val="18"/>
                <w:szCs w:val="18"/>
                <w14:textFill>
                  <w14:solidFill>
                    <w14:schemeClr w14:val="tx1"/>
                  </w14:solidFill>
                </w14:textFill>
              </w:rPr>
              <w:t>5</w:t>
            </w:r>
          </w:p>
        </w:tc>
        <w:tc>
          <w:tcPr>
            <w:tcW w:w="1358" w:type="dxa"/>
            <w:vAlign w:val="center"/>
          </w:tcPr>
          <w:p w14:paraId="2EDE98EE">
            <w:pPr>
              <w:jc w:val="center"/>
              <w:rPr>
                <w:rFonts w:ascii="宋体" w:hAnsi="宋体" w:eastAsia="宋体"/>
                <w:color w:val="000000" w:themeColor="text1"/>
                <w:sz w:val="18"/>
                <w:szCs w:val="18"/>
                <w14:textFill>
                  <w14:solidFill>
                    <w14:schemeClr w14:val="tx1"/>
                  </w14:solidFill>
                </w14:textFill>
              </w:rPr>
            </w:pPr>
            <w:r>
              <w:rPr>
                <w:rFonts w:hint="eastAsia" w:ascii="宋体" w:hAnsi="宋体" w:eastAsia="宋体"/>
                <w:color w:val="000000" w:themeColor="text1"/>
                <w:sz w:val="18"/>
                <w:szCs w:val="18"/>
                <w14:textFill>
                  <w14:solidFill>
                    <w14:schemeClr w14:val="tx1"/>
                  </w14:solidFill>
                </w14:textFill>
              </w:rPr>
              <w:t>0%-20%</w:t>
            </w:r>
          </w:p>
        </w:tc>
        <w:tc>
          <w:tcPr>
            <w:tcW w:w="1246" w:type="dxa"/>
            <w:vAlign w:val="center"/>
          </w:tcPr>
          <w:p w14:paraId="4177D59A">
            <w:pPr>
              <w:jc w:val="center"/>
              <w:rPr>
                <w:rFonts w:ascii="宋体" w:hAnsi="宋体" w:eastAsia="宋体"/>
                <w:color w:val="000000" w:themeColor="text1"/>
                <w:sz w:val="18"/>
                <w:szCs w:val="18"/>
                <w14:textFill>
                  <w14:solidFill>
                    <w14:schemeClr w14:val="tx1"/>
                  </w14:solidFill>
                </w14:textFill>
              </w:rPr>
            </w:pPr>
            <w:r>
              <w:rPr>
                <w:rFonts w:hint="eastAsia" w:ascii="宋体" w:hAnsi="宋体" w:eastAsia="宋体"/>
                <w:color w:val="000000" w:themeColor="text1"/>
                <w:sz w:val="18"/>
                <w:szCs w:val="18"/>
                <w14:textFill>
                  <w14:solidFill>
                    <w14:schemeClr w14:val="tx1"/>
                  </w14:solidFill>
                </w14:textFill>
              </w:rPr>
              <w:t>可忽略</w:t>
            </w:r>
          </w:p>
        </w:tc>
        <w:tc>
          <w:tcPr>
            <w:tcW w:w="5110" w:type="dxa"/>
            <w:vAlign w:val="center"/>
          </w:tcPr>
          <w:p w14:paraId="2120D7A7">
            <w:pPr>
              <w:rPr>
                <w:rFonts w:ascii="宋体" w:hAnsi="宋体" w:eastAsia="宋体"/>
                <w:color w:val="000000" w:themeColor="text1"/>
                <w:sz w:val="18"/>
                <w:szCs w:val="18"/>
                <w14:textFill>
                  <w14:solidFill>
                    <w14:schemeClr w14:val="tx1"/>
                  </w14:solidFill>
                </w14:textFill>
              </w:rPr>
            </w:pPr>
            <w:r>
              <w:rPr>
                <w:rFonts w:hint="eastAsia" w:ascii="宋体" w:hAnsi="宋体" w:eastAsia="宋体"/>
                <w:color w:val="000000" w:themeColor="text1"/>
                <w:sz w:val="18"/>
                <w:szCs w:val="18"/>
                <w14:textFill>
                  <w14:solidFill>
                    <w14:schemeClr w14:val="tx1"/>
                  </w14:solidFill>
                </w14:textFill>
              </w:rPr>
              <w:t>在当地造成较小影响，可自行消除，影响程度可忽略。</w:t>
            </w:r>
          </w:p>
        </w:tc>
      </w:tr>
    </w:tbl>
    <w:p w14:paraId="64653E73">
      <w:pPr>
        <w:pStyle w:val="44"/>
        <w:bidi w:val="0"/>
      </w:pPr>
      <w:r>
        <w:t>表</w:t>
      </w:r>
      <w:r>
        <w:rPr>
          <w:rFonts w:hint="eastAsia"/>
        </w:rPr>
        <w:t>E-4</w:t>
      </w:r>
      <w:r>
        <w:t>给出了风险影响程度汇总表</w:t>
      </w:r>
      <w:r>
        <w:rPr>
          <w:rFonts w:hint="eastAsia"/>
        </w:rPr>
        <w:t>。</w:t>
      </w:r>
    </w:p>
    <w:p w14:paraId="5A3AC9AC">
      <w:pPr>
        <w:ind w:firstLine="540"/>
        <w:jc w:val="center"/>
        <w:rPr>
          <w:rFonts w:hint="eastAsia" w:ascii="黑体" w:hAnsi="黑体" w:eastAsia="黑体" w:cs="黑体"/>
          <w:kern w:val="0"/>
          <w:sz w:val="21"/>
          <w:szCs w:val="20"/>
        </w:rPr>
      </w:pPr>
      <w:r>
        <w:rPr>
          <w:rFonts w:hint="eastAsia" w:ascii="黑体" w:hAnsi="黑体" w:eastAsia="黑体" w:cs="黑体"/>
          <w:kern w:val="0"/>
          <w:sz w:val="21"/>
          <w:szCs w:val="20"/>
        </w:rPr>
        <w:t>表E</w:t>
      </w:r>
      <w:r>
        <w:rPr>
          <w:rFonts w:hint="eastAsia" w:ascii="黑体" w:hAnsi="黑体" w:eastAsia="黑体" w:cs="黑体"/>
          <w:kern w:val="0"/>
          <w:sz w:val="21"/>
          <w:szCs w:val="20"/>
          <w:lang w:val="en-US" w:eastAsia="zh-CN"/>
        </w:rPr>
        <w:t>.</w:t>
      </w:r>
      <w:r>
        <w:rPr>
          <w:rFonts w:hint="eastAsia" w:ascii="黑体" w:hAnsi="黑体" w:eastAsia="黑体" w:cs="黑体"/>
          <w:kern w:val="0"/>
          <w:sz w:val="21"/>
          <w:szCs w:val="20"/>
        </w:rPr>
        <w:t>4</w:t>
      </w:r>
      <w:r>
        <w:rPr>
          <w:rFonts w:hint="eastAsia" w:ascii="黑体" w:hAnsi="黑体" w:eastAsia="黑体" w:cs="黑体"/>
          <w:kern w:val="0"/>
          <w:sz w:val="21"/>
          <w:szCs w:val="20"/>
          <w:lang w:val="en-US" w:eastAsia="zh-CN"/>
        </w:rPr>
        <w:t xml:space="preserve">  </w:t>
      </w:r>
      <w:r>
        <w:rPr>
          <w:rFonts w:hint="eastAsia" w:ascii="黑体" w:hAnsi="黑体" w:eastAsia="黑体" w:cs="黑体"/>
          <w:kern w:val="0"/>
          <w:sz w:val="21"/>
          <w:szCs w:val="20"/>
        </w:rPr>
        <w:t>风险影响程度汇总表</w:t>
      </w:r>
    </w:p>
    <w:tbl>
      <w:tblPr>
        <w:tblStyle w:val="2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80"/>
        <w:gridCol w:w="1218"/>
        <w:gridCol w:w="1197"/>
        <w:gridCol w:w="1065"/>
        <w:gridCol w:w="1065"/>
        <w:gridCol w:w="1065"/>
        <w:gridCol w:w="1066"/>
        <w:gridCol w:w="1066"/>
      </w:tblGrid>
      <w:tr w14:paraId="64ED80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0" w:type="dxa"/>
            <w:vMerge w:val="restart"/>
            <w:vAlign w:val="center"/>
          </w:tcPr>
          <w:p w14:paraId="6BF3A066">
            <w:pPr>
              <w:jc w:val="center"/>
              <w:rPr>
                <w:rFonts w:ascii="宋体" w:hAnsi="宋体" w:eastAsia="宋体"/>
                <w:color w:val="000000" w:themeColor="text1"/>
                <w:sz w:val="18"/>
                <w:szCs w:val="18"/>
                <w14:textFill>
                  <w14:solidFill>
                    <w14:schemeClr w14:val="tx1"/>
                  </w14:solidFill>
                </w14:textFill>
              </w:rPr>
            </w:pPr>
            <w:r>
              <w:rPr>
                <w:rFonts w:hint="eastAsia" w:ascii="宋体" w:hAnsi="宋体" w:eastAsia="宋体"/>
                <w:color w:val="000000" w:themeColor="text1"/>
                <w:sz w:val="18"/>
                <w:szCs w:val="18"/>
                <w14:textFill>
                  <w14:solidFill>
                    <w14:schemeClr w14:val="tx1"/>
                  </w14:solidFill>
                </w14:textFill>
              </w:rPr>
              <w:t>序号</w:t>
            </w:r>
          </w:p>
        </w:tc>
        <w:tc>
          <w:tcPr>
            <w:tcW w:w="1218" w:type="dxa"/>
            <w:vMerge w:val="restart"/>
            <w:vAlign w:val="center"/>
          </w:tcPr>
          <w:p w14:paraId="447E2D16">
            <w:pPr>
              <w:jc w:val="center"/>
              <w:rPr>
                <w:rFonts w:ascii="宋体" w:hAnsi="宋体" w:eastAsia="宋体"/>
                <w:color w:val="000000" w:themeColor="text1"/>
                <w:sz w:val="18"/>
                <w:szCs w:val="18"/>
                <w14:textFill>
                  <w14:solidFill>
                    <w14:schemeClr w14:val="tx1"/>
                  </w14:solidFill>
                </w14:textFill>
              </w:rPr>
            </w:pPr>
            <w:r>
              <w:rPr>
                <w:rFonts w:hint="eastAsia" w:ascii="宋体" w:hAnsi="宋体" w:eastAsia="宋体"/>
                <w:color w:val="000000" w:themeColor="text1"/>
                <w:sz w:val="18"/>
                <w:szCs w:val="18"/>
                <w14:textFill>
                  <w14:solidFill>
                    <w14:schemeClr w14:val="tx1"/>
                  </w14:solidFill>
                </w14:textFill>
              </w:rPr>
              <w:t>风险类型</w:t>
            </w:r>
          </w:p>
        </w:tc>
        <w:tc>
          <w:tcPr>
            <w:tcW w:w="1197" w:type="dxa"/>
            <w:vMerge w:val="restart"/>
            <w:vAlign w:val="center"/>
          </w:tcPr>
          <w:p w14:paraId="36EA2C18">
            <w:pPr>
              <w:jc w:val="center"/>
              <w:rPr>
                <w:rFonts w:ascii="宋体" w:hAnsi="宋体" w:eastAsia="宋体"/>
                <w:color w:val="000000" w:themeColor="text1"/>
                <w:sz w:val="18"/>
                <w:szCs w:val="18"/>
                <w14:textFill>
                  <w14:solidFill>
                    <w14:schemeClr w14:val="tx1"/>
                  </w14:solidFill>
                </w14:textFill>
              </w:rPr>
            </w:pPr>
            <w:r>
              <w:rPr>
                <w:rFonts w:hint="eastAsia" w:ascii="宋体" w:hAnsi="宋体" w:eastAsia="宋体"/>
                <w:color w:val="000000" w:themeColor="text1"/>
                <w:sz w:val="18"/>
                <w:szCs w:val="18"/>
                <w14:textFill>
                  <w14:solidFill>
                    <w14:schemeClr w14:val="tx1"/>
                  </w14:solidFill>
                </w14:textFill>
              </w:rPr>
              <w:t>风险因素</w:t>
            </w:r>
          </w:p>
        </w:tc>
        <w:tc>
          <w:tcPr>
            <w:tcW w:w="5327" w:type="dxa"/>
            <w:gridSpan w:val="5"/>
            <w:vAlign w:val="center"/>
          </w:tcPr>
          <w:p w14:paraId="3641293C">
            <w:pPr>
              <w:jc w:val="center"/>
              <w:rPr>
                <w:rFonts w:ascii="宋体" w:hAnsi="宋体" w:eastAsia="宋体"/>
                <w:color w:val="000000" w:themeColor="text1"/>
                <w:sz w:val="18"/>
                <w:szCs w:val="18"/>
                <w14:textFill>
                  <w14:solidFill>
                    <w14:schemeClr w14:val="tx1"/>
                  </w14:solidFill>
                </w14:textFill>
              </w:rPr>
            </w:pPr>
            <w:r>
              <w:rPr>
                <w:rFonts w:hint="eastAsia" w:ascii="宋体" w:hAnsi="宋体" w:eastAsia="宋体"/>
                <w:color w:val="000000" w:themeColor="text1"/>
                <w:sz w:val="18"/>
                <w:szCs w:val="18"/>
                <w14:textFill>
                  <w14:solidFill>
                    <w14:schemeClr w14:val="tx1"/>
                  </w14:solidFill>
                </w14:textFill>
              </w:rPr>
              <w:t>风险影响程度</w:t>
            </w:r>
          </w:p>
        </w:tc>
      </w:tr>
      <w:tr w14:paraId="0681D9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0" w:type="dxa"/>
            <w:vMerge w:val="continue"/>
            <w:vAlign w:val="center"/>
          </w:tcPr>
          <w:p w14:paraId="5ED36D83">
            <w:pPr>
              <w:jc w:val="center"/>
              <w:rPr>
                <w:rFonts w:ascii="宋体" w:hAnsi="宋体" w:eastAsia="宋体"/>
                <w:color w:val="000000" w:themeColor="text1"/>
                <w:sz w:val="18"/>
                <w:szCs w:val="18"/>
                <w14:textFill>
                  <w14:solidFill>
                    <w14:schemeClr w14:val="tx1"/>
                  </w14:solidFill>
                </w14:textFill>
              </w:rPr>
            </w:pPr>
          </w:p>
        </w:tc>
        <w:tc>
          <w:tcPr>
            <w:tcW w:w="1218" w:type="dxa"/>
            <w:vMerge w:val="continue"/>
            <w:vAlign w:val="center"/>
          </w:tcPr>
          <w:p w14:paraId="4457D746">
            <w:pPr>
              <w:jc w:val="center"/>
              <w:rPr>
                <w:rFonts w:ascii="宋体" w:hAnsi="宋体" w:eastAsia="宋体"/>
                <w:color w:val="000000" w:themeColor="text1"/>
                <w:sz w:val="18"/>
                <w:szCs w:val="18"/>
                <w14:textFill>
                  <w14:solidFill>
                    <w14:schemeClr w14:val="tx1"/>
                  </w14:solidFill>
                </w14:textFill>
              </w:rPr>
            </w:pPr>
          </w:p>
        </w:tc>
        <w:tc>
          <w:tcPr>
            <w:tcW w:w="1197" w:type="dxa"/>
            <w:vMerge w:val="continue"/>
            <w:vAlign w:val="center"/>
          </w:tcPr>
          <w:p w14:paraId="34F3BF88">
            <w:pPr>
              <w:jc w:val="center"/>
              <w:rPr>
                <w:rFonts w:ascii="宋体" w:hAnsi="宋体" w:eastAsia="宋体"/>
                <w:color w:val="000000" w:themeColor="text1"/>
                <w:sz w:val="18"/>
                <w:szCs w:val="18"/>
                <w14:textFill>
                  <w14:solidFill>
                    <w14:schemeClr w14:val="tx1"/>
                  </w14:solidFill>
                </w14:textFill>
              </w:rPr>
            </w:pPr>
          </w:p>
        </w:tc>
        <w:tc>
          <w:tcPr>
            <w:tcW w:w="1065" w:type="dxa"/>
            <w:vAlign w:val="center"/>
          </w:tcPr>
          <w:p w14:paraId="5E45C811">
            <w:pPr>
              <w:jc w:val="center"/>
              <w:rPr>
                <w:rFonts w:ascii="宋体" w:hAnsi="宋体" w:eastAsia="宋体"/>
                <w:color w:val="000000" w:themeColor="text1"/>
                <w:sz w:val="18"/>
                <w:szCs w:val="18"/>
                <w14:textFill>
                  <w14:solidFill>
                    <w14:schemeClr w14:val="tx1"/>
                  </w14:solidFill>
                </w14:textFill>
              </w:rPr>
            </w:pPr>
            <w:r>
              <w:rPr>
                <w:rFonts w:hint="eastAsia" w:ascii="宋体" w:hAnsi="宋体" w:eastAsia="宋体"/>
                <w:color w:val="000000" w:themeColor="text1"/>
                <w:sz w:val="18"/>
                <w:szCs w:val="18"/>
                <w14:textFill>
                  <w14:solidFill>
                    <w14:schemeClr w14:val="tx1"/>
                  </w14:solidFill>
                </w14:textFill>
              </w:rPr>
              <w:t>严重</w:t>
            </w:r>
          </w:p>
        </w:tc>
        <w:tc>
          <w:tcPr>
            <w:tcW w:w="1065" w:type="dxa"/>
            <w:vAlign w:val="center"/>
          </w:tcPr>
          <w:p w14:paraId="595D8AB6">
            <w:pPr>
              <w:jc w:val="center"/>
              <w:rPr>
                <w:rFonts w:ascii="宋体" w:hAnsi="宋体" w:eastAsia="宋体"/>
                <w:color w:val="000000" w:themeColor="text1"/>
                <w:sz w:val="18"/>
                <w:szCs w:val="18"/>
                <w14:textFill>
                  <w14:solidFill>
                    <w14:schemeClr w14:val="tx1"/>
                  </w14:solidFill>
                </w14:textFill>
              </w:rPr>
            </w:pPr>
            <w:r>
              <w:rPr>
                <w:rFonts w:hint="eastAsia" w:ascii="宋体" w:hAnsi="宋体" w:eastAsia="宋体"/>
                <w:color w:val="000000" w:themeColor="text1"/>
                <w:sz w:val="18"/>
                <w:szCs w:val="18"/>
                <w14:textFill>
                  <w14:solidFill>
                    <w14:schemeClr w14:val="tx1"/>
                  </w14:solidFill>
                </w14:textFill>
              </w:rPr>
              <w:t>较大</w:t>
            </w:r>
          </w:p>
        </w:tc>
        <w:tc>
          <w:tcPr>
            <w:tcW w:w="1065" w:type="dxa"/>
            <w:vAlign w:val="center"/>
          </w:tcPr>
          <w:p w14:paraId="6EFE5536">
            <w:pPr>
              <w:jc w:val="center"/>
              <w:rPr>
                <w:rFonts w:ascii="宋体" w:hAnsi="宋体" w:eastAsia="宋体"/>
                <w:color w:val="000000" w:themeColor="text1"/>
                <w:sz w:val="18"/>
                <w:szCs w:val="18"/>
                <w14:textFill>
                  <w14:solidFill>
                    <w14:schemeClr w14:val="tx1"/>
                  </w14:solidFill>
                </w14:textFill>
              </w:rPr>
            </w:pPr>
            <w:r>
              <w:rPr>
                <w:rFonts w:hint="eastAsia" w:ascii="宋体" w:hAnsi="宋体" w:eastAsia="宋体"/>
                <w:color w:val="000000" w:themeColor="text1"/>
                <w:sz w:val="18"/>
                <w:szCs w:val="18"/>
                <w14:textFill>
                  <w14:solidFill>
                    <w14:schemeClr w14:val="tx1"/>
                  </w14:solidFill>
                </w14:textFill>
              </w:rPr>
              <w:t>中等</w:t>
            </w:r>
          </w:p>
        </w:tc>
        <w:tc>
          <w:tcPr>
            <w:tcW w:w="1066" w:type="dxa"/>
            <w:vAlign w:val="center"/>
          </w:tcPr>
          <w:p w14:paraId="3D4BEB12">
            <w:pPr>
              <w:jc w:val="center"/>
              <w:rPr>
                <w:rFonts w:ascii="宋体" w:hAnsi="宋体" w:eastAsia="宋体"/>
                <w:color w:val="000000" w:themeColor="text1"/>
                <w:sz w:val="18"/>
                <w:szCs w:val="18"/>
                <w14:textFill>
                  <w14:solidFill>
                    <w14:schemeClr w14:val="tx1"/>
                  </w14:solidFill>
                </w14:textFill>
              </w:rPr>
            </w:pPr>
            <w:r>
              <w:rPr>
                <w:rFonts w:hint="eastAsia" w:ascii="宋体" w:hAnsi="宋体" w:eastAsia="宋体"/>
                <w:color w:val="000000" w:themeColor="text1"/>
                <w:sz w:val="18"/>
                <w:szCs w:val="18"/>
                <w14:textFill>
                  <w14:solidFill>
                    <w14:schemeClr w14:val="tx1"/>
                  </w14:solidFill>
                </w14:textFill>
              </w:rPr>
              <w:t>较小</w:t>
            </w:r>
          </w:p>
        </w:tc>
        <w:tc>
          <w:tcPr>
            <w:tcW w:w="1066" w:type="dxa"/>
            <w:vAlign w:val="center"/>
          </w:tcPr>
          <w:p w14:paraId="0B384E24">
            <w:pPr>
              <w:jc w:val="center"/>
              <w:rPr>
                <w:rFonts w:ascii="宋体" w:hAnsi="宋体" w:eastAsia="宋体"/>
                <w:color w:val="000000" w:themeColor="text1"/>
                <w:sz w:val="18"/>
                <w:szCs w:val="18"/>
                <w14:textFill>
                  <w14:solidFill>
                    <w14:schemeClr w14:val="tx1"/>
                  </w14:solidFill>
                </w14:textFill>
              </w:rPr>
            </w:pPr>
            <w:r>
              <w:rPr>
                <w:rFonts w:hint="eastAsia" w:ascii="宋体" w:hAnsi="宋体" w:eastAsia="宋体"/>
                <w:color w:val="000000" w:themeColor="text1"/>
                <w:sz w:val="18"/>
                <w:szCs w:val="18"/>
                <w14:textFill>
                  <w14:solidFill>
                    <w14:schemeClr w14:val="tx1"/>
                  </w14:solidFill>
                </w14:textFill>
              </w:rPr>
              <w:t>可忽略</w:t>
            </w:r>
          </w:p>
        </w:tc>
      </w:tr>
      <w:tr w14:paraId="037DE0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0" w:type="dxa"/>
            <w:vAlign w:val="center"/>
          </w:tcPr>
          <w:p w14:paraId="51FF7AFE">
            <w:pPr>
              <w:jc w:val="center"/>
              <w:rPr>
                <w:rFonts w:ascii="宋体" w:hAnsi="宋体" w:eastAsia="宋体"/>
                <w:color w:val="000000" w:themeColor="text1"/>
                <w:sz w:val="18"/>
                <w:szCs w:val="18"/>
                <w14:textFill>
                  <w14:solidFill>
                    <w14:schemeClr w14:val="tx1"/>
                  </w14:solidFill>
                </w14:textFill>
              </w:rPr>
            </w:pPr>
            <w:r>
              <w:rPr>
                <w:rFonts w:hint="eastAsia" w:ascii="宋体" w:hAnsi="宋体" w:eastAsia="宋体"/>
                <w:color w:val="000000" w:themeColor="text1"/>
                <w:sz w:val="18"/>
                <w:szCs w:val="18"/>
                <w14:textFill>
                  <w14:solidFill>
                    <w14:schemeClr w14:val="tx1"/>
                  </w14:solidFill>
                </w14:textFill>
              </w:rPr>
              <w:t>1</w:t>
            </w:r>
          </w:p>
        </w:tc>
        <w:tc>
          <w:tcPr>
            <w:tcW w:w="1218" w:type="dxa"/>
            <w:vAlign w:val="center"/>
          </w:tcPr>
          <w:p w14:paraId="39552F67">
            <w:pPr>
              <w:jc w:val="center"/>
              <w:rPr>
                <w:rFonts w:ascii="宋体" w:hAnsi="宋体" w:eastAsia="宋体"/>
                <w:color w:val="000000" w:themeColor="text1"/>
                <w:sz w:val="18"/>
                <w:szCs w:val="18"/>
                <w14:textFill>
                  <w14:solidFill>
                    <w14:schemeClr w14:val="tx1"/>
                  </w14:solidFill>
                </w14:textFill>
              </w:rPr>
            </w:pPr>
          </w:p>
        </w:tc>
        <w:tc>
          <w:tcPr>
            <w:tcW w:w="1197" w:type="dxa"/>
            <w:vAlign w:val="center"/>
          </w:tcPr>
          <w:p w14:paraId="71A56B19">
            <w:pPr>
              <w:jc w:val="center"/>
              <w:rPr>
                <w:rFonts w:ascii="宋体" w:hAnsi="宋体" w:eastAsia="宋体"/>
                <w:color w:val="000000" w:themeColor="text1"/>
                <w:sz w:val="18"/>
                <w:szCs w:val="18"/>
                <w14:textFill>
                  <w14:solidFill>
                    <w14:schemeClr w14:val="tx1"/>
                  </w14:solidFill>
                </w14:textFill>
              </w:rPr>
            </w:pPr>
          </w:p>
        </w:tc>
        <w:tc>
          <w:tcPr>
            <w:tcW w:w="1065" w:type="dxa"/>
            <w:vAlign w:val="center"/>
          </w:tcPr>
          <w:p w14:paraId="7C9217F7">
            <w:pPr>
              <w:jc w:val="center"/>
              <w:rPr>
                <w:rFonts w:ascii="宋体" w:hAnsi="宋体" w:eastAsia="宋体"/>
                <w:color w:val="000000" w:themeColor="text1"/>
                <w:sz w:val="18"/>
                <w:szCs w:val="18"/>
                <w14:textFill>
                  <w14:solidFill>
                    <w14:schemeClr w14:val="tx1"/>
                  </w14:solidFill>
                </w14:textFill>
              </w:rPr>
            </w:pPr>
          </w:p>
        </w:tc>
        <w:tc>
          <w:tcPr>
            <w:tcW w:w="1065" w:type="dxa"/>
            <w:vAlign w:val="center"/>
          </w:tcPr>
          <w:p w14:paraId="161F9DAC">
            <w:pPr>
              <w:jc w:val="center"/>
              <w:rPr>
                <w:rFonts w:ascii="宋体" w:hAnsi="宋体" w:eastAsia="宋体"/>
                <w:color w:val="000000" w:themeColor="text1"/>
                <w:sz w:val="18"/>
                <w:szCs w:val="18"/>
                <w14:textFill>
                  <w14:solidFill>
                    <w14:schemeClr w14:val="tx1"/>
                  </w14:solidFill>
                </w14:textFill>
              </w:rPr>
            </w:pPr>
          </w:p>
        </w:tc>
        <w:tc>
          <w:tcPr>
            <w:tcW w:w="1065" w:type="dxa"/>
            <w:vAlign w:val="center"/>
          </w:tcPr>
          <w:p w14:paraId="78C83006">
            <w:pPr>
              <w:jc w:val="center"/>
              <w:rPr>
                <w:rFonts w:ascii="宋体" w:hAnsi="宋体" w:eastAsia="宋体"/>
                <w:color w:val="000000" w:themeColor="text1"/>
                <w:sz w:val="18"/>
                <w:szCs w:val="18"/>
                <w14:textFill>
                  <w14:solidFill>
                    <w14:schemeClr w14:val="tx1"/>
                  </w14:solidFill>
                </w14:textFill>
              </w:rPr>
            </w:pPr>
          </w:p>
        </w:tc>
        <w:tc>
          <w:tcPr>
            <w:tcW w:w="1066" w:type="dxa"/>
            <w:vAlign w:val="center"/>
          </w:tcPr>
          <w:p w14:paraId="046C251E">
            <w:pPr>
              <w:jc w:val="center"/>
              <w:rPr>
                <w:rFonts w:ascii="宋体" w:hAnsi="宋体" w:eastAsia="宋体"/>
                <w:color w:val="000000" w:themeColor="text1"/>
                <w:sz w:val="18"/>
                <w:szCs w:val="18"/>
                <w14:textFill>
                  <w14:solidFill>
                    <w14:schemeClr w14:val="tx1"/>
                  </w14:solidFill>
                </w14:textFill>
              </w:rPr>
            </w:pPr>
          </w:p>
        </w:tc>
        <w:tc>
          <w:tcPr>
            <w:tcW w:w="1066" w:type="dxa"/>
            <w:vAlign w:val="center"/>
          </w:tcPr>
          <w:p w14:paraId="26A5B196">
            <w:pPr>
              <w:jc w:val="center"/>
              <w:rPr>
                <w:rFonts w:ascii="宋体" w:hAnsi="宋体" w:eastAsia="宋体"/>
                <w:color w:val="000000" w:themeColor="text1"/>
                <w:sz w:val="18"/>
                <w:szCs w:val="18"/>
                <w14:textFill>
                  <w14:solidFill>
                    <w14:schemeClr w14:val="tx1"/>
                  </w14:solidFill>
                </w14:textFill>
              </w:rPr>
            </w:pPr>
          </w:p>
        </w:tc>
      </w:tr>
      <w:tr w14:paraId="5C8909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0" w:type="dxa"/>
            <w:vAlign w:val="center"/>
          </w:tcPr>
          <w:p w14:paraId="48273617">
            <w:pPr>
              <w:jc w:val="center"/>
              <w:rPr>
                <w:rFonts w:ascii="宋体" w:hAnsi="宋体" w:eastAsia="宋体"/>
                <w:color w:val="000000" w:themeColor="text1"/>
                <w:sz w:val="18"/>
                <w:szCs w:val="18"/>
                <w14:textFill>
                  <w14:solidFill>
                    <w14:schemeClr w14:val="tx1"/>
                  </w14:solidFill>
                </w14:textFill>
              </w:rPr>
            </w:pPr>
            <w:r>
              <w:rPr>
                <w:rFonts w:hint="eastAsia" w:ascii="宋体" w:hAnsi="宋体" w:eastAsia="宋体"/>
                <w:color w:val="000000" w:themeColor="text1"/>
                <w:sz w:val="18"/>
                <w:szCs w:val="18"/>
                <w14:textFill>
                  <w14:solidFill>
                    <w14:schemeClr w14:val="tx1"/>
                  </w14:solidFill>
                </w14:textFill>
              </w:rPr>
              <w:t>2</w:t>
            </w:r>
          </w:p>
        </w:tc>
        <w:tc>
          <w:tcPr>
            <w:tcW w:w="1218" w:type="dxa"/>
            <w:vAlign w:val="center"/>
          </w:tcPr>
          <w:p w14:paraId="3EC8E733">
            <w:pPr>
              <w:jc w:val="center"/>
              <w:rPr>
                <w:rFonts w:ascii="宋体" w:hAnsi="宋体" w:eastAsia="宋体"/>
                <w:color w:val="000000" w:themeColor="text1"/>
                <w:sz w:val="18"/>
                <w:szCs w:val="18"/>
                <w14:textFill>
                  <w14:solidFill>
                    <w14:schemeClr w14:val="tx1"/>
                  </w14:solidFill>
                </w14:textFill>
              </w:rPr>
            </w:pPr>
          </w:p>
        </w:tc>
        <w:tc>
          <w:tcPr>
            <w:tcW w:w="1197" w:type="dxa"/>
            <w:vAlign w:val="center"/>
          </w:tcPr>
          <w:p w14:paraId="3D7F5D36">
            <w:pPr>
              <w:jc w:val="center"/>
              <w:rPr>
                <w:rFonts w:ascii="宋体" w:hAnsi="宋体" w:eastAsia="宋体"/>
                <w:color w:val="000000" w:themeColor="text1"/>
                <w:sz w:val="18"/>
                <w:szCs w:val="18"/>
                <w14:textFill>
                  <w14:solidFill>
                    <w14:schemeClr w14:val="tx1"/>
                  </w14:solidFill>
                </w14:textFill>
              </w:rPr>
            </w:pPr>
          </w:p>
        </w:tc>
        <w:tc>
          <w:tcPr>
            <w:tcW w:w="1065" w:type="dxa"/>
            <w:vAlign w:val="center"/>
          </w:tcPr>
          <w:p w14:paraId="023A0372">
            <w:pPr>
              <w:jc w:val="center"/>
              <w:rPr>
                <w:rFonts w:ascii="宋体" w:hAnsi="宋体" w:eastAsia="宋体"/>
                <w:color w:val="000000" w:themeColor="text1"/>
                <w:sz w:val="18"/>
                <w:szCs w:val="18"/>
                <w14:textFill>
                  <w14:solidFill>
                    <w14:schemeClr w14:val="tx1"/>
                  </w14:solidFill>
                </w14:textFill>
              </w:rPr>
            </w:pPr>
          </w:p>
        </w:tc>
        <w:tc>
          <w:tcPr>
            <w:tcW w:w="1065" w:type="dxa"/>
            <w:vAlign w:val="center"/>
          </w:tcPr>
          <w:p w14:paraId="2D2F74CE">
            <w:pPr>
              <w:jc w:val="center"/>
              <w:rPr>
                <w:rFonts w:ascii="宋体" w:hAnsi="宋体" w:eastAsia="宋体"/>
                <w:color w:val="000000" w:themeColor="text1"/>
                <w:sz w:val="18"/>
                <w:szCs w:val="18"/>
                <w14:textFill>
                  <w14:solidFill>
                    <w14:schemeClr w14:val="tx1"/>
                  </w14:solidFill>
                </w14:textFill>
              </w:rPr>
            </w:pPr>
          </w:p>
        </w:tc>
        <w:tc>
          <w:tcPr>
            <w:tcW w:w="1065" w:type="dxa"/>
            <w:vAlign w:val="center"/>
          </w:tcPr>
          <w:p w14:paraId="24D74EF5">
            <w:pPr>
              <w:jc w:val="center"/>
              <w:rPr>
                <w:rFonts w:ascii="宋体" w:hAnsi="宋体" w:eastAsia="宋体"/>
                <w:color w:val="000000" w:themeColor="text1"/>
                <w:sz w:val="18"/>
                <w:szCs w:val="18"/>
                <w14:textFill>
                  <w14:solidFill>
                    <w14:schemeClr w14:val="tx1"/>
                  </w14:solidFill>
                </w14:textFill>
              </w:rPr>
            </w:pPr>
          </w:p>
        </w:tc>
        <w:tc>
          <w:tcPr>
            <w:tcW w:w="1066" w:type="dxa"/>
            <w:vAlign w:val="center"/>
          </w:tcPr>
          <w:p w14:paraId="2FF3BCD6">
            <w:pPr>
              <w:jc w:val="center"/>
              <w:rPr>
                <w:rFonts w:ascii="宋体" w:hAnsi="宋体" w:eastAsia="宋体"/>
                <w:color w:val="000000" w:themeColor="text1"/>
                <w:sz w:val="18"/>
                <w:szCs w:val="18"/>
                <w14:textFill>
                  <w14:solidFill>
                    <w14:schemeClr w14:val="tx1"/>
                  </w14:solidFill>
                </w14:textFill>
              </w:rPr>
            </w:pPr>
          </w:p>
        </w:tc>
        <w:tc>
          <w:tcPr>
            <w:tcW w:w="1066" w:type="dxa"/>
            <w:vAlign w:val="center"/>
          </w:tcPr>
          <w:p w14:paraId="33567B4C">
            <w:pPr>
              <w:jc w:val="center"/>
              <w:rPr>
                <w:rFonts w:ascii="宋体" w:hAnsi="宋体" w:eastAsia="宋体"/>
                <w:color w:val="000000" w:themeColor="text1"/>
                <w:sz w:val="18"/>
                <w:szCs w:val="18"/>
                <w14:textFill>
                  <w14:solidFill>
                    <w14:schemeClr w14:val="tx1"/>
                  </w14:solidFill>
                </w14:textFill>
              </w:rPr>
            </w:pPr>
          </w:p>
        </w:tc>
      </w:tr>
      <w:tr w14:paraId="5881C0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0" w:type="dxa"/>
            <w:vAlign w:val="center"/>
          </w:tcPr>
          <w:p w14:paraId="43F66406">
            <w:pPr>
              <w:jc w:val="center"/>
              <w:rPr>
                <w:rFonts w:ascii="宋体" w:hAnsi="宋体" w:eastAsia="宋体"/>
                <w:color w:val="000000" w:themeColor="text1"/>
                <w:sz w:val="18"/>
                <w:szCs w:val="18"/>
                <w14:textFill>
                  <w14:solidFill>
                    <w14:schemeClr w14:val="tx1"/>
                  </w14:solidFill>
                </w14:textFill>
              </w:rPr>
            </w:pPr>
            <w:r>
              <w:rPr>
                <w:rFonts w:hint="eastAsia" w:ascii="宋体" w:hAnsi="宋体" w:eastAsia="宋体"/>
                <w:color w:val="000000" w:themeColor="text1"/>
                <w:sz w:val="18"/>
                <w:szCs w:val="18"/>
                <w14:textFill>
                  <w14:solidFill>
                    <w14:schemeClr w14:val="tx1"/>
                  </w14:solidFill>
                </w14:textFill>
              </w:rPr>
              <w:t>3</w:t>
            </w:r>
          </w:p>
        </w:tc>
        <w:tc>
          <w:tcPr>
            <w:tcW w:w="1218" w:type="dxa"/>
            <w:vAlign w:val="center"/>
          </w:tcPr>
          <w:p w14:paraId="3B2864E4">
            <w:pPr>
              <w:jc w:val="center"/>
              <w:rPr>
                <w:rFonts w:ascii="宋体" w:hAnsi="宋体" w:eastAsia="宋体"/>
                <w:color w:val="000000" w:themeColor="text1"/>
                <w:sz w:val="18"/>
                <w:szCs w:val="18"/>
                <w14:textFill>
                  <w14:solidFill>
                    <w14:schemeClr w14:val="tx1"/>
                  </w14:solidFill>
                </w14:textFill>
              </w:rPr>
            </w:pPr>
          </w:p>
        </w:tc>
        <w:tc>
          <w:tcPr>
            <w:tcW w:w="1197" w:type="dxa"/>
            <w:vAlign w:val="center"/>
          </w:tcPr>
          <w:p w14:paraId="49D06BD0">
            <w:pPr>
              <w:jc w:val="center"/>
              <w:rPr>
                <w:rFonts w:ascii="宋体" w:hAnsi="宋体" w:eastAsia="宋体"/>
                <w:color w:val="000000" w:themeColor="text1"/>
                <w:sz w:val="18"/>
                <w:szCs w:val="18"/>
                <w14:textFill>
                  <w14:solidFill>
                    <w14:schemeClr w14:val="tx1"/>
                  </w14:solidFill>
                </w14:textFill>
              </w:rPr>
            </w:pPr>
          </w:p>
        </w:tc>
        <w:tc>
          <w:tcPr>
            <w:tcW w:w="1065" w:type="dxa"/>
            <w:vAlign w:val="center"/>
          </w:tcPr>
          <w:p w14:paraId="16EB2760">
            <w:pPr>
              <w:jc w:val="center"/>
              <w:rPr>
                <w:rFonts w:ascii="宋体" w:hAnsi="宋体" w:eastAsia="宋体"/>
                <w:color w:val="000000" w:themeColor="text1"/>
                <w:sz w:val="18"/>
                <w:szCs w:val="18"/>
                <w14:textFill>
                  <w14:solidFill>
                    <w14:schemeClr w14:val="tx1"/>
                  </w14:solidFill>
                </w14:textFill>
              </w:rPr>
            </w:pPr>
          </w:p>
        </w:tc>
        <w:tc>
          <w:tcPr>
            <w:tcW w:w="1065" w:type="dxa"/>
            <w:vAlign w:val="center"/>
          </w:tcPr>
          <w:p w14:paraId="0B2095EB">
            <w:pPr>
              <w:jc w:val="center"/>
              <w:rPr>
                <w:rFonts w:ascii="宋体" w:hAnsi="宋体" w:eastAsia="宋体"/>
                <w:color w:val="000000" w:themeColor="text1"/>
                <w:sz w:val="18"/>
                <w:szCs w:val="18"/>
                <w14:textFill>
                  <w14:solidFill>
                    <w14:schemeClr w14:val="tx1"/>
                  </w14:solidFill>
                </w14:textFill>
              </w:rPr>
            </w:pPr>
          </w:p>
        </w:tc>
        <w:tc>
          <w:tcPr>
            <w:tcW w:w="1065" w:type="dxa"/>
            <w:vAlign w:val="center"/>
          </w:tcPr>
          <w:p w14:paraId="1C7C41F7">
            <w:pPr>
              <w:jc w:val="center"/>
              <w:rPr>
                <w:rFonts w:ascii="宋体" w:hAnsi="宋体" w:eastAsia="宋体"/>
                <w:color w:val="000000" w:themeColor="text1"/>
                <w:sz w:val="18"/>
                <w:szCs w:val="18"/>
                <w14:textFill>
                  <w14:solidFill>
                    <w14:schemeClr w14:val="tx1"/>
                  </w14:solidFill>
                </w14:textFill>
              </w:rPr>
            </w:pPr>
          </w:p>
        </w:tc>
        <w:tc>
          <w:tcPr>
            <w:tcW w:w="1066" w:type="dxa"/>
            <w:vAlign w:val="center"/>
          </w:tcPr>
          <w:p w14:paraId="24BB6916">
            <w:pPr>
              <w:jc w:val="center"/>
              <w:rPr>
                <w:rFonts w:ascii="宋体" w:hAnsi="宋体" w:eastAsia="宋体"/>
                <w:color w:val="000000" w:themeColor="text1"/>
                <w:sz w:val="18"/>
                <w:szCs w:val="18"/>
                <w14:textFill>
                  <w14:solidFill>
                    <w14:schemeClr w14:val="tx1"/>
                  </w14:solidFill>
                </w14:textFill>
              </w:rPr>
            </w:pPr>
          </w:p>
        </w:tc>
        <w:tc>
          <w:tcPr>
            <w:tcW w:w="1066" w:type="dxa"/>
            <w:vAlign w:val="center"/>
          </w:tcPr>
          <w:p w14:paraId="0D0EDB2E">
            <w:pPr>
              <w:jc w:val="center"/>
              <w:rPr>
                <w:rFonts w:ascii="宋体" w:hAnsi="宋体" w:eastAsia="宋体"/>
                <w:color w:val="000000" w:themeColor="text1"/>
                <w:sz w:val="18"/>
                <w:szCs w:val="18"/>
                <w14:textFill>
                  <w14:solidFill>
                    <w14:schemeClr w14:val="tx1"/>
                  </w14:solidFill>
                </w14:textFill>
              </w:rPr>
            </w:pPr>
          </w:p>
        </w:tc>
      </w:tr>
      <w:tr w14:paraId="0ED7FB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0" w:type="dxa"/>
            <w:vAlign w:val="center"/>
          </w:tcPr>
          <w:p w14:paraId="25805C65">
            <w:pPr>
              <w:jc w:val="center"/>
              <w:rPr>
                <w:rFonts w:ascii="宋体" w:hAnsi="宋体" w:eastAsia="宋体"/>
                <w:color w:val="000000" w:themeColor="text1"/>
                <w:sz w:val="18"/>
                <w:szCs w:val="18"/>
                <w14:textFill>
                  <w14:solidFill>
                    <w14:schemeClr w14:val="tx1"/>
                  </w14:solidFill>
                </w14:textFill>
              </w:rPr>
            </w:pPr>
            <w:r>
              <w:rPr>
                <w:rFonts w:hint="eastAsia" w:ascii="宋体" w:hAnsi="宋体" w:eastAsia="宋体"/>
                <w:color w:val="000000" w:themeColor="text1"/>
                <w:sz w:val="18"/>
                <w:szCs w:val="18"/>
                <w14:textFill>
                  <w14:solidFill>
                    <w14:schemeClr w14:val="tx1"/>
                  </w14:solidFill>
                </w14:textFill>
              </w:rPr>
              <w:t>……</w:t>
            </w:r>
          </w:p>
        </w:tc>
        <w:tc>
          <w:tcPr>
            <w:tcW w:w="1218" w:type="dxa"/>
            <w:vAlign w:val="center"/>
          </w:tcPr>
          <w:p w14:paraId="4554DDEB">
            <w:pPr>
              <w:jc w:val="center"/>
              <w:rPr>
                <w:rFonts w:ascii="宋体" w:hAnsi="宋体" w:eastAsia="宋体"/>
                <w:color w:val="000000" w:themeColor="text1"/>
                <w:sz w:val="18"/>
                <w:szCs w:val="18"/>
                <w14:textFill>
                  <w14:solidFill>
                    <w14:schemeClr w14:val="tx1"/>
                  </w14:solidFill>
                </w14:textFill>
              </w:rPr>
            </w:pPr>
          </w:p>
        </w:tc>
        <w:tc>
          <w:tcPr>
            <w:tcW w:w="1197" w:type="dxa"/>
            <w:vAlign w:val="center"/>
          </w:tcPr>
          <w:p w14:paraId="2B8AD6FA">
            <w:pPr>
              <w:jc w:val="center"/>
              <w:rPr>
                <w:rFonts w:ascii="宋体" w:hAnsi="宋体" w:eastAsia="宋体"/>
                <w:color w:val="000000" w:themeColor="text1"/>
                <w:sz w:val="18"/>
                <w:szCs w:val="18"/>
                <w14:textFill>
                  <w14:solidFill>
                    <w14:schemeClr w14:val="tx1"/>
                  </w14:solidFill>
                </w14:textFill>
              </w:rPr>
            </w:pPr>
          </w:p>
        </w:tc>
        <w:tc>
          <w:tcPr>
            <w:tcW w:w="1065" w:type="dxa"/>
            <w:vAlign w:val="center"/>
          </w:tcPr>
          <w:p w14:paraId="5F5E8E11">
            <w:pPr>
              <w:jc w:val="center"/>
              <w:rPr>
                <w:rFonts w:ascii="宋体" w:hAnsi="宋体" w:eastAsia="宋体"/>
                <w:color w:val="000000" w:themeColor="text1"/>
                <w:sz w:val="18"/>
                <w:szCs w:val="18"/>
                <w14:textFill>
                  <w14:solidFill>
                    <w14:schemeClr w14:val="tx1"/>
                  </w14:solidFill>
                </w14:textFill>
              </w:rPr>
            </w:pPr>
          </w:p>
        </w:tc>
        <w:tc>
          <w:tcPr>
            <w:tcW w:w="1065" w:type="dxa"/>
            <w:vAlign w:val="center"/>
          </w:tcPr>
          <w:p w14:paraId="5AEA1DBA">
            <w:pPr>
              <w:jc w:val="center"/>
              <w:rPr>
                <w:rFonts w:ascii="宋体" w:hAnsi="宋体" w:eastAsia="宋体"/>
                <w:color w:val="000000" w:themeColor="text1"/>
                <w:sz w:val="18"/>
                <w:szCs w:val="18"/>
                <w14:textFill>
                  <w14:solidFill>
                    <w14:schemeClr w14:val="tx1"/>
                  </w14:solidFill>
                </w14:textFill>
              </w:rPr>
            </w:pPr>
          </w:p>
        </w:tc>
        <w:tc>
          <w:tcPr>
            <w:tcW w:w="1065" w:type="dxa"/>
            <w:vAlign w:val="center"/>
          </w:tcPr>
          <w:p w14:paraId="21BFFBE7">
            <w:pPr>
              <w:jc w:val="center"/>
              <w:rPr>
                <w:rFonts w:ascii="宋体" w:hAnsi="宋体" w:eastAsia="宋体"/>
                <w:color w:val="000000" w:themeColor="text1"/>
                <w:sz w:val="18"/>
                <w:szCs w:val="18"/>
                <w14:textFill>
                  <w14:solidFill>
                    <w14:schemeClr w14:val="tx1"/>
                  </w14:solidFill>
                </w14:textFill>
              </w:rPr>
            </w:pPr>
          </w:p>
        </w:tc>
        <w:tc>
          <w:tcPr>
            <w:tcW w:w="1066" w:type="dxa"/>
            <w:vAlign w:val="center"/>
          </w:tcPr>
          <w:p w14:paraId="244BEC1C">
            <w:pPr>
              <w:jc w:val="center"/>
              <w:rPr>
                <w:rFonts w:ascii="宋体" w:hAnsi="宋体" w:eastAsia="宋体"/>
                <w:color w:val="000000" w:themeColor="text1"/>
                <w:sz w:val="18"/>
                <w:szCs w:val="18"/>
                <w14:textFill>
                  <w14:solidFill>
                    <w14:schemeClr w14:val="tx1"/>
                  </w14:solidFill>
                </w14:textFill>
              </w:rPr>
            </w:pPr>
          </w:p>
        </w:tc>
        <w:tc>
          <w:tcPr>
            <w:tcW w:w="1066" w:type="dxa"/>
            <w:vAlign w:val="center"/>
          </w:tcPr>
          <w:p w14:paraId="11DA37E8">
            <w:pPr>
              <w:jc w:val="center"/>
              <w:rPr>
                <w:rFonts w:ascii="宋体" w:hAnsi="宋体" w:eastAsia="宋体"/>
                <w:color w:val="000000" w:themeColor="text1"/>
                <w:sz w:val="18"/>
                <w:szCs w:val="18"/>
                <w14:textFill>
                  <w14:solidFill>
                    <w14:schemeClr w14:val="tx1"/>
                  </w14:solidFill>
                </w14:textFill>
              </w:rPr>
            </w:pPr>
          </w:p>
        </w:tc>
      </w:tr>
    </w:tbl>
    <w:p w14:paraId="45D65F10">
      <w:pPr>
        <w:rPr>
          <w:rFonts w:hint="eastAsia" w:ascii="黑体" w:hAnsi="Times New Roman" w:eastAsia="黑体" w:cs="黑体"/>
          <w:kern w:val="0"/>
          <w:sz w:val="21"/>
          <w:szCs w:val="20"/>
          <w:lang w:val="en-US" w:eastAsia="zh-CN"/>
        </w:rPr>
      </w:pPr>
      <w:r>
        <w:rPr>
          <w:rFonts w:hint="eastAsia" w:ascii="黑体" w:hAnsi="Times New Roman" w:eastAsia="黑体" w:cs="黑体"/>
          <w:kern w:val="0"/>
          <w:sz w:val="21"/>
          <w:szCs w:val="20"/>
          <w:lang w:val="en-US" w:eastAsia="zh-CN"/>
        </w:rPr>
        <w:t>E.3　风险程度</w:t>
      </w:r>
    </w:p>
    <w:p w14:paraId="118744BB">
      <w:pPr>
        <w:pStyle w:val="44"/>
        <w:bidi w:val="0"/>
      </w:pPr>
      <w:r>
        <w:rPr>
          <w:rFonts w:hint="eastAsia"/>
        </w:rPr>
        <w:t>风险程度是指评价风险大小的指标，由单因素风险发生的概率和影响程度确定，风险程度（R=p×q）划分为五档，即：重大（判断标准R&gt;0.64）、较大（判断标准0.64≥R＞0.36）、一般（判断标准0.36≥R＞0.16）、较小（判断标准0.16≥R＞0.04）、微小（判断标准0.04≥R＞0）。风险程度分级参见表E</w:t>
      </w:r>
      <w:r>
        <w:rPr>
          <w:rFonts w:hint="eastAsia"/>
          <w:lang w:val="en-US" w:eastAsia="zh-CN"/>
        </w:rPr>
        <w:t>.</w:t>
      </w:r>
      <w:r>
        <w:rPr>
          <w:rFonts w:hint="eastAsia"/>
        </w:rPr>
        <w:t>5。</w:t>
      </w:r>
    </w:p>
    <w:p w14:paraId="246DC56F">
      <w:pPr>
        <w:ind w:firstLine="540"/>
        <w:jc w:val="center"/>
        <w:rPr>
          <w:rFonts w:hint="eastAsia" w:ascii="黑体" w:hAnsi="黑体" w:eastAsia="黑体" w:cs="黑体"/>
          <w:kern w:val="0"/>
          <w:sz w:val="21"/>
          <w:szCs w:val="20"/>
        </w:rPr>
      </w:pPr>
      <w:r>
        <w:rPr>
          <w:rFonts w:hint="eastAsia" w:ascii="黑体" w:hAnsi="黑体" w:eastAsia="黑体" w:cs="黑体"/>
          <w:kern w:val="0"/>
          <w:sz w:val="21"/>
          <w:szCs w:val="20"/>
        </w:rPr>
        <w:t>表E</w:t>
      </w:r>
      <w:r>
        <w:rPr>
          <w:rFonts w:hint="eastAsia" w:ascii="黑体" w:hAnsi="黑体" w:eastAsia="黑体" w:cs="黑体"/>
          <w:kern w:val="0"/>
          <w:sz w:val="21"/>
          <w:szCs w:val="20"/>
          <w:lang w:val="en-US" w:eastAsia="zh-CN"/>
        </w:rPr>
        <w:t>.</w:t>
      </w:r>
      <w:r>
        <w:rPr>
          <w:rFonts w:hint="eastAsia" w:ascii="黑体" w:hAnsi="黑体" w:eastAsia="黑体" w:cs="黑体"/>
          <w:kern w:val="0"/>
          <w:sz w:val="21"/>
          <w:szCs w:val="20"/>
        </w:rPr>
        <w:t>5  风险程度分级表</w:t>
      </w:r>
    </w:p>
    <w:tbl>
      <w:tblPr>
        <w:tblStyle w:val="26"/>
        <w:tblW w:w="875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9"/>
        <w:gridCol w:w="1828"/>
        <w:gridCol w:w="1521"/>
        <w:gridCol w:w="4450"/>
      </w:tblGrid>
      <w:tr w14:paraId="535D2C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9" w:type="dxa"/>
            <w:vAlign w:val="center"/>
          </w:tcPr>
          <w:p w14:paraId="2D406FCB">
            <w:pPr>
              <w:jc w:val="center"/>
              <w:rPr>
                <w:rFonts w:ascii="宋体" w:hAnsi="宋体" w:eastAsia="宋体"/>
                <w:b/>
                <w:color w:val="000000" w:themeColor="text1"/>
                <w:sz w:val="18"/>
                <w:szCs w:val="18"/>
                <w14:textFill>
                  <w14:solidFill>
                    <w14:schemeClr w14:val="tx1"/>
                  </w14:solidFill>
                </w14:textFill>
              </w:rPr>
            </w:pPr>
            <w:r>
              <w:rPr>
                <w:rFonts w:hint="eastAsia" w:ascii="宋体" w:hAnsi="宋体" w:eastAsia="宋体"/>
                <w:b/>
                <w:color w:val="000000" w:themeColor="text1"/>
                <w:sz w:val="18"/>
                <w:szCs w:val="18"/>
                <w14:textFill>
                  <w14:solidFill>
                    <w14:schemeClr w14:val="tx1"/>
                  </w14:solidFill>
                </w14:textFill>
              </w:rPr>
              <w:t>序号</w:t>
            </w:r>
          </w:p>
        </w:tc>
        <w:tc>
          <w:tcPr>
            <w:tcW w:w="1828" w:type="dxa"/>
            <w:vAlign w:val="center"/>
          </w:tcPr>
          <w:p w14:paraId="5A52E189">
            <w:pPr>
              <w:jc w:val="center"/>
              <w:rPr>
                <w:rFonts w:ascii="宋体" w:hAnsi="宋体" w:eastAsia="宋体"/>
                <w:b/>
                <w:color w:val="000000" w:themeColor="text1"/>
                <w:sz w:val="18"/>
                <w:szCs w:val="18"/>
                <w14:textFill>
                  <w14:solidFill>
                    <w14:schemeClr w14:val="tx1"/>
                  </w14:solidFill>
                </w14:textFill>
              </w:rPr>
            </w:pPr>
            <w:r>
              <w:rPr>
                <w:rFonts w:hint="eastAsia" w:ascii="宋体" w:hAnsi="宋体" w:eastAsia="宋体"/>
                <w:b/>
                <w:color w:val="000000" w:themeColor="text1"/>
                <w:sz w:val="18"/>
                <w:szCs w:val="18"/>
                <w14:textFill>
                  <w14:solidFill>
                    <w14:schemeClr w14:val="tx1"/>
                  </w14:solidFill>
                </w14:textFill>
              </w:rPr>
              <w:t>判断标准</w:t>
            </w:r>
          </w:p>
        </w:tc>
        <w:tc>
          <w:tcPr>
            <w:tcW w:w="1521" w:type="dxa"/>
            <w:vAlign w:val="center"/>
          </w:tcPr>
          <w:p w14:paraId="5847A4DB">
            <w:pPr>
              <w:jc w:val="center"/>
              <w:rPr>
                <w:rFonts w:ascii="宋体" w:hAnsi="宋体" w:eastAsia="宋体"/>
                <w:b/>
                <w:color w:val="000000" w:themeColor="text1"/>
                <w:sz w:val="18"/>
                <w:szCs w:val="18"/>
                <w14:textFill>
                  <w14:solidFill>
                    <w14:schemeClr w14:val="tx1"/>
                  </w14:solidFill>
                </w14:textFill>
              </w:rPr>
            </w:pPr>
            <w:r>
              <w:rPr>
                <w:rFonts w:hint="eastAsia" w:ascii="宋体" w:hAnsi="宋体" w:eastAsia="宋体"/>
                <w:b/>
                <w:color w:val="000000" w:themeColor="text1"/>
                <w:sz w:val="18"/>
                <w:szCs w:val="18"/>
                <w14:textFill>
                  <w14:solidFill>
                    <w14:schemeClr w14:val="tx1"/>
                  </w14:solidFill>
                </w14:textFill>
              </w:rPr>
              <w:t>影响程度</w:t>
            </w:r>
          </w:p>
        </w:tc>
        <w:tc>
          <w:tcPr>
            <w:tcW w:w="4450" w:type="dxa"/>
            <w:vAlign w:val="center"/>
          </w:tcPr>
          <w:p w14:paraId="4B8DD1FC">
            <w:pPr>
              <w:jc w:val="center"/>
              <w:rPr>
                <w:rFonts w:ascii="宋体" w:hAnsi="宋体" w:eastAsia="宋体"/>
                <w:b/>
                <w:color w:val="000000" w:themeColor="text1"/>
                <w:sz w:val="18"/>
                <w:szCs w:val="18"/>
                <w14:textFill>
                  <w14:solidFill>
                    <w14:schemeClr w14:val="tx1"/>
                  </w14:solidFill>
                </w14:textFill>
              </w:rPr>
            </w:pPr>
            <w:r>
              <w:rPr>
                <w:rFonts w:hint="eastAsia" w:ascii="宋体" w:hAnsi="宋体" w:eastAsia="宋体"/>
                <w:b/>
                <w:color w:val="000000" w:themeColor="text1"/>
                <w:sz w:val="18"/>
                <w:szCs w:val="18"/>
                <w14:textFill>
                  <w14:solidFill>
                    <w14:schemeClr w14:val="tx1"/>
                  </w14:solidFill>
                </w14:textFill>
              </w:rPr>
              <w:t>判断依据</w:t>
            </w:r>
          </w:p>
        </w:tc>
      </w:tr>
      <w:tr w14:paraId="3E6196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9" w:type="dxa"/>
            <w:vAlign w:val="center"/>
          </w:tcPr>
          <w:p w14:paraId="5ED4E423">
            <w:pPr>
              <w:jc w:val="center"/>
              <w:rPr>
                <w:rFonts w:ascii="宋体" w:hAnsi="宋体" w:eastAsia="宋体"/>
                <w:color w:val="000000" w:themeColor="text1"/>
                <w:sz w:val="18"/>
                <w:szCs w:val="18"/>
                <w14:textFill>
                  <w14:solidFill>
                    <w14:schemeClr w14:val="tx1"/>
                  </w14:solidFill>
                </w14:textFill>
              </w:rPr>
            </w:pPr>
            <w:r>
              <w:rPr>
                <w:rFonts w:hint="eastAsia" w:ascii="宋体" w:hAnsi="宋体" w:eastAsia="宋体"/>
                <w:color w:val="000000" w:themeColor="text1"/>
                <w:sz w:val="18"/>
                <w:szCs w:val="18"/>
                <w14:textFill>
                  <w14:solidFill>
                    <w14:schemeClr w14:val="tx1"/>
                  </w14:solidFill>
                </w14:textFill>
              </w:rPr>
              <w:t>1</w:t>
            </w:r>
          </w:p>
        </w:tc>
        <w:tc>
          <w:tcPr>
            <w:tcW w:w="1828" w:type="dxa"/>
            <w:vAlign w:val="center"/>
          </w:tcPr>
          <w:p w14:paraId="452DF4F0">
            <w:pPr>
              <w:jc w:val="center"/>
              <w:rPr>
                <w:rFonts w:ascii="宋体" w:hAnsi="宋体" w:eastAsia="宋体"/>
                <w:color w:val="000000" w:themeColor="text1"/>
                <w:sz w:val="18"/>
                <w:szCs w:val="18"/>
                <w14:textFill>
                  <w14:solidFill>
                    <w14:schemeClr w14:val="tx1"/>
                  </w14:solidFill>
                </w14:textFill>
              </w:rPr>
            </w:pPr>
            <w:r>
              <w:rPr>
                <w:rFonts w:hint="eastAsia" w:ascii="宋体" w:hAnsi="宋体" w:eastAsia="宋体"/>
                <w:color w:val="000000" w:themeColor="text1"/>
                <w:sz w:val="18"/>
                <w:szCs w:val="18"/>
                <w14:textFill>
                  <w14:solidFill>
                    <w14:schemeClr w14:val="tx1"/>
                  </w14:solidFill>
                </w14:textFill>
              </w:rPr>
              <w:t>R&gt;0.64</w:t>
            </w:r>
          </w:p>
        </w:tc>
        <w:tc>
          <w:tcPr>
            <w:tcW w:w="1521" w:type="dxa"/>
            <w:vAlign w:val="center"/>
          </w:tcPr>
          <w:p w14:paraId="323530E8">
            <w:pPr>
              <w:jc w:val="center"/>
              <w:rPr>
                <w:rFonts w:ascii="宋体" w:hAnsi="宋体" w:eastAsia="宋体"/>
                <w:color w:val="000000" w:themeColor="text1"/>
                <w:sz w:val="18"/>
                <w:szCs w:val="18"/>
                <w14:textFill>
                  <w14:solidFill>
                    <w14:schemeClr w14:val="tx1"/>
                  </w14:solidFill>
                </w14:textFill>
              </w:rPr>
            </w:pPr>
            <w:r>
              <w:rPr>
                <w:rFonts w:hint="eastAsia" w:ascii="宋体" w:hAnsi="宋体" w:eastAsia="宋体"/>
                <w:color w:val="000000" w:themeColor="text1"/>
                <w:sz w:val="18"/>
                <w:szCs w:val="18"/>
                <w14:textFill>
                  <w14:solidFill>
                    <w14:schemeClr w14:val="tx1"/>
                  </w14:solidFill>
                </w14:textFill>
              </w:rPr>
              <w:t>重大</w:t>
            </w:r>
          </w:p>
        </w:tc>
        <w:tc>
          <w:tcPr>
            <w:tcW w:w="4450" w:type="dxa"/>
            <w:vAlign w:val="center"/>
          </w:tcPr>
          <w:p w14:paraId="33951C37">
            <w:pPr>
              <w:rPr>
                <w:rFonts w:ascii="宋体" w:hAnsi="宋体" w:eastAsia="宋体"/>
                <w:color w:val="000000" w:themeColor="text1"/>
                <w:sz w:val="18"/>
                <w:szCs w:val="18"/>
                <w14:textFill>
                  <w14:solidFill>
                    <w14:schemeClr w14:val="tx1"/>
                  </w14:solidFill>
                </w14:textFill>
              </w:rPr>
            </w:pPr>
            <w:r>
              <w:rPr>
                <w:rFonts w:hint="eastAsia" w:ascii="宋体" w:hAnsi="宋体" w:eastAsia="宋体"/>
                <w:color w:val="000000" w:themeColor="text1"/>
                <w:sz w:val="18"/>
                <w:szCs w:val="18"/>
                <w14:textFill>
                  <w14:solidFill>
                    <w14:schemeClr w14:val="tx1"/>
                  </w14:solidFill>
                </w14:textFill>
              </w:rPr>
              <w:t>发生概率很高，社会影响和损失严重，影响和损失不可接受，必须采取积极有效的防范化解措施。</w:t>
            </w:r>
          </w:p>
        </w:tc>
      </w:tr>
      <w:tr w14:paraId="393469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9" w:type="dxa"/>
            <w:vAlign w:val="center"/>
          </w:tcPr>
          <w:p w14:paraId="4C81EA08">
            <w:pPr>
              <w:jc w:val="center"/>
              <w:rPr>
                <w:rFonts w:ascii="宋体" w:hAnsi="宋体" w:eastAsia="宋体"/>
                <w:color w:val="000000" w:themeColor="text1"/>
                <w:sz w:val="18"/>
                <w:szCs w:val="18"/>
                <w14:textFill>
                  <w14:solidFill>
                    <w14:schemeClr w14:val="tx1"/>
                  </w14:solidFill>
                </w14:textFill>
              </w:rPr>
            </w:pPr>
            <w:r>
              <w:rPr>
                <w:rFonts w:hint="eastAsia" w:ascii="宋体" w:hAnsi="宋体" w:eastAsia="宋体"/>
                <w:color w:val="000000" w:themeColor="text1"/>
                <w:sz w:val="18"/>
                <w:szCs w:val="18"/>
                <w14:textFill>
                  <w14:solidFill>
                    <w14:schemeClr w14:val="tx1"/>
                  </w14:solidFill>
                </w14:textFill>
              </w:rPr>
              <w:t>2</w:t>
            </w:r>
          </w:p>
        </w:tc>
        <w:tc>
          <w:tcPr>
            <w:tcW w:w="1828" w:type="dxa"/>
            <w:vAlign w:val="center"/>
          </w:tcPr>
          <w:p w14:paraId="4B14404B">
            <w:pPr>
              <w:jc w:val="center"/>
              <w:rPr>
                <w:rFonts w:ascii="宋体" w:hAnsi="宋体" w:eastAsia="宋体"/>
                <w:color w:val="000000" w:themeColor="text1"/>
                <w:sz w:val="18"/>
                <w:szCs w:val="18"/>
                <w14:textFill>
                  <w14:solidFill>
                    <w14:schemeClr w14:val="tx1"/>
                  </w14:solidFill>
                </w14:textFill>
              </w:rPr>
            </w:pPr>
            <w:r>
              <w:rPr>
                <w:rFonts w:hint="eastAsia" w:ascii="宋体" w:hAnsi="宋体" w:eastAsia="宋体"/>
                <w:color w:val="000000" w:themeColor="text1"/>
                <w:sz w:val="18"/>
                <w:szCs w:val="18"/>
                <w14:textFill>
                  <w14:solidFill>
                    <w14:schemeClr w14:val="tx1"/>
                  </w14:solidFill>
                </w14:textFill>
              </w:rPr>
              <w:t>0.64≥R＞0.36</w:t>
            </w:r>
          </w:p>
        </w:tc>
        <w:tc>
          <w:tcPr>
            <w:tcW w:w="1521" w:type="dxa"/>
            <w:vAlign w:val="center"/>
          </w:tcPr>
          <w:p w14:paraId="4EDC9620">
            <w:pPr>
              <w:jc w:val="center"/>
              <w:rPr>
                <w:rFonts w:ascii="宋体" w:hAnsi="宋体" w:eastAsia="宋体"/>
                <w:color w:val="000000" w:themeColor="text1"/>
                <w:sz w:val="18"/>
                <w:szCs w:val="18"/>
                <w14:textFill>
                  <w14:solidFill>
                    <w14:schemeClr w14:val="tx1"/>
                  </w14:solidFill>
                </w14:textFill>
              </w:rPr>
            </w:pPr>
            <w:r>
              <w:rPr>
                <w:rFonts w:hint="eastAsia" w:ascii="宋体" w:hAnsi="宋体" w:eastAsia="宋体"/>
                <w:color w:val="000000" w:themeColor="text1"/>
                <w:sz w:val="18"/>
                <w:szCs w:val="18"/>
                <w14:textFill>
                  <w14:solidFill>
                    <w14:schemeClr w14:val="tx1"/>
                  </w14:solidFill>
                </w14:textFill>
              </w:rPr>
              <w:t>较大</w:t>
            </w:r>
          </w:p>
        </w:tc>
        <w:tc>
          <w:tcPr>
            <w:tcW w:w="4450" w:type="dxa"/>
            <w:vAlign w:val="center"/>
          </w:tcPr>
          <w:p w14:paraId="1514B16B">
            <w:pPr>
              <w:rPr>
                <w:rFonts w:ascii="宋体" w:hAnsi="宋体" w:eastAsia="宋体"/>
                <w:color w:val="000000" w:themeColor="text1"/>
                <w:sz w:val="18"/>
                <w:szCs w:val="18"/>
                <w14:textFill>
                  <w14:solidFill>
                    <w14:schemeClr w14:val="tx1"/>
                  </w14:solidFill>
                </w14:textFill>
              </w:rPr>
            </w:pPr>
            <w:r>
              <w:rPr>
                <w:rFonts w:hint="eastAsia" w:ascii="宋体" w:hAnsi="宋体" w:eastAsia="宋体"/>
                <w:color w:val="000000" w:themeColor="text1"/>
                <w:sz w:val="18"/>
                <w:szCs w:val="18"/>
                <w14:textFill>
                  <w14:solidFill>
                    <w14:schemeClr w14:val="tx1"/>
                  </w14:solidFill>
                </w14:textFill>
              </w:rPr>
              <w:t>发生概率较高，社会影响和损失较大，影响和损失可接受，需要采取一定的防范化解措施。</w:t>
            </w:r>
          </w:p>
        </w:tc>
      </w:tr>
      <w:tr w14:paraId="47D002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9" w:type="dxa"/>
            <w:vAlign w:val="center"/>
          </w:tcPr>
          <w:p w14:paraId="35607A8A">
            <w:pPr>
              <w:jc w:val="center"/>
              <w:rPr>
                <w:rFonts w:ascii="宋体" w:hAnsi="宋体" w:eastAsia="宋体"/>
                <w:color w:val="000000" w:themeColor="text1"/>
                <w:sz w:val="18"/>
                <w:szCs w:val="18"/>
                <w14:textFill>
                  <w14:solidFill>
                    <w14:schemeClr w14:val="tx1"/>
                  </w14:solidFill>
                </w14:textFill>
              </w:rPr>
            </w:pPr>
            <w:r>
              <w:rPr>
                <w:rFonts w:hint="eastAsia" w:ascii="宋体" w:hAnsi="宋体" w:eastAsia="宋体"/>
                <w:color w:val="000000" w:themeColor="text1"/>
                <w:sz w:val="18"/>
                <w:szCs w:val="18"/>
                <w14:textFill>
                  <w14:solidFill>
                    <w14:schemeClr w14:val="tx1"/>
                  </w14:solidFill>
                </w14:textFill>
              </w:rPr>
              <w:t>3</w:t>
            </w:r>
          </w:p>
        </w:tc>
        <w:tc>
          <w:tcPr>
            <w:tcW w:w="1828" w:type="dxa"/>
            <w:vAlign w:val="center"/>
          </w:tcPr>
          <w:p w14:paraId="014C39BC">
            <w:pPr>
              <w:jc w:val="center"/>
              <w:rPr>
                <w:rFonts w:ascii="宋体" w:hAnsi="宋体" w:eastAsia="宋体"/>
                <w:color w:val="000000" w:themeColor="text1"/>
                <w:sz w:val="18"/>
                <w:szCs w:val="18"/>
                <w14:textFill>
                  <w14:solidFill>
                    <w14:schemeClr w14:val="tx1"/>
                  </w14:solidFill>
                </w14:textFill>
              </w:rPr>
            </w:pPr>
            <w:r>
              <w:rPr>
                <w:rFonts w:hint="eastAsia" w:ascii="宋体" w:hAnsi="宋体" w:eastAsia="宋体"/>
                <w:color w:val="000000" w:themeColor="text1"/>
                <w:sz w:val="18"/>
                <w:szCs w:val="18"/>
                <w14:textFill>
                  <w14:solidFill>
                    <w14:schemeClr w14:val="tx1"/>
                  </w14:solidFill>
                </w14:textFill>
              </w:rPr>
              <w:t>0.36≥R＞0.16</w:t>
            </w:r>
          </w:p>
        </w:tc>
        <w:tc>
          <w:tcPr>
            <w:tcW w:w="1521" w:type="dxa"/>
            <w:vAlign w:val="center"/>
          </w:tcPr>
          <w:p w14:paraId="700DE4A1">
            <w:pPr>
              <w:jc w:val="center"/>
              <w:rPr>
                <w:rFonts w:ascii="宋体" w:hAnsi="宋体" w:eastAsia="宋体"/>
                <w:color w:val="000000" w:themeColor="text1"/>
                <w:sz w:val="18"/>
                <w:szCs w:val="18"/>
                <w14:textFill>
                  <w14:solidFill>
                    <w14:schemeClr w14:val="tx1"/>
                  </w14:solidFill>
                </w14:textFill>
              </w:rPr>
            </w:pPr>
            <w:r>
              <w:rPr>
                <w:rFonts w:hint="eastAsia" w:ascii="宋体" w:hAnsi="宋体" w:eastAsia="宋体"/>
                <w:color w:val="000000" w:themeColor="text1"/>
                <w:sz w:val="18"/>
                <w:szCs w:val="18"/>
                <w14:textFill>
                  <w14:solidFill>
                    <w14:schemeClr w14:val="tx1"/>
                  </w14:solidFill>
                </w14:textFill>
              </w:rPr>
              <w:t>一般</w:t>
            </w:r>
          </w:p>
        </w:tc>
        <w:tc>
          <w:tcPr>
            <w:tcW w:w="4450" w:type="dxa"/>
            <w:vAlign w:val="center"/>
          </w:tcPr>
          <w:p w14:paraId="7FCF4CFC">
            <w:pPr>
              <w:rPr>
                <w:rFonts w:ascii="宋体" w:hAnsi="宋体" w:eastAsia="宋体"/>
                <w:color w:val="000000" w:themeColor="text1"/>
                <w:sz w:val="18"/>
                <w:szCs w:val="18"/>
                <w14:textFill>
                  <w14:solidFill>
                    <w14:schemeClr w14:val="tx1"/>
                  </w14:solidFill>
                </w14:textFill>
              </w:rPr>
            </w:pPr>
            <w:r>
              <w:rPr>
                <w:rFonts w:hint="eastAsia" w:ascii="宋体" w:hAnsi="宋体" w:eastAsia="宋体"/>
                <w:color w:val="000000" w:themeColor="text1"/>
                <w:sz w:val="18"/>
                <w:szCs w:val="18"/>
                <w14:textFill>
                  <w14:solidFill>
                    <w14:schemeClr w14:val="tx1"/>
                  </w14:solidFill>
                </w14:textFill>
              </w:rPr>
              <w:t>发生概率较低，社会影响和损失较小，一般不影响项目的可行性，应采取一定的防范化解措施。</w:t>
            </w:r>
          </w:p>
        </w:tc>
      </w:tr>
      <w:tr w14:paraId="66AB6E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9" w:type="dxa"/>
            <w:vAlign w:val="center"/>
          </w:tcPr>
          <w:p w14:paraId="38B76462">
            <w:pPr>
              <w:jc w:val="center"/>
              <w:rPr>
                <w:rFonts w:ascii="宋体" w:hAnsi="宋体" w:eastAsia="宋体"/>
                <w:color w:val="000000" w:themeColor="text1"/>
                <w:sz w:val="18"/>
                <w:szCs w:val="18"/>
                <w14:textFill>
                  <w14:solidFill>
                    <w14:schemeClr w14:val="tx1"/>
                  </w14:solidFill>
                </w14:textFill>
              </w:rPr>
            </w:pPr>
            <w:r>
              <w:rPr>
                <w:rFonts w:hint="eastAsia" w:ascii="宋体" w:hAnsi="宋体" w:eastAsia="宋体"/>
                <w:color w:val="000000" w:themeColor="text1"/>
                <w:sz w:val="18"/>
                <w:szCs w:val="18"/>
                <w14:textFill>
                  <w14:solidFill>
                    <w14:schemeClr w14:val="tx1"/>
                  </w14:solidFill>
                </w14:textFill>
              </w:rPr>
              <w:t>4</w:t>
            </w:r>
          </w:p>
        </w:tc>
        <w:tc>
          <w:tcPr>
            <w:tcW w:w="1828" w:type="dxa"/>
            <w:vAlign w:val="center"/>
          </w:tcPr>
          <w:p w14:paraId="55B0C987">
            <w:pPr>
              <w:jc w:val="center"/>
              <w:rPr>
                <w:rFonts w:ascii="宋体" w:hAnsi="宋体" w:eastAsia="宋体"/>
                <w:color w:val="000000" w:themeColor="text1"/>
                <w:sz w:val="18"/>
                <w:szCs w:val="18"/>
                <w14:textFill>
                  <w14:solidFill>
                    <w14:schemeClr w14:val="tx1"/>
                  </w14:solidFill>
                </w14:textFill>
              </w:rPr>
            </w:pPr>
            <w:r>
              <w:rPr>
                <w:rFonts w:hint="eastAsia" w:ascii="宋体" w:hAnsi="宋体" w:eastAsia="宋体"/>
                <w:color w:val="000000" w:themeColor="text1"/>
                <w:sz w:val="18"/>
                <w:szCs w:val="18"/>
                <w14:textFill>
                  <w14:solidFill>
                    <w14:schemeClr w14:val="tx1"/>
                  </w14:solidFill>
                </w14:textFill>
              </w:rPr>
              <w:t>0.16≥R＞0.04</w:t>
            </w:r>
          </w:p>
        </w:tc>
        <w:tc>
          <w:tcPr>
            <w:tcW w:w="1521" w:type="dxa"/>
            <w:vAlign w:val="center"/>
          </w:tcPr>
          <w:p w14:paraId="332BBDE5">
            <w:pPr>
              <w:jc w:val="center"/>
              <w:rPr>
                <w:rFonts w:ascii="宋体" w:hAnsi="宋体" w:eastAsia="宋体"/>
                <w:color w:val="000000" w:themeColor="text1"/>
                <w:sz w:val="18"/>
                <w:szCs w:val="18"/>
                <w14:textFill>
                  <w14:solidFill>
                    <w14:schemeClr w14:val="tx1"/>
                  </w14:solidFill>
                </w14:textFill>
              </w:rPr>
            </w:pPr>
            <w:r>
              <w:rPr>
                <w:rFonts w:hint="eastAsia" w:ascii="宋体" w:hAnsi="宋体" w:eastAsia="宋体"/>
                <w:color w:val="000000" w:themeColor="text1"/>
                <w:sz w:val="18"/>
                <w:szCs w:val="18"/>
                <w14:textFill>
                  <w14:solidFill>
                    <w14:schemeClr w14:val="tx1"/>
                  </w14:solidFill>
                </w14:textFill>
              </w:rPr>
              <w:t>较小</w:t>
            </w:r>
          </w:p>
        </w:tc>
        <w:tc>
          <w:tcPr>
            <w:tcW w:w="4450" w:type="dxa"/>
            <w:vAlign w:val="center"/>
          </w:tcPr>
          <w:p w14:paraId="4D14BD41">
            <w:pPr>
              <w:rPr>
                <w:rFonts w:ascii="宋体" w:hAnsi="宋体" w:eastAsia="宋体"/>
                <w:color w:val="000000" w:themeColor="text1"/>
                <w:sz w:val="18"/>
                <w:szCs w:val="18"/>
                <w14:textFill>
                  <w14:solidFill>
                    <w14:schemeClr w14:val="tx1"/>
                  </w14:solidFill>
                </w14:textFill>
              </w:rPr>
            </w:pPr>
            <w:r>
              <w:rPr>
                <w:rFonts w:hint="eastAsia" w:ascii="宋体" w:hAnsi="宋体" w:eastAsia="宋体"/>
                <w:color w:val="000000" w:themeColor="text1"/>
                <w:sz w:val="18"/>
                <w:szCs w:val="18"/>
                <w14:textFill>
                  <w14:solidFill>
                    <w14:schemeClr w14:val="tx1"/>
                  </w14:solidFill>
                </w14:textFill>
              </w:rPr>
              <w:t>发生概率很低，或社会影响和损失很低，不影响项目的可行性。</w:t>
            </w:r>
          </w:p>
        </w:tc>
      </w:tr>
      <w:tr w14:paraId="342DF6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9" w:type="dxa"/>
            <w:vAlign w:val="center"/>
          </w:tcPr>
          <w:p w14:paraId="036DFF05">
            <w:pPr>
              <w:jc w:val="center"/>
              <w:rPr>
                <w:rFonts w:ascii="宋体" w:hAnsi="宋体" w:eastAsia="宋体"/>
                <w:color w:val="000000" w:themeColor="text1"/>
                <w:sz w:val="18"/>
                <w:szCs w:val="18"/>
                <w14:textFill>
                  <w14:solidFill>
                    <w14:schemeClr w14:val="tx1"/>
                  </w14:solidFill>
                </w14:textFill>
              </w:rPr>
            </w:pPr>
            <w:r>
              <w:rPr>
                <w:rFonts w:hint="eastAsia" w:ascii="宋体" w:hAnsi="宋体" w:eastAsia="宋体"/>
                <w:color w:val="000000" w:themeColor="text1"/>
                <w:sz w:val="18"/>
                <w:szCs w:val="18"/>
                <w14:textFill>
                  <w14:solidFill>
                    <w14:schemeClr w14:val="tx1"/>
                  </w14:solidFill>
                </w14:textFill>
              </w:rPr>
              <w:t>5</w:t>
            </w:r>
          </w:p>
        </w:tc>
        <w:tc>
          <w:tcPr>
            <w:tcW w:w="1828" w:type="dxa"/>
            <w:vAlign w:val="center"/>
          </w:tcPr>
          <w:p w14:paraId="400E6D8D">
            <w:pPr>
              <w:jc w:val="center"/>
              <w:rPr>
                <w:rFonts w:ascii="宋体" w:hAnsi="宋体" w:eastAsia="宋体"/>
                <w:color w:val="000000" w:themeColor="text1"/>
                <w:sz w:val="18"/>
                <w:szCs w:val="18"/>
                <w14:textFill>
                  <w14:solidFill>
                    <w14:schemeClr w14:val="tx1"/>
                  </w14:solidFill>
                </w14:textFill>
              </w:rPr>
            </w:pPr>
            <w:r>
              <w:rPr>
                <w:rFonts w:hint="eastAsia" w:ascii="宋体" w:hAnsi="宋体" w:eastAsia="宋体"/>
                <w:color w:val="000000" w:themeColor="text1"/>
                <w:sz w:val="18"/>
                <w:szCs w:val="18"/>
                <w14:textFill>
                  <w14:solidFill>
                    <w14:schemeClr w14:val="tx1"/>
                  </w14:solidFill>
                </w14:textFill>
              </w:rPr>
              <w:t>0.04≥R＞0</w:t>
            </w:r>
          </w:p>
        </w:tc>
        <w:tc>
          <w:tcPr>
            <w:tcW w:w="1521" w:type="dxa"/>
            <w:vAlign w:val="center"/>
          </w:tcPr>
          <w:p w14:paraId="5361F80F">
            <w:pPr>
              <w:jc w:val="center"/>
              <w:rPr>
                <w:rFonts w:ascii="宋体" w:hAnsi="宋体" w:eastAsia="宋体"/>
                <w:color w:val="000000" w:themeColor="text1"/>
                <w:sz w:val="18"/>
                <w:szCs w:val="18"/>
                <w14:textFill>
                  <w14:solidFill>
                    <w14:schemeClr w14:val="tx1"/>
                  </w14:solidFill>
                </w14:textFill>
              </w:rPr>
            </w:pPr>
            <w:r>
              <w:rPr>
                <w:rFonts w:hint="eastAsia" w:ascii="宋体" w:hAnsi="宋体" w:eastAsia="宋体"/>
                <w:color w:val="000000" w:themeColor="text1"/>
                <w:sz w:val="18"/>
                <w:szCs w:val="18"/>
                <w14:textFill>
                  <w14:solidFill>
                    <w14:schemeClr w14:val="tx1"/>
                  </w14:solidFill>
                </w14:textFill>
              </w:rPr>
              <w:t>微小</w:t>
            </w:r>
          </w:p>
        </w:tc>
        <w:tc>
          <w:tcPr>
            <w:tcW w:w="4450" w:type="dxa"/>
            <w:vAlign w:val="center"/>
          </w:tcPr>
          <w:p w14:paraId="1BA7C25E">
            <w:pPr>
              <w:rPr>
                <w:rFonts w:ascii="宋体" w:hAnsi="宋体" w:eastAsia="宋体"/>
                <w:color w:val="000000" w:themeColor="text1"/>
                <w:sz w:val="18"/>
                <w:szCs w:val="18"/>
                <w14:textFill>
                  <w14:solidFill>
                    <w14:schemeClr w14:val="tx1"/>
                  </w14:solidFill>
                </w14:textFill>
              </w:rPr>
            </w:pPr>
            <w:r>
              <w:rPr>
                <w:rFonts w:hint="eastAsia" w:ascii="宋体" w:hAnsi="宋体" w:eastAsia="宋体"/>
                <w:color w:val="000000" w:themeColor="text1"/>
                <w:sz w:val="18"/>
                <w:szCs w:val="18"/>
                <w14:textFill>
                  <w14:solidFill>
                    <w14:schemeClr w14:val="tx1"/>
                  </w14:solidFill>
                </w14:textFill>
              </w:rPr>
              <w:t>发生概率很小，且社会影响和损失很小，对项目影响很小。</w:t>
            </w:r>
          </w:p>
        </w:tc>
      </w:tr>
    </w:tbl>
    <w:p w14:paraId="5B01E862">
      <w:pPr>
        <w:pStyle w:val="44"/>
        <w:bidi w:val="0"/>
      </w:pPr>
      <w:r>
        <w:t>表</w:t>
      </w:r>
      <w:r>
        <w:rPr>
          <w:rFonts w:hint="eastAsia"/>
        </w:rPr>
        <w:t>E</w:t>
      </w:r>
      <w:r>
        <w:rPr>
          <w:rFonts w:hint="eastAsia"/>
          <w:lang w:val="en-US" w:eastAsia="zh-CN"/>
        </w:rPr>
        <w:t>.</w:t>
      </w:r>
      <w:r>
        <w:rPr>
          <w:rFonts w:hint="eastAsia"/>
        </w:rPr>
        <w:t>6</w:t>
      </w:r>
      <w:r>
        <w:t>给出了主要风险类型、风险因素及其风险程度汇总表。</w:t>
      </w:r>
    </w:p>
    <w:p w14:paraId="01761D7F">
      <w:pPr>
        <w:ind w:firstLine="540"/>
        <w:jc w:val="center"/>
        <w:rPr>
          <w:rFonts w:hint="eastAsia" w:ascii="黑体" w:hAnsi="黑体" w:eastAsia="黑体" w:cs="黑体"/>
          <w:kern w:val="0"/>
          <w:sz w:val="21"/>
          <w:szCs w:val="20"/>
        </w:rPr>
      </w:pPr>
      <w:r>
        <w:rPr>
          <w:rFonts w:hint="eastAsia" w:ascii="黑体" w:hAnsi="黑体" w:eastAsia="黑体" w:cs="黑体"/>
          <w:kern w:val="0"/>
          <w:sz w:val="21"/>
          <w:szCs w:val="20"/>
        </w:rPr>
        <w:t>表E</w:t>
      </w:r>
      <w:r>
        <w:rPr>
          <w:rFonts w:hint="eastAsia" w:ascii="黑体" w:hAnsi="黑体" w:eastAsia="黑体" w:cs="黑体"/>
          <w:kern w:val="0"/>
          <w:sz w:val="21"/>
          <w:szCs w:val="20"/>
          <w:lang w:val="en-US" w:eastAsia="zh-CN"/>
        </w:rPr>
        <w:t xml:space="preserve">.6  </w:t>
      </w:r>
      <w:r>
        <w:rPr>
          <w:rFonts w:hint="eastAsia" w:ascii="黑体" w:hAnsi="黑体" w:eastAsia="黑体" w:cs="黑体"/>
          <w:kern w:val="0"/>
          <w:sz w:val="21"/>
          <w:szCs w:val="20"/>
        </w:rPr>
        <w:t>主要风险类型、风险因素及其风险程度汇总表</w:t>
      </w:r>
    </w:p>
    <w:tbl>
      <w:tblPr>
        <w:tblStyle w:val="26"/>
        <w:tblW w:w="88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80"/>
        <w:gridCol w:w="1350"/>
        <w:gridCol w:w="1356"/>
        <w:gridCol w:w="1356"/>
        <w:gridCol w:w="1356"/>
        <w:gridCol w:w="1301"/>
        <w:gridCol w:w="1302"/>
      </w:tblGrid>
      <w:tr w14:paraId="51577A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0" w:type="dxa"/>
            <w:vAlign w:val="center"/>
          </w:tcPr>
          <w:p w14:paraId="276FEB2F">
            <w:pPr>
              <w:jc w:val="center"/>
              <w:rPr>
                <w:rFonts w:ascii="宋体" w:hAnsi="宋体" w:eastAsia="宋体"/>
                <w:color w:val="000000" w:themeColor="text1"/>
                <w:sz w:val="18"/>
                <w:szCs w:val="18"/>
                <w14:textFill>
                  <w14:solidFill>
                    <w14:schemeClr w14:val="tx1"/>
                  </w14:solidFill>
                </w14:textFill>
              </w:rPr>
            </w:pPr>
            <w:r>
              <w:rPr>
                <w:rFonts w:hint="eastAsia" w:ascii="宋体" w:hAnsi="宋体" w:eastAsia="宋体"/>
                <w:color w:val="000000" w:themeColor="text1"/>
                <w:sz w:val="18"/>
                <w:szCs w:val="18"/>
                <w14:textFill>
                  <w14:solidFill>
                    <w14:schemeClr w14:val="tx1"/>
                  </w14:solidFill>
                </w14:textFill>
              </w:rPr>
              <w:t>序号</w:t>
            </w:r>
          </w:p>
        </w:tc>
        <w:tc>
          <w:tcPr>
            <w:tcW w:w="1350" w:type="dxa"/>
            <w:vAlign w:val="center"/>
          </w:tcPr>
          <w:p w14:paraId="45A3FCFD">
            <w:pPr>
              <w:jc w:val="center"/>
              <w:rPr>
                <w:rFonts w:ascii="宋体" w:hAnsi="宋体" w:eastAsia="宋体"/>
                <w:color w:val="000000" w:themeColor="text1"/>
                <w:sz w:val="18"/>
                <w:szCs w:val="18"/>
                <w14:textFill>
                  <w14:solidFill>
                    <w14:schemeClr w14:val="tx1"/>
                  </w14:solidFill>
                </w14:textFill>
              </w:rPr>
            </w:pPr>
            <w:r>
              <w:rPr>
                <w:rFonts w:hint="eastAsia" w:ascii="宋体" w:hAnsi="宋体" w:eastAsia="宋体"/>
                <w:color w:val="000000" w:themeColor="text1"/>
                <w:sz w:val="18"/>
                <w:szCs w:val="18"/>
                <w14:textFill>
                  <w14:solidFill>
                    <w14:schemeClr w14:val="tx1"/>
                  </w14:solidFill>
                </w14:textFill>
              </w:rPr>
              <w:t>风险类型</w:t>
            </w:r>
          </w:p>
        </w:tc>
        <w:tc>
          <w:tcPr>
            <w:tcW w:w="1356" w:type="dxa"/>
            <w:vAlign w:val="center"/>
          </w:tcPr>
          <w:p w14:paraId="13B89EDF">
            <w:pPr>
              <w:jc w:val="center"/>
              <w:rPr>
                <w:rFonts w:ascii="宋体" w:hAnsi="宋体" w:eastAsia="宋体"/>
                <w:color w:val="000000" w:themeColor="text1"/>
                <w:sz w:val="18"/>
                <w:szCs w:val="18"/>
                <w14:textFill>
                  <w14:solidFill>
                    <w14:schemeClr w14:val="tx1"/>
                  </w14:solidFill>
                </w14:textFill>
              </w:rPr>
            </w:pPr>
            <w:r>
              <w:rPr>
                <w:rFonts w:hint="eastAsia" w:ascii="宋体" w:hAnsi="宋体" w:eastAsia="宋体"/>
                <w:color w:val="000000" w:themeColor="text1"/>
                <w:sz w:val="18"/>
                <w:szCs w:val="18"/>
                <w14:textFill>
                  <w14:solidFill>
                    <w14:schemeClr w14:val="tx1"/>
                  </w14:solidFill>
                </w14:textFill>
              </w:rPr>
              <w:t>风险因素</w:t>
            </w:r>
          </w:p>
        </w:tc>
        <w:tc>
          <w:tcPr>
            <w:tcW w:w="1356" w:type="dxa"/>
            <w:vAlign w:val="center"/>
          </w:tcPr>
          <w:p w14:paraId="401E9616">
            <w:pPr>
              <w:jc w:val="center"/>
              <w:rPr>
                <w:rFonts w:ascii="宋体" w:hAnsi="宋体" w:eastAsia="宋体"/>
                <w:color w:val="000000" w:themeColor="text1"/>
                <w:sz w:val="18"/>
                <w:szCs w:val="18"/>
                <w14:textFill>
                  <w14:solidFill>
                    <w14:schemeClr w14:val="tx1"/>
                  </w14:solidFill>
                </w14:textFill>
              </w:rPr>
            </w:pPr>
            <w:r>
              <w:rPr>
                <w:rFonts w:hint="eastAsia" w:ascii="宋体" w:hAnsi="宋体" w:eastAsia="宋体"/>
                <w:color w:val="000000" w:themeColor="text1"/>
                <w:sz w:val="18"/>
                <w:szCs w:val="18"/>
                <w14:textFill>
                  <w14:solidFill>
                    <w14:schemeClr w14:val="tx1"/>
                  </w14:solidFill>
                </w14:textFill>
              </w:rPr>
              <w:t>发生阶段</w:t>
            </w:r>
          </w:p>
        </w:tc>
        <w:tc>
          <w:tcPr>
            <w:tcW w:w="1356" w:type="dxa"/>
            <w:vAlign w:val="center"/>
          </w:tcPr>
          <w:p w14:paraId="591A4EAF">
            <w:pPr>
              <w:jc w:val="center"/>
              <w:rPr>
                <w:rFonts w:ascii="宋体" w:hAnsi="宋体" w:eastAsia="宋体"/>
                <w:color w:val="000000" w:themeColor="text1"/>
                <w:sz w:val="18"/>
                <w:szCs w:val="18"/>
                <w14:textFill>
                  <w14:solidFill>
                    <w14:schemeClr w14:val="tx1"/>
                  </w14:solidFill>
                </w14:textFill>
              </w:rPr>
            </w:pPr>
            <w:r>
              <w:rPr>
                <w:rFonts w:hint="eastAsia" w:ascii="宋体" w:hAnsi="宋体" w:eastAsia="宋体"/>
                <w:color w:val="000000" w:themeColor="text1"/>
                <w:sz w:val="18"/>
                <w:szCs w:val="18"/>
                <w14:textFill>
                  <w14:solidFill>
                    <w14:schemeClr w14:val="tx1"/>
                  </w14:solidFill>
                </w14:textFill>
              </w:rPr>
              <w:t>风险概率</w:t>
            </w:r>
          </w:p>
        </w:tc>
        <w:tc>
          <w:tcPr>
            <w:tcW w:w="1301" w:type="dxa"/>
            <w:vAlign w:val="center"/>
          </w:tcPr>
          <w:p w14:paraId="58B68DEF">
            <w:pPr>
              <w:jc w:val="center"/>
              <w:rPr>
                <w:rFonts w:ascii="宋体" w:hAnsi="宋体" w:eastAsia="宋体"/>
                <w:color w:val="000000" w:themeColor="text1"/>
                <w:sz w:val="18"/>
                <w:szCs w:val="18"/>
                <w14:textFill>
                  <w14:solidFill>
                    <w14:schemeClr w14:val="tx1"/>
                  </w14:solidFill>
                </w14:textFill>
              </w:rPr>
            </w:pPr>
            <w:r>
              <w:rPr>
                <w:rFonts w:hint="eastAsia" w:ascii="宋体" w:hAnsi="宋体" w:eastAsia="宋体"/>
                <w:color w:val="000000" w:themeColor="text1"/>
                <w:sz w:val="18"/>
                <w:szCs w:val="18"/>
                <w14:textFill>
                  <w14:solidFill>
                    <w14:schemeClr w14:val="tx1"/>
                  </w14:solidFill>
                </w14:textFill>
              </w:rPr>
              <w:t>影响程度</w:t>
            </w:r>
          </w:p>
        </w:tc>
        <w:tc>
          <w:tcPr>
            <w:tcW w:w="1302" w:type="dxa"/>
            <w:vAlign w:val="center"/>
          </w:tcPr>
          <w:p w14:paraId="33A7EAB4">
            <w:pPr>
              <w:jc w:val="center"/>
              <w:rPr>
                <w:rFonts w:ascii="宋体" w:hAnsi="宋体" w:eastAsia="宋体"/>
                <w:color w:val="000000" w:themeColor="text1"/>
                <w:sz w:val="18"/>
                <w:szCs w:val="18"/>
                <w14:textFill>
                  <w14:solidFill>
                    <w14:schemeClr w14:val="tx1"/>
                  </w14:solidFill>
                </w14:textFill>
              </w:rPr>
            </w:pPr>
            <w:r>
              <w:rPr>
                <w:rFonts w:hint="eastAsia" w:ascii="宋体" w:hAnsi="宋体" w:eastAsia="宋体"/>
                <w:color w:val="000000" w:themeColor="text1"/>
                <w:sz w:val="18"/>
                <w:szCs w:val="18"/>
                <w14:textFill>
                  <w14:solidFill>
                    <w14:schemeClr w14:val="tx1"/>
                  </w14:solidFill>
                </w14:textFill>
              </w:rPr>
              <w:t>风险程度</w:t>
            </w:r>
          </w:p>
        </w:tc>
      </w:tr>
      <w:tr w14:paraId="2AFD8B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0" w:type="dxa"/>
            <w:vAlign w:val="center"/>
          </w:tcPr>
          <w:p w14:paraId="0AA40645">
            <w:pPr>
              <w:jc w:val="center"/>
              <w:rPr>
                <w:rFonts w:ascii="宋体" w:hAnsi="宋体" w:eastAsia="宋体"/>
                <w:color w:val="000000" w:themeColor="text1"/>
                <w:sz w:val="18"/>
                <w:szCs w:val="18"/>
                <w14:textFill>
                  <w14:solidFill>
                    <w14:schemeClr w14:val="tx1"/>
                  </w14:solidFill>
                </w14:textFill>
              </w:rPr>
            </w:pPr>
            <w:r>
              <w:rPr>
                <w:rFonts w:hint="eastAsia" w:ascii="宋体" w:hAnsi="宋体" w:eastAsia="宋体"/>
                <w:color w:val="000000" w:themeColor="text1"/>
                <w:sz w:val="18"/>
                <w:szCs w:val="18"/>
                <w14:textFill>
                  <w14:solidFill>
                    <w14:schemeClr w14:val="tx1"/>
                  </w14:solidFill>
                </w14:textFill>
              </w:rPr>
              <w:t>1</w:t>
            </w:r>
          </w:p>
        </w:tc>
        <w:tc>
          <w:tcPr>
            <w:tcW w:w="1350" w:type="dxa"/>
            <w:vAlign w:val="center"/>
          </w:tcPr>
          <w:p w14:paraId="66118A98">
            <w:pPr>
              <w:jc w:val="center"/>
              <w:rPr>
                <w:rFonts w:ascii="宋体" w:hAnsi="宋体" w:eastAsia="宋体"/>
                <w:color w:val="000000" w:themeColor="text1"/>
                <w:sz w:val="18"/>
                <w:szCs w:val="18"/>
                <w14:textFill>
                  <w14:solidFill>
                    <w14:schemeClr w14:val="tx1"/>
                  </w14:solidFill>
                </w14:textFill>
              </w:rPr>
            </w:pPr>
          </w:p>
        </w:tc>
        <w:tc>
          <w:tcPr>
            <w:tcW w:w="1356" w:type="dxa"/>
            <w:vAlign w:val="center"/>
          </w:tcPr>
          <w:p w14:paraId="64CA01F5">
            <w:pPr>
              <w:jc w:val="center"/>
              <w:rPr>
                <w:rFonts w:ascii="宋体" w:hAnsi="宋体" w:eastAsia="宋体"/>
                <w:color w:val="000000" w:themeColor="text1"/>
                <w:sz w:val="18"/>
                <w:szCs w:val="18"/>
                <w14:textFill>
                  <w14:solidFill>
                    <w14:schemeClr w14:val="tx1"/>
                  </w14:solidFill>
                </w14:textFill>
              </w:rPr>
            </w:pPr>
          </w:p>
        </w:tc>
        <w:tc>
          <w:tcPr>
            <w:tcW w:w="1356" w:type="dxa"/>
            <w:vAlign w:val="center"/>
          </w:tcPr>
          <w:p w14:paraId="770CBF93">
            <w:pPr>
              <w:jc w:val="center"/>
              <w:rPr>
                <w:rFonts w:ascii="宋体" w:hAnsi="宋体" w:eastAsia="宋体"/>
                <w:color w:val="000000" w:themeColor="text1"/>
                <w:sz w:val="18"/>
                <w:szCs w:val="18"/>
                <w14:textFill>
                  <w14:solidFill>
                    <w14:schemeClr w14:val="tx1"/>
                  </w14:solidFill>
                </w14:textFill>
              </w:rPr>
            </w:pPr>
          </w:p>
        </w:tc>
        <w:tc>
          <w:tcPr>
            <w:tcW w:w="1356" w:type="dxa"/>
            <w:vAlign w:val="center"/>
          </w:tcPr>
          <w:p w14:paraId="55774E3D">
            <w:pPr>
              <w:jc w:val="center"/>
              <w:rPr>
                <w:rFonts w:ascii="宋体" w:hAnsi="宋体" w:eastAsia="宋体"/>
                <w:color w:val="000000" w:themeColor="text1"/>
                <w:sz w:val="18"/>
                <w:szCs w:val="18"/>
                <w14:textFill>
                  <w14:solidFill>
                    <w14:schemeClr w14:val="tx1"/>
                  </w14:solidFill>
                </w14:textFill>
              </w:rPr>
            </w:pPr>
          </w:p>
        </w:tc>
        <w:tc>
          <w:tcPr>
            <w:tcW w:w="1301" w:type="dxa"/>
            <w:vAlign w:val="center"/>
          </w:tcPr>
          <w:p w14:paraId="2973F5CD">
            <w:pPr>
              <w:jc w:val="center"/>
              <w:rPr>
                <w:rFonts w:ascii="宋体" w:hAnsi="宋体" w:eastAsia="宋体"/>
                <w:color w:val="000000" w:themeColor="text1"/>
                <w:sz w:val="18"/>
                <w:szCs w:val="18"/>
                <w14:textFill>
                  <w14:solidFill>
                    <w14:schemeClr w14:val="tx1"/>
                  </w14:solidFill>
                </w14:textFill>
              </w:rPr>
            </w:pPr>
          </w:p>
        </w:tc>
        <w:tc>
          <w:tcPr>
            <w:tcW w:w="1302" w:type="dxa"/>
            <w:vAlign w:val="center"/>
          </w:tcPr>
          <w:p w14:paraId="6E029F04">
            <w:pPr>
              <w:jc w:val="center"/>
              <w:rPr>
                <w:rFonts w:ascii="宋体" w:hAnsi="宋体" w:eastAsia="宋体"/>
                <w:color w:val="000000" w:themeColor="text1"/>
                <w:sz w:val="18"/>
                <w:szCs w:val="18"/>
                <w14:textFill>
                  <w14:solidFill>
                    <w14:schemeClr w14:val="tx1"/>
                  </w14:solidFill>
                </w14:textFill>
              </w:rPr>
            </w:pPr>
          </w:p>
        </w:tc>
      </w:tr>
      <w:tr w14:paraId="57E386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0" w:type="dxa"/>
            <w:vAlign w:val="center"/>
          </w:tcPr>
          <w:p w14:paraId="44B06438">
            <w:pPr>
              <w:jc w:val="center"/>
              <w:rPr>
                <w:rFonts w:ascii="宋体" w:hAnsi="宋体" w:eastAsia="宋体"/>
                <w:color w:val="000000" w:themeColor="text1"/>
                <w:sz w:val="18"/>
                <w:szCs w:val="18"/>
                <w14:textFill>
                  <w14:solidFill>
                    <w14:schemeClr w14:val="tx1"/>
                  </w14:solidFill>
                </w14:textFill>
              </w:rPr>
            </w:pPr>
            <w:r>
              <w:rPr>
                <w:rFonts w:hint="eastAsia" w:ascii="宋体" w:hAnsi="宋体" w:eastAsia="宋体"/>
                <w:color w:val="000000" w:themeColor="text1"/>
                <w:sz w:val="18"/>
                <w:szCs w:val="18"/>
                <w14:textFill>
                  <w14:solidFill>
                    <w14:schemeClr w14:val="tx1"/>
                  </w14:solidFill>
                </w14:textFill>
              </w:rPr>
              <w:t>2</w:t>
            </w:r>
          </w:p>
        </w:tc>
        <w:tc>
          <w:tcPr>
            <w:tcW w:w="1350" w:type="dxa"/>
            <w:vAlign w:val="center"/>
          </w:tcPr>
          <w:p w14:paraId="2C179F5E">
            <w:pPr>
              <w:jc w:val="center"/>
              <w:rPr>
                <w:rFonts w:ascii="宋体" w:hAnsi="宋体" w:eastAsia="宋体"/>
                <w:color w:val="000000" w:themeColor="text1"/>
                <w:sz w:val="18"/>
                <w:szCs w:val="18"/>
                <w14:textFill>
                  <w14:solidFill>
                    <w14:schemeClr w14:val="tx1"/>
                  </w14:solidFill>
                </w14:textFill>
              </w:rPr>
            </w:pPr>
          </w:p>
        </w:tc>
        <w:tc>
          <w:tcPr>
            <w:tcW w:w="1356" w:type="dxa"/>
            <w:vAlign w:val="center"/>
          </w:tcPr>
          <w:p w14:paraId="19FA8AC2">
            <w:pPr>
              <w:jc w:val="center"/>
              <w:rPr>
                <w:rFonts w:ascii="宋体" w:hAnsi="宋体" w:eastAsia="宋体"/>
                <w:color w:val="000000" w:themeColor="text1"/>
                <w:sz w:val="18"/>
                <w:szCs w:val="18"/>
                <w14:textFill>
                  <w14:solidFill>
                    <w14:schemeClr w14:val="tx1"/>
                  </w14:solidFill>
                </w14:textFill>
              </w:rPr>
            </w:pPr>
          </w:p>
        </w:tc>
        <w:tc>
          <w:tcPr>
            <w:tcW w:w="1356" w:type="dxa"/>
            <w:vAlign w:val="center"/>
          </w:tcPr>
          <w:p w14:paraId="59F7FEBB">
            <w:pPr>
              <w:jc w:val="center"/>
              <w:rPr>
                <w:rFonts w:ascii="宋体" w:hAnsi="宋体" w:eastAsia="宋体"/>
                <w:color w:val="000000" w:themeColor="text1"/>
                <w:sz w:val="18"/>
                <w:szCs w:val="18"/>
                <w14:textFill>
                  <w14:solidFill>
                    <w14:schemeClr w14:val="tx1"/>
                  </w14:solidFill>
                </w14:textFill>
              </w:rPr>
            </w:pPr>
          </w:p>
        </w:tc>
        <w:tc>
          <w:tcPr>
            <w:tcW w:w="1356" w:type="dxa"/>
            <w:vAlign w:val="center"/>
          </w:tcPr>
          <w:p w14:paraId="5A0B62BA">
            <w:pPr>
              <w:jc w:val="center"/>
              <w:rPr>
                <w:rFonts w:ascii="宋体" w:hAnsi="宋体" w:eastAsia="宋体"/>
                <w:color w:val="000000" w:themeColor="text1"/>
                <w:sz w:val="18"/>
                <w:szCs w:val="18"/>
                <w14:textFill>
                  <w14:solidFill>
                    <w14:schemeClr w14:val="tx1"/>
                  </w14:solidFill>
                </w14:textFill>
              </w:rPr>
            </w:pPr>
          </w:p>
        </w:tc>
        <w:tc>
          <w:tcPr>
            <w:tcW w:w="1301" w:type="dxa"/>
            <w:vAlign w:val="center"/>
          </w:tcPr>
          <w:p w14:paraId="6D99A942">
            <w:pPr>
              <w:jc w:val="center"/>
              <w:rPr>
                <w:rFonts w:ascii="宋体" w:hAnsi="宋体" w:eastAsia="宋体"/>
                <w:color w:val="000000" w:themeColor="text1"/>
                <w:sz w:val="18"/>
                <w:szCs w:val="18"/>
                <w14:textFill>
                  <w14:solidFill>
                    <w14:schemeClr w14:val="tx1"/>
                  </w14:solidFill>
                </w14:textFill>
              </w:rPr>
            </w:pPr>
          </w:p>
        </w:tc>
        <w:tc>
          <w:tcPr>
            <w:tcW w:w="1302" w:type="dxa"/>
            <w:vAlign w:val="center"/>
          </w:tcPr>
          <w:p w14:paraId="62682920">
            <w:pPr>
              <w:jc w:val="center"/>
              <w:rPr>
                <w:rFonts w:ascii="宋体" w:hAnsi="宋体" w:eastAsia="宋体"/>
                <w:color w:val="000000" w:themeColor="text1"/>
                <w:sz w:val="18"/>
                <w:szCs w:val="18"/>
                <w14:textFill>
                  <w14:solidFill>
                    <w14:schemeClr w14:val="tx1"/>
                  </w14:solidFill>
                </w14:textFill>
              </w:rPr>
            </w:pPr>
          </w:p>
        </w:tc>
      </w:tr>
      <w:tr w14:paraId="0CF63C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0" w:type="dxa"/>
            <w:vAlign w:val="center"/>
          </w:tcPr>
          <w:p w14:paraId="4494685E">
            <w:pPr>
              <w:jc w:val="center"/>
              <w:rPr>
                <w:rFonts w:ascii="宋体" w:hAnsi="宋体" w:eastAsia="宋体"/>
                <w:color w:val="000000" w:themeColor="text1"/>
                <w:sz w:val="18"/>
                <w:szCs w:val="18"/>
                <w14:textFill>
                  <w14:solidFill>
                    <w14:schemeClr w14:val="tx1"/>
                  </w14:solidFill>
                </w14:textFill>
              </w:rPr>
            </w:pPr>
            <w:r>
              <w:rPr>
                <w:rFonts w:hint="eastAsia" w:ascii="宋体" w:hAnsi="宋体" w:eastAsia="宋体"/>
                <w:color w:val="000000" w:themeColor="text1"/>
                <w:sz w:val="18"/>
                <w:szCs w:val="18"/>
                <w14:textFill>
                  <w14:solidFill>
                    <w14:schemeClr w14:val="tx1"/>
                  </w14:solidFill>
                </w14:textFill>
              </w:rPr>
              <w:t>3</w:t>
            </w:r>
          </w:p>
        </w:tc>
        <w:tc>
          <w:tcPr>
            <w:tcW w:w="1350" w:type="dxa"/>
            <w:vAlign w:val="center"/>
          </w:tcPr>
          <w:p w14:paraId="63702E42">
            <w:pPr>
              <w:jc w:val="center"/>
              <w:rPr>
                <w:rFonts w:ascii="宋体" w:hAnsi="宋体" w:eastAsia="宋体"/>
                <w:color w:val="000000" w:themeColor="text1"/>
                <w:sz w:val="18"/>
                <w:szCs w:val="18"/>
                <w14:textFill>
                  <w14:solidFill>
                    <w14:schemeClr w14:val="tx1"/>
                  </w14:solidFill>
                </w14:textFill>
              </w:rPr>
            </w:pPr>
          </w:p>
        </w:tc>
        <w:tc>
          <w:tcPr>
            <w:tcW w:w="1356" w:type="dxa"/>
            <w:vAlign w:val="center"/>
          </w:tcPr>
          <w:p w14:paraId="52C3D0B8">
            <w:pPr>
              <w:jc w:val="center"/>
              <w:rPr>
                <w:rFonts w:ascii="宋体" w:hAnsi="宋体" w:eastAsia="宋体"/>
                <w:color w:val="000000" w:themeColor="text1"/>
                <w:sz w:val="18"/>
                <w:szCs w:val="18"/>
                <w14:textFill>
                  <w14:solidFill>
                    <w14:schemeClr w14:val="tx1"/>
                  </w14:solidFill>
                </w14:textFill>
              </w:rPr>
            </w:pPr>
          </w:p>
        </w:tc>
        <w:tc>
          <w:tcPr>
            <w:tcW w:w="1356" w:type="dxa"/>
            <w:vAlign w:val="center"/>
          </w:tcPr>
          <w:p w14:paraId="4B4B9E9B">
            <w:pPr>
              <w:jc w:val="center"/>
              <w:rPr>
                <w:rFonts w:ascii="宋体" w:hAnsi="宋体" w:eastAsia="宋体"/>
                <w:color w:val="000000" w:themeColor="text1"/>
                <w:sz w:val="18"/>
                <w:szCs w:val="18"/>
                <w14:textFill>
                  <w14:solidFill>
                    <w14:schemeClr w14:val="tx1"/>
                  </w14:solidFill>
                </w14:textFill>
              </w:rPr>
            </w:pPr>
          </w:p>
        </w:tc>
        <w:tc>
          <w:tcPr>
            <w:tcW w:w="1356" w:type="dxa"/>
            <w:vAlign w:val="center"/>
          </w:tcPr>
          <w:p w14:paraId="1B9ED16A">
            <w:pPr>
              <w:jc w:val="center"/>
              <w:rPr>
                <w:rFonts w:ascii="宋体" w:hAnsi="宋体" w:eastAsia="宋体"/>
                <w:color w:val="000000" w:themeColor="text1"/>
                <w:sz w:val="18"/>
                <w:szCs w:val="18"/>
                <w14:textFill>
                  <w14:solidFill>
                    <w14:schemeClr w14:val="tx1"/>
                  </w14:solidFill>
                </w14:textFill>
              </w:rPr>
            </w:pPr>
          </w:p>
        </w:tc>
        <w:tc>
          <w:tcPr>
            <w:tcW w:w="1301" w:type="dxa"/>
            <w:vAlign w:val="center"/>
          </w:tcPr>
          <w:p w14:paraId="6F607C31">
            <w:pPr>
              <w:jc w:val="center"/>
              <w:rPr>
                <w:rFonts w:ascii="宋体" w:hAnsi="宋体" w:eastAsia="宋体"/>
                <w:color w:val="000000" w:themeColor="text1"/>
                <w:sz w:val="18"/>
                <w:szCs w:val="18"/>
                <w14:textFill>
                  <w14:solidFill>
                    <w14:schemeClr w14:val="tx1"/>
                  </w14:solidFill>
                </w14:textFill>
              </w:rPr>
            </w:pPr>
          </w:p>
        </w:tc>
        <w:tc>
          <w:tcPr>
            <w:tcW w:w="1302" w:type="dxa"/>
            <w:vAlign w:val="center"/>
          </w:tcPr>
          <w:p w14:paraId="25F2C5EB">
            <w:pPr>
              <w:jc w:val="center"/>
              <w:rPr>
                <w:rFonts w:ascii="宋体" w:hAnsi="宋体" w:eastAsia="宋体"/>
                <w:color w:val="000000" w:themeColor="text1"/>
                <w:sz w:val="18"/>
                <w:szCs w:val="18"/>
                <w14:textFill>
                  <w14:solidFill>
                    <w14:schemeClr w14:val="tx1"/>
                  </w14:solidFill>
                </w14:textFill>
              </w:rPr>
            </w:pPr>
          </w:p>
        </w:tc>
      </w:tr>
      <w:tr w14:paraId="4303CD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0" w:type="dxa"/>
            <w:vAlign w:val="center"/>
          </w:tcPr>
          <w:p w14:paraId="7295E984">
            <w:pPr>
              <w:jc w:val="center"/>
              <w:rPr>
                <w:rFonts w:ascii="宋体" w:hAnsi="宋体" w:eastAsia="宋体"/>
                <w:color w:val="000000" w:themeColor="text1"/>
                <w:sz w:val="18"/>
                <w:szCs w:val="18"/>
                <w14:textFill>
                  <w14:solidFill>
                    <w14:schemeClr w14:val="tx1"/>
                  </w14:solidFill>
                </w14:textFill>
              </w:rPr>
            </w:pPr>
            <w:r>
              <w:rPr>
                <w:rFonts w:hint="eastAsia" w:ascii="宋体" w:hAnsi="宋体" w:eastAsia="宋体"/>
                <w:color w:val="000000" w:themeColor="text1"/>
                <w:sz w:val="18"/>
                <w:szCs w:val="18"/>
                <w14:textFill>
                  <w14:solidFill>
                    <w14:schemeClr w14:val="tx1"/>
                  </w14:solidFill>
                </w14:textFill>
              </w:rPr>
              <w:t>……</w:t>
            </w:r>
          </w:p>
        </w:tc>
        <w:tc>
          <w:tcPr>
            <w:tcW w:w="1350" w:type="dxa"/>
            <w:vAlign w:val="center"/>
          </w:tcPr>
          <w:p w14:paraId="5F7E2B01">
            <w:pPr>
              <w:jc w:val="center"/>
              <w:rPr>
                <w:rFonts w:ascii="宋体" w:hAnsi="宋体" w:eastAsia="宋体"/>
                <w:color w:val="000000" w:themeColor="text1"/>
                <w:sz w:val="18"/>
                <w:szCs w:val="18"/>
                <w14:textFill>
                  <w14:solidFill>
                    <w14:schemeClr w14:val="tx1"/>
                  </w14:solidFill>
                </w14:textFill>
              </w:rPr>
            </w:pPr>
          </w:p>
        </w:tc>
        <w:tc>
          <w:tcPr>
            <w:tcW w:w="1356" w:type="dxa"/>
            <w:vAlign w:val="center"/>
          </w:tcPr>
          <w:p w14:paraId="7E5A58FB">
            <w:pPr>
              <w:jc w:val="center"/>
              <w:rPr>
                <w:rFonts w:ascii="宋体" w:hAnsi="宋体" w:eastAsia="宋体"/>
                <w:color w:val="000000" w:themeColor="text1"/>
                <w:sz w:val="18"/>
                <w:szCs w:val="18"/>
                <w14:textFill>
                  <w14:solidFill>
                    <w14:schemeClr w14:val="tx1"/>
                  </w14:solidFill>
                </w14:textFill>
              </w:rPr>
            </w:pPr>
          </w:p>
        </w:tc>
        <w:tc>
          <w:tcPr>
            <w:tcW w:w="1356" w:type="dxa"/>
            <w:vAlign w:val="center"/>
          </w:tcPr>
          <w:p w14:paraId="2B3CCBC2">
            <w:pPr>
              <w:jc w:val="center"/>
              <w:rPr>
                <w:rFonts w:ascii="宋体" w:hAnsi="宋体" w:eastAsia="宋体"/>
                <w:color w:val="000000" w:themeColor="text1"/>
                <w:sz w:val="18"/>
                <w:szCs w:val="18"/>
                <w14:textFill>
                  <w14:solidFill>
                    <w14:schemeClr w14:val="tx1"/>
                  </w14:solidFill>
                </w14:textFill>
              </w:rPr>
            </w:pPr>
          </w:p>
        </w:tc>
        <w:tc>
          <w:tcPr>
            <w:tcW w:w="1356" w:type="dxa"/>
            <w:vAlign w:val="center"/>
          </w:tcPr>
          <w:p w14:paraId="72DA269B">
            <w:pPr>
              <w:jc w:val="center"/>
              <w:rPr>
                <w:rFonts w:ascii="宋体" w:hAnsi="宋体" w:eastAsia="宋体"/>
                <w:color w:val="000000" w:themeColor="text1"/>
                <w:sz w:val="18"/>
                <w:szCs w:val="18"/>
                <w14:textFill>
                  <w14:solidFill>
                    <w14:schemeClr w14:val="tx1"/>
                  </w14:solidFill>
                </w14:textFill>
              </w:rPr>
            </w:pPr>
          </w:p>
        </w:tc>
        <w:tc>
          <w:tcPr>
            <w:tcW w:w="1301" w:type="dxa"/>
            <w:vAlign w:val="center"/>
          </w:tcPr>
          <w:p w14:paraId="71908B2A">
            <w:pPr>
              <w:jc w:val="center"/>
              <w:rPr>
                <w:rFonts w:ascii="宋体" w:hAnsi="宋体" w:eastAsia="宋体"/>
                <w:color w:val="000000" w:themeColor="text1"/>
                <w:sz w:val="18"/>
                <w:szCs w:val="18"/>
                <w14:textFill>
                  <w14:solidFill>
                    <w14:schemeClr w14:val="tx1"/>
                  </w14:solidFill>
                </w14:textFill>
              </w:rPr>
            </w:pPr>
          </w:p>
        </w:tc>
        <w:tc>
          <w:tcPr>
            <w:tcW w:w="1302" w:type="dxa"/>
            <w:vAlign w:val="center"/>
          </w:tcPr>
          <w:p w14:paraId="2BC2D75A">
            <w:pPr>
              <w:jc w:val="center"/>
              <w:rPr>
                <w:rFonts w:ascii="宋体" w:hAnsi="宋体" w:eastAsia="宋体"/>
                <w:color w:val="000000" w:themeColor="text1"/>
                <w:sz w:val="18"/>
                <w:szCs w:val="18"/>
                <w14:textFill>
                  <w14:solidFill>
                    <w14:schemeClr w14:val="tx1"/>
                  </w14:solidFill>
                </w14:textFill>
              </w:rPr>
            </w:pPr>
          </w:p>
        </w:tc>
      </w:tr>
      <w:tr w14:paraId="557C93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01" w:type="dxa"/>
            <w:gridSpan w:val="7"/>
            <w:vAlign w:val="center"/>
          </w:tcPr>
          <w:p w14:paraId="705A66AB">
            <w:pPr>
              <w:pStyle w:val="36"/>
              <w:rPr>
                <w:rFonts w:ascii="宋体" w:hAnsi="宋体" w:eastAsia="宋体"/>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注：</w:t>
            </w:r>
            <w:r>
              <w:rPr>
                <w:color w:val="000000" w:themeColor="text1"/>
                <w:sz w:val="18"/>
                <w:szCs w:val="18"/>
                <w14:textFill>
                  <w14:solidFill>
                    <w14:schemeClr w14:val="tx1"/>
                  </w14:solidFill>
                </w14:textFill>
              </w:rPr>
              <w:t xml:space="preserve"> </w:t>
            </w:r>
            <w:r>
              <w:rPr>
                <w:rFonts w:hint="eastAsia"/>
                <w:color w:val="000000" w:themeColor="text1"/>
                <w:sz w:val="18"/>
                <w:szCs w:val="18"/>
                <w14:textFill>
                  <w14:solidFill>
                    <w14:schemeClr w14:val="tx1"/>
                  </w14:solidFill>
                </w14:textFill>
              </w:rPr>
              <w:t>重大工程</w:t>
            </w:r>
            <w:r>
              <w:rPr>
                <w:rFonts w:hint="eastAsia" w:ascii="宋体" w:eastAsia="宋体" w:cs="宋体"/>
                <w:color w:val="000000" w:themeColor="text1"/>
                <w:sz w:val="18"/>
                <w:szCs w:val="18"/>
                <w14:textFill>
                  <w14:solidFill>
                    <w14:schemeClr w14:val="tx1"/>
                  </w14:solidFill>
                </w14:textFill>
              </w:rPr>
              <w:t>项目建设类风险发生阶段包括项目决策、准备、施工、运行四个阶段，其他重大决策事项风险发生阶段包括事前、事中、事后三个阶段。</w:t>
            </w:r>
            <w:r>
              <w:rPr>
                <w:rFonts w:ascii="宋体" w:eastAsia="宋体" w:cs="宋体"/>
                <w:color w:val="000000" w:themeColor="text1"/>
                <w:sz w:val="18"/>
                <w:szCs w:val="18"/>
                <w14:textFill>
                  <w14:solidFill>
                    <w14:schemeClr w14:val="tx1"/>
                  </w14:solidFill>
                </w14:textFill>
              </w:rPr>
              <w:t xml:space="preserve"> </w:t>
            </w:r>
          </w:p>
        </w:tc>
      </w:tr>
    </w:tbl>
    <w:p w14:paraId="20F888DD">
      <w:pPr>
        <w:rPr>
          <w:rFonts w:hint="eastAsia"/>
          <w:lang w:eastAsia="zh-CN"/>
        </w:rPr>
      </w:pPr>
      <w:bookmarkStart w:id="62" w:name="_附录E"/>
      <w:bookmarkEnd w:id="62"/>
      <w:r>
        <w:rPr>
          <w:rFonts w:hint="eastAsia"/>
          <w:lang w:eastAsia="zh-CN"/>
        </w:rPr>
        <w:br w:type="page"/>
      </w:r>
    </w:p>
    <w:p w14:paraId="2654445A">
      <w:pPr>
        <w:pStyle w:val="107"/>
        <w:bidi w:val="0"/>
        <w:ind w:left="0" w:leftChars="0" w:firstLine="0" w:firstLineChars="0"/>
        <w:rPr>
          <w:rFonts w:hint="eastAsia"/>
          <w:lang w:eastAsia="zh-CN"/>
        </w:rPr>
      </w:pPr>
      <w:r>
        <w:rPr>
          <w:rFonts w:hint="eastAsia"/>
          <w:lang w:eastAsia="zh-CN"/>
        </w:rPr>
        <w:br w:type="textWrapping"/>
      </w:r>
      <w:r>
        <w:rPr>
          <w:rFonts w:hint="eastAsia"/>
          <w:lang w:eastAsia="zh-CN"/>
        </w:rPr>
        <w:t>（</w:t>
      </w:r>
      <w:r>
        <w:rPr>
          <w:rFonts w:hint="eastAsia"/>
          <w:lang w:val="en-US" w:eastAsia="zh-CN"/>
        </w:rPr>
        <w:t>规范性</w:t>
      </w:r>
      <w:r>
        <w:rPr>
          <w:rFonts w:hint="eastAsia"/>
          <w:lang w:eastAsia="zh-CN"/>
        </w:rPr>
        <w:t>）</w:t>
      </w:r>
      <w:r>
        <w:rPr>
          <w:rFonts w:hint="eastAsia"/>
          <w:lang w:eastAsia="zh-CN"/>
        </w:rPr>
        <w:br w:type="textWrapping"/>
      </w:r>
      <w:r>
        <w:rPr>
          <w:rFonts w:hint="eastAsia"/>
          <w:lang w:eastAsia="zh-CN"/>
        </w:rPr>
        <w:t>风险等级确定方法</w:t>
      </w:r>
    </w:p>
    <w:p w14:paraId="1DFB772F">
      <w:pPr>
        <w:pStyle w:val="92"/>
        <w:numPr>
          <w:ilvl w:val="1"/>
          <w:numId w:val="0"/>
        </w:numPr>
        <w:bidi w:val="0"/>
        <w:ind w:left="0" w:leftChars="0" w:firstLine="0" w:firstLineChars="0"/>
        <w:rPr>
          <w:rFonts w:hint="eastAsia"/>
          <w:lang w:val="en-US" w:eastAsia="zh-CN"/>
        </w:rPr>
      </w:pPr>
      <w:r>
        <w:rPr>
          <w:rFonts w:hint="eastAsia"/>
          <w:lang w:val="en-US" w:eastAsia="zh-CN"/>
        </w:rPr>
        <w:t>F.1　直接定性方法</w:t>
      </w:r>
    </w:p>
    <w:p w14:paraId="6C1DF9B3">
      <w:pPr>
        <w:pStyle w:val="44"/>
        <w:bidi w:val="0"/>
      </w:pPr>
      <w:r>
        <w:rPr>
          <w:rFonts w:hint="eastAsia" w:ascii="宋体" w:hAnsi="宋体" w:eastAsia="宋体"/>
          <w:color w:val="000000" w:themeColor="text1"/>
          <w:szCs w:val="28"/>
          <w14:textFill>
            <w14:solidFill>
              <w14:schemeClr w14:val="tx1"/>
            </w14:solidFill>
          </w14:textFill>
        </w:rPr>
        <w:t>根据通用</w:t>
      </w:r>
      <w:r>
        <w:rPr>
          <w:rFonts w:hint="eastAsia"/>
        </w:rPr>
        <w:t>指标和分类指标中的情形，按照规则直接判定风险等级。</w:t>
      </w:r>
    </w:p>
    <w:p w14:paraId="283A13E1">
      <w:pPr>
        <w:pStyle w:val="44"/>
        <w:bidi w:val="0"/>
        <w:rPr>
          <w:rFonts w:ascii="宋体" w:hAnsi="宋体" w:eastAsia="宋体"/>
          <w:color w:val="000000" w:themeColor="text1"/>
          <w:szCs w:val="28"/>
          <w14:textFill>
            <w14:solidFill>
              <w14:schemeClr w14:val="tx1"/>
            </w14:solidFill>
          </w14:textFill>
        </w:rPr>
      </w:pPr>
      <w:r>
        <w:rPr>
          <w:rFonts w:hint="eastAsia"/>
        </w:rPr>
        <w:t>（1）通用指</w:t>
      </w:r>
      <w:r>
        <w:rPr>
          <w:rFonts w:hint="eastAsia" w:ascii="宋体" w:hAnsi="宋体" w:eastAsia="宋体"/>
          <w:color w:val="000000" w:themeColor="text1"/>
          <w:szCs w:val="28"/>
          <w14:textFill>
            <w14:solidFill>
              <w14:schemeClr w14:val="tx1"/>
            </w14:solidFill>
          </w14:textFill>
        </w:rPr>
        <w:t>标</w:t>
      </w:r>
    </w:p>
    <w:p w14:paraId="27A791E0">
      <w:pPr>
        <w:pStyle w:val="132"/>
        <w:numPr>
          <w:ilvl w:val="0"/>
          <w:numId w:val="0"/>
        </w:numPr>
        <w:bidi w:val="0"/>
        <w:ind w:left="0" w:leftChars="0" w:firstLine="0" w:firstLineChars="0"/>
      </w:pPr>
      <w:r>
        <w:rPr>
          <w:rFonts w:hint="eastAsia" w:ascii="黑体" w:hAnsi="黑体" w:eastAsia="黑体" w:cs="黑体"/>
          <w:sz w:val="21"/>
          <w:vertAlign w:val="baseline"/>
        </w:rPr>
        <w:t>表</w:t>
      </w:r>
      <w:r>
        <w:rPr>
          <w:rFonts w:hint="eastAsia" w:cs="黑体"/>
          <w:sz w:val="21"/>
          <w:vertAlign w:val="baseline"/>
          <w:lang w:val="en-US" w:eastAsia="zh-CN"/>
        </w:rPr>
        <w:t>F.</w:t>
      </w:r>
      <w:r>
        <w:rPr>
          <w:rFonts w:hint="eastAsia" w:ascii="黑体" w:hAnsi="黑体" w:eastAsia="黑体" w:cs="黑体"/>
          <w:sz w:val="21"/>
          <w:vertAlign w:val="baseline"/>
        </w:rPr>
        <w:t xml:space="preserve">1  </w:t>
      </w:r>
      <w:r>
        <w:rPr>
          <w:rFonts w:hint="eastAsia"/>
        </w:rPr>
        <w:t>直接定性通用指标</w:t>
      </w:r>
    </w:p>
    <w:tbl>
      <w:tblPr>
        <w:tblStyle w:val="26"/>
        <w:tblW w:w="84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0"/>
        <w:gridCol w:w="6589"/>
        <w:gridCol w:w="1129"/>
      </w:tblGrid>
      <w:tr w14:paraId="13CE9D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0" w:type="dxa"/>
            <w:vAlign w:val="center"/>
          </w:tcPr>
          <w:p w14:paraId="28201167">
            <w:pPr>
              <w:jc w:val="center"/>
              <w:rPr>
                <w:b/>
                <w:color w:val="000000" w:themeColor="text1"/>
                <w:sz w:val="18"/>
                <w:szCs w:val="18"/>
                <w14:textFill>
                  <w14:solidFill>
                    <w14:schemeClr w14:val="tx1"/>
                  </w14:solidFill>
                </w14:textFill>
              </w:rPr>
            </w:pPr>
            <w:r>
              <w:rPr>
                <w:rFonts w:hint="eastAsia"/>
                <w:b/>
                <w:color w:val="000000" w:themeColor="text1"/>
                <w:sz w:val="18"/>
                <w:szCs w:val="18"/>
                <w14:textFill>
                  <w14:solidFill>
                    <w14:schemeClr w14:val="tx1"/>
                  </w14:solidFill>
                </w14:textFill>
              </w:rPr>
              <w:t>序号</w:t>
            </w:r>
          </w:p>
        </w:tc>
        <w:tc>
          <w:tcPr>
            <w:tcW w:w="6589" w:type="dxa"/>
            <w:vAlign w:val="center"/>
          </w:tcPr>
          <w:p w14:paraId="1466C88B">
            <w:pPr>
              <w:jc w:val="center"/>
              <w:rPr>
                <w:b/>
                <w:color w:val="000000" w:themeColor="text1"/>
                <w:sz w:val="18"/>
                <w:szCs w:val="18"/>
                <w14:textFill>
                  <w14:solidFill>
                    <w14:schemeClr w14:val="tx1"/>
                  </w14:solidFill>
                </w14:textFill>
              </w:rPr>
            </w:pPr>
            <w:r>
              <w:rPr>
                <w:rFonts w:hint="eastAsia"/>
                <w:b/>
                <w:color w:val="000000" w:themeColor="text1"/>
                <w:sz w:val="18"/>
                <w:szCs w:val="18"/>
                <w14:textFill>
                  <w14:solidFill>
                    <w14:schemeClr w14:val="tx1"/>
                  </w14:solidFill>
                </w14:textFill>
              </w:rPr>
              <w:t>情形</w:t>
            </w:r>
          </w:p>
        </w:tc>
        <w:tc>
          <w:tcPr>
            <w:tcW w:w="1129" w:type="dxa"/>
            <w:vAlign w:val="center"/>
          </w:tcPr>
          <w:p w14:paraId="04DF531A">
            <w:pPr>
              <w:jc w:val="center"/>
              <w:rPr>
                <w:b/>
                <w:color w:val="000000" w:themeColor="text1"/>
                <w:sz w:val="18"/>
                <w:szCs w:val="18"/>
                <w14:textFill>
                  <w14:solidFill>
                    <w14:schemeClr w14:val="tx1"/>
                  </w14:solidFill>
                </w14:textFill>
              </w:rPr>
            </w:pPr>
            <w:r>
              <w:rPr>
                <w:rFonts w:hint="eastAsia"/>
                <w:b/>
                <w:color w:val="000000" w:themeColor="text1"/>
                <w:sz w:val="18"/>
                <w:szCs w:val="18"/>
                <w14:textFill>
                  <w14:solidFill>
                    <w14:schemeClr w14:val="tx1"/>
                  </w14:solidFill>
                </w14:textFill>
              </w:rPr>
              <w:t>结论</w:t>
            </w:r>
          </w:p>
        </w:tc>
      </w:tr>
      <w:tr w14:paraId="534CAC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0" w:type="dxa"/>
            <w:vAlign w:val="center"/>
          </w:tcPr>
          <w:p w14:paraId="2304FA28">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w:t>
            </w:r>
          </w:p>
        </w:tc>
        <w:tc>
          <w:tcPr>
            <w:tcW w:w="6589" w:type="dxa"/>
            <w:vAlign w:val="center"/>
          </w:tcPr>
          <w:p w14:paraId="41E6AA67">
            <w:pP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已经向政治安全领域传导的</w:t>
            </w:r>
          </w:p>
        </w:tc>
        <w:tc>
          <w:tcPr>
            <w:tcW w:w="1129" w:type="dxa"/>
            <w:vAlign w:val="center"/>
          </w:tcPr>
          <w:p w14:paraId="13EE43D9">
            <w:pP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高风险</w:t>
            </w:r>
          </w:p>
        </w:tc>
      </w:tr>
      <w:tr w14:paraId="6B06EB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0" w:type="dxa"/>
            <w:vAlign w:val="center"/>
          </w:tcPr>
          <w:p w14:paraId="7B4482A4">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w:t>
            </w:r>
          </w:p>
        </w:tc>
        <w:tc>
          <w:tcPr>
            <w:tcW w:w="6589" w:type="dxa"/>
            <w:vAlign w:val="center"/>
          </w:tcPr>
          <w:p w14:paraId="2581153B">
            <w:pP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已经发生</w:t>
            </w:r>
            <w:r>
              <w:rPr>
                <w:color w:val="000000" w:themeColor="text1"/>
                <w:sz w:val="18"/>
                <w:szCs w:val="18"/>
                <w14:textFill>
                  <w14:solidFill>
                    <w14:schemeClr w14:val="tx1"/>
                  </w14:solidFill>
                </w14:textFill>
              </w:rPr>
              <w:fldChar w:fldCharType="begin"/>
            </w:r>
            <w:r>
              <w:rPr>
                <w:color w:val="000000" w:themeColor="text1"/>
                <w:sz w:val="18"/>
                <w:szCs w:val="18"/>
                <w14:textFill>
                  <w14:solidFill>
                    <w14:schemeClr w14:val="tx1"/>
                  </w14:solidFill>
                </w14:textFill>
              </w:rPr>
              <w:instrText xml:space="preserve"> </w:instrText>
            </w:r>
            <w:r>
              <w:rPr>
                <w:rFonts w:hint="eastAsia"/>
                <w:color w:val="000000" w:themeColor="text1"/>
                <w:sz w:val="18"/>
                <w:szCs w:val="18"/>
                <w14:textFill>
                  <w14:solidFill>
                    <w14:schemeClr w14:val="tx1"/>
                  </w14:solidFill>
                </w14:textFill>
              </w:rPr>
              <w:instrText xml:space="preserve">= 3 \* ROMAN</w:instrText>
            </w:r>
            <w:r>
              <w:rPr>
                <w:color w:val="000000" w:themeColor="text1"/>
                <w:sz w:val="18"/>
                <w:szCs w:val="18"/>
                <w14:textFill>
                  <w14:solidFill>
                    <w14:schemeClr w14:val="tx1"/>
                  </w14:solidFill>
                </w14:textFill>
              </w:rPr>
              <w:instrText xml:space="preserve"> </w:instrText>
            </w:r>
            <w:r>
              <w:rPr>
                <w:color w:val="000000" w:themeColor="text1"/>
                <w:sz w:val="18"/>
                <w:szCs w:val="18"/>
                <w14:textFill>
                  <w14:solidFill>
                    <w14:schemeClr w14:val="tx1"/>
                  </w14:solidFill>
                </w14:textFill>
              </w:rPr>
              <w:fldChar w:fldCharType="separate"/>
            </w:r>
            <w:r>
              <w:rPr>
                <w:color w:val="000000" w:themeColor="text1"/>
                <w:sz w:val="18"/>
                <w:szCs w:val="18"/>
                <w14:textFill>
                  <w14:solidFill>
                    <w14:schemeClr w14:val="tx1"/>
                  </w14:solidFill>
                </w14:textFill>
              </w:rPr>
              <w:t>III</w:t>
            </w:r>
            <w:r>
              <w:rPr>
                <w:color w:val="000000" w:themeColor="text1"/>
                <w:sz w:val="18"/>
                <w:szCs w:val="18"/>
                <w14:textFill>
                  <w14:solidFill>
                    <w14:schemeClr w14:val="tx1"/>
                  </w14:solidFill>
                </w14:textFill>
              </w:rPr>
              <w:fldChar w:fldCharType="end"/>
            </w:r>
            <w:r>
              <w:rPr>
                <w:rFonts w:hint="eastAsia"/>
                <w:color w:val="000000" w:themeColor="text1"/>
                <w:sz w:val="18"/>
                <w:szCs w:val="18"/>
                <w14:textFill>
                  <w14:solidFill>
                    <w14:schemeClr w14:val="tx1"/>
                  </w14:solidFill>
                </w14:textFill>
              </w:rPr>
              <w:t>级以上群体性事件或200人以上规模聚集事件的</w:t>
            </w:r>
          </w:p>
        </w:tc>
        <w:tc>
          <w:tcPr>
            <w:tcW w:w="1129" w:type="dxa"/>
            <w:vAlign w:val="center"/>
          </w:tcPr>
          <w:p w14:paraId="14A79EFE">
            <w:pP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高风险</w:t>
            </w:r>
          </w:p>
        </w:tc>
      </w:tr>
      <w:tr w14:paraId="3CA340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0" w:type="dxa"/>
            <w:vAlign w:val="center"/>
          </w:tcPr>
          <w:p w14:paraId="2D027582">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w:t>
            </w:r>
          </w:p>
        </w:tc>
        <w:tc>
          <w:tcPr>
            <w:tcW w:w="6589" w:type="dxa"/>
            <w:vAlign w:val="center"/>
          </w:tcPr>
          <w:p w14:paraId="5601CC7B">
            <w:pP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已经两次以上发生50人以上规模聚集事件的</w:t>
            </w:r>
          </w:p>
        </w:tc>
        <w:tc>
          <w:tcPr>
            <w:tcW w:w="1129" w:type="dxa"/>
            <w:vAlign w:val="center"/>
          </w:tcPr>
          <w:p w14:paraId="4E1CEC4E">
            <w:pP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高风险</w:t>
            </w:r>
          </w:p>
        </w:tc>
      </w:tr>
      <w:tr w14:paraId="73DCBF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0" w:type="dxa"/>
            <w:vAlign w:val="center"/>
          </w:tcPr>
          <w:p w14:paraId="6A05D532">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4</w:t>
            </w:r>
          </w:p>
        </w:tc>
        <w:tc>
          <w:tcPr>
            <w:tcW w:w="6589" w:type="dxa"/>
            <w:vAlign w:val="center"/>
          </w:tcPr>
          <w:p w14:paraId="5CB1B38D">
            <w:pP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已经发生重大个人极端案事件的</w:t>
            </w:r>
          </w:p>
        </w:tc>
        <w:tc>
          <w:tcPr>
            <w:tcW w:w="1129" w:type="dxa"/>
            <w:vAlign w:val="center"/>
          </w:tcPr>
          <w:p w14:paraId="6121F001">
            <w:pP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高风险</w:t>
            </w:r>
          </w:p>
        </w:tc>
      </w:tr>
      <w:tr w14:paraId="7B68CC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0" w:type="dxa"/>
            <w:vAlign w:val="center"/>
          </w:tcPr>
          <w:p w14:paraId="01C7CCB8">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5</w:t>
            </w:r>
          </w:p>
        </w:tc>
        <w:tc>
          <w:tcPr>
            <w:tcW w:w="6589" w:type="dxa"/>
            <w:vAlign w:val="center"/>
          </w:tcPr>
          <w:p w14:paraId="1066D8E1">
            <w:pP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已经发生重大负面舆情事件的</w:t>
            </w:r>
          </w:p>
        </w:tc>
        <w:tc>
          <w:tcPr>
            <w:tcW w:w="1129" w:type="dxa"/>
            <w:vAlign w:val="center"/>
          </w:tcPr>
          <w:p w14:paraId="507A9308">
            <w:pP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高风险</w:t>
            </w:r>
          </w:p>
        </w:tc>
      </w:tr>
      <w:tr w14:paraId="722A7F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0" w:type="dxa"/>
            <w:vAlign w:val="center"/>
          </w:tcPr>
          <w:p w14:paraId="3E2545A9">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6</w:t>
            </w:r>
          </w:p>
        </w:tc>
        <w:tc>
          <w:tcPr>
            <w:tcW w:w="6589" w:type="dxa"/>
            <w:vAlign w:val="center"/>
          </w:tcPr>
          <w:p w14:paraId="31F7FE20">
            <w:pP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已经发生一般群体性事件或一次50人以上规模聚集事件的</w:t>
            </w:r>
          </w:p>
        </w:tc>
        <w:tc>
          <w:tcPr>
            <w:tcW w:w="1129" w:type="dxa"/>
            <w:vAlign w:val="center"/>
          </w:tcPr>
          <w:p w14:paraId="6BA3512F">
            <w:pP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中风险</w:t>
            </w:r>
          </w:p>
        </w:tc>
      </w:tr>
      <w:tr w14:paraId="0B58CE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0" w:type="dxa"/>
            <w:vAlign w:val="center"/>
          </w:tcPr>
          <w:p w14:paraId="67AF06AD">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7</w:t>
            </w:r>
          </w:p>
        </w:tc>
        <w:tc>
          <w:tcPr>
            <w:tcW w:w="6589" w:type="dxa"/>
            <w:vAlign w:val="center"/>
          </w:tcPr>
          <w:p w14:paraId="2C8164A6">
            <w:pP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已经发生较大负面舆情事件的</w:t>
            </w:r>
          </w:p>
        </w:tc>
        <w:tc>
          <w:tcPr>
            <w:tcW w:w="1129" w:type="dxa"/>
            <w:vAlign w:val="center"/>
          </w:tcPr>
          <w:p w14:paraId="12CE0CA6">
            <w:pP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中风险</w:t>
            </w:r>
          </w:p>
        </w:tc>
      </w:tr>
    </w:tbl>
    <w:p w14:paraId="7C643A13">
      <w:pPr>
        <w:pStyle w:val="44"/>
        <w:bidi w:val="0"/>
      </w:pPr>
      <w:r>
        <w:rPr>
          <w:rFonts w:hint="eastAsia" w:ascii="宋体" w:hAnsi="宋体" w:eastAsia="宋体"/>
          <w:color w:val="000000" w:themeColor="text1"/>
          <w:szCs w:val="28"/>
          <w14:textFill>
            <w14:solidFill>
              <w14:schemeClr w14:val="tx1"/>
            </w14:solidFill>
          </w14:textFill>
        </w:rPr>
        <w:t>（2）分</w:t>
      </w:r>
      <w:r>
        <w:rPr>
          <w:rFonts w:hint="eastAsia"/>
        </w:rPr>
        <w:t>类指标</w:t>
      </w:r>
    </w:p>
    <w:p w14:paraId="33751851">
      <w:pPr>
        <w:pStyle w:val="44"/>
        <w:bidi w:val="0"/>
      </w:pPr>
      <w:r>
        <w:rPr>
          <w:rFonts w:hint="eastAsia"/>
        </w:rPr>
        <w:t>评估</w:t>
      </w:r>
      <w:r>
        <w:rPr>
          <w:rFonts w:hint="eastAsia"/>
          <w:lang w:eastAsia="zh-CN"/>
        </w:rPr>
        <w:t>事项</w:t>
      </w:r>
      <w:r>
        <w:rPr>
          <w:rFonts w:hint="eastAsia"/>
        </w:rPr>
        <w:t>对应表F</w:t>
      </w:r>
      <w:r>
        <w:rPr>
          <w:rFonts w:hint="eastAsia"/>
          <w:lang w:val="en-US" w:eastAsia="zh-CN"/>
        </w:rPr>
        <w:t>.</w:t>
      </w:r>
      <w:r>
        <w:rPr>
          <w:rFonts w:hint="eastAsia"/>
        </w:rPr>
        <w:t>2、表F</w:t>
      </w:r>
      <w:r>
        <w:rPr>
          <w:rFonts w:hint="eastAsia"/>
          <w:lang w:val="en-US" w:eastAsia="zh-CN"/>
        </w:rPr>
        <w:t>.</w:t>
      </w:r>
      <w:r>
        <w:rPr>
          <w:rFonts w:hint="eastAsia"/>
        </w:rPr>
        <w:t>3、表F</w:t>
      </w:r>
      <w:r>
        <w:rPr>
          <w:rFonts w:hint="eastAsia"/>
          <w:lang w:val="en-US" w:eastAsia="zh-CN"/>
        </w:rPr>
        <w:t>.</w:t>
      </w:r>
      <w:r>
        <w:rPr>
          <w:rFonts w:hint="eastAsia"/>
        </w:rPr>
        <w:t>4、表F</w:t>
      </w:r>
      <w:r>
        <w:rPr>
          <w:rFonts w:hint="eastAsia"/>
          <w:lang w:val="en-US" w:eastAsia="zh-CN"/>
        </w:rPr>
        <w:t>.</w:t>
      </w:r>
      <w:r>
        <w:rPr>
          <w:rFonts w:hint="eastAsia"/>
        </w:rPr>
        <w:t>5中带</w:t>
      </w:r>
      <w:r>
        <w:rPr>
          <w:rFonts w:hint="eastAsia"/>
        </w:rPr>
        <w:sym w:font="Wingdings" w:char="F0B5"/>
      </w:r>
      <w:r>
        <w:rPr>
          <w:rFonts w:hint="eastAsia"/>
        </w:rPr>
        <w:t>的指标为直接定性指标，只要有一个不符合的情形，就直接定性为高风险。</w:t>
      </w:r>
    </w:p>
    <w:p w14:paraId="7091313B">
      <w:pPr>
        <w:rPr>
          <w:rFonts w:hint="eastAsia" w:ascii="黑体" w:hAnsi="Times New Roman" w:eastAsia="黑体" w:cs="黑体"/>
          <w:kern w:val="0"/>
          <w:sz w:val="21"/>
          <w:szCs w:val="20"/>
          <w:lang w:val="en-US" w:eastAsia="zh-CN"/>
        </w:rPr>
      </w:pPr>
      <w:r>
        <w:rPr>
          <w:rFonts w:hint="eastAsia" w:ascii="黑体" w:hAnsi="Times New Roman" w:eastAsia="黑体" w:cs="黑体"/>
          <w:kern w:val="0"/>
          <w:sz w:val="21"/>
          <w:szCs w:val="20"/>
          <w:lang w:val="en-US" w:eastAsia="zh-CN"/>
        </w:rPr>
        <w:t>F.2　综合评判法</w:t>
      </w:r>
    </w:p>
    <w:p w14:paraId="3F8F00F5">
      <w:pPr>
        <w:rPr>
          <w:rFonts w:hint="eastAsia" w:ascii="黑体" w:hAnsi="Times New Roman" w:eastAsia="黑体" w:cs="黑体"/>
          <w:kern w:val="0"/>
          <w:sz w:val="21"/>
          <w:szCs w:val="20"/>
          <w:lang w:val="en-US" w:eastAsia="zh-CN"/>
        </w:rPr>
      </w:pPr>
      <w:r>
        <w:rPr>
          <w:rFonts w:hint="eastAsia" w:ascii="黑体" w:hAnsi="Times New Roman" w:eastAsia="黑体" w:cs="黑体"/>
          <w:kern w:val="0"/>
          <w:sz w:val="21"/>
          <w:szCs w:val="20"/>
          <w:lang w:val="en-US" w:eastAsia="zh-CN"/>
        </w:rPr>
        <w:t>F.2.1　评估指标</w:t>
      </w:r>
    </w:p>
    <w:p w14:paraId="396C65B3">
      <w:pPr>
        <w:pStyle w:val="44"/>
        <w:bidi w:val="0"/>
      </w:pPr>
      <w:r>
        <w:rPr>
          <w:rFonts w:hint="eastAsia"/>
        </w:rPr>
        <w:t>评估指标体系需要根据重大决策类型选择相应的规范要求，表F</w:t>
      </w:r>
      <w:r>
        <w:rPr>
          <w:rFonts w:hint="eastAsia"/>
          <w:lang w:val="en-US" w:eastAsia="zh-CN"/>
        </w:rPr>
        <w:t>.</w:t>
      </w:r>
      <w:r>
        <w:rPr>
          <w:rFonts w:hint="eastAsia"/>
        </w:rPr>
        <w:t>2、表F</w:t>
      </w:r>
      <w:r>
        <w:rPr>
          <w:rFonts w:hint="eastAsia"/>
          <w:lang w:val="en-US" w:eastAsia="zh-CN"/>
        </w:rPr>
        <w:t>.</w:t>
      </w:r>
      <w:r>
        <w:rPr>
          <w:rFonts w:hint="eastAsia"/>
        </w:rPr>
        <w:t>3、表F</w:t>
      </w:r>
      <w:r>
        <w:rPr>
          <w:rFonts w:hint="eastAsia"/>
          <w:lang w:val="en-US" w:eastAsia="zh-CN"/>
        </w:rPr>
        <w:t>.</w:t>
      </w:r>
      <w:r>
        <w:rPr>
          <w:rFonts w:hint="eastAsia"/>
        </w:rPr>
        <w:t>4、表F</w:t>
      </w:r>
      <w:r>
        <w:rPr>
          <w:rFonts w:hint="eastAsia"/>
          <w:lang w:val="en-US" w:eastAsia="zh-CN"/>
        </w:rPr>
        <w:t>.</w:t>
      </w:r>
      <w:r>
        <w:rPr>
          <w:rFonts w:hint="eastAsia"/>
        </w:rPr>
        <w:t>5分别给出了四大类型的社会稳定风险评估指标体系。</w:t>
      </w:r>
    </w:p>
    <w:p w14:paraId="6EC15C32">
      <w:pPr>
        <w:jc w:val="center"/>
        <w:rPr>
          <w:rFonts w:hint="eastAsia" w:ascii="黑体" w:hAnsi="黑体" w:eastAsia="黑体" w:cs="黑体"/>
          <w:kern w:val="0"/>
          <w:sz w:val="21"/>
          <w:szCs w:val="20"/>
        </w:rPr>
      </w:pPr>
      <w:r>
        <w:rPr>
          <w:rFonts w:hint="eastAsia" w:ascii="黑体" w:hAnsi="黑体" w:eastAsia="黑体" w:cs="黑体"/>
          <w:kern w:val="0"/>
          <w:sz w:val="21"/>
          <w:szCs w:val="20"/>
        </w:rPr>
        <w:t>表F</w:t>
      </w:r>
      <w:r>
        <w:rPr>
          <w:rFonts w:hint="eastAsia" w:ascii="黑体" w:hAnsi="黑体" w:eastAsia="黑体" w:cs="黑体"/>
          <w:kern w:val="0"/>
          <w:sz w:val="21"/>
          <w:szCs w:val="20"/>
          <w:lang w:val="en-US" w:eastAsia="zh-CN"/>
        </w:rPr>
        <w:t>.</w:t>
      </w:r>
      <w:r>
        <w:rPr>
          <w:rFonts w:hint="eastAsia" w:ascii="黑体" w:hAnsi="黑体" w:eastAsia="黑体" w:cs="黑体"/>
          <w:kern w:val="0"/>
          <w:sz w:val="21"/>
          <w:szCs w:val="20"/>
        </w:rPr>
        <w:t>2</w:t>
      </w:r>
      <w:r>
        <w:rPr>
          <w:rFonts w:hint="eastAsia" w:ascii="黑体" w:hAnsi="黑体" w:eastAsia="黑体" w:cs="黑体"/>
          <w:kern w:val="0"/>
          <w:sz w:val="21"/>
          <w:szCs w:val="20"/>
          <w:lang w:val="en-US" w:eastAsia="zh-CN"/>
        </w:rPr>
        <w:t xml:space="preserve">  </w:t>
      </w:r>
      <w:r>
        <w:rPr>
          <w:rFonts w:hint="eastAsia" w:ascii="黑体" w:hAnsi="黑体" w:eastAsia="黑体" w:cs="黑体"/>
          <w:kern w:val="0"/>
          <w:sz w:val="21"/>
          <w:szCs w:val="20"/>
        </w:rPr>
        <w:t>重大政策制定或调整类社会稳定风险评估指标体系</w:t>
      </w:r>
    </w:p>
    <w:tbl>
      <w:tblPr>
        <w:tblStyle w:val="25"/>
        <w:tblW w:w="8793" w:type="dxa"/>
        <w:tblInd w:w="0" w:type="dxa"/>
        <w:tblLayout w:type="fixed"/>
        <w:tblCellMar>
          <w:top w:w="0" w:type="dxa"/>
          <w:left w:w="108" w:type="dxa"/>
          <w:bottom w:w="0" w:type="dxa"/>
          <w:right w:w="108" w:type="dxa"/>
        </w:tblCellMar>
      </w:tblPr>
      <w:tblGrid>
        <w:gridCol w:w="1165"/>
        <w:gridCol w:w="1304"/>
        <w:gridCol w:w="5296"/>
        <w:gridCol w:w="1028"/>
      </w:tblGrid>
      <w:tr w14:paraId="2846E1E5">
        <w:tblPrEx>
          <w:tblCellMar>
            <w:top w:w="0" w:type="dxa"/>
            <w:left w:w="108" w:type="dxa"/>
            <w:bottom w:w="0" w:type="dxa"/>
            <w:right w:w="108" w:type="dxa"/>
          </w:tblCellMar>
        </w:tblPrEx>
        <w:trPr>
          <w:trHeight w:val="270" w:hRule="atLeast"/>
        </w:trPr>
        <w:tc>
          <w:tcPr>
            <w:tcW w:w="1165" w:type="dxa"/>
            <w:tcBorders>
              <w:top w:val="single" w:color="auto" w:sz="4" w:space="0"/>
              <w:left w:val="single" w:color="auto" w:sz="4" w:space="0"/>
              <w:bottom w:val="single" w:color="auto" w:sz="4" w:space="0"/>
              <w:right w:val="single" w:color="auto" w:sz="4" w:space="0"/>
            </w:tcBorders>
            <w:vAlign w:val="center"/>
          </w:tcPr>
          <w:p w14:paraId="456E1197">
            <w:pPr>
              <w:widowControl/>
              <w:adjustRightInd w:val="0"/>
              <w:snapToGrid w:val="0"/>
              <w:spacing w:line="240" w:lineRule="exact"/>
              <w:jc w:val="center"/>
              <w:rPr>
                <w:rFonts w:ascii="宋体" w:hAnsi="宋体" w:cs="宋体"/>
                <w:b/>
                <w:color w:val="000000"/>
                <w:kern w:val="0"/>
                <w:sz w:val="18"/>
                <w:szCs w:val="18"/>
              </w:rPr>
            </w:pPr>
            <w:r>
              <w:rPr>
                <w:rFonts w:hint="eastAsia" w:ascii="宋体" w:hAnsi="宋体" w:cs="宋体"/>
                <w:b/>
                <w:color w:val="000000"/>
                <w:kern w:val="0"/>
                <w:sz w:val="18"/>
                <w:szCs w:val="18"/>
              </w:rPr>
              <w:t>一级指标（权重）</w:t>
            </w:r>
          </w:p>
        </w:tc>
        <w:tc>
          <w:tcPr>
            <w:tcW w:w="1304" w:type="dxa"/>
            <w:tcBorders>
              <w:top w:val="single" w:color="auto" w:sz="4" w:space="0"/>
              <w:left w:val="nil"/>
              <w:bottom w:val="single" w:color="auto" w:sz="4" w:space="0"/>
              <w:right w:val="single" w:color="auto" w:sz="4" w:space="0"/>
            </w:tcBorders>
            <w:noWrap/>
            <w:vAlign w:val="center"/>
          </w:tcPr>
          <w:p w14:paraId="2178CA69">
            <w:pPr>
              <w:widowControl/>
              <w:spacing w:line="240" w:lineRule="atLeast"/>
              <w:jc w:val="center"/>
              <w:rPr>
                <w:rFonts w:ascii="宋体" w:hAnsi="宋体" w:cs="宋体"/>
                <w:b/>
                <w:color w:val="000000"/>
                <w:kern w:val="0"/>
                <w:sz w:val="18"/>
                <w:szCs w:val="18"/>
              </w:rPr>
            </w:pPr>
            <w:r>
              <w:rPr>
                <w:rFonts w:hint="eastAsia" w:ascii="宋体" w:hAnsi="宋体" w:cs="宋体"/>
                <w:b/>
                <w:color w:val="000000"/>
                <w:kern w:val="0"/>
                <w:sz w:val="18"/>
                <w:szCs w:val="18"/>
              </w:rPr>
              <w:t>二级指标（权重）</w:t>
            </w:r>
          </w:p>
        </w:tc>
        <w:tc>
          <w:tcPr>
            <w:tcW w:w="5296" w:type="dxa"/>
            <w:tcBorders>
              <w:top w:val="single" w:color="auto" w:sz="4" w:space="0"/>
              <w:left w:val="nil"/>
              <w:bottom w:val="single" w:color="auto" w:sz="4" w:space="0"/>
              <w:right w:val="single" w:color="auto" w:sz="4" w:space="0"/>
            </w:tcBorders>
            <w:noWrap/>
            <w:vAlign w:val="center"/>
          </w:tcPr>
          <w:p w14:paraId="587F0D8E">
            <w:pPr>
              <w:widowControl/>
              <w:spacing w:line="240" w:lineRule="atLeast"/>
              <w:jc w:val="center"/>
              <w:rPr>
                <w:rFonts w:ascii="宋体" w:hAnsi="宋体" w:cs="宋体"/>
                <w:b/>
                <w:color w:val="000000"/>
                <w:kern w:val="0"/>
                <w:sz w:val="18"/>
                <w:szCs w:val="18"/>
              </w:rPr>
            </w:pPr>
            <w:r>
              <w:rPr>
                <w:rFonts w:hint="eastAsia" w:ascii="宋体" w:hAnsi="宋体" w:cs="宋体"/>
                <w:b/>
                <w:color w:val="000000"/>
                <w:kern w:val="0"/>
                <w:sz w:val="18"/>
                <w:szCs w:val="18"/>
              </w:rPr>
              <w:t>三级指标</w:t>
            </w:r>
          </w:p>
        </w:tc>
        <w:tc>
          <w:tcPr>
            <w:tcW w:w="1028" w:type="dxa"/>
            <w:tcBorders>
              <w:top w:val="single" w:color="auto" w:sz="4" w:space="0"/>
              <w:left w:val="nil"/>
              <w:bottom w:val="single" w:color="auto" w:sz="4" w:space="0"/>
              <w:right w:val="single" w:color="auto" w:sz="4" w:space="0"/>
            </w:tcBorders>
            <w:noWrap/>
            <w:vAlign w:val="center"/>
          </w:tcPr>
          <w:p w14:paraId="2156B541">
            <w:pPr>
              <w:widowControl/>
              <w:spacing w:line="240" w:lineRule="atLeast"/>
              <w:jc w:val="center"/>
              <w:rPr>
                <w:rFonts w:ascii="宋体" w:hAnsi="宋体" w:eastAsia="宋体" w:cs="宋体"/>
                <w:b/>
                <w:color w:val="000000"/>
                <w:kern w:val="0"/>
                <w:sz w:val="18"/>
                <w:szCs w:val="18"/>
              </w:rPr>
            </w:pPr>
            <w:r>
              <w:rPr>
                <w:rFonts w:hint="eastAsia" w:ascii="宋体" w:hAnsi="宋体" w:cs="宋体"/>
                <w:b/>
                <w:color w:val="000000"/>
                <w:kern w:val="0"/>
                <w:sz w:val="18"/>
                <w:szCs w:val="18"/>
              </w:rPr>
              <w:t>权重</w:t>
            </w:r>
          </w:p>
        </w:tc>
      </w:tr>
      <w:tr w14:paraId="4B760698">
        <w:tblPrEx>
          <w:tblCellMar>
            <w:top w:w="0" w:type="dxa"/>
            <w:left w:w="108" w:type="dxa"/>
            <w:bottom w:w="0" w:type="dxa"/>
            <w:right w:w="108" w:type="dxa"/>
          </w:tblCellMar>
        </w:tblPrEx>
        <w:trPr>
          <w:trHeight w:val="316" w:hRule="atLeast"/>
        </w:trPr>
        <w:tc>
          <w:tcPr>
            <w:tcW w:w="1165" w:type="dxa"/>
            <w:vMerge w:val="restart"/>
            <w:tcBorders>
              <w:top w:val="nil"/>
              <w:left w:val="single" w:color="auto" w:sz="4" w:space="0"/>
              <w:right w:val="single" w:color="auto" w:sz="4" w:space="0"/>
            </w:tcBorders>
            <w:vAlign w:val="center"/>
          </w:tcPr>
          <w:p w14:paraId="2B328AA7">
            <w:pPr>
              <w:widowControl/>
              <w:adjustRightInd w:val="0"/>
              <w:snapToGrid w:val="0"/>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合法性</w:t>
            </w:r>
          </w:p>
          <w:p w14:paraId="1DA01687">
            <w:pPr>
              <w:widowControl/>
              <w:adjustRightInd w:val="0"/>
              <w:snapToGrid w:val="0"/>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（30分）</w:t>
            </w:r>
          </w:p>
        </w:tc>
        <w:tc>
          <w:tcPr>
            <w:tcW w:w="1304" w:type="dxa"/>
            <w:vMerge w:val="restart"/>
            <w:tcBorders>
              <w:top w:val="nil"/>
              <w:left w:val="nil"/>
              <w:right w:val="single" w:color="auto" w:sz="4" w:space="0"/>
            </w:tcBorders>
            <w:noWrap/>
            <w:vAlign w:val="center"/>
          </w:tcPr>
          <w:p w14:paraId="75757460">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主体合法</w:t>
            </w:r>
          </w:p>
          <w:p w14:paraId="1447859F">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（10分）</w:t>
            </w:r>
          </w:p>
        </w:tc>
        <w:tc>
          <w:tcPr>
            <w:tcW w:w="5296" w:type="dxa"/>
            <w:tcBorders>
              <w:top w:val="nil"/>
              <w:left w:val="nil"/>
              <w:bottom w:val="single" w:color="auto" w:sz="4" w:space="0"/>
              <w:right w:val="single" w:color="auto" w:sz="4" w:space="0"/>
            </w:tcBorders>
            <w:noWrap/>
            <w:vAlign w:val="center"/>
          </w:tcPr>
          <w:p w14:paraId="3712FB61">
            <w:pPr>
              <w:widowControl/>
              <w:adjustRightInd w:val="0"/>
              <w:snapToGrid w:val="0"/>
              <w:spacing w:line="240" w:lineRule="exact"/>
              <w:rPr>
                <w:rFonts w:ascii="宋体" w:hAnsi="宋体" w:cs="宋体"/>
                <w:color w:val="000000"/>
                <w:kern w:val="0"/>
                <w:sz w:val="18"/>
                <w:szCs w:val="18"/>
              </w:rPr>
            </w:pPr>
            <w:r>
              <w:rPr>
                <w:rFonts w:hint="eastAsia" w:ascii="宋体" w:hAnsi="宋体" w:cs="宋体"/>
                <w:color w:val="000000"/>
                <w:kern w:val="0"/>
                <w:sz w:val="18"/>
                <w:szCs w:val="18"/>
              </w:rPr>
              <w:t>决策主体是否为依法设立</w:t>
            </w:r>
          </w:p>
        </w:tc>
        <w:tc>
          <w:tcPr>
            <w:tcW w:w="1028" w:type="dxa"/>
            <w:tcBorders>
              <w:top w:val="nil"/>
              <w:left w:val="nil"/>
              <w:bottom w:val="single" w:color="auto" w:sz="4" w:space="0"/>
              <w:right w:val="single" w:color="auto" w:sz="4" w:space="0"/>
            </w:tcBorders>
            <w:noWrap/>
            <w:vAlign w:val="center"/>
          </w:tcPr>
          <w:p w14:paraId="30933965">
            <w:pPr>
              <w:widowControl/>
              <w:adjustRightInd w:val="0"/>
              <w:snapToGrid w:val="0"/>
              <w:spacing w:line="240" w:lineRule="exact"/>
              <w:jc w:val="center"/>
              <w:rPr>
                <w:rFonts w:ascii="宋体" w:hAnsi="宋体" w:eastAsia="宋体" w:cs="宋体"/>
                <w:color w:val="000000"/>
                <w:kern w:val="0"/>
                <w:sz w:val="18"/>
                <w:szCs w:val="18"/>
              </w:rPr>
            </w:pPr>
            <w:r>
              <w:rPr>
                <w:rFonts w:hint="eastAsia" w:ascii="宋体" w:hAnsi="宋体" w:cs="宋体"/>
                <w:color w:val="000000"/>
                <w:kern w:val="0"/>
                <w:sz w:val="18"/>
                <w:szCs w:val="18"/>
              </w:rPr>
              <w:t>4</w:t>
            </w:r>
          </w:p>
        </w:tc>
      </w:tr>
      <w:tr w14:paraId="505A4B62">
        <w:tblPrEx>
          <w:tblCellMar>
            <w:top w:w="0" w:type="dxa"/>
            <w:left w:w="108" w:type="dxa"/>
            <w:bottom w:w="0" w:type="dxa"/>
            <w:right w:w="108" w:type="dxa"/>
          </w:tblCellMar>
        </w:tblPrEx>
        <w:trPr>
          <w:trHeight w:val="316" w:hRule="atLeast"/>
        </w:trPr>
        <w:tc>
          <w:tcPr>
            <w:tcW w:w="1165" w:type="dxa"/>
            <w:vMerge w:val="continue"/>
            <w:tcBorders>
              <w:top w:val="nil"/>
              <w:left w:val="single" w:color="auto" w:sz="4" w:space="0"/>
              <w:right w:val="single" w:color="auto" w:sz="4" w:space="0"/>
            </w:tcBorders>
            <w:vAlign w:val="center"/>
          </w:tcPr>
          <w:p w14:paraId="1DA97DEF">
            <w:pPr>
              <w:widowControl/>
              <w:adjustRightInd w:val="0"/>
              <w:snapToGrid w:val="0"/>
              <w:spacing w:line="240" w:lineRule="exact"/>
              <w:jc w:val="center"/>
              <w:rPr>
                <w:rFonts w:ascii="宋体" w:hAnsi="宋体" w:cs="宋体"/>
                <w:color w:val="000000"/>
                <w:kern w:val="0"/>
                <w:sz w:val="18"/>
                <w:szCs w:val="18"/>
              </w:rPr>
            </w:pPr>
          </w:p>
        </w:tc>
        <w:tc>
          <w:tcPr>
            <w:tcW w:w="1304" w:type="dxa"/>
            <w:vMerge w:val="continue"/>
            <w:tcBorders>
              <w:left w:val="nil"/>
              <w:bottom w:val="single" w:color="auto" w:sz="4" w:space="0"/>
              <w:right w:val="single" w:color="auto" w:sz="4" w:space="0"/>
            </w:tcBorders>
            <w:noWrap/>
            <w:vAlign w:val="center"/>
          </w:tcPr>
          <w:p w14:paraId="60F23B49">
            <w:pPr>
              <w:widowControl/>
              <w:spacing w:line="240" w:lineRule="exact"/>
              <w:jc w:val="center"/>
              <w:rPr>
                <w:rFonts w:ascii="宋体" w:hAnsi="宋体" w:cs="宋体"/>
                <w:color w:val="000000"/>
                <w:kern w:val="0"/>
                <w:sz w:val="18"/>
                <w:szCs w:val="18"/>
              </w:rPr>
            </w:pPr>
          </w:p>
        </w:tc>
        <w:tc>
          <w:tcPr>
            <w:tcW w:w="5296" w:type="dxa"/>
            <w:tcBorders>
              <w:top w:val="nil"/>
              <w:left w:val="nil"/>
              <w:bottom w:val="single" w:color="auto" w:sz="4" w:space="0"/>
              <w:right w:val="single" w:color="auto" w:sz="4" w:space="0"/>
            </w:tcBorders>
            <w:noWrap/>
            <w:vAlign w:val="center"/>
          </w:tcPr>
          <w:p w14:paraId="735A2F3F">
            <w:pPr>
              <w:widowControl/>
              <w:adjustRightInd w:val="0"/>
              <w:snapToGrid w:val="0"/>
              <w:spacing w:line="240" w:lineRule="exact"/>
              <w:rPr>
                <w:rFonts w:ascii="宋体" w:hAnsi="宋体" w:cs="宋体"/>
                <w:color w:val="000000"/>
                <w:kern w:val="0"/>
                <w:sz w:val="18"/>
                <w:szCs w:val="18"/>
              </w:rPr>
            </w:pPr>
            <w:r>
              <w:rPr>
                <w:rFonts w:hint="eastAsia" w:ascii="宋体" w:hAnsi="宋体" w:cs="宋体"/>
                <w:color w:val="000000"/>
                <w:kern w:val="0"/>
                <w:sz w:val="18"/>
                <w:szCs w:val="18"/>
              </w:rPr>
              <w:t>决策事项是否在决策主体法定权限范围内</w:t>
            </w:r>
            <w:r>
              <w:rPr>
                <w:rFonts w:hint="eastAsia" w:ascii="宋体" w:hAnsi="宋体" w:cs="宋体"/>
                <w:color w:val="000000"/>
                <w:kern w:val="0"/>
                <w:sz w:val="18"/>
                <w:szCs w:val="18"/>
              </w:rPr>
              <w:sym w:font="Wingdings" w:char="F0B5"/>
            </w:r>
          </w:p>
        </w:tc>
        <w:tc>
          <w:tcPr>
            <w:tcW w:w="1028" w:type="dxa"/>
            <w:tcBorders>
              <w:top w:val="nil"/>
              <w:left w:val="nil"/>
              <w:bottom w:val="single" w:color="auto" w:sz="4" w:space="0"/>
              <w:right w:val="single" w:color="auto" w:sz="4" w:space="0"/>
            </w:tcBorders>
            <w:noWrap/>
            <w:vAlign w:val="center"/>
          </w:tcPr>
          <w:p w14:paraId="4F29A6FC">
            <w:pPr>
              <w:widowControl/>
              <w:adjustRightInd w:val="0"/>
              <w:snapToGrid w:val="0"/>
              <w:spacing w:line="240" w:lineRule="exact"/>
              <w:jc w:val="center"/>
              <w:rPr>
                <w:rFonts w:ascii="宋体" w:hAnsi="宋体" w:eastAsia="宋体" w:cs="宋体"/>
                <w:color w:val="000000"/>
                <w:kern w:val="0"/>
                <w:sz w:val="18"/>
                <w:szCs w:val="18"/>
              </w:rPr>
            </w:pPr>
            <w:r>
              <w:rPr>
                <w:rFonts w:hint="eastAsia" w:ascii="宋体" w:hAnsi="宋体" w:cs="宋体"/>
                <w:color w:val="000000"/>
                <w:kern w:val="0"/>
                <w:sz w:val="18"/>
                <w:szCs w:val="18"/>
              </w:rPr>
              <w:t>6</w:t>
            </w:r>
          </w:p>
        </w:tc>
      </w:tr>
      <w:tr w14:paraId="67A50962">
        <w:tblPrEx>
          <w:tblCellMar>
            <w:top w:w="0" w:type="dxa"/>
            <w:left w:w="108" w:type="dxa"/>
            <w:bottom w:w="0" w:type="dxa"/>
            <w:right w:w="108" w:type="dxa"/>
          </w:tblCellMar>
        </w:tblPrEx>
        <w:trPr>
          <w:trHeight w:val="270" w:hRule="atLeast"/>
        </w:trPr>
        <w:tc>
          <w:tcPr>
            <w:tcW w:w="1165" w:type="dxa"/>
            <w:vMerge w:val="continue"/>
            <w:tcBorders>
              <w:left w:val="single" w:color="auto" w:sz="4" w:space="0"/>
              <w:right w:val="single" w:color="auto" w:sz="4" w:space="0"/>
            </w:tcBorders>
            <w:vAlign w:val="center"/>
          </w:tcPr>
          <w:p w14:paraId="13A08981">
            <w:pPr>
              <w:adjustRightInd w:val="0"/>
              <w:snapToGrid w:val="0"/>
              <w:spacing w:line="240" w:lineRule="exact"/>
              <w:jc w:val="center"/>
              <w:rPr>
                <w:rFonts w:ascii="宋体" w:hAnsi="宋体" w:cs="宋体"/>
                <w:color w:val="000000"/>
                <w:kern w:val="0"/>
                <w:sz w:val="18"/>
                <w:szCs w:val="18"/>
              </w:rPr>
            </w:pPr>
          </w:p>
        </w:tc>
        <w:tc>
          <w:tcPr>
            <w:tcW w:w="1304" w:type="dxa"/>
            <w:vMerge w:val="restart"/>
            <w:tcBorders>
              <w:top w:val="single" w:color="auto" w:sz="4" w:space="0"/>
              <w:left w:val="nil"/>
              <w:right w:val="single" w:color="auto" w:sz="4" w:space="0"/>
            </w:tcBorders>
            <w:noWrap/>
            <w:vAlign w:val="center"/>
          </w:tcPr>
          <w:p w14:paraId="3BD66F4F">
            <w:pPr>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内容合法</w:t>
            </w:r>
          </w:p>
          <w:p w14:paraId="27BF3DA3">
            <w:pPr>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（10分）</w:t>
            </w:r>
          </w:p>
        </w:tc>
        <w:tc>
          <w:tcPr>
            <w:tcW w:w="5296" w:type="dxa"/>
            <w:tcBorders>
              <w:top w:val="single" w:color="auto" w:sz="4" w:space="0"/>
              <w:left w:val="nil"/>
              <w:bottom w:val="single" w:color="auto" w:sz="4" w:space="0"/>
              <w:right w:val="single" w:color="auto" w:sz="4" w:space="0"/>
            </w:tcBorders>
            <w:noWrap/>
            <w:vAlign w:val="center"/>
          </w:tcPr>
          <w:p w14:paraId="619F6977">
            <w:pPr>
              <w:widowControl/>
              <w:adjustRightInd w:val="0"/>
              <w:snapToGrid w:val="0"/>
              <w:spacing w:line="240" w:lineRule="exact"/>
              <w:rPr>
                <w:rFonts w:ascii="宋体" w:hAnsi="宋体" w:cs="宋体"/>
                <w:color w:val="000000"/>
                <w:kern w:val="0"/>
                <w:sz w:val="18"/>
                <w:szCs w:val="18"/>
              </w:rPr>
            </w:pPr>
            <w:r>
              <w:rPr>
                <w:rFonts w:hint="eastAsia" w:ascii="宋体" w:hAnsi="宋体" w:cs="宋体"/>
                <w:color w:val="000000"/>
                <w:kern w:val="0"/>
                <w:sz w:val="18"/>
                <w:szCs w:val="18"/>
              </w:rPr>
              <w:t>决策内容是否符合“三新一高”要求</w:t>
            </w:r>
          </w:p>
        </w:tc>
        <w:tc>
          <w:tcPr>
            <w:tcW w:w="1028" w:type="dxa"/>
            <w:tcBorders>
              <w:top w:val="single" w:color="auto" w:sz="4" w:space="0"/>
              <w:left w:val="nil"/>
              <w:bottom w:val="single" w:color="auto" w:sz="4" w:space="0"/>
              <w:right w:val="single" w:color="auto" w:sz="4" w:space="0"/>
            </w:tcBorders>
            <w:noWrap/>
            <w:vAlign w:val="center"/>
          </w:tcPr>
          <w:p w14:paraId="75AFDF33">
            <w:pPr>
              <w:widowControl/>
              <w:adjustRightInd w:val="0"/>
              <w:snapToGrid w:val="0"/>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2</w:t>
            </w:r>
          </w:p>
        </w:tc>
      </w:tr>
      <w:tr w14:paraId="758F4782">
        <w:tblPrEx>
          <w:tblCellMar>
            <w:top w:w="0" w:type="dxa"/>
            <w:left w:w="108" w:type="dxa"/>
            <w:bottom w:w="0" w:type="dxa"/>
            <w:right w:w="108" w:type="dxa"/>
          </w:tblCellMar>
        </w:tblPrEx>
        <w:trPr>
          <w:trHeight w:val="270" w:hRule="atLeast"/>
        </w:trPr>
        <w:tc>
          <w:tcPr>
            <w:tcW w:w="1165" w:type="dxa"/>
            <w:vMerge w:val="continue"/>
            <w:tcBorders>
              <w:left w:val="single" w:color="auto" w:sz="4" w:space="0"/>
              <w:right w:val="single" w:color="auto" w:sz="4" w:space="0"/>
            </w:tcBorders>
            <w:vAlign w:val="center"/>
          </w:tcPr>
          <w:p w14:paraId="29565585">
            <w:pPr>
              <w:adjustRightInd w:val="0"/>
              <w:snapToGrid w:val="0"/>
              <w:spacing w:line="240" w:lineRule="exact"/>
              <w:jc w:val="center"/>
              <w:rPr>
                <w:rFonts w:ascii="宋体" w:hAnsi="宋体" w:cs="宋体"/>
                <w:color w:val="000000"/>
                <w:kern w:val="0"/>
                <w:sz w:val="18"/>
                <w:szCs w:val="18"/>
              </w:rPr>
            </w:pPr>
          </w:p>
        </w:tc>
        <w:tc>
          <w:tcPr>
            <w:tcW w:w="1304" w:type="dxa"/>
            <w:vMerge w:val="continue"/>
            <w:tcBorders>
              <w:left w:val="nil"/>
              <w:right w:val="single" w:color="auto" w:sz="4" w:space="0"/>
            </w:tcBorders>
            <w:noWrap/>
            <w:vAlign w:val="center"/>
          </w:tcPr>
          <w:p w14:paraId="5C1B953D">
            <w:pPr>
              <w:spacing w:line="240" w:lineRule="exact"/>
              <w:jc w:val="center"/>
              <w:rPr>
                <w:rFonts w:ascii="宋体" w:hAnsi="宋体" w:cs="宋体"/>
                <w:color w:val="000000"/>
                <w:kern w:val="0"/>
                <w:sz w:val="18"/>
                <w:szCs w:val="18"/>
              </w:rPr>
            </w:pPr>
          </w:p>
        </w:tc>
        <w:tc>
          <w:tcPr>
            <w:tcW w:w="5296" w:type="dxa"/>
            <w:tcBorders>
              <w:top w:val="single" w:color="auto" w:sz="4" w:space="0"/>
              <w:left w:val="nil"/>
              <w:bottom w:val="single" w:color="auto" w:sz="4" w:space="0"/>
              <w:right w:val="single" w:color="auto" w:sz="4" w:space="0"/>
            </w:tcBorders>
            <w:noWrap/>
            <w:vAlign w:val="center"/>
          </w:tcPr>
          <w:p w14:paraId="269F4CAE">
            <w:pPr>
              <w:widowControl/>
              <w:adjustRightInd w:val="0"/>
              <w:snapToGrid w:val="0"/>
              <w:spacing w:line="240" w:lineRule="exact"/>
              <w:rPr>
                <w:rFonts w:ascii="宋体" w:hAnsi="宋体" w:cs="宋体"/>
                <w:color w:val="000000"/>
                <w:kern w:val="0"/>
                <w:sz w:val="18"/>
                <w:szCs w:val="18"/>
              </w:rPr>
            </w:pPr>
            <w:r>
              <w:rPr>
                <w:rFonts w:hint="eastAsia" w:ascii="宋体" w:hAnsi="宋体" w:cs="宋体"/>
                <w:color w:val="000000"/>
                <w:kern w:val="0"/>
                <w:sz w:val="18"/>
                <w:szCs w:val="18"/>
              </w:rPr>
              <w:t>决策内容是否有充分的政策法律依据且不存在突破政策法律规定的情形</w:t>
            </w:r>
            <w:r>
              <w:rPr>
                <w:rFonts w:hint="eastAsia" w:ascii="宋体" w:hAnsi="宋体" w:cs="宋体"/>
                <w:color w:val="000000"/>
                <w:kern w:val="0"/>
                <w:sz w:val="18"/>
                <w:szCs w:val="18"/>
              </w:rPr>
              <w:sym w:font="Wingdings" w:char="F0B5"/>
            </w:r>
          </w:p>
        </w:tc>
        <w:tc>
          <w:tcPr>
            <w:tcW w:w="1028" w:type="dxa"/>
            <w:tcBorders>
              <w:top w:val="single" w:color="auto" w:sz="4" w:space="0"/>
              <w:left w:val="nil"/>
              <w:bottom w:val="single" w:color="auto" w:sz="4" w:space="0"/>
              <w:right w:val="single" w:color="auto" w:sz="4" w:space="0"/>
            </w:tcBorders>
            <w:noWrap/>
            <w:vAlign w:val="center"/>
          </w:tcPr>
          <w:p w14:paraId="09623EA8">
            <w:pPr>
              <w:widowControl/>
              <w:adjustRightInd w:val="0"/>
              <w:snapToGrid w:val="0"/>
              <w:spacing w:line="240" w:lineRule="exact"/>
              <w:jc w:val="center"/>
              <w:rPr>
                <w:rFonts w:ascii="宋体" w:hAnsi="宋体" w:eastAsia="宋体" w:cs="宋体"/>
                <w:color w:val="000000"/>
                <w:kern w:val="0"/>
                <w:sz w:val="18"/>
                <w:szCs w:val="18"/>
              </w:rPr>
            </w:pPr>
            <w:r>
              <w:rPr>
                <w:rFonts w:hint="eastAsia" w:ascii="宋体" w:hAnsi="宋体" w:cs="宋体"/>
                <w:color w:val="000000"/>
                <w:kern w:val="0"/>
                <w:sz w:val="18"/>
                <w:szCs w:val="18"/>
              </w:rPr>
              <w:t>4</w:t>
            </w:r>
          </w:p>
        </w:tc>
      </w:tr>
      <w:tr w14:paraId="5FFF699E">
        <w:tblPrEx>
          <w:tblCellMar>
            <w:top w:w="0" w:type="dxa"/>
            <w:left w:w="108" w:type="dxa"/>
            <w:bottom w:w="0" w:type="dxa"/>
            <w:right w:w="108" w:type="dxa"/>
          </w:tblCellMar>
        </w:tblPrEx>
        <w:trPr>
          <w:trHeight w:val="270" w:hRule="atLeast"/>
        </w:trPr>
        <w:tc>
          <w:tcPr>
            <w:tcW w:w="1165" w:type="dxa"/>
            <w:vMerge w:val="continue"/>
            <w:tcBorders>
              <w:left w:val="single" w:color="auto" w:sz="4" w:space="0"/>
              <w:right w:val="single" w:color="auto" w:sz="4" w:space="0"/>
            </w:tcBorders>
            <w:vAlign w:val="center"/>
          </w:tcPr>
          <w:p w14:paraId="099B001F">
            <w:pPr>
              <w:adjustRightInd w:val="0"/>
              <w:snapToGrid w:val="0"/>
              <w:spacing w:line="240" w:lineRule="exact"/>
              <w:jc w:val="center"/>
              <w:rPr>
                <w:rFonts w:ascii="宋体" w:hAnsi="宋体" w:cs="宋体"/>
                <w:color w:val="000000"/>
                <w:kern w:val="0"/>
                <w:sz w:val="18"/>
                <w:szCs w:val="18"/>
              </w:rPr>
            </w:pPr>
          </w:p>
        </w:tc>
        <w:tc>
          <w:tcPr>
            <w:tcW w:w="1304" w:type="dxa"/>
            <w:vMerge w:val="continue"/>
            <w:tcBorders>
              <w:left w:val="nil"/>
              <w:bottom w:val="single" w:color="auto" w:sz="4" w:space="0"/>
              <w:right w:val="single" w:color="auto" w:sz="4" w:space="0"/>
            </w:tcBorders>
            <w:noWrap/>
            <w:vAlign w:val="center"/>
          </w:tcPr>
          <w:p w14:paraId="630FDE5A">
            <w:pPr>
              <w:spacing w:line="240" w:lineRule="exact"/>
              <w:jc w:val="center"/>
              <w:rPr>
                <w:rFonts w:ascii="宋体" w:hAnsi="宋体" w:cs="宋体"/>
                <w:color w:val="000000"/>
                <w:kern w:val="0"/>
                <w:sz w:val="18"/>
                <w:szCs w:val="18"/>
              </w:rPr>
            </w:pPr>
          </w:p>
        </w:tc>
        <w:tc>
          <w:tcPr>
            <w:tcW w:w="5296" w:type="dxa"/>
            <w:tcBorders>
              <w:top w:val="nil"/>
              <w:left w:val="nil"/>
              <w:bottom w:val="single" w:color="auto" w:sz="4" w:space="0"/>
              <w:right w:val="single" w:color="auto" w:sz="4" w:space="0"/>
            </w:tcBorders>
            <w:noWrap/>
            <w:vAlign w:val="center"/>
          </w:tcPr>
          <w:p w14:paraId="6BE3C807">
            <w:pPr>
              <w:widowControl/>
              <w:adjustRightInd w:val="0"/>
              <w:snapToGrid w:val="0"/>
              <w:spacing w:line="240" w:lineRule="exact"/>
              <w:rPr>
                <w:rFonts w:ascii="宋体" w:hAnsi="宋体" w:cs="宋体"/>
                <w:color w:val="000000"/>
                <w:kern w:val="0"/>
                <w:sz w:val="18"/>
                <w:szCs w:val="18"/>
              </w:rPr>
            </w:pPr>
            <w:r>
              <w:rPr>
                <w:rFonts w:hint="eastAsia" w:ascii="宋体" w:hAnsi="宋体" w:cs="宋体"/>
                <w:color w:val="000000"/>
                <w:kern w:val="0"/>
                <w:sz w:val="18"/>
                <w:szCs w:val="18"/>
              </w:rPr>
              <w:t>决策内容是否符合有关强制性标准规定</w:t>
            </w:r>
          </w:p>
        </w:tc>
        <w:tc>
          <w:tcPr>
            <w:tcW w:w="1028" w:type="dxa"/>
            <w:tcBorders>
              <w:top w:val="nil"/>
              <w:left w:val="nil"/>
              <w:bottom w:val="single" w:color="auto" w:sz="4" w:space="0"/>
              <w:right w:val="single" w:color="auto" w:sz="4" w:space="0"/>
            </w:tcBorders>
            <w:noWrap/>
            <w:vAlign w:val="center"/>
          </w:tcPr>
          <w:p w14:paraId="42DBAA1E">
            <w:pPr>
              <w:widowControl/>
              <w:adjustRightInd w:val="0"/>
              <w:snapToGrid w:val="0"/>
              <w:spacing w:line="240" w:lineRule="exact"/>
              <w:jc w:val="center"/>
              <w:rPr>
                <w:rFonts w:ascii="宋体" w:hAnsi="宋体" w:eastAsia="宋体" w:cs="宋体"/>
                <w:color w:val="000000"/>
                <w:kern w:val="0"/>
                <w:sz w:val="18"/>
                <w:szCs w:val="18"/>
              </w:rPr>
            </w:pPr>
            <w:r>
              <w:rPr>
                <w:rFonts w:hint="eastAsia" w:ascii="宋体" w:hAnsi="宋体" w:cs="宋体"/>
                <w:color w:val="000000"/>
                <w:kern w:val="0"/>
                <w:sz w:val="18"/>
                <w:szCs w:val="18"/>
              </w:rPr>
              <w:t>4</w:t>
            </w:r>
          </w:p>
        </w:tc>
      </w:tr>
      <w:tr w14:paraId="4D4B073B">
        <w:tblPrEx>
          <w:tblCellMar>
            <w:top w:w="0" w:type="dxa"/>
            <w:left w:w="108" w:type="dxa"/>
            <w:bottom w:w="0" w:type="dxa"/>
            <w:right w:w="108" w:type="dxa"/>
          </w:tblCellMar>
        </w:tblPrEx>
        <w:trPr>
          <w:trHeight w:val="270" w:hRule="atLeast"/>
        </w:trPr>
        <w:tc>
          <w:tcPr>
            <w:tcW w:w="1165" w:type="dxa"/>
            <w:vMerge w:val="continue"/>
            <w:tcBorders>
              <w:left w:val="single" w:color="auto" w:sz="4" w:space="0"/>
              <w:right w:val="single" w:color="auto" w:sz="4" w:space="0"/>
            </w:tcBorders>
            <w:vAlign w:val="center"/>
          </w:tcPr>
          <w:p w14:paraId="6988DDD0">
            <w:pPr>
              <w:adjustRightInd w:val="0"/>
              <w:snapToGrid w:val="0"/>
              <w:spacing w:line="240" w:lineRule="exact"/>
              <w:jc w:val="center"/>
              <w:rPr>
                <w:rFonts w:ascii="宋体" w:hAnsi="宋体" w:cs="宋体"/>
                <w:color w:val="000000"/>
                <w:kern w:val="0"/>
                <w:sz w:val="18"/>
                <w:szCs w:val="18"/>
              </w:rPr>
            </w:pPr>
          </w:p>
        </w:tc>
        <w:tc>
          <w:tcPr>
            <w:tcW w:w="1304" w:type="dxa"/>
            <w:vMerge w:val="restart"/>
            <w:tcBorders>
              <w:top w:val="single" w:color="auto" w:sz="4" w:space="0"/>
              <w:left w:val="nil"/>
              <w:right w:val="single" w:color="auto" w:sz="4" w:space="0"/>
            </w:tcBorders>
            <w:noWrap/>
            <w:vAlign w:val="center"/>
          </w:tcPr>
          <w:p w14:paraId="62EB2F48">
            <w:pPr>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程序合法</w:t>
            </w:r>
          </w:p>
          <w:p w14:paraId="35DC6E8A">
            <w:pPr>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（10分）</w:t>
            </w:r>
          </w:p>
        </w:tc>
        <w:tc>
          <w:tcPr>
            <w:tcW w:w="5296" w:type="dxa"/>
            <w:tcBorders>
              <w:top w:val="nil"/>
              <w:left w:val="nil"/>
              <w:bottom w:val="single" w:color="auto" w:sz="4" w:space="0"/>
              <w:right w:val="single" w:color="auto" w:sz="4" w:space="0"/>
            </w:tcBorders>
            <w:noWrap/>
            <w:vAlign w:val="center"/>
          </w:tcPr>
          <w:p w14:paraId="16AEEC00">
            <w:pPr>
              <w:widowControl/>
              <w:adjustRightInd w:val="0"/>
              <w:snapToGrid w:val="0"/>
              <w:spacing w:line="240" w:lineRule="exact"/>
              <w:rPr>
                <w:rFonts w:ascii="宋体" w:hAnsi="宋体" w:cs="宋体"/>
                <w:color w:val="000000"/>
                <w:kern w:val="0"/>
                <w:sz w:val="18"/>
                <w:szCs w:val="18"/>
              </w:rPr>
            </w:pPr>
            <w:r>
              <w:rPr>
                <w:rFonts w:hint="eastAsia" w:ascii="宋体" w:hAnsi="宋体" w:cs="宋体"/>
                <w:color w:val="000000"/>
                <w:kern w:val="0"/>
                <w:sz w:val="18"/>
                <w:szCs w:val="18"/>
              </w:rPr>
              <w:t>决策启动是否合规</w:t>
            </w:r>
          </w:p>
        </w:tc>
        <w:tc>
          <w:tcPr>
            <w:tcW w:w="1028" w:type="dxa"/>
            <w:tcBorders>
              <w:top w:val="nil"/>
              <w:left w:val="nil"/>
              <w:bottom w:val="single" w:color="auto" w:sz="4" w:space="0"/>
              <w:right w:val="single" w:color="auto" w:sz="4" w:space="0"/>
            </w:tcBorders>
            <w:noWrap/>
            <w:vAlign w:val="center"/>
          </w:tcPr>
          <w:p w14:paraId="455B0AE6">
            <w:pPr>
              <w:widowControl/>
              <w:adjustRightInd w:val="0"/>
              <w:snapToGrid w:val="0"/>
              <w:spacing w:line="240" w:lineRule="exact"/>
              <w:jc w:val="center"/>
              <w:rPr>
                <w:rFonts w:ascii="宋体" w:hAnsi="宋体" w:eastAsia="宋体" w:cs="宋体"/>
                <w:color w:val="000000"/>
                <w:kern w:val="0"/>
                <w:sz w:val="18"/>
                <w:szCs w:val="18"/>
              </w:rPr>
            </w:pPr>
            <w:r>
              <w:rPr>
                <w:rFonts w:hint="eastAsia" w:ascii="宋体" w:hAnsi="宋体" w:cs="宋体"/>
                <w:color w:val="000000"/>
                <w:kern w:val="0"/>
                <w:sz w:val="18"/>
                <w:szCs w:val="18"/>
              </w:rPr>
              <w:t>2</w:t>
            </w:r>
          </w:p>
        </w:tc>
      </w:tr>
      <w:tr w14:paraId="04241465">
        <w:tblPrEx>
          <w:tblCellMar>
            <w:top w:w="0" w:type="dxa"/>
            <w:left w:w="108" w:type="dxa"/>
            <w:bottom w:w="0" w:type="dxa"/>
            <w:right w:w="108" w:type="dxa"/>
          </w:tblCellMar>
        </w:tblPrEx>
        <w:trPr>
          <w:trHeight w:val="270" w:hRule="atLeast"/>
        </w:trPr>
        <w:tc>
          <w:tcPr>
            <w:tcW w:w="1165" w:type="dxa"/>
            <w:vMerge w:val="continue"/>
            <w:tcBorders>
              <w:left w:val="single" w:color="auto" w:sz="4" w:space="0"/>
              <w:right w:val="single" w:color="auto" w:sz="4" w:space="0"/>
            </w:tcBorders>
            <w:vAlign w:val="center"/>
          </w:tcPr>
          <w:p w14:paraId="7654022A">
            <w:pPr>
              <w:adjustRightInd w:val="0"/>
              <w:snapToGrid w:val="0"/>
              <w:spacing w:line="240" w:lineRule="exact"/>
              <w:jc w:val="center"/>
              <w:rPr>
                <w:rFonts w:ascii="宋体" w:hAnsi="宋体" w:cs="宋体"/>
                <w:color w:val="000000"/>
                <w:kern w:val="0"/>
                <w:sz w:val="18"/>
                <w:szCs w:val="18"/>
              </w:rPr>
            </w:pPr>
          </w:p>
        </w:tc>
        <w:tc>
          <w:tcPr>
            <w:tcW w:w="1304" w:type="dxa"/>
            <w:vMerge w:val="continue"/>
            <w:tcBorders>
              <w:top w:val="single" w:color="auto" w:sz="4" w:space="0"/>
              <w:left w:val="nil"/>
              <w:right w:val="single" w:color="auto" w:sz="4" w:space="0"/>
            </w:tcBorders>
            <w:noWrap/>
            <w:vAlign w:val="center"/>
          </w:tcPr>
          <w:p w14:paraId="389AC2BA">
            <w:pPr>
              <w:spacing w:line="240" w:lineRule="exact"/>
              <w:jc w:val="center"/>
              <w:rPr>
                <w:rFonts w:ascii="宋体" w:hAnsi="宋体" w:cs="宋体"/>
                <w:color w:val="000000"/>
                <w:kern w:val="0"/>
                <w:sz w:val="18"/>
                <w:szCs w:val="18"/>
              </w:rPr>
            </w:pPr>
          </w:p>
        </w:tc>
        <w:tc>
          <w:tcPr>
            <w:tcW w:w="5296" w:type="dxa"/>
            <w:tcBorders>
              <w:top w:val="nil"/>
              <w:left w:val="nil"/>
              <w:bottom w:val="single" w:color="auto" w:sz="4" w:space="0"/>
              <w:right w:val="single" w:color="auto" w:sz="4" w:space="0"/>
            </w:tcBorders>
            <w:noWrap/>
            <w:vAlign w:val="center"/>
          </w:tcPr>
          <w:p w14:paraId="4E882EF2">
            <w:pPr>
              <w:widowControl/>
              <w:adjustRightInd w:val="0"/>
              <w:snapToGrid w:val="0"/>
              <w:spacing w:line="240" w:lineRule="exact"/>
              <w:rPr>
                <w:rFonts w:ascii="宋体" w:hAnsi="宋体" w:cs="宋体"/>
                <w:color w:val="000000"/>
                <w:kern w:val="0"/>
                <w:sz w:val="18"/>
                <w:szCs w:val="18"/>
              </w:rPr>
            </w:pPr>
            <w:r>
              <w:rPr>
                <w:rFonts w:hint="eastAsia" w:ascii="宋体" w:hAnsi="宋体" w:cs="宋体"/>
                <w:color w:val="000000"/>
                <w:kern w:val="0"/>
                <w:sz w:val="18"/>
                <w:szCs w:val="18"/>
              </w:rPr>
              <w:t>决策程序是否符合相应的议事决策规则</w:t>
            </w:r>
          </w:p>
        </w:tc>
        <w:tc>
          <w:tcPr>
            <w:tcW w:w="1028" w:type="dxa"/>
            <w:tcBorders>
              <w:top w:val="nil"/>
              <w:left w:val="nil"/>
              <w:bottom w:val="single" w:color="auto" w:sz="4" w:space="0"/>
              <w:right w:val="single" w:color="auto" w:sz="4" w:space="0"/>
            </w:tcBorders>
            <w:noWrap/>
            <w:vAlign w:val="center"/>
          </w:tcPr>
          <w:p w14:paraId="74F5DC2B">
            <w:pPr>
              <w:widowControl/>
              <w:adjustRightInd w:val="0"/>
              <w:snapToGrid w:val="0"/>
              <w:spacing w:line="240" w:lineRule="exact"/>
              <w:jc w:val="center"/>
              <w:rPr>
                <w:rFonts w:ascii="宋体" w:hAnsi="宋体" w:eastAsia="宋体" w:cs="宋体"/>
                <w:color w:val="000000"/>
                <w:kern w:val="0"/>
                <w:sz w:val="18"/>
                <w:szCs w:val="18"/>
              </w:rPr>
            </w:pPr>
            <w:r>
              <w:rPr>
                <w:rFonts w:hint="eastAsia" w:ascii="宋体" w:hAnsi="宋体" w:cs="宋体"/>
                <w:color w:val="000000"/>
                <w:kern w:val="0"/>
                <w:sz w:val="18"/>
                <w:szCs w:val="18"/>
              </w:rPr>
              <w:t>1</w:t>
            </w:r>
          </w:p>
        </w:tc>
      </w:tr>
      <w:tr w14:paraId="40216106">
        <w:tblPrEx>
          <w:tblCellMar>
            <w:top w:w="0" w:type="dxa"/>
            <w:left w:w="108" w:type="dxa"/>
            <w:bottom w:w="0" w:type="dxa"/>
            <w:right w:w="108" w:type="dxa"/>
          </w:tblCellMar>
        </w:tblPrEx>
        <w:trPr>
          <w:trHeight w:val="270" w:hRule="atLeast"/>
        </w:trPr>
        <w:tc>
          <w:tcPr>
            <w:tcW w:w="1165" w:type="dxa"/>
            <w:vMerge w:val="continue"/>
            <w:tcBorders>
              <w:left w:val="single" w:color="auto" w:sz="4" w:space="0"/>
              <w:right w:val="single" w:color="auto" w:sz="4" w:space="0"/>
            </w:tcBorders>
            <w:vAlign w:val="center"/>
          </w:tcPr>
          <w:p w14:paraId="4FC505FB">
            <w:pPr>
              <w:adjustRightInd w:val="0"/>
              <w:snapToGrid w:val="0"/>
              <w:spacing w:line="240" w:lineRule="exact"/>
              <w:jc w:val="center"/>
              <w:rPr>
                <w:rFonts w:ascii="宋体" w:hAnsi="宋体" w:cs="宋体"/>
                <w:color w:val="000000"/>
                <w:kern w:val="0"/>
                <w:sz w:val="18"/>
                <w:szCs w:val="18"/>
              </w:rPr>
            </w:pPr>
          </w:p>
        </w:tc>
        <w:tc>
          <w:tcPr>
            <w:tcW w:w="1304" w:type="dxa"/>
            <w:vMerge w:val="continue"/>
            <w:tcBorders>
              <w:top w:val="single" w:color="auto" w:sz="4" w:space="0"/>
              <w:left w:val="nil"/>
              <w:right w:val="single" w:color="auto" w:sz="4" w:space="0"/>
            </w:tcBorders>
            <w:noWrap/>
            <w:vAlign w:val="center"/>
          </w:tcPr>
          <w:p w14:paraId="591A7944">
            <w:pPr>
              <w:spacing w:line="240" w:lineRule="exact"/>
              <w:jc w:val="center"/>
              <w:rPr>
                <w:rFonts w:ascii="宋体" w:hAnsi="宋体" w:cs="宋体"/>
                <w:color w:val="000000"/>
                <w:kern w:val="0"/>
                <w:sz w:val="18"/>
                <w:szCs w:val="18"/>
              </w:rPr>
            </w:pPr>
          </w:p>
        </w:tc>
        <w:tc>
          <w:tcPr>
            <w:tcW w:w="5296" w:type="dxa"/>
            <w:tcBorders>
              <w:top w:val="nil"/>
              <w:left w:val="nil"/>
              <w:bottom w:val="single" w:color="auto" w:sz="4" w:space="0"/>
              <w:right w:val="single" w:color="auto" w:sz="4" w:space="0"/>
            </w:tcBorders>
            <w:noWrap/>
            <w:vAlign w:val="center"/>
          </w:tcPr>
          <w:p w14:paraId="49C18E0B">
            <w:pPr>
              <w:widowControl/>
              <w:adjustRightInd w:val="0"/>
              <w:snapToGrid w:val="0"/>
              <w:spacing w:line="240" w:lineRule="exact"/>
              <w:rPr>
                <w:rFonts w:ascii="宋体" w:hAnsi="宋体" w:cs="宋体"/>
                <w:color w:val="000000"/>
                <w:kern w:val="0"/>
                <w:sz w:val="18"/>
                <w:szCs w:val="18"/>
              </w:rPr>
            </w:pPr>
            <w:r>
              <w:rPr>
                <w:rFonts w:hint="eastAsia" w:ascii="宋体" w:hAnsi="宋体" w:cs="宋体"/>
                <w:color w:val="000000"/>
                <w:kern w:val="0"/>
                <w:sz w:val="18"/>
                <w:szCs w:val="18"/>
              </w:rPr>
              <w:t>是否充分听取、吸收采纳了社会各界意见建议</w:t>
            </w:r>
          </w:p>
        </w:tc>
        <w:tc>
          <w:tcPr>
            <w:tcW w:w="1028" w:type="dxa"/>
            <w:tcBorders>
              <w:top w:val="nil"/>
              <w:left w:val="nil"/>
              <w:bottom w:val="single" w:color="auto" w:sz="4" w:space="0"/>
              <w:right w:val="single" w:color="auto" w:sz="4" w:space="0"/>
            </w:tcBorders>
            <w:noWrap/>
            <w:vAlign w:val="center"/>
          </w:tcPr>
          <w:p w14:paraId="3186AF7A">
            <w:pPr>
              <w:widowControl/>
              <w:adjustRightInd w:val="0"/>
              <w:snapToGrid w:val="0"/>
              <w:spacing w:line="240" w:lineRule="exact"/>
              <w:jc w:val="center"/>
              <w:rPr>
                <w:rFonts w:ascii="宋体" w:hAnsi="宋体" w:eastAsia="宋体" w:cs="宋体"/>
                <w:color w:val="000000"/>
                <w:kern w:val="0"/>
                <w:sz w:val="18"/>
                <w:szCs w:val="18"/>
              </w:rPr>
            </w:pPr>
            <w:r>
              <w:rPr>
                <w:rFonts w:hint="eastAsia" w:ascii="宋体" w:hAnsi="宋体" w:cs="宋体"/>
                <w:color w:val="000000"/>
                <w:kern w:val="0"/>
                <w:sz w:val="18"/>
                <w:szCs w:val="18"/>
              </w:rPr>
              <w:t>2</w:t>
            </w:r>
          </w:p>
        </w:tc>
      </w:tr>
      <w:tr w14:paraId="7AEFBB94">
        <w:tblPrEx>
          <w:tblCellMar>
            <w:top w:w="0" w:type="dxa"/>
            <w:left w:w="108" w:type="dxa"/>
            <w:bottom w:w="0" w:type="dxa"/>
            <w:right w:w="108" w:type="dxa"/>
          </w:tblCellMar>
        </w:tblPrEx>
        <w:trPr>
          <w:trHeight w:val="270" w:hRule="atLeast"/>
        </w:trPr>
        <w:tc>
          <w:tcPr>
            <w:tcW w:w="1165" w:type="dxa"/>
            <w:vMerge w:val="continue"/>
            <w:tcBorders>
              <w:left w:val="single" w:color="auto" w:sz="4" w:space="0"/>
              <w:right w:val="single" w:color="auto" w:sz="4" w:space="0"/>
            </w:tcBorders>
            <w:vAlign w:val="center"/>
          </w:tcPr>
          <w:p w14:paraId="67661EB9">
            <w:pPr>
              <w:adjustRightInd w:val="0"/>
              <w:snapToGrid w:val="0"/>
              <w:spacing w:line="240" w:lineRule="exact"/>
              <w:jc w:val="center"/>
              <w:rPr>
                <w:rFonts w:ascii="宋体" w:hAnsi="宋体" w:cs="宋体"/>
                <w:color w:val="000000"/>
                <w:kern w:val="0"/>
                <w:sz w:val="18"/>
                <w:szCs w:val="18"/>
              </w:rPr>
            </w:pPr>
          </w:p>
        </w:tc>
        <w:tc>
          <w:tcPr>
            <w:tcW w:w="1304" w:type="dxa"/>
            <w:vMerge w:val="continue"/>
            <w:tcBorders>
              <w:left w:val="nil"/>
              <w:right w:val="single" w:color="auto" w:sz="4" w:space="0"/>
            </w:tcBorders>
            <w:noWrap/>
            <w:vAlign w:val="center"/>
          </w:tcPr>
          <w:p w14:paraId="4D257A92">
            <w:pPr>
              <w:spacing w:line="240" w:lineRule="exact"/>
              <w:jc w:val="center"/>
              <w:rPr>
                <w:rFonts w:ascii="宋体" w:hAnsi="宋体" w:cs="宋体"/>
                <w:color w:val="000000"/>
                <w:kern w:val="0"/>
                <w:sz w:val="18"/>
                <w:szCs w:val="18"/>
              </w:rPr>
            </w:pPr>
          </w:p>
        </w:tc>
        <w:tc>
          <w:tcPr>
            <w:tcW w:w="5296" w:type="dxa"/>
            <w:tcBorders>
              <w:top w:val="nil"/>
              <w:left w:val="nil"/>
              <w:bottom w:val="single" w:color="auto" w:sz="4" w:space="0"/>
              <w:right w:val="single" w:color="auto" w:sz="4" w:space="0"/>
            </w:tcBorders>
            <w:noWrap/>
            <w:vAlign w:val="center"/>
          </w:tcPr>
          <w:p w14:paraId="3E843991">
            <w:pPr>
              <w:widowControl/>
              <w:adjustRightInd w:val="0"/>
              <w:snapToGrid w:val="0"/>
              <w:spacing w:line="240" w:lineRule="exact"/>
              <w:rPr>
                <w:rFonts w:ascii="宋体" w:hAnsi="宋体" w:cs="宋体"/>
                <w:color w:val="000000"/>
                <w:kern w:val="0"/>
                <w:sz w:val="18"/>
                <w:szCs w:val="18"/>
              </w:rPr>
            </w:pPr>
            <w:r>
              <w:rPr>
                <w:rFonts w:hint="eastAsia" w:ascii="宋体" w:hAnsi="宋体" w:cs="宋体"/>
                <w:color w:val="000000"/>
                <w:kern w:val="0"/>
                <w:sz w:val="18"/>
                <w:szCs w:val="18"/>
              </w:rPr>
              <w:t>是否经过专家论证</w:t>
            </w:r>
          </w:p>
        </w:tc>
        <w:tc>
          <w:tcPr>
            <w:tcW w:w="1028" w:type="dxa"/>
            <w:tcBorders>
              <w:top w:val="nil"/>
              <w:left w:val="nil"/>
              <w:bottom w:val="single" w:color="auto" w:sz="4" w:space="0"/>
              <w:right w:val="single" w:color="auto" w:sz="4" w:space="0"/>
            </w:tcBorders>
            <w:noWrap/>
            <w:vAlign w:val="center"/>
          </w:tcPr>
          <w:p w14:paraId="5AD3A058">
            <w:pPr>
              <w:widowControl/>
              <w:adjustRightInd w:val="0"/>
              <w:snapToGrid w:val="0"/>
              <w:spacing w:line="240" w:lineRule="exact"/>
              <w:jc w:val="center"/>
              <w:rPr>
                <w:rFonts w:ascii="宋体" w:hAnsi="宋体" w:eastAsia="宋体" w:cs="宋体"/>
                <w:color w:val="000000"/>
                <w:kern w:val="0"/>
                <w:sz w:val="18"/>
                <w:szCs w:val="18"/>
              </w:rPr>
            </w:pPr>
            <w:r>
              <w:rPr>
                <w:rFonts w:hint="eastAsia" w:ascii="宋体" w:hAnsi="宋体" w:cs="宋体"/>
                <w:color w:val="000000"/>
                <w:kern w:val="0"/>
                <w:sz w:val="18"/>
                <w:szCs w:val="18"/>
              </w:rPr>
              <w:t>2</w:t>
            </w:r>
          </w:p>
        </w:tc>
      </w:tr>
      <w:tr w14:paraId="4CB20E9B">
        <w:tblPrEx>
          <w:tblCellMar>
            <w:top w:w="0" w:type="dxa"/>
            <w:left w:w="108" w:type="dxa"/>
            <w:bottom w:w="0" w:type="dxa"/>
            <w:right w:w="108" w:type="dxa"/>
          </w:tblCellMar>
        </w:tblPrEx>
        <w:trPr>
          <w:trHeight w:val="270" w:hRule="atLeast"/>
        </w:trPr>
        <w:tc>
          <w:tcPr>
            <w:tcW w:w="1165" w:type="dxa"/>
            <w:vMerge w:val="continue"/>
            <w:tcBorders>
              <w:left w:val="single" w:color="auto" w:sz="4" w:space="0"/>
              <w:right w:val="single" w:color="auto" w:sz="4" w:space="0"/>
            </w:tcBorders>
            <w:vAlign w:val="center"/>
          </w:tcPr>
          <w:p w14:paraId="600A116B">
            <w:pPr>
              <w:adjustRightInd w:val="0"/>
              <w:snapToGrid w:val="0"/>
              <w:spacing w:line="240" w:lineRule="exact"/>
              <w:jc w:val="center"/>
              <w:rPr>
                <w:rFonts w:ascii="宋体" w:hAnsi="宋体" w:cs="宋体"/>
                <w:color w:val="000000"/>
                <w:kern w:val="0"/>
                <w:sz w:val="18"/>
                <w:szCs w:val="18"/>
              </w:rPr>
            </w:pPr>
          </w:p>
        </w:tc>
        <w:tc>
          <w:tcPr>
            <w:tcW w:w="1304" w:type="dxa"/>
            <w:vMerge w:val="continue"/>
            <w:tcBorders>
              <w:left w:val="nil"/>
              <w:right w:val="single" w:color="auto" w:sz="4" w:space="0"/>
            </w:tcBorders>
            <w:noWrap/>
            <w:vAlign w:val="center"/>
          </w:tcPr>
          <w:p w14:paraId="049BB38D">
            <w:pPr>
              <w:spacing w:line="240" w:lineRule="exact"/>
              <w:jc w:val="center"/>
              <w:rPr>
                <w:rFonts w:ascii="宋体" w:hAnsi="宋体" w:cs="宋体"/>
                <w:color w:val="000000"/>
                <w:kern w:val="0"/>
                <w:sz w:val="18"/>
                <w:szCs w:val="18"/>
              </w:rPr>
            </w:pPr>
          </w:p>
        </w:tc>
        <w:tc>
          <w:tcPr>
            <w:tcW w:w="5296" w:type="dxa"/>
            <w:tcBorders>
              <w:top w:val="nil"/>
              <w:left w:val="nil"/>
              <w:bottom w:val="single" w:color="auto" w:sz="4" w:space="0"/>
              <w:right w:val="single" w:color="auto" w:sz="4" w:space="0"/>
            </w:tcBorders>
            <w:noWrap/>
            <w:vAlign w:val="center"/>
          </w:tcPr>
          <w:p w14:paraId="48A1A044">
            <w:pPr>
              <w:widowControl/>
              <w:adjustRightInd w:val="0"/>
              <w:snapToGrid w:val="0"/>
              <w:spacing w:line="240" w:lineRule="exact"/>
              <w:rPr>
                <w:rFonts w:ascii="宋体" w:hAnsi="宋体" w:cs="宋体"/>
                <w:color w:val="000000"/>
                <w:kern w:val="0"/>
                <w:sz w:val="18"/>
                <w:szCs w:val="18"/>
              </w:rPr>
            </w:pPr>
            <w:r>
              <w:rPr>
                <w:rFonts w:hint="eastAsia" w:ascii="宋体" w:hAnsi="宋体" w:cs="宋体"/>
                <w:color w:val="000000"/>
                <w:kern w:val="0"/>
                <w:sz w:val="18"/>
                <w:szCs w:val="18"/>
              </w:rPr>
              <w:t>合法性审查是否具有完备性</w:t>
            </w:r>
          </w:p>
        </w:tc>
        <w:tc>
          <w:tcPr>
            <w:tcW w:w="1028" w:type="dxa"/>
            <w:tcBorders>
              <w:top w:val="nil"/>
              <w:left w:val="nil"/>
              <w:bottom w:val="single" w:color="auto" w:sz="4" w:space="0"/>
              <w:right w:val="single" w:color="auto" w:sz="4" w:space="0"/>
            </w:tcBorders>
            <w:noWrap/>
            <w:vAlign w:val="center"/>
          </w:tcPr>
          <w:p w14:paraId="2E444A9F">
            <w:pPr>
              <w:widowControl/>
              <w:adjustRightInd w:val="0"/>
              <w:snapToGrid w:val="0"/>
              <w:spacing w:line="240" w:lineRule="exact"/>
              <w:jc w:val="center"/>
              <w:rPr>
                <w:rFonts w:ascii="宋体" w:hAnsi="宋体" w:eastAsia="宋体" w:cs="宋体"/>
                <w:color w:val="000000"/>
                <w:kern w:val="0"/>
                <w:sz w:val="18"/>
                <w:szCs w:val="18"/>
              </w:rPr>
            </w:pPr>
            <w:r>
              <w:rPr>
                <w:rFonts w:hint="eastAsia" w:ascii="宋体" w:hAnsi="宋体" w:cs="宋体"/>
                <w:color w:val="000000"/>
                <w:kern w:val="0"/>
                <w:sz w:val="18"/>
                <w:szCs w:val="18"/>
              </w:rPr>
              <w:t>1</w:t>
            </w:r>
          </w:p>
        </w:tc>
      </w:tr>
      <w:tr w14:paraId="05FC3D70">
        <w:tblPrEx>
          <w:tblCellMar>
            <w:top w:w="0" w:type="dxa"/>
            <w:left w:w="108" w:type="dxa"/>
            <w:bottom w:w="0" w:type="dxa"/>
            <w:right w:w="108" w:type="dxa"/>
          </w:tblCellMar>
        </w:tblPrEx>
        <w:trPr>
          <w:trHeight w:val="270" w:hRule="atLeast"/>
        </w:trPr>
        <w:tc>
          <w:tcPr>
            <w:tcW w:w="1165" w:type="dxa"/>
            <w:vMerge w:val="continue"/>
            <w:tcBorders>
              <w:left w:val="single" w:color="auto" w:sz="4" w:space="0"/>
              <w:bottom w:val="single" w:color="auto" w:sz="4" w:space="0"/>
              <w:right w:val="single" w:color="auto" w:sz="4" w:space="0"/>
            </w:tcBorders>
            <w:vAlign w:val="center"/>
          </w:tcPr>
          <w:p w14:paraId="5E2AF073">
            <w:pPr>
              <w:widowControl/>
              <w:adjustRightInd w:val="0"/>
              <w:snapToGrid w:val="0"/>
              <w:spacing w:line="240" w:lineRule="exact"/>
              <w:jc w:val="center"/>
              <w:rPr>
                <w:rFonts w:ascii="宋体" w:hAnsi="宋体" w:cs="宋体"/>
                <w:color w:val="000000"/>
                <w:kern w:val="0"/>
                <w:sz w:val="18"/>
                <w:szCs w:val="18"/>
              </w:rPr>
            </w:pPr>
          </w:p>
        </w:tc>
        <w:tc>
          <w:tcPr>
            <w:tcW w:w="1304" w:type="dxa"/>
            <w:vMerge w:val="continue"/>
            <w:tcBorders>
              <w:left w:val="nil"/>
              <w:bottom w:val="single" w:color="auto" w:sz="4" w:space="0"/>
              <w:right w:val="single" w:color="auto" w:sz="4" w:space="0"/>
            </w:tcBorders>
            <w:noWrap/>
            <w:vAlign w:val="center"/>
          </w:tcPr>
          <w:p w14:paraId="6A1DC822">
            <w:pPr>
              <w:widowControl/>
              <w:spacing w:line="240" w:lineRule="exact"/>
              <w:jc w:val="center"/>
              <w:rPr>
                <w:rFonts w:ascii="宋体" w:hAnsi="宋体" w:cs="宋体"/>
                <w:color w:val="000000"/>
                <w:kern w:val="0"/>
                <w:sz w:val="18"/>
                <w:szCs w:val="18"/>
              </w:rPr>
            </w:pPr>
          </w:p>
        </w:tc>
        <w:tc>
          <w:tcPr>
            <w:tcW w:w="5296" w:type="dxa"/>
            <w:tcBorders>
              <w:top w:val="nil"/>
              <w:left w:val="nil"/>
              <w:bottom w:val="single" w:color="auto" w:sz="4" w:space="0"/>
              <w:right w:val="single" w:color="auto" w:sz="4" w:space="0"/>
            </w:tcBorders>
            <w:noWrap/>
            <w:vAlign w:val="center"/>
          </w:tcPr>
          <w:p w14:paraId="14AAC074">
            <w:pPr>
              <w:widowControl/>
              <w:adjustRightInd w:val="0"/>
              <w:snapToGrid w:val="0"/>
              <w:spacing w:line="240" w:lineRule="exact"/>
              <w:rPr>
                <w:rFonts w:ascii="宋体" w:hAnsi="宋体" w:cs="宋体"/>
                <w:color w:val="000000"/>
                <w:kern w:val="0"/>
                <w:sz w:val="18"/>
                <w:szCs w:val="18"/>
              </w:rPr>
            </w:pPr>
            <w:r>
              <w:rPr>
                <w:rFonts w:hint="eastAsia" w:ascii="宋体" w:hAnsi="宋体" w:cs="宋体"/>
                <w:color w:val="000000"/>
                <w:kern w:val="0"/>
                <w:sz w:val="18"/>
                <w:szCs w:val="18"/>
              </w:rPr>
              <w:t>承办部门在将决策方案提交决策主体决策前是否经过集体讨论决定</w:t>
            </w:r>
          </w:p>
        </w:tc>
        <w:tc>
          <w:tcPr>
            <w:tcW w:w="1028" w:type="dxa"/>
            <w:tcBorders>
              <w:top w:val="nil"/>
              <w:left w:val="nil"/>
              <w:bottom w:val="single" w:color="auto" w:sz="4" w:space="0"/>
              <w:right w:val="single" w:color="auto" w:sz="4" w:space="0"/>
            </w:tcBorders>
            <w:noWrap/>
            <w:vAlign w:val="center"/>
          </w:tcPr>
          <w:p w14:paraId="5F79C83E">
            <w:pPr>
              <w:widowControl/>
              <w:adjustRightInd w:val="0"/>
              <w:snapToGrid w:val="0"/>
              <w:spacing w:line="240" w:lineRule="exact"/>
              <w:jc w:val="center"/>
              <w:rPr>
                <w:rFonts w:ascii="宋体" w:hAnsi="宋体" w:eastAsia="宋体" w:cs="宋体"/>
                <w:color w:val="000000"/>
                <w:kern w:val="0"/>
                <w:sz w:val="18"/>
                <w:szCs w:val="18"/>
              </w:rPr>
            </w:pPr>
            <w:r>
              <w:rPr>
                <w:rFonts w:hint="eastAsia" w:ascii="宋体" w:hAnsi="宋体" w:cs="宋体"/>
                <w:color w:val="000000"/>
                <w:kern w:val="0"/>
                <w:sz w:val="18"/>
                <w:szCs w:val="18"/>
              </w:rPr>
              <w:t>2</w:t>
            </w:r>
          </w:p>
        </w:tc>
      </w:tr>
      <w:tr w14:paraId="23201FD5">
        <w:tblPrEx>
          <w:tblCellMar>
            <w:top w:w="0" w:type="dxa"/>
            <w:left w:w="108" w:type="dxa"/>
            <w:bottom w:w="0" w:type="dxa"/>
            <w:right w:w="108" w:type="dxa"/>
          </w:tblCellMar>
        </w:tblPrEx>
        <w:trPr>
          <w:trHeight w:val="270" w:hRule="atLeast"/>
        </w:trPr>
        <w:tc>
          <w:tcPr>
            <w:tcW w:w="1165" w:type="dxa"/>
            <w:vMerge w:val="restart"/>
            <w:tcBorders>
              <w:top w:val="single" w:color="auto" w:sz="4" w:space="0"/>
              <w:left w:val="single" w:color="auto" w:sz="4" w:space="0"/>
              <w:right w:val="single" w:color="auto" w:sz="4" w:space="0"/>
            </w:tcBorders>
            <w:vAlign w:val="center"/>
          </w:tcPr>
          <w:p w14:paraId="542A43C0">
            <w:pPr>
              <w:widowControl/>
              <w:adjustRightInd w:val="0"/>
              <w:snapToGrid w:val="0"/>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合理性</w:t>
            </w:r>
          </w:p>
          <w:p w14:paraId="235AA662">
            <w:pPr>
              <w:widowControl/>
              <w:adjustRightInd w:val="0"/>
              <w:snapToGrid w:val="0"/>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（30分）</w:t>
            </w:r>
          </w:p>
        </w:tc>
        <w:tc>
          <w:tcPr>
            <w:tcW w:w="1304" w:type="dxa"/>
            <w:vMerge w:val="restart"/>
            <w:tcBorders>
              <w:top w:val="nil"/>
              <w:left w:val="nil"/>
              <w:right w:val="single" w:color="auto" w:sz="4" w:space="0"/>
            </w:tcBorders>
            <w:noWrap/>
            <w:vAlign w:val="center"/>
          </w:tcPr>
          <w:p w14:paraId="42061CA2">
            <w:pPr>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公平公正</w:t>
            </w:r>
          </w:p>
          <w:p w14:paraId="03BC53F7">
            <w:pPr>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（10分）</w:t>
            </w:r>
          </w:p>
        </w:tc>
        <w:tc>
          <w:tcPr>
            <w:tcW w:w="5296" w:type="dxa"/>
            <w:tcBorders>
              <w:top w:val="nil"/>
              <w:left w:val="nil"/>
              <w:bottom w:val="single" w:color="auto" w:sz="4" w:space="0"/>
              <w:right w:val="single" w:color="auto" w:sz="4" w:space="0"/>
            </w:tcBorders>
            <w:noWrap/>
            <w:vAlign w:val="center"/>
          </w:tcPr>
          <w:p w14:paraId="6D0A510F">
            <w:pPr>
              <w:widowControl/>
              <w:adjustRightInd w:val="0"/>
              <w:snapToGrid w:val="0"/>
              <w:spacing w:line="240" w:lineRule="exact"/>
              <w:rPr>
                <w:rFonts w:ascii="宋体" w:hAnsi="宋体" w:cs="宋体"/>
                <w:color w:val="000000"/>
                <w:kern w:val="0"/>
                <w:sz w:val="18"/>
                <w:szCs w:val="18"/>
              </w:rPr>
            </w:pPr>
            <w:r>
              <w:rPr>
                <w:rFonts w:hint="eastAsia" w:ascii="宋体" w:hAnsi="宋体" w:cs="宋体"/>
                <w:color w:val="000000"/>
                <w:kern w:val="0"/>
                <w:sz w:val="18"/>
                <w:szCs w:val="18"/>
              </w:rPr>
              <w:t>是否存在相关规定损害群众合法权益的情形</w:t>
            </w:r>
          </w:p>
        </w:tc>
        <w:tc>
          <w:tcPr>
            <w:tcW w:w="1028" w:type="dxa"/>
            <w:tcBorders>
              <w:top w:val="nil"/>
              <w:left w:val="nil"/>
              <w:bottom w:val="single" w:color="auto" w:sz="4" w:space="0"/>
              <w:right w:val="single" w:color="auto" w:sz="4" w:space="0"/>
            </w:tcBorders>
            <w:noWrap/>
            <w:vAlign w:val="center"/>
          </w:tcPr>
          <w:p w14:paraId="63A067E1">
            <w:pPr>
              <w:widowControl/>
              <w:adjustRightInd w:val="0"/>
              <w:snapToGrid w:val="0"/>
              <w:spacing w:line="240" w:lineRule="exact"/>
              <w:jc w:val="center"/>
              <w:rPr>
                <w:rFonts w:ascii="宋体" w:hAnsi="宋体" w:eastAsia="宋体" w:cs="宋体"/>
                <w:color w:val="000000"/>
                <w:kern w:val="0"/>
                <w:sz w:val="18"/>
                <w:szCs w:val="18"/>
              </w:rPr>
            </w:pPr>
            <w:r>
              <w:rPr>
                <w:rFonts w:hint="eastAsia" w:ascii="宋体" w:hAnsi="宋体" w:cs="宋体"/>
                <w:color w:val="000000"/>
                <w:kern w:val="0"/>
                <w:sz w:val="18"/>
                <w:szCs w:val="18"/>
              </w:rPr>
              <w:t>3</w:t>
            </w:r>
          </w:p>
        </w:tc>
      </w:tr>
      <w:tr w14:paraId="3C6B6C2C">
        <w:tblPrEx>
          <w:tblCellMar>
            <w:top w:w="0" w:type="dxa"/>
            <w:left w:w="108" w:type="dxa"/>
            <w:bottom w:w="0" w:type="dxa"/>
            <w:right w:w="108" w:type="dxa"/>
          </w:tblCellMar>
        </w:tblPrEx>
        <w:trPr>
          <w:trHeight w:val="270" w:hRule="atLeast"/>
        </w:trPr>
        <w:tc>
          <w:tcPr>
            <w:tcW w:w="1165" w:type="dxa"/>
            <w:vMerge w:val="continue"/>
            <w:tcBorders>
              <w:top w:val="single" w:color="auto" w:sz="4" w:space="0"/>
              <w:left w:val="single" w:color="auto" w:sz="4" w:space="0"/>
              <w:right w:val="single" w:color="auto" w:sz="4" w:space="0"/>
            </w:tcBorders>
            <w:vAlign w:val="center"/>
          </w:tcPr>
          <w:p w14:paraId="40AB5CFD">
            <w:pPr>
              <w:widowControl/>
              <w:adjustRightInd w:val="0"/>
              <w:snapToGrid w:val="0"/>
              <w:spacing w:line="240" w:lineRule="exact"/>
              <w:jc w:val="center"/>
              <w:rPr>
                <w:rFonts w:ascii="宋体" w:hAnsi="宋体" w:cs="宋体"/>
                <w:color w:val="000000"/>
                <w:kern w:val="0"/>
                <w:sz w:val="18"/>
                <w:szCs w:val="18"/>
              </w:rPr>
            </w:pPr>
          </w:p>
        </w:tc>
        <w:tc>
          <w:tcPr>
            <w:tcW w:w="1304" w:type="dxa"/>
            <w:vMerge w:val="continue"/>
            <w:tcBorders>
              <w:left w:val="nil"/>
              <w:right w:val="single" w:color="auto" w:sz="4" w:space="0"/>
            </w:tcBorders>
            <w:noWrap/>
            <w:vAlign w:val="center"/>
          </w:tcPr>
          <w:p w14:paraId="5A7BE4C5">
            <w:pPr>
              <w:widowControl/>
              <w:spacing w:line="240" w:lineRule="exact"/>
              <w:jc w:val="center"/>
              <w:rPr>
                <w:rFonts w:ascii="宋体" w:hAnsi="宋体" w:cs="宋体"/>
                <w:color w:val="000000"/>
                <w:kern w:val="0"/>
                <w:sz w:val="18"/>
                <w:szCs w:val="18"/>
              </w:rPr>
            </w:pPr>
          </w:p>
        </w:tc>
        <w:tc>
          <w:tcPr>
            <w:tcW w:w="5296" w:type="dxa"/>
            <w:tcBorders>
              <w:top w:val="nil"/>
              <w:left w:val="nil"/>
              <w:bottom w:val="single" w:color="auto" w:sz="4" w:space="0"/>
              <w:right w:val="single" w:color="auto" w:sz="4" w:space="0"/>
            </w:tcBorders>
            <w:noWrap/>
            <w:vAlign w:val="center"/>
          </w:tcPr>
          <w:p w14:paraId="4A98BC81">
            <w:pPr>
              <w:widowControl/>
              <w:adjustRightInd w:val="0"/>
              <w:snapToGrid w:val="0"/>
              <w:spacing w:line="240" w:lineRule="exact"/>
              <w:rPr>
                <w:rFonts w:ascii="宋体" w:hAnsi="宋体" w:cs="宋体"/>
                <w:color w:val="000000"/>
                <w:kern w:val="0"/>
                <w:sz w:val="18"/>
                <w:szCs w:val="18"/>
              </w:rPr>
            </w:pPr>
            <w:r>
              <w:rPr>
                <w:rFonts w:hint="eastAsia" w:ascii="宋体" w:hAnsi="宋体" w:cs="宋体"/>
                <w:color w:val="000000"/>
                <w:kern w:val="0"/>
                <w:sz w:val="18"/>
                <w:szCs w:val="18"/>
              </w:rPr>
              <w:t>是否存在利益调整厚此薄彼情形</w:t>
            </w:r>
          </w:p>
        </w:tc>
        <w:tc>
          <w:tcPr>
            <w:tcW w:w="1028" w:type="dxa"/>
            <w:tcBorders>
              <w:top w:val="nil"/>
              <w:left w:val="nil"/>
              <w:bottom w:val="single" w:color="auto" w:sz="4" w:space="0"/>
              <w:right w:val="single" w:color="auto" w:sz="4" w:space="0"/>
            </w:tcBorders>
            <w:noWrap/>
            <w:vAlign w:val="center"/>
          </w:tcPr>
          <w:p w14:paraId="59274381">
            <w:pPr>
              <w:widowControl/>
              <w:adjustRightInd w:val="0"/>
              <w:snapToGrid w:val="0"/>
              <w:spacing w:line="240" w:lineRule="exact"/>
              <w:jc w:val="center"/>
              <w:rPr>
                <w:rFonts w:ascii="宋体" w:hAnsi="宋体" w:eastAsia="宋体" w:cs="宋体"/>
                <w:color w:val="000000"/>
                <w:kern w:val="0"/>
                <w:sz w:val="18"/>
                <w:szCs w:val="18"/>
              </w:rPr>
            </w:pPr>
            <w:r>
              <w:rPr>
                <w:rFonts w:hint="eastAsia" w:ascii="宋体" w:hAnsi="宋体" w:cs="宋体"/>
                <w:color w:val="000000"/>
                <w:kern w:val="0"/>
                <w:sz w:val="18"/>
                <w:szCs w:val="18"/>
              </w:rPr>
              <w:t>2</w:t>
            </w:r>
          </w:p>
        </w:tc>
      </w:tr>
      <w:tr w14:paraId="3A445BDF">
        <w:tblPrEx>
          <w:tblCellMar>
            <w:top w:w="0" w:type="dxa"/>
            <w:left w:w="108" w:type="dxa"/>
            <w:bottom w:w="0" w:type="dxa"/>
            <w:right w:w="108" w:type="dxa"/>
          </w:tblCellMar>
        </w:tblPrEx>
        <w:trPr>
          <w:trHeight w:val="270" w:hRule="atLeast"/>
        </w:trPr>
        <w:tc>
          <w:tcPr>
            <w:tcW w:w="1165" w:type="dxa"/>
            <w:vMerge w:val="continue"/>
            <w:tcBorders>
              <w:top w:val="single" w:color="auto" w:sz="4" w:space="0"/>
              <w:left w:val="single" w:color="auto" w:sz="4" w:space="0"/>
              <w:right w:val="single" w:color="auto" w:sz="4" w:space="0"/>
            </w:tcBorders>
            <w:vAlign w:val="center"/>
          </w:tcPr>
          <w:p w14:paraId="17DD441F">
            <w:pPr>
              <w:widowControl/>
              <w:adjustRightInd w:val="0"/>
              <w:snapToGrid w:val="0"/>
              <w:spacing w:line="240" w:lineRule="exact"/>
              <w:jc w:val="center"/>
              <w:rPr>
                <w:rFonts w:ascii="宋体" w:hAnsi="宋体" w:cs="宋体"/>
                <w:color w:val="000000"/>
                <w:kern w:val="0"/>
                <w:sz w:val="18"/>
                <w:szCs w:val="18"/>
              </w:rPr>
            </w:pPr>
          </w:p>
        </w:tc>
        <w:tc>
          <w:tcPr>
            <w:tcW w:w="1304" w:type="dxa"/>
            <w:vMerge w:val="continue"/>
            <w:tcBorders>
              <w:left w:val="nil"/>
              <w:right w:val="single" w:color="auto" w:sz="4" w:space="0"/>
            </w:tcBorders>
            <w:noWrap/>
            <w:vAlign w:val="center"/>
          </w:tcPr>
          <w:p w14:paraId="3E367953">
            <w:pPr>
              <w:widowControl/>
              <w:spacing w:line="240" w:lineRule="exact"/>
              <w:jc w:val="center"/>
              <w:rPr>
                <w:rFonts w:ascii="宋体" w:hAnsi="宋体" w:cs="宋体"/>
                <w:color w:val="000000"/>
                <w:kern w:val="0"/>
                <w:sz w:val="18"/>
                <w:szCs w:val="18"/>
              </w:rPr>
            </w:pPr>
          </w:p>
        </w:tc>
        <w:tc>
          <w:tcPr>
            <w:tcW w:w="5296" w:type="dxa"/>
            <w:tcBorders>
              <w:top w:val="nil"/>
              <w:left w:val="nil"/>
              <w:bottom w:val="single" w:color="auto" w:sz="4" w:space="0"/>
              <w:right w:val="single" w:color="auto" w:sz="4" w:space="0"/>
            </w:tcBorders>
            <w:noWrap/>
            <w:vAlign w:val="center"/>
          </w:tcPr>
          <w:p w14:paraId="45A1EC48">
            <w:pPr>
              <w:widowControl/>
              <w:adjustRightInd w:val="0"/>
              <w:snapToGrid w:val="0"/>
              <w:spacing w:line="240" w:lineRule="exact"/>
              <w:rPr>
                <w:rFonts w:ascii="宋体" w:hAnsi="宋体" w:cs="宋体"/>
                <w:color w:val="000000"/>
                <w:kern w:val="0"/>
                <w:sz w:val="18"/>
                <w:szCs w:val="18"/>
              </w:rPr>
            </w:pPr>
            <w:r>
              <w:rPr>
                <w:rFonts w:hint="eastAsia" w:ascii="宋体" w:hAnsi="宋体" w:cs="宋体"/>
                <w:color w:val="000000"/>
                <w:kern w:val="0"/>
                <w:sz w:val="18"/>
                <w:szCs w:val="18"/>
              </w:rPr>
              <w:t>是否存在相关规定影响群众生产生活情形</w:t>
            </w:r>
          </w:p>
        </w:tc>
        <w:tc>
          <w:tcPr>
            <w:tcW w:w="1028" w:type="dxa"/>
            <w:tcBorders>
              <w:top w:val="nil"/>
              <w:left w:val="nil"/>
              <w:bottom w:val="single" w:color="auto" w:sz="4" w:space="0"/>
              <w:right w:val="single" w:color="auto" w:sz="4" w:space="0"/>
            </w:tcBorders>
            <w:noWrap/>
            <w:vAlign w:val="center"/>
          </w:tcPr>
          <w:p w14:paraId="614F1A76">
            <w:pPr>
              <w:widowControl/>
              <w:adjustRightInd w:val="0"/>
              <w:snapToGrid w:val="0"/>
              <w:spacing w:line="240" w:lineRule="exact"/>
              <w:jc w:val="center"/>
              <w:rPr>
                <w:rFonts w:ascii="宋体" w:hAnsi="宋体" w:eastAsia="宋体" w:cs="宋体"/>
                <w:color w:val="000000"/>
                <w:kern w:val="0"/>
                <w:sz w:val="18"/>
                <w:szCs w:val="18"/>
              </w:rPr>
            </w:pPr>
            <w:r>
              <w:rPr>
                <w:rFonts w:hint="eastAsia" w:ascii="宋体" w:hAnsi="宋体" w:cs="宋体"/>
                <w:color w:val="000000"/>
                <w:kern w:val="0"/>
                <w:sz w:val="18"/>
                <w:szCs w:val="18"/>
              </w:rPr>
              <w:t>3</w:t>
            </w:r>
          </w:p>
        </w:tc>
      </w:tr>
      <w:tr w14:paraId="15B8EAC7">
        <w:tblPrEx>
          <w:tblCellMar>
            <w:top w:w="0" w:type="dxa"/>
            <w:left w:w="108" w:type="dxa"/>
            <w:bottom w:w="0" w:type="dxa"/>
            <w:right w:w="108" w:type="dxa"/>
          </w:tblCellMar>
        </w:tblPrEx>
        <w:trPr>
          <w:trHeight w:val="270" w:hRule="atLeast"/>
        </w:trPr>
        <w:tc>
          <w:tcPr>
            <w:tcW w:w="1165" w:type="dxa"/>
            <w:vMerge w:val="continue"/>
            <w:tcBorders>
              <w:top w:val="single" w:color="auto" w:sz="4" w:space="0"/>
              <w:left w:val="single" w:color="auto" w:sz="4" w:space="0"/>
              <w:right w:val="single" w:color="auto" w:sz="4" w:space="0"/>
            </w:tcBorders>
            <w:vAlign w:val="center"/>
          </w:tcPr>
          <w:p w14:paraId="2355EBE5">
            <w:pPr>
              <w:widowControl/>
              <w:adjustRightInd w:val="0"/>
              <w:snapToGrid w:val="0"/>
              <w:spacing w:line="240" w:lineRule="exact"/>
              <w:jc w:val="center"/>
              <w:rPr>
                <w:rFonts w:ascii="宋体" w:hAnsi="宋体" w:cs="宋体"/>
                <w:color w:val="000000"/>
                <w:kern w:val="0"/>
                <w:sz w:val="18"/>
                <w:szCs w:val="18"/>
              </w:rPr>
            </w:pPr>
          </w:p>
        </w:tc>
        <w:tc>
          <w:tcPr>
            <w:tcW w:w="1304" w:type="dxa"/>
            <w:vMerge w:val="continue"/>
            <w:tcBorders>
              <w:left w:val="nil"/>
              <w:bottom w:val="single" w:color="auto" w:sz="4" w:space="0"/>
              <w:right w:val="single" w:color="auto" w:sz="4" w:space="0"/>
            </w:tcBorders>
            <w:noWrap/>
            <w:vAlign w:val="center"/>
          </w:tcPr>
          <w:p w14:paraId="702DB970">
            <w:pPr>
              <w:widowControl/>
              <w:spacing w:line="240" w:lineRule="exact"/>
              <w:jc w:val="center"/>
              <w:rPr>
                <w:rFonts w:ascii="宋体" w:hAnsi="宋体" w:cs="宋体"/>
                <w:color w:val="000000"/>
                <w:kern w:val="0"/>
                <w:sz w:val="18"/>
                <w:szCs w:val="18"/>
              </w:rPr>
            </w:pPr>
          </w:p>
        </w:tc>
        <w:tc>
          <w:tcPr>
            <w:tcW w:w="5296" w:type="dxa"/>
            <w:tcBorders>
              <w:top w:val="nil"/>
              <w:left w:val="nil"/>
              <w:bottom w:val="single" w:color="auto" w:sz="4" w:space="0"/>
              <w:right w:val="single" w:color="auto" w:sz="4" w:space="0"/>
            </w:tcBorders>
            <w:noWrap/>
            <w:vAlign w:val="center"/>
          </w:tcPr>
          <w:p w14:paraId="06415F25">
            <w:pPr>
              <w:widowControl/>
              <w:adjustRightInd w:val="0"/>
              <w:snapToGrid w:val="0"/>
              <w:spacing w:line="240" w:lineRule="exact"/>
              <w:rPr>
                <w:rFonts w:ascii="宋体" w:hAnsi="宋体" w:cs="宋体"/>
                <w:color w:val="000000"/>
                <w:kern w:val="0"/>
                <w:sz w:val="18"/>
                <w:szCs w:val="18"/>
              </w:rPr>
            </w:pPr>
            <w:r>
              <w:rPr>
                <w:rFonts w:hint="eastAsia" w:ascii="宋体" w:hAnsi="宋体" w:cs="宋体"/>
                <w:color w:val="000000"/>
                <w:kern w:val="0"/>
                <w:sz w:val="18"/>
                <w:szCs w:val="18"/>
              </w:rPr>
              <w:t>是否回应利益相关者合理诉求</w:t>
            </w:r>
          </w:p>
        </w:tc>
        <w:tc>
          <w:tcPr>
            <w:tcW w:w="1028" w:type="dxa"/>
            <w:tcBorders>
              <w:top w:val="nil"/>
              <w:left w:val="nil"/>
              <w:bottom w:val="single" w:color="auto" w:sz="4" w:space="0"/>
              <w:right w:val="single" w:color="auto" w:sz="4" w:space="0"/>
            </w:tcBorders>
            <w:noWrap/>
            <w:vAlign w:val="center"/>
          </w:tcPr>
          <w:p w14:paraId="24F77F70">
            <w:pPr>
              <w:widowControl/>
              <w:adjustRightInd w:val="0"/>
              <w:snapToGrid w:val="0"/>
              <w:spacing w:line="240" w:lineRule="exact"/>
              <w:jc w:val="center"/>
              <w:rPr>
                <w:rFonts w:ascii="宋体" w:hAnsi="宋体" w:eastAsia="宋体" w:cs="宋体"/>
                <w:color w:val="000000"/>
                <w:kern w:val="0"/>
                <w:sz w:val="18"/>
                <w:szCs w:val="18"/>
              </w:rPr>
            </w:pPr>
            <w:r>
              <w:rPr>
                <w:rFonts w:hint="eastAsia" w:ascii="宋体" w:hAnsi="宋体" w:cs="宋体"/>
                <w:color w:val="000000"/>
                <w:kern w:val="0"/>
                <w:sz w:val="18"/>
                <w:szCs w:val="18"/>
              </w:rPr>
              <w:t>2</w:t>
            </w:r>
          </w:p>
        </w:tc>
      </w:tr>
      <w:tr w14:paraId="0C03FF46">
        <w:tblPrEx>
          <w:tblCellMar>
            <w:top w:w="0" w:type="dxa"/>
            <w:left w:w="108" w:type="dxa"/>
            <w:bottom w:w="0" w:type="dxa"/>
            <w:right w:w="108" w:type="dxa"/>
          </w:tblCellMar>
        </w:tblPrEx>
        <w:trPr>
          <w:trHeight w:val="270" w:hRule="atLeast"/>
        </w:trPr>
        <w:tc>
          <w:tcPr>
            <w:tcW w:w="1165" w:type="dxa"/>
            <w:vMerge w:val="continue"/>
            <w:tcBorders>
              <w:left w:val="single" w:color="auto" w:sz="4" w:space="0"/>
              <w:right w:val="single" w:color="auto" w:sz="4" w:space="0"/>
            </w:tcBorders>
            <w:vAlign w:val="center"/>
          </w:tcPr>
          <w:p w14:paraId="12503870">
            <w:pPr>
              <w:widowControl/>
              <w:adjustRightInd w:val="0"/>
              <w:snapToGrid w:val="0"/>
              <w:spacing w:line="240" w:lineRule="exact"/>
              <w:jc w:val="center"/>
              <w:rPr>
                <w:rFonts w:ascii="宋体" w:hAnsi="宋体" w:cs="宋体"/>
                <w:color w:val="000000"/>
                <w:kern w:val="0"/>
                <w:sz w:val="18"/>
                <w:szCs w:val="18"/>
              </w:rPr>
            </w:pPr>
          </w:p>
        </w:tc>
        <w:tc>
          <w:tcPr>
            <w:tcW w:w="1304" w:type="dxa"/>
            <w:vMerge w:val="restart"/>
            <w:tcBorders>
              <w:top w:val="single" w:color="auto" w:sz="4" w:space="0"/>
              <w:left w:val="nil"/>
              <w:right w:val="single" w:color="auto" w:sz="4" w:space="0"/>
            </w:tcBorders>
            <w:noWrap/>
            <w:vAlign w:val="center"/>
          </w:tcPr>
          <w:p w14:paraId="64318D68">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适宜适度（10分）</w:t>
            </w:r>
          </w:p>
        </w:tc>
        <w:tc>
          <w:tcPr>
            <w:tcW w:w="5296" w:type="dxa"/>
            <w:tcBorders>
              <w:top w:val="nil"/>
              <w:left w:val="nil"/>
              <w:bottom w:val="single" w:color="auto" w:sz="4" w:space="0"/>
              <w:right w:val="single" w:color="auto" w:sz="4" w:space="0"/>
            </w:tcBorders>
            <w:noWrap/>
            <w:vAlign w:val="center"/>
          </w:tcPr>
          <w:p w14:paraId="301ED6FC">
            <w:pPr>
              <w:widowControl/>
              <w:adjustRightInd w:val="0"/>
              <w:snapToGrid w:val="0"/>
              <w:spacing w:line="240" w:lineRule="exact"/>
              <w:rPr>
                <w:rFonts w:ascii="宋体" w:hAnsi="宋体" w:cs="宋体"/>
                <w:color w:val="000000"/>
                <w:kern w:val="0"/>
                <w:sz w:val="18"/>
                <w:szCs w:val="18"/>
              </w:rPr>
            </w:pPr>
            <w:r>
              <w:rPr>
                <w:rFonts w:hint="eastAsia" w:ascii="宋体" w:hAnsi="宋体" w:cs="宋体"/>
                <w:color w:val="000000"/>
                <w:kern w:val="0"/>
                <w:sz w:val="18"/>
                <w:szCs w:val="18"/>
              </w:rPr>
              <w:t>是否符合本地经济社会长远发展规划</w:t>
            </w:r>
          </w:p>
        </w:tc>
        <w:tc>
          <w:tcPr>
            <w:tcW w:w="1028" w:type="dxa"/>
            <w:tcBorders>
              <w:top w:val="nil"/>
              <w:left w:val="nil"/>
              <w:bottom w:val="single" w:color="auto" w:sz="4" w:space="0"/>
              <w:right w:val="single" w:color="auto" w:sz="4" w:space="0"/>
            </w:tcBorders>
            <w:noWrap/>
            <w:vAlign w:val="center"/>
          </w:tcPr>
          <w:p w14:paraId="3F4C9A95">
            <w:pPr>
              <w:widowControl/>
              <w:adjustRightInd w:val="0"/>
              <w:snapToGrid w:val="0"/>
              <w:spacing w:line="240" w:lineRule="exact"/>
              <w:jc w:val="center"/>
              <w:rPr>
                <w:rFonts w:ascii="宋体" w:hAnsi="宋体" w:eastAsia="宋体" w:cs="宋体"/>
                <w:color w:val="000000"/>
                <w:kern w:val="0"/>
                <w:sz w:val="18"/>
                <w:szCs w:val="18"/>
              </w:rPr>
            </w:pPr>
            <w:r>
              <w:rPr>
                <w:rFonts w:hint="eastAsia" w:ascii="宋体" w:hAnsi="宋体" w:cs="宋体"/>
                <w:color w:val="000000"/>
                <w:kern w:val="0"/>
                <w:sz w:val="18"/>
                <w:szCs w:val="18"/>
              </w:rPr>
              <w:t>3</w:t>
            </w:r>
          </w:p>
        </w:tc>
      </w:tr>
      <w:tr w14:paraId="2263EB44">
        <w:tblPrEx>
          <w:tblCellMar>
            <w:top w:w="0" w:type="dxa"/>
            <w:left w:w="108" w:type="dxa"/>
            <w:bottom w:w="0" w:type="dxa"/>
            <w:right w:w="108" w:type="dxa"/>
          </w:tblCellMar>
        </w:tblPrEx>
        <w:trPr>
          <w:trHeight w:val="270" w:hRule="atLeast"/>
        </w:trPr>
        <w:tc>
          <w:tcPr>
            <w:tcW w:w="1165" w:type="dxa"/>
            <w:vMerge w:val="continue"/>
            <w:tcBorders>
              <w:left w:val="single" w:color="auto" w:sz="4" w:space="0"/>
              <w:right w:val="single" w:color="auto" w:sz="4" w:space="0"/>
            </w:tcBorders>
            <w:vAlign w:val="center"/>
          </w:tcPr>
          <w:p w14:paraId="46B128C9">
            <w:pPr>
              <w:widowControl/>
              <w:adjustRightInd w:val="0"/>
              <w:snapToGrid w:val="0"/>
              <w:spacing w:line="240" w:lineRule="exact"/>
              <w:jc w:val="center"/>
              <w:rPr>
                <w:rFonts w:ascii="宋体" w:hAnsi="宋体" w:cs="宋体"/>
                <w:color w:val="000000"/>
                <w:kern w:val="0"/>
                <w:sz w:val="18"/>
                <w:szCs w:val="18"/>
              </w:rPr>
            </w:pPr>
          </w:p>
        </w:tc>
        <w:tc>
          <w:tcPr>
            <w:tcW w:w="1304" w:type="dxa"/>
            <w:vMerge w:val="continue"/>
            <w:tcBorders>
              <w:left w:val="nil"/>
              <w:right w:val="single" w:color="auto" w:sz="4" w:space="0"/>
            </w:tcBorders>
            <w:noWrap/>
            <w:vAlign w:val="center"/>
          </w:tcPr>
          <w:p w14:paraId="18462434">
            <w:pPr>
              <w:widowControl/>
              <w:spacing w:line="240" w:lineRule="exact"/>
              <w:jc w:val="center"/>
              <w:rPr>
                <w:rFonts w:ascii="宋体" w:hAnsi="宋体" w:cs="宋体"/>
                <w:color w:val="000000"/>
                <w:kern w:val="0"/>
                <w:sz w:val="18"/>
                <w:szCs w:val="18"/>
              </w:rPr>
            </w:pPr>
          </w:p>
        </w:tc>
        <w:tc>
          <w:tcPr>
            <w:tcW w:w="5296" w:type="dxa"/>
            <w:tcBorders>
              <w:top w:val="nil"/>
              <w:left w:val="nil"/>
              <w:bottom w:val="single" w:color="auto" w:sz="4" w:space="0"/>
              <w:right w:val="single" w:color="auto" w:sz="4" w:space="0"/>
            </w:tcBorders>
            <w:noWrap/>
            <w:vAlign w:val="center"/>
          </w:tcPr>
          <w:p w14:paraId="09A1284B">
            <w:pPr>
              <w:widowControl/>
              <w:adjustRightInd w:val="0"/>
              <w:snapToGrid w:val="0"/>
              <w:spacing w:line="240" w:lineRule="exact"/>
              <w:rPr>
                <w:rFonts w:ascii="宋体" w:hAnsi="宋体" w:cs="宋体"/>
                <w:color w:val="000000"/>
                <w:kern w:val="0"/>
                <w:sz w:val="18"/>
                <w:szCs w:val="18"/>
              </w:rPr>
            </w:pPr>
            <w:r>
              <w:rPr>
                <w:rFonts w:hint="eastAsia" w:ascii="宋体" w:hAnsi="宋体" w:cs="宋体"/>
                <w:color w:val="000000"/>
                <w:kern w:val="0"/>
                <w:sz w:val="18"/>
                <w:szCs w:val="18"/>
              </w:rPr>
              <w:t>是否与当地经济社会发展状况相适应</w:t>
            </w:r>
          </w:p>
        </w:tc>
        <w:tc>
          <w:tcPr>
            <w:tcW w:w="1028" w:type="dxa"/>
            <w:tcBorders>
              <w:top w:val="nil"/>
              <w:left w:val="nil"/>
              <w:bottom w:val="single" w:color="auto" w:sz="4" w:space="0"/>
              <w:right w:val="single" w:color="auto" w:sz="4" w:space="0"/>
            </w:tcBorders>
            <w:noWrap/>
            <w:vAlign w:val="center"/>
          </w:tcPr>
          <w:p w14:paraId="0709AABB">
            <w:pPr>
              <w:widowControl/>
              <w:adjustRightInd w:val="0"/>
              <w:snapToGrid w:val="0"/>
              <w:spacing w:line="240" w:lineRule="exact"/>
              <w:jc w:val="center"/>
              <w:rPr>
                <w:rFonts w:ascii="宋体" w:hAnsi="宋体" w:eastAsia="宋体" w:cs="宋体"/>
                <w:color w:val="000000"/>
                <w:kern w:val="0"/>
                <w:sz w:val="18"/>
                <w:szCs w:val="18"/>
              </w:rPr>
            </w:pPr>
            <w:r>
              <w:rPr>
                <w:rFonts w:hint="eastAsia" w:ascii="宋体" w:hAnsi="宋体" w:cs="宋体"/>
                <w:color w:val="000000"/>
                <w:kern w:val="0"/>
                <w:sz w:val="18"/>
                <w:szCs w:val="18"/>
              </w:rPr>
              <w:t>3</w:t>
            </w:r>
          </w:p>
        </w:tc>
      </w:tr>
      <w:tr w14:paraId="56FDE7A8">
        <w:tblPrEx>
          <w:tblCellMar>
            <w:top w:w="0" w:type="dxa"/>
            <w:left w:w="108" w:type="dxa"/>
            <w:bottom w:w="0" w:type="dxa"/>
            <w:right w:w="108" w:type="dxa"/>
          </w:tblCellMar>
        </w:tblPrEx>
        <w:trPr>
          <w:trHeight w:val="270" w:hRule="atLeast"/>
        </w:trPr>
        <w:tc>
          <w:tcPr>
            <w:tcW w:w="1165" w:type="dxa"/>
            <w:vMerge w:val="continue"/>
            <w:tcBorders>
              <w:left w:val="single" w:color="auto" w:sz="4" w:space="0"/>
              <w:right w:val="single" w:color="auto" w:sz="4" w:space="0"/>
            </w:tcBorders>
            <w:vAlign w:val="center"/>
          </w:tcPr>
          <w:p w14:paraId="5A7FEC64">
            <w:pPr>
              <w:widowControl/>
              <w:adjustRightInd w:val="0"/>
              <w:snapToGrid w:val="0"/>
              <w:spacing w:line="240" w:lineRule="exact"/>
              <w:jc w:val="center"/>
              <w:rPr>
                <w:rFonts w:ascii="宋体" w:hAnsi="宋体" w:cs="宋体"/>
                <w:color w:val="000000"/>
                <w:kern w:val="0"/>
                <w:sz w:val="18"/>
                <w:szCs w:val="18"/>
              </w:rPr>
            </w:pPr>
          </w:p>
        </w:tc>
        <w:tc>
          <w:tcPr>
            <w:tcW w:w="1304" w:type="dxa"/>
            <w:vMerge w:val="continue"/>
            <w:tcBorders>
              <w:left w:val="nil"/>
              <w:right w:val="single" w:color="auto" w:sz="4" w:space="0"/>
            </w:tcBorders>
            <w:noWrap/>
            <w:vAlign w:val="center"/>
          </w:tcPr>
          <w:p w14:paraId="41D79C15">
            <w:pPr>
              <w:widowControl/>
              <w:spacing w:line="240" w:lineRule="exact"/>
              <w:jc w:val="center"/>
              <w:rPr>
                <w:rFonts w:ascii="宋体" w:hAnsi="宋体" w:cs="宋体"/>
                <w:color w:val="000000"/>
                <w:kern w:val="0"/>
                <w:sz w:val="18"/>
                <w:szCs w:val="18"/>
              </w:rPr>
            </w:pPr>
          </w:p>
        </w:tc>
        <w:tc>
          <w:tcPr>
            <w:tcW w:w="5296" w:type="dxa"/>
            <w:tcBorders>
              <w:top w:val="nil"/>
              <w:left w:val="nil"/>
              <w:bottom w:val="single" w:color="auto" w:sz="4" w:space="0"/>
              <w:right w:val="single" w:color="auto" w:sz="4" w:space="0"/>
            </w:tcBorders>
            <w:noWrap/>
            <w:vAlign w:val="center"/>
          </w:tcPr>
          <w:p w14:paraId="329211B6">
            <w:pPr>
              <w:widowControl/>
              <w:adjustRightInd w:val="0"/>
              <w:snapToGrid w:val="0"/>
              <w:spacing w:line="240" w:lineRule="exact"/>
              <w:rPr>
                <w:rFonts w:ascii="宋体" w:hAnsi="宋体" w:cs="宋体"/>
                <w:color w:val="000000"/>
                <w:kern w:val="0"/>
                <w:sz w:val="18"/>
                <w:szCs w:val="18"/>
              </w:rPr>
            </w:pPr>
            <w:r>
              <w:rPr>
                <w:rFonts w:hint="eastAsia" w:ascii="宋体" w:hAnsi="宋体" w:cs="宋体"/>
                <w:color w:val="000000"/>
                <w:kern w:val="0"/>
                <w:sz w:val="18"/>
                <w:szCs w:val="18"/>
              </w:rPr>
              <w:t>是否符合公序良俗、当地人文风俗习惯</w:t>
            </w:r>
          </w:p>
        </w:tc>
        <w:tc>
          <w:tcPr>
            <w:tcW w:w="1028" w:type="dxa"/>
            <w:tcBorders>
              <w:top w:val="nil"/>
              <w:left w:val="nil"/>
              <w:bottom w:val="single" w:color="auto" w:sz="4" w:space="0"/>
              <w:right w:val="single" w:color="auto" w:sz="4" w:space="0"/>
            </w:tcBorders>
            <w:noWrap/>
            <w:vAlign w:val="center"/>
          </w:tcPr>
          <w:p w14:paraId="0C645E88">
            <w:pPr>
              <w:widowControl/>
              <w:adjustRightInd w:val="0"/>
              <w:snapToGrid w:val="0"/>
              <w:spacing w:line="240" w:lineRule="exact"/>
              <w:jc w:val="center"/>
              <w:rPr>
                <w:rFonts w:ascii="宋体" w:hAnsi="宋体" w:eastAsia="宋体" w:cs="宋体"/>
                <w:color w:val="000000"/>
                <w:kern w:val="0"/>
                <w:sz w:val="18"/>
                <w:szCs w:val="18"/>
              </w:rPr>
            </w:pPr>
            <w:r>
              <w:rPr>
                <w:rFonts w:hint="eastAsia" w:ascii="宋体" w:hAnsi="宋体" w:cs="宋体"/>
                <w:color w:val="000000"/>
                <w:kern w:val="0"/>
                <w:sz w:val="18"/>
                <w:szCs w:val="18"/>
              </w:rPr>
              <w:t>2</w:t>
            </w:r>
          </w:p>
        </w:tc>
      </w:tr>
      <w:tr w14:paraId="7057DB05">
        <w:tblPrEx>
          <w:tblCellMar>
            <w:top w:w="0" w:type="dxa"/>
            <w:left w:w="108" w:type="dxa"/>
            <w:bottom w:w="0" w:type="dxa"/>
            <w:right w:w="108" w:type="dxa"/>
          </w:tblCellMar>
        </w:tblPrEx>
        <w:trPr>
          <w:trHeight w:val="270" w:hRule="atLeast"/>
        </w:trPr>
        <w:tc>
          <w:tcPr>
            <w:tcW w:w="1165" w:type="dxa"/>
            <w:vMerge w:val="continue"/>
            <w:tcBorders>
              <w:left w:val="single" w:color="auto" w:sz="4" w:space="0"/>
              <w:right w:val="single" w:color="auto" w:sz="4" w:space="0"/>
            </w:tcBorders>
            <w:vAlign w:val="center"/>
          </w:tcPr>
          <w:p w14:paraId="340D756F">
            <w:pPr>
              <w:widowControl/>
              <w:adjustRightInd w:val="0"/>
              <w:snapToGrid w:val="0"/>
              <w:spacing w:line="240" w:lineRule="exact"/>
              <w:jc w:val="center"/>
              <w:rPr>
                <w:rFonts w:ascii="宋体" w:hAnsi="宋体" w:cs="宋体"/>
                <w:color w:val="000000"/>
                <w:kern w:val="0"/>
                <w:sz w:val="18"/>
                <w:szCs w:val="18"/>
              </w:rPr>
            </w:pPr>
          </w:p>
        </w:tc>
        <w:tc>
          <w:tcPr>
            <w:tcW w:w="1304" w:type="dxa"/>
            <w:vMerge w:val="continue"/>
            <w:tcBorders>
              <w:top w:val="single" w:color="auto" w:sz="4" w:space="0"/>
              <w:left w:val="nil"/>
              <w:right w:val="single" w:color="auto" w:sz="4" w:space="0"/>
            </w:tcBorders>
            <w:noWrap/>
            <w:vAlign w:val="center"/>
          </w:tcPr>
          <w:p w14:paraId="6EC0B010">
            <w:pPr>
              <w:widowControl/>
              <w:spacing w:line="240" w:lineRule="exact"/>
              <w:jc w:val="center"/>
              <w:rPr>
                <w:rFonts w:ascii="宋体" w:hAnsi="宋体" w:cs="宋体"/>
                <w:color w:val="000000"/>
                <w:kern w:val="0"/>
                <w:sz w:val="18"/>
                <w:szCs w:val="18"/>
              </w:rPr>
            </w:pPr>
          </w:p>
        </w:tc>
        <w:tc>
          <w:tcPr>
            <w:tcW w:w="5296" w:type="dxa"/>
            <w:tcBorders>
              <w:top w:val="nil"/>
              <w:left w:val="nil"/>
              <w:bottom w:val="single" w:color="auto" w:sz="4" w:space="0"/>
              <w:right w:val="single" w:color="auto" w:sz="4" w:space="0"/>
            </w:tcBorders>
            <w:noWrap/>
            <w:vAlign w:val="center"/>
          </w:tcPr>
          <w:p w14:paraId="498667E8">
            <w:pPr>
              <w:widowControl/>
              <w:adjustRightInd w:val="0"/>
              <w:snapToGrid w:val="0"/>
              <w:spacing w:line="240" w:lineRule="exact"/>
              <w:rPr>
                <w:rFonts w:ascii="宋体" w:hAnsi="宋体" w:cs="宋体"/>
                <w:color w:val="000000"/>
                <w:kern w:val="0"/>
                <w:sz w:val="18"/>
                <w:szCs w:val="18"/>
              </w:rPr>
            </w:pPr>
            <w:r>
              <w:rPr>
                <w:rFonts w:hint="eastAsia" w:ascii="宋体"/>
                <w:color w:val="000000"/>
                <w:kern w:val="0"/>
                <w:sz w:val="18"/>
                <w:szCs w:val="18"/>
              </w:rPr>
              <w:t>能否为本地优化资源配置、创造劳动就业、改善人居环境、提高人民生活水平等产生有利效应</w:t>
            </w:r>
          </w:p>
        </w:tc>
        <w:tc>
          <w:tcPr>
            <w:tcW w:w="1028" w:type="dxa"/>
            <w:tcBorders>
              <w:top w:val="nil"/>
              <w:left w:val="nil"/>
              <w:bottom w:val="single" w:color="auto" w:sz="4" w:space="0"/>
              <w:right w:val="single" w:color="auto" w:sz="4" w:space="0"/>
            </w:tcBorders>
            <w:noWrap/>
            <w:vAlign w:val="center"/>
          </w:tcPr>
          <w:p w14:paraId="34DCA720">
            <w:pPr>
              <w:widowControl/>
              <w:adjustRightInd w:val="0"/>
              <w:snapToGrid w:val="0"/>
              <w:spacing w:line="240" w:lineRule="exact"/>
              <w:jc w:val="center"/>
              <w:rPr>
                <w:rFonts w:ascii="宋体" w:eastAsia="宋体"/>
                <w:color w:val="000000"/>
                <w:kern w:val="0"/>
                <w:sz w:val="18"/>
                <w:szCs w:val="18"/>
              </w:rPr>
            </w:pPr>
            <w:r>
              <w:rPr>
                <w:rFonts w:hint="eastAsia" w:ascii="宋体"/>
                <w:color w:val="000000"/>
                <w:kern w:val="0"/>
                <w:sz w:val="18"/>
                <w:szCs w:val="18"/>
              </w:rPr>
              <w:t>2</w:t>
            </w:r>
          </w:p>
        </w:tc>
      </w:tr>
      <w:tr w14:paraId="0E257B94">
        <w:tblPrEx>
          <w:tblCellMar>
            <w:top w:w="0" w:type="dxa"/>
            <w:left w:w="108" w:type="dxa"/>
            <w:bottom w:w="0" w:type="dxa"/>
            <w:right w:w="108" w:type="dxa"/>
          </w:tblCellMar>
        </w:tblPrEx>
        <w:trPr>
          <w:trHeight w:val="270" w:hRule="atLeast"/>
        </w:trPr>
        <w:tc>
          <w:tcPr>
            <w:tcW w:w="1165" w:type="dxa"/>
            <w:vMerge w:val="continue"/>
            <w:tcBorders>
              <w:left w:val="single" w:color="auto" w:sz="4" w:space="0"/>
              <w:right w:val="single" w:color="auto" w:sz="4" w:space="0"/>
            </w:tcBorders>
            <w:vAlign w:val="center"/>
          </w:tcPr>
          <w:p w14:paraId="20264F60">
            <w:pPr>
              <w:widowControl/>
              <w:adjustRightInd w:val="0"/>
              <w:snapToGrid w:val="0"/>
              <w:spacing w:line="240" w:lineRule="exact"/>
              <w:jc w:val="center"/>
              <w:rPr>
                <w:rFonts w:ascii="宋体" w:hAnsi="宋体" w:cs="宋体"/>
                <w:color w:val="000000"/>
                <w:kern w:val="0"/>
                <w:sz w:val="18"/>
                <w:szCs w:val="18"/>
              </w:rPr>
            </w:pPr>
          </w:p>
        </w:tc>
        <w:tc>
          <w:tcPr>
            <w:tcW w:w="1304" w:type="dxa"/>
            <w:vMerge w:val="restart"/>
            <w:tcBorders>
              <w:top w:val="single" w:color="auto" w:sz="4" w:space="0"/>
              <w:left w:val="nil"/>
              <w:right w:val="single" w:color="auto" w:sz="4" w:space="0"/>
            </w:tcBorders>
            <w:noWrap/>
            <w:vAlign w:val="center"/>
          </w:tcPr>
          <w:p w14:paraId="250E53C6">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关联平衡（10分）</w:t>
            </w:r>
          </w:p>
        </w:tc>
        <w:tc>
          <w:tcPr>
            <w:tcW w:w="5296" w:type="dxa"/>
            <w:tcBorders>
              <w:top w:val="nil"/>
              <w:left w:val="nil"/>
              <w:bottom w:val="single" w:color="auto" w:sz="4" w:space="0"/>
              <w:right w:val="single" w:color="auto" w:sz="4" w:space="0"/>
            </w:tcBorders>
            <w:noWrap/>
            <w:vAlign w:val="center"/>
          </w:tcPr>
          <w:p w14:paraId="75B872C5">
            <w:pPr>
              <w:widowControl/>
              <w:adjustRightInd w:val="0"/>
              <w:snapToGrid w:val="0"/>
              <w:spacing w:line="240" w:lineRule="exact"/>
              <w:rPr>
                <w:rFonts w:ascii="宋体" w:hAnsi="宋体" w:cs="宋体"/>
                <w:color w:val="000000"/>
                <w:kern w:val="0"/>
                <w:sz w:val="18"/>
                <w:szCs w:val="18"/>
              </w:rPr>
            </w:pPr>
            <w:r>
              <w:rPr>
                <w:rFonts w:hint="eastAsia" w:ascii="宋体" w:hAnsi="宋体" w:cs="宋体"/>
                <w:color w:val="000000"/>
                <w:kern w:val="0"/>
                <w:sz w:val="18"/>
                <w:szCs w:val="18"/>
              </w:rPr>
              <w:t>是否兼顾了当地群众的现实利益和长远利益</w:t>
            </w:r>
          </w:p>
        </w:tc>
        <w:tc>
          <w:tcPr>
            <w:tcW w:w="1028" w:type="dxa"/>
            <w:tcBorders>
              <w:top w:val="nil"/>
              <w:left w:val="nil"/>
              <w:bottom w:val="single" w:color="auto" w:sz="4" w:space="0"/>
              <w:right w:val="single" w:color="auto" w:sz="4" w:space="0"/>
            </w:tcBorders>
            <w:noWrap/>
            <w:vAlign w:val="center"/>
          </w:tcPr>
          <w:p w14:paraId="70E33513">
            <w:pPr>
              <w:widowControl/>
              <w:adjustRightInd w:val="0"/>
              <w:snapToGrid w:val="0"/>
              <w:spacing w:line="240" w:lineRule="exact"/>
              <w:jc w:val="center"/>
              <w:rPr>
                <w:rFonts w:ascii="宋体" w:hAnsi="宋体" w:eastAsia="宋体" w:cs="宋体"/>
                <w:color w:val="000000"/>
                <w:kern w:val="0"/>
                <w:sz w:val="18"/>
                <w:szCs w:val="18"/>
              </w:rPr>
            </w:pPr>
            <w:r>
              <w:rPr>
                <w:rFonts w:hint="eastAsia" w:ascii="宋体" w:hAnsi="宋体" w:cs="宋体"/>
                <w:color w:val="000000"/>
                <w:kern w:val="0"/>
                <w:sz w:val="18"/>
                <w:szCs w:val="18"/>
              </w:rPr>
              <w:t>3</w:t>
            </w:r>
          </w:p>
        </w:tc>
      </w:tr>
      <w:tr w14:paraId="1B450B21">
        <w:tblPrEx>
          <w:tblCellMar>
            <w:top w:w="0" w:type="dxa"/>
            <w:left w:w="108" w:type="dxa"/>
            <w:bottom w:w="0" w:type="dxa"/>
            <w:right w:w="108" w:type="dxa"/>
          </w:tblCellMar>
        </w:tblPrEx>
        <w:trPr>
          <w:trHeight w:val="270" w:hRule="atLeast"/>
        </w:trPr>
        <w:tc>
          <w:tcPr>
            <w:tcW w:w="1165" w:type="dxa"/>
            <w:vMerge w:val="continue"/>
            <w:tcBorders>
              <w:left w:val="single" w:color="auto" w:sz="4" w:space="0"/>
              <w:right w:val="single" w:color="auto" w:sz="4" w:space="0"/>
            </w:tcBorders>
            <w:vAlign w:val="center"/>
          </w:tcPr>
          <w:p w14:paraId="1FE62783">
            <w:pPr>
              <w:widowControl/>
              <w:adjustRightInd w:val="0"/>
              <w:snapToGrid w:val="0"/>
              <w:spacing w:line="240" w:lineRule="exact"/>
              <w:jc w:val="center"/>
              <w:rPr>
                <w:rFonts w:ascii="宋体" w:hAnsi="宋体" w:cs="宋体"/>
                <w:color w:val="000000"/>
                <w:kern w:val="0"/>
                <w:sz w:val="18"/>
                <w:szCs w:val="18"/>
              </w:rPr>
            </w:pPr>
          </w:p>
        </w:tc>
        <w:tc>
          <w:tcPr>
            <w:tcW w:w="1304" w:type="dxa"/>
            <w:vMerge w:val="continue"/>
            <w:tcBorders>
              <w:top w:val="nil"/>
              <w:left w:val="nil"/>
              <w:right w:val="single" w:color="auto" w:sz="4" w:space="0"/>
            </w:tcBorders>
            <w:noWrap/>
            <w:vAlign w:val="center"/>
          </w:tcPr>
          <w:p w14:paraId="3A24113E">
            <w:pPr>
              <w:widowControl/>
              <w:spacing w:line="240" w:lineRule="exact"/>
              <w:jc w:val="center"/>
              <w:rPr>
                <w:rFonts w:ascii="宋体" w:hAnsi="宋体" w:cs="宋体"/>
                <w:color w:val="000000"/>
                <w:kern w:val="0"/>
                <w:sz w:val="18"/>
                <w:szCs w:val="18"/>
              </w:rPr>
            </w:pPr>
          </w:p>
        </w:tc>
        <w:tc>
          <w:tcPr>
            <w:tcW w:w="5296" w:type="dxa"/>
            <w:tcBorders>
              <w:top w:val="nil"/>
              <w:left w:val="nil"/>
              <w:bottom w:val="single" w:color="auto" w:sz="4" w:space="0"/>
              <w:right w:val="single" w:color="auto" w:sz="4" w:space="0"/>
            </w:tcBorders>
            <w:noWrap/>
            <w:vAlign w:val="center"/>
          </w:tcPr>
          <w:p w14:paraId="52EF8669">
            <w:pPr>
              <w:widowControl/>
              <w:adjustRightInd w:val="0"/>
              <w:snapToGrid w:val="0"/>
              <w:spacing w:line="240" w:lineRule="exact"/>
              <w:rPr>
                <w:rFonts w:ascii="宋体" w:hAnsi="宋体" w:cs="宋体"/>
                <w:color w:val="000000"/>
                <w:kern w:val="0"/>
                <w:sz w:val="18"/>
                <w:szCs w:val="18"/>
              </w:rPr>
            </w:pPr>
            <w:r>
              <w:rPr>
                <w:rFonts w:hint="eastAsia" w:ascii="宋体" w:hAnsi="宋体" w:cs="宋体"/>
                <w:color w:val="000000"/>
                <w:kern w:val="0"/>
                <w:sz w:val="18"/>
                <w:szCs w:val="18"/>
              </w:rPr>
              <w:t>是否兼顾了地区、行业、群体之间的平衡</w:t>
            </w:r>
          </w:p>
        </w:tc>
        <w:tc>
          <w:tcPr>
            <w:tcW w:w="1028" w:type="dxa"/>
            <w:tcBorders>
              <w:top w:val="nil"/>
              <w:left w:val="nil"/>
              <w:bottom w:val="single" w:color="auto" w:sz="4" w:space="0"/>
              <w:right w:val="single" w:color="auto" w:sz="4" w:space="0"/>
            </w:tcBorders>
            <w:noWrap/>
            <w:vAlign w:val="center"/>
          </w:tcPr>
          <w:p w14:paraId="542C2CED">
            <w:pPr>
              <w:widowControl/>
              <w:adjustRightInd w:val="0"/>
              <w:snapToGrid w:val="0"/>
              <w:spacing w:line="240" w:lineRule="exact"/>
              <w:jc w:val="center"/>
              <w:rPr>
                <w:rFonts w:ascii="宋体" w:hAnsi="宋体" w:eastAsia="宋体" w:cs="宋体"/>
                <w:color w:val="000000"/>
                <w:kern w:val="0"/>
                <w:sz w:val="18"/>
                <w:szCs w:val="18"/>
              </w:rPr>
            </w:pPr>
            <w:r>
              <w:rPr>
                <w:rFonts w:hint="eastAsia" w:ascii="宋体" w:hAnsi="宋体" w:cs="宋体"/>
                <w:color w:val="000000"/>
                <w:kern w:val="0"/>
                <w:sz w:val="18"/>
                <w:szCs w:val="18"/>
              </w:rPr>
              <w:t>3</w:t>
            </w:r>
          </w:p>
        </w:tc>
      </w:tr>
      <w:tr w14:paraId="766DA0F0">
        <w:tblPrEx>
          <w:tblCellMar>
            <w:top w:w="0" w:type="dxa"/>
            <w:left w:w="108" w:type="dxa"/>
            <w:bottom w:w="0" w:type="dxa"/>
            <w:right w:w="108" w:type="dxa"/>
          </w:tblCellMar>
        </w:tblPrEx>
        <w:trPr>
          <w:trHeight w:val="270" w:hRule="atLeast"/>
        </w:trPr>
        <w:tc>
          <w:tcPr>
            <w:tcW w:w="1165" w:type="dxa"/>
            <w:vMerge w:val="continue"/>
            <w:tcBorders>
              <w:left w:val="single" w:color="auto" w:sz="4" w:space="0"/>
              <w:bottom w:val="single" w:color="auto" w:sz="4" w:space="0"/>
              <w:right w:val="single" w:color="auto" w:sz="4" w:space="0"/>
            </w:tcBorders>
            <w:vAlign w:val="center"/>
          </w:tcPr>
          <w:p w14:paraId="0D70958D">
            <w:pPr>
              <w:widowControl/>
              <w:adjustRightInd w:val="0"/>
              <w:snapToGrid w:val="0"/>
              <w:spacing w:line="240" w:lineRule="exact"/>
              <w:jc w:val="center"/>
              <w:rPr>
                <w:rFonts w:ascii="宋体" w:hAnsi="宋体" w:cs="宋体"/>
                <w:color w:val="000000"/>
                <w:kern w:val="0"/>
                <w:sz w:val="18"/>
                <w:szCs w:val="18"/>
              </w:rPr>
            </w:pPr>
          </w:p>
        </w:tc>
        <w:tc>
          <w:tcPr>
            <w:tcW w:w="1304" w:type="dxa"/>
            <w:vMerge w:val="continue"/>
            <w:tcBorders>
              <w:left w:val="nil"/>
              <w:bottom w:val="single" w:color="auto" w:sz="4" w:space="0"/>
              <w:right w:val="single" w:color="auto" w:sz="4" w:space="0"/>
            </w:tcBorders>
            <w:noWrap/>
            <w:vAlign w:val="center"/>
          </w:tcPr>
          <w:p w14:paraId="36E64CBE">
            <w:pPr>
              <w:widowControl/>
              <w:spacing w:line="240" w:lineRule="exact"/>
              <w:jc w:val="center"/>
              <w:rPr>
                <w:rFonts w:ascii="宋体" w:hAnsi="宋体" w:cs="宋体"/>
                <w:color w:val="000000"/>
                <w:kern w:val="0"/>
                <w:sz w:val="18"/>
                <w:szCs w:val="18"/>
              </w:rPr>
            </w:pPr>
          </w:p>
        </w:tc>
        <w:tc>
          <w:tcPr>
            <w:tcW w:w="5296" w:type="dxa"/>
            <w:tcBorders>
              <w:top w:val="nil"/>
              <w:left w:val="nil"/>
              <w:bottom w:val="single" w:color="auto" w:sz="4" w:space="0"/>
              <w:right w:val="single" w:color="auto" w:sz="4" w:space="0"/>
            </w:tcBorders>
            <w:noWrap/>
            <w:vAlign w:val="center"/>
          </w:tcPr>
          <w:p w14:paraId="66C24A43">
            <w:pPr>
              <w:widowControl/>
              <w:adjustRightInd w:val="0"/>
              <w:snapToGrid w:val="0"/>
              <w:spacing w:line="240" w:lineRule="exact"/>
              <w:rPr>
                <w:rFonts w:ascii="宋体" w:hAnsi="宋体" w:cs="宋体"/>
                <w:color w:val="000000"/>
                <w:kern w:val="0"/>
                <w:sz w:val="18"/>
                <w:szCs w:val="18"/>
              </w:rPr>
            </w:pPr>
            <w:r>
              <w:rPr>
                <w:rFonts w:hint="eastAsia" w:ascii="宋体" w:hAnsi="宋体" w:cs="宋体"/>
                <w:color w:val="000000"/>
                <w:kern w:val="0"/>
                <w:sz w:val="18"/>
                <w:szCs w:val="18"/>
              </w:rPr>
              <w:t>是否兼顾了政策的协调性、连续性、稳定性</w:t>
            </w:r>
          </w:p>
        </w:tc>
        <w:tc>
          <w:tcPr>
            <w:tcW w:w="1028" w:type="dxa"/>
            <w:tcBorders>
              <w:top w:val="nil"/>
              <w:left w:val="nil"/>
              <w:bottom w:val="single" w:color="auto" w:sz="4" w:space="0"/>
              <w:right w:val="single" w:color="auto" w:sz="4" w:space="0"/>
            </w:tcBorders>
            <w:noWrap/>
            <w:vAlign w:val="center"/>
          </w:tcPr>
          <w:p w14:paraId="23B73033">
            <w:pPr>
              <w:widowControl/>
              <w:adjustRightInd w:val="0"/>
              <w:snapToGrid w:val="0"/>
              <w:spacing w:line="240" w:lineRule="exact"/>
              <w:jc w:val="center"/>
              <w:rPr>
                <w:rFonts w:ascii="宋体" w:hAnsi="宋体" w:eastAsia="宋体" w:cs="宋体"/>
                <w:color w:val="000000"/>
                <w:kern w:val="0"/>
                <w:sz w:val="18"/>
                <w:szCs w:val="18"/>
              </w:rPr>
            </w:pPr>
            <w:r>
              <w:rPr>
                <w:rFonts w:hint="eastAsia" w:ascii="宋体" w:hAnsi="宋体" w:cs="宋体"/>
                <w:color w:val="000000"/>
                <w:kern w:val="0"/>
                <w:sz w:val="18"/>
                <w:szCs w:val="18"/>
              </w:rPr>
              <w:t>4</w:t>
            </w:r>
          </w:p>
        </w:tc>
      </w:tr>
      <w:tr w14:paraId="714D7232">
        <w:tblPrEx>
          <w:tblCellMar>
            <w:top w:w="0" w:type="dxa"/>
            <w:left w:w="108" w:type="dxa"/>
            <w:bottom w:w="0" w:type="dxa"/>
            <w:right w:w="108" w:type="dxa"/>
          </w:tblCellMar>
        </w:tblPrEx>
        <w:trPr>
          <w:trHeight w:val="270" w:hRule="atLeast"/>
        </w:trPr>
        <w:tc>
          <w:tcPr>
            <w:tcW w:w="1165" w:type="dxa"/>
            <w:vMerge w:val="restart"/>
            <w:tcBorders>
              <w:top w:val="single" w:color="auto" w:sz="4" w:space="0"/>
              <w:left w:val="single" w:color="auto" w:sz="4" w:space="0"/>
              <w:right w:val="single" w:color="auto" w:sz="4" w:space="0"/>
            </w:tcBorders>
            <w:vAlign w:val="center"/>
          </w:tcPr>
          <w:p w14:paraId="694A5374">
            <w:pPr>
              <w:widowControl/>
              <w:adjustRightInd w:val="0"/>
              <w:snapToGrid w:val="0"/>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可行性</w:t>
            </w:r>
          </w:p>
          <w:p w14:paraId="66AAF5DC">
            <w:pPr>
              <w:widowControl/>
              <w:adjustRightInd w:val="0"/>
              <w:snapToGrid w:val="0"/>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（20分）</w:t>
            </w:r>
          </w:p>
        </w:tc>
        <w:tc>
          <w:tcPr>
            <w:tcW w:w="1304" w:type="dxa"/>
            <w:vMerge w:val="restart"/>
            <w:tcBorders>
              <w:top w:val="single" w:color="auto" w:sz="4" w:space="0"/>
              <w:left w:val="nil"/>
              <w:right w:val="single" w:color="auto" w:sz="4" w:space="0"/>
            </w:tcBorders>
            <w:noWrap/>
            <w:vAlign w:val="center"/>
          </w:tcPr>
          <w:p w14:paraId="14343D3C">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基础条件</w:t>
            </w:r>
          </w:p>
          <w:p w14:paraId="0FD9EC37">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（8分）</w:t>
            </w:r>
          </w:p>
        </w:tc>
        <w:tc>
          <w:tcPr>
            <w:tcW w:w="5296" w:type="dxa"/>
            <w:tcBorders>
              <w:top w:val="nil"/>
              <w:left w:val="nil"/>
              <w:bottom w:val="single" w:color="auto" w:sz="4" w:space="0"/>
              <w:right w:val="single" w:color="auto" w:sz="4" w:space="0"/>
            </w:tcBorders>
            <w:noWrap/>
            <w:vAlign w:val="bottom"/>
          </w:tcPr>
          <w:p w14:paraId="36687DB8">
            <w:pPr>
              <w:widowControl/>
              <w:adjustRightInd w:val="0"/>
              <w:snapToGrid w:val="0"/>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政策实施所需人力物力财力准备是否充分，有无保障</w:t>
            </w:r>
          </w:p>
        </w:tc>
        <w:tc>
          <w:tcPr>
            <w:tcW w:w="1028" w:type="dxa"/>
            <w:tcBorders>
              <w:top w:val="nil"/>
              <w:left w:val="nil"/>
              <w:bottom w:val="single" w:color="auto" w:sz="4" w:space="0"/>
              <w:right w:val="single" w:color="auto" w:sz="4" w:space="0"/>
            </w:tcBorders>
            <w:noWrap/>
            <w:vAlign w:val="bottom"/>
          </w:tcPr>
          <w:p w14:paraId="0884CAD7">
            <w:pPr>
              <w:widowControl/>
              <w:tabs>
                <w:tab w:val="left" w:pos="364"/>
              </w:tabs>
              <w:adjustRightInd w:val="0"/>
              <w:snapToGrid w:val="0"/>
              <w:spacing w:line="240" w:lineRule="exact"/>
              <w:jc w:val="left"/>
              <w:rPr>
                <w:rFonts w:ascii="宋体" w:hAnsi="宋体" w:eastAsia="宋体" w:cs="宋体"/>
                <w:color w:val="000000"/>
                <w:kern w:val="0"/>
                <w:sz w:val="18"/>
                <w:szCs w:val="18"/>
              </w:rPr>
            </w:pPr>
            <w:r>
              <w:rPr>
                <w:rFonts w:hint="eastAsia" w:ascii="宋体" w:hAnsi="宋体" w:cs="宋体"/>
                <w:color w:val="000000"/>
                <w:kern w:val="0"/>
                <w:sz w:val="18"/>
                <w:szCs w:val="18"/>
              </w:rPr>
              <w:tab/>
            </w:r>
            <w:r>
              <w:rPr>
                <w:rFonts w:hint="eastAsia" w:ascii="宋体" w:hAnsi="宋体" w:cs="宋体"/>
                <w:color w:val="000000"/>
                <w:kern w:val="0"/>
                <w:sz w:val="18"/>
                <w:szCs w:val="18"/>
              </w:rPr>
              <w:t>3</w:t>
            </w:r>
          </w:p>
        </w:tc>
      </w:tr>
      <w:tr w14:paraId="20B9898E">
        <w:tblPrEx>
          <w:tblCellMar>
            <w:top w:w="0" w:type="dxa"/>
            <w:left w:w="108" w:type="dxa"/>
            <w:bottom w:w="0" w:type="dxa"/>
            <w:right w:w="108" w:type="dxa"/>
          </w:tblCellMar>
        </w:tblPrEx>
        <w:trPr>
          <w:trHeight w:val="270" w:hRule="atLeast"/>
        </w:trPr>
        <w:tc>
          <w:tcPr>
            <w:tcW w:w="1165" w:type="dxa"/>
            <w:vMerge w:val="continue"/>
            <w:tcBorders>
              <w:left w:val="single" w:color="auto" w:sz="4" w:space="0"/>
              <w:right w:val="single" w:color="auto" w:sz="4" w:space="0"/>
            </w:tcBorders>
            <w:vAlign w:val="center"/>
          </w:tcPr>
          <w:p w14:paraId="0897241A">
            <w:pPr>
              <w:widowControl/>
              <w:adjustRightInd w:val="0"/>
              <w:snapToGrid w:val="0"/>
              <w:spacing w:line="240" w:lineRule="exact"/>
              <w:jc w:val="center"/>
              <w:rPr>
                <w:rFonts w:ascii="宋体" w:hAnsi="宋体" w:cs="宋体"/>
                <w:color w:val="000000"/>
                <w:kern w:val="0"/>
                <w:sz w:val="18"/>
                <w:szCs w:val="18"/>
              </w:rPr>
            </w:pPr>
          </w:p>
        </w:tc>
        <w:tc>
          <w:tcPr>
            <w:tcW w:w="1304" w:type="dxa"/>
            <w:vMerge w:val="continue"/>
            <w:tcBorders>
              <w:top w:val="single" w:color="auto" w:sz="4" w:space="0"/>
              <w:left w:val="nil"/>
              <w:right w:val="single" w:color="auto" w:sz="4" w:space="0"/>
            </w:tcBorders>
            <w:noWrap/>
            <w:vAlign w:val="center"/>
          </w:tcPr>
          <w:p w14:paraId="674F51FB">
            <w:pPr>
              <w:widowControl/>
              <w:spacing w:line="240" w:lineRule="exact"/>
              <w:jc w:val="center"/>
              <w:rPr>
                <w:rFonts w:ascii="宋体" w:hAnsi="宋体" w:cs="宋体"/>
                <w:color w:val="000000"/>
                <w:kern w:val="0"/>
                <w:sz w:val="18"/>
                <w:szCs w:val="18"/>
              </w:rPr>
            </w:pPr>
          </w:p>
        </w:tc>
        <w:tc>
          <w:tcPr>
            <w:tcW w:w="5296" w:type="dxa"/>
            <w:tcBorders>
              <w:top w:val="nil"/>
              <w:left w:val="nil"/>
              <w:bottom w:val="single" w:color="auto" w:sz="4" w:space="0"/>
              <w:right w:val="single" w:color="auto" w:sz="4" w:space="0"/>
            </w:tcBorders>
            <w:noWrap/>
            <w:vAlign w:val="bottom"/>
          </w:tcPr>
          <w:p w14:paraId="11A13130">
            <w:pPr>
              <w:adjustRightInd w:val="0"/>
              <w:snapToGrid w:val="0"/>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本地资源条件、地理环境能否支撑</w:t>
            </w:r>
          </w:p>
        </w:tc>
        <w:tc>
          <w:tcPr>
            <w:tcW w:w="1028" w:type="dxa"/>
            <w:tcBorders>
              <w:top w:val="nil"/>
              <w:left w:val="nil"/>
              <w:bottom w:val="single" w:color="auto" w:sz="4" w:space="0"/>
              <w:right w:val="single" w:color="auto" w:sz="4" w:space="0"/>
            </w:tcBorders>
            <w:noWrap/>
            <w:vAlign w:val="bottom"/>
          </w:tcPr>
          <w:p w14:paraId="56C704CD">
            <w:pPr>
              <w:adjustRightInd w:val="0"/>
              <w:snapToGrid w:val="0"/>
              <w:spacing w:line="240" w:lineRule="exact"/>
              <w:jc w:val="center"/>
              <w:rPr>
                <w:rFonts w:ascii="宋体" w:hAnsi="宋体" w:eastAsia="宋体" w:cs="宋体"/>
                <w:color w:val="000000"/>
                <w:kern w:val="0"/>
                <w:sz w:val="18"/>
                <w:szCs w:val="18"/>
              </w:rPr>
            </w:pPr>
            <w:r>
              <w:rPr>
                <w:rFonts w:hint="eastAsia" w:ascii="宋体" w:hAnsi="宋体" w:cs="宋体"/>
                <w:color w:val="000000"/>
                <w:kern w:val="0"/>
                <w:sz w:val="18"/>
                <w:szCs w:val="18"/>
              </w:rPr>
              <w:t>2</w:t>
            </w:r>
          </w:p>
        </w:tc>
      </w:tr>
      <w:tr w14:paraId="7288D735">
        <w:tblPrEx>
          <w:tblCellMar>
            <w:top w:w="0" w:type="dxa"/>
            <w:left w:w="108" w:type="dxa"/>
            <w:bottom w:w="0" w:type="dxa"/>
            <w:right w:w="108" w:type="dxa"/>
          </w:tblCellMar>
        </w:tblPrEx>
        <w:trPr>
          <w:trHeight w:val="270" w:hRule="atLeast"/>
        </w:trPr>
        <w:tc>
          <w:tcPr>
            <w:tcW w:w="1165" w:type="dxa"/>
            <w:vMerge w:val="continue"/>
            <w:tcBorders>
              <w:left w:val="single" w:color="auto" w:sz="4" w:space="0"/>
              <w:right w:val="single" w:color="auto" w:sz="4" w:space="0"/>
            </w:tcBorders>
            <w:vAlign w:val="center"/>
          </w:tcPr>
          <w:p w14:paraId="55036C99">
            <w:pPr>
              <w:widowControl/>
              <w:adjustRightInd w:val="0"/>
              <w:snapToGrid w:val="0"/>
              <w:spacing w:line="240" w:lineRule="exact"/>
              <w:jc w:val="center"/>
              <w:rPr>
                <w:rFonts w:ascii="宋体" w:hAnsi="宋体" w:cs="宋体"/>
                <w:color w:val="000000"/>
                <w:kern w:val="0"/>
                <w:sz w:val="18"/>
                <w:szCs w:val="18"/>
              </w:rPr>
            </w:pPr>
          </w:p>
        </w:tc>
        <w:tc>
          <w:tcPr>
            <w:tcW w:w="1304" w:type="dxa"/>
            <w:vMerge w:val="continue"/>
            <w:tcBorders>
              <w:top w:val="single" w:color="auto" w:sz="4" w:space="0"/>
              <w:left w:val="nil"/>
              <w:right w:val="single" w:color="auto" w:sz="4" w:space="0"/>
            </w:tcBorders>
            <w:noWrap/>
            <w:vAlign w:val="center"/>
          </w:tcPr>
          <w:p w14:paraId="641BC06E">
            <w:pPr>
              <w:widowControl/>
              <w:spacing w:line="240" w:lineRule="exact"/>
              <w:jc w:val="center"/>
              <w:rPr>
                <w:rFonts w:ascii="宋体" w:hAnsi="宋体" w:cs="宋体"/>
                <w:color w:val="000000"/>
                <w:kern w:val="0"/>
                <w:sz w:val="18"/>
                <w:szCs w:val="18"/>
              </w:rPr>
            </w:pPr>
          </w:p>
        </w:tc>
        <w:tc>
          <w:tcPr>
            <w:tcW w:w="5296" w:type="dxa"/>
            <w:tcBorders>
              <w:top w:val="nil"/>
              <w:left w:val="nil"/>
              <w:bottom w:val="single" w:color="auto" w:sz="4" w:space="0"/>
              <w:right w:val="single" w:color="auto" w:sz="4" w:space="0"/>
            </w:tcBorders>
            <w:noWrap/>
            <w:vAlign w:val="bottom"/>
          </w:tcPr>
          <w:p w14:paraId="1139AEFF">
            <w:pPr>
              <w:adjustRightInd w:val="0"/>
              <w:snapToGrid w:val="0"/>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依法应给予的相关补偿救济能否及时到位</w:t>
            </w:r>
          </w:p>
        </w:tc>
        <w:tc>
          <w:tcPr>
            <w:tcW w:w="1028" w:type="dxa"/>
            <w:tcBorders>
              <w:top w:val="nil"/>
              <w:left w:val="nil"/>
              <w:bottom w:val="single" w:color="auto" w:sz="4" w:space="0"/>
              <w:right w:val="single" w:color="auto" w:sz="4" w:space="0"/>
            </w:tcBorders>
            <w:noWrap/>
            <w:vAlign w:val="bottom"/>
          </w:tcPr>
          <w:p w14:paraId="195A8614">
            <w:pPr>
              <w:adjustRightInd w:val="0"/>
              <w:snapToGrid w:val="0"/>
              <w:spacing w:line="240" w:lineRule="exact"/>
              <w:jc w:val="center"/>
              <w:rPr>
                <w:rFonts w:ascii="宋体" w:hAnsi="宋体" w:eastAsia="宋体" w:cs="宋体"/>
                <w:color w:val="000000"/>
                <w:kern w:val="0"/>
                <w:sz w:val="18"/>
                <w:szCs w:val="18"/>
              </w:rPr>
            </w:pPr>
            <w:r>
              <w:rPr>
                <w:rFonts w:hint="eastAsia" w:ascii="宋体" w:hAnsi="宋体" w:cs="宋体"/>
                <w:color w:val="000000"/>
                <w:kern w:val="0"/>
                <w:sz w:val="18"/>
                <w:szCs w:val="18"/>
              </w:rPr>
              <w:t>2</w:t>
            </w:r>
          </w:p>
        </w:tc>
      </w:tr>
      <w:tr w14:paraId="0A9A0BDC">
        <w:tblPrEx>
          <w:tblCellMar>
            <w:top w:w="0" w:type="dxa"/>
            <w:left w:w="108" w:type="dxa"/>
            <w:bottom w:w="0" w:type="dxa"/>
            <w:right w:w="108" w:type="dxa"/>
          </w:tblCellMar>
        </w:tblPrEx>
        <w:trPr>
          <w:trHeight w:val="262" w:hRule="atLeast"/>
        </w:trPr>
        <w:tc>
          <w:tcPr>
            <w:tcW w:w="1165" w:type="dxa"/>
            <w:vMerge w:val="continue"/>
            <w:tcBorders>
              <w:left w:val="single" w:color="auto" w:sz="4" w:space="0"/>
              <w:right w:val="single" w:color="auto" w:sz="4" w:space="0"/>
            </w:tcBorders>
            <w:vAlign w:val="center"/>
          </w:tcPr>
          <w:p w14:paraId="6BF59C9E">
            <w:pPr>
              <w:adjustRightInd w:val="0"/>
              <w:snapToGrid w:val="0"/>
              <w:spacing w:line="240" w:lineRule="exact"/>
              <w:jc w:val="center"/>
              <w:rPr>
                <w:rFonts w:ascii="宋体" w:hAnsi="宋体" w:cs="宋体"/>
                <w:color w:val="000000"/>
                <w:kern w:val="0"/>
                <w:sz w:val="18"/>
                <w:szCs w:val="18"/>
              </w:rPr>
            </w:pPr>
          </w:p>
        </w:tc>
        <w:tc>
          <w:tcPr>
            <w:tcW w:w="1304" w:type="dxa"/>
            <w:vMerge w:val="continue"/>
            <w:tcBorders>
              <w:top w:val="single" w:color="auto" w:sz="4" w:space="0"/>
              <w:left w:val="nil"/>
              <w:bottom w:val="single" w:color="auto" w:sz="4" w:space="0"/>
              <w:right w:val="single" w:color="auto" w:sz="4" w:space="0"/>
            </w:tcBorders>
            <w:noWrap/>
            <w:vAlign w:val="center"/>
          </w:tcPr>
          <w:p w14:paraId="73BFE735">
            <w:pPr>
              <w:spacing w:line="240" w:lineRule="exact"/>
              <w:jc w:val="center"/>
              <w:rPr>
                <w:rFonts w:ascii="宋体" w:hAnsi="宋体" w:cs="宋体"/>
                <w:color w:val="000000"/>
                <w:kern w:val="0"/>
                <w:sz w:val="18"/>
                <w:szCs w:val="18"/>
              </w:rPr>
            </w:pPr>
          </w:p>
        </w:tc>
        <w:tc>
          <w:tcPr>
            <w:tcW w:w="5296" w:type="dxa"/>
            <w:tcBorders>
              <w:top w:val="nil"/>
              <w:left w:val="nil"/>
              <w:bottom w:val="single" w:color="auto" w:sz="4" w:space="0"/>
              <w:right w:val="single" w:color="auto" w:sz="4" w:space="0"/>
            </w:tcBorders>
            <w:noWrap/>
            <w:vAlign w:val="bottom"/>
          </w:tcPr>
          <w:p w14:paraId="5B24630C">
            <w:pPr>
              <w:adjustRightInd w:val="0"/>
              <w:snapToGrid w:val="0"/>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决策出台的时机是否成熟</w:t>
            </w:r>
          </w:p>
        </w:tc>
        <w:tc>
          <w:tcPr>
            <w:tcW w:w="1028" w:type="dxa"/>
            <w:tcBorders>
              <w:top w:val="nil"/>
              <w:left w:val="nil"/>
              <w:bottom w:val="single" w:color="auto" w:sz="4" w:space="0"/>
              <w:right w:val="single" w:color="auto" w:sz="4" w:space="0"/>
            </w:tcBorders>
            <w:noWrap/>
            <w:vAlign w:val="bottom"/>
          </w:tcPr>
          <w:p w14:paraId="6BCCA3FB">
            <w:pPr>
              <w:adjustRightInd w:val="0"/>
              <w:snapToGrid w:val="0"/>
              <w:spacing w:line="240" w:lineRule="exact"/>
              <w:jc w:val="center"/>
              <w:rPr>
                <w:rFonts w:ascii="宋体" w:hAnsi="宋体" w:eastAsia="宋体" w:cs="宋体"/>
                <w:color w:val="000000"/>
                <w:kern w:val="0"/>
                <w:sz w:val="18"/>
                <w:szCs w:val="18"/>
              </w:rPr>
            </w:pPr>
            <w:r>
              <w:rPr>
                <w:rFonts w:hint="eastAsia" w:ascii="宋体" w:hAnsi="宋体" w:cs="宋体"/>
                <w:color w:val="000000"/>
                <w:kern w:val="0"/>
                <w:sz w:val="18"/>
                <w:szCs w:val="18"/>
              </w:rPr>
              <w:t>1</w:t>
            </w:r>
          </w:p>
        </w:tc>
      </w:tr>
      <w:tr w14:paraId="69622CA9">
        <w:tblPrEx>
          <w:tblCellMar>
            <w:top w:w="0" w:type="dxa"/>
            <w:left w:w="108" w:type="dxa"/>
            <w:bottom w:w="0" w:type="dxa"/>
            <w:right w:w="108" w:type="dxa"/>
          </w:tblCellMar>
        </w:tblPrEx>
        <w:trPr>
          <w:trHeight w:val="262" w:hRule="atLeast"/>
        </w:trPr>
        <w:tc>
          <w:tcPr>
            <w:tcW w:w="1165" w:type="dxa"/>
            <w:vMerge w:val="continue"/>
            <w:tcBorders>
              <w:left w:val="single" w:color="auto" w:sz="4" w:space="0"/>
              <w:right w:val="single" w:color="auto" w:sz="4" w:space="0"/>
            </w:tcBorders>
            <w:vAlign w:val="center"/>
          </w:tcPr>
          <w:p w14:paraId="3D87F2B2">
            <w:pPr>
              <w:adjustRightInd w:val="0"/>
              <w:snapToGrid w:val="0"/>
              <w:spacing w:line="240" w:lineRule="exact"/>
              <w:jc w:val="center"/>
              <w:rPr>
                <w:rFonts w:ascii="宋体" w:hAnsi="宋体" w:cs="宋体"/>
                <w:color w:val="000000"/>
                <w:kern w:val="0"/>
                <w:sz w:val="18"/>
                <w:szCs w:val="18"/>
              </w:rPr>
            </w:pPr>
          </w:p>
        </w:tc>
        <w:tc>
          <w:tcPr>
            <w:tcW w:w="1304" w:type="dxa"/>
            <w:vMerge w:val="restart"/>
            <w:tcBorders>
              <w:top w:val="single" w:color="auto" w:sz="4" w:space="0"/>
              <w:left w:val="nil"/>
              <w:right w:val="single" w:color="auto" w:sz="4" w:space="0"/>
            </w:tcBorders>
            <w:noWrap/>
            <w:vAlign w:val="center"/>
          </w:tcPr>
          <w:p w14:paraId="64D24357">
            <w:pPr>
              <w:spacing w:line="240" w:lineRule="exact"/>
              <w:rPr>
                <w:color w:val="000000"/>
                <w:sz w:val="18"/>
                <w:szCs w:val="18"/>
              </w:rPr>
            </w:pPr>
          </w:p>
          <w:p w14:paraId="482EF969">
            <w:pPr>
              <w:widowControl/>
              <w:spacing w:line="240" w:lineRule="exact"/>
              <w:jc w:val="center"/>
              <w:rPr>
                <w:color w:val="000000"/>
                <w:sz w:val="18"/>
                <w:szCs w:val="18"/>
              </w:rPr>
            </w:pPr>
            <w:r>
              <w:rPr>
                <w:rFonts w:hint="eastAsia" w:ascii="宋体" w:hAnsi="宋体" w:cs="宋体"/>
                <w:color w:val="000000"/>
                <w:kern w:val="0"/>
                <w:sz w:val="18"/>
                <w:szCs w:val="18"/>
              </w:rPr>
              <w:t>人文环境（6分）</w:t>
            </w:r>
          </w:p>
        </w:tc>
        <w:tc>
          <w:tcPr>
            <w:tcW w:w="5296" w:type="dxa"/>
            <w:tcBorders>
              <w:top w:val="nil"/>
              <w:left w:val="nil"/>
              <w:bottom w:val="single" w:color="auto" w:sz="4" w:space="0"/>
              <w:right w:val="single" w:color="auto" w:sz="4" w:space="0"/>
            </w:tcBorders>
            <w:noWrap/>
            <w:vAlign w:val="bottom"/>
          </w:tcPr>
          <w:p w14:paraId="7341F6BD">
            <w:pPr>
              <w:widowControl/>
              <w:adjustRightInd w:val="0"/>
              <w:snapToGrid w:val="0"/>
              <w:spacing w:line="240" w:lineRule="exact"/>
              <w:jc w:val="left"/>
              <w:rPr>
                <w:rFonts w:ascii="宋体"/>
                <w:color w:val="000000"/>
                <w:kern w:val="0"/>
                <w:sz w:val="18"/>
                <w:szCs w:val="18"/>
              </w:rPr>
            </w:pPr>
            <w:r>
              <w:rPr>
                <w:rFonts w:hint="eastAsia" w:ascii="宋体"/>
                <w:color w:val="000000"/>
                <w:kern w:val="0"/>
                <w:sz w:val="18"/>
                <w:szCs w:val="18"/>
              </w:rPr>
              <w:t>是否得到大多数群众的理解和支持</w:t>
            </w:r>
            <w:r>
              <w:rPr>
                <w:rFonts w:hint="eastAsia" w:ascii="宋体" w:hAnsi="宋体" w:cs="宋体"/>
                <w:color w:val="000000"/>
                <w:kern w:val="0"/>
                <w:sz w:val="18"/>
                <w:szCs w:val="18"/>
              </w:rPr>
              <w:sym w:font="Wingdings" w:char="F0B5"/>
            </w:r>
          </w:p>
        </w:tc>
        <w:tc>
          <w:tcPr>
            <w:tcW w:w="1028" w:type="dxa"/>
            <w:tcBorders>
              <w:top w:val="nil"/>
              <w:left w:val="nil"/>
              <w:bottom w:val="single" w:color="auto" w:sz="4" w:space="0"/>
              <w:right w:val="single" w:color="auto" w:sz="4" w:space="0"/>
            </w:tcBorders>
            <w:noWrap/>
            <w:vAlign w:val="bottom"/>
          </w:tcPr>
          <w:p w14:paraId="3BE21255">
            <w:pPr>
              <w:widowControl/>
              <w:adjustRightInd w:val="0"/>
              <w:snapToGrid w:val="0"/>
              <w:spacing w:line="240" w:lineRule="exact"/>
              <w:jc w:val="center"/>
              <w:rPr>
                <w:rFonts w:ascii="宋体" w:eastAsia="宋体"/>
                <w:color w:val="000000"/>
                <w:kern w:val="0"/>
                <w:sz w:val="18"/>
                <w:szCs w:val="18"/>
              </w:rPr>
            </w:pPr>
            <w:r>
              <w:rPr>
                <w:rFonts w:hint="eastAsia" w:ascii="宋体"/>
                <w:color w:val="000000"/>
                <w:kern w:val="0"/>
                <w:sz w:val="18"/>
                <w:szCs w:val="18"/>
              </w:rPr>
              <w:t>2</w:t>
            </w:r>
          </w:p>
        </w:tc>
      </w:tr>
      <w:tr w14:paraId="1A88DE90">
        <w:tblPrEx>
          <w:tblCellMar>
            <w:top w:w="0" w:type="dxa"/>
            <w:left w:w="108" w:type="dxa"/>
            <w:bottom w:w="0" w:type="dxa"/>
            <w:right w:w="108" w:type="dxa"/>
          </w:tblCellMar>
        </w:tblPrEx>
        <w:trPr>
          <w:trHeight w:val="262" w:hRule="atLeast"/>
        </w:trPr>
        <w:tc>
          <w:tcPr>
            <w:tcW w:w="1165" w:type="dxa"/>
            <w:vMerge w:val="continue"/>
            <w:tcBorders>
              <w:left w:val="single" w:color="auto" w:sz="4" w:space="0"/>
              <w:right w:val="single" w:color="auto" w:sz="4" w:space="0"/>
            </w:tcBorders>
            <w:vAlign w:val="center"/>
          </w:tcPr>
          <w:p w14:paraId="652E9DE6">
            <w:pPr>
              <w:adjustRightInd w:val="0"/>
              <w:snapToGrid w:val="0"/>
              <w:spacing w:line="240" w:lineRule="exact"/>
              <w:jc w:val="center"/>
              <w:rPr>
                <w:rFonts w:ascii="宋体" w:hAnsi="宋体" w:cs="宋体"/>
                <w:color w:val="000000"/>
                <w:kern w:val="0"/>
                <w:sz w:val="18"/>
                <w:szCs w:val="18"/>
              </w:rPr>
            </w:pPr>
          </w:p>
        </w:tc>
        <w:tc>
          <w:tcPr>
            <w:tcW w:w="1304" w:type="dxa"/>
            <w:vMerge w:val="continue"/>
            <w:tcBorders>
              <w:left w:val="nil"/>
              <w:right w:val="single" w:color="auto" w:sz="4" w:space="0"/>
            </w:tcBorders>
            <w:noWrap/>
            <w:vAlign w:val="center"/>
          </w:tcPr>
          <w:p w14:paraId="4E950EF8">
            <w:pPr>
              <w:spacing w:line="240" w:lineRule="exact"/>
              <w:rPr>
                <w:color w:val="000000"/>
                <w:sz w:val="18"/>
                <w:szCs w:val="18"/>
              </w:rPr>
            </w:pPr>
          </w:p>
        </w:tc>
        <w:tc>
          <w:tcPr>
            <w:tcW w:w="5296" w:type="dxa"/>
            <w:tcBorders>
              <w:top w:val="nil"/>
              <w:left w:val="nil"/>
              <w:bottom w:val="single" w:color="auto" w:sz="4" w:space="0"/>
              <w:right w:val="single" w:color="auto" w:sz="4" w:space="0"/>
            </w:tcBorders>
            <w:noWrap/>
            <w:vAlign w:val="bottom"/>
          </w:tcPr>
          <w:p w14:paraId="183C5BCC">
            <w:pPr>
              <w:widowControl/>
              <w:adjustRightInd w:val="0"/>
              <w:snapToGrid w:val="0"/>
              <w:spacing w:line="240" w:lineRule="exact"/>
              <w:jc w:val="left"/>
              <w:rPr>
                <w:rFonts w:ascii="宋体"/>
                <w:color w:val="000000"/>
                <w:kern w:val="0"/>
                <w:sz w:val="18"/>
                <w:szCs w:val="18"/>
              </w:rPr>
            </w:pPr>
            <w:r>
              <w:rPr>
                <w:rFonts w:hint="eastAsia" w:ascii="宋体"/>
                <w:color w:val="000000"/>
                <w:kern w:val="0"/>
                <w:sz w:val="18"/>
                <w:szCs w:val="18"/>
              </w:rPr>
              <w:t>群众的合理诉求是否得到解决</w:t>
            </w:r>
          </w:p>
        </w:tc>
        <w:tc>
          <w:tcPr>
            <w:tcW w:w="1028" w:type="dxa"/>
            <w:tcBorders>
              <w:top w:val="nil"/>
              <w:left w:val="nil"/>
              <w:bottom w:val="single" w:color="auto" w:sz="4" w:space="0"/>
              <w:right w:val="single" w:color="auto" w:sz="4" w:space="0"/>
            </w:tcBorders>
            <w:noWrap/>
            <w:vAlign w:val="bottom"/>
          </w:tcPr>
          <w:p w14:paraId="1CCA9C96">
            <w:pPr>
              <w:widowControl/>
              <w:adjustRightInd w:val="0"/>
              <w:snapToGrid w:val="0"/>
              <w:spacing w:line="240" w:lineRule="exact"/>
              <w:jc w:val="center"/>
              <w:rPr>
                <w:rFonts w:ascii="宋体" w:eastAsia="宋体"/>
                <w:color w:val="000000"/>
                <w:kern w:val="0"/>
                <w:sz w:val="18"/>
                <w:szCs w:val="18"/>
              </w:rPr>
            </w:pPr>
            <w:r>
              <w:rPr>
                <w:rFonts w:hint="eastAsia" w:ascii="宋体"/>
                <w:color w:val="000000"/>
                <w:kern w:val="0"/>
                <w:sz w:val="18"/>
                <w:szCs w:val="18"/>
              </w:rPr>
              <w:t>1</w:t>
            </w:r>
          </w:p>
        </w:tc>
      </w:tr>
      <w:tr w14:paraId="19CEA94E">
        <w:tblPrEx>
          <w:tblCellMar>
            <w:top w:w="0" w:type="dxa"/>
            <w:left w:w="108" w:type="dxa"/>
            <w:bottom w:w="0" w:type="dxa"/>
            <w:right w:w="108" w:type="dxa"/>
          </w:tblCellMar>
        </w:tblPrEx>
        <w:trPr>
          <w:trHeight w:val="262" w:hRule="atLeast"/>
        </w:trPr>
        <w:tc>
          <w:tcPr>
            <w:tcW w:w="1165" w:type="dxa"/>
            <w:vMerge w:val="continue"/>
            <w:tcBorders>
              <w:left w:val="single" w:color="auto" w:sz="4" w:space="0"/>
              <w:right w:val="single" w:color="auto" w:sz="4" w:space="0"/>
            </w:tcBorders>
            <w:vAlign w:val="center"/>
          </w:tcPr>
          <w:p w14:paraId="06A7020F">
            <w:pPr>
              <w:adjustRightInd w:val="0"/>
              <w:snapToGrid w:val="0"/>
              <w:spacing w:line="240" w:lineRule="exact"/>
              <w:jc w:val="center"/>
              <w:rPr>
                <w:rFonts w:ascii="宋体" w:hAnsi="宋体" w:cs="宋体"/>
                <w:color w:val="000000"/>
                <w:kern w:val="0"/>
                <w:sz w:val="18"/>
                <w:szCs w:val="18"/>
              </w:rPr>
            </w:pPr>
          </w:p>
        </w:tc>
        <w:tc>
          <w:tcPr>
            <w:tcW w:w="1304" w:type="dxa"/>
            <w:vMerge w:val="continue"/>
            <w:tcBorders>
              <w:left w:val="nil"/>
              <w:right w:val="single" w:color="auto" w:sz="4" w:space="0"/>
            </w:tcBorders>
            <w:noWrap/>
            <w:vAlign w:val="center"/>
          </w:tcPr>
          <w:p w14:paraId="2012E7D3">
            <w:pPr>
              <w:spacing w:line="240" w:lineRule="exact"/>
              <w:rPr>
                <w:color w:val="000000"/>
                <w:sz w:val="18"/>
                <w:szCs w:val="18"/>
              </w:rPr>
            </w:pPr>
          </w:p>
        </w:tc>
        <w:tc>
          <w:tcPr>
            <w:tcW w:w="5296" w:type="dxa"/>
            <w:tcBorders>
              <w:top w:val="nil"/>
              <w:left w:val="nil"/>
              <w:bottom w:val="single" w:color="auto" w:sz="4" w:space="0"/>
              <w:right w:val="single" w:color="auto" w:sz="4" w:space="0"/>
            </w:tcBorders>
            <w:noWrap/>
            <w:vAlign w:val="bottom"/>
          </w:tcPr>
          <w:p w14:paraId="5EBE8055">
            <w:pPr>
              <w:widowControl/>
              <w:adjustRightInd w:val="0"/>
              <w:snapToGrid w:val="0"/>
              <w:spacing w:line="240" w:lineRule="exact"/>
              <w:jc w:val="left"/>
              <w:rPr>
                <w:rFonts w:ascii="宋体"/>
                <w:color w:val="000000"/>
                <w:kern w:val="0"/>
                <w:sz w:val="18"/>
                <w:szCs w:val="18"/>
              </w:rPr>
            </w:pPr>
            <w:r>
              <w:rPr>
                <w:rFonts w:hint="eastAsia" w:ascii="宋体"/>
                <w:color w:val="000000"/>
                <w:kern w:val="0"/>
                <w:sz w:val="18"/>
                <w:szCs w:val="18"/>
              </w:rPr>
              <w:t>群众反对的方式是否激烈</w:t>
            </w:r>
          </w:p>
        </w:tc>
        <w:tc>
          <w:tcPr>
            <w:tcW w:w="1028" w:type="dxa"/>
            <w:tcBorders>
              <w:top w:val="nil"/>
              <w:left w:val="nil"/>
              <w:bottom w:val="single" w:color="auto" w:sz="4" w:space="0"/>
              <w:right w:val="single" w:color="auto" w:sz="4" w:space="0"/>
            </w:tcBorders>
            <w:noWrap/>
            <w:vAlign w:val="bottom"/>
          </w:tcPr>
          <w:p w14:paraId="3E7473F3">
            <w:pPr>
              <w:widowControl/>
              <w:adjustRightInd w:val="0"/>
              <w:snapToGrid w:val="0"/>
              <w:spacing w:line="240" w:lineRule="exact"/>
              <w:jc w:val="center"/>
              <w:rPr>
                <w:rFonts w:ascii="宋体"/>
                <w:color w:val="000000"/>
                <w:kern w:val="0"/>
                <w:sz w:val="18"/>
                <w:szCs w:val="18"/>
              </w:rPr>
            </w:pPr>
            <w:r>
              <w:rPr>
                <w:rFonts w:hint="eastAsia" w:ascii="宋体"/>
                <w:color w:val="000000"/>
                <w:kern w:val="0"/>
                <w:sz w:val="18"/>
                <w:szCs w:val="18"/>
              </w:rPr>
              <w:t>1</w:t>
            </w:r>
          </w:p>
        </w:tc>
      </w:tr>
      <w:tr w14:paraId="44A0CA48">
        <w:tblPrEx>
          <w:tblCellMar>
            <w:top w:w="0" w:type="dxa"/>
            <w:left w:w="108" w:type="dxa"/>
            <w:bottom w:w="0" w:type="dxa"/>
            <w:right w:w="108" w:type="dxa"/>
          </w:tblCellMar>
        </w:tblPrEx>
        <w:trPr>
          <w:trHeight w:val="262" w:hRule="atLeast"/>
        </w:trPr>
        <w:tc>
          <w:tcPr>
            <w:tcW w:w="1165" w:type="dxa"/>
            <w:vMerge w:val="continue"/>
            <w:tcBorders>
              <w:left w:val="single" w:color="auto" w:sz="4" w:space="0"/>
              <w:right w:val="single" w:color="auto" w:sz="4" w:space="0"/>
            </w:tcBorders>
            <w:vAlign w:val="center"/>
          </w:tcPr>
          <w:p w14:paraId="1E6C2AFC">
            <w:pPr>
              <w:adjustRightInd w:val="0"/>
              <w:snapToGrid w:val="0"/>
              <w:spacing w:line="240" w:lineRule="exact"/>
              <w:jc w:val="center"/>
              <w:rPr>
                <w:rFonts w:ascii="宋体" w:hAnsi="宋体" w:cs="宋体"/>
                <w:color w:val="000000"/>
                <w:kern w:val="0"/>
                <w:sz w:val="18"/>
                <w:szCs w:val="18"/>
              </w:rPr>
            </w:pPr>
          </w:p>
        </w:tc>
        <w:tc>
          <w:tcPr>
            <w:tcW w:w="1304" w:type="dxa"/>
            <w:vMerge w:val="continue"/>
            <w:tcBorders>
              <w:left w:val="nil"/>
              <w:right w:val="single" w:color="auto" w:sz="4" w:space="0"/>
            </w:tcBorders>
            <w:noWrap/>
            <w:vAlign w:val="center"/>
          </w:tcPr>
          <w:p w14:paraId="6215C502">
            <w:pPr>
              <w:spacing w:line="240" w:lineRule="exact"/>
              <w:rPr>
                <w:color w:val="000000"/>
                <w:sz w:val="18"/>
                <w:szCs w:val="18"/>
              </w:rPr>
            </w:pPr>
          </w:p>
        </w:tc>
        <w:tc>
          <w:tcPr>
            <w:tcW w:w="5296" w:type="dxa"/>
            <w:tcBorders>
              <w:top w:val="nil"/>
              <w:left w:val="nil"/>
              <w:bottom w:val="single" w:color="auto" w:sz="4" w:space="0"/>
              <w:right w:val="single" w:color="auto" w:sz="4" w:space="0"/>
            </w:tcBorders>
            <w:noWrap/>
            <w:vAlign w:val="bottom"/>
          </w:tcPr>
          <w:p w14:paraId="7B60EF88">
            <w:pPr>
              <w:widowControl/>
              <w:adjustRightInd w:val="0"/>
              <w:snapToGrid w:val="0"/>
              <w:spacing w:line="240" w:lineRule="exact"/>
              <w:jc w:val="left"/>
              <w:rPr>
                <w:rFonts w:ascii="宋体"/>
                <w:color w:val="000000"/>
                <w:kern w:val="0"/>
                <w:sz w:val="18"/>
                <w:szCs w:val="18"/>
              </w:rPr>
            </w:pPr>
            <w:r>
              <w:rPr>
                <w:rFonts w:hint="eastAsia"/>
                <w:color w:val="000000"/>
                <w:sz w:val="18"/>
                <w:szCs w:val="18"/>
              </w:rPr>
              <w:t>是否导致相关行业、相邻地区、类似群体的攀比</w:t>
            </w:r>
          </w:p>
        </w:tc>
        <w:tc>
          <w:tcPr>
            <w:tcW w:w="1028" w:type="dxa"/>
            <w:tcBorders>
              <w:top w:val="nil"/>
              <w:left w:val="nil"/>
              <w:bottom w:val="single" w:color="auto" w:sz="4" w:space="0"/>
              <w:right w:val="single" w:color="auto" w:sz="4" w:space="0"/>
            </w:tcBorders>
            <w:noWrap/>
            <w:vAlign w:val="bottom"/>
          </w:tcPr>
          <w:p w14:paraId="0EADFCFF">
            <w:pPr>
              <w:widowControl/>
              <w:adjustRightInd w:val="0"/>
              <w:snapToGrid w:val="0"/>
              <w:spacing w:line="240" w:lineRule="exact"/>
              <w:jc w:val="center"/>
              <w:rPr>
                <w:rFonts w:ascii="宋体"/>
                <w:color w:val="000000"/>
                <w:kern w:val="0"/>
                <w:sz w:val="18"/>
                <w:szCs w:val="18"/>
              </w:rPr>
            </w:pPr>
            <w:r>
              <w:rPr>
                <w:rFonts w:hint="eastAsia" w:ascii="宋体"/>
                <w:color w:val="000000"/>
                <w:kern w:val="0"/>
                <w:sz w:val="18"/>
                <w:szCs w:val="18"/>
              </w:rPr>
              <w:t>1</w:t>
            </w:r>
          </w:p>
        </w:tc>
      </w:tr>
      <w:tr w14:paraId="64D7F5B5">
        <w:tblPrEx>
          <w:tblCellMar>
            <w:top w:w="0" w:type="dxa"/>
            <w:left w:w="108" w:type="dxa"/>
            <w:bottom w:w="0" w:type="dxa"/>
            <w:right w:w="108" w:type="dxa"/>
          </w:tblCellMar>
        </w:tblPrEx>
        <w:trPr>
          <w:trHeight w:val="262" w:hRule="atLeast"/>
        </w:trPr>
        <w:tc>
          <w:tcPr>
            <w:tcW w:w="1165" w:type="dxa"/>
            <w:vMerge w:val="continue"/>
            <w:tcBorders>
              <w:left w:val="single" w:color="auto" w:sz="4" w:space="0"/>
              <w:right w:val="single" w:color="auto" w:sz="4" w:space="0"/>
            </w:tcBorders>
            <w:vAlign w:val="center"/>
          </w:tcPr>
          <w:p w14:paraId="3554ADF2">
            <w:pPr>
              <w:adjustRightInd w:val="0"/>
              <w:snapToGrid w:val="0"/>
              <w:spacing w:line="240" w:lineRule="exact"/>
              <w:jc w:val="center"/>
              <w:rPr>
                <w:rFonts w:ascii="宋体" w:hAnsi="宋体" w:cs="宋体"/>
                <w:color w:val="000000"/>
                <w:kern w:val="0"/>
                <w:sz w:val="18"/>
                <w:szCs w:val="18"/>
              </w:rPr>
            </w:pPr>
          </w:p>
        </w:tc>
        <w:tc>
          <w:tcPr>
            <w:tcW w:w="1304" w:type="dxa"/>
            <w:vMerge w:val="continue"/>
            <w:tcBorders>
              <w:left w:val="nil"/>
              <w:bottom w:val="single" w:color="auto" w:sz="4" w:space="0"/>
              <w:right w:val="single" w:color="auto" w:sz="4" w:space="0"/>
            </w:tcBorders>
            <w:noWrap/>
            <w:vAlign w:val="center"/>
          </w:tcPr>
          <w:p w14:paraId="30ECF004">
            <w:pPr>
              <w:spacing w:line="240" w:lineRule="exact"/>
              <w:rPr>
                <w:color w:val="000000"/>
                <w:sz w:val="18"/>
                <w:szCs w:val="18"/>
              </w:rPr>
            </w:pPr>
          </w:p>
        </w:tc>
        <w:tc>
          <w:tcPr>
            <w:tcW w:w="5296" w:type="dxa"/>
            <w:tcBorders>
              <w:top w:val="nil"/>
              <w:left w:val="nil"/>
              <w:bottom w:val="single" w:color="auto" w:sz="4" w:space="0"/>
              <w:right w:val="single" w:color="auto" w:sz="4" w:space="0"/>
            </w:tcBorders>
            <w:noWrap/>
            <w:vAlign w:val="bottom"/>
          </w:tcPr>
          <w:p w14:paraId="0CDAB6A9">
            <w:pPr>
              <w:widowControl/>
              <w:adjustRightInd w:val="0"/>
              <w:snapToGrid w:val="0"/>
              <w:spacing w:line="240" w:lineRule="exact"/>
              <w:jc w:val="left"/>
              <w:rPr>
                <w:color w:val="000000"/>
                <w:sz w:val="18"/>
                <w:szCs w:val="18"/>
              </w:rPr>
            </w:pPr>
            <w:r>
              <w:rPr>
                <w:rFonts w:hint="eastAsia"/>
                <w:color w:val="000000"/>
                <w:sz w:val="18"/>
                <w:szCs w:val="18"/>
              </w:rPr>
              <w:t>是否超出大多数群众的承受能力</w:t>
            </w:r>
          </w:p>
        </w:tc>
        <w:tc>
          <w:tcPr>
            <w:tcW w:w="1028" w:type="dxa"/>
            <w:tcBorders>
              <w:top w:val="nil"/>
              <w:left w:val="nil"/>
              <w:bottom w:val="single" w:color="auto" w:sz="4" w:space="0"/>
              <w:right w:val="single" w:color="auto" w:sz="4" w:space="0"/>
            </w:tcBorders>
            <w:noWrap/>
            <w:vAlign w:val="bottom"/>
          </w:tcPr>
          <w:p w14:paraId="50A3D7EF">
            <w:pPr>
              <w:widowControl/>
              <w:adjustRightInd w:val="0"/>
              <w:snapToGrid w:val="0"/>
              <w:spacing w:line="240" w:lineRule="exact"/>
              <w:jc w:val="center"/>
              <w:rPr>
                <w:rFonts w:ascii="宋体"/>
                <w:color w:val="000000"/>
                <w:kern w:val="0"/>
                <w:sz w:val="18"/>
                <w:szCs w:val="18"/>
              </w:rPr>
            </w:pPr>
            <w:r>
              <w:rPr>
                <w:rFonts w:hint="eastAsia" w:ascii="宋体"/>
                <w:color w:val="000000"/>
                <w:kern w:val="0"/>
                <w:sz w:val="18"/>
                <w:szCs w:val="18"/>
              </w:rPr>
              <w:t>1</w:t>
            </w:r>
          </w:p>
        </w:tc>
      </w:tr>
      <w:tr w14:paraId="4BBA1AC3">
        <w:tblPrEx>
          <w:tblCellMar>
            <w:top w:w="0" w:type="dxa"/>
            <w:left w:w="108" w:type="dxa"/>
            <w:bottom w:w="0" w:type="dxa"/>
            <w:right w:w="108" w:type="dxa"/>
          </w:tblCellMar>
        </w:tblPrEx>
        <w:trPr>
          <w:trHeight w:val="349" w:hRule="atLeast"/>
        </w:trPr>
        <w:tc>
          <w:tcPr>
            <w:tcW w:w="1165" w:type="dxa"/>
            <w:vMerge w:val="continue"/>
            <w:tcBorders>
              <w:left w:val="single" w:color="auto" w:sz="4" w:space="0"/>
              <w:right w:val="single" w:color="auto" w:sz="4" w:space="0"/>
            </w:tcBorders>
            <w:vAlign w:val="center"/>
          </w:tcPr>
          <w:p w14:paraId="4887E7F9">
            <w:pPr>
              <w:adjustRightInd w:val="0"/>
              <w:snapToGrid w:val="0"/>
              <w:spacing w:line="240" w:lineRule="exact"/>
              <w:jc w:val="center"/>
              <w:rPr>
                <w:rFonts w:ascii="宋体" w:hAnsi="宋体" w:cs="宋体"/>
                <w:color w:val="000000"/>
                <w:kern w:val="0"/>
                <w:sz w:val="18"/>
                <w:szCs w:val="18"/>
              </w:rPr>
            </w:pPr>
          </w:p>
        </w:tc>
        <w:tc>
          <w:tcPr>
            <w:tcW w:w="1304" w:type="dxa"/>
            <w:vMerge w:val="restart"/>
            <w:tcBorders>
              <w:top w:val="single" w:color="auto" w:sz="4" w:space="0"/>
              <w:left w:val="nil"/>
              <w:right w:val="single" w:color="auto" w:sz="4" w:space="0"/>
            </w:tcBorders>
            <w:noWrap/>
            <w:vAlign w:val="center"/>
          </w:tcPr>
          <w:p w14:paraId="615CEE19">
            <w:pPr>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配套支持</w:t>
            </w:r>
          </w:p>
          <w:p w14:paraId="467886F3">
            <w:pPr>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（6分）</w:t>
            </w:r>
          </w:p>
        </w:tc>
        <w:tc>
          <w:tcPr>
            <w:tcW w:w="5296" w:type="dxa"/>
            <w:tcBorders>
              <w:top w:val="single" w:color="auto" w:sz="4" w:space="0"/>
              <w:left w:val="nil"/>
              <w:bottom w:val="single" w:color="auto" w:sz="4" w:space="0"/>
              <w:right w:val="single" w:color="auto" w:sz="4" w:space="0"/>
            </w:tcBorders>
            <w:noWrap/>
            <w:vAlign w:val="bottom"/>
          </w:tcPr>
          <w:p w14:paraId="34018EE2">
            <w:pPr>
              <w:widowControl/>
              <w:adjustRightInd w:val="0"/>
              <w:snapToGrid w:val="0"/>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相关配套保障措施是否能落实到位</w:t>
            </w:r>
          </w:p>
        </w:tc>
        <w:tc>
          <w:tcPr>
            <w:tcW w:w="1028" w:type="dxa"/>
            <w:tcBorders>
              <w:top w:val="single" w:color="auto" w:sz="4" w:space="0"/>
              <w:left w:val="nil"/>
              <w:bottom w:val="single" w:color="auto" w:sz="4" w:space="0"/>
              <w:right w:val="single" w:color="auto" w:sz="4" w:space="0"/>
            </w:tcBorders>
            <w:noWrap/>
            <w:vAlign w:val="bottom"/>
          </w:tcPr>
          <w:p w14:paraId="106361FF">
            <w:pPr>
              <w:widowControl/>
              <w:adjustRightInd w:val="0"/>
              <w:snapToGrid w:val="0"/>
              <w:spacing w:line="240" w:lineRule="exact"/>
              <w:jc w:val="center"/>
              <w:rPr>
                <w:rFonts w:ascii="宋体" w:hAnsi="宋体" w:eastAsia="宋体" w:cs="宋体"/>
                <w:color w:val="000000"/>
                <w:kern w:val="0"/>
                <w:sz w:val="18"/>
                <w:szCs w:val="18"/>
              </w:rPr>
            </w:pPr>
            <w:r>
              <w:rPr>
                <w:rFonts w:hint="eastAsia" w:ascii="宋体" w:hAnsi="宋体" w:cs="宋体"/>
                <w:color w:val="000000"/>
                <w:kern w:val="0"/>
                <w:sz w:val="18"/>
                <w:szCs w:val="18"/>
              </w:rPr>
              <w:t>2</w:t>
            </w:r>
          </w:p>
        </w:tc>
      </w:tr>
      <w:tr w14:paraId="6FC80A3A">
        <w:tblPrEx>
          <w:tblCellMar>
            <w:top w:w="0" w:type="dxa"/>
            <w:left w:w="108" w:type="dxa"/>
            <w:bottom w:w="0" w:type="dxa"/>
            <w:right w:w="108" w:type="dxa"/>
          </w:tblCellMar>
        </w:tblPrEx>
        <w:trPr>
          <w:trHeight w:val="237" w:hRule="atLeast"/>
        </w:trPr>
        <w:tc>
          <w:tcPr>
            <w:tcW w:w="1165" w:type="dxa"/>
            <w:vMerge w:val="continue"/>
            <w:tcBorders>
              <w:left w:val="single" w:color="auto" w:sz="4" w:space="0"/>
              <w:right w:val="single" w:color="auto" w:sz="4" w:space="0"/>
            </w:tcBorders>
            <w:vAlign w:val="center"/>
          </w:tcPr>
          <w:p w14:paraId="2AB16E44">
            <w:pPr>
              <w:adjustRightInd w:val="0"/>
              <w:snapToGrid w:val="0"/>
              <w:spacing w:line="240" w:lineRule="exact"/>
              <w:jc w:val="center"/>
              <w:rPr>
                <w:rFonts w:ascii="宋体" w:hAnsi="宋体" w:cs="宋体"/>
                <w:color w:val="000000"/>
                <w:kern w:val="0"/>
                <w:sz w:val="18"/>
                <w:szCs w:val="18"/>
              </w:rPr>
            </w:pPr>
          </w:p>
        </w:tc>
        <w:tc>
          <w:tcPr>
            <w:tcW w:w="1304" w:type="dxa"/>
            <w:vMerge w:val="continue"/>
            <w:tcBorders>
              <w:top w:val="single" w:color="auto" w:sz="4" w:space="0"/>
              <w:left w:val="nil"/>
              <w:right w:val="single" w:color="auto" w:sz="4" w:space="0"/>
            </w:tcBorders>
            <w:noWrap/>
            <w:vAlign w:val="center"/>
          </w:tcPr>
          <w:p w14:paraId="27AC9C33">
            <w:pPr>
              <w:spacing w:line="240" w:lineRule="exact"/>
              <w:jc w:val="center"/>
              <w:rPr>
                <w:rFonts w:ascii="宋体" w:hAnsi="宋体" w:cs="宋体"/>
                <w:color w:val="000000"/>
                <w:kern w:val="0"/>
                <w:sz w:val="18"/>
                <w:szCs w:val="18"/>
              </w:rPr>
            </w:pPr>
          </w:p>
        </w:tc>
        <w:tc>
          <w:tcPr>
            <w:tcW w:w="5296" w:type="dxa"/>
            <w:tcBorders>
              <w:top w:val="single" w:color="auto" w:sz="4" w:space="0"/>
              <w:left w:val="nil"/>
              <w:bottom w:val="single" w:color="auto" w:sz="4" w:space="0"/>
              <w:right w:val="single" w:color="auto" w:sz="4" w:space="0"/>
            </w:tcBorders>
            <w:noWrap/>
            <w:vAlign w:val="bottom"/>
          </w:tcPr>
          <w:p w14:paraId="4C896F1F">
            <w:pPr>
              <w:widowControl/>
              <w:adjustRightInd w:val="0"/>
              <w:snapToGrid w:val="0"/>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相关部门的协调配合能否到位</w:t>
            </w:r>
          </w:p>
        </w:tc>
        <w:tc>
          <w:tcPr>
            <w:tcW w:w="1028" w:type="dxa"/>
            <w:tcBorders>
              <w:top w:val="single" w:color="auto" w:sz="4" w:space="0"/>
              <w:left w:val="nil"/>
              <w:bottom w:val="single" w:color="auto" w:sz="4" w:space="0"/>
              <w:right w:val="single" w:color="auto" w:sz="4" w:space="0"/>
            </w:tcBorders>
            <w:noWrap/>
            <w:vAlign w:val="bottom"/>
          </w:tcPr>
          <w:p w14:paraId="702F2323">
            <w:pPr>
              <w:widowControl/>
              <w:adjustRightInd w:val="0"/>
              <w:snapToGrid w:val="0"/>
              <w:spacing w:line="240" w:lineRule="exact"/>
              <w:jc w:val="center"/>
              <w:rPr>
                <w:rFonts w:ascii="宋体" w:hAnsi="宋体" w:eastAsia="宋体" w:cs="宋体"/>
                <w:color w:val="000000"/>
                <w:kern w:val="0"/>
                <w:sz w:val="18"/>
                <w:szCs w:val="18"/>
              </w:rPr>
            </w:pPr>
            <w:r>
              <w:rPr>
                <w:rFonts w:hint="eastAsia" w:ascii="宋体" w:hAnsi="宋体" w:cs="宋体"/>
                <w:color w:val="000000"/>
                <w:kern w:val="0"/>
                <w:sz w:val="18"/>
                <w:szCs w:val="18"/>
              </w:rPr>
              <w:t>2</w:t>
            </w:r>
          </w:p>
        </w:tc>
      </w:tr>
      <w:tr w14:paraId="550746C3">
        <w:tblPrEx>
          <w:tblCellMar>
            <w:top w:w="0" w:type="dxa"/>
            <w:left w:w="108" w:type="dxa"/>
            <w:bottom w:w="0" w:type="dxa"/>
            <w:right w:w="108" w:type="dxa"/>
          </w:tblCellMar>
        </w:tblPrEx>
        <w:trPr>
          <w:trHeight w:val="270" w:hRule="atLeast"/>
        </w:trPr>
        <w:tc>
          <w:tcPr>
            <w:tcW w:w="1165" w:type="dxa"/>
            <w:vMerge w:val="continue"/>
            <w:tcBorders>
              <w:left w:val="single" w:color="auto" w:sz="4" w:space="0"/>
              <w:bottom w:val="single" w:color="auto" w:sz="4" w:space="0"/>
              <w:right w:val="single" w:color="auto" w:sz="4" w:space="0"/>
            </w:tcBorders>
            <w:vAlign w:val="center"/>
          </w:tcPr>
          <w:p w14:paraId="4A9258D2">
            <w:pPr>
              <w:widowControl/>
              <w:adjustRightInd w:val="0"/>
              <w:snapToGrid w:val="0"/>
              <w:spacing w:line="240" w:lineRule="exact"/>
              <w:jc w:val="center"/>
              <w:rPr>
                <w:rFonts w:ascii="宋体" w:hAnsi="宋体" w:cs="宋体"/>
                <w:color w:val="000000"/>
                <w:kern w:val="0"/>
                <w:sz w:val="18"/>
                <w:szCs w:val="18"/>
              </w:rPr>
            </w:pPr>
          </w:p>
        </w:tc>
        <w:tc>
          <w:tcPr>
            <w:tcW w:w="1304" w:type="dxa"/>
            <w:vMerge w:val="continue"/>
            <w:tcBorders>
              <w:top w:val="single" w:color="auto" w:sz="4" w:space="0"/>
              <w:left w:val="nil"/>
              <w:bottom w:val="single" w:color="auto" w:sz="4" w:space="0"/>
              <w:right w:val="single" w:color="auto" w:sz="4" w:space="0"/>
            </w:tcBorders>
            <w:noWrap/>
            <w:vAlign w:val="center"/>
          </w:tcPr>
          <w:p w14:paraId="5B37D47E">
            <w:pPr>
              <w:widowControl/>
              <w:spacing w:line="240" w:lineRule="exact"/>
              <w:jc w:val="center"/>
              <w:rPr>
                <w:rFonts w:ascii="宋体" w:hAnsi="宋体" w:cs="宋体"/>
                <w:color w:val="000000"/>
                <w:kern w:val="0"/>
                <w:sz w:val="18"/>
                <w:szCs w:val="18"/>
              </w:rPr>
            </w:pPr>
          </w:p>
        </w:tc>
        <w:tc>
          <w:tcPr>
            <w:tcW w:w="5296" w:type="dxa"/>
            <w:tcBorders>
              <w:top w:val="nil"/>
              <w:left w:val="nil"/>
              <w:bottom w:val="single" w:color="auto" w:sz="4" w:space="0"/>
              <w:right w:val="single" w:color="auto" w:sz="4" w:space="0"/>
            </w:tcBorders>
            <w:noWrap/>
            <w:vAlign w:val="bottom"/>
          </w:tcPr>
          <w:p w14:paraId="13F0C51C">
            <w:pPr>
              <w:adjustRightInd w:val="0"/>
              <w:snapToGrid w:val="0"/>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是否有</w:t>
            </w:r>
            <w:r>
              <w:rPr>
                <w:rFonts w:hint="eastAsia" w:ascii="宋体"/>
                <w:color w:val="000000"/>
                <w:kern w:val="0"/>
                <w:sz w:val="18"/>
                <w:szCs w:val="18"/>
              </w:rPr>
              <w:t>保障有效落实</w:t>
            </w:r>
            <w:r>
              <w:rPr>
                <w:rFonts w:hint="eastAsia" w:ascii="宋体" w:hAnsi="宋体" w:cs="宋体"/>
                <w:color w:val="000000"/>
                <w:kern w:val="0"/>
                <w:sz w:val="18"/>
                <w:szCs w:val="18"/>
              </w:rPr>
              <w:t>相应的考核奖惩措施</w:t>
            </w:r>
          </w:p>
        </w:tc>
        <w:tc>
          <w:tcPr>
            <w:tcW w:w="1028" w:type="dxa"/>
            <w:tcBorders>
              <w:top w:val="nil"/>
              <w:left w:val="nil"/>
              <w:bottom w:val="single" w:color="auto" w:sz="4" w:space="0"/>
              <w:right w:val="single" w:color="auto" w:sz="4" w:space="0"/>
            </w:tcBorders>
            <w:noWrap/>
            <w:vAlign w:val="bottom"/>
          </w:tcPr>
          <w:p w14:paraId="6A6F309C">
            <w:pPr>
              <w:adjustRightInd w:val="0"/>
              <w:snapToGrid w:val="0"/>
              <w:spacing w:line="240" w:lineRule="exact"/>
              <w:jc w:val="center"/>
              <w:rPr>
                <w:rFonts w:ascii="宋体" w:hAnsi="宋体" w:eastAsia="宋体" w:cs="宋体"/>
                <w:color w:val="000000"/>
                <w:kern w:val="0"/>
                <w:sz w:val="18"/>
                <w:szCs w:val="18"/>
              </w:rPr>
            </w:pPr>
            <w:r>
              <w:rPr>
                <w:rFonts w:hint="eastAsia" w:ascii="宋体" w:hAnsi="宋体" w:cs="宋体"/>
                <w:color w:val="000000"/>
                <w:kern w:val="0"/>
                <w:sz w:val="18"/>
                <w:szCs w:val="18"/>
              </w:rPr>
              <w:t>2</w:t>
            </w:r>
          </w:p>
        </w:tc>
      </w:tr>
      <w:tr w14:paraId="73FEEB7A">
        <w:tblPrEx>
          <w:tblCellMar>
            <w:top w:w="0" w:type="dxa"/>
            <w:left w:w="108" w:type="dxa"/>
            <w:bottom w:w="0" w:type="dxa"/>
            <w:right w:w="108" w:type="dxa"/>
          </w:tblCellMar>
        </w:tblPrEx>
        <w:trPr>
          <w:trHeight w:val="270" w:hRule="atLeast"/>
        </w:trPr>
        <w:tc>
          <w:tcPr>
            <w:tcW w:w="1165" w:type="dxa"/>
            <w:vMerge w:val="restart"/>
            <w:tcBorders>
              <w:top w:val="single" w:color="auto" w:sz="4" w:space="0"/>
              <w:left w:val="single" w:color="auto" w:sz="4" w:space="0"/>
              <w:right w:val="single" w:color="auto" w:sz="4" w:space="0"/>
            </w:tcBorders>
            <w:vAlign w:val="center"/>
          </w:tcPr>
          <w:p w14:paraId="27A4EA75">
            <w:pPr>
              <w:widowControl/>
              <w:adjustRightInd w:val="0"/>
              <w:snapToGrid w:val="0"/>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可控性</w:t>
            </w:r>
          </w:p>
          <w:p w14:paraId="2DFEA71D">
            <w:pPr>
              <w:widowControl/>
              <w:adjustRightInd w:val="0"/>
              <w:snapToGrid w:val="0"/>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（20分）</w:t>
            </w:r>
          </w:p>
        </w:tc>
        <w:tc>
          <w:tcPr>
            <w:tcW w:w="1304" w:type="dxa"/>
            <w:vMerge w:val="restart"/>
            <w:tcBorders>
              <w:top w:val="single" w:color="auto" w:sz="4" w:space="0"/>
              <w:left w:val="nil"/>
              <w:right w:val="single" w:color="auto" w:sz="4" w:space="0"/>
            </w:tcBorders>
            <w:noWrap/>
            <w:vAlign w:val="center"/>
          </w:tcPr>
          <w:p w14:paraId="7998833B">
            <w:pPr>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风险防范</w:t>
            </w:r>
          </w:p>
          <w:p w14:paraId="28846013">
            <w:pPr>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（8分）</w:t>
            </w:r>
          </w:p>
        </w:tc>
        <w:tc>
          <w:tcPr>
            <w:tcW w:w="5296" w:type="dxa"/>
            <w:tcBorders>
              <w:top w:val="nil"/>
              <w:left w:val="nil"/>
              <w:bottom w:val="single" w:color="auto" w:sz="4" w:space="0"/>
              <w:right w:val="single" w:color="auto" w:sz="4" w:space="0"/>
            </w:tcBorders>
            <w:noWrap/>
            <w:vAlign w:val="bottom"/>
          </w:tcPr>
          <w:p w14:paraId="77C484EA">
            <w:pPr>
              <w:widowControl/>
              <w:adjustRightInd w:val="0"/>
              <w:snapToGrid w:val="0"/>
              <w:spacing w:line="240" w:lineRule="exact"/>
              <w:jc w:val="left"/>
              <w:rPr>
                <w:rFonts w:ascii="宋体" w:hAnsi="宋体" w:cs="宋体"/>
                <w:color w:val="000000"/>
                <w:kern w:val="0"/>
                <w:sz w:val="18"/>
                <w:szCs w:val="18"/>
              </w:rPr>
            </w:pPr>
            <w:r>
              <w:rPr>
                <w:rFonts w:hint="eastAsia" w:ascii="宋体"/>
                <w:color w:val="000000"/>
                <w:kern w:val="0"/>
                <w:sz w:val="18"/>
                <w:szCs w:val="18"/>
              </w:rPr>
              <w:t>群众利益诉求渠道是否畅通，是否有专人受理群众投诉举报</w:t>
            </w:r>
          </w:p>
        </w:tc>
        <w:tc>
          <w:tcPr>
            <w:tcW w:w="1028" w:type="dxa"/>
            <w:tcBorders>
              <w:top w:val="nil"/>
              <w:left w:val="nil"/>
              <w:bottom w:val="single" w:color="auto" w:sz="4" w:space="0"/>
              <w:right w:val="single" w:color="auto" w:sz="4" w:space="0"/>
            </w:tcBorders>
            <w:noWrap/>
            <w:vAlign w:val="bottom"/>
          </w:tcPr>
          <w:p w14:paraId="073CAF0E">
            <w:pPr>
              <w:widowControl/>
              <w:adjustRightInd w:val="0"/>
              <w:snapToGrid w:val="0"/>
              <w:spacing w:line="240" w:lineRule="exact"/>
              <w:jc w:val="center"/>
              <w:rPr>
                <w:rFonts w:ascii="宋体" w:eastAsia="宋体"/>
                <w:color w:val="000000"/>
                <w:kern w:val="0"/>
                <w:sz w:val="18"/>
                <w:szCs w:val="18"/>
              </w:rPr>
            </w:pPr>
            <w:r>
              <w:rPr>
                <w:rFonts w:hint="eastAsia" w:ascii="宋体"/>
                <w:color w:val="000000"/>
                <w:kern w:val="0"/>
                <w:sz w:val="18"/>
                <w:szCs w:val="18"/>
              </w:rPr>
              <w:t>1</w:t>
            </w:r>
          </w:p>
        </w:tc>
      </w:tr>
      <w:tr w14:paraId="151AB50D">
        <w:tblPrEx>
          <w:tblCellMar>
            <w:top w:w="0" w:type="dxa"/>
            <w:left w:w="108" w:type="dxa"/>
            <w:bottom w:w="0" w:type="dxa"/>
            <w:right w:w="108" w:type="dxa"/>
          </w:tblCellMar>
        </w:tblPrEx>
        <w:trPr>
          <w:trHeight w:val="270" w:hRule="atLeast"/>
        </w:trPr>
        <w:tc>
          <w:tcPr>
            <w:tcW w:w="1165" w:type="dxa"/>
            <w:vMerge w:val="continue"/>
            <w:tcBorders>
              <w:top w:val="single" w:color="auto" w:sz="4" w:space="0"/>
              <w:left w:val="single" w:color="auto" w:sz="4" w:space="0"/>
              <w:right w:val="single" w:color="auto" w:sz="4" w:space="0"/>
            </w:tcBorders>
            <w:vAlign w:val="center"/>
          </w:tcPr>
          <w:p w14:paraId="195B73CB">
            <w:pPr>
              <w:widowControl/>
              <w:adjustRightInd w:val="0"/>
              <w:snapToGrid w:val="0"/>
              <w:spacing w:line="240" w:lineRule="exact"/>
              <w:jc w:val="center"/>
              <w:rPr>
                <w:rFonts w:ascii="宋体" w:hAnsi="宋体" w:cs="宋体"/>
                <w:color w:val="000000"/>
                <w:kern w:val="0"/>
                <w:sz w:val="18"/>
                <w:szCs w:val="18"/>
              </w:rPr>
            </w:pPr>
          </w:p>
        </w:tc>
        <w:tc>
          <w:tcPr>
            <w:tcW w:w="1304" w:type="dxa"/>
            <w:vMerge w:val="continue"/>
            <w:tcBorders>
              <w:top w:val="single" w:color="auto" w:sz="4" w:space="0"/>
              <w:left w:val="nil"/>
              <w:right w:val="single" w:color="auto" w:sz="4" w:space="0"/>
            </w:tcBorders>
            <w:noWrap/>
            <w:vAlign w:val="center"/>
          </w:tcPr>
          <w:p w14:paraId="65C357D0">
            <w:pPr>
              <w:spacing w:line="240" w:lineRule="exact"/>
              <w:jc w:val="center"/>
              <w:rPr>
                <w:rFonts w:ascii="宋体" w:hAnsi="宋体" w:cs="宋体"/>
                <w:color w:val="000000"/>
                <w:kern w:val="0"/>
                <w:sz w:val="18"/>
                <w:szCs w:val="18"/>
              </w:rPr>
            </w:pPr>
          </w:p>
        </w:tc>
        <w:tc>
          <w:tcPr>
            <w:tcW w:w="5296" w:type="dxa"/>
            <w:tcBorders>
              <w:top w:val="nil"/>
              <w:left w:val="nil"/>
              <w:bottom w:val="single" w:color="auto" w:sz="4" w:space="0"/>
              <w:right w:val="single" w:color="auto" w:sz="4" w:space="0"/>
            </w:tcBorders>
            <w:noWrap/>
            <w:vAlign w:val="bottom"/>
          </w:tcPr>
          <w:p w14:paraId="38945EA1">
            <w:pPr>
              <w:widowControl/>
              <w:adjustRightInd w:val="0"/>
              <w:snapToGrid w:val="0"/>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是否有风险隐患排查工作机制</w:t>
            </w:r>
          </w:p>
        </w:tc>
        <w:tc>
          <w:tcPr>
            <w:tcW w:w="1028" w:type="dxa"/>
            <w:tcBorders>
              <w:top w:val="nil"/>
              <w:left w:val="nil"/>
              <w:bottom w:val="single" w:color="auto" w:sz="4" w:space="0"/>
              <w:right w:val="single" w:color="auto" w:sz="4" w:space="0"/>
            </w:tcBorders>
            <w:noWrap/>
            <w:vAlign w:val="bottom"/>
          </w:tcPr>
          <w:p w14:paraId="31000498">
            <w:pPr>
              <w:widowControl/>
              <w:adjustRightInd w:val="0"/>
              <w:snapToGrid w:val="0"/>
              <w:spacing w:line="240" w:lineRule="exact"/>
              <w:jc w:val="center"/>
              <w:rPr>
                <w:rFonts w:ascii="宋体" w:hAnsi="宋体" w:eastAsia="宋体" w:cs="宋体"/>
                <w:color w:val="000000"/>
                <w:kern w:val="0"/>
                <w:sz w:val="18"/>
                <w:szCs w:val="18"/>
              </w:rPr>
            </w:pPr>
            <w:r>
              <w:rPr>
                <w:rFonts w:hint="eastAsia" w:ascii="宋体" w:hAnsi="宋体" w:cs="宋体"/>
                <w:color w:val="000000"/>
                <w:kern w:val="0"/>
                <w:sz w:val="18"/>
                <w:szCs w:val="18"/>
              </w:rPr>
              <w:t>1</w:t>
            </w:r>
          </w:p>
        </w:tc>
      </w:tr>
      <w:tr w14:paraId="285D6189">
        <w:tblPrEx>
          <w:tblCellMar>
            <w:top w:w="0" w:type="dxa"/>
            <w:left w:w="108" w:type="dxa"/>
            <w:bottom w:w="0" w:type="dxa"/>
            <w:right w:w="108" w:type="dxa"/>
          </w:tblCellMar>
        </w:tblPrEx>
        <w:trPr>
          <w:trHeight w:val="270" w:hRule="atLeast"/>
        </w:trPr>
        <w:tc>
          <w:tcPr>
            <w:tcW w:w="1165" w:type="dxa"/>
            <w:vMerge w:val="continue"/>
            <w:tcBorders>
              <w:left w:val="single" w:color="auto" w:sz="4" w:space="0"/>
              <w:right w:val="single" w:color="auto" w:sz="4" w:space="0"/>
            </w:tcBorders>
            <w:vAlign w:val="center"/>
          </w:tcPr>
          <w:p w14:paraId="28D44447">
            <w:pPr>
              <w:adjustRightInd w:val="0"/>
              <w:snapToGrid w:val="0"/>
              <w:spacing w:line="240" w:lineRule="exact"/>
              <w:jc w:val="center"/>
              <w:rPr>
                <w:rFonts w:ascii="宋体" w:hAnsi="宋体" w:cs="宋体"/>
                <w:color w:val="000000"/>
                <w:kern w:val="0"/>
                <w:sz w:val="18"/>
                <w:szCs w:val="18"/>
              </w:rPr>
            </w:pPr>
          </w:p>
        </w:tc>
        <w:tc>
          <w:tcPr>
            <w:tcW w:w="1304" w:type="dxa"/>
            <w:vMerge w:val="continue"/>
            <w:tcBorders>
              <w:top w:val="single" w:color="auto" w:sz="4" w:space="0"/>
              <w:left w:val="nil"/>
              <w:right w:val="single" w:color="auto" w:sz="4" w:space="0"/>
            </w:tcBorders>
            <w:noWrap/>
            <w:vAlign w:val="center"/>
          </w:tcPr>
          <w:p w14:paraId="29B1DA9F">
            <w:pPr>
              <w:spacing w:line="240" w:lineRule="exact"/>
              <w:jc w:val="center"/>
              <w:rPr>
                <w:rFonts w:ascii="宋体" w:hAnsi="宋体" w:cs="宋体"/>
                <w:color w:val="000000"/>
                <w:kern w:val="0"/>
                <w:sz w:val="18"/>
                <w:szCs w:val="18"/>
              </w:rPr>
            </w:pPr>
          </w:p>
        </w:tc>
        <w:tc>
          <w:tcPr>
            <w:tcW w:w="5296" w:type="dxa"/>
            <w:tcBorders>
              <w:top w:val="nil"/>
              <w:left w:val="nil"/>
              <w:bottom w:val="single" w:color="auto" w:sz="4" w:space="0"/>
              <w:right w:val="single" w:color="auto" w:sz="4" w:space="0"/>
            </w:tcBorders>
            <w:noWrap/>
            <w:vAlign w:val="bottom"/>
          </w:tcPr>
          <w:p w14:paraId="54983F3F">
            <w:pPr>
              <w:widowControl/>
              <w:adjustRightInd w:val="0"/>
              <w:snapToGrid w:val="0"/>
              <w:spacing w:line="240" w:lineRule="exact"/>
              <w:jc w:val="left"/>
              <w:rPr>
                <w:rFonts w:ascii="宋体" w:hAnsi="宋体" w:cs="宋体"/>
                <w:color w:val="000000"/>
                <w:kern w:val="0"/>
                <w:sz w:val="18"/>
                <w:szCs w:val="18"/>
              </w:rPr>
            </w:pPr>
            <w:r>
              <w:rPr>
                <w:rFonts w:hint="eastAsia" w:ascii="宋体"/>
                <w:color w:val="000000"/>
                <w:kern w:val="0"/>
                <w:sz w:val="18"/>
                <w:szCs w:val="18"/>
              </w:rPr>
              <w:t>是否建立风险隐患工作台账、做到底数清</w:t>
            </w:r>
          </w:p>
        </w:tc>
        <w:tc>
          <w:tcPr>
            <w:tcW w:w="1028" w:type="dxa"/>
            <w:tcBorders>
              <w:top w:val="nil"/>
              <w:left w:val="nil"/>
              <w:bottom w:val="single" w:color="auto" w:sz="4" w:space="0"/>
              <w:right w:val="single" w:color="auto" w:sz="4" w:space="0"/>
            </w:tcBorders>
            <w:noWrap/>
            <w:vAlign w:val="bottom"/>
          </w:tcPr>
          <w:p w14:paraId="11C88295">
            <w:pPr>
              <w:widowControl/>
              <w:adjustRightInd w:val="0"/>
              <w:snapToGrid w:val="0"/>
              <w:spacing w:line="240" w:lineRule="exact"/>
              <w:jc w:val="center"/>
              <w:rPr>
                <w:rFonts w:ascii="宋体" w:eastAsia="宋体"/>
                <w:color w:val="000000"/>
                <w:kern w:val="0"/>
                <w:sz w:val="18"/>
                <w:szCs w:val="18"/>
              </w:rPr>
            </w:pPr>
            <w:r>
              <w:rPr>
                <w:rFonts w:hint="eastAsia" w:ascii="宋体"/>
                <w:color w:val="000000"/>
                <w:kern w:val="0"/>
                <w:sz w:val="18"/>
                <w:szCs w:val="18"/>
              </w:rPr>
              <w:t>1</w:t>
            </w:r>
          </w:p>
        </w:tc>
      </w:tr>
      <w:tr w14:paraId="6F75EF4F">
        <w:tblPrEx>
          <w:tblCellMar>
            <w:top w:w="0" w:type="dxa"/>
            <w:left w:w="108" w:type="dxa"/>
            <w:bottom w:w="0" w:type="dxa"/>
            <w:right w:w="108" w:type="dxa"/>
          </w:tblCellMar>
        </w:tblPrEx>
        <w:trPr>
          <w:trHeight w:val="270" w:hRule="atLeast"/>
        </w:trPr>
        <w:tc>
          <w:tcPr>
            <w:tcW w:w="1165" w:type="dxa"/>
            <w:vMerge w:val="continue"/>
            <w:tcBorders>
              <w:left w:val="single" w:color="auto" w:sz="4" w:space="0"/>
              <w:right w:val="single" w:color="auto" w:sz="4" w:space="0"/>
            </w:tcBorders>
            <w:vAlign w:val="center"/>
          </w:tcPr>
          <w:p w14:paraId="636CD759">
            <w:pPr>
              <w:adjustRightInd w:val="0"/>
              <w:snapToGrid w:val="0"/>
              <w:spacing w:line="240" w:lineRule="exact"/>
              <w:jc w:val="center"/>
              <w:rPr>
                <w:rFonts w:ascii="宋体" w:hAnsi="宋体" w:cs="宋体"/>
                <w:color w:val="000000"/>
                <w:kern w:val="0"/>
                <w:sz w:val="18"/>
                <w:szCs w:val="18"/>
              </w:rPr>
            </w:pPr>
          </w:p>
        </w:tc>
        <w:tc>
          <w:tcPr>
            <w:tcW w:w="1304" w:type="dxa"/>
            <w:vMerge w:val="continue"/>
            <w:tcBorders>
              <w:top w:val="single" w:color="auto" w:sz="4" w:space="0"/>
              <w:left w:val="nil"/>
              <w:right w:val="single" w:color="auto" w:sz="4" w:space="0"/>
            </w:tcBorders>
            <w:noWrap/>
            <w:vAlign w:val="bottom"/>
          </w:tcPr>
          <w:p w14:paraId="2370091F">
            <w:pPr>
              <w:spacing w:line="240" w:lineRule="exact"/>
              <w:jc w:val="left"/>
              <w:rPr>
                <w:rFonts w:ascii="宋体" w:hAnsi="宋体" w:cs="宋体"/>
                <w:color w:val="000000"/>
                <w:kern w:val="0"/>
                <w:sz w:val="18"/>
                <w:szCs w:val="18"/>
              </w:rPr>
            </w:pPr>
          </w:p>
        </w:tc>
        <w:tc>
          <w:tcPr>
            <w:tcW w:w="5296" w:type="dxa"/>
            <w:tcBorders>
              <w:top w:val="nil"/>
              <w:left w:val="nil"/>
              <w:bottom w:val="single" w:color="auto" w:sz="4" w:space="0"/>
              <w:right w:val="single" w:color="auto" w:sz="4" w:space="0"/>
            </w:tcBorders>
            <w:noWrap/>
            <w:vAlign w:val="bottom"/>
          </w:tcPr>
          <w:p w14:paraId="0CC9FAD4">
            <w:pPr>
              <w:widowControl/>
              <w:adjustRightInd w:val="0"/>
              <w:snapToGrid w:val="0"/>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风险防范化解措施是否详实完整</w:t>
            </w:r>
          </w:p>
        </w:tc>
        <w:tc>
          <w:tcPr>
            <w:tcW w:w="1028" w:type="dxa"/>
            <w:tcBorders>
              <w:top w:val="nil"/>
              <w:left w:val="nil"/>
              <w:bottom w:val="single" w:color="auto" w:sz="4" w:space="0"/>
              <w:right w:val="single" w:color="auto" w:sz="4" w:space="0"/>
            </w:tcBorders>
            <w:noWrap/>
            <w:vAlign w:val="bottom"/>
          </w:tcPr>
          <w:p w14:paraId="414199E4">
            <w:pPr>
              <w:widowControl/>
              <w:adjustRightInd w:val="0"/>
              <w:snapToGrid w:val="0"/>
              <w:spacing w:line="240" w:lineRule="exact"/>
              <w:jc w:val="center"/>
              <w:rPr>
                <w:rFonts w:ascii="宋体" w:hAnsi="宋体" w:eastAsia="宋体" w:cs="宋体"/>
                <w:color w:val="000000"/>
                <w:kern w:val="0"/>
                <w:sz w:val="18"/>
                <w:szCs w:val="18"/>
              </w:rPr>
            </w:pPr>
            <w:r>
              <w:rPr>
                <w:rFonts w:hint="eastAsia" w:ascii="宋体" w:hAnsi="宋体" w:cs="宋体"/>
                <w:color w:val="000000"/>
                <w:kern w:val="0"/>
                <w:sz w:val="18"/>
                <w:szCs w:val="18"/>
              </w:rPr>
              <w:t>2</w:t>
            </w:r>
          </w:p>
        </w:tc>
      </w:tr>
      <w:tr w14:paraId="11ACA7F9">
        <w:tblPrEx>
          <w:tblCellMar>
            <w:top w:w="0" w:type="dxa"/>
            <w:left w:w="108" w:type="dxa"/>
            <w:bottom w:w="0" w:type="dxa"/>
            <w:right w:w="108" w:type="dxa"/>
          </w:tblCellMar>
        </w:tblPrEx>
        <w:trPr>
          <w:trHeight w:val="270" w:hRule="atLeast"/>
        </w:trPr>
        <w:tc>
          <w:tcPr>
            <w:tcW w:w="1165" w:type="dxa"/>
            <w:vMerge w:val="continue"/>
            <w:tcBorders>
              <w:left w:val="single" w:color="auto" w:sz="4" w:space="0"/>
              <w:right w:val="single" w:color="auto" w:sz="4" w:space="0"/>
            </w:tcBorders>
            <w:vAlign w:val="center"/>
          </w:tcPr>
          <w:p w14:paraId="62766AA2">
            <w:pPr>
              <w:adjustRightInd w:val="0"/>
              <w:snapToGrid w:val="0"/>
              <w:spacing w:line="240" w:lineRule="exact"/>
              <w:jc w:val="center"/>
              <w:rPr>
                <w:rFonts w:ascii="宋体" w:hAnsi="宋体" w:cs="宋体"/>
                <w:color w:val="000000"/>
                <w:kern w:val="0"/>
                <w:sz w:val="18"/>
                <w:szCs w:val="18"/>
              </w:rPr>
            </w:pPr>
          </w:p>
        </w:tc>
        <w:tc>
          <w:tcPr>
            <w:tcW w:w="1304" w:type="dxa"/>
            <w:vMerge w:val="continue"/>
            <w:tcBorders>
              <w:top w:val="single" w:color="auto" w:sz="4" w:space="0"/>
              <w:left w:val="nil"/>
              <w:right w:val="single" w:color="auto" w:sz="4" w:space="0"/>
            </w:tcBorders>
            <w:noWrap/>
            <w:vAlign w:val="bottom"/>
          </w:tcPr>
          <w:p w14:paraId="2DC47AB0">
            <w:pPr>
              <w:spacing w:line="240" w:lineRule="exact"/>
              <w:jc w:val="left"/>
              <w:rPr>
                <w:rFonts w:ascii="宋体" w:hAnsi="宋体" w:cs="宋体"/>
                <w:color w:val="000000"/>
                <w:kern w:val="0"/>
                <w:sz w:val="18"/>
                <w:szCs w:val="18"/>
              </w:rPr>
            </w:pPr>
          </w:p>
        </w:tc>
        <w:tc>
          <w:tcPr>
            <w:tcW w:w="5296" w:type="dxa"/>
            <w:tcBorders>
              <w:top w:val="nil"/>
              <w:left w:val="nil"/>
              <w:bottom w:val="single" w:color="auto" w:sz="4" w:space="0"/>
              <w:right w:val="single" w:color="auto" w:sz="4" w:space="0"/>
            </w:tcBorders>
            <w:noWrap/>
            <w:vAlign w:val="bottom"/>
          </w:tcPr>
          <w:p w14:paraId="5CDD1674">
            <w:pPr>
              <w:widowControl/>
              <w:adjustRightInd w:val="0"/>
              <w:snapToGrid w:val="0"/>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风险防范化解责任是否落实到人</w:t>
            </w:r>
          </w:p>
        </w:tc>
        <w:tc>
          <w:tcPr>
            <w:tcW w:w="1028" w:type="dxa"/>
            <w:tcBorders>
              <w:top w:val="nil"/>
              <w:left w:val="nil"/>
              <w:bottom w:val="single" w:color="auto" w:sz="4" w:space="0"/>
              <w:right w:val="single" w:color="auto" w:sz="4" w:space="0"/>
            </w:tcBorders>
            <w:noWrap/>
            <w:vAlign w:val="bottom"/>
          </w:tcPr>
          <w:p w14:paraId="249A7990">
            <w:pPr>
              <w:widowControl/>
              <w:adjustRightInd w:val="0"/>
              <w:snapToGrid w:val="0"/>
              <w:spacing w:line="240" w:lineRule="exact"/>
              <w:jc w:val="center"/>
              <w:rPr>
                <w:rFonts w:ascii="宋体" w:hAnsi="宋体" w:eastAsia="宋体" w:cs="宋体"/>
                <w:color w:val="000000"/>
                <w:kern w:val="0"/>
                <w:sz w:val="18"/>
                <w:szCs w:val="18"/>
              </w:rPr>
            </w:pPr>
            <w:r>
              <w:rPr>
                <w:rFonts w:hint="eastAsia" w:ascii="宋体" w:hAnsi="宋体" w:cs="宋体"/>
                <w:color w:val="000000"/>
                <w:kern w:val="0"/>
                <w:sz w:val="18"/>
                <w:szCs w:val="18"/>
              </w:rPr>
              <w:t>2</w:t>
            </w:r>
          </w:p>
        </w:tc>
      </w:tr>
      <w:tr w14:paraId="52EF003D">
        <w:tblPrEx>
          <w:tblCellMar>
            <w:top w:w="0" w:type="dxa"/>
            <w:left w:w="108" w:type="dxa"/>
            <w:bottom w:w="0" w:type="dxa"/>
            <w:right w:w="108" w:type="dxa"/>
          </w:tblCellMar>
        </w:tblPrEx>
        <w:trPr>
          <w:trHeight w:val="270" w:hRule="atLeast"/>
        </w:trPr>
        <w:tc>
          <w:tcPr>
            <w:tcW w:w="1165" w:type="dxa"/>
            <w:vMerge w:val="continue"/>
            <w:tcBorders>
              <w:left w:val="single" w:color="auto" w:sz="4" w:space="0"/>
              <w:right w:val="single" w:color="auto" w:sz="4" w:space="0"/>
            </w:tcBorders>
            <w:vAlign w:val="center"/>
          </w:tcPr>
          <w:p w14:paraId="06A6F7FA">
            <w:pPr>
              <w:adjustRightInd w:val="0"/>
              <w:snapToGrid w:val="0"/>
              <w:spacing w:line="240" w:lineRule="exact"/>
              <w:jc w:val="center"/>
              <w:rPr>
                <w:rFonts w:ascii="宋体" w:hAnsi="宋体" w:cs="宋体"/>
                <w:color w:val="000000"/>
                <w:kern w:val="0"/>
                <w:sz w:val="18"/>
                <w:szCs w:val="18"/>
              </w:rPr>
            </w:pPr>
          </w:p>
        </w:tc>
        <w:tc>
          <w:tcPr>
            <w:tcW w:w="1304" w:type="dxa"/>
            <w:vMerge w:val="continue"/>
            <w:tcBorders>
              <w:top w:val="single" w:color="auto" w:sz="4" w:space="0"/>
              <w:left w:val="nil"/>
              <w:bottom w:val="single" w:color="auto" w:sz="4" w:space="0"/>
              <w:right w:val="single" w:color="auto" w:sz="4" w:space="0"/>
            </w:tcBorders>
            <w:noWrap/>
          </w:tcPr>
          <w:p w14:paraId="6D3E986D">
            <w:pPr>
              <w:widowControl/>
              <w:spacing w:line="240" w:lineRule="exact"/>
              <w:jc w:val="center"/>
              <w:rPr>
                <w:rFonts w:ascii="宋体" w:hAnsi="宋体" w:cs="宋体"/>
                <w:color w:val="000000"/>
                <w:kern w:val="0"/>
                <w:sz w:val="18"/>
                <w:szCs w:val="18"/>
              </w:rPr>
            </w:pPr>
          </w:p>
        </w:tc>
        <w:tc>
          <w:tcPr>
            <w:tcW w:w="5296" w:type="dxa"/>
            <w:tcBorders>
              <w:top w:val="nil"/>
              <w:left w:val="nil"/>
              <w:bottom w:val="single" w:color="auto" w:sz="4" w:space="0"/>
              <w:right w:val="single" w:color="auto" w:sz="4" w:space="0"/>
            </w:tcBorders>
            <w:noWrap/>
            <w:vAlign w:val="bottom"/>
          </w:tcPr>
          <w:p w14:paraId="63FD8E20">
            <w:pPr>
              <w:widowControl/>
              <w:adjustRightInd w:val="0"/>
              <w:snapToGrid w:val="0"/>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地区、行业负面联动影响是否可控</w:t>
            </w:r>
          </w:p>
        </w:tc>
        <w:tc>
          <w:tcPr>
            <w:tcW w:w="1028" w:type="dxa"/>
            <w:tcBorders>
              <w:top w:val="nil"/>
              <w:left w:val="nil"/>
              <w:bottom w:val="single" w:color="auto" w:sz="4" w:space="0"/>
              <w:right w:val="single" w:color="auto" w:sz="4" w:space="0"/>
            </w:tcBorders>
            <w:noWrap/>
            <w:vAlign w:val="bottom"/>
          </w:tcPr>
          <w:p w14:paraId="5FE58B46">
            <w:pPr>
              <w:widowControl/>
              <w:adjustRightInd w:val="0"/>
              <w:snapToGrid w:val="0"/>
              <w:spacing w:line="240" w:lineRule="exact"/>
              <w:jc w:val="center"/>
              <w:rPr>
                <w:rFonts w:ascii="宋体" w:hAnsi="宋体" w:eastAsia="宋体" w:cs="宋体"/>
                <w:color w:val="000000"/>
                <w:kern w:val="0"/>
                <w:sz w:val="18"/>
                <w:szCs w:val="18"/>
              </w:rPr>
            </w:pPr>
            <w:r>
              <w:rPr>
                <w:rFonts w:hint="eastAsia" w:ascii="宋体" w:hAnsi="宋体" w:cs="宋体"/>
                <w:color w:val="000000"/>
                <w:kern w:val="0"/>
                <w:sz w:val="18"/>
                <w:szCs w:val="18"/>
              </w:rPr>
              <w:t>1</w:t>
            </w:r>
          </w:p>
        </w:tc>
      </w:tr>
      <w:tr w14:paraId="371DFCC7">
        <w:tblPrEx>
          <w:tblCellMar>
            <w:top w:w="0" w:type="dxa"/>
            <w:left w:w="108" w:type="dxa"/>
            <w:bottom w:w="0" w:type="dxa"/>
            <w:right w:w="108" w:type="dxa"/>
          </w:tblCellMar>
        </w:tblPrEx>
        <w:trPr>
          <w:trHeight w:val="270" w:hRule="atLeast"/>
        </w:trPr>
        <w:tc>
          <w:tcPr>
            <w:tcW w:w="1165" w:type="dxa"/>
            <w:vMerge w:val="continue"/>
            <w:tcBorders>
              <w:left w:val="single" w:color="auto" w:sz="4" w:space="0"/>
              <w:right w:val="single" w:color="auto" w:sz="4" w:space="0"/>
            </w:tcBorders>
            <w:vAlign w:val="center"/>
          </w:tcPr>
          <w:p w14:paraId="2062C197">
            <w:pPr>
              <w:adjustRightInd w:val="0"/>
              <w:snapToGrid w:val="0"/>
              <w:spacing w:line="240" w:lineRule="exact"/>
              <w:jc w:val="center"/>
              <w:rPr>
                <w:rFonts w:ascii="宋体" w:hAnsi="宋体" w:cs="宋体"/>
                <w:color w:val="000000"/>
                <w:kern w:val="0"/>
                <w:sz w:val="18"/>
                <w:szCs w:val="18"/>
              </w:rPr>
            </w:pPr>
          </w:p>
        </w:tc>
        <w:tc>
          <w:tcPr>
            <w:tcW w:w="1304" w:type="dxa"/>
            <w:vMerge w:val="restart"/>
            <w:tcBorders>
              <w:top w:val="single" w:color="auto" w:sz="4" w:space="0"/>
              <w:left w:val="nil"/>
              <w:right w:val="single" w:color="auto" w:sz="4" w:space="0"/>
            </w:tcBorders>
            <w:noWrap/>
            <w:vAlign w:val="center"/>
          </w:tcPr>
          <w:p w14:paraId="4508A3E7">
            <w:pPr>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舆情引导</w:t>
            </w:r>
          </w:p>
          <w:p w14:paraId="7B6C6D36">
            <w:pPr>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（6分）</w:t>
            </w:r>
          </w:p>
        </w:tc>
        <w:tc>
          <w:tcPr>
            <w:tcW w:w="5296" w:type="dxa"/>
            <w:tcBorders>
              <w:top w:val="nil"/>
              <w:left w:val="nil"/>
              <w:bottom w:val="single" w:color="auto" w:sz="4" w:space="0"/>
              <w:right w:val="single" w:color="auto" w:sz="4" w:space="0"/>
            </w:tcBorders>
            <w:noWrap/>
            <w:vAlign w:val="bottom"/>
          </w:tcPr>
          <w:p w14:paraId="47AB2F1D">
            <w:pPr>
              <w:widowControl/>
              <w:adjustRightInd w:val="0"/>
              <w:snapToGrid w:val="0"/>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政策宣传解释是否到位</w:t>
            </w:r>
          </w:p>
        </w:tc>
        <w:tc>
          <w:tcPr>
            <w:tcW w:w="1028" w:type="dxa"/>
            <w:tcBorders>
              <w:top w:val="nil"/>
              <w:left w:val="nil"/>
              <w:bottom w:val="single" w:color="auto" w:sz="4" w:space="0"/>
              <w:right w:val="single" w:color="auto" w:sz="4" w:space="0"/>
            </w:tcBorders>
            <w:noWrap/>
            <w:vAlign w:val="bottom"/>
          </w:tcPr>
          <w:p w14:paraId="3ED9F836">
            <w:pPr>
              <w:widowControl/>
              <w:adjustRightInd w:val="0"/>
              <w:snapToGrid w:val="0"/>
              <w:spacing w:line="240" w:lineRule="exact"/>
              <w:jc w:val="center"/>
              <w:rPr>
                <w:rFonts w:ascii="宋体" w:hAnsi="宋体" w:eastAsia="宋体" w:cs="宋体"/>
                <w:color w:val="000000"/>
                <w:kern w:val="0"/>
                <w:sz w:val="18"/>
                <w:szCs w:val="18"/>
              </w:rPr>
            </w:pPr>
            <w:r>
              <w:rPr>
                <w:rFonts w:hint="eastAsia" w:ascii="宋体" w:hAnsi="宋体" w:cs="宋体"/>
                <w:color w:val="000000"/>
                <w:kern w:val="0"/>
                <w:sz w:val="18"/>
                <w:szCs w:val="18"/>
              </w:rPr>
              <w:t>2</w:t>
            </w:r>
          </w:p>
        </w:tc>
      </w:tr>
      <w:tr w14:paraId="42B97A28">
        <w:tblPrEx>
          <w:tblCellMar>
            <w:top w:w="0" w:type="dxa"/>
            <w:left w:w="108" w:type="dxa"/>
            <w:bottom w:w="0" w:type="dxa"/>
            <w:right w:w="108" w:type="dxa"/>
          </w:tblCellMar>
        </w:tblPrEx>
        <w:trPr>
          <w:trHeight w:val="270" w:hRule="atLeast"/>
        </w:trPr>
        <w:tc>
          <w:tcPr>
            <w:tcW w:w="1165" w:type="dxa"/>
            <w:vMerge w:val="continue"/>
            <w:tcBorders>
              <w:left w:val="single" w:color="auto" w:sz="4" w:space="0"/>
              <w:right w:val="single" w:color="auto" w:sz="4" w:space="0"/>
            </w:tcBorders>
            <w:vAlign w:val="center"/>
          </w:tcPr>
          <w:p w14:paraId="3DFD1421">
            <w:pPr>
              <w:adjustRightInd w:val="0"/>
              <w:snapToGrid w:val="0"/>
              <w:spacing w:line="240" w:lineRule="exact"/>
              <w:jc w:val="center"/>
              <w:rPr>
                <w:rFonts w:ascii="宋体" w:hAnsi="宋体" w:cs="宋体"/>
                <w:color w:val="000000"/>
                <w:kern w:val="0"/>
                <w:sz w:val="18"/>
                <w:szCs w:val="18"/>
              </w:rPr>
            </w:pPr>
          </w:p>
        </w:tc>
        <w:tc>
          <w:tcPr>
            <w:tcW w:w="1304" w:type="dxa"/>
            <w:vMerge w:val="continue"/>
            <w:tcBorders>
              <w:top w:val="single" w:color="auto" w:sz="4" w:space="0"/>
              <w:left w:val="nil"/>
              <w:right w:val="single" w:color="auto" w:sz="4" w:space="0"/>
            </w:tcBorders>
            <w:noWrap/>
            <w:vAlign w:val="center"/>
          </w:tcPr>
          <w:p w14:paraId="42EFF910">
            <w:pPr>
              <w:spacing w:line="240" w:lineRule="exact"/>
              <w:jc w:val="center"/>
              <w:rPr>
                <w:rFonts w:ascii="宋体" w:hAnsi="宋体" w:cs="宋体"/>
                <w:color w:val="000000"/>
                <w:kern w:val="0"/>
                <w:sz w:val="18"/>
                <w:szCs w:val="18"/>
              </w:rPr>
            </w:pPr>
          </w:p>
        </w:tc>
        <w:tc>
          <w:tcPr>
            <w:tcW w:w="5296" w:type="dxa"/>
            <w:tcBorders>
              <w:top w:val="nil"/>
              <w:left w:val="nil"/>
              <w:bottom w:val="single" w:color="auto" w:sz="4" w:space="0"/>
              <w:right w:val="single" w:color="auto" w:sz="4" w:space="0"/>
            </w:tcBorders>
            <w:noWrap/>
            <w:vAlign w:val="bottom"/>
          </w:tcPr>
          <w:p w14:paraId="0306AD85">
            <w:pPr>
              <w:widowControl/>
              <w:adjustRightInd w:val="0"/>
              <w:snapToGrid w:val="0"/>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是否建立并落实“三同步”工作机制</w:t>
            </w:r>
          </w:p>
        </w:tc>
        <w:tc>
          <w:tcPr>
            <w:tcW w:w="1028" w:type="dxa"/>
            <w:tcBorders>
              <w:top w:val="nil"/>
              <w:left w:val="nil"/>
              <w:bottom w:val="single" w:color="auto" w:sz="4" w:space="0"/>
              <w:right w:val="single" w:color="auto" w:sz="4" w:space="0"/>
            </w:tcBorders>
            <w:noWrap/>
            <w:vAlign w:val="bottom"/>
          </w:tcPr>
          <w:p w14:paraId="5337CBF0">
            <w:pPr>
              <w:widowControl/>
              <w:adjustRightInd w:val="0"/>
              <w:snapToGrid w:val="0"/>
              <w:spacing w:line="240" w:lineRule="exact"/>
              <w:jc w:val="center"/>
              <w:rPr>
                <w:rFonts w:ascii="宋体" w:hAnsi="宋体" w:eastAsia="宋体" w:cs="宋体"/>
                <w:color w:val="000000"/>
                <w:kern w:val="0"/>
                <w:sz w:val="18"/>
                <w:szCs w:val="18"/>
              </w:rPr>
            </w:pPr>
            <w:r>
              <w:rPr>
                <w:rFonts w:hint="eastAsia" w:ascii="宋体" w:hAnsi="宋体" w:cs="宋体"/>
                <w:color w:val="000000"/>
                <w:kern w:val="0"/>
                <w:sz w:val="18"/>
                <w:szCs w:val="18"/>
              </w:rPr>
              <w:t>2</w:t>
            </w:r>
          </w:p>
        </w:tc>
      </w:tr>
      <w:tr w14:paraId="331A2E61">
        <w:tblPrEx>
          <w:tblCellMar>
            <w:top w:w="0" w:type="dxa"/>
            <w:left w:w="108" w:type="dxa"/>
            <w:bottom w:w="0" w:type="dxa"/>
            <w:right w:w="108" w:type="dxa"/>
          </w:tblCellMar>
        </w:tblPrEx>
        <w:trPr>
          <w:trHeight w:val="270" w:hRule="atLeast"/>
        </w:trPr>
        <w:tc>
          <w:tcPr>
            <w:tcW w:w="1165" w:type="dxa"/>
            <w:vMerge w:val="continue"/>
            <w:tcBorders>
              <w:left w:val="single" w:color="auto" w:sz="4" w:space="0"/>
              <w:right w:val="single" w:color="auto" w:sz="4" w:space="0"/>
            </w:tcBorders>
            <w:vAlign w:val="center"/>
          </w:tcPr>
          <w:p w14:paraId="25BE91F6">
            <w:pPr>
              <w:adjustRightInd w:val="0"/>
              <w:snapToGrid w:val="0"/>
              <w:spacing w:line="240" w:lineRule="exact"/>
              <w:jc w:val="center"/>
              <w:rPr>
                <w:rFonts w:ascii="宋体" w:hAnsi="宋体" w:cs="宋体"/>
                <w:color w:val="000000"/>
                <w:kern w:val="0"/>
                <w:sz w:val="18"/>
                <w:szCs w:val="18"/>
              </w:rPr>
            </w:pPr>
          </w:p>
        </w:tc>
        <w:tc>
          <w:tcPr>
            <w:tcW w:w="1304" w:type="dxa"/>
            <w:vMerge w:val="continue"/>
            <w:tcBorders>
              <w:top w:val="single" w:color="auto" w:sz="4" w:space="0"/>
              <w:left w:val="nil"/>
              <w:right w:val="single" w:color="auto" w:sz="4" w:space="0"/>
            </w:tcBorders>
            <w:noWrap/>
            <w:vAlign w:val="center"/>
          </w:tcPr>
          <w:p w14:paraId="74830B4C">
            <w:pPr>
              <w:spacing w:line="240" w:lineRule="exact"/>
              <w:jc w:val="center"/>
              <w:rPr>
                <w:rFonts w:ascii="宋体" w:hAnsi="宋体" w:cs="宋体"/>
                <w:color w:val="000000"/>
                <w:kern w:val="0"/>
                <w:sz w:val="18"/>
                <w:szCs w:val="18"/>
              </w:rPr>
            </w:pPr>
          </w:p>
        </w:tc>
        <w:tc>
          <w:tcPr>
            <w:tcW w:w="5296" w:type="dxa"/>
            <w:tcBorders>
              <w:top w:val="nil"/>
              <w:left w:val="nil"/>
              <w:bottom w:val="single" w:color="auto" w:sz="4" w:space="0"/>
              <w:right w:val="single" w:color="auto" w:sz="4" w:space="0"/>
            </w:tcBorders>
            <w:noWrap/>
            <w:vAlign w:val="bottom"/>
          </w:tcPr>
          <w:p w14:paraId="38398F09">
            <w:pPr>
              <w:widowControl/>
              <w:adjustRightInd w:val="0"/>
              <w:snapToGrid w:val="0"/>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是否与媒体建立正常的沟通渠道</w:t>
            </w:r>
          </w:p>
        </w:tc>
        <w:tc>
          <w:tcPr>
            <w:tcW w:w="1028" w:type="dxa"/>
            <w:tcBorders>
              <w:top w:val="nil"/>
              <w:left w:val="nil"/>
              <w:bottom w:val="single" w:color="auto" w:sz="4" w:space="0"/>
              <w:right w:val="single" w:color="auto" w:sz="4" w:space="0"/>
            </w:tcBorders>
            <w:noWrap/>
            <w:vAlign w:val="bottom"/>
          </w:tcPr>
          <w:p w14:paraId="24E2E5CF">
            <w:pPr>
              <w:widowControl/>
              <w:adjustRightInd w:val="0"/>
              <w:snapToGrid w:val="0"/>
              <w:spacing w:line="240" w:lineRule="exact"/>
              <w:jc w:val="center"/>
              <w:rPr>
                <w:rFonts w:ascii="宋体" w:hAnsi="宋体" w:eastAsia="宋体" w:cs="宋体"/>
                <w:color w:val="000000"/>
                <w:kern w:val="0"/>
                <w:sz w:val="18"/>
                <w:szCs w:val="18"/>
              </w:rPr>
            </w:pPr>
            <w:r>
              <w:rPr>
                <w:rFonts w:hint="eastAsia" w:ascii="宋体" w:hAnsi="宋体" w:cs="宋体"/>
                <w:color w:val="000000"/>
                <w:kern w:val="0"/>
                <w:sz w:val="18"/>
                <w:szCs w:val="18"/>
              </w:rPr>
              <w:t>1</w:t>
            </w:r>
          </w:p>
        </w:tc>
      </w:tr>
      <w:tr w14:paraId="01479A6E">
        <w:tblPrEx>
          <w:tblCellMar>
            <w:top w:w="0" w:type="dxa"/>
            <w:left w:w="108" w:type="dxa"/>
            <w:bottom w:w="0" w:type="dxa"/>
            <w:right w:w="108" w:type="dxa"/>
          </w:tblCellMar>
        </w:tblPrEx>
        <w:trPr>
          <w:trHeight w:val="270" w:hRule="atLeast"/>
        </w:trPr>
        <w:tc>
          <w:tcPr>
            <w:tcW w:w="1165" w:type="dxa"/>
            <w:vMerge w:val="continue"/>
            <w:tcBorders>
              <w:left w:val="single" w:color="auto" w:sz="4" w:space="0"/>
              <w:right w:val="single" w:color="auto" w:sz="4" w:space="0"/>
            </w:tcBorders>
            <w:vAlign w:val="center"/>
          </w:tcPr>
          <w:p w14:paraId="66A7B5F7">
            <w:pPr>
              <w:adjustRightInd w:val="0"/>
              <w:snapToGrid w:val="0"/>
              <w:spacing w:line="240" w:lineRule="exact"/>
              <w:jc w:val="center"/>
              <w:rPr>
                <w:rFonts w:ascii="宋体" w:hAnsi="宋体" w:cs="宋体"/>
                <w:color w:val="000000"/>
                <w:kern w:val="0"/>
                <w:sz w:val="18"/>
                <w:szCs w:val="18"/>
              </w:rPr>
            </w:pPr>
          </w:p>
        </w:tc>
        <w:tc>
          <w:tcPr>
            <w:tcW w:w="1304" w:type="dxa"/>
            <w:vMerge w:val="continue"/>
            <w:tcBorders>
              <w:top w:val="single" w:color="auto" w:sz="4" w:space="0"/>
              <w:left w:val="nil"/>
              <w:right w:val="single" w:color="auto" w:sz="4" w:space="0"/>
            </w:tcBorders>
            <w:noWrap/>
            <w:vAlign w:val="center"/>
          </w:tcPr>
          <w:p w14:paraId="2F83022D">
            <w:pPr>
              <w:spacing w:line="240" w:lineRule="exact"/>
              <w:jc w:val="center"/>
              <w:rPr>
                <w:rFonts w:ascii="宋体" w:hAnsi="宋体" w:cs="宋体"/>
                <w:color w:val="000000"/>
                <w:kern w:val="0"/>
                <w:sz w:val="18"/>
                <w:szCs w:val="18"/>
              </w:rPr>
            </w:pPr>
          </w:p>
        </w:tc>
        <w:tc>
          <w:tcPr>
            <w:tcW w:w="5296" w:type="dxa"/>
            <w:tcBorders>
              <w:top w:val="nil"/>
              <w:left w:val="nil"/>
              <w:bottom w:val="single" w:color="auto" w:sz="4" w:space="0"/>
              <w:right w:val="single" w:color="auto" w:sz="4" w:space="0"/>
            </w:tcBorders>
            <w:noWrap/>
            <w:vAlign w:val="bottom"/>
          </w:tcPr>
          <w:p w14:paraId="6E84A86C">
            <w:pPr>
              <w:widowControl/>
              <w:adjustRightInd w:val="0"/>
              <w:snapToGrid w:val="0"/>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有无有效管控恶意炒作等负面舆情的措施办法</w:t>
            </w:r>
          </w:p>
        </w:tc>
        <w:tc>
          <w:tcPr>
            <w:tcW w:w="1028" w:type="dxa"/>
            <w:tcBorders>
              <w:top w:val="nil"/>
              <w:left w:val="nil"/>
              <w:bottom w:val="single" w:color="auto" w:sz="4" w:space="0"/>
              <w:right w:val="single" w:color="auto" w:sz="4" w:space="0"/>
            </w:tcBorders>
            <w:noWrap/>
            <w:vAlign w:val="bottom"/>
          </w:tcPr>
          <w:p w14:paraId="659BA4FC">
            <w:pPr>
              <w:widowControl/>
              <w:adjustRightInd w:val="0"/>
              <w:snapToGrid w:val="0"/>
              <w:spacing w:line="240" w:lineRule="exact"/>
              <w:jc w:val="center"/>
              <w:rPr>
                <w:rFonts w:ascii="宋体" w:hAnsi="宋体" w:eastAsia="宋体" w:cs="宋体"/>
                <w:color w:val="000000"/>
                <w:kern w:val="0"/>
                <w:sz w:val="18"/>
                <w:szCs w:val="18"/>
              </w:rPr>
            </w:pPr>
            <w:r>
              <w:rPr>
                <w:rFonts w:hint="eastAsia" w:ascii="宋体" w:hAnsi="宋体" w:cs="宋体"/>
                <w:color w:val="000000"/>
                <w:kern w:val="0"/>
                <w:sz w:val="18"/>
                <w:szCs w:val="18"/>
              </w:rPr>
              <w:t>1</w:t>
            </w:r>
          </w:p>
        </w:tc>
      </w:tr>
      <w:tr w14:paraId="5361E844">
        <w:tblPrEx>
          <w:tblCellMar>
            <w:top w:w="0" w:type="dxa"/>
            <w:left w:w="108" w:type="dxa"/>
            <w:bottom w:w="0" w:type="dxa"/>
            <w:right w:w="108" w:type="dxa"/>
          </w:tblCellMar>
        </w:tblPrEx>
        <w:trPr>
          <w:trHeight w:val="270" w:hRule="atLeast"/>
        </w:trPr>
        <w:tc>
          <w:tcPr>
            <w:tcW w:w="1165" w:type="dxa"/>
            <w:vMerge w:val="continue"/>
            <w:tcBorders>
              <w:left w:val="single" w:color="auto" w:sz="4" w:space="0"/>
              <w:right w:val="single" w:color="auto" w:sz="4" w:space="0"/>
            </w:tcBorders>
            <w:vAlign w:val="center"/>
          </w:tcPr>
          <w:p w14:paraId="05107DFE">
            <w:pPr>
              <w:adjustRightInd w:val="0"/>
              <w:snapToGrid w:val="0"/>
              <w:spacing w:line="240" w:lineRule="exact"/>
              <w:jc w:val="center"/>
              <w:rPr>
                <w:rFonts w:ascii="宋体" w:hAnsi="宋体" w:cs="宋体"/>
                <w:color w:val="000000"/>
                <w:kern w:val="0"/>
                <w:sz w:val="18"/>
                <w:szCs w:val="18"/>
              </w:rPr>
            </w:pPr>
          </w:p>
        </w:tc>
        <w:tc>
          <w:tcPr>
            <w:tcW w:w="1304" w:type="dxa"/>
            <w:vMerge w:val="restart"/>
            <w:tcBorders>
              <w:top w:val="single" w:color="auto" w:sz="4" w:space="0"/>
              <w:left w:val="nil"/>
              <w:right w:val="single" w:color="auto" w:sz="4" w:space="0"/>
            </w:tcBorders>
            <w:noWrap/>
            <w:vAlign w:val="center"/>
          </w:tcPr>
          <w:p w14:paraId="05CBA59A">
            <w:pPr>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事件管控</w:t>
            </w:r>
          </w:p>
          <w:p w14:paraId="38638331">
            <w:pPr>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（6分）</w:t>
            </w:r>
          </w:p>
        </w:tc>
        <w:tc>
          <w:tcPr>
            <w:tcW w:w="5296" w:type="dxa"/>
            <w:tcBorders>
              <w:top w:val="nil"/>
              <w:left w:val="nil"/>
              <w:bottom w:val="single" w:color="auto" w:sz="4" w:space="0"/>
              <w:right w:val="single" w:color="auto" w:sz="4" w:space="0"/>
            </w:tcBorders>
            <w:noWrap/>
            <w:vAlign w:val="bottom"/>
          </w:tcPr>
          <w:p w14:paraId="30ACF086">
            <w:pPr>
              <w:widowControl/>
              <w:adjustRightInd w:val="0"/>
              <w:snapToGrid w:val="0"/>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有无突发事件应急处置预案</w:t>
            </w:r>
          </w:p>
        </w:tc>
        <w:tc>
          <w:tcPr>
            <w:tcW w:w="1028" w:type="dxa"/>
            <w:tcBorders>
              <w:top w:val="nil"/>
              <w:left w:val="nil"/>
              <w:bottom w:val="single" w:color="auto" w:sz="4" w:space="0"/>
              <w:right w:val="single" w:color="auto" w:sz="4" w:space="0"/>
            </w:tcBorders>
            <w:noWrap/>
            <w:vAlign w:val="bottom"/>
          </w:tcPr>
          <w:p w14:paraId="47068B8D">
            <w:pPr>
              <w:widowControl/>
              <w:adjustRightInd w:val="0"/>
              <w:snapToGrid w:val="0"/>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1</w:t>
            </w:r>
          </w:p>
        </w:tc>
      </w:tr>
      <w:tr w14:paraId="315113B5">
        <w:tblPrEx>
          <w:tblCellMar>
            <w:top w:w="0" w:type="dxa"/>
            <w:left w:w="108" w:type="dxa"/>
            <w:bottom w:w="0" w:type="dxa"/>
            <w:right w:w="108" w:type="dxa"/>
          </w:tblCellMar>
        </w:tblPrEx>
        <w:trPr>
          <w:trHeight w:val="270" w:hRule="atLeast"/>
        </w:trPr>
        <w:tc>
          <w:tcPr>
            <w:tcW w:w="1165" w:type="dxa"/>
            <w:vMerge w:val="continue"/>
            <w:tcBorders>
              <w:left w:val="single" w:color="auto" w:sz="4" w:space="0"/>
              <w:right w:val="single" w:color="auto" w:sz="4" w:space="0"/>
            </w:tcBorders>
            <w:vAlign w:val="center"/>
          </w:tcPr>
          <w:p w14:paraId="16538932">
            <w:pPr>
              <w:adjustRightInd w:val="0"/>
              <w:snapToGrid w:val="0"/>
              <w:spacing w:line="240" w:lineRule="exact"/>
              <w:jc w:val="center"/>
              <w:rPr>
                <w:rFonts w:ascii="宋体" w:hAnsi="宋体" w:cs="宋体"/>
                <w:color w:val="000000"/>
                <w:kern w:val="0"/>
                <w:sz w:val="18"/>
                <w:szCs w:val="18"/>
              </w:rPr>
            </w:pPr>
          </w:p>
        </w:tc>
        <w:tc>
          <w:tcPr>
            <w:tcW w:w="1304" w:type="dxa"/>
            <w:vMerge w:val="continue"/>
            <w:tcBorders>
              <w:left w:val="nil"/>
              <w:right w:val="single" w:color="auto" w:sz="4" w:space="0"/>
            </w:tcBorders>
            <w:noWrap/>
            <w:vAlign w:val="center"/>
          </w:tcPr>
          <w:p w14:paraId="64417764">
            <w:pPr>
              <w:spacing w:line="240" w:lineRule="exact"/>
              <w:jc w:val="center"/>
              <w:rPr>
                <w:rFonts w:ascii="宋体" w:hAnsi="宋体" w:cs="宋体"/>
                <w:color w:val="000000"/>
                <w:kern w:val="0"/>
                <w:sz w:val="18"/>
                <w:szCs w:val="18"/>
              </w:rPr>
            </w:pPr>
          </w:p>
        </w:tc>
        <w:tc>
          <w:tcPr>
            <w:tcW w:w="5296" w:type="dxa"/>
            <w:tcBorders>
              <w:top w:val="nil"/>
              <w:left w:val="nil"/>
              <w:bottom w:val="single" w:color="auto" w:sz="4" w:space="0"/>
              <w:right w:val="single" w:color="auto" w:sz="4" w:space="0"/>
            </w:tcBorders>
            <w:noWrap/>
            <w:vAlign w:val="bottom"/>
          </w:tcPr>
          <w:p w14:paraId="218929B9">
            <w:pPr>
              <w:widowControl/>
              <w:adjustRightInd w:val="0"/>
              <w:snapToGrid w:val="0"/>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有无完善的应急处置工作机制</w:t>
            </w:r>
          </w:p>
        </w:tc>
        <w:tc>
          <w:tcPr>
            <w:tcW w:w="1028" w:type="dxa"/>
            <w:tcBorders>
              <w:top w:val="nil"/>
              <w:left w:val="nil"/>
              <w:bottom w:val="single" w:color="auto" w:sz="4" w:space="0"/>
              <w:right w:val="single" w:color="auto" w:sz="4" w:space="0"/>
            </w:tcBorders>
            <w:noWrap/>
            <w:vAlign w:val="bottom"/>
          </w:tcPr>
          <w:p w14:paraId="135F642A">
            <w:pPr>
              <w:widowControl/>
              <w:adjustRightInd w:val="0"/>
              <w:snapToGrid w:val="0"/>
              <w:spacing w:line="240" w:lineRule="exact"/>
              <w:jc w:val="center"/>
              <w:rPr>
                <w:rFonts w:ascii="宋体" w:hAnsi="宋体" w:eastAsia="宋体" w:cs="宋体"/>
                <w:color w:val="000000"/>
                <w:kern w:val="0"/>
                <w:sz w:val="18"/>
                <w:szCs w:val="18"/>
              </w:rPr>
            </w:pPr>
            <w:r>
              <w:rPr>
                <w:rFonts w:hint="eastAsia" w:ascii="宋体" w:hAnsi="宋体" w:cs="宋体"/>
                <w:color w:val="000000"/>
                <w:kern w:val="0"/>
                <w:sz w:val="18"/>
                <w:szCs w:val="18"/>
              </w:rPr>
              <w:t>2</w:t>
            </w:r>
          </w:p>
        </w:tc>
      </w:tr>
      <w:tr w14:paraId="26C09A5B">
        <w:tblPrEx>
          <w:tblCellMar>
            <w:top w:w="0" w:type="dxa"/>
            <w:left w:w="108" w:type="dxa"/>
            <w:bottom w:w="0" w:type="dxa"/>
            <w:right w:w="108" w:type="dxa"/>
          </w:tblCellMar>
        </w:tblPrEx>
        <w:trPr>
          <w:trHeight w:val="270" w:hRule="atLeast"/>
        </w:trPr>
        <w:tc>
          <w:tcPr>
            <w:tcW w:w="1165" w:type="dxa"/>
            <w:vMerge w:val="continue"/>
            <w:tcBorders>
              <w:left w:val="single" w:color="auto" w:sz="4" w:space="0"/>
              <w:right w:val="single" w:color="auto" w:sz="4" w:space="0"/>
            </w:tcBorders>
            <w:vAlign w:val="center"/>
          </w:tcPr>
          <w:p w14:paraId="62AF6CE2">
            <w:pPr>
              <w:adjustRightInd w:val="0"/>
              <w:snapToGrid w:val="0"/>
              <w:spacing w:line="240" w:lineRule="exact"/>
              <w:jc w:val="center"/>
              <w:rPr>
                <w:rFonts w:ascii="宋体" w:hAnsi="宋体" w:cs="宋体"/>
                <w:color w:val="000000"/>
                <w:kern w:val="0"/>
                <w:sz w:val="18"/>
                <w:szCs w:val="18"/>
              </w:rPr>
            </w:pPr>
          </w:p>
        </w:tc>
        <w:tc>
          <w:tcPr>
            <w:tcW w:w="1304" w:type="dxa"/>
            <w:vMerge w:val="continue"/>
            <w:tcBorders>
              <w:left w:val="nil"/>
              <w:right w:val="single" w:color="auto" w:sz="4" w:space="0"/>
            </w:tcBorders>
            <w:noWrap/>
            <w:vAlign w:val="center"/>
          </w:tcPr>
          <w:p w14:paraId="3A775BC0">
            <w:pPr>
              <w:spacing w:line="240" w:lineRule="exact"/>
              <w:jc w:val="center"/>
              <w:rPr>
                <w:rFonts w:ascii="宋体" w:hAnsi="宋体" w:cs="宋体"/>
                <w:color w:val="000000"/>
                <w:kern w:val="0"/>
                <w:sz w:val="18"/>
                <w:szCs w:val="18"/>
              </w:rPr>
            </w:pPr>
          </w:p>
        </w:tc>
        <w:tc>
          <w:tcPr>
            <w:tcW w:w="5296" w:type="dxa"/>
            <w:tcBorders>
              <w:top w:val="nil"/>
              <w:left w:val="nil"/>
              <w:bottom w:val="single" w:color="auto" w:sz="4" w:space="0"/>
              <w:right w:val="single" w:color="auto" w:sz="4" w:space="0"/>
            </w:tcBorders>
            <w:noWrap/>
            <w:vAlign w:val="bottom"/>
          </w:tcPr>
          <w:p w14:paraId="3AB12438">
            <w:pPr>
              <w:widowControl/>
              <w:adjustRightInd w:val="0"/>
              <w:snapToGrid w:val="0"/>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是否会引发规模性聚集事件、群体性事件、个人极端案事件及其他严重影响社会稳定的问题</w:t>
            </w:r>
            <w:r>
              <w:rPr>
                <w:rFonts w:hint="eastAsia" w:ascii="宋体" w:hAnsi="宋体" w:cs="宋体"/>
                <w:color w:val="000000"/>
                <w:kern w:val="0"/>
                <w:sz w:val="18"/>
                <w:szCs w:val="18"/>
              </w:rPr>
              <w:sym w:font="Wingdings" w:char="F0B5"/>
            </w:r>
          </w:p>
        </w:tc>
        <w:tc>
          <w:tcPr>
            <w:tcW w:w="1028" w:type="dxa"/>
            <w:tcBorders>
              <w:top w:val="nil"/>
              <w:left w:val="nil"/>
              <w:bottom w:val="single" w:color="auto" w:sz="4" w:space="0"/>
              <w:right w:val="single" w:color="auto" w:sz="4" w:space="0"/>
            </w:tcBorders>
            <w:noWrap/>
            <w:vAlign w:val="bottom"/>
          </w:tcPr>
          <w:p w14:paraId="017F8A74">
            <w:pPr>
              <w:widowControl/>
              <w:adjustRightInd w:val="0"/>
              <w:snapToGrid w:val="0"/>
              <w:spacing w:line="240" w:lineRule="exact"/>
              <w:jc w:val="center"/>
              <w:rPr>
                <w:rFonts w:ascii="宋体" w:hAnsi="宋体" w:eastAsia="宋体" w:cs="宋体"/>
                <w:color w:val="000000"/>
                <w:kern w:val="0"/>
                <w:sz w:val="18"/>
                <w:szCs w:val="18"/>
              </w:rPr>
            </w:pPr>
            <w:r>
              <w:rPr>
                <w:rFonts w:hint="eastAsia" w:ascii="宋体" w:hAnsi="宋体" w:cs="宋体"/>
                <w:color w:val="000000"/>
                <w:kern w:val="0"/>
                <w:sz w:val="18"/>
                <w:szCs w:val="18"/>
              </w:rPr>
              <w:t>2</w:t>
            </w:r>
          </w:p>
        </w:tc>
      </w:tr>
      <w:tr w14:paraId="6291FB33">
        <w:tblPrEx>
          <w:tblCellMar>
            <w:top w:w="0" w:type="dxa"/>
            <w:left w:w="108" w:type="dxa"/>
            <w:bottom w:w="0" w:type="dxa"/>
            <w:right w:w="108" w:type="dxa"/>
          </w:tblCellMar>
        </w:tblPrEx>
        <w:trPr>
          <w:trHeight w:val="270" w:hRule="atLeast"/>
        </w:trPr>
        <w:tc>
          <w:tcPr>
            <w:tcW w:w="1165" w:type="dxa"/>
            <w:vMerge w:val="continue"/>
            <w:tcBorders>
              <w:left w:val="single" w:color="auto" w:sz="4" w:space="0"/>
              <w:right w:val="single" w:color="auto" w:sz="4" w:space="0"/>
            </w:tcBorders>
            <w:vAlign w:val="center"/>
          </w:tcPr>
          <w:p w14:paraId="55802BF0">
            <w:pPr>
              <w:adjustRightInd w:val="0"/>
              <w:snapToGrid w:val="0"/>
              <w:spacing w:line="240" w:lineRule="exact"/>
              <w:jc w:val="center"/>
              <w:rPr>
                <w:rFonts w:ascii="宋体" w:hAnsi="宋体" w:cs="宋体"/>
                <w:color w:val="000000"/>
                <w:kern w:val="0"/>
                <w:sz w:val="18"/>
                <w:szCs w:val="18"/>
              </w:rPr>
            </w:pPr>
          </w:p>
        </w:tc>
        <w:tc>
          <w:tcPr>
            <w:tcW w:w="1304" w:type="dxa"/>
            <w:vMerge w:val="continue"/>
            <w:tcBorders>
              <w:left w:val="nil"/>
              <w:right w:val="single" w:color="auto" w:sz="4" w:space="0"/>
            </w:tcBorders>
            <w:noWrap/>
            <w:vAlign w:val="center"/>
          </w:tcPr>
          <w:p w14:paraId="51ECCADD">
            <w:pPr>
              <w:spacing w:line="240" w:lineRule="exact"/>
              <w:jc w:val="center"/>
              <w:rPr>
                <w:rFonts w:ascii="宋体" w:hAnsi="宋体" w:cs="宋体"/>
                <w:color w:val="000000"/>
                <w:kern w:val="0"/>
                <w:sz w:val="18"/>
                <w:szCs w:val="18"/>
              </w:rPr>
            </w:pPr>
          </w:p>
        </w:tc>
        <w:tc>
          <w:tcPr>
            <w:tcW w:w="5296" w:type="dxa"/>
            <w:tcBorders>
              <w:top w:val="nil"/>
              <w:left w:val="nil"/>
              <w:bottom w:val="single" w:color="auto" w:sz="4" w:space="0"/>
              <w:right w:val="single" w:color="auto" w:sz="4" w:space="0"/>
            </w:tcBorders>
            <w:noWrap/>
            <w:vAlign w:val="bottom"/>
          </w:tcPr>
          <w:p w14:paraId="09A3259B">
            <w:pPr>
              <w:widowControl/>
              <w:adjustRightInd w:val="0"/>
              <w:snapToGrid w:val="0"/>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实施主体是否有处置突发事件的丰富经验和基本能力</w:t>
            </w:r>
          </w:p>
        </w:tc>
        <w:tc>
          <w:tcPr>
            <w:tcW w:w="1028" w:type="dxa"/>
            <w:tcBorders>
              <w:top w:val="nil"/>
              <w:left w:val="nil"/>
              <w:bottom w:val="single" w:color="auto" w:sz="4" w:space="0"/>
              <w:right w:val="single" w:color="auto" w:sz="4" w:space="0"/>
            </w:tcBorders>
            <w:noWrap/>
            <w:vAlign w:val="bottom"/>
          </w:tcPr>
          <w:p w14:paraId="2366D29B">
            <w:pPr>
              <w:widowControl/>
              <w:adjustRightInd w:val="0"/>
              <w:snapToGrid w:val="0"/>
              <w:spacing w:line="240" w:lineRule="exact"/>
              <w:jc w:val="center"/>
              <w:rPr>
                <w:rFonts w:ascii="宋体" w:hAnsi="宋体" w:eastAsia="宋体" w:cs="宋体"/>
                <w:color w:val="000000"/>
                <w:kern w:val="0"/>
                <w:sz w:val="18"/>
                <w:szCs w:val="18"/>
              </w:rPr>
            </w:pPr>
            <w:r>
              <w:rPr>
                <w:rFonts w:hint="eastAsia" w:ascii="宋体" w:hAnsi="宋体" w:cs="宋体"/>
                <w:color w:val="000000"/>
                <w:kern w:val="0"/>
                <w:sz w:val="18"/>
                <w:szCs w:val="18"/>
              </w:rPr>
              <w:t>1</w:t>
            </w:r>
          </w:p>
        </w:tc>
      </w:tr>
      <w:tr w14:paraId="1E83329B">
        <w:tblPrEx>
          <w:tblCellMar>
            <w:top w:w="0" w:type="dxa"/>
            <w:left w:w="108" w:type="dxa"/>
            <w:bottom w:w="0" w:type="dxa"/>
            <w:right w:w="108" w:type="dxa"/>
          </w:tblCellMar>
        </w:tblPrEx>
        <w:trPr>
          <w:trHeight w:val="307" w:hRule="atLeast"/>
        </w:trPr>
        <w:tc>
          <w:tcPr>
            <w:tcW w:w="7765" w:type="dxa"/>
            <w:gridSpan w:val="3"/>
            <w:tcBorders>
              <w:top w:val="single" w:color="auto" w:sz="4" w:space="0"/>
              <w:left w:val="single" w:color="auto" w:sz="4" w:space="0"/>
              <w:bottom w:val="single" w:color="auto" w:sz="4" w:space="0"/>
              <w:right w:val="single" w:color="auto" w:sz="4" w:space="0"/>
            </w:tcBorders>
            <w:vAlign w:val="center"/>
          </w:tcPr>
          <w:p w14:paraId="600146CC">
            <w:pPr>
              <w:rPr>
                <w:color w:val="000000"/>
                <w:sz w:val="18"/>
                <w:szCs w:val="18"/>
              </w:rPr>
            </w:pPr>
            <w:r>
              <w:rPr>
                <w:rFonts w:hint="eastAsia"/>
                <w:color w:val="000000"/>
                <w:sz w:val="18"/>
                <w:szCs w:val="18"/>
              </w:rPr>
              <w:t>注：指标中作“</w:t>
            </w:r>
            <w:r>
              <w:rPr>
                <w:rFonts w:hint="eastAsia"/>
                <w:color w:val="000000"/>
                <w:sz w:val="18"/>
                <w:szCs w:val="18"/>
              </w:rPr>
              <w:sym w:font="Wingdings" w:char="F0B5"/>
            </w:r>
            <w:r>
              <w:rPr>
                <w:rFonts w:hint="eastAsia"/>
                <w:color w:val="000000"/>
                <w:sz w:val="18"/>
                <w:szCs w:val="18"/>
              </w:rPr>
              <w:t>”标记的系直接定性分类指标，只要存在</w:t>
            </w:r>
            <w:r>
              <w:rPr>
                <w:rFonts w:hint="eastAsia"/>
                <w:color w:val="000000"/>
                <w:sz w:val="18"/>
                <w:szCs w:val="18"/>
                <w:lang w:eastAsia="zh-CN"/>
              </w:rPr>
              <w:t>“事件管控”三级指标作</w:t>
            </w:r>
            <w:r>
              <w:rPr>
                <w:rFonts w:hint="eastAsia"/>
                <w:color w:val="000000"/>
                <w:sz w:val="18"/>
                <w:szCs w:val="18"/>
              </w:rPr>
              <w:t>“</w:t>
            </w:r>
            <w:r>
              <w:rPr>
                <w:rFonts w:hint="eastAsia"/>
                <w:color w:val="000000"/>
                <w:sz w:val="18"/>
                <w:szCs w:val="18"/>
              </w:rPr>
              <w:sym w:font="Wingdings" w:char="F0B5"/>
            </w:r>
            <w:r>
              <w:rPr>
                <w:rFonts w:hint="eastAsia"/>
                <w:color w:val="000000"/>
                <w:sz w:val="18"/>
                <w:szCs w:val="18"/>
              </w:rPr>
              <w:t>”</w:t>
            </w:r>
            <w:r>
              <w:rPr>
                <w:rFonts w:hint="eastAsia"/>
                <w:color w:val="000000"/>
                <w:sz w:val="18"/>
                <w:szCs w:val="18"/>
                <w:lang w:eastAsia="zh-CN"/>
              </w:rPr>
              <w:t>标记的指标为肯定性描述情形，或其他作</w:t>
            </w:r>
            <w:r>
              <w:rPr>
                <w:rFonts w:hint="eastAsia"/>
                <w:color w:val="000000"/>
                <w:sz w:val="18"/>
                <w:szCs w:val="18"/>
              </w:rPr>
              <w:t>“</w:t>
            </w:r>
            <w:r>
              <w:rPr>
                <w:rFonts w:hint="eastAsia"/>
                <w:color w:val="000000"/>
                <w:sz w:val="18"/>
                <w:szCs w:val="18"/>
              </w:rPr>
              <w:sym w:font="Wingdings" w:char="F0B5"/>
            </w:r>
            <w:r>
              <w:rPr>
                <w:rFonts w:hint="eastAsia"/>
                <w:color w:val="000000"/>
                <w:sz w:val="18"/>
                <w:szCs w:val="18"/>
              </w:rPr>
              <w:t>”</w:t>
            </w:r>
            <w:r>
              <w:rPr>
                <w:rFonts w:hint="eastAsia"/>
                <w:color w:val="000000"/>
                <w:sz w:val="18"/>
                <w:szCs w:val="18"/>
                <w:lang w:eastAsia="zh-CN"/>
              </w:rPr>
              <w:t>标记的指标之一为</w:t>
            </w:r>
            <w:r>
              <w:rPr>
                <w:rFonts w:hint="eastAsia" w:ascii="宋体" w:hAnsi="宋体" w:cs="宋体"/>
                <w:color w:val="000000"/>
                <w:kern w:val="0"/>
                <w:sz w:val="18"/>
                <w:szCs w:val="18"/>
              </w:rPr>
              <w:t>否定性描</w:t>
            </w:r>
            <w:r>
              <w:rPr>
                <w:rFonts w:hint="eastAsia"/>
                <w:color w:val="000000"/>
                <w:sz w:val="18"/>
                <w:szCs w:val="18"/>
              </w:rPr>
              <w:t>述情形，则该决策事项为高风险。</w:t>
            </w:r>
          </w:p>
        </w:tc>
        <w:tc>
          <w:tcPr>
            <w:tcW w:w="1028" w:type="dxa"/>
            <w:tcBorders>
              <w:top w:val="single" w:color="auto" w:sz="4" w:space="0"/>
              <w:left w:val="single" w:color="auto" w:sz="4" w:space="0"/>
              <w:bottom w:val="single" w:color="auto" w:sz="4" w:space="0"/>
              <w:right w:val="single" w:color="auto" w:sz="4" w:space="0"/>
            </w:tcBorders>
            <w:vAlign w:val="center"/>
          </w:tcPr>
          <w:p w14:paraId="2AA7EABB">
            <w:pPr>
              <w:jc w:val="center"/>
              <w:rPr>
                <w:color w:val="000000"/>
                <w:sz w:val="18"/>
                <w:szCs w:val="18"/>
              </w:rPr>
            </w:pPr>
          </w:p>
        </w:tc>
      </w:tr>
    </w:tbl>
    <w:p w14:paraId="27D312CC">
      <w:pPr>
        <w:widowControl/>
        <w:jc w:val="left"/>
        <w:rPr>
          <w:rFonts w:ascii="宋体" w:hAnsi="宋体" w:eastAsia="宋体"/>
          <w:b/>
          <w:color w:val="000000"/>
          <w:sz w:val="28"/>
          <w:szCs w:val="28"/>
        </w:rPr>
      </w:pPr>
      <w:r>
        <w:rPr>
          <w:rFonts w:ascii="宋体" w:hAnsi="宋体" w:eastAsia="宋体"/>
          <w:b/>
          <w:color w:val="000000"/>
          <w:sz w:val="28"/>
          <w:szCs w:val="28"/>
        </w:rPr>
        <w:br w:type="page"/>
      </w:r>
    </w:p>
    <w:p w14:paraId="615EF533">
      <w:pPr>
        <w:jc w:val="center"/>
        <w:rPr>
          <w:rFonts w:hint="eastAsia" w:ascii="黑体" w:hAnsi="黑体" w:eastAsia="黑体" w:cs="黑体"/>
          <w:kern w:val="0"/>
          <w:sz w:val="21"/>
          <w:szCs w:val="20"/>
        </w:rPr>
      </w:pPr>
      <w:r>
        <w:rPr>
          <w:rFonts w:hint="eastAsia" w:ascii="黑体" w:hAnsi="黑体" w:eastAsia="黑体" w:cs="黑体"/>
          <w:kern w:val="0"/>
          <w:sz w:val="21"/>
          <w:szCs w:val="20"/>
        </w:rPr>
        <w:t>表F</w:t>
      </w:r>
      <w:r>
        <w:rPr>
          <w:rFonts w:hint="eastAsia" w:ascii="黑体" w:hAnsi="黑体" w:eastAsia="黑体" w:cs="黑体"/>
          <w:kern w:val="0"/>
          <w:sz w:val="21"/>
          <w:szCs w:val="20"/>
          <w:lang w:val="en-US" w:eastAsia="zh-CN"/>
        </w:rPr>
        <w:t>.</w:t>
      </w:r>
      <w:r>
        <w:rPr>
          <w:rFonts w:hint="eastAsia" w:ascii="黑体" w:hAnsi="黑体" w:eastAsia="黑体" w:cs="黑体"/>
          <w:kern w:val="0"/>
          <w:sz w:val="21"/>
          <w:szCs w:val="20"/>
        </w:rPr>
        <w:t>3  重大改革改制举措出台类社会稳定风险评估指标体系</w:t>
      </w:r>
    </w:p>
    <w:tbl>
      <w:tblPr>
        <w:tblStyle w:val="25"/>
        <w:tblW w:w="8838" w:type="dxa"/>
        <w:tblInd w:w="0" w:type="dxa"/>
        <w:tblLayout w:type="fixed"/>
        <w:tblCellMar>
          <w:top w:w="0" w:type="dxa"/>
          <w:left w:w="108" w:type="dxa"/>
          <w:bottom w:w="0" w:type="dxa"/>
          <w:right w:w="108" w:type="dxa"/>
        </w:tblCellMar>
      </w:tblPr>
      <w:tblGrid>
        <w:gridCol w:w="1143"/>
        <w:gridCol w:w="1136"/>
        <w:gridCol w:w="5668"/>
        <w:gridCol w:w="891"/>
      </w:tblGrid>
      <w:tr w14:paraId="1B313BF4">
        <w:tblPrEx>
          <w:tblCellMar>
            <w:top w:w="0" w:type="dxa"/>
            <w:left w:w="108" w:type="dxa"/>
            <w:bottom w:w="0" w:type="dxa"/>
            <w:right w:w="108" w:type="dxa"/>
          </w:tblCellMar>
        </w:tblPrEx>
        <w:trPr>
          <w:trHeight w:val="270" w:hRule="atLeast"/>
        </w:trPr>
        <w:tc>
          <w:tcPr>
            <w:tcW w:w="1143" w:type="dxa"/>
            <w:tcBorders>
              <w:top w:val="single" w:color="auto" w:sz="4" w:space="0"/>
              <w:left w:val="single" w:color="auto" w:sz="4" w:space="0"/>
              <w:bottom w:val="single" w:color="auto" w:sz="4" w:space="0"/>
              <w:right w:val="single" w:color="auto" w:sz="4" w:space="0"/>
            </w:tcBorders>
            <w:vAlign w:val="center"/>
          </w:tcPr>
          <w:p w14:paraId="24A0BF1C">
            <w:pPr>
              <w:widowControl/>
              <w:spacing w:line="240" w:lineRule="atLeast"/>
              <w:jc w:val="center"/>
              <w:rPr>
                <w:rFonts w:ascii="宋体" w:hAnsi="宋体" w:eastAsia="宋体" w:cs="宋体"/>
                <w:b/>
                <w:color w:val="000000"/>
                <w:kern w:val="0"/>
                <w:sz w:val="18"/>
                <w:szCs w:val="18"/>
              </w:rPr>
            </w:pPr>
            <w:r>
              <w:rPr>
                <w:rFonts w:hint="eastAsia" w:ascii="宋体" w:hAnsi="宋体" w:eastAsia="宋体" w:cs="宋体"/>
                <w:b/>
                <w:color w:val="000000"/>
                <w:kern w:val="0"/>
                <w:sz w:val="18"/>
                <w:szCs w:val="18"/>
              </w:rPr>
              <w:t>一级指标（权重）</w:t>
            </w:r>
          </w:p>
        </w:tc>
        <w:tc>
          <w:tcPr>
            <w:tcW w:w="1136" w:type="dxa"/>
            <w:tcBorders>
              <w:top w:val="single" w:color="auto" w:sz="4" w:space="0"/>
              <w:left w:val="nil"/>
              <w:bottom w:val="single" w:color="auto" w:sz="4" w:space="0"/>
              <w:right w:val="single" w:color="auto" w:sz="4" w:space="0"/>
            </w:tcBorders>
            <w:noWrap/>
            <w:vAlign w:val="center"/>
          </w:tcPr>
          <w:p w14:paraId="43C53DEA">
            <w:pPr>
              <w:widowControl/>
              <w:spacing w:line="240" w:lineRule="atLeast"/>
              <w:jc w:val="center"/>
              <w:rPr>
                <w:rFonts w:ascii="宋体" w:hAnsi="宋体" w:eastAsia="宋体" w:cs="宋体"/>
                <w:b/>
                <w:color w:val="000000"/>
                <w:kern w:val="0"/>
                <w:sz w:val="18"/>
                <w:szCs w:val="18"/>
              </w:rPr>
            </w:pPr>
            <w:r>
              <w:rPr>
                <w:rFonts w:hint="eastAsia" w:ascii="宋体" w:hAnsi="宋体" w:eastAsia="宋体" w:cs="宋体"/>
                <w:b/>
                <w:color w:val="000000"/>
                <w:kern w:val="0"/>
                <w:sz w:val="18"/>
                <w:szCs w:val="18"/>
              </w:rPr>
              <w:t>二级指标</w:t>
            </w:r>
          </w:p>
          <w:p w14:paraId="3381D58D">
            <w:pPr>
              <w:widowControl/>
              <w:spacing w:line="240" w:lineRule="atLeast"/>
              <w:jc w:val="center"/>
              <w:rPr>
                <w:rFonts w:ascii="宋体" w:hAnsi="宋体" w:eastAsia="宋体" w:cs="宋体"/>
                <w:b/>
                <w:color w:val="000000"/>
                <w:kern w:val="0"/>
                <w:sz w:val="18"/>
                <w:szCs w:val="18"/>
              </w:rPr>
            </w:pPr>
            <w:r>
              <w:rPr>
                <w:rFonts w:hint="eastAsia" w:ascii="宋体" w:hAnsi="宋体" w:eastAsia="宋体" w:cs="宋体"/>
                <w:b/>
                <w:color w:val="000000"/>
                <w:kern w:val="0"/>
                <w:sz w:val="18"/>
                <w:szCs w:val="18"/>
              </w:rPr>
              <w:t>（权重）</w:t>
            </w:r>
          </w:p>
        </w:tc>
        <w:tc>
          <w:tcPr>
            <w:tcW w:w="5668" w:type="dxa"/>
            <w:tcBorders>
              <w:top w:val="single" w:color="auto" w:sz="4" w:space="0"/>
              <w:left w:val="nil"/>
              <w:bottom w:val="single" w:color="auto" w:sz="4" w:space="0"/>
              <w:right w:val="single" w:color="auto" w:sz="4" w:space="0"/>
            </w:tcBorders>
            <w:noWrap/>
            <w:vAlign w:val="center"/>
          </w:tcPr>
          <w:p w14:paraId="55A29042">
            <w:pPr>
              <w:widowControl/>
              <w:spacing w:line="240" w:lineRule="atLeast"/>
              <w:jc w:val="center"/>
              <w:rPr>
                <w:rFonts w:ascii="宋体" w:hAnsi="宋体" w:eastAsia="宋体" w:cs="宋体"/>
                <w:b/>
                <w:color w:val="000000"/>
                <w:kern w:val="0"/>
                <w:sz w:val="18"/>
                <w:szCs w:val="18"/>
              </w:rPr>
            </w:pPr>
            <w:r>
              <w:rPr>
                <w:rFonts w:hint="eastAsia" w:ascii="宋体" w:hAnsi="宋体" w:eastAsia="宋体" w:cs="宋体"/>
                <w:b/>
                <w:color w:val="000000"/>
                <w:kern w:val="0"/>
                <w:sz w:val="18"/>
                <w:szCs w:val="18"/>
              </w:rPr>
              <w:t>三级指标</w:t>
            </w:r>
          </w:p>
        </w:tc>
        <w:tc>
          <w:tcPr>
            <w:tcW w:w="891" w:type="dxa"/>
            <w:tcBorders>
              <w:top w:val="single" w:color="auto" w:sz="4" w:space="0"/>
              <w:left w:val="nil"/>
              <w:bottom w:val="single" w:color="auto" w:sz="4" w:space="0"/>
              <w:right w:val="single" w:color="auto" w:sz="4" w:space="0"/>
            </w:tcBorders>
            <w:noWrap/>
            <w:vAlign w:val="center"/>
          </w:tcPr>
          <w:p w14:paraId="1EB7D2D2">
            <w:pPr>
              <w:widowControl/>
              <w:spacing w:line="240" w:lineRule="atLeast"/>
              <w:jc w:val="center"/>
              <w:rPr>
                <w:rFonts w:ascii="宋体" w:hAnsi="宋体" w:eastAsia="宋体" w:cs="宋体"/>
                <w:b/>
                <w:color w:val="000000"/>
                <w:kern w:val="0"/>
                <w:sz w:val="18"/>
                <w:szCs w:val="18"/>
              </w:rPr>
            </w:pPr>
            <w:r>
              <w:rPr>
                <w:rFonts w:hint="eastAsia" w:ascii="宋体" w:hAnsi="宋体" w:cs="宋体"/>
                <w:b/>
                <w:color w:val="000000"/>
                <w:kern w:val="0"/>
                <w:sz w:val="18"/>
                <w:szCs w:val="18"/>
              </w:rPr>
              <w:t>权重</w:t>
            </w:r>
          </w:p>
        </w:tc>
      </w:tr>
      <w:tr w14:paraId="6BC5663D">
        <w:tblPrEx>
          <w:tblCellMar>
            <w:top w:w="0" w:type="dxa"/>
            <w:left w:w="108" w:type="dxa"/>
            <w:bottom w:w="0" w:type="dxa"/>
            <w:right w:w="108" w:type="dxa"/>
          </w:tblCellMar>
        </w:tblPrEx>
        <w:trPr>
          <w:trHeight w:val="316" w:hRule="atLeast"/>
        </w:trPr>
        <w:tc>
          <w:tcPr>
            <w:tcW w:w="1143" w:type="dxa"/>
            <w:vMerge w:val="restart"/>
            <w:tcBorders>
              <w:top w:val="nil"/>
              <w:left w:val="single" w:color="auto" w:sz="4" w:space="0"/>
              <w:right w:val="single" w:color="auto" w:sz="4" w:space="0"/>
            </w:tcBorders>
            <w:vAlign w:val="center"/>
          </w:tcPr>
          <w:p w14:paraId="4E8D08DB">
            <w:pPr>
              <w:widowControl/>
              <w:spacing w:line="240" w:lineRule="atLeast"/>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合法性</w:t>
            </w:r>
          </w:p>
          <w:p w14:paraId="782D29A6">
            <w:pPr>
              <w:widowControl/>
              <w:spacing w:line="240" w:lineRule="atLeast"/>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（20分）</w:t>
            </w:r>
          </w:p>
        </w:tc>
        <w:tc>
          <w:tcPr>
            <w:tcW w:w="1136" w:type="dxa"/>
            <w:vMerge w:val="restart"/>
            <w:tcBorders>
              <w:top w:val="nil"/>
              <w:left w:val="nil"/>
              <w:right w:val="single" w:color="auto" w:sz="4" w:space="0"/>
            </w:tcBorders>
            <w:noWrap/>
            <w:vAlign w:val="center"/>
          </w:tcPr>
          <w:p w14:paraId="5660ED80">
            <w:pPr>
              <w:widowControl/>
              <w:spacing w:line="240" w:lineRule="atLeast"/>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主体合法</w:t>
            </w:r>
          </w:p>
          <w:p w14:paraId="51D0CA71">
            <w:pPr>
              <w:widowControl/>
              <w:spacing w:line="240" w:lineRule="atLeast"/>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（4分）</w:t>
            </w:r>
          </w:p>
        </w:tc>
        <w:tc>
          <w:tcPr>
            <w:tcW w:w="5668" w:type="dxa"/>
            <w:tcBorders>
              <w:top w:val="nil"/>
              <w:left w:val="nil"/>
              <w:bottom w:val="single" w:color="auto" w:sz="4" w:space="0"/>
              <w:right w:val="single" w:color="auto" w:sz="4" w:space="0"/>
            </w:tcBorders>
            <w:noWrap/>
            <w:vAlign w:val="center"/>
          </w:tcPr>
          <w:p w14:paraId="1CD88CEF">
            <w:pPr>
              <w:widowControl/>
              <w:adjustRightInd w:val="0"/>
              <w:snapToGrid w:val="0"/>
              <w:rPr>
                <w:rFonts w:ascii="宋体" w:hAnsi="宋体" w:eastAsia="宋体" w:cs="宋体"/>
                <w:color w:val="000000"/>
                <w:kern w:val="0"/>
                <w:sz w:val="18"/>
                <w:szCs w:val="18"/>
              </w:rPr>
            </w:pPr>
            <w:r>
              <w:rPr>
                <w:rFonts w:hint="eastAsia" w:ascii="宋体"/>
                <w:color w:val="000000"/>
                <w:kern w:val="0"/>
                <w:sz w:val="18"/>
                <w:szCs w:val="18"/>
              </w:rPr>
              <w:t>决策主体是否依法设立</w:t>
            </w:r>
          </w:p>
        </w:tc>
        <w:tc>
          <w:tcPr>
            <w:tcW w:w="891" w:type="dxa"/>
            <w:tcBorders>
              <w:top w:val="nil"/>
              <w:left w:val="nil"/>
              <w:bottom w:val="single" w:color="auto" w:sz="4" w:space="0"/>
              <w:right w:val="single" w:color="auto" w:sz="4" w:space="0"/>
            </w:tcBorders>
            <w:noWrap/>
            <w:vAlign w:val="center"/>
          </w:tcPr>
          <w:p w14:paraId="4D34F76A">
            <w:pPr>
              <w:widowControl/>
              <w:adjustRightInd w:val="0"/>
              <w:snapToGrid w:val="0"/>
              <w:jc w:val="center"/>
              <w:rPr>
                <w:rFonts w:ascii="宋体" w:eastAsia="宋体"/>
                <w:color w:val="000000"/>
                <w:kern w:val="0"/>
                <w:sz w:val="18"/>
                <w:szCs w:val="18"/>
              </w:rPr>
            </w:pPr>
            <w:r>
              <w:rPr>
                <w:rFonts w:hint="eastAsia" w:ascii="宋体"/>
                <w:color w:val="000000"/>
                <w:kern w:val="0"/>
                <w:sz w:val="18"/>
                <w:szCs w:val="18"/>
              </w:rPr>
              <w:t>2</w:t>
            </w:r>
          </w:p>
        </w:tc>
      </w:tr>
      <w:tr w14:paraId="1048AB17">
        <w:tblPrEx>
          <w:tblCellMar>
            <w:top w:w="0" w:type="dxa"/>
            <w:left w:w="108" w:type="dxa"/>
            <w:bottom w:w="0" w:type="dxa"/>
            <w:right w:w="108" w:type="dxa"/>
          </w:tblCellMar>
        </w:tblPrEx>
        <w:trPr>
          <w:trHeight w:val="316" w:hRule="atLeast"/>
        </w:trPr>
        <w:tc>
          <w:tcPr>
            <w:tcW w:w="1143" w:type="dxa"/>
            <w:vMerge w:val="continue"/>
            <w:tcBorders>
              <w:top w:val="nil"/>
              <w:left w:val="single" w:color="auto" w:sz="4" w:space="0"/>
              <w:right w:val="single" w:color="auto" w:sz="4" w:space="0"/>
            </w:tcBorders>
            <w:vAlign w:val="center"/>
          </w:tcPr>
          <w:p w14:paraId="53507159">
            <w:pPr>
              <w:widowControl/>
              <w:spacing w:line="240" w:lineRule="atLeast"/>
              <w:jc w:val="center"/>
              <w:rPr>
                <w:rFonts w:ascii="宋体" w:hAnsi="宋体" w:eastAsia="宋体" w:cs="宋体"/>
                <w:color w:val="000000"/>
                <w:kern w:val="0"/>
                <w:sz w:val="18"/>
                <w:szCs w:val="18"/>
              </w:rPr>
            </w:pPr>
          </w:p>
        </w:tc>
        <w:tc>
          <w:tcPr>
            <w:tcW w:w="1136" w:type="dxa"/>
            <w:vMerge w:val="continue"/>
            <w:tcBorders>
              <w:left w:val="nil"/>
              <w:bottom w:val="single" w:color="auto" w:sz="4" w:space="0"/>
              <w:right w:val="single" w:color="auto" w:sz="4" w:space="0"/>
            </w:tcBorders>
            <w:noWrap/>
            <w:vAlign w:val="center"/>
          </w:tcPr>
          <w:p w14:paraId="3A06D87C">
            <w:pPr>
              <w:widowControl/>
              <w:spacing w:line="240" w:lineRule="atLeast"/>
              <w:jc w:val="center"/>
              <w:rPr>
                <w:rFonts w:ascii="宋体" w:hAnsi="宋体" w:eastAsia="宋体" w:cs="宋体"/>
                <w:color w:val="000000"/>
                <w:kern w:val="0"/>
                <w:sz w:val="18"/>
                <w:szCs w:val="18"/>
              </w:rPr>
            </w:pPr>
          </w:p>
        </w:tc>
        <w:tc>
          <w:tcPr>
            <w:tcW w:w="5668" w:type="dxa"/>
            <w:tcBorders>
              <w:top w:val="nil"/>
              <w:left w:val="nil"/>
              <w:bottom w:val="single" w:color="auto" w:sz="4" w:space="0"/>
              <w:right w:val="single" w:color="auto" w:sz="4" w:space="0"/>
            </w:tcBorders>
            <w:noWrap/>
            <w:vAlign w:val="center"/>
          </w:tcPr>
          <w:p w14:paraId="4EC3BFD4">
            <w:pPr>
              <w:widowControl/>
              <w:adjustRightInd w:val="0"/>
              <w:snapToGrid w:val="0"/>
              <w:rPr>
                <w:rFonts w:ascii="宋体" w:hAnsi="宋体" w:eastAsia="宋体" w:cs="宋体"/>
                <w:color w:val="000000"/>
                <w:kern w:val="0"/>
                <w:sz w:val="18"/>
                <w:szCs w:val="18"/>
              </w:rPr>
            </w:pPr>
            <w:r>
              <w:rPr>
                <w:rFonts w:hint="eastAsia" w:ascii="宋体" w:hAnsi="宋体" w:eastAsia="宋体" w:cs="宋体"/>
                <w:color w:val="000000"/>
                <w:kern w:val="0"/>
                <w:sz w:val="18"/>
                <w:szCs w:val="18"/>
              </w:rPr>
              <w:t>改革改制事项是否在决策主体法定权限范围内</w:t>
            </w:r>
          </w:p>
        </w:tc>
        <w:tc>
          <w:tcPr>
            <w:tcW w:w="891" w:type="dxa"/>
            <w:tcBorders>
              <w:top w:val="nil"/>
              <w:left w:val="nil"/>
              <w:bottom w:val="single" w:color="auto" w:sz="4" w:space="0"/>
              <w:right w:val="single" w:color="auto" w:sz="4" w:space="0"/>
            </w:tcBorders>
            <w:noWrap/>
            <w:vAlign w:val="center"/>
          </w:tcPr>
          <w:p w14:paraId="0B0B97D7">
            <w:pPr>
              <w:widowControl/>
              <w:adjustRightInd w:val="0"/>
              <w:snapToGrid w:val="0"/>
              <w:jc w:val="center"/>
              <w:rPr>
                <w:rFonts w:ascii="宋体" w:hAnsi="宋体" w:eastAsia="宋体" w:cs="宋体"/>
                <w:color w:val="000000"/>
                <w:kern w:val="0"/>
                <w:sz w:val="18"/>
                <w:szCs w:val="18"/>
              </w:rPr>
            </w:pPr>
            <w:r>
              <w:rPr>
                <w:rFonts w:hint="eastAsia" w:ascii="宋体" w:hAnsi="宋体" w:cs="宋体"/>
                <w:color w:val="000000"/>
                <w:kern w:val="0"/>
                <w:sz w:val="18"/>
                <w:szCs w:val="18"/>
              </w:rPr>
              <w:t>2</w:t>
            </w:r>
          </w:p>
        </w:tc>
      </w:tr>
      <w:tr w14:paraId="0DA4BF30">
        <w:tblPrEx>
          <w:tblCellMar>
            <w:top w:w="0" w:type="dxa"/>
            <w:left w:w="108" w:type="dxa"/>
            <w:bottom w:w="0" w:type="dxa"/>
            <w:right w:w="108" w:type="dxa"/>
          </w:tblCellMar>
        </w:tblPrEx>
        <w:trPr>
          <w:trHeight w:val="270" w:hRule="atLeast"/>
        </w:trPr>
        <w:tc>
          <w:tcPr>
            <w:tcW w:w="1143" w:type="dxa"/>
            <w:vMerge w:val="continue"/>
            <w:tcBorders>
              <w:left w:val="single" w:color="auto" w:sz="4" w:space="0"/>
              <w:right w:val="single" w:color="auto" w:sz="4" w:space="0"/>
            </w:tcBorders>
            <w:vAlign w:val="center"/>
          </w:tcPr>
          <w:p w14:paraId="2BD944E1">
            <w:pPr>
              <w:spacing w:line="240" w:lineRule="atLeast"/>
              <w:jc w:val="center"/>
              <w:rPr>
                <w:rFonts w:ascii="宋体" w:hAnsi="宋体" w:eastAsia="宋体" w:cs="宋体"/>
                <w:color w:val="000000"/>
                <w:kern w:val="0"/>
                <w:sz w:val="18"/>
                <w:szCs w:val="18"/>
              </w:rPr>
            </w:pPr>
          </w:p>
        </w:tc>
        <w:tc>
          <w:tcPr>
            <w:tcW w:w="1136" w:type="dxa"/>
            <w:vMerge w:val="restart"/>
            <w:tcBorders>
              <w:top w:val="single" w:color="auto" w:sz="4" w:space="0"/>
              <w:left w:val="nil"/>
              <w:right w:val="single" w:color="auto" w:sz="4" w:space="0"/>
            </w:tcBorders>
            <w:noWrap/>
            <w:vAlign w:val="center"/>
          </w:tcPr>
          <w:p w14:paraId="2914670D">
            <w:pPr>
              <w:spacing w:line="240" w:lineRule="atLeast"/>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内容合法</w:t>
            </w:r>
          </w:p>
          <w:p w14:paraId="3B98FD44">
            <w:pPr>
              <w:spacing w:line="240" w:lineRule="atLeast"/>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（6分）</w:t>
            </w:r>
          </w:p>
        </w:tc>
        <w:tc>
          <w:tcPr>
            <w:tcW w:w="5668" w:type="dxa"/>
            <w:tcBorders>
              <w:top w:val="single" w:color="auto" w:sz="4" w:space="0"/>
              <w:left w:val="nil"/>
              <w:bottom w:val="single" w:color="auto" w:sz="4" w:space="0"/>
              <w:right w:val="single" w:color="auto" w:sz="4" w:space="0"/>
            </w:tcBorders>
            <w:noWrap/>
            <w:vAlign w:val="center"/>
          </w:tcPr>
          <w:p w14:paraId="0DBD3B70">
            <w:pPr>
              <w:widowControl/>
              <w:adjustRightInd w:val="0"/>
              <w:snapToGrid w:val="0"/>
              <w:rPr>
                <w:rFonts w:ascii="宋体" w:hAnsi="宋体" w:eastAsia="宋体" w:cs="宋体"/>
                <w:color w:val="000000"/>
                <w:kern w:val="0"/>
                <w:sz w:val="18"/>
                <w:szCs w:val="18"/>
              </w:rPr>
            </w:pPr>
            <w:r>
              <w:rPr>
                <w:rFonts w:hint="eastAsia" w:ascii="宋体" w:hAnsi="宋体" w:eastAsia="宋体" w:cs="宋体"/>
                <w:color w:val="000000"/>
                <w:kern w:val="0"/>
                <w:sz w:val="18"/>
                <w:szCs w:val="18"/>
              </w:rPr>
              <w:t>改革改制事项是否符合“三新一高”要求</w:t>
            </w:r>
          </w:p>
        </w:tc>
        <w:tc>
          <w:tcPr>
            <w:tcW w:w="891" w:type="dxa"/>
            <w:tcBorders>
              <w:top w:val="single" w:color="auto" w:sz="4" w:space="0"/>
              <w:left w:val="nil"/>
              <w:bottom w:val="single" w:color="auto" w:sz="4" w:space="0"/>
              <w:right w:val="single" w:color="auto" w:sz="4" w:space="0"/>
            </w:tcBorders>
            <w:noWrap/>
            <w:vAlign w:val="center"/>
          </w:tcPr>
          <w:p w14:paraId="1137DE76">
            <w:pPr>
              <w:widowControl/>
              <w:adjustRightInd w:val="0"/>
              <w:snapToGrid w:val="0"/>
              <w:jc w:val="center"/>
              <w:rPr>
                <w:rFonts w:ascii="宋体" w:hAnsi="宋体" w:eastAsia="宋体" w:cs="宋体"/>
                <w:color w:val="000000"/>
                <w:kern w:val="0"/>
                <w:sz w:val="18"/>
                <w:szCs w:val="18"/>
              </w:rPr>
            </w:pPr>
            <w:r>
              <w:rPr>
                <w:rFonts w:hint="eastAsia" w:ascii="宋体" w:hAnsi="宋体" w:cs="宋体"/>
                <w:color w:val="000000"/>
                <w:kern w:val="0"/>
                <w:sz w:val="18"/>
                <w:szCs w:val="18"/>
              </w:rPr>
              <w:t>2</w:t>
            </w:r>
          </w:p>
        </w:tc>
      </w:tr>
      <w:tr w14:paraId="3F3E5BB2">
        <w:tblPrEx>
          <w:tblCellMar>
            <w:top w:w="0" w:type="dxa"/>
            <w:left w:w="108" w:type="dxa"/>
            <w:bottom w:w="0" w:type="dxa"/>
            <w:right w:w="108" w:type="dxa"/>
          </w:tblCellMar>
        </w:tblPrEx>
        <w:trPr>
          <w:trHeight w:val="270" w:hRule="atLeast"/>
        </w:trPr>
        <w:tc>
          <w:tcPr>
            <w:tcW w:w="1143" w:type="dxa"/>
            <w:vMerge w:val="continue"/>
            <w:tcBorders>
              <w:left w:val="single" w:color="auto" w:sz="4" w:space="0"/>
              <w:right w:val="single" w:color="auto" w:sz="4" w:space="0"/>
            </w:tcBorders>
            <w:vAlign w:val="center"/>
          </w:tcPr>
          <w:p w14:paraId="29F96519">
            <w:pPr>
              <w:spacing w:line="240" w:lineRule="atLeast"/>
              <w:jc w:val="center"/>
              <w:rPr>
                <w:rFonts w:ascii="宋体" w:hAnsi="宋体" w:eastAsia="宋体" w:cs="宋体"/>
                <w:color w:val="000000"/>
                <w:kern w:val="0"/>
                <w:sz w:val="18"/>
                <w:szCs w:val="18"/>
              </w:rPr>
            </w:pPr>
          </w:p>
        </w:tc>
        <w:tc>
          <w:tcPr>
            <w:tcW w:w="1136" w:type="dxa"/>
            <w:vMerge w:val="continue"/>
            <w:tcBorders>
              <w:top w:val="single" w:color="auto" w:sz="4" w:space="0"/>
              <w:left w:val="nil"/>
              <w:right w:val="single" w:color="auto" w:sz="4" w:space="0"/>
            </w:tcBorders>
            <w:noWrap/>
            <w:vAlign w:val="center"/>
          </w:tcPr>
          <w:p w14:paraId="7CD07C8E">
            <w:pPr>
              <w:spacing w:line="240" w:lineRule="atLeast"/>
              <w:jc w:val="center"/>
              <w:rPr>
                <w:rFonts w:ascii="宋体" w:hAnsi="宋体" w:eastAsia="宋体" w:cs="宋体"/>
                <w:color w:val="000000"/>
                <w:kern w:val="0"/>
                <w:sz w:val="18"/>
                <w:szCs w:val="18"/>
              </w:rPr>
            </w:pPr>
          </w:p>
        </w:tc>
        <w:tc>
          <w:tcPr>
            <w:tcW w:w="5668" w:type="dxa"/>
            <w:tcBorders>
              <w:top w:val="single" w:color="auto" w:sz="4" w:space="0"/>
              <w:left w:val="nil"/>
              <w:bottom w:val="single" w:color="auto" w:sz="4" w:space="0"/>
              <w:right w:val="single" w:color="auto" w:sz="4" w:space="0"/>
            </w:tcBorders>
            <w:noWrap/>
            <w:vAlign w:val="center"/>
          </w:tcPr>
          <w:p w14:paraId="18D26CA5">
            <w:pPr>
              <w:widowControl/>
              <w:adjustRightInd w:val="0"/>
              <w:snapToGrid w:val="0"/>
              <w:rPr>
                <w:rFonts w:ascii="宋体" w:hAnsi="宋体" w:eastAsia="宋体" w:cs="宋体"/>
                <w:color w:val="000000"/>
                <w:kern w:val="0"/>
                <w:sz w:val="18"/>
                <w:szCs w:val="18"/>
              </w:rPr>
            </w:pPr>
            <w:r>
              <w:rPr>
                <w:rFonts w:hint="eastAsia" w:ascii="宋体" w:hAnsi="宋体" w:eastAsia="宋体" w:cs="宋体"/>
                <w:color w:val="000000"/>
                <w:kern w:val="0"/>
                <w:sz w:val="18"/>
                <w:szCs w:val="18"/>
              </w:rPr>
              <w:t>改革改制事项政策法律依据是否充分</w:t>
            </w:r>
          </w:p>
        </w:tc>
        <w:tc>
          <w:tcPr>
            <w:tcW w:w="891" w:type="dxa"/>
            <w:tcBorders>
              <w:top w:val="single" w:color="auto" w:sz="4" w:space="0"/>
              <w:left w:val="nil"/>
              <w:bottom w:val="single" w:color="auto" w:sz="4" w:space="0"/>
              <w:right w:val="single" w:color="auto" w:sz="4" w:space="0"/>
            </w:tcBorders>
            <w:noWrap/>
            <w:vAlign w:val="center"/>
          </w:tcPr>
          <w:p w14:paraId="3C33E7E0">
            <w:pPr>
              <w:widowControl/>
              <w:adjustRightInd w:val="0"/>
              <w:snapToGrid w:val="0"/>
              <w:jc w:val="center"/>
              <w:rPr>
                <w:rFonts w:ascii="宋体" w:eastAsia="宋体"/>
                <w:color w:val="000000"/>
                <w:kern w:val="0"/>
                <w:sz w:val="18"/>
                <w:szCs w:val="18"/>
              </w:rPr>
            </w:pPr>
            <w:r>
              <w:rPr>
                <w:rFonts w:hint="eastAsia" w:ascii="宋体"/>
                <w:color w:val="000000"/>
                <w:kern w:val="0"/>
                <w:sz w:val="18"/>
                <w:szCs w:val="18"/>
              </w:rPr>
              <w:t>2</w:t>
            </w:r>
          </w:p>
        </w:tc>
      </w:tr>
      <w:tr w14:paraId="1B16B1CF">
        <w:tblPrEx>
          <w:tblCellMar>
            <w:top w:w="0" w:type="dxa"/>
            <w:left w:w="108" w:type="dxa"/>
            <w:bottom w:w="0" w:type="dxa"/>
            <w:right w:w="108" w:type="dxa"/>
          </w:tblCellMar>
        </w:tblPrEx>
        <w:trPr>
          <w:trHeight w:val="270" w:hRule="atLeast"/>
        </w:trPr>
        <w:tc>
          <w:tcPr>
            <w:tcW w:w="1143" w:type="dxa"/>
            <w:vMerge w:val="continue"/>
            <w:tcBorders>
              <w:left w:val="single" w:color="auto" w:sz="4" w:space="0"/>
              <w:right w:val="single" w:color="auto" w:sz="4" w:space="0"/>
            </w:tcBorders>
            <w:vAlign w:val="center"/>
          </w:tcPr>
          <w:p w14:paraId="3BFA4F40">
            <w:pPr>
              <w:spacing w:line="240" w:lineRule="atLeast"/>
              <w:jc w:val="center"/>
              <w:rPr>
                <w:rFonts w:ascii="宋体" w:hAnsi="宋体" w:eastAsia="宋体" w:cs="宋体"/>
                <w:color w:val="000000"/>
                <w:kern w:val="0"/>
                <w:sz w:val="18"/>
                <w:szCs w:val="18"/>
              </w:rPr>
            </w:pPr>
          </w:p>
        </w:tc>
        <w:tc>
          <w:tcPr>
            <w:tcW w:w="1136" w:type="dxa"/>
            <w:vMerge w:val="continue"/>
            <w:tcBorders>
              <w:left w:val="nil"/>
              <w:bottom w:val="single" w:color="auto" w:sz="4" w:space="0"/>
              <w:right w:val="single" w:color="auto" w:sz="4" w:space="0"/>
            </w:tcBorders>
            <w:noWrap/>
            <w:vAlign w:val="center"/>
          </w:tcPr>
          <w:p w14:paraId="591A331C">
            <w:pPr>
              <w:spacing w:line="240" w:lineRule="atLeast"/>
              <w:jc w:val="center"/>
              <w:rPr>
                <w:rFonts w:ascii="宋体" w:hAnsi="宋体" w:eastAsia="宋体" w:cs="宋体"/>
                <w:color w:val="000000"/>
                <w:kern w:val="0"/>
                <w:sz w:val="18"/>
                <w:szCs w:val="18"/>
              </w:rPr>
            </w:pPr>
          </w:p>
        </w:tc>
        <w:tc>
          <w:tcPr>
            <w:tcW w:w="5668" w:type="dxa"/>
            <w:tcBorders>
              <w:top w:val="nil"/>
              <w:left w:val="nil"/>
              <w:bottom w:val="single" w:color="auto" w:sz="4" w:space="0"/>
              <w:right w:val="single" w:color="auto" w:sz="4" w:space="0"/>
            </w:tcBorders>
            <w:noWrap/>
            <w:vAlign w:val="center"/>
          </w:tcPr>
          <w:p w14:paraId="766DC2D0">
            <w:pPr>
              <w:widowControl/>
              <w:adjustRightInd w:val="0"/>
              <w:snapToGrid w:val="0"/>
              <w:rPr>
                <w:rFonts w:ascii="宋体" w:hAnsi="宋体" w:eastAsia="宋体" w:cs="宋体"/>
                <w:color w:val="000000"/>
                <w:kern w:val="0"/>
                <w:sz w:val="18"/>
                <w:szCs w:val="18"/>
              </w:rPr>
            </w:pPr>
            <w:r>
              <w:rPr>
                <w:rFonts w:hint="eastAsia" w:ascii="宋体" w:hAnsi="宋体" w:eastAsia="宋体" w:cs="宋体"/>
                <w:color w:val="000000"/>
                <w:kern w:val="0"/>
                <w:sz w:val="18"/>
                <w:szCs w:val="18"/>
              </w:rPr>
              <w:t>改革改制方案</w:t>
            </w:r>
            <w:r>
              <w:rPr>
                <w:rFonts w:hint="eastAsia" w:ascii="宋体" w:hAnsi="宋体" w:cs="宋体"/>
                <w:color w:val="000000"/>
                <w:kern w:val="0"/>
                <w:sz w:val="18"/>
                <w:szCs w:val="18"/>
              </w:rPr>
              <w:t>是否有充分的政策法律依据且不存在突破政策法律规定的情形</w:t>
            </w:r>
            <w:r>
              <w:rPr>
                <w:rFonts w:hint="eastAsia" w:ascii="宋体" w:hAnsi="宋体" w:cs="宋体"/>
                <w:color w:val="000000"/>
                <w:kern w:val="0"/>
                <w:sz w:val="18"/>
                <w:szCs w:val="18"/>
              </w:rPr>
              <w:sym w:font="Wingdings" w:char="F0B5"/>
            </w:r>
          </w:p>
        </w:tc>
        <w:tc>
          <w:tcPr>
            <w:tcW w:w="891" w:type="dxa"/>
            <w:tcBorders>
              <w:top w:val="nil"/>
              <w:left w:val="nil"/>
              <w:bottom w:val="single" w:color="auto" w:sz="4" w:space="0"/>
              <w:right w:val="single" w:color="auto" w:sz="4" w:space="0"/>
            </w:tcBorders>
            <w:noWrap/>
            <w:vAlign w:val="center"/>
          </w:tcPr>
          <w:p w14:paraId="4485B1F0">
            <w:pPr>
              <w:widowControl/>
              <w:adjustRightInd w:val="0"/>
              <w:snapToGrid w:val="0"/>
              <w:jc w:val="center"/>
              <w:rPr>
                <w:rFonts w:ascii="宋体" w:hAnsi="宋体" w:eastAsia="宋体" w:cs="宋体"/>
                <w:color w:val="000000"/>
                <w:kern w:val="0"/>
                <w:sz w:val="18"/>
                <w:szCs w:val="18"/>
              </w:rPr>
            </w:pPr>
            <w:r>
              <w:rPr>
                <w:rFonts w:hint="eastAsia" w:ascii="宋体" w:hAnsi="宋体" w:cs="宋体"/>
                <w:color w:val="000000"/>
                <w:kern w:val="0"/>
                <w:sz w:val="18"/>
                <w:szCs w:val="18"/>
              </w:rPr>
              <w:t>2</w:t>
            </w:r>
          </w:p>
        </w:tc>
      </w:tr>
      <w:tr w14:paraId="638221CC">
        <w:tblPrEx>
          <w:tblCellMar>
            <w:top w:w="0" w:type="dxa"/>
            <w:left w:w="108" w:type="dxa"/>
            <w:bottom w:w="0" w:type="dxa"/>
            <w:right w:w="108" w:type="dxa"/>
          </w:tblCellMar>
        </w:tblPrEx>
        <w:trPr>
          <w:trHeight w:val="270" w:hRule="atLeast"/>
        </w:trPr>
        <w:tc>
          <w:tcPr>
            <w:tcW w:w="1143" w:type="dxa"/>
            <w:vMerge w:val="continue"/>
            <w:tcBorders>
              <w:left w:val="single" w:color="auto" w:sz="4" w:space="0"/>
              <w:right w:val="single" w:color="auto" w:sz="4" w:space="0"/>
            </w:tcBorders>
            <w:vAlign w:val="center"/>
          </w:tcPr>
          <w:p w14:paraId="0DB3CF1A">
            <w:pPr>
              <w:spacing w:line="240" w:lineRule="atLeast"/>
              <w:jc w:val="center"/>
              <w:rPr>
                <w:rFonts w:ascii="宋体" w:hAnsi="宋体" w:eastAsia="宋体" w:cs="宋体"/>
                <w:color w:val="000000"/>
                <w:kern w:val="0"/>
                <w:sz w:val="18"/>
                <w:szCs w:val="18"/>
              </w:rPr>
            </w:pPr>
          </w:p>
        </w:tc>
        <w:tc>
          <w:tcPr>
            <w:tcW w:w="1136" w:type="dxa"/>
            <w:vMerge w:val="restart"/>
            <w:tcBorders>
              <w:top w:val="single" w:color="auto" w:sz="4" w:space="0"/>
              <w:left w:val="nil"/>
              <w:right w:val="single" w:color="auto" w:sz="4" w:space="0"/>
            </w:tcBorders>
            <w:noWrap/>
            <w:vAlign w:val="center"/>
          </w:tcPr>
          <w:p w14:paraId="18CAF3D2">
            <w:pPr>
              <w:spacing w:line="240" w:lineRule="atLeast"/>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程序合法</w:t>
            </w:r>
          </w:p>
          <w:p w14:paraId="023EB01D">
            <w:pPr>
              <w:spacing w:line="240" w:lineRule="atLeast"/>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（10分）</w:t>
            </w:r>
          </w:p>
        </w:tc>
        <w:tc>
          <w:tcPr>
            <w:tcW w:w="5668" w:type="dxa"/>
            <w:tcBorders>
              <w:top w:val="nil"/>
              <w:left w:val="nil"/>
              <w:bottom w:val="single" w:color="auto" w:sz="4" w:space="0"/>
              <w:right w:val="single" w:color="auto" w:sz="4" w:space="0"/>
            </w:tcBorders>
            <w:noWrap/>
            <w:vAlign w:val="center"/>
          </w:tcPr>
          <w:p w14:paraId="1FE43C67">
            <w:pPr>
              <w:widowControl/>
              <w:adjustRightInd w:val="0"/>
              <w:snapToGrid w:val="0"/>
              <w:rPr>
                <w:rFonts w:ascii="宋体" w:hAnsi="宋体" w:eastAsia="宋体" w:cs="宋体"/>
                <w:color w:val="000000"/>
                <w:kern w:val="0"/>
                <w:sz w:val="18"/>
                <w:szCs w:val="18"/>
              </w:rPr>
            </w:pPr>
            <w:r>
              <w:rPr>
                <w:rFonts w:hint="eastAsia" w:ascii="宋体" w:hAnsi="宋体" w:cs="宋体"/>
                <w:color w:val="000000"/>
                <w:kern w:val="0"/>
                <w:sz w:val="18"/>
                <w:szCs w:val="18"/>
              </w:rPr>
              <w:t>决策程序是否符合相应的议事决策规则</w:t>
            </w:r>
          </w:p>
        </w:tc>
        <w:tc>
          <w:tcPr>
            <w:tcW w:w="891" w:type="dxa"/>
            <w:tcBorders>
              <w:top w:val="nil"/>
              <w:left w:val="nil"/>
              <w:bottom w:val="single" w:color="auto" w:sz="4" w:space="0"/>
              <w:right w:val="single" w:color="auto" w:sz="4" w:space="0"/>
            </w:tcBorders>
            <w:noWrap/>
            <w:vAlign w:val="center"/>
          </w:tcPr>
          <w:p w14:paraId="579CCE0B">
            <w:pPr>
              <w:widowControl/>
              <w:adjustRightInd w:val="0"/>
              <w:snapToGrid w:val="0"/>
              <w:jc w:val="center"/>
              <w:rPr>
                <w:rFonts w:ascii="宋体" w:hAnsi="宋体" w:eastAsia="宋体" w:cs="宋体"/>
                <w:color w:val="000000"/>
                <w:kern w:val="0"/>
                <w:sz w:val="18"/>
                <w:szCs w:val="18"/>
              </w:rPr>
            </w:pPr>
            <w:r>
              <w:rPr>
                <w:rFonts w:hint="eastAsia" w:ascii="宋体" w:hAnsi="宋体" w:cs="宋体"/>
                <w:color w:val="000000"/>
                <w:kern w:val="0"/>
                <w:sz w:val="18"/>
                <w:szCs w:val="18"/>
              </w:rPr>
              <w:t>2</w:t>
            </w:r>
          </w:p>
        </w:tc>
      </w:tr>
      <w:tr w14:paraId="58D89F23">
        <w:tblPrEx>
          <w:tblCellMar>
            <w:top w:w="0" w:type="dxa"/>
            <w:left w:w="108" w:type="dxa"/>
            <w:bottom w:w="0" w:type="dxa"/>
            <w:right w:w="108" w:type="dxa"/>
          </w:tblCellMar>
        </w:tblPrEx>
        <w:trPr>
          <w:trHeight w:val="270" w:hRule="atLeast"/>
        </w:trPr>
        <w:tc>
          <w:tcPr>
            <w:tcW w:w="1143" w:type="dxa"/>
            <w:vMerge w:val="continue"/>
            <w:tcBorders>
              <w:left w:val="single" w:color="auto" w:sz="4" w:space="0"/>
              <w:right w:val="single" w:color="auto" w:sz="4" w:space="0"/>
            </w:tcBorders>
            <w:vAlign w:val="center"/>
          </w:tcPr>
          <w:p w14:paraId="66B954BD">
            <w:pPr>
              <w:spacing w:line="240" w:lineRule="atLeast"/>
              <w:jc w:val="center"/>
              <w:rPr>
                <w:rFonts w:ascii="宋体" w:hAnsi="宋体" w:eastAsia="宋体" w:cs="宋体"/>
                <w:color w:val="000000"/>
                <w:kern w:val="0"/>
                <w:sz w:val="18"/>
                <w:szCs w:val="18"/>
              </w:rPr>
            </w:pPr>
          </w:p>
        </w:tc>
        <w:tc>
          <w:tcPr>
            <w:tcW w:w="1136" w:type="dxa"/>
            <w:vMerge w:val="continue"/>
            <w:tcBorders>
              <w:left w:val="nil"/>
              <w:right w:val="single" w:color="auto" w:sz="4" w:space="0"/>
            </w:tcBorders>
            <w:noWrap/>
            <w:vAlign w:val="center"/>
          </w:tcPr>
          <w:p w14:paraId="6C0C31D2">
            <w:pPr>
              <w:spacing w:line="240" w:lineRule="atLeast"/>
              <w:jc w:val="center"/>
              <w:rPr>
                <w:rFonts w:ascii="宋体" w:hAnsi="宋体" w:eastAsia="宋体" w:cs="宋体"/>
                <w:color w:val="000000"/>
                <w:kern w:val="0"/>
                <w:sz w:val="18"/>
                <w:szCs w:val="18"/>
              </w:rPr>
            </w:pPr>
          </w:p>
        </w:tc>
        <w:tc>
          <w:tcPr>
            <w:tcW w:w="5668" w:type="dxa"/>
            <w:tcBorders>
              <w:top w:val="nil"/>
              <w:left w:val="nil"/>
              <w:bottom w:val="single" w:color="auto" w:sz="4" w:space="0"/>
              <w:right w:val="single" w:color="auto" w:sz="4" w:space="0"/>
            </w:tcBorders>
            <w:noWrap/>
            <w:vAlign w:val="center"/>
          </w:tcPr>
          <w:p w14:paraId="688B5B24">
            <w:pPr>
              <w:widowControl/>
              <w:adjustRightInd w:val="0"/>
              <w:snapToGrid w:val="0"/>
              <w:rPr>
                <w:rFonts w:ascii="宋体" w:hAnsi="宋体" w:eastAsia="宋体" w:cs="宋体"/>
                <w:color w:val="000000"/>
                <w:kern w:val="0"/>
                <w:sz w:val="18"/>
                <w:szCs w:val="18"/>
              </w:rPr>
            </w:pPr>
            <w:r>
              <w:rPr>
                <w:rFonts w:hint="eastAsia" w:ascii="宋体" w:hAnsi="宋体" w:cs="宋体"/>
                <w:color w:val="000000"/>
                <w:kern w:val="0"/>
                <w:sz w:val="18"/>
                <w:szCs w:val="18"/>
              </w:rPr>
              <w:t>是否充分听取、吸收采纳了社会各界意见建议</w:t>
            </w:r>
          </w:p>
        </w:tc>
        <w:tc>
          <w:tcPr>
            <w:tcW w:w="891" w:type="dxa"/>
            <w:tcBorders>
              <w:top w:val="nil"/>
              <w:left w:val="nil"/>
              <w:bottom w:val="single" w:color="auto" w:sz="4" w:space="0"/>
              <w:right w:val="single" w:color="auto" w:sz="4" w:space="0"/>
            </w:tcBorders>
            <w:noWrap/>
            <w:vAlign w:val="center"/>
          </w:tcPr>
          <w:p w14:paraId="22EB81A2">
            <w:pPr>
              <w:widowControl/>
              <w:adjustRightInd w:val="0"/>
              <w:snapToGrid w:val="0"/>
              <w:jc w:val="center"/>
              <w:rPr>
                <w:rFonts w:ascii="宋体" w:hAnsi="宋体" w:eastAsia="宋体" w:cs="宋体"/>
                <w:color w:val="000000"/>
                <w:kern w:val="0"/>
                <w:sz w:val="18"/>
                <w:szCs w:val="18"/>
              </w:rPr>
            </w:pPr>
            <w:r>
              <w:rPr>
                <w:rFonts w:hint="eastAsia" w:ascii="宋体" w:hAnsi="宋体" w:cs="宋体"/>
                <w:color w:val="000000"/>
                <w:kern w:val="0"/>
                <w:sz w:val="18"/>
                <w:szCs w:val="18"/>
              </w:rPr>
              <w:t>2</w:t>
            </w:r>
          </w:p>
        </w:tc>
      </w:tr>
      <w:tr w14:paraId="079F6934">
        <w:tblPrEx>
          <w:tblCellMar>
            <w:top w:w="0" w:type="dxa"/>
            <w:left w:w="108" w:type="dxa"/>
            <w:bottom w:w="0" w:type="dxa"/>
            <w:right w:w="108" w:type="dxa"/>
          </w:tblCellMar>
        </w:tblPrEx>
        <w:trPr>
          <w:trHeight w:val="270" w:hRule="atLeast"/>
        </w:trPr>
        <w:tc>
          <w:tcPr>
            <w:tcW w:w="1143" w:type="dxa"/>
            <w:vMerge w:val="continue"/>
            <w:tcBorders>
              <w:left w:val="single" w:color="auto" w:sz="4" w:space="0"/>
              <w:right w:val="single" w:color="auto" w:sz="4" w:space="0"/>
            </w:tcBorders>
            <w:vAlign w:val="center"/>
          </w:tcPr>
          <w:p w14:paraId="70AF8362">
            <w:pPr>
              <w:spacing w:line="240" w:lineRule="atLeast"/>
              <w:jc w:val="center"/>
              <w:rPr>
                <w:rFonts w:ascii="宋体" w:hAnsi="宋体" w:eastAsia="宋体" w:cs="宋体"/>
                <w:color w:val="000000"/>
                <w:kern w:val="0"/>
                <w:sz w:val="18"/>
                <w:szCs w:val="18"/>
              </w:rPr>
            </w:pPr>
          </w:p>
        </w:tc>
        <w:tc>
          <w:tcPr>
            <w:tcW w:w="1136" w:type="dxa"/>
            <w:vMerge w:val="continue"/>
            <w:tcBorders>
              <w:left w:val="nil"/>
              <w:right w:val="single" w:color="auto" w:sz="4" w:space="0"/>
            </w:tcBorders>
            <w:noWrap/>
            <w:vAlign w:val="center"/>
          </w:tcPr>
          <w:p w14:paraId="284BC033">
            <w:pPr>
              <w:spacing w:line="240" w:lineRule="atLeast"/>
              <w:jc w:val="center"/>
              <w:rPr>
                <w:rFonts w:ascii="宋体" w:hAnsi="宋体" w:eastAsia="宋体" w:cs="宋体"/>
                <w:color w:val="000000"/>
                <w:kern w:val="0"/>
                <w:sz w:val="18"/>
                <w:szCs w:val="18"/>
              </w:rPr>
            </w:pPr>
          </w:p>
        </w:tc>
        <w:tc>
          <w:tcPr>
            <w:tcW w:w="5668" w:type="dxa"/>
            <w:tcBorders>
              <w:top w:val="nil"/>
              <w:left w:val="nil"/>
              <w:bottom w:val="single" w:color="auto" w:sz="4" w:space="0"/>
              <w:right w:val="single" w:color="auto" w:sz="4" w:space="0"/>
            </w:tcBorders>
            <w:noWrap/>
            <w:vAlign w:val="center"/>
          </w:tcPr>
          <w:p w14:paraId="568BB1EB">
            <w:pPr>
              <w:widowControl/>
              <w:adjustRightInd w:val="0"/>
              <w:snapToGrid w:val="0"/>
              <w:rPr>
                <w:rFonts w:ascii="宋体" w:hAnsi="宋体" w:eastAsia="宋体" w:cs="宋体"/>
                <w:color w:val="000000"/>
                <w:kern w:val="0"/>
                <w:sz w:val="18"/>
                <w:szCs w:val="18"/>
              </w:rPr>
            </w:pPr>
            <w:r>
              <w:rPr>
                <w:rFonts w:hint="eastAsia" w:ascii="宋体" w:hAnsi="宋体" w:eastAsia="宋体" w:cs="宋体"/>
                <w:color w:val="000000"/>
                <w:kern w:val="0"/>
                <w:sz w:val="18"/>
                <w:szCs w:val="18"/>
              </w:rPr>
              <w:t>是否经过专家论证</w:t>
            </w:r>
          </w:p>
        </w:tc>
        <w:tc>
          <w:tcPr>
            <w:tcW w:w="891" w:type="dxa"/>
            <w:tcBorders>
              <w:top w:val="nil"/>
              <w:left w:val="nil"/>
              <w:bottom w:val="single" w:color="auto" w:sz="4" w:space="0"/>
              <w:right w:val="single" w:color="auto" w:sz="4" w:space="0"/>
            </w:tcBorders>
            <w:noWrap/>
            <w:vAlign w:val="center"/>
          </w:tcPr>
          <w:p w14:paraId="3ADB04FD">
            <w:pPr>
              <w:widowControl/>
              <w:adjustRightInd w:val="0"/>
              <w:snapToGrid w:val="0"/>
              <w:jc w:val="center"/>
              <w:rPr>
                <w:rFonts w:ascii="宋体" w:hAnsi="宋体" w:eastAsia="宋体" w:cs="宋体"/>
                <w:color w:val="000000"/>
                <w:kern w:val="0"/>
                <w:sz w:val="18"/>
                <w:szCs w:val="18"/>
              </w:rPr>
            </w:pPr>
            <w:r>
              <w:rPr>
                <w:rFonts w:hint="eastAsia" w:ascii="宋体" w:hAnsi="宋体" w:cs="宋体"/>
                <w:color w:val="000000"/>
                <w:kern w:val="0"/>
                <w:sz w:val="18"/>
                <w:szCs w:val="18"/>
              </w:rPr>
              <w:t>2</w:t>
            </w:r>
          </w:p>
        </w:tc>
      </w:tr>
      <w:tr w14:paraId="78369CBE">
        <w:tblPrEx>
          <w:tblCellMar>
            <w:top w:w="0" w:type="dxa"/>
            <w:left w:w="108" w:type="dxa"/>
            <w:bottom w:w="0" w:type="dxa"/>
            <w:right w:w="108" w:type="dxa"/>
          </w:tblCellMar>
        </w:tblPrEx>
        <w:trPr>
          <w:trHeight w:val="270" w:hRule="atLeast"/>
        </w:trPr>
        <w:tc>
          <w:tcPr>
            <w:tcW w:w="1143" w:type="dxa"/>
            <w:vMerge w:val="continue"/>
            <w:tcBorders>
              <w:left w:val="single" w:color="auto" w:sz="4" w:space="0"/>
              <w:right w:val="single" w:color="auto" w:sz="4" w:space="0"/>
            </w:tcBorders>
            <w:vAlign w:val="center"/>
          </w:tcPr>
          <w:p w14:paraId="337D4C54">
            <w:pPr>
              <w:spacing w:line="240" w:lineRule="atLeast"/>
              <w:jc w:val="center"/>
              <w:rPr>
                <w:rFonts w:ascii="宋体" w:hAnsi="宋体" w:eastAsia="宋体" w:cs="宋体"/>
                <w:color w:val="000000"/>
                <w:kern w:val="0"/>
                <w:sz w:val="18"/>
                <w:szCs w:val="18"/>
              </w:rPr>
            </w:pPr>
          </w:p>
        </w:tc>
        <w:tc>
          <w:tcPr>
            <w:tcW w:w="1136" w:type="dxa"/>
            <w:vMerge w:val="continue"/>
            <w:tcBorders>
              <w:left w:val="nil"/>
              <w:right w:val="single" w:color="auto" w:sz="4" w:space="0"/>
            </w:tcBorders>
            <w:noWrap/>
            <w:vAlign w:val="center"/>
          </w:tcPr>
          <w:p w14:paraId="15BD1EFE">
            <w:pPr>
              <w:spacing w:line="240" w:lineRule="atLeast"/>
              <w:jc w:val="center"/>
              <w:rPr>
                <w:rFonts w:ascii="宋体" w:hAnsi="宋体" w:eastAsia="宋体" w:cs="宋体"/>
                <w:color w:val="000000"/>
                <w:kern w:val="0"/>
                <w:sz w:val="18"/>
                <w:szCs w:val="18"/>
              </w:rPr>
            </w:pPr>
          </w:p>
        </w:tc>
        <w:tc>
          <w:tcPr>
            <w:tcW w:w="5668" w:type="dxa"/>
            <w:tcBorders>
              <w:top w:val="nil"/>
              <w:left w:val="nil"/>
              <w:bottom w:val="single" w:color="auto" w:sz="4" w:space="0"/>
              <w:right w:val="single" w:color="auto" w:sz="4" w:space="0"/>
            </w:tcBorders>
            <w:noWrap/>
            <w:vAlign w:val="center"/>
          </w:tcPr>
          <w:p w14:paraId="51281B41">
            <w:pPr>
              <w:widowControl/>
              <w:adjustRightInd w:val="0"/>
              <w:snapToGrid w:val="0"/>
              <w:rPr>
                <w:rFonts w:ascii="宋体" w:hAnsi="宋体" w:eastAsia="宋体" w:cs="宋体"/>
                <w:color w:val="000000"/>
                <w:kern w:val="0"/>
                <w:sz w:val="18"/>
                <w:szCs w:val="18"/>
              </w:rPr>
            </w:pPr>
            <w:r>
              <w:rPr>
                <w:rFonts w:hint="eastAsia" w:ascii="宋体" w:hAnsi="宋体" w:eastAsia="宋体" w:cs="宋体"/>
                <w:color w:val="000000"/>
                <w:kern w:val="0"/>
                <w:sz w:val="18"/>
                <w:szCs w:val="18"/>
              </w:rPr>
              <w:t>改革改制方案是否依法依规召开职代会并获通过</w:t>
            </w:r>
            <w:r>
              <w:rPr>
                <w:rFonts w:hint="eastAsia" w:ascii="宋体" w:hAnsi="宋体" w:eastAsia="宋体" w:cs="宋体"/>
                <w:color w:val="000000"/>
                <w:kern w:val="0"/>
                <w:sz w:val="18"/>
                <w:szCs w:val="18"/>
              </w:rPr>
              <w:sym w:font="Wingdings" w:char="F0B5"/>
            </w:r>
          </w:p>
        </w:tc>
        <w:tc>
          <w:tcPr>
            <w:tcW w:w="891" w:type="dxa"/>
            <w:tcBorders>
              <w:top w:val="nil"/>
              <w:left w:val="nil"/>
              <w:bottom w:val="single" w:color="auto" w:sz="4" w:space="0"/>
              <w:right w:val="single" w:color="auto" w:sz="4" w:space="0"/>
            </w:tcBorders>
            <w:noWrap/>
            <w:vAlign w:val="center"/>
          </w:tcPr>
          <w:p w14:paraId="04BDADB3">
            <w:pPr>
              <w:widowControl/>
              <w:adjustRightInd w:val="0"/>
              <w:snapToGrid w:val="0"/>
              <w:jc w:val="center"/>
              <w:rPr>
                <w:rFonts w:ascii="宋体" w:hAnsi="宋体" w:eastAsia="宋体" w:cs="宋体"/>
                <w:color w:val="000000"/>
                <w:kern w:val="0"/>
                <w:sz w:val="18"/>
                <w:szCs w:val="18"/>
              </w:rPr>
            </w:pPr>
            <w:r>
              <w:rPr>
                <w:rFonts w:hint="eastAsia" w:ascii="宋体" w:hAnsi="宋体" w:cs="宋体"/>
                <w:color w:val="000000"/>
                <w:kern w:val="0"/>
                <w:sz w:val="18"/>
                <w:szCs w:val="18"/>
              </w:rPr>
              <w:t>2</w:t>
            </w:r>
          </w:p>
        </w:tc>
      </w:tr>
      <w:tr w14:paraId="3D9C540D">
        <w:tblPrEx>
          <w:tblCellMar>
            <w:top w:w="0" w:type="dxa"/>
            <w:left w:w="108" w:type="dxa"/>
            <w:bottom w:w="0" w:type="dxa"/>
            <w:right w:w="108" w:type="dxa"/>
          </w:tblCellMar>
        </w:tblPrEx>
        <w:trPr>
          <w:trHeight w:val="270" w:hRule="atLeast"/>
        </w:trPr>
        <w:tc>
          <w:tcPr>
            <w:tcW w:w="1143" w:type="dxa"/>
            <w:vMerge w:val="continue"/>
            <w:tcBorders>
              <w:left w:val="single" w:color="auto" w:sz="4" w:space="0"/>
              <w:bottom w:val="single" w:color="auto" w:sz="4" w:space="0"/>
              <w:right w:val="single" w:color="auto" w:sz="4" w:space="0"/>
            </w:tcBorders>
            <w:vAlign w:val="center"/>
          </w:tcPr>
          <w:p w14:paraId="4DBB1F93">
            <w:pPr>
              <w:widowControl/>
              <w:spacing w:line="240" w:lineRule="atLeast"/>
              <w:jc w:val="center"/>
              <w:rPr>
                <w:rFonts w:ascii="宋体" w:hAnsi="宋体" w:eastAsia="宋体" w:cs="宋体"/>
                <w:color w:val="000000"/>
                <w:kern w:val="0"/>
                <w:sz w:val="18"/>
                <w:szCs w:val="18"/>
              </w:rPr>
            </w:pPr>
          </w:p>
        </w:tc>
        <w:tc>
          <w:tcPr>
            <w:tcW w:w="1136" w:type="dxa"/>
            <w:vMerge w:val="continue"/>
            <w:tcBorders>
              <w:left w:val="nil"/>
              <w:bottom w:val="single" w:color="auto" w:sz="4" w:space="0"/>
              <w:right w:val="single" w:color="auto" w:sz="4" w:space="0"/>
            </w:tcBorders>
            <w:noWrap/>
            <w:vAlign w:val="center"/>
          </w:tcPr>
          <w:p w14:paraId="6881D68A">
            <w:pPr>
              <w:widowControl/>
              <w:spacing w:line="240" w:lineRule="atLeast"/>
              <w:jc w:val="center"/>
              <w:rPr>
                <w:rFonts w:ascii="宋体" w:hAnsi="宋体" w:eastAsia="宋体" w:cs="宋体"/>
                <w:color w:val="000000"/>
                <w:kern w:val="0"/>
                <w:sz w:val="18"/>
                <w:szCs w:val="18"/>
              </w:rPr>
            </w:pPr>
          </w:p>
        </w:tc>
        <w:tc>
          <w:tcPr>
            <w:tcW w:w="5668" w:type="dxa"/>
            <w:tcBorders>
              <w:top w:val="nil"/>
              <w:left w:val="nil"/>
              <w:bottom w:val="single" w:color="auto" w:sz="4" w:space="0"/>
              <w:right w:val="single" w:color="auto" w:sz="4" w:space="0"/>
            </w:tcBorders>
            <w:noWrap/>
            <w:vAlign w:val="center"/>
          </w:tcPr>
          <w:p w14:paraId="731DE4BA">
            <w:pPr>
              <w:widowControl/>
              <w:adjustRightInd w:val="0"/>
              <w:snapToGrid w:val="0"/>
              <w:rPr>
                <w:rFonts w:ascii="宋体" w:hAnsi="宋体" w:eastAsia="宋体" w:cs="宋体"/>
                <w:color w:val="000000"/>
                <w:kern w:val="0"/>
                <w:sz w:val="18"/>
                <w:szCs w:val="18"/>
              </w:rPr>
            </w:pPr>
            <w:r>
              <w:rPr>
                <w:rFonts w:hint="eastAsia" w:ascii="宋体" w:hAnsi="宋体" w:cs="宋体"/>
                <w:color w:val="000000"/>
                <w:kern w:val="0"/>
                <w:sz w:val="18"/>
                <w:szCs w:val="18"/>
              </w:rPr>
              <w:t>承办部门在将改革改制方案提交决策主体决策前是否经过集体讨论决定</w:t>
            </w:r>
          </w:p>
        </w:tc>
        <w:tc>
          <w:tcPr>
            <w:tcW w:w="891" w:type="dxa"/>
            <w:tcBorders>
              <w:top w:val="nil"/>
              <w:left w:val="nil"/>
              <w:bottom w:val="single" w:color="auto" w:sz="4" w:space="0"/>
              <w:right w:val="single" w:color="auto" w:sz="4" w:space="0"/>
            </w:tcBorders>
            <w:noWrap/>
            <w:vAlign w:val="center"/>
          </w:tcPr>
          <w:p w14:paraId="47453047">
            <w:pPr>
              <w:widowControl/>
              <w:adjustRightInd w:val="0"/>
              <w:snapToGrid w:val="0"/>
              <w:jc w:val="center"/>
              <w:rPr>
                <w:rFonts w:ascii="宋体" w:hAnsi="宋体" w:eastAsia="宋体" w:cs="宋体"/>
                <w:color w:val="000000"/>
                <w:kern w:val="0"/>
                <w:sz w:val="18"/>
                <w:szCs w:val="18"/>
              </w:rPr>
            </w:pPr>
            <w:r>
              <w:rPr>
                <w:rFonts w:hint="eastAsia" w:ascii="宋体" w:hAnsi="宋体" w:cs="宋体"/>
                <w:color w:val="000000"/>
                <w:kern w:val="0"/>
                <w:sz w:val="18"/>
                <w:szCs w:val="18"/>
              </w:rPr>
              <w:t>2</w:t>
            </w:r>
          </w:p>
        </w:tc>
      </w:tr>
      <w:tr w14:paraId="4CD4C036">
        <w:tblPrEx>
          <w:tblCellMar>
            <w:top w:w="0" w:type="dxa"/>
            <w:left w:w="108" w:type="dxa"/>
            <w:bottom w:w="0" w:type="dxa"/>
            <w:right w:w="108" w:type="dxa"/>
          </w:tblCellMar>
        </w:tblPrEx>
        <w:trPr>
          <w:trHeight w:val="270" w:hRule="atLeast"/>
        </w:trPr>
        <w:tc>
          <w:tcPr>
            <w:tcW w:w="1143" w:type="dxa"/>
            <w:vMerge w:val="restart"/>
            <w:tcBorders>
              <w:top w:val="single" w:color="auto" w:sz="4" w:space="0"/>
              <w:left w:val="single" w:color="auto" w:sz="4" w:space="0"/>
              <w:right w:val="single" w:color="auto" w:sz="4" w:space="0"/>
            </w:tcBorders>
            <w:vAlign w:val="center"/>
          </w:tcPr>
          <w:p w14:paraId="5C5B9F06">
            <w:pPr>
              <w:widowControl/>
              <w:spacing w:line="240" w:lineRule="atLeast"/>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合理性</w:t>
            </w:r>
          </w:p>
          <w:p w14:paraId="36398996">
            <w:pPr>
              <w:widowControl/>
              <w:spacing w:line="240" w:lineRule="atLeast"/>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（20分）</w:t>
            </w:r>
          </w:p>
        </w:tc>
        <w:tc>
          <w:tcPr>
            <w:tcW w:w="1136" w:type="dxa"/>
            <w:vMerge w:val="restart"/>
            <w:tcBorders>
              <w:top w:val="nil"/>
              <w:left w:val="nil"/>
              <w:right w:val="single" w:color="auto" w:sz="4" w:space="0"/>
            </w:tcBorders>
            <w:noWrap/>
            <w:vAlign w:val="center"/>
          </w:tcPr>
          <w:p w14:paraId="69497221">
            <w:pPr>
              <w:widowControl/>
              <w:spacing w:line="240" w:lineRule="atLeast"/>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公平公正</w:t>
            </w:r>
          </w:p>
          <w:p w14:paraId="2DF9B421">
            <w:pPr>
              <w:widowControl/>
              <w:spacing w:line="240" w:lineRule="atLeast"/>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（6分）</w:t>
            </w:r>
          </w:p>
        </w:tc>
        <w:tc>
          <w:tcPr>
            <w:tcW w:w="5668" w:type="dxa"/>
            <w:tcBorders>
              <w:top w:val="nil"/>
              <w:left w:val="nil"/>
              <w:bottom w:val="single" w:color="auto" w:sz="4" w:space="0"/>
              <w:right w:val="single" w:color="auto" w:sz="4" w:space="0"/>
            </w:tcBorders>
            <w:noWrap/>
            <w:vAlign w:val="center"/>
          </w:tcPr>
          <w:p w14:paraId="07885808">
            <w:pPr>
              <w:widowControl/>
              <w:adjustRightInd w:val="0"/>
              <w:snapToGrid w:val="0"/>
              <w:rPr>
                <w:rFonts w:ascii="宋体" w:hAnsi="宋体" w:eastAsia="宋体" w:cs="宋体"/>
                <w:color w:val="000000"/>
                <w:kern w:val="0"/>
                <w:sz w:val="18"/>
                <w:szCs w:val="18"/>
              </w:rPr>
            </w:pPr>
            <w:r>
              <w:rPr>
                <w:rFonts w:hint="eastAsia" w:ascii="宋体" w:eastAsia="宋体"/>
                <w:color w:val="000000"/>
                <w:kern w:val="0"/>
                <w:sz w:val="18"/>
                <w:szCs w:val="18"/>
              </w:rPr>
              <w:t>是否充分考虑职工不同年龄、不同工种、不同用工性质等情形合法权益保障</w:t>
            </w:r>
          </w:p>
        </w:tc>
        <w:tc>
          <w:tcPr>
            <w:tcW w:w="891" w:type="dxa"/>
            <w:tcBorders>
              <w:top w:val="nil"/>
              <w:left w:val="nil"/>
              <w:bottom w:val="single" w:color="auto" w:sz="4" w:space="0"/>
              <w:right w:val="single" w:color="auto" w:sz="4" w:space="0"/>
            </w:tcBorders>
            <w:noWrap/>
            <w:vAlign w:val="center"/>
          </w:tcPr>
          <w:p w14:paraId="5CD2C091">
            <w:pPr>
              <w:widowControl/>
              <w:adjustRightInd w:val="0"/>
              <w:snapToGrid w:val="0"/>
              <w:jc w:val="center"/>
              <w:rPr>
                <w:rFonts w:ascii="宋体" w:eastAsia="宋体"/>
                <w:color w:val="000000"/>
                <w:kern w:val="0"/>
                <w:sz w:val="18"/>
                <w:szCs w:val="18"/>
              </w:rPr>
            </w:pPr>
            <w:r>
              <w:rPr>
                <w:rFonts w:hint="eastAsia" w:ascii="宋体"/>
                <w:color w:val="000000"/>
                <w:kern w:val="0"/>
                <w:sz w:val="18"/>
                <w:szCs w:val="18"/>
              </w:rPr>
              <w:t>2</w:t>
            </w:r>
          </w:p>
        </w:tc>
      </w:tr>
      <w:tr w14:paraId="6992C532">
        <w:tblPrEx>
          <w:tblCellMar>
            <w:top w:w="0" w:type="dxa"/>
            <w:left w:w="108" w:type="dxa"/>
            <w:bottom w:w="0" w:type="dxa"/>
            <w:right w:w="108" w:type="dxa"/>
          </w:tblCellMar>
        </w:tblPrEx>
        <w:trPr>
          <w:trHeight w:val="270" w:hRule="atLeast"/>
        </w:trPr>
        <w:tc>
          <w:tcPr>
            <w:tcW w:w="1143" w:type="dxa"/>
            <w:vMerge w:val="continue"/>
            <w:tcBorders>
              <w:top w:val="single" w:color="auto" w:sz="4" w:space="0"/>
              <w:left w:val="single" w:color="auto" w:sz="4" w:space="0"/>
              <w:right w:val="single" w:color="auto" w:sz="4" w:space="0"/>
            </w:tcBorders>
            <w:vAlign w:val="center"/>
          </w:tcPr>
          <w:p w14:paraId="10EF9E4F">
            <w:pPr>
              <w:widowControl/>
              <w:spacing w:line="240" w:lineRule="atLeast"/>
              <w:jc w:val="center"/>
              <w:rPr>
                <w:rFonts w:ascii="宋体" w:hAnsi="宋体" w:eastAsia="宋体" w:cs="宋体"/>
                <w:color w:val="000000"/>
                <w:kern w:val="0"/>
                <w:sz w:val="18"/>
                <w:szCs w:val="18"/>
              </w:rPr>
            </w:pPr>
          </w:p>
        </w:tc>
        <w:tc>
          <w:tcPr>
            <w:tcW w:w="1136" w:type="dxa"/>
            <w:vMerge w:val="continue"/>
            <w:tcBorders>
              <w:top w:val="nil"/>
              <w:left w:val="nil"/>
              <w:right w:val="single" w:color="auto" w:sz="4" w:space="0"/>
            </w:tcBorders>
            <w:noWrap/>
            <w:vAlign w:val="center"/>
          </w:tcPr>
          <w:p w14:paraId="71F3DED0">
            <w:pPr>
              <w:widowControl/>
              <w:spacing w:line="240" w:lineRule="atLeast"/>
              <w:jc w:val="center"/>
              <w:rPr>
                <w:rFonts w:ascii="宋体" w:hAnsi="宋体" w:eastAsia="宋体" w:cs="宋体"/>
                <w:color w:val="000000"/>
                <w:kern w:val="0"/>
                <w:sz w:val="18"/>
                <w:szCs w:val="18"/>
              </w:rPr>
            </w:pPr>
          </w:p>
        </w:tc>
        <w:tc>
          <w:tcPr>
            <w:tcW w:w="5668" w:type="dxa"/>
            <w:tcBorders>
              <w:top w:val="nil"/>
              <w:left w:val="nil"/>
              <w:bottom w:val="single" w:color="auto" w:sz="4" w:space="0"/>
              <w:right w:val="single" w:color="auto" w:sz="4" w:space="0"/>
            </w:tcBorders>
            <w:noWrap/>
            <w:vAlign w:val="center"/>
          </w:tcPr>
          <w:p w14:paraId="51E61180">
            <w:pPr>
              <w:widowControl/>
              <w:adjustRightInd w:val="0"/>
              <w:snapToGrid w:val="0"/>
              <w:spacing w:line="240" w:lineRule="exact"/>
              <w:rPr>
                <w:rFonts w:ascii="宋体" w:hAnsi="宋体" w:cs="宋体"/>
                <w:color w:val="000000"/>
                <w:kern w:val="0"/>
                <w:sz w:val="18"/>
                <w:szCs w:val="18"/>
              </w:rPr>
            </w:pPr>
            <w:r>
              <w:rPr>
                <w:rFonts w:hint="eastAsia" w:ascii="宋体" w:hAnsi="宋体" w:cs="宋体"/>
                <w:color w:val="000000"/>
                <w:kern w:val="0"/>
                <w:sz w:val="18"/>
                <w:szCs w:val="18"/>
              </w:rPr>
              <w:t>是否存在损害群众合法权益的情形</w:t>
            </w:r>
          </w:p>
        </w:tc>
        <w:tc>
          <w:tcPr>
            <w:tcW w:w="891" w:type="dxa"/>
            <w:tcBorders>
              <w:top w:val="nil"/>
              <w:left w:val="nil"/>
              <w:bottom w:val="single" w:color="auto" w:sz="4" w:space="0"/>
              <w:right w:val="single" w:color="auto" w:sz="4" w:space="0"/>
            </w:tcBorders>
            <w:noWrap/>
            <w:vAlign w:val="center"/>
          </w:tcPr>
          <w:p w14:paraId="3711D8C6">
            <w:pPr>
              <w:widowControl/>
              <w:adjustRightInd w:val="0"/>
              <w:snapToGrid w:val="0"/>
              <w:spacing w:line="240" w:lineRule="exact"/>
              <w:jc w:val="center"/>
              <w:rPr>
                <w:rFonts w:ascii="宋体" w:hAnsi="宋体" w:eastAsia="宋体" w:cs="宋体"/>
                <w:color w:val="000000"/>
                <w:kern w:val="0"/>
                <w:sz w:val="18"/>
                <w:szCs w:val="18"/>
              </w:rPr>
            </w:pPr>
            <w:r>
              <w:rPr>
                <w:rFonts w:hint="eastAsia" w:ascii="宋体" w:hAnsi="宋体" w:cs="宋体"/>
                <w:color w:val="000000"/>
                <w:kern w:val="0"/>
                <w:sz w:val="18"/>
                <w:szCs w:val="18"/>
              </w:rPr>
              <w:t>2</w:t>
            </w:r>
          </w:p>
        </w:tc>
      </w:tr>
      <w:tr w14:paraId="6540ACC4">
        <w:tblPrEx>
          <w:tblCellMar>
            <w:top w:w="0" w:type="dxa"/>
            <w:left w:w="108" w:type="dxa"/>
            <w:bottom w:w="0" w:type="dxa"/>
            <w:right w:w="108" w:type="dxa"/>
          </w:tblCellMar>
        </w:tblPrEx>
        <w:trPr>
          <w:trHeight w:val="270" w:hRule="atLeast"/>
        </w:trPr>
        <w:tc>
          <w:tcPr>
            <w:tcW w:w="1143" w:type="dxa"/>
            <w:vMerge w:val="continue"/>
            <w:tcBorders>
              <w:top w:val="single" w:color="auto" w:sz="4" w:space="0"/>
              <w:left w:val="single" w:color="auto" w:sz="4" w:space="0"/>
              <w:right w:val="single" w:color="auto" w:sz="4" w:space="0"/>
            </w:tcBorders>
            <w:vAlign w:val="center"/>
          </w:tcPr>
          <w:p w14:paraId="058357D2">
            <w:pPr>
              <w:widowControl/>
              <w:spacing w:line="240" w:lineRule="atLeast"/>
              <w:jc w:val="center"/>
              <w:rPr>
                <w:rFonts w:ascii="宋体" w:hAnsi="宋体" w:eastAsia="宋体" w:cs="宋体"/>
                <w:color w:val="000000"/>
                <w:kern w:val="0"/>
                <w:sz w:val="18"/>
                <w:szCs w:val="18"/>
              </w:rPr>
            </w:pPr>
          </w:p>
        </w:tc>
        <w:tc>
          <w:tcPr>
            <w:tcW w:w="1136" w:type="dxa"/>
            <w:vMerge w:val="continue"/>
            <w:tcBorders>
              <w:top w:val="nil"/>
              <w:left w:val="nil"/>
              <w:right w:val="single" w:color="auto" w:sz="4" w:space="0"/>
            </w:tcBorders>
            <w:noWrap/>
            <w:vAlign w:val="center"/>
          </w:tcPr>
          <w:p w14:paraId="453D71DC">
            <w:pPr>
              <w:widowControl/>
              <w:spacing w:line="240" w:lineRule="atLeast"/>
              <w:jc w:val="center"/>
              <w:rPr>
                <w:rFonts w:ascii="宋体" w:hAnsi="宋体" w:eastAsia="宋体" w:cs="宋体"/>
                <w:color w:val="000000"/>
                <w:kern w:val="0"/>
                <w:sz w:val="18"/>
                <w:szCs w:val="18"/>
              </w:rPr>
            </w:pPr>
          </w:p>
        </w:tc>
        <w:tc>
          <w:tcPr>
            <w:tcW w:w="5668" w:type="dxa"/>
            <w:tcBorders>
              <w:top w:val="nil"/>
              <w:left w:val="nil"/>
              <w:bottom w:val="single" w:color="auto" w:sz="4" w:space="0"/>
              <w:right w:val="single" w:color="auto" w:sz="4" w:space="0"/>
            </w:tcBorders>
            <w:noWrap/>
            <w:vAlign w:val="center"/>
          </w:tcPr>
          <w:p w14:paraId="4803C5A4">
            <w:pPr>
              <w:widowControl/>
              <w:adjustRightInd w:val="0"/>
              <w:snapToGrid w:val="0"/>
              <w:spacing w:line="240" w:lineRule="exact"/>
              <w:rPr>
                <w:rFonts w:ascii="宋体" w:hAnsi="宋体" w:cs="宋体"/>
                <w:color w:val="000000"/>
                <w:kern w:val="0"/>
                <w:sz w:val="18"/>
                <w:szCs w:val="18"/>
              </w:rPr>
            </w:pPr>
            <w:r>
              <w:rPr>
                <w:rFonts w:hint="eastAsia" w:ascii="宋体" w:hAnsi="宋体" w:cs="宋体"/>
                <w:color w:val="000000"/>
                <w:kern w:val="0"/>
                <w:sz w:val="18"/>
                <w:szCs w:val="18"/>
              </w:rPr>
              <w:t>是否存在国有、集体资产流失情形</w:t>
            </w:r>
          </w:p>
        </w:tc>
        <w:tc>
          <w:tcPr>
            <w:tcW w:w="891" w:type="dxa"/>
            <w:tcBorders>
              <w:top w:val="nil"/>
              <w:left w:val="nil"/>
              <w:bottom w:val="single" w:color="auto" w:sz="4" w:space="0"/>
              <w:right w:val="single" w:color="auto" w:sz="4" w:space="0"/>
            </w:tcBorders>
            <w:noWrap/>
            <w:vAlign w:val="center"/>
          </w:tcPr>
          <w:p w14:paraId="2285DCAA">
            <w:pPr>
              <w:widowControl/>
              <w:adjustRightInd w:val="0"/>
              <w:snapToGrid w:val="0"/>
              <w:spacing w:line="240" w:lineRule="exact"/>
              <w:jc w:val="center"/>
              <w:rPr>
                <w:rFonts w:ascii="宋体" w:hAnsi="宋体" w:eastAsia="宋体" w:cs="宋体"/>
                <w:color w:val="000000"/>
                <w:kern w:val="0"/>
                <w:sz w:val="18"/>
                <w:szCs w:val="18"/>
              </w:rPr>
            </w:pPr>
            <w:r>
              <w:rPr>
                <w:rFonts w:hint="eastAsia" w:ascii="宋体" w:hAnsi="宋体" w:cs="宋体"/>
                <w:color w:val="000000"/>
                <w:kern w:val="0"/>
                <w:sz w:val="18"/>
                <w:szCs w:val="18"/>
              </w:rPr>
              <w:t>1</w:t>
            </w:r>
          </w:p>
        </w:tc>
      </w:tr>
      <w:tr w14:paraId="281246DD">
        <w:tblPrEx>
          <w:tblCellMar>
            <w:top w:w="0" w:type="dxa"/>
            <w:left w:w="108" w:type="dxa"/>
            <w:bottom w:w="0" w:type="dxa"/>
            <w:right w:w="108" w:type="dxa"/>
          </w:tblCellMar>
        </w:tblPrEx>
        <w:trPr>
          <w:trHeight w:val="270" w:hRule="atLeast"/>
        </w:trPr>
        <w:tc>
          <w:tcPr>
            <w:tcW w:w="1143" w:type="dxa"/>
            <w:vMerge w:val="continue"/>
            <w:tcBorders>
              <w:top w:val="single" w:color="auto" w:sz="4" w:space="0"/>
              <w:left w:val="single" w:color="auto" w:sz="4" w:space="0"/>
              <w:right w:val="single" w:color="auto" w:sz="4" w:space="0"/>
            </w:tcBorders>
            <w:vAlign w:val="center"/>
          </w:tcPr>
          <w:p w14:paraId="18BD9FC0">
            <w:pPr>
              <w:widowControl/>
              <w:spacing w:line="240" w:lineRule="atLeast"/>
              <w:jc w:val="center"/>
              <w:rPr>
                <w:rFonts w:ascii="宋体" w:hAnsi="宋体" w:eastAsia="宋体" w:cs="宋体"/>
                <w:color w:val="000000"/>
                <w:kern w:val="0"/>
                <w:sz w:val="18"/>
                <w:szCs w:val="18"/>
              </w:rPr>
            </w:pPr>
          </w:p>
        </w:tc>
        <w:tc>
          <w:tcPr>
            <w:tcW w:w="1136" w:type="dxa"/>
            <w:vMerge w:val="continue"/>
            <w:tcBorders>
              <w:left w:val="nil"/>
              <w:bottom w:val="single" w:color="auto" w:sz="4" w:space="0"/>
              <w:right w:val="single" w:color="auto" w:sz="4" w:space="0"/>
            </w:tcBorders>
            <w:noWrap/>
            <w:vAlign w:val="center"/>
          </w:tcPr>
          <w:p w14:paraId="6A63FB3A">
            <w:pPr>
              <w:widowControl/>
              <w:spacing w:line="240" w:lineRule="atLeast"/>
              <w:jc w:val="center"/>
              <w:rPr>
                <w:rFonts w:ascii="宋体" w:hAnsi="宋体" w:eastAsia="宋体" w:cs="宋体"/>
                <w:color w:val="000000"/>
                <w:kern w:val="0"/>
                <w:sz w:val="18"/>
                <w:szCs w:val="18"/>
              </w:rPr>
            </w:pPr>
          </w:p>
        </w:tc>
        <w:tc>
          <w:tcPr>
            <w:tcW w:w="5668" w:type="dxa"/>
            <w:tcBorders>
              <w:top w:val="nil"/>
              <w:left w:val="nil"/>
              <w:bottom w:val="single" w:color="auto" w:sz="4" w:space="0"/>
              <w:right w:val="single" w:color="auto" w:sz="4" w:space="0"/>
            </w:tcBorders>
            <w:noWrap/>
            <w:vAlign w:val="center"/>
          </w:tcPr>
          <w:p w14:paraId="38EAD452">
            <w:pPr>
              <w:widowControl/>
              <w:adjustRightInd w:val="0"/>
              <w:snapToGrid w:val="0"/>
              <w:spacing w:line="240" w:lineRule="exact"/>
              <w:rPr>
                <w:rFonts w:ascii="宋体" w:hAnsi="宋体" w:cs="宋体"/>
                <w:color w:val="000000"/>
                <w:kern w:val="0"/>
                <w:sz w:val="18"/>
                <w:szCs w:val="18"/>
              </w:rPr>
            </w:pPr>
            <w:r>
              <w:rPr>
                <w:rFonts w:hint="eastAsia" w:ascii="宋体" w:hAnsi="宋体" w:cs="宋体"/>
                <w:color w:val="000000"/>
                <w:kern w:val="0"/>
                <w:sz w:val="18"/>
                <w:szCs w:val="18"/>
              </w:rPr>
              <w:t>是否回应利益相关者合理诉求</w:t>
            </w:r>
          </w:p>
        </w:tc>
        <w:tc>
          <w:tcPr>
            <w:tcW w:w="891" w:type="dxa"/>
            <w:tcBorders>
              <w:top w:val="nil"/>
              <w:left w:val="nil"/>
              <w:bottom w:val="single" w:color="auto" w:sz="4" w:space="0"/>
              <w:right w:val="single" w:color="auto" w:sz="4" w:space="0"/>
            </w:tcBorders>
            <w:noWrap/>
            <w:vAlign w:val="center"/>
          </w:tcPr>
          <w:p w14:paraId="214D431A">
            <w:pPr>
              <w:widowControl/>
              <w:adjustRightInd w:val="0"/>
              <w:snapToGrid w:val="0"/>
              <w:spacing w:line="240" w:lineRule="exact"/>
              <w:jc w:val="center"/>
              <w:rPr>
                <w:rFonts w:ascii="宋体" w:hAnsi="宋体" w:eastAsia="宋体" w:cs="宋体"/>
                <w:color w:val="000000"/>
                <w:kern w:val="0"/>
                <w:sz w:val="18"/>
                <w:szCs w:val="18"/>
              </w:rPr>
            </w:pPr>
            <w:r>
              <w:rPr>
                <w:rFonts w:hint="eastAsia" w:ascii="宋体" w:hAnsi="宋体" w:cs="宋体"/>
                <w:color w:val="000000"/>
                <w:kern w:val="0"/>
                <w:sz w:val="18"/>
                <w:szCs w:val="18"/>
              </w:rPr>
              <w:t>1</w:t>
            </w:r>
          </w:p>
        </w:tc>
      </w:tr>
      <w:tr w14:paraId="6F1ED58F">
        <w:tblPrEx>
          <w:tblCellMar>
            <w:top w:w="0" w:type="dxa"/>
            <w:left w:w="108" w:type="dxa"/>
            <w:bottom w:w="0" w:type="dxa"/>
            <w:right w:w="108" w:type="dxa"/>
          </w:tblCellMar>
        </w:tblPrEx>
        <w:trPr>
          <w:trHeight w:val="270" w:hRule="atLeast"/>
        </w:trPr>
        <w:tc>
          <w:tcPr>
            <w:tcW w:w="1143" w:type="dxa"/>
            <w:vMerge w:val="continue"/>
            <w:tcBorders>
              <w:left w:val="single" w:color="auto" w:sz="4" w:space="0"/>
              <w:right w:val="single" w:color="auto" w:sz="4" w:space="0"/>
            </w:tcBorders>
            <w:vAlign w:val="center"/>
          </w:tcPr>
          <w:p w14:paraId="10FB392F">
            <w:pPr>
              <w:widowControl/>
              <w:spacing w:line="240" w:lineRule="atLeast"/>
              <w:jc w:val="center"/>
              <w:rPr>
                <w:rFonts w:ascii="宋体" w:hAnsi="宋体" w:eastAsia="宋体" w:cs="宋体"/>
                <w:color w:val="000000"/>
                <w:kern w:val="0"/>
                <w:sz w:val="18"/>
                <w:szCs w:val="18"/>
              </w:rPr>
            </w:pPr>
          </w:p>
        </w:tc>
        <w:tc>
          <w:tcPr>
            <w:tcW w:w="1136" w:type="dxa"/>
            <w:vMerge w:val="restart"/>
            <w:tcBorders>
              <w:top w:val="single" w:color="auto" w:sz="4" w:space="0"/>
              <w:left w:val="nil"/>
              <w:right w:val="single" w:color="auto" w:sz="4" w:space="0"/>
            </w:tcBorders>
            <w:noWrap/>
            <w:vAlign w:val="center"/>
          </w:tcPr>
          <w:p w14:paraId="2BA8A0C9">
            <w:pPr>
              <w:widowControl/>
              <w:spacing w:line="240" w:lineRule="atLeast"/>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适宜适度</w:t>
            </w:r>
          </w:p>
          <w:p w14:paraId="4AAB9761">
            <w:pPr>
              <w:widowControl/>
              <w:spacing w:line="240" w:lineRule="atLeast"/>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（6分）</w:t>
            </w:r>
          </w:p>
        </w:tc>
        <w:tc>
          <w:tcPr>
            <w:tcW w:w="5668" w:type="dxa"/>
            <w:tcBorders>
              <w:top w:val="nil"/>
              <w:left w:val="nil"/>
              <w:bottom w:val="single" w:color="auto" w:sz="4" w:space="0"/>
              <w:right w:val="single" w:color="auto" w:sz="4" w:space="0"/>
            </w:tcBorders>
            <w:noWrap/>
            <w:vAlign w:val="center"/>
          </w:tcPr>
          <w:p w14:paraId="0C22C2F7">
            <w:pPr>
              <w:widowControl/>
              <w:adjustRightInd w:val="0"/>
              <w:snapToGrid w:val="0"/>
              <w:spacing w:line="240" w:lineRule="exact"/>
              <w:rPr>
                <w:rFonts w:ascii="宋体" w:hAnsi="宋体" w:cs="宋体"/>
                <w:color w:val="000000"/>
                <w:kern w:val="0"/>
                <w:sz w:val="18"/>
                <w:szCs w:val="18"/>
              </w:rPr>
            </w:pPr>
            <w:r>
              <w:rPr>
                <w:rFonts w:hint="eastAsia" w:ascii="宋体" w:hAnsi="宋体" w:cs="宋体"/>
                <w:color w:val="000000"/>
                <w:kern w:val="0"/>
                <w:sz w:val="18"/>
                <w:szCs w:val="18"/>
              </w:rPr>
              <w:t>是否符合本地经济社会长远发展规划</w:t>
            </w:r>
          </w:p>
        </w:tc>
        <w:tc>
          <w:tcPr>
            <w:tcW w:w="891" w:type="dxa"/>
            <w:tcBorders>
              <w:top w:val="nil"/>
              <w:left w:val="nil"/>
              <w:bottom w:val="single" w:color="auto" w:sz="4" w:space="0"/>
              <w:right w:val="single" w:color="auto" w:sz="4" w:space="0"/>
            </w:tcBorders>
            <w:noWrap/>
            <w:vAlign w:val="center"/>
          </w:tcPr>
          <w:p w14:paraId="0BAD0E60">
            <w:pPr>
              <w:widowControl/>
              <w:adjustRightInd w:val="0"/>
              <w:snapToGrid w:val="0"/>
              <w:spacing w:line="240" w:lineRule="exact"/>
              <w:jc w:val="center"/>
              <w:rPr>
                <w:rFonts w:ascii="宋体" w:hAnsi="宋体" w:eastAsia="宋体" w:cs="宋体"/>
                <w:color w:val="000000"/>
                <w:kern w:val="0"/>
                <w:sz w:val="18"/>
                <w:szCs w:val="18"/>
              </w:rPr>
            </w:pPr>
            <w:r>
              <w:rPr>
                <w:rFonts w:hint="eastAsia" w:ascii="宋体" w:hAnsi="宋体" w:cs="宋体"/>
                <w:color w:val="000000"/>
                <w:kern w:val="0"/>
                <w:sz w:val="18"/>
                <w:szCs w:val="18"/>
              </w:rPr>
              <w:t>2</w:t>
            </w:r>
          </w:p>
        </w:tc>
      </w:tr>
      <w:tr w14:paraId="43DB1B05">
        <w:tblPrEx>
          <w:tblCellMar>
            <w:top w:w="0" w:type="dxa"/>
            <w:left w:w="108" w:type="dxa"/>
            <w:bottom w:w="0" w:type="dxa"/>
            <w:right w:w="108" w:type="dxa"/>
          </w:tblCellMar>
        </w:tblPrEx>
        <w:trPr>
          <w:trHeight w:val="270" w:hRule="atLeast"/>
        </w:trPr>
        <w:tc>
          <w:tcPr>
            <w:tcW w:w="1143" w:type="dxa"/>
            <w:vMerge w:val="continue"/>
            <w:tcBorders>
              <w:left w:val="single" w:color="auto" w:sz="4" w:space="0"/>
              <w:right w:val="single" w:color="auto" w:sz="4" w:space="0"/>
            </w:tcBorders>
            <w:vAlign w:val="center"/>
          </w:tcPr>
          <w:p w14:paraId="3C5DD20C">
            <w:pPr>
              <w:widowControl/>
              <w:spacing w:line="240" w:lineRule="atLeast"/>
              <w:jc w:val="center"/>
              <w:rPr>
                <w:rFonts w:ascii="宋体" w:hAnsi="宋体" w:eastAsia="宋体" w:cs="宋体"/>
                <w:color w:val="000000"/>
                <w:kern w:val="0"/>
                <w:sz w:val="18"/>
                <w:szCs w:val="18"/>
              </w:rPr>
            </w:pPr>
          </w:p>
        </w:tc>
        <w:tc>
          <w:tcPr>
            <w:tcW w:w="1136" w:type="dxa"/>
            <w:vMerge w:val="continue"/>
            <w:tcBorders>
              <w:top w:val="single" w:color="auto" w:sz="4" w:space="0"/>
              <w:left w:val="nil"/>
              <w:right w:val="single" w:color="auto" w:sz="4" w:space="0"/>
            </w:tcBorders>
            <w:noWrap/>
            <w:vAlign w:val="center"/>
          </w:tcPr>
          <w:p w14:paraId="1EDC0638">
            <w:pPr>
              <w:widowControl/>
              <w:spacing w:line="240" w:lineRule="atLeast"/>
              <w:jc w:val="center"/>
              <w:rPr>
                <w:rFonts w:ascii="宋体" w:hAnsi="宋体" w:eastAsia="宋体" w:cs="宋体"/>
                <w:color w:val="000000"/>
                <w:kern w:val="0"/>
                <w:sz w:val="18"/>
                <w:szCs w:val="18"/>
              </w:rPr>
            </w:pPr>
          </w:p>
        </w:tc>
        <w:tc>
          <w:tcPr>
            <w:tcW w:w="5668" w:type="dxa"/>
            <w:tcBorders>
              <w:top w:val="nil"/>
              <w:left w:val="nil"/>
              <w:bottom w:val="single" w:color="auto" w:sz="4" w:space="0"/>
              <w:right w:val="single" w:color="auto" w:sz="4" w:space="0"/>
            </w:tcBorders>
            <w:noWrap/>
            <w:vAlign w:val="center"/>
          </w:tcPr>
          <w:p w14:paraId="5736FA07">
            <w:pPr>
              <w:widowControl/>
              <w:adjustRightInd w:val="0"/>
              <w:snapToGrid w:val="0"/>
              <w:rPr>
                <w:rFonts w:ascii="宋体" w:hAnsi="宋体" w:eastAsia="宋体" w:cs="宋体"/>
                <w:color w:val="000000"/>
                <w:kern w:val="0"/>
                <w:sz w:val="18"/>
                <w:szCs w:val="18"/>
              </w:rPr>
            </w:pPr>
            <w:r>
              <w:rPr>
                <w:rFonts w:hint="eastAsia" w:ascii="宋体" w:hAnsi="宋体" w:eastAsia="宋体" w:cs="宋体"/>
                <w:color w:val="000000"/>
                <w:kern w:val="0"/>
                <w:sz w:val="18"/>
                <w:szCs w:val="18"/>
              </w:rPr>
              <w:t>是否与当地经济社会发展状况相适应</w:t>
            </w:r>
          </w:p>
        </w:tc>
        <w:tc>
          <w:tcPr>
            <w:tcW w:w="891" w:type="dxa"/>
            <w:tcBorders>
              <w:top w:val="nil"/>
              <w:left w:val="nil"/>
              <w:bottom w:val="single" w:color="auto" w:sz="4" w:space="0"/>
              <w:right w:val="single" w:color="auto" w:sz="4" w:space="0"/>
            </w:tcBorders>
            <w:noWrap/>
            <w:vAlign w:val="center"/>
          </w:tcPr>
          <w:p w14:paraId="235BC85D">
            <w:pPr>
              <w:widowControl/>
              <w:adjustRightInd w:val="0"/>
              <w:snapToGrid w:val="0"/>
              <w:jc w:val="center"/>
              <w:rPr>
                <w:rFonts w:ascii="宋体" w:hAnsi="宋体" w:eastAsia="宋体" w:cs="宋体"/>
                <w:color w:val="000000"/>
                <w:kern w:val="0"/>
                <w:sz w:val="18"/>
                <w:szCs w:val="18"/>
              </w:rPr>
            </w:pPr>
            <w:r>
              <w:rPr>
                <w:rFonts w:hint="eastAsia" w:ascii="宋体" w:hAnsi="宋体" w:cs="宋体"/>
                <w:color w:val="000000"/>
                <w:kern w:val="0"/>
                <w:sz w:val="18"/>
                <w:szCs w:val="18"/>
              </w:rPr>
              <w:t>2</w:t>
            </w:r>
          </w:p>
        </w:tc>
      </w:tr>
      <w:tr w14:paraId="521ED16A">
        <w:tblPrEx>
          <w:tblCellMar>
            <w:top w:w="0" w:type="dxa"/>
            <w:left w:w="108" w:type="dxa"/>
            <w:bottom w:w="0" w:type="dxa"/>
            <w:right w:w="108" w:type="dxa"/>
          </w:tblCellMar>
        </w:tblPrEx>
        <w:trPr>
          <w:trHeight w:val="270" w:hRule="atLeast"/>
        </w:trPr>
        <w:tc>
          <w:tcPr>
            <w:tcW w:w="1143" w:type="dxa"/>
            <w:vMerge w:val="continue"/>
            <w:tcBorders>
              <w:left w:val="single" w:color="auto" w:sz="4" w:space="0"/>
              <w:right w:val="single" w:color="auto" w:sz="4" w:space="0"/>
            </w:tcBorders>
            <w:vAlign w:val="center"/>
          </w:tcPr>
          <w:p w14:paraId="2198CA27">
            <w:pPr>
              <w:widowControl/>
              <w:spacing w:line="240" w:lineRule="atLeast"/>
              <w:jc w:val="center"/>
              <w:rPr>
                <w:rFonts w:ascii="宋体" w:hAnsi="宋体" w:eastAsia="宋体" w:cs="宋体"/>
                <w:color w:val="000000"/>
                <w:kern w:val="0"/>
                <w:sz w:val="18"/>
                <w:szCs w:val="18"/>
              </w:rPr>
            </w:pPr>
          </w:p>
        </w:tc>
        <w:tc>
          <w:tcPr>
            <w:tcW w:w="1136" w:type="dxa"/>
            <w:vMerge w:val="continue"/>
            <w:tcBorders>
              <w:top w:val="single" w:color="auto" w:sz="4" w:space="0"/>
              <w:left w:val="nil"/>
              <w:right w:val="single" w:color="auto" w:sz="4" w:space="0"/>
            </w:tcBorders>
            <w:noWrap/>
            <w:vAlign w:val="center"/>
          </w:tcPr>
          <w:p w14:paraId="6240C4E6">
            <w:pPr>
              <w:widowControl/>
              <w:spacing w:line="240" w:lineRule="atLeast"/>
              <w:jc w:val="center"/>
              <w:rPr>
                <w:rFonts w:ascii="宋体" w:hAnsi="宋体" w:eastAsia="宋体" w:cs="宋体"/>
                <w:color w:val="000000"/>
                <w:kern w:val="0"/>
                <w:sz w:val="18"/>
                <w:szCs w:val="18"/>
              </w:rPr>
            </w:pPr>
          </w:p>
        </w:tc>
        <w:tc>
          <w:tcPr>
            <w:tcW w:w="5668" w:type="dxa"/>
            <w:tcBorders>
              <w:top w:val="nil"/>
              <w:left w:val="nil"/>
              <w:bottom w:val="single" w:color="auto" w:sz="4" w:space="0"/>
              <w:right w:val="single" w:color="auto" w:sz="4" w:space="0"/>
            </w:tcBorders>
            <w:noWrap/>
            <w:vAlign w:val="center"/>
          </w:tcPr>
          <w:p w14:paraId="7595A9F9">
            <w:pPr>
              <w:widowControl/>
              <w:adjustRightInd w:val="0"/>
              <w:snapToGrid w:val="0"/>
              <w:spacing w:line="240" w:lineRule="exact"/>
              <w:rPr>
                <w:rFonts w:ascii="宋体" w:hAnsi="宋体" w:cs="宋体"/>
                <w:color w:val="000000"/>
                <w:kern w:val="0"/>
                <w:sz w:val="18"/>
                <w:szCs w:val="18"/>
              </w:rPr>
            </w:pPr>
            <w:r>
              <w:rPr>
                <w:rFonts w:hint="eastAsia" w:ascii="宋体" w:hAnsi="宋体" w:eastAsia="宋体" w:cs="宋体"/>
                <w:color w:val="000000"/>
                <w:kern w:val="0"/>
                <w:sz w:val="18"/>
                <w:szCs w:val="18"/>
              </w:rPr>
              <w:t>推行改革改制的时机和条件是否成熟</w:t>
            </w:r>
          </w:p>
        </w:tc>
        <w:tc>
          <w:tcPr>
            <w:tcW w:w="891" w:type="dxa"/>
            <w:tcBorders>
              <w:top w:val="nil"/>
              <w:left w:val="nil"/>
              <w:bottom w:val="single" w:color="auto" w:sz="4" w:space="0"/>
              <w:right w:val="single" w:color="auto" w:sz="4" w:space="0"/>
            </w:tcBorders>
            <w:noWrap/>
            <w:vAlign w:val="center"/>
          </w:tcPr>
          <w:p w14:paraId="694AAD8A">
            <w:pPr>
              <w:widowControl/>
              <w:adjustRightInd w:val="0"/>
              <w:snapToGrid w:val="0"/>
              <w:spacing w:line="240" w:lineRule="exact"/>
              <w:jc w:val="center"/>
              <w:rPr>
                <w:rFonts w:ascii="宋体" w:hAnsi="宋体" w:eastAsia="宋体" w:cs="宋体"/>
                <w:color w:val="000000"/>
                <w:kern w:val="0"/>
                <w:sz w:val="18"/>
                <w:szCs w:val="18"/>
              </w:rPr>
            </w:pPr>
            <w:r>
              <w:rPr>
                <w:rFonts w:hint="eastAsia" w:ascii="宋体" w:hAnsi="宋体" w:cs="宋体"/>
                <w:color w:val="000000"/>
                <w:kern w:val="0"/>
                <w:sz w:val="18"/>
                <w:szCs w:val="18"/>
              </w:rPr>
              <w:t>1</w:t>
            </w:r>
          </w:p>
        </w:tc>
      </w:tr>
      <w:tr w14:paraId="6F15E5FE">
        <w:tblPrEx>
          <w:tblCellMar>
            <w:top w:w="0" w:type="dxa"/>
            <w:left w:w="108" w:type="dxa"/>
            <w:bottom w:w="0" w:type="dxa"/>
            <w:right w:w="108" w:type="dxa"/>
          </w:tblCellMar>
        </w:tblPrEx>
        <w:trPr>
          <w:trHeight w:val="270" w:hRule="atLeast"/>
        </w:trPr>
        <w:tc>
          <w:tcPr>
            <w:tcW w:w="1143" w:type="dxa"/>
            <w:vMerge w:val="continue"/>
            <w:tcBorders>
              <w:left w:val="single" w:color="auto" w:sz="4" w:space="0"/>
              <w:right w:val="single" w:color="auto" w:sz="4" w:space="0"/>
            </w:tcBorders>
            <w:vAlign w:val="center"/>
          </w:tcPr>
          <w:p w14:paraId="110A77B4">
            <w:pPr>
              <w:widowControl/>
              <w:spacing w:line="240" w:lineRule="atLeast"/>
              <w:jc w:val="center"/>
              <w:rPr>
                <w:rFonts w:ascii="宋体" w:hAnsi="宋体" w:eastAsia="宋体" w:cs="宋体"/>
                <w:color w:val="000000"/>
                <w:kern w:val="0"/>
                <w:sz w:val="18"/>
                <w:szCs w:val="18"/>
              </w:rPr>
            </w:pPr>
          </w:p>
        </w:tc>
        <w:tc>
          <w:tcPr>
            <w:tcW w:w="1136" w:type="dxa"/>
            <w:vMerge w:val="continue"/>
            <w:tcBorders>
              <w:top w:val="nil"/>
              <w:left w:val="nil"/>
              <w:bottom w:val="single" w:color="auto" w:sz="4" w:space="0"/>
              <w:right w:val="single" w:color="auto" w:sz="4" w:space="0"/>
            </w:tcBorders>
            <w:noWrap/>
            <w:vAlign w:val="center"/>
          </w:tcPr>
          <w:p w14:paraId="3DA976D6">
            <w:pPr>
              <w:widowControl/>
              <w:spacing w:line="240" w:lineRule="atLeast"/>
              <w:jc w:val="center"/>
              <w:rPr>
                <w:rFonts w:ascii="宋体" w:hAnsi="宋体" w:eastAsia="宋体" w:cs="宋体"/>
                <w:color w:val="000000"/>
                <w:kern w:val="0"/>
                <w:sz w:val="18"/>
                <w:szCs w:val="18"/>
              </w:rPr>
            </w:pPr>
          </w:p>
        </w:tc>
        <w:tc>
          <w:tcPr>
            <w:tcW w:w="5668" w:type="dxa"/>
            <w:tcBorders>
              <w:top w:val="nil"/>
              <w:left w:val="nil"/>
              <w:bottom w:val="single" w:color="auto" w:sz="4" w:space="0"/>
              <w:right w:val="single" w:color="auto" w:sz="4" w:space="0"/>
            </w:tcBorders>
            <w:noWrap/>
            <w:vAlign w:val="center"/>
          </w:tcPr>
          <w:p w14:paraId="1F1AA4C9">
            <w:pPr>
              <w:widowControl/>
              <w:adjustRightInd w:val="0"/>
              <w:snapToGrid w:val="0"/>
              <w:spacing w:line="240" w:lineRule="exact"/>
              <w:rPr>
                <w:rFonts w:ascii="宋体" w:hAnsi="宋体" w:cs="宋体"/>
                <w:color w:val="000000"/>
                <w:kern w:val="0"/>
                <w:sz w:val="18"/>
                <w:szCs w:val="18"/>
              </w:rPr>
            </w:pPr>
            <w:r>
              <w:rPr>
                <w:rFonts w:hint="eastAsia" w:ascii="宋体"/>
                <w:color w:val="000000"/>
                <w:kern w:val="0"/>
                <w:sz w:val="18"/>
                <w:szCs w:val="18"/>
              </w:rPr>
              <w:t>能否为本地优化资源配置、创造劳动就业、改善人居环境、提高人民生活水平等产生有利效应</w:t>
            </w:r>
          </w:p>
        </w:tc>
        <w:tc>
          <w:tcPr>
            <w:tcW w:w="891" w:type="dxa"/>
            <w:tcBorders>
              <w:top w:val="nil"/>
              <w:left w:val="nil"/>
              <w:bottom w:val="single" w:color="auto" w:sz="4" w:space="0"/>
              <w:right w:val="single" w:color="auto" w:sz="4" w:space="0"/>
            </w:tcBorders>
            <w:noWrap/>
            <w:vAlign w:val="center"/>
          </w:tcPr>
          <w:p w14:paraId="4682A8B1">
            <w:pPr>
              <w:widowControl/>
              <w:adjustRightInd w:val="0"/>
              <w:snapToGrid w:val="0"/>
              <w:spacing w:line="240" w:lineRule="exact"/>
              <w:jc w:val="center"/>
              <w:rPr>
                <w:rFonts w:ascii="宋体" w:eastAsia="宋体"/>
                <w:color w:val="000000"/>
                <w:kern w:val="0"/>
                <w:sz w:val="18"/>
                <w:szCs w:val="18"/>
              </w:rPr>
            </w:pPr>
            <w:r>
              <w:rPr>
                <w:rFonts w:hint="eastAsia" w:ascii="宋体"/>
                <w:color w:val="000000"/>
                <w:kern w:val="0"/>
                <w:sz w:val="18"/>
                <w:szCs w:val="18"/>
              </w:rPr>
              <w:t>1</w:t>
            </w:r>
          </w:p>
        </w:tc>
      </w:tr>
      <w:tr w14:paraId="6040E009">
        <w:tblPrEx>
          <w:tblCellMar>
            <w:top w:w="0" w:type="dxa"/>
            <w:left w:w="108" w:type="dxa"/>
            <w:bottom w:w="0" w:type="dxa"/>
            <w:right w:w="108" w:type="dxa"/>
          </w:tblCellMar>
        </w:tblPrEx>
        <w:trPr>
          <w:trHeight w:val="270" w:hRule="atLeast"/>
        </w:trPr>
        <w:tc>
          <w:tcPr>
            <w:tcW w:w="1143" w:type="dxa"/>
            <w:vMerge w:val="continue"/>
            <w:tcBorders>
              <w:left w:val="single" w:color="auto" w:sz="4" w:space="0"/>
              <w:right w:val="single" w:color="auto" w:sz="4" w:space="0"/>
            </w:tcBorders>
            <w:vAlign w:val="center"/>
          </w:tcPr>
          <w:p w14:paraId="057309D0">
            <w:pPr>
              <w:widowControl/>
              <w:spacing w:line="240" w:lineRule="atLeast"/>
              <w:jc w:val="center"/>
              <w:rPr>
                <w:rFonts w:ascii="宋体" w:hAnsi="宋体" w:eastAsia="宋体" w:cs="宋体"/>
                <w:color w:val="000000"/>
                <w:kern w:val="0"/>
                <w:sz w:val="18"/>
                <w:szCs w:val="18"/>
              </w:rPr>
            </w:pPr>
          </w:p>
        </w:tc>
        <w:tc>
          <w:tcPr>
            <w:tcW w:w="1136" w:type="dxa"/>
            <w:vMerge w:val="restart"/>
            <w:tcBorders>
              <w:top w:val="single" w:color="auto" w:sz="4" w:space="0"/>
              <w:left w:val="nil"/>
              <w:right w:val="single" w:color="auto" w:sz="4" w:space="0"/>
            </w:tcBorders>
            <w:noWrap/>
            <w:vAlign w:val="center"/>
          </w:tcPr>
          <w:p w14:paraId="32D8C74F">
            <w:pPr>
              <w:widowControl/>
              <w:spacing w:line="240" w:lineRule="atLeast"/>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关联平衡</w:t>
            </w:r>
          </w:p>
          <w:p w14:paraId="301F38A6">
            <w:pPr>
              <w:widowControl/>
              <w:spacing w:line="240" w:lineRule="atLeast"/>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（8分）</w:t>
            </w:r>
          </w:p>
        </w:tc>
        <w:tc>
          <w:tcPr>
            <w:tcW w:w="5668" w:type="dxa"/>
            <w:tcBorders>
              <w:top w:val="nil"/>
              <w:left w:val="nil"/>
              <w:bottom w:val="single" w:color="auto" w:sz="4" w:space="0"/>
              <w:right w:val="single" w:color="auto" w:sz="4" w:space="0"/>
            </w:tcBorders>
            <w:noWrap/>
            <w:vAlign w:val="center"/>
          </w:tcPr>
          <w:p w14:paraId="6169630D">
            <w:pPr>
              <w:widowControl/>
              <w:adjustRightInd w:val="0"/>
              <w:snapToGrid w:val="0"/>
              <w:rPr>
                <w:rFonts w:ascii="宋体" w:hAnsi="宋体" w:eastAsia="宋体" w:cs="宋体"/>
                <w:color w:val="000000"/>
                <w:kern w:val="0"/>
                <w:sz w:val="18"/>
                <w:szCs w:val="18"/>
              </w:rPr>
            </w:pPr>
            <w:r>
              <w:rPr>
                <w:rFonts w:hint="eastAsia" w:ascii="宋体" w:hAnsi="宋体" w:eastAsia="宋体" w:cs="宋体"/>
                <w:color w:val="000000"/>
                <w:kern w:val="0"/>
                <w:sz w:val="18"/>
                <w:szCs w:val="18"/>
              </w:rPr>
              <w:t>是否充分兼顾了国家、集体和职工的权益</w:t>
            </w:r>
          </w:p>
        </w:tc>
        <w:tc>
          <w:tcPr>
            <w:tcW w:w="891" w:type="dxa"/>
            <w:tcBorders>
              <w:top w:val="nil"/>
              <w:left w:val="nil"/>
              <w:bottom w:val="single" w:color="auto" w:sz="4" w:space="0"/>
              <w:right w:val="single" w:color="auto" w:sz="4" w:space="0"/>
            </w:tcBorders>
            <w:noWrap/>
            <w:vAlign w:val="center"/>
          </w:tcPr>
          <w:p w14:paraId="0A3D2B00">
            <w:pPr>
              <w:widowControl/>
              <w:adjustRightInd w:val="0"/>
              <w:snapToGrid w:val="0"/>
              <w:jc w:val="center"/>
              <w:rPr>
                <w:rFonts w:ascii="宋体" w:hAnsi="宋体" w:eastAsia="宋体" w:cs="宋体"/>
                <w:color w:val="000000"/>
                <w:kern w:val="0"/>
                <w:sz w:val="18"/>
                <w:szCs w:val="18"/>
              </w:rPr>
            </w:pPr>
            <w:r>
              <w:rPr>
                <w:rFonts w:hint="eastAsia" w:ascii="宋体" w:hAnsi="宋体" w:cs="宋体"/>
                <w:color w:val="000000"/>
                <w:kern w:val="0"/>
                <w:sz w:val="18"/>
                <w:szCs w:val="18"/>
              </w:rPr>
              <w:t>3</w:t>
            </w:r>
          </w:p>
        </w:tc>
      </w:tr>
      <w:tr w14:paraId="1DC606F8">
        <w:tblPrEx>
          <w:tblCellMar>
            <w:top w:w="0" w:type="dxa"/>
            <w:left w:w="108" w:type="dxa"/>
            <w:bottom w:w="0" w:type="dxa"/>
            <w:right w:w="108" w:type="dxa"/>
          </w:tblCellMar>
        </w:tblPrEx>
        <w:trPr>
          <w:trHeight w:val="270" w:hRule="atLeast"/>
        </w:trPr>
        <w:tc>
          <w:tcPr>
            <w:tcW w:w="1143" w:type="dxa"/>
            <w:vMerge w:val="continue"/>
            <w:tcBorders>
              <w:left w:val="single" w:color="auto" w:sz="4" w:space="0"/>
              <w:right w:val="single" w:color="auto" w:sz="4" w:space="0"/>
            </w:tcBorders>
            <w:vAlign w:val="center"/>
          </w:tcPr>
          <w:p w14:paraId="547AF19B">
            <w:pPr>
              <w:widowControl/>
              <w:spacing w:line="240" w:lineRule="atLeast"/>
              <w:jc w:val="center"/>
              <w:rPr>
                <w:rFonts w:ascii="宋体" w:hAnsi="宋体" w:eastAsia="宋体" w:cs="宋体"/>
                <w:color w:val="000000"/>
                <w:kern w:val="0"/>
                <w:sz w:val="18"/>
                <w:szCs w:val="18"/>
              </w:rPr>
            </w:pPr>
          </w:p>
        </w:tc>
        <w:tc>
          <w:tcPr>
            <w:tcW w:w="1136" w:type="dxa"/>
            <w:vMerge w:val="continue"/>
            <w:tcBorders>
              <w:top w:val="single" w:color="auto" w:sz="4" w:space="0"/>
              <w:left w:val="nil"/>
              <w:right w:val="single" w:color="auto" w:sz="4" w:space="0"/>
            </w:tcBorders>
            <w:noWrap/>
            <w:vAlign w:val="center"/>
          </w:tcPr>
          <w:p w14:paraId="321CAEA3">
            <w:pPr>
              <w:widowControl/>
              <w:spacing w:line="240" w:lineRule="atLeast"/>
              <w:jc w:val="center"/>
              <w:rPr>
                <w:rFonts w:ascii="宋体" w:hAnsi="宋体" w:eastAsia="宋体" w:cs="宋体"/>
                <w:color w:val="000000"/>
                <w:kern w:val="0"/>
                <w:sz w:val="18"/>
                <w:szCs w:val="18"/>
              </w:rPr>
            </w:pPr>
          </w:p>
        </w:tc>
        <w:tc>
          <w:tcPr>
            <w:tcW w:w="5668" w:type="dxa"/>
            <w:tcBorders>
              <w:top w:val="nil"/>
              <w:left w:val="nil"/>
              <w:bottom w:val="single" w:color="auto" w:sz="4" w:space="0"/>
              <w:right w:val="single" w:color="auto" w:sz="4" w:space="0"/>
            </w:tcBorders>
            <w:noWrap/>
            <w:vAlign w:val="center"/>
          </w:tcPr>
          <w:p w14:paraId="22510B33">
            <w:pPr>
              <w:widowControl/>
              <w:adjustRightInd w:val="0"/>
              <w:snapToGrid w:val="0"/>
              <w:spacing w:line="240" w:lineRule="exact"/>
              <w:rPr>
                <w:rFonts w:ascii="宋体" w:hAnsi="宋体" w:cs="宋体"/>
                <w:color w:val="000000"/>
                <w:kern w:val="0"/>
                <w:sz w:val="18"/>
                <w:szCs w:val="18"/>
              </w:rPr>
            </w:pPr>
            <w:r>
              <w:rPr>
                <w:rFonts w:hint="eastAsia" w:ascii="宋体" w:hAnsi="宋体" w:cs="宋体"/>
                <w:color w:val="000000"/>
                <w:kern w:val="0"/>
                <w:sz w:val="18"/>
                <w:szCs w:val="18"/>
              </w:rPr>
              <w:t>是否兼顾了地区、行业、群体之间的平衡</w:t>
            </w:r>
          </w:p>
        </w:tc>
        <w:tc>
          <w:tcPr>
            <w:tcW w:w="891" w:type="dxa"/>
            <w:tcBorders>
              <w:top w:val="nil"/>
              <w:left w:val="nil"/>
              <w:bottom w:val="single" w:color="auto" w:sz="4" w:space="0"/>
              <w:right w:val="single" w:color="auto" w:sz="4" w:space="0"/>
            </w:tcBorders>
            <w:noWrap/>
            <w:vAlign w:val="center"/>
          </w:tcPr>
          <w:p w14:paraId="742D69CF">
            <w:pPr>
              <w:widowControl/>
              <w:adjustRightInd w:val="0"/>
              <w:snapToGrid w:val="0"/>
              <w:spacing w:line="240" w:lineRule="exact"/>
              <w:jc w:val="center"/>
              <w:rPr>
                <w:rFonts w:ascii="宋体" w:hAnsi="宋体" w:eastAsia="宋体" w:cs="宋体"/>
                <w:color w:val="000000"/>
                <w:kern w:val="0"/>
                <w:sz w:val="18"/>
                <w:szCs w:val="18"/>
              </w:rPr>
            </w:pPr>
            <w:r>
              <w:rPr>
                <w:rFonts w:hint="eastAsia" w:ascii="宋体" w:hAnsi="宋体" w:cs="宋体"/>
                <w:color w:val="000000"/>
                <w:kern w:val="0"/>
                <w:sz w:val="18"/>
                <w:szCs w:val="18"/>
              </w:rPr>
              <w:t>2</w:t>
            </w:r>
          </w:p>
        </w:tc>
      </w:tr>
      <w:tr w14:paraId="104A867C">
        <w:tblPrEx>
          <w:tblCellMar>
            <w:top w:w="0" w:type="dxa"/>
            <w:left w:w="108" w:type="dxa"/>
            <w:bottom w:w="0" w:type="dxa"/>
            <w:right w:w="108" w:type="dxa"/>
          </w:tblCellMar>
        </w:tblPrEx>
        <w:trPr>
          <w:trHeight w:val="270" w:hRule="atLeast"/>
        </w:trPr>
        <w:tc>
          <w:tcPr>
            <w:tcW w:w="1143" w:type="dxa"/>
            <w:vMerge w:val="continue"/>
            <w:tcBorders>
              <w:left w:val="single" w:color="auto" w:sz="4" w:space="0"/>
              <w:bottom w:val="single" w:color="auto" w:sz="4" w:space="0"/>
              <w:right w:val="single" w:color="auto" w:sz="4" w:space="0"/>
            </w:tcBorders>
            <w:vAlign w:val="center"/>
          </w:tcPr>
          <w:p w14:paraId="11C1BDFC">
            <w:pPr>
              <w:widowControl/>
              <w:spacing w:line="240" w:lineRule="atLeast"/>
              <w:jc w:val="center"/>
              <w:rPr>
                <w:rFonts w:ascii="宋体" w:hAnsi="宋体" w:eastAsia="宋体" w:cs="宋体"/>
                <w:color w:val="000000"/>
                <w:kern w:val="0"/>
                <w:sz w:val="18"/>
                <w:szCs w:val="18"/>
              </w:rPr>
            </w:pPr>
          </w:p>
        </w:tc>
        <w:tc>
          <w:tcPr>
            <w:tcW w:w="1136" w:type="dxa"/>
            <w:vMerge w:val="continue"/>
            <w:tcBorders>
              <w:left w:val="nil"/>
              <w:bottom w:val="single" w:color="auto" w:sz="4" w:space="0"/>
              <w:right w:val="single" w:color="auto" w:sz="4" w:space="0"/>
            </w:tcBorders>
            <w:noWrap/>
            <w:vAlign w:val="center"/>
          </w:tcPr>
          <w:p w14:paraId="0DEB3780">
            <w:pPr>
              <w:widowControl/>
              <w:spacing w:line="240" w:lineRule="atLeast"/>
              <w:jc w:val="center"/>
              <w:rPr>
                <w:rFonts w:ascii="宋体" w:hAnsi="宋体" w:eastAsia="宋体" w:cs="宋体"/>
                <w:color w:val="000000"/>
                <w:kern w:val="0"/>
                <w:sz w:val="18"/>
                <w:szCs w:val="18"/>
              </w:rPr>
            </w:pPr>
          </w:p>
        </w:tc>
        <w:tc>
          <w:tcPr>
            <w:tcW w:w="5668" w:type="dxa"/>
            <w:tcBorders>
              <w:top w:val="nil"/>
              <w:left w:val="nil"/>
              <w:bottom w:val="single" w:color="auto" w:sz="4" w:space="0"/>
              <w:right w:val="single" w:color="auto" w:sz="4" w:space="0"/>
            </w:tcBorders>
            <w:noWrap/>
            <w:vAlign w:val="center"/>
          </w:tcPr>
          <w:p w14:paraId="6B2C48B9">
            <w:pPr>
              <w:widowControl/>
              <w:adjustRightInd w:val="0"/>
              <w:snapToGrid w:val="0"/>
              <w:rPr>
                <w:rFonts w:ascii="宋体" w:hAnsi="宋体" w:eastAsia="宋体" w:cs="宋体"/>
                <w:color w:val="000000"/>
                <w:kern w:val="0"/>
                <w:sz w:val="18"/>
                <w:szCs w:val="18"/>
              </w:rPr>
            </w:pPr>
            <w:r>
              <w:rPr>
                <w:rFonts w:hint="eastAsia" w:ascii="宋体" w:hAnsi="宋体" w:eastAsia="宋体" w:cs="宋体"/>
                <w:color w:val="000000"/>
                <w:kern w:val="0"/>
                <w:sz w:val="18"/>
                <w:szCs w:val="18"/>
              </w:rPr>
              <w:t>是否兼顾了改革改制相关政策的连续性、可适性、均衡性</w:t>
            </w:r>
          </w:p>
        </w:tc>
        <w:tc>
          <w:tcPr>
            <w:tcW w:w="891" w:type="dxa"/>
            <w:tcBorders>
              <w:top w:val="nil"/>
              <w:left w:val="nil"/>
              <w:bottom w:val="single" w:color="auto" w:sz="4" w:space="0"/>
              <w:right w:val="single" w:color="auto" w:sz="4" w:space="0"/>
            </w:tcBorders>
            <w:noWrap/>
            <w:vAlign w:val="center"/>
          </w:tcPr>
          <w:p w14:paraId="2984D44B">
            <w:pPr>
              <w:widowControl/>
              <w:adjustRightInd w:val="0"/>
              <w:snapToGrid w:val="0"/>
              <w:jc w:val="center"/>
              <w:rPr>
                <w:rFonts w:ascii="宋体" w:hAnsi="宋体" w:eastAsia="宋体" w:cs="宋体"/>
                <w:color w:val="000000"/>
                <w:kern w:val="0"/>
                <w:sz w:val="18"/>
                <w:szCs w:val="18"/>
              </w:rPr>
            </w:pPr>
            <w:r>
              <w:rPr>
                <w:rFonts w:hint="eastAsia" w:ascii="宋体" w:hAnsi="宋体" w:cs="宋体"/>
                <w:color w:val="000000"/>
                <w:kern w:val="0"/>
                <w:sz w:val="18"/>
                <w:szCs w:val="18"/>
              </w:rPr>
              <w:t>3</w:t>
            </w:r>
          </w:p>
        </w:tc>
      </w:tr>
      <w:tr w14:paraId="0CBE66E9">
        <w:tblPrEx>
          <w:tblCellMar>
            <w:top w:w="0" w:type="dxa"/>
            <w:left w:w="108" w:type="dxa"/>
            <w:bottom w:w="0" w:type="dxa"/>
            <w:right w:w="108" w:type="dxa"/>
          </w:tblCellMar>
        </w:tblPrEx>
        <w:trPr>
          <w:trHeight w:val="270" w:hRule="atLeast"/>
        </w:trPr>
        <w:tc>
          <w:tcPr>
            <w:tcW w:w="1143" w:type="dxa"/>
            <w:vMerge w:val="restart"/>
            <w:tcBorders>
              <w:left w:val="single" w:color="auto" w:sz="4" w:space="0"/>
              <w:right w:val="single" w:color="auto" w:sz="4" w:space="0"/>
            </w:tcBorders>
            <w:vAlign w:val="center"/>
          </w:tcPr>
          <w:p w14:paraId="05AE5CA4">
            <w:pPr>
              <w:widowControl/>
              <w:spacing w:line="240" w:lineRule="atLeast"/>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可行性</w:t>
            </w:r>
          </w:p>
          <w:p w14:paraId="34F66DF1">
            <w:pPr>
              <w:spacing w:line="240" w:lineRule="atLeast"/>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（30分）</w:t>
            </w:r>
          </w:p>
        </w:tc>
        <w:tc>
          <w:tcPr>
            <w:tcW w:w="1136" w:type="dxa"/>
            <w:vMerge w:val="restart"/>
            <w:tcBorders>
              <w:left w:val="nil"/>
              <w:right w:val="single" w:color="auto" w:sz="4" w:space="0"/>
            </w:tcBorders>
            <w:noWrap/>
            <w:vAlign w:val="center"/>
          </w:tcPr>
          <w:p w14:paraId="186A26AF">
            <w:pPr>
              <w:widowControl/>
              <w:spacing w:line="240" w:lineRule="atLeast"/>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基础条件</w:t>
            </w:r>
          </w:p>
          <w:p w14:paraId="740E4D00">
            <w:pPr>
              <w:widowControl/>
              <w:spacing w:line="240" w:lineRule="atLeast"/>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（10分）</w:t>
            </w:r>
          </w:p>
        </w:tc>
        <w:tc>
          <w:tcPr>
            <w:tcW w:w="5668" w:type="dxa"/>
            <w:tcBorders>
              <w:top w:val="nil"/>
              <w:left w:val="nil"/>
              <w:bottom w:val="single" w:color="auto" w:sz="4" w:space="0"/>
              <w:right w:val="single" w:color="auto" w:sz="4" w:space="0"/>
            </w:tcBorders>
            <w:noWrap/>
            <w:vAlign w:val="bottom"/>
          </w:tcPr>
          <w:p w14:paraId="585C3810">
            <w:pPr>
              <w:widowControl/>
              <w:adjustRightInd w:val="0"/>
              <w:snapToGrid w:val="0"/>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改革改制所需人力物力财力准备是否充分，有无保障</w:t>
            </w:r>
          </w:p>
        </w:tc>
        <w:tc>
          <w:tcPr>
            <w:tcW w:w="891" w:type="dxa"/>
            <w:tcBorders>
              <w:top w:val="nil"/>
              <w:left w:val="nil"/>
              <w:bottom w:val="single" w:color="auto" w:sz="4" w:space="0"/>
              <w:right w:val="single" w:color="auto" w:sz="4" w:space="0"/>
            </w:tcBorders>
            <w:noWrap/>
            <w:vAlign w:val="bottom"/>
          </w:tcPr>
          <w:p w14:paraId="5DA9DB76">
            <w:pPr>
              <w:widowControl/>
              <w:adjustRightInd w:val="0"/>
              <w:snapToGrid w:val="0"/>
              <w:spacing w:line="240" w:lineRule="exact"/>
              <w:jc w:val="center"/>
              <w:rPr>
                <w:rFonts w:ascii="宋体" w:hAnsi="宋体" w:eastAsia="宋体" w:cs="宋体"/>
                <w:color w:val="000000"/>
                <w:kern w:val="0"/>
                <w:sz w:val="18"/>
                <w:szCs w:val="18"/>
              </w:rPr>
            </w:pPr>
            <w:r>
              <w:rPr>
                <w:rFonts w:hint="eastAsia" w:ascii="宋体" w:hAnsi="宋体" w:cs="宋体"/>
                <w:color w:val="000000"/>
                <w:kern w:val="0"/>
                <w:sz w:val="18"/>
                <w:szCs w:val="18"/>
              </w:rPr>
              <w:t>3</w:t>
            </w:r>
          </w:p>
        </w:tc>
      </w:tr>
      <w:tr w14:paraId="76DDFCF5">
        <w:tblPrEx>
          <w:tblCellMar>
            <w:top w:w="0" w:type="dxa"/>
            <w:left w:w="108" w:type="dxa"/>
            <w:bottom w:w="0" w:type="dxa"/>
            <w:right w:w="108" w:type="dxa"/>
          </w:tblCellMar>
        </w:tblPrEx>
        <w:trPr>
          <w:trHeight w:val="270" w:hRule="atLeast"/>
        </w:trPr>
        <w:tc>
          <w:tcPr>
            <w:tcW w:w="1143" w:type="dxa"/>
            <w:vMerge w:val="continue"/>
            <w:tcBorders>
              <w:left w:val="single" w:color="auto" w:sz="4" w:space="0"/>
              <w:right w:val="single" w:color="auto" w:sz="4" w:space="0"/>
            </w:tcBorders>
            <w:vAlign w:val="center"/>
          </w:tcPr>
          <w:p w14:paraId="5F8DE89C">
            <w:pPr>
              <w:widowControl/>
              <w:spacing w:line="240" w:lineRule="atLeast"/>
              <w:jc w:val="center"/>
              <w:rPr>
                <w:rFonts w:ascii="宋体" w:hAnsi="宋体" w:eastAsia="宋体" w:cs="宋体"/>
                <w:color w:val="000000"/>
                <w:kern w:val="0"/>
                <w:sz w:val="18"/>
                <w:szCs w:val="18"/>
              </w:rPr>
            </w:pPr>
          </w:p>
        </w:tc>
        <w:tc>
          <w:tcPr>
            <w:tcW w:w="1136" w:type="dxa"/>
            <w:vMerge w:val="continue"/>
            <w:tcBorders>
              <w:left w:val="nil"/>
              <w:right w:val="single" w:color="auto" w:sz="4" w:space="0"/>
            </w:tcBorders>
            <w:noWrap/>
            <w:vAlign w:val="center"/>
          </w:tcPr>
          <w:p w14:paraId="0D8FADEC">
            <w:pPr>
              <w:widowControl/>
              <w:spacing w:line="240" w:lineRule="atLeast"/>
              <w:jc w:val="center"/>
              <w:rPr>
                <w:rFonts w:ascii="宋体" w:hAnsi="宋体" w:eastAsia="宋体" w:cs="宋体"/>
                <w:color w:val="000000"/>
                <w:kern w:val="0"/>
                <w:sz w:val="18"/>
                <w:szCs w:val="18"/>
              </w:rPr>
            </w:pPr>
          </w:p>
        </w:tc>
        <w:tc>
          <w:tcPr>
            <w:tcW w:w="5668" w:type="dxa"/>
            <w:tcBorders>
              <w:top w:val="nil"/>
              <w:left w:val="nil"/>
              <w:bottom w:val="single" w:color="auto" w:sz="4" w:space="0"/>
              <w:right w:val="single" w:color="auto" w:sz="4" w:space="0"/>
            </w:tcBorders>
            <w:noWrap/>
            <w:vAlign w:val="bottom"/>
          </w:tcPr>
          <w:p w14:paraId="44A6AA32">
            <w:pPr>
              <w:adjustRightInd w:val="0"/>
              <w:snapToGrid w:val="0"/>
              <w:spacing w:line="240" w:lineRule="exact"/>
              <w:jc w:val="left"/>
              <w:rPr>
                <w:rFonts w:ascii="宋体" w:hAnsi="宋体" w:cs="宋体"/>
                <w:color w:val="000000"/>
                <w:kern w:val="0"/>
                <w:sz w:val="18"/>
                <w:szCs w:val="18"/>
              </w:rPr>
            </w:pPr>
            <w:r>
              <w:rPr>
                <w:rFonts w:hint="eastAsia" w:ascii="宋体" w:hAnsi="宋体" w:eastAsia="宋体" w:cs="宋体"/>
                <w:color w:val="000000"/>
                <w:kern w:val="0"/>
                <w:sz w:val="18"/>
                <w:szCs w:val="18"/>
              </w:rPr>
              <w:t>职工分流安置、社会保障、利益补偿等是否能落实到位</w:t>
            </w:r>
            <w:r>
              <w:rPr>
                <w:rFonts w:hint="eastAsia" w:ascii="宋体" w:hAnsi="宋体" w:cs="宋体"/>
                <w:color w:val="000000"/>
                <w:kern w:val="0"/>
                <w:sz w:val="18"/>
                <w:szCs w:val="18"/>
              </w:rPr>
              <w:sym w:font="Wingdings" w:char="F0B5"/>
            </w:r>
          </w:p>
        </w:tc>
        <w:tc>
          <w:tcPr>
            <w:tcW w:w="891" w:type="dxa"/>
            <w:tcBorders>
              <w:top w:val="nil"/>
              <w:left w:val="nil"/>
              <w:bottom w:val="single" w:color="auto" w:sz="4" w:space="0"/>
              <w:right w:val="single" w:color="auto" w:sz="4" w:space="0"/>
            </w:tcBorders>
            <w:noWrap/>
            <w:vAlign w:val="bottom"/>
          </w:tcPr>
          <w:p w14:paraId="60CBCE3E">
            <w:pPr>
              <w:adjustRightInd w:val="0"/>
              <w:snapToGrid w:val="0"/>
              <w:spacing w:line="240" w:lineRule="exact"/>
              <w:jc w:val="center"/>
              <w:rPr>
                <w:rFonts w:ascii="宋体" w:hAnsi="宋体" w:eastAsia="宋体" w:cs="宋体"/>
                <w:color w:val="000000"/>
                <w:kern w:val="0"/>
                <w:sz w:val="18"/>
                <w:szCs w:val="18"/>
              </w:rPr>
            </w:pPr>
            <w:r>
              <w:rPr>
                <w:rFonts w:hint="eastAsia" w:ascii="宋体" w:hAnsi="宋体" w:cs="宋体"/>
                <w:color w:val="000000"/>
                <w:kern w:val="0"/>
                <w:sz w:val="18"/>
                <w:szCs w:val="18"/>
              </w:rPr>
              <w:t>3</w:t>
            </w:r>
          </w:p>
        </w:tc>
      </w:tr>
      <w:tr w14:paraId="6D7CA0D6">
        <w:tblPrEx>
          <w:tblCellMar>
            <w:top w:w="0" w:type="dxa"/>
            <w:left w:w="108" w:type="dxa"/>
            <w:bottom w:w="0" w:type="dxa"/>
            <w:right w:w="108" w:type="dxa"/>
          </w:tblCellMar>
        </w:tblPrEx>
        <w:trPr>
          <w:trHeight w:val="270" w:hRule="atLeast"/>
        </w:trPr>
        <w:tc>
          <w:tcPr>
            <w:tcW w:w="1143" w:type="dxa"/>
            <w:vMerge w:val="continue"/>
            <w:tcBorders>
              <w:left w:val="single" w:color="auto" w:sz="4" w:space="0"/>
              <w:right w:val="single" w:color="auto" w:sz="4" w:space="0"/>
            </w:tcBorders>
            <w:vAlign w:val="center"/>
          </w:tcPr>
          <w:p w14:paraId="22A07D80">
            <w:pPr>
              <w:widowControl/>
              <w:spacing w:line="240" w:lineRule="atLeast"/>
              <w:jc w:val="center"/>
              <w:rPr>
                <w:rFonts w:ascii="宋体" w:hAnsi="宋体" w:eastAsia="宋体" w:cs="宋体"/>
                <w:color w:val="000000"/>
                <w:kern w:val="0"/>
                <w:sz w:val="18"/>
                <w:szCs w:val="18"/>
              </w:rPr>
            </w:pPr>
          </w:p>
        </w:tc>
        <w:tc>
          <w:tcPr>
            <w:tcW w:w="1136" w:type="dxa"/>
            <w:vMerge w:val="continue"/>
            <w:tcBorders>
              <w:left w:val="nil"/>
              <w:right w:val="single" w:color="auto" w:sz="4" w:space="0"/>
            </w:tcBorders>
            <w:noWrap/>
            <w:vAlign w:val="center"/>
          </w:tcPr>
          <w:p w14:paraId="32BBC5B7">
            <w:pPr>
              <w:widowControl/>
              <w:spacing w:line="240" w:lineRule="atLeast"/>
              <w:jc w:val="center"/>
              <w:rPr>
                <w:rFonts w:ascii="宋体" w:hAnsi="宋体" w:eastAsia="宋体" w:cs="宋体"/>
                <w:color w:val="000000"/>
                <w:kern w:val="0"/>
                <w:sz w:val="18"/>
                <w:szCs w:val="18"/>
              </w:rPr>
            </w:pPr>
          </w:p>
        </w:tc>
        <w:tc>
          <w:tcPr>
            <w:tcW w:w="5668" w:type="dxa"/>
            <w:tcBorders>
              <w:top w:val="nil"/>
              <w:left w:val="nil"/>
              <w:bottom w:val="single" w:color="auto" w:sz="4" w:space="0"/>
              <w:right w:val="single" w:color="auto" w:sz="4" w:space="0"/>
            </w:tcBorders>
            <w:noWrap/>
            <w:vAlign w:val="bottom"/>
          </w:tcPr>
          <w:p w14:paraId="471BA4CD">
            <w:pPr>
              <w:adjustRightInd w:val="0"/>
              <w:snapToGrid w:val="0"/>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涉改单位资产包括债权债务是否依法依规作出处置安排</w:t>
            </w:r>
          </w:p>
        </w:tc>
        <w:tc>
          <w:tcPr>
            <w:tcW w:w="891" w:type="dxa"/>
            <w:tcBorders>
              <w:top w:val="nil"/>
              <w:left w:val="nil"/>
              <w:bottom w:val="single" w:color="auto" w:sz="4" w:space="0"/>
              <w:right w:val="single" w:color="auto" w:sz="4" w:space="0"/>
            </w:tcBorders>
            <w:noWrap/>
            <w:vAlign w:val="bottom"/>
          </w:tcPr>
          <w:p w14:paraId="25F27ED9">
            <w:pPr>
              <w:adjustRightInd w:val="0"/>
              <w:snapToGrid w:val="0"/>
              <w:jc w:val="center"/>
              <w:rPr>
                <w:rFonts w:ascii="宋体" w:hAnsi="宋体" w:eastAsia="宋体" w:cs="宋体"/>
                <w:color w:val="000000"/>
                <w:kern w:val="0"/>
                <w:sz w:val="18"/>
                <w:szCs w:val="18"/>
              </w:rPr>
            </w:pPr>
            <w:r>
              <w:rPr>
                <w:rFonts w:hint="eastAsia" w:ascii="宋体" w:hAnsi="宋体" w:cs="宋体"/>
                <w:color w:val="000000"/>
                <w:kern w:val="0"/>
                <w:sz w:val="18"/>
                <w:szCs w:val="18"/>
              </w:rPr>
              <w:t>2</w:t>
            </w:r>
          </w:p>
        </w:tc>
      </w:tr>
      <w:tr w14:paraId="1D469A31">
        <w:tblPrEx>
          <w:tblCellMar>
            <w:top w:w="0" w:type="dxa"/>
            <w:left w:w="108" w:type="dxa"/>
            <w:bottom w:w="0" w:type="dxa"/>
            <w:right w:w="108" w:type="dxa"/>
          </w:tblCellMar>
        </w:tblPrEx>
        <w:trPr>
          <w:trHeight w:val="90" w:hRule="atLeast"/>
        </w:trPr>
        <w:tc>
          <w:tcPr>
            <w:tcW w:w="1143" w:type="dxa"/>
            <w:vMerge w:val="continue"/>
            <w:tcBorders>
              <w:left w:val="single" w:color="auto" w:sz="4" w:space="0"/>
              <w:right w:val="single" w:color="auto" w:sz="4" w:space="0"/>
            </w:tcBorders>
            <w:vAlign w:val="center"/>
          </w:tcPr>
          <w:p w14:paraId="0EA3C775">
            <w:pPr>
              <w:widowControl/>
              <w:spacing w:line="240" w:lineRule="atLeast"/>
              <w:jc w:val="center"/>
              <w:rPr>
                <w:rFonts w:ascii="宋体" w:hAnsi="宋体" w:eastAsia="宋体" w:cs="宋体"/>
                <w:color w:val="000000"/>
                <w:kern w:val="0"/>
                <w:sz w:val="18"/>
                <w:szCs w:val="18"/>
              </w:rPr>
            </w:pPr>
          </w:p>
        </w:tc>
        <w:tc>
          <w:tcPr>
            <w:tcW w:w="1136" w:type="dxa"/>
            <w:vMerge w:val="continue"/>
            <w:tcBorders>
              <w:left w:val="nil"/>
              <w:bottom w:val="single" w:color="auto" w:sz="4" w:space="0"/>
              <w:right w:val="single" w:color="auto" w:sz="4" w:space="0"/>
            </w:tcBorders>
            <w:noWrap/>
            <w:vAlign w:val="center"/>
          </w:tcPr>
          <w:p w14:paraId="2DB5A331">
            <w:pPr>
              <w:widowControl/>
              <w:spacing w:line="240" w:lineRule="atLeast"/>
              <w:jc w:val="center"/>
              <w:rPr>
                <w:rFonts w:ascii="宋体" w:hAnsi="宋体" w:eastAsia="宋体" w:cs="宋体"/>
                <w:color w:val="000000"/>
                <w:kern w:val="0"/>
                <w:sz w:val="18"/>
                <w:szCs w:val="18"/>
              </w:rPr>
            </w:pPr>
          </w:p>
        </w:tc>
        <w:tc>
          <w:tcPr>
            <w:tcW w:w="5668" w:type="dxa"/>
            <w:tcBorders>
              <w:top w:val="nil"/>
              <w:left w:val="nil"/>
              <w:bottom w:val="single" w:color="auto" w:sz="4" w:space="0"/>
              <w:right w:val="single" w:color="auto" w:sz="4" w:space="0"/>
            </w:tcBorders>
            <w:noWrap/>
            <w:vAlign w:val="bottom"/>
          </w:tcPr>
          <w:p w14:paraId="531FEF05">
            <w:pPr>
              <w:widowControl/>
              <w:adjustRightInd w:val="0"/>
              <w:snapToGrid w:val="0"/>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所涉及的利益相关方的界定是否明确</w:t>
            </w:r>
          </w:p>
        </w:tc>
        <w:tc>
          <w:tcPr>
            <w:tcW w:w="891" w:type="dxa"/>
            <w:tcBorders>
              <w:top w:val="nil"/>
              <w:left w:val="nil"/>
              <w:bottom w:val="single" w:color="auto" w:sz="4" w:space="0"/>
              <w:right w:val="single" w:color="auto" w:sz="4" w:space="0"/>
            </w:tcBorders>
            <w:noWrap/>
            <w:vAlign w:val="bottom"/>
          </w:tcPr>
          <w:p w14:paraId="7998E7B7">
            <w:pPr>
              <w:widowControl/>
              <w:adjustRightInd w:val="0"/>
              <w:snapToGrid w:val="0"/>
              <w:jc w:val="center"/>
              <w:rPr>
                <w:rFonts w:ascii="宋体" w:hAnsi="宋体" w:eastAsia="宋体" w:cs="宋体"/>
                <w:color w:val="000000"/>
                <w:kern w:val="0"/>
                <w:sz w:val="18"/>
                <w:szCs w:val="18"/>
              </w:rPr>
            </w:pPr>
            <w:r>
              <w:rPr>
                <w:rFonts w:hint="eastAsia" w:ascii="宋体" w:hAnsi="宋体" w:cs="宋体"/>
                <w:color w:val="000000"/>
                <w:kern w:val="0"/>
                <w:sz w:val="18"/>
                <w:szCs w:val="18"/>
              </w:rPr>
              <w:t>2</w:t>
            </w:r>
          </w:p>
        </w:tc>
      </w:tr>
      <w:tr w14:paraId="69D5899C">
        <w:tblPrEx>
          <w:tblCellMar>
            <w:top w:w="0" w:type="dxa"/>
            <w:left w:w="108" w:type="dxa"/>
            <w:bottom w:w="0" w:type="dxa"/>
            <w:right w:w="108" w:type="dxa"/>
          </w:tblCellMar>
        </w:tblPrEx>
        <w:trPr>
          <w:trHeight w:val="270" w:hRule="atLeast"/>
        </w:trPr>
        <w:tc>
          <w:tcPr>
            <w:tcW w:w="1143" w:type="dxa"/>
            <w:vMerge w:val="continue"/>
            <w:tcBorders>
              <w:left w:val="single" w:color="auto" w:sz="4" w:space="0"/>
              <w:right w:val="single" w:color="auto" w:sz="4" w:space="0"/>
            </w:tcBorders>
            <w:vAlign w:val="center"/>
          </w:tcPr>
          <w:p w14:paraId="3E51332C">
            <w:pPr>
              <w:widowControl/>
              <w:spacing w:line="240" w:lineRule="atLeast"/>
              <w:jc w:val="center"/>
              <w:rPr>
                <w:rFonts w:ascii="宋体" w:hAnsi="宋体" w:eastAsia="宋体" w:cs="宋体"/>
                <w:color w:val="000000"/>
                <w:kern w:val="0"/>
                <w:sz w:val="18"/>
                <w:szCs w:val="18"/>
              </w:rPr>
            </w:pPr>
          </w:p>
        </w:tc>
        <w:tc>
          <w:tcPr>
            <w:tcW w:w="1136" w:type="dxa"/>
            <w:vMerge w:val="restart"/>
            <w:tcBorders>
              <w:top w:val="single" w:color="auto" w:sz="4" w:space="0"/>
              <w:left w:val="nil"/>
              <w:right w:val="single" w:color="auto" w:sz="4" w:space="0"/>
            </w:tcBorders>
            <w:noWrap/>
            <w:vAlign w:val="center"/>
          </w:tcPr>
          <w:p w14:paraId="7924FBDA">
            <w:pPr>
              <w:widowControl/>
              <w:spacing w:line="240" w:lineRule="atLeast"/>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人文环境</w:t>
            </w:r>
          </w:p>
          <w:p w14:paraId="03CB73DD">
            <w:pPr>
              <w:widowControl/>
              <w:spacing w:line="240" w:lineRule="atLeast"/>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（10分）</w:t>
            </w:r>
          </w:p>
        </w:tc>
        <w:tc>
          <w:tcPr>
            <w:tcW w:w="5668" w:type="dxa"/>
            <w:tcBorders>
              <w:top w:val="nil"/>
              <w:left w:val="nil"/>
              <w:bottom w:val="single" w:color="auto" w:sz="4" w:space="0"/>
              <w:right w:val="single" w:color="auto" w:sz="4" w:space="0"/>
            </w:tcBorders>
            <w:noWrap/>
            <w:vAlign w:val="bottom"/>
          </w:tcPr>
          <w:p w14:paraId="4C848139">
            <w:pPr>
              <w:widowControl/>
              <w:adjustRightInd w:val="0"/>
              <w:snapToGrid w:val="0"/>
              <w:rPr>
                <w:rFonts w:ascii="宋体"/>
                <w:color w:val="000000"/>
                <w:kern w:val="0"/>
                <w:sz w:val="18"/>
                <w:szCs w:val="18"/>
              </w:rPr>
            </w:pPr>
            <w:r>
              <w:rPr>
                <w:rFonts w:hint="eastAsia" w:ascii="宋体" w:hAnsi="宋体" w:eastAsia="宋体" w:cs="宋体"/>
                <w:color w:val="000000"/>
                <w:kern w:val="0"/>
                <w:sz w:val="18"/>
                <w:szCs w:val="18"/>
              </w:rPr>
              <w:t>直接利益相关者对改革改制方案的知晓认可和支持程度</w:t>
            </w:r>
          </w:p>
        </w:tc>
        <w:tc>
          <w:tcPr>
            <w:tcW w:w="891" w:type="dxa"/>
            <w:tcBorders>
              <w:top w:val="nil"/>
              <w:left w:val="nil"/>
              <w:bottom w:val="single" w:color="auto" w:sz="4" w:space="0"/>
              <w:right w:val="single" w:color="auto" w:sz="4" w:space="0"/>
            </w:tcBorders>
            <w:noWrap/>
            <w:vAlign w:val="bottom"/>
          </w:tcPr>
          <w:p w14:paraId="1560C498">
            <w:pPr>
              <w:widowControl/>
              <w:adjustRightInd w:val="0"/>
              <w:snapToGrid w:val="0"/>
              <w:spacing w:line="240" w:lineRule="exact"/>
              <w:jc w:val="center"/>
              <w:rPr>
                <w:rFonts w:ascii="宋体" w:eastAsia="宋体"/>
                <w:color w:val="000000"/>
                <w:kern w:val="0"/>
                <w:sz w:val="18"/>
                <w:szCs w:val="18"/>
              </w:rPr>
            </w:pPr>
            <w:r>
              <w:rPr>
                <w:rFonts w:hint="eastAsia" w:ascii="宋体" w:eastAsia="宋体"/>
                <w:color w:val="000000"/>
                <w:kern w:val="0"/>
                <w:sz w:val="18"/>
                <w:szCs w:val="18"/>
              </w:rPr>
              <w:t>2</w:t>
            </w:r>
          </w:p>
        </w:tc>
      </w:tr>
      <w:tr w14:paraId="1E799D99">
        <w:tblPrEx>
          <w:tblCellMar>
            <w:top w:w="0" w:type="dxa"/>
            <w:left w:w="108" w:type="dxa"/>
            <w:bottom w:w="0" w:type="dxa"/>
            <w:right w:w="108" w:type="dxa"/>
          </w:tblCellMar>
        </w:tblPrEx>
        <w:trPr>
          <w:trHeight w:val="270" w:hRule="atLeast"/>
        </w:trPr>
        <w:tc>
          <w:tcPr>
            <w:tcW w:w="1143" w:type="dxa"/>
            <w:vMerge w:val="continue"/>
            <w:tcBorders>
              <w:left w:val="single" w:color="auto" w:sz="4" w:space="0"/>
              <w:right w:val="single" w:color="auto" w:sz="4" w:space="0"/>
            </w:tcBorders>
            <w:vAlign w:val="center"/>
          </w:tcPr>
          <w:p w14:paraId="0723E9B4">
            <w:pPr>
              <w:widowControl/>
              <w:spacing w:line="240" w:lineRule="atLeast"/>
              <w:jc w:val="center"/>
              <w:rPr>
                <w:rFonts w:ascii="宋体" w:hAnsi="宋体" w:eastAsia="宋体" w:cs="宋体"/>
                <w:color w:val="000000"/>
                <w:kern w:val="0"/>
                <w:sz w:val="18"/>
                <w:szCs w:val="18"/>
              </w:rPr>
            </w:pPr>
          </w:p>
        </w:tc>
        <w:tc>
          <w:tcPr>
            <w:tcW w:w="1136" w:type="dxa"/>
            <w:vMerge w:val="continue"/>
            <w:tcBorders>
              <w:left w:val="nil"/>
              <w:right w:val="single" w:color="auto" w:sz="4" w:space="0"/>
            </w:tcBorders>
            <w:noWrap/>
            <w:vAlign w:val="center"/>
          </w:tcPr>
          <w:p w14:paraId="1B17CD29">
            <w:pPr>
              <w:widowControl/>
              <w:spacing w:line="240" w:lineRule="atLeast"/>
              <w:jc w:val="center"/>
              <w:rPr>
                <w:rFonts w:ascii="宋体" w:hAnsi="宋体" w:eastAsia="宋体" w:cs="宋体"/>
                <w:color w:val="000000"/>
                <w:kern w:val="0"/>
                <w:sz w:val="18"/>
                <w:szCs w:val="18"/>
              </w:rPr>
            </w:pPr>
          </w:p>
        </w:tc>
        <w:tc>
          <w:tcPr>
            <w:tcW w:w="5668" w:type="dxa"/>
            <w:tcBorders>
              <w:top w:val="nil"/>
              <w:left w:val="nil"/>
              <w:bottom w:val="single" w:color="auto" w:sz="4" w:space="0"/>
              <w:right w:val="single" w:color="auto" w:sz="4" w:space="0"/>
            </w:tcBorders>
            <w:noWrap/>
            <w:vAlign w:val="bottom"/>
          </w:tcPr>
          <w:p w14:paraId="390C54BB">
            <w:pPr>
              <w:rPr>
                <w:rFonts w:ascii="宋体"/>
                <w:color w:val="000000"/>
                <w:kern w:val="0"/>
                <w:sz w:val="18"/>
                <w:szCs w:val="18"/>
              </w:rPr>
            </w:pPr>
            <w:r>
              <w:rPr>
                <w:rFonts w:hint="eastAsia" w:ascii="宋体"/>
                <w:color w:val="000000"/>
                <w:kern w:val="0"/>
                <w:sz w:val="18"/>
                <w:szCs w:val="18"/>
              </w:rPr>
              <w:t>是否得到大多数间接利益相关者的理解和支持</w:t>
            </w:r>
          </w:p>
        </w:tc>
        <w:tc>
          <w:tcPr>
            <w:tcW w:w="891" w:type="dxa"/>
            <w:tcBorders>
              <w:top w:val="nil"/>
              <w:left w:val="nil"/>
              <w:bottom w:val="single" w:color="auto" w:sz="4" w:space="0"/>
              <w:right w:val="single" w:color="auto" w:sz="4" w:space="0"/>
            </w:tcBorders>
            <w:noWrap/>
            <w:vAlign w:val="bottom"/>
          </w:tcPr>
          <w:p w14:paraId="6B3FDB5F">
            <w:pPr>
              <w:widowControl/>
              <w:adjustRightInd w:val="0"/>
              <w:snapToGrid w:val="0"/>
              <w:jc w:val="center"/>
              <w:rPr>
                <w:rFonts w:ascii="宋体" w:eastAsia="宋体"/>
                <w:color w:val="000000"/>
                <w:kern w:val="0"/>
                <w:sz w:val="18"/>
                <w:szCs w:val="18"/>
              </w:rPr>
            </w:pPr>
            <w:r>
              <w:rPr>
                <w:rFonts w:hint="eastAsia" w:ascii="宋体" w:eastAsia="宋体"/>
                <w:color w:val="000000"/>
                <w:kern w:val="0"/>
                <w:sz w:val="18"/>
                <w:szCs w:val="18"/>
              </w:rPr>
              <w:t>2</w:t>
            </w:r>
          </w:p>
        </w:tc>
      </w:tr>
      <w:tr w14:paraId="4CDCD394">
        <w:tblPrEx>
          <w:tblCellMar>
            <w:top w:w="0" w:type="dxa"/>
            <w:left w:w="108" w:type="dxa"/>
            <w:bottom w:w="0" w:type="dxa"/>
            <w:right w:w="108" w:type="dxa"/>
          </w:tblCellMar>
        </w:tblPrEx>
        <w:trPr>
          <w:trHeight w:val="270" w:hRule="atLeast"/>
        </w:trPr>
        <w:tc>
          <w:tcPr>
            <w:tcW w:w="1143" w:type="dxa"/>
            <w:vMerge w:val="continue"/>
            <w:tcBorders>
              <w:left w:val="single" w:color="auto" w:sz="4" w:space="0"/>
              <w:right w:val="single" w:color="auto" w:sz="4" w:space="0"/>
            </w:tcBorders>
            <w:vAlign w:val="center"/>
          </w:tcPr>
          <w:p w14:paraId="343F659C">
            <w:pPr>
              <w:widowControl/>
              <w:spacing w:line="240" w:lineRule="atLeast"/>
              <w:jc w:val="center"/>
              <w:rPr>
                <w:rFonts w:ascii="宋体" w:hAnsi="宋体" w:eastAsia="宋体" w:cs="宋体"/>
                <w:color w:val="000000"/>
                <w:kern w:val="0"/>
                <w:sz w:val="18"/>
                <w:szCs w:val="18"/>
              </w:rPr>
            </w:pPr>
          </w:p>
        </w:tc>
        <w:tc>
          <w:tcPr>
            <w:tcW w:w="1136" w:type="dxa"/>
            <w:vMerge w:val="continue"/>
            <w:tcBorders>
              <w:left w:val="nil"/>
              <w:right w:val="single" w:color="auto" w:sz="4" w:space="0"/>
            </w:tcBorders>
            <w:noWrap/>
            <w:vAlign w:val="center"/>
          </w:tcPr>
          <w:p w14:paraId="5B02280C">
            <w:pPr>
              <w:widowControl/>
              <w:spacing w:line="240" w:lineRule="atLeast"/>
              <w:jc w:val="center"/>
              <w:rPr>
                <w:rFonts w:ascii="宋体" w:hAnsi="宋体" w:eastAsia="宋体" w:cs="宋体"/>
                <w:color w:val="000000"/>
                <w:kern w:val="0"/>
                <w:sz w:val="18"/>
                <w:szCs w:val="18"/>
              </w:rPr>
            </w:pPr>
          </w:p>
        </w:tc>
        <w:tc>
          <w:tcPr>
            <w:tcW w:w="5668" w:type="dxa"/>
            <w:tcBorders>
              <w:top w:val="nil"/>
              <w:left w:val="nil"/>
              <w:bottom w:val="single" w:color="auto" w:sz="4" w:space="0"/>
              <w:right w:val="single" w:color="auto" w:sz="4" w:space="0"/>
            </w:tcBorders>
            <w:noWrap/>
            <w:vAlign w:val="bottom"/>
          </w:tcPr>
          <w:p w14:paraId="51F01119">
            <w:pPr>
              <w:rPr>
                <w:sz w:val="18"/>
                <w:szCs w:val="18"/>
              </w:rPr>
            </w:pPr>
            <w:r>
              <w:rPr>
                <w:rFonts w:hint="eastAsia" w:ascii="宋体"/>
                <w:color w:val="000000"/>
                <w:kern w:val="0"/>
                <w:sz w:val="18"/>
                <w:szCs w:val="18"/>
              </w:rPr>
              <w:t>职工对改革改制力度可承受程度</w:t>
            </w:r>
          </w:p>
          <w:p w14:paraId="5C786093">
            <w:pPr>
              <w:widowControl/>
              <w:adjustRightInd w:val="0"/>
              <w:snapToGrid w:val="0"/>
              <w:rPr>
                <w:rFonts w:ascii="宋体" w:hAnsi="宋体" w:eastAsia="宋体" w:cs="宋体"/>
                <w:color w:val="000000"/>
                <w:kern w:val="0"/>
                <w:sz w:val="18"/>
                <w:szCs w:val="18"/>
              </w:rPr>
            </w:pPr>
          </w:p>
        </w:tc>
        <w:tc>
          <w:tcPr>
            <w:tcW w:w="891" w:type="dxa"/>
            <w:tcBorders>
              <w:top w:val="nil"/>
              <w:left w:val="nil"/>
              <w:bottom w:val="single" w:color="auto" w:sz="4" w:space="0"/>
              <w:right w:val="single" w:color="auto" w:sz="4" w:space="0"/>
            </w:tcBorders>
            <w:noWrap/>
            <w:vAlign w:val="bottom"/>
          </w:tcPr>
          <w:p w14:paraId="4AEF25EC">
            <w:pPr>
              <w:widowControl/>
              <w:adjustRightInd w:val="0"/>
              <w:snapToGrid w:val="0"/>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2</w:t>
            </w:r>
          </w:p>
        </w:tc>
      </w:tr>
      <w:tr w14:paraId="21CBD242">
        <w:tblPrEx>
          <w:tblCellMar>
            <w:top w:w="0" w:type="dxa"/>
            <w:left w:w="108" w:type="dxa"/>
            <w:bottom w:w="0" w:type="dxa"/>
            <w:right w:w="108" w:type="dxa"/>
          </w:tblCellMar>
        </w:tblPrEx>
        <w:trPr>
          <w:trHeight w:val="262" w:hRule="atLeast"/>
        </w:trPr>
        <w:tc>
          <w:tcPr>
            <w:tcW w:w="1143" w:type="dxa"/>
            <w:vMerge w:val="continue"/>
            <w:tcBorders>
              <w:left w:val="single" w:color="auto" w:sz="4" w:space="0"/>
              <w:right w:val="single" w:color="auto" w:sz="4" w:space="0"/>
            </w:tcBorders>
            <w:vAlign w:val="center"/>
          </w:tcPr>
          <w:p w14:paraId="1A92E107">
            <w:pPr>
              <w:spacing w:line="240" w:lineRule="atLeast"/>
              <w:jc w:val="center"/>
              <w:rPr>
                <w:rFonts w:ascii="宋体" w:hAnsi="宋体" w:eastAsia="宋体" w:cs="宋体"/>
                <w:color w:val="000000"/>
                <w:kern w:val="0"/>
                <w:sz w:val="18"/>
                <w:szCs w:val="18"/>
              </w:rPr>
            </w:pPr>
          </w:p>
        </w:tc>
        <w:tc>
          <w:tcPr>
            <w:tcW w:w="1136" w:type="dxa"/>
            <w:vMerge w:val="continue"/>
            <w:tcBorders>
              <w:left w:val="nil"/>
              <w:right w:val="single" w:color="auto" w:sz="4" w:space="0"/>
            </w:tcBorders>
            <w:noWrap/>
            <w:vAlign w:val="center"/>
          </w:tcPr>
          <w:p w14:paraId="250D9AAE">
            <w:pPr>
              <w:spacing w:line="240" w:lineRule="atLeast"/>
              <w:jc w:val="center"/>
              <w:rPr>
                <w:rFonts w:ascii="宋体" w:hAnsi="宋体" w:eastAsia="宋体" w:cs="宋体"/>
                <w:color w:val="000000"/>
                <w:kern w:val="0"/>
                <w:sz w:val="18"/>
                <w:szCs w:val="18"/>
              </w:rPr>
            </w:pPr>
          </w:p>
        </w:tc>
        <w:tc>
          <w:tcPr>
            <w:tcW w:w="5668" w:type="dxa"/>
            <w:tcBorders>
              <w:top w:val="nil"/>
              <w:left w:val="nil"/>
              <w:bottom w:val="single" w:color="auto" w:sz="4" w:space="0"/>
              <w:right w:val="single" w:color="auto" w:sz="4" w:space="0"/>
            </w:tcBorders>
            <w:noWrap/>
            <w:vAlign w:val="bottom"/>
          </w:tcPr>
          <w:p w14:paraId="4FC2A640">
            <w:pPr>
              <w:rPr>
                <w:rFonts w:ascii="宋体"/>
                <w:color w:val="000000"/>
                <w:kern w:val="0"/>
                <w:sz w:val="18"/>
                <w:szCs w:val="18"/>
              </w:rPr>
            </w:pPr>
            <w:r>
              <w:rPr>
                <w:rFonts w:hint="eastAsia" w:ascii="宋体" w:hAnsi="宋体" w:eastAsia="宋体" w:cs="宋体"/>
                <w:color w:val="000000"/>
                <w:kern w:val="0"/>
                <w:sz w:val="18"/>
                <w:szCs w:val="18"/>
              </w:rPr>
              <w:t>持反对意见的理由是否充分，当事人情绪、言辞是否激烈</w:t>
            </w:r>
          </w:p>
        </w:tc>
        <w:tc>
          <w:tcPr>
            <w:tcW w:w="891" w:type="dxa"/>
            <w:tcBorders>
              <w:top w:val="nil"/>
              <w:left w:val="nil"/>
              <w:bottom w:val="single" w:color="auto" w:sz="4" w:space="0"/>
              <w:right w:val="single" w:color="auto" w:sz="4" w:space="0"/>
            </w:tcBorders>
            <w:noWrap/>
            <w:vAlign w:val="bottom"/>
          </w:tcPr>
          <w:p w14:paraId="2538F467">
            <w:pPr>
              <w:widowControl/>
              <w:adjustRightInd w:val="0"/>
              <w:snapToGrid w:val="0"/>
              <w:jc w:val="center"/>
              <w:rPr>
                <w:rFonts w:ascii="宋体"/>
                <w:color w:val="000000"/>
                <w:kern w:val="0"/>
                <w:sz w:val="18"/>
                <w:szCs w:val="18"/>
              </w:rPr>
            </w:pPr>
            <w:r>
              <w:rPr>
                <w:rFonts w:hint="eastAsia" w:ascii="宋体"/>
                <w:color w:val="000000"/>
                <w:kern w:val="0"/>
                <w:sz w:val="18"/>
                <w:szCs w:val="18"/>
              </w:rPr>
              <w:t>2</w:t>
            </w:r>
          </w:p>
        </w:tc>
      </w:tr>
      <w:tr w14:paraId="4603A609">
        <w:tblPrEx>
          <w:tblCellMar>
            <w:top w:w="0" w:type="dxa"/>
            <w:left w:w="108" w:type="dxa"/>
            <w:bottom w:w="0" w:type="dxa"/>
            <w:right w:w="108" w:type="dxa"/>
          </w:tblCellMar>
        </w:tblPrEx>
        <w:trPr>
          <w:trHeight w:val="262" w:hRule="atLeast"/>
        </w:trPr>
        <w:tc>
          <w:tcPr>
            <w:tcW w:w="1143" w:type="dxa"/>
            <w:vMerge w:val="continue"/>
            <w:tcBorders>
              <w:left w:val="single" w:color="auto" w:sz="4" w:space="0"/>
              <w:right w:val="single" w:color="auto" w:sz="4" w:space="0"/>
            </w:tcBorders>
            <w:vAlign w:val="center"/>
          </w:tcPr>
          <w:p w14:paraId="4A123B25">
            <w:pPr>
              <w:spacing w:line="240" w:lineRule="atLeast"/>
              <w:jc w:val="center"/>
              <w:rPr>
                <w:rFonts w:ascii="宋体" w:hAnsi="宋体" w:eastAsia="宋体" w:cs="宋体"/>
                <w:color w:val="000000"/>
                <w:kern w:val="0"/>
                <w:sz w:val="18"/>
                <w:szCs w:val="18"/>
              </w:rPr>
            </w:pPr>
          </w:p>
        </w:tc>
        <w:tc>
          <w:tcPr>
            <w:tcW w:w="1136" w:type="dxa"/>
            <w:vMerge w:val="continue"/>
            <w:tcBorders>
              <w:left w:val="nil"/>
              <w:bottom w:val="single" w:color="auto" w:sz="4" w:space="0"/>
              <w:right w:val="single" w:color="auto" w:sz="4" w:space="0"/>
            </w:tcBorders>
            <w:noWrap/>
            <w:vAlign w:val="center"/>
          </w:tcPr>
          <w:p w14:paraId="65180C38">
            <w:pPr>
              <w:spacing w:line="240" w:lineRule="atLeast"/>
              <w:jc w:val="center"/>
              <w:rPr>
                <w:rFonts w:ascii="宋体" w:hAnsi="宋体" w:eastAsia="宋体" w:cs="宋体"/>
                <w:color w:val="000000"/>
                <w:kern w:val="0"/>
                <w:sz w:val="18"/>
                <w:szCs w:val="18"/>
              </w:rPr>
            </w:pPr>
          </w:p>
        </w:tc>
        <w:tc>
          <w:tcPr>
            <w:tcW w:w="5668" w:type="dxa"/>
            <w:tcBorders>
              <w:top w:val="nil"/>
              <w:left w:val="nil"/>
              <w:bottom w:val="single" w:color="auto" w:sz="4" w:space="0"/>
              <w:right w:val="single" w:color="auto" w:sz="4" w:space="0"/>
            </w:tcBorders>
            <w:noWrap/>
            <w:vAlign w:val="bottom"/>
          </w:tcPr>
          <w:p w14:paraId="3A74A072">
            <w:pPr>
              <w:rPr>
                <w:rFonts w:ascii="宋体"/>
                <w:color w:val="000000"/>
                <w:kern w:val="0"/>
                <w:sz w:val="18"/>
                <w:szCs w:val="18"/>
              </w:rPr>
            </w:pPr>
            <w:r>
              <w:rPr>
                <w:rFonts w:hint="eastAsia" w:ascii="宋体" w:hAnsi="宋体" w:eastAsia="宋体" w:cs="宋体"/>
                <w:color w:val="000000"/>
                <w:kern w:val="0"/>
                <w:sz w:val="18"/>
                <w:szCs w:val="18"/>
              </w:rPr>
              <w:t>受改革负面影响的职工人数多寡及其复杂性</w:t>
            </w:r>
          </w:p>
        </w:tc>
        <w:tc>
          <w:tcPr>
            <w:tcW w:w="891" w:type="dxa"/>
            <w:tcBorders>
              <w:top w:val="nil"/>
              <w:left w:val="nil"/>
              <w:bottom w:val="single" w:color="auto" w:sz="4" w:space="0"/>
              <w:right w:val="single" w:color="auto" w:sz="4" w:space="0"/>
            </w:tcBorders>
            <w:noWrap/>
            <w:vAlign w:val="bottom"/>
          </w:tcPr>
          <w:p w14:paraId="4F8CB3A9">
            <w:pPr>
              <w:widowControl/>
              <w:adjustRightInd w:val="0"/>
              <w:snapToGrid w:val="0"/>
              <w:jc w:val="center"/>
              <w:rPr>
                <w:rFonts w:ascii="宋体"/>
                <w:color w:val="000000"/>
                <w:kern w:val="0"/>
                <w:sz w:val="18"/>
                <w:szCs w:val="18"/>
              </w:rPr>
            </w:pPr>
            <w:r>
              <w:rPr>
                <w:rFonts w:hint="eastAsia" w:ascii="宋体"/>
                <w:color w:val="000000"/>
                <w:kern w:val="0"/>
                <w:sz w:val="18"/>
                <w:szCs w:val="18"/>
              </w:rPr>
              <w:t>2</w:t>
            </w:r>
          </w:p>
        </w:tc>
      </w:tr>
      <w:tr w14:paraId="49FD0DFF">
        <w:tblPrEx>
          <w:tblCellMar>
            <w:top w:w="0" w:type="dxa"/>
            <w:left w:w="108" w:type="dxa"/>
            <w:bottom w:w="0" w:type="dxa"/>
            <w:right w:w="108" w:type="dxa"/>
          </w:tblCellMar>
        </w:tblPrEx>
        <w:trPr>
          <w:trHeight w:val="349" w:hRule="atLeast"/>
        </w:trPr>
        <w:tc>
          <w:tcPr>
            <w:tcW w:w="1143" w:type="dxa"/>
            <w:vMerge w:val="continue"/>
            <w:tcBorders>
              <w:left w:val="single" w:color="auto" w:sz="4" w:space="0"/>
              <w:right w:val="single" w:color="auto" w:sz="4" w:space="0"/>
            </w:tcBorders>
            <w:vAlign w:val="center"/>
          </w:tcPr>
          <w:p w14:paraId="55CAF426">
            <w:pPr>
              <w:spacing w:line="240" w:lineRule="atLeast"/>
              <w:jc w:val="center"/>
              <w:rPr>
                <w:rFonts w:ascii="宋体" w:hAnsi="宋体" w:eastAsia="宋体" w:cs="宋体"/>
                <w:color w:val="000000"/>
                <w:kern w:val="0"/>
                <w:sz w:val="18"/>
                <w:szCs w:val="18"/>
              </w:rPr>
            </w:pPr>
          </w:p>
        </w:tc>
        <w:tc>
          <w:tcPr>
            <w:tcW w:w="1136" w:type="dxa"/>
            <w:vMerge w:val="restart"/>
            <w:tcBorders>
              <w:top w:val="single" w:color="auto" w:sz="4" w:space="0"/>
              <w:left w:val="nil"/>
              <w:right w:val="single" w:color="auto" w:sz="4" w:space="0"/>
            </w:tcBorders>
            <w:noWrap/>
            <w:vAlign w:val="center"/>
          </w:tcPr>
          <w:p w14:paraId="64E4F9A1">
            <w:pPr>
              <w:spacing w:line="240" w:lineRule="atLeast"/>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配套支持</w:t>
            </w:r>
          </w:p>
          <w:p w14:paraId="64164946">
            <w:pPr>
              <w:spacing w:line="240" w:lineRule="atLeast"/>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（10分）</w:t>
            </w:r>
          </w:p>
        </w:tc>
        <w:tc>
          <w:tcPr>
            <w:tcW w:w="5668" w:type="dxa"/>
            <w:tcBorders>
              <w:top w:val="single" w:color="auto" w:sz="4" w:space="0"/>
              <w:left w:val="nil"/>
              <w:bottom w:val="single" w:color="auto" w:sz="4" w:space="0"/>
              <w:right w:val="single" w:color="auto" w:sz="4" w:space="0"/>
            </w:tcBorders>
            <w:noWrap/>
            <w:vAlign w:val="bottom"/>
          </w:tcPr>
          <w:p w14:paraId="658C3320">
            <w:pPr>
              <w:adjustRightInd w:val="0"/>
              <w:snapToGrid w:val="0"/>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有无针对分流职工再就业的技能培训、招聘措施</w:t>
            </w:r>
          </w:p>
        </w:tc>
        <w:tc>
          <w:tcPr>
            <w:tcW w:w="891" w:type="dxa"/>
            <w:tcBorders>
              <w:top w:val="single" w:color="auto" w:sz="4" w:space="0"/>
              <w:left w:val="nil"/>
              <w:bottom w:val="single" w:color="auto" w:sz="4" w:space="0"/>
              <w:right w:val="single" w:color="auto" w:sz="4" w:space="0"/>
            </w:tcBorders>
            <w:noWrap/>
            <w:vAlign w:val="bottom"/>
          </w:tcPr>
          <w:p w14:paraId="76321082">
            <w:pPr>
              <w:adjustRightInd w:val="0"/>
              <w:snapToGrid w:val="0"/>
              <w:jc w:val="center"/>
              <w:rPr>
                <w:rFonts w:ascii="宋体" w:hAnsi="宋体" w:eastAsia="宋体" w:cs="宋体"/>
                <w:color w:val="000000"/>
                <w:kern w:val="0"/>
                <w:sz w:val="18"/>
                <w:szCs w:val="18"/>
              </w:rPr>
            </w:pPr>
            <w:r>
              <w:rPr>
                <w:rFonts w:hint="eastAsia" w:ascii="宋体" w:hAnsi="宋体" w:cs="宋体"/>
                <w:color w:val="000000"/>
                <w:kern w:val="0"/>
                <w:sz w:val="18"/>
                <w:szCs w:val="18"/>
              </w:rPr>
              <w:t>3</w:t>
            </w:r>
          </w:p>
        </w:tc>
      </w:tr>
      <w:tr w14:paraId="633DDF81">
        <w:tblPrEx>
          <w:tblCellMar>
            <w:top w:w="0" w:type="dxa"/>
            <w:left w:w="108" w:type="dxa"/>
            <w:bottom w:w="0" w:type="dxa"/>
            <w:right w:w="108" w:type="dxa"/>
          </w:tblCellMar>
        </w:tblPrEx>
        <w:trPr>
          <w:trHeight w:val="349" w:hRule="atLeast"/>
        </w:trPr>
        <w:tc>
          <w:tcPr>
            <w:tcW w:w="1143" w:type="dxa"/>
            <w:vMerge w:val="continue"/>
            <w:tcBorders>
              <w:left w:val="single" w:color="auto" w:sz="4" w:space="0"/>
              <w:right w:val="single" w:color="auto" w:sz="4" w:space="0"/>
            </w:tcBorders>
            <w:vAlign w:val="center"/>
          </w:tcPr>
          <w:p w14:paraId="547785F2">
            <w:pPr>
              <w:spacing w:line="240" w:lineRule="atLeast"/>
              <w:jc w:val="center"/>
              <w:rPr>
                <w:rFonts w:ascii="宋体" w:hAnsi="宋体" w:eastAsia="宋体" w:cs="宋体"/>
                <w:color w:val="000000"/>
                <w:kern w:val="0"/>
                <w:sz w:val="18"/>
                <w:szCs w:val="18"/>
              </w:rPr>
            </w:pPr>
          </w:p>
        </w:tc>
        <w:tc>
          <w:tcPr>
            <w:tcW w:w="1136" w:type="dxa"/>
            <w:vMerge w:val="continue"/>
            <w:tcBorders>
              <w:top w:val="single" w:color="auto" w:sz="4" w:space="0"/>
              <w:left w:val="nil"/>
              <w:right w:val="single" w:color="auto" w:sz="4" w:space="0"/>
            </w:tcBorders>
            <w:noWrap/>
            <w:vAlign w:val="center"/>
          </w:tcPr>
          <w:p w14:paraId="7CE16FE3">
            <w:pPr>
              <w:spacing w:line="240" w:lineRule="atLeast"/>
              <w:jc w:val="center"/>
              <w:rPr>
                <w:rFonts w:ascii="宋体" w:hAnsi="宋体" w:eastAsia="宋体" w:cs="宋体"/>
                <w:color w:val="000000"/>
                <w:kern w:val="0"/>
                <w:sz w:val="18"/>
                <w:szCs w:val="18"/>
              </w:rPr>
            </w:pPr>
          </w:p>
        </w:tc>
        <w:tc>
          <w:tcPr>
            <w:tcW w:w="5668" w:type="dxa"/>
            <w:tcBorders>
              <w:top w:val="single" w:color="auto" w:sz="4" w:space="0"/>
              <w:left w:val="nil"/>
              <w:bottom w:val="single" w:color="auto" w:sz="4" w:space="0"/>
              <w:right w:val="single" w:color="auto" w:sz="4" w:space="0"/>
            </w:tcBorders>
            <w:noWrap/>
            <w:vAlign w:val="bottom"/>
          </w:tcPr>
          <w:p w14:paraId="0B6613CA">
            <w:pPr>
              <w:adjustRightInd w:val="0"/>
              <w:snapToGrid w:val="0"/>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有无针对困难职工救助措施</w:t>
            </w:r>
          </w:p>
        </w:tc>
        <w:tc>
          <w:tcPr>
            <w:tcW w:w="891" w:type="dxa"/>
            <w:tcBorders>
              <w:top w:val="single" w:color="auto" w:sz="4" w:space="0"/>
              <w:left w:val="nil"/>
              <w:bottom w:val="single" w:color="auto" w:sz="4" w:space="0"/>
              <w:right w:val="single" w:color="auto" w:sz="4" w:space="0"/>
            </w:tcBorders>
            <w:noWrap/>
            <w:vAlign w:val="bottom"/>
          </w:tcPr>
          <w:p w14:paraId="22ECB506">
            <w:pPr>
              <w:adjustRightInd w:val="0"/>
              <w:snapToGrid w:val="0"/>
              <w:jc w:val="center"/>
              <w:rPr>
                <w:rFonts w:ascii="宋体" w:hAnsi="宋体" w:eastAsia="宋体" w:cs="宋体"/>
                <w:color w:val="000000"/>
                <w:kern w:val="0"/>
                <w:sz w:val="18"/>
                <w:szCs w:val="18"/>
              </w:rPr>
            </w:pPr>
            <w:r>
              <w:rPr>
                <w:rFonts w:hint="eastAsia" w:ascii="宋体" w:hAnsi="宋体" w:cs="宋体"/>
                <w:color w:val="000000"/>
                <w:kern w:val="0"/>
                <w:sz w:val="18"/>
                <w:szCs w:val="18"/>
              </w:rPr>
              <w:t>2</w:t>
            </w:r>
          </w:p>
        </w:tc>
      </w:tr>
      <w:tr w14:paraId="6E10F4E9">
        <w:tblPrEx>
          <w:tblCellMar>
            <w:top w:w="0" w:type="dxa"/>
            <w:left w:w="108" w:type="dxa"/>
            <w:bottom w:w="0" w:type="dxa"/>
            <w:right w:w="108" w:type="dxa"/>
          </w:tblCellMar>
        </w:tblPrEx>
        <w:trPr>
          <w:trHeight w:val="349" w:hRule="atLeast"/>
        </w:trPr>
        <w:tc>
          <w:tcPr>
            <w:tcW w:w="1143" w:type="dxa"/>
            <w:vMerge w:val="continue"/>
            <w:tcBorders>
              <w:left w:val="single" w:color="auto" w:sz="4" w:space="0"/>
              <w:right w:val="single" w:color="auto" w:sz="4" w:space="0"/>
            </w:tcBorders>
            <w:vAlign w:val="center"/>
          </w:tcPr>
          <w:p w14:paraId="37917B79">
            <w:pPr>
              <w:spacing w:line="240" w:lineRule="atLeast"/>
              <w:jc w:val="center"/>
              <w:rPr>
                <w:rFonts w:ascii="宋体" w:hAnsi="宋体" w:eastAsia="宋体" w:cs="宋体"/>
                <w:color w:val="000000"/>
                <w:kern w:val="0"/>
                <w:sz w:val="18"/>
                <w:szCs w:val="18"/>
              </w:rPr>
            </w:pPr>
          </w:p>
        </w:tc>
        <w:tc>
          <w:tcPr>
            <w:tcW w:w="1136" w:type="dxa"/>
            <w:vMerge w:val="continue"/>
            <w:tcBorders>
              <w:top w:val="single" w:color="auto" w:sz="4" w:space="0"/>
              <w:left w:val="nil"/>
              <w:right w:val="single" w:color="auto" w:sz="4" w:space="0"/>
            </w:tcBorders>
            <w:noWrap/>
            <w:vAlign w:val="center"/>
          </w:tcPr>
          <w:p w14:paraId="2A5C398E">
            <w:pPr>
              <w:spacing w:line="240" w:lineRule="atLeast"/>
              <w:jc w:val="center"/>
              <w:rPr>
                <w:rFonts w:ascii="宋体" w:hAnsi="宋体" w:eastAsia="宋体" w:cs="宋体"/>
                <w:color w:val="000000"/>
                <w:kern w:val="0"/>
                <w:sz w:val="18"/>
                <w:szCs w:val="18"/>
              </w:rPr>
            </w:pPr>
          </w:p>
        </w:tc>
        <w:tc>
          <w:tcPr>
            <w:tcW w:w="5668" w:type="dxa"/>
            <w:tcBorders>
              <w:top w:val="single" w:color="auto" w:sz="4" w:space="0"/>
              <w:left w:val="nil"/>
              <w:bottom w:val="single" w:color="auto" w:sz="4" w:space="0"/>
              <w:right w:val="single" w:color="auto" w:sz="4" w:space="0"/>
            </w:tcBorders>
            <w:noWrap/>
            <w:vAlign w:val="bottom"/>
          </w:tcPr>
          <w:p w14:paraId="289BE56B">
            <w:pPr>
              <w:widowControl/>
              <w:adjustRightInd w:val="0"/>
              <w:snapToGrid w:val="0"/>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相关部门的协调配合能否到位</w:t>
            </w:r>
          </w:p>
        </w:tc>
        <w:tc>
          <w:tcPr>
            <w:tcW w:w="891" w:type="dxa"/>
            <w:tcBorders>
              <w:top w:val="single" w:color="auto" w:sz="4" w:space="0"/>
              <w:left w:val="nil"/>
              <w:bottom w:val="single" w:color="auto" w:sz="4" w:space="0"/>
              <w:right w:val="single" w:color="auto" w:sz="4" w:space="0"/>
            </w:tcBorders>
            <w:noWrap/>
            <w:vAlign w:val="bottom"/>
          </w:tcPr>
          <w:p w14:paraId="2D2AA7E9">
            <w:pPr>
              <w:widowControl/>
              <w:adjustRightInd w:val="0"/>
              <w:snapToGrid w:val="0"/>
              <w:spacing w:line="240" w:lineRule="exact"/>
              <w:jc w:val="center"/>
              <w:rPr>
                <w:rFonts w:ascii="宋体" w:hAnsi="宋体" w:eastAsia="宋体" w:cs="宋体"/>
                <w:color w:val="000000"/>
                <w:kern w:val="0"/>
                <w:sz w:val="18"/>
                <w:szCs w:val="18"/>
              </w:rPr>
            </w:pPr>
            <w:r>
              <w:rPr>
                <w:rFonts w:hint="eastAsia" w:ascii="宋体" w:hAnsi="宋体" w:cs="宋体"/>
                <w:color w:val="000000"/>
                <w:kern w:val="0"/>
                <w:sz w:val="18"/>
                <w:szCs w:val="18"/>
              </w:rPr>
              <w:t>3</w:t>
            </w:r>
          </w:p>
        </w:tc>
      </w:tr>
      <w:tr w14:paraId="3B2E11CD">
        <w:tblPrEx>
          <w:tblCellMar>
            <w:top w:w="0" w:type="dxa"/>
            <w:left w:w="108" w:type="dxa"/>
            <w:bottom w:w="0" w:type="dxa"/>
            <w:right w:w="108" w:type="dxa"/>
          </w:tblCellMar>
        </w:tblPrEx>
        <w:trPr>
          <w:trHeight w:val="270" w:hRule="atLeast"/>
        </w:trPr>
        <w:tc>
          <w:tcPr>
            <w:tcW w:w="1143" w:type="dxa"/>
            <w:vMerge w:val="continue"/>
            <w:tcBorders>
              <w:left w:val="single" w:color="auto" w:sz="4" w:space="0"/>
              <w:bottom w:val="single" w:color="auto" w:sz="4" w:space="0"/>
              <w:right w:val="single" w:color="auto" w:sz="4" w:space="0"/>
            </w:tcBorders>
            <w:vAlign w:val="center"/>
          </w:tcPr>
          <w:p w14:paraId="0D2E4719">
            <w:pPr>
              <w:widowControl/>
              <w:spacing w:line="240" w:lineRule="atLeast"/>
              <w:jc w:val="center"/>
              <w:rPr>
                <w:rFonts w:ascii="宋体" w:hAnsi="宋体" w:eastAsia="宋体" w:cs="宋体"/>
                <w:color w:val="000000"/>
                <w:kern w:val="0"/>
                <w:sz w:val="18"/>
                <w:szCs w:val="18"/>
              </w:rPr>
            </w:pPr>
          </w:p>
        </w:tc>
        <w:tc>
          <w:tcPr>
            <w:tcW w:w="1136" w:type="dxa"/>
            <w:vMerge w:val="continue"/>
            <w:tcBorders>
              <w:top w:val="single" w:color="auto" w:sz="4" w:space="0"/>
              <w:left w:val="nil"/>
              <w:bottom w:val="single" w:color="auto" w:sz="4" w:space="0"/>
              <w:right w:val="single" w:color="auto" w:sz="4" w:space="0"/>
            </w:tcBorders>
            <w:noWrap/>
            <w:vAlign w:val="center"/>
          </w:tcPr>
          <w:p w14:paraId="126A6622">
            <w:pPr>
              <w:widowControl/>
              <w:spacing w:line="240" w:lineRule="atLeast"/>
              <w:jc w:val="center"/>
              <w:rPr>
                <w:rFonts w:ascii="宋体" w:hAnsi="宋体" w:eastAsia="宋体" w:cs="宋体"/>
                <w:color w:val="000000"/>
                <w:kern w:val="0"/>
                <w:sz w:val="18"/>
                <w:szCs w:val="18"/>
              </w:rPr>
            </w:pPr>
          </w:p>
        </w:tc>
        <w:tc>
          <w:tcPr>
            <w:tcW w:w="5668" w:type="dxa"/>
            <w:tcBorders>
              <w:top w:val="nil"/>
              <w:left w:val="nil"/>
              <w:bottom w:val="single" w:color="auto" w:sz="4" w:space="0"/>
              <w:right w:val="single" w:color="auto" w:sz="4" w:space="0"/>
            </w:tcBorders>
            <w:noWrap/>
            <w:vAlign w:val="bottom"/>
          </w:tcPr>
          <w:p w14:paraId="547E0DB5">
            <w:pPr>
              <w:adjustRightInd w:val="0"/>
              <w:snapToGrid w:val="0"/>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是否有保障有效落实相应的考核奖惩措施</w:t>
            </w:r>
          </w:p>
        </w:tc>
        <w:tc>
          <w:tcPr>
            <w:tcW w:w="891" w:type="dxa"/>
            <w:tcBorders>
              <w:top w:val="nil"/>
              <w:left w:val="nil"/>
              <w:bottom w:val="single" w:color="auto" w:sz="4" w:space="0"/>
              <w:right w:val="single" w:color="auto" w:sz="4" w:space="0"/>
            </w:tcBorders>
            <w:noWrap/>
            <w:vAlign w:val="bottom"/>
          </w:tcPr>
          <w:p w14:paraId="39CB38FF">
            <w:pPr>
              <w:adjustRightInd w:val="0"/>
              <w:snapToGrid w:val="0"/>
              <w:spacing w:line="240" w:lineRule="exact"/>
              <w:jc w:val="center"/>
              <w:rPr>
                <w:rFonts w:ascii="宋体" w:hAnsi="宋体" w:eastAsia="宋体" w:cs="宋体"/>
                <w:color w:val="000000"/>
                <w:kern w:val="0"/>
                <w:sz w:val="18"/>
                <w:szCs w:val="18"/>
              </w:rPr>
            </w:pPr>
            <w:r>
              <w:rPr>
                <w:rFonts w:hint="eastAsia" w:ascii="宋体" w:hAnsi="宋体" w:cs="宋体"/>
                <w:color w:val="000000"/>
                <w:kern w:val="0"/>
                <w:sz w:val="18"/>
                <w:szCs w:val="18"/>
              </w:rPr>
              <w:t>2</w:t>
            </w:r>
          </w:p>
        </w:tc>
      </w:tr>
      <w:tr w14:paraId="0B71DB95">
        <w:tblPrEx>
          <w:tblCellMar>
            <w:top w:w="0" w:type="dxa"/>
            <w:left w:w="108" w:type="dxa"/>
            <w:bottom w:w="0" w:type="dxa"/>
            <w:right w:w="108" w:type="dxa"/>
          </w:tblCellMar>
        </w:tblPrEx>
        <w:trPr>
          <w:trHeight w:val="270" w:hRule="atLeast"/>
        </w:trPr>
        <w:tc>
          <w:tcPr>
            <w:tcW w:w="1143" w:type="dxa"/>
            <w:vMerge w:val="restart"/>
            <w:tcBorders>
              <w:top w:val="single" w:color="auto" w:sz="4" w:space="0"/>
              <w:left w:val="single" w:color="auto" w:sz="4" w:space="0"/>
              <w:right w:val="single" w:color="auto" w:sz="4" w:space="0"/>
            </w:tcBorders>
            <w:vAlign w:val="center"/>
          </w:tcPr>
          <w:p w14:paraId="3A0F7A58">
            <w:pPr>
              <w:widowControl/>
              <w:spacing w:line="240" w:lineRule="atLeast"/>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可控性</w:t>
            </w:r>
          </w:p>
          <w:p w14:paraId="66354076">
            <w:pPr>
              <w:widowControl/>
              <w:spacing w:line="240" w:lineRule="atLeast"/>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（30分）</w:t>
            </w:r>
          </w:p>
        </w:tc>
        <w:tc>
          <w:tcPr>
            <w:tcW w:w="1136" w:type="dxa"/>
            <w:vMerge w:val="restart"/>
            <w:tcBorders>
              <w:top w:val="single" w:color="auto" w:sz="4" w:space="0"/>
              <w:left w:val="nil"/>
              <w:right w:val="single" w:color="auto" w:sz="4" w:space="0"/>
            </w:tcBorders>
            <w:noWrap/>
            <w:vAlign w:val="center"/>
          </w:tcPr>
          <w:p w14:paraId="7D383D0A">
            <w:pPr>
              <w:spacing w:line="240" w:lineRule="atLeast"/>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风险防范</w:t>
            </w:r>
          </w:p>
          <w:p w14:paraId="6171BA6E">
            <w:pPr>
              <w:widowControl/>
              <w:spacing w:line="240" w:lineRule="atLeast"/>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（10分）</w:t>
            </w:r>
          </w:p>
        </w:tc>
        <w:tc>
          <w:tcPr>
            <w:tcW w:w="5668" w:type="dxa"/>
            <w:tcBorders>
              <w:top w:val="nil"/>
              <w:left w:val="nil"/>
              <w:bottom w:val="single" w:color="auto" w:sz="4" w:space="0"/>
              <w:right w:val="single" w:color="auto" w:sz="4" w:space="0"/>
            </w:tcBorders>
            <w:noWrap/>
            <w:vAlign w:val="bottom"/>
          </w:tcPr>
          <w:p w14:paraId="1E34FE11">
            <w:pPr>
              <w:widowControl/>
              <w:adjustRightInd w:val="0"/>
              <w:snapToGrid w:val="0"/>
              <w:jc w:val="left"/>
              <w:rPr>
                <w:rFonts w:ascii="宋体" w:hAnsi="宋体" w:eastAsia="宋体" w:cs="宋体"/>
                <w:color w:val="000000"/>
                <w:kern w:val="0"/>
                <w:sz w:val="18"/>
                <w:szCs w:val="18"/>
              </w:rPr>
            </w:pPr>
            <w:r>
              <w:rPr>
                <w:rFonts w:hint="eastAsia" w:ascii="宋体"/>
                <w:color w:val="000000"/>
                <w:kern w:val="0"/>
                <w:sz w:val="18"/>
                <w:szCs w:val="18"/>
              </w:rPr>
              <w:t>群众利益诉求渠道是否畅通，是否有专人受理群众投诉举报</w:t>
            </w:r>
          </w:p>
        </w:tc>
        <w:tc>
          <w:tcPr>
            <w:tcW w:w="891" w:type="dxa"/>
            <w:tcBorders>
              <w:top w:val="nil"/>
              <w:left w:val="nil"/>
              <w:bottom w:val="single" w:color="auto" w:sz="4" w:space="0"/>
              <w:right w:val="single" w:color="auto" w:sz="4" w:space="0"/>
            </w:tcBorders>
            <w:noWrap/>
            <w:vAlign w:val="bottom"/>
          </w:tcPr>
          <w:p w14:paraId="7AA30FA6">
            <w:pPr>
              <w:widowControl/>
              <w:adjustRightInd w:val="0"/>
              <w:snapToGrid w:val="0"/>
              <w:jc w:val="center"/>
              <w:rPr>
                <w:rFonts w:ascii="宋体" w:eastAsia="宋体"/>
                <w:color w:val="000000"/>
                <w:kern w:val="0"/>
                <w:sz w:val="18"/>
                <w:szCs w:val="18"/>
              </w:rPr>
            </w:pPr>
            <w:r>
              <w:rPr>
                <w:rFonts w:hint="eastAsia" w:ascii="宋体"/>
                <w:color w:val="000000"/>
                <w:kern w:val="0"/>
                <w:sz w:val="18"/>
                <w:szCs w:val="18"/>
              </w:rPr>
              <w:t>1</w:t>
            </w:r>
          </w:p>
        </w:tc>
      </w:tr>
      <w:tr w14:paraId="09052844">
        <w:tblPrEx>
          <w:tblCellMar>
            <w:top w:w="0" w:type="dxa"/>
            <w:left w:w="108" w:type="dxa"/>
            <w:bottom w:w="0" w:type="dxa"/>
            <w:right w:w="108" w:type="dxa"/>
          </w:tblCellMar>
        </w:tblPrEx>
        <w:trPr>
          <w:trHeight w:val="270" w:hRule="atLeast"/>
        </w:trPr>
        <w:tc>
          <w:tcPr>
            <w:tcW w:w="1143" w:type="dxa"/>
            <w:vMerge w:val="continue"/>
            <w:tcBorders>
              <w:top w:val="single" w:color="auto" w:sz="4" w:space="0"/>
              <w:left w:val="single" w:color="auto" w:sz="4" w:space="0"/>
              <w:right w:val="single" w:color="auto" w:sz="4" w:space="0"/>
            </w:tcBorders>
            <w:vAlign w:val="center"/>
          </w:tcPr>
          <w:p w14:paraId="2F535CD4">
            <w:pPr>
              <w:widowControl/>
              <w:spacing w:line="240" w:lineRule="atLeast"/>
              <w:jc w:val="center"/>
              <w:rPr>
                <w:rFonts w:ascii="宋体" w:hAnsi="宋体" w:eastAsia="宋体" w:cs="宋体"/>
                <w:color w:val="000000"/>
                <w:kern w:val="0"/>
                <w:sz w:val="18"/>
                <w:szCs w:val="18"/>
              </w:rPr>
            </w:pPr>
          </w:p>
        </w:tc>
        <w:tc>
          <w:tcPr>
            <w:tcW w:w="1136" w:type="dxa"/>
            <w:vMerge w:val="continue"/>
            <w:tcBorders>
              <w:top w:val="single" w:color="auto" w:sz="4" w:space="0"/>
              <w:left w:val="nil"/>
              <w:right w:val="single" w:color="auto" w:sz="4" w:space="0"/>
            </w:tcBorders>
            <w:noWrap/>
            <w:vAlign w:val="center"/>
          </w:tcPr>
          <w:p w14:paraId="6E1BEFAE">
            <w:pPr>
              <w:widowControl/>
              <w:spacing w:line="240" w:lineRule="atLeast"/>
              <w:jc w:val="center"/>
              <w:rPr>
                <w:rFonts w:ascii="宋体" w:hAnsi="宋体" w:eastAsia="宋体" w:cs="宋体"/>
                <w:color w:val="000000"/>
                <w:kern w:val="0"/>
                <w:sz w:val="18"/>
                <w:szCs w:val="18"/>
              </w:rPr>
            </w:pPr>
          </w:p>
        </w:tc>
        <w:tc>
          <w:tcPr>
            <w:tcW w:w="5668" w:type="dxa"/>
            <w:tcBorders>
              <w:top w:val="nil"/>
              <w:left w:val="nil"/>
              <w:bottom w:val="single" w:color="auto" w:sz="4" w:space="0"/>
              <w:right w:val="single" w:color="auto" w:sz="4" w:space="0"/>
            </w:tcBorders>
            <w:noWrap/>
            <w:vAlign w:val="bottom"/>
          </w:tcPr>
          <w:p w14:paraId="7DC5FFF5">
            <w:pPr>
              <w:widowControl/>
              <w:adjustRightInd w:val="0"/>
              <w:snapToGrid w:val="0"/>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是否有风险隐患排查工作机制</w:t>
            </w:r>
          </w:p>
        </w:tc>
        <w:tc>
          <w:tcPr>
            <w:tcW w:w="891" w:type="dxa"/>
            <w:tcBorders>
              <w:top w:val="nil"/>
              <w:left w:val="nil"/>
              <w:bottom w:val="single" w:color="auto" w:sz="4" w:space="0"/>
              <w:right w:val="single" w:color="auto" w:sz="4" w:space="0"/>
            </w:tcBorders>
            <w:noWrap/>
            <w:vAlign w:val="bottom"/>
          </w:tcPr>
          <w:p w14:paraId="145A9CB4">
            <w:pPr>
              <w:widowControl/>
              <w:adjustRightInd w:val="0"/>
              <w:snapToGrid w:val="0"/>
              <w:spacing w:line="240" w:lineRule="exact"/>
              <w:jc w:val="center"/>
              <w:rPr>
                <w:rFonts w:ascii="宋体" w:hAnsi="宋体" w:eastAsia="宋体" w:cs="宋体"/>
                <w:color w:val="000000"/>
                <w:kern w:val="0"/>
                <w:sz w:val="18"/>
                <w:szCs w:val="18"/>
              </w:rPr>
            </w:pPr>
            <w:r>
              <w:rPr>
                <w:rFonts w:hint="eastAsia" w:ascii="宋体" w:hAnsi="宋体" w:cs="宋体"/>
                <w:color w:val="000000"/>
                <w:kern w:val="0"/>
                <w:sz w:val="18"/>
                <w:szCs w:val="18"/>
              </w:rPr>
              <w:t>2</w:t>
            </w:r>
          </w:p>
        </w:tc>
      </w:tr>
      <w:tr w14:paraId="54DA4292">
        <w:tblPrEx>
          <w:tblCellMar>
            <w:top w:w="0" w:type="dxa"/>
            <w:left w:w="108" w:type="dxa"/>
            <w:bottom w:w="0" w:type="dxa"/>
            <w:right w:w="108" w:type="dxa"/>
          </w:tblCellMar>
        </w:tblPrEx>
        <w:trPr>
          <w:trHeight w:val="270" w:hRule="atLeast"/>
        </w:trPr>
        <w:tc>
          <w:tcPr>
            <w:tcW w:w="1143" w:type="dxa"/>
            <w:vMerge w:val="continue"/>
            <w:tcBorders>
              <w:top w:val="single" w:color="auto" w:sz="4" w:space="0"/>
              <w:left w:val="single" w:color="auto" w:sz="4" w:space="0"/>
              <w:right w:val="single" w:color="auto" w:sz="4" w:space="0"/>
            </w:tcBorders>
            <w:vAlign w:val="center"/>
          </w:tcPr>
          <w:p w14:paraId="2C25D004">
            <w:pPr>
              <w:widowControl/>
              <w:spacing w:line="240" w:lineRule="atLeast"/>
              <w:jc w:val="center"/>
              <w:rPr>
                <w:rFonts w:ascii="宋体" w:hAnsi="宋体" w:eastAsia="宋体" w:cs="宋体"/>
                <w:color w:val="000000"/>
                <w:kern w:val="0"/>
                <w:sz w:val="18"/>
                <w:szCs w:val="18"/>
              </w:rPr>
            </w:pPr>
          </w:p>
        </w:tc>
        <w:tc>
          <w:tcPr>
            <w:tcW w:w="1136" w:type="dxa"/>
            <w:vMerge w:val="continue"/>
            <w:tcBorders>
              <w:top w:val="single" w:color="auto" w:sz="4" w:space="0"/>
              <w:left w:val="nil"/>
              <w:right w:val="single" w:color="auto" w:sz="4" w:space="0"/>
            </w:tcBorders>
            <w:noWrap/>
            <w:vAlign w:val="center"/>
          </w:tcPr>
          <w:p w14:paraId="1C62E3CE">
            <w:pPr>
              <w:widowControl/>
              <w:spacing w:line="240" w:lineRule="atLeast"/>
              <w:jc w:val="center"/>
              <w:rPr>
                <w:rFonts w:ascii="宋体" w:hAnsi="宋体" w:eastAsia="宋体" w:cs="宋体"/>
                <w:color w:val="000000"/>
                <w:kern w:val="0"/>
                <w:sz w:val="18"/>
                <w:szCs w:val="18"/>
              </w:rPr>
            </w:pPr>
          </w:p>
        </w:tc>
        <w:tc>
          <w:tcPr>
            <w:tcW w:w="5668" w:type="dxa"/>
            <w:tcBorders>
              <w:top w:val="nil"/>
              <w:left w:val="nil"/>
              <w:bottom w:val="single" w:color="auto" w:sz="4" w:space="0"/>
              <w:right w:val="single" w:color="auto" w:sz="4" w:space="0"/>
            </w:tcBorders>
            <w:noWrap/>
            <w:vAlign w:val="bottom"/>
          </w:tcPr>
          <w:p w14:paraId="02696276">
            <w:pPr>
              <w:widowControl/>
              <w:adjustRightInd w:val="0"/>
              <w:snapToGrid w:val="0"/>
              <w:jc w:val="left"/>
              <w:rPr>
                <w:rFonts w:ascii="宋体" w:eastAsia="宋体"/>
                <w:color w:val="000000"/>
                <w:kern w:val="0"/>
                <w:sz w:val="18"/>
                <w:szCs w:val="18"/>
              </w:rPr>
            </w:pPr>
            <w:r>
              <w:rPr>
                <w:rFonts w:hint="eastAsia" w:ascii="宋体"/>
                <w:color w:val="000000"/>
                <w:kern w:val="0"/>
                <w:sz w:val="18"/>
                <w:szCs w:val="18"/>
              </w:rPr>
              <w:t>是否建立安全隐患工作台账、做到底数清</w:t>
            </w:r>
          </w:p>
        </w:tc>
        <w:tc>
          <w:tcPr>
            <w:tcW w:w="891" w:type="dxa"/>
            <w:tcBorders>
              <w:top w:val="nil"/>
              <w:left w:val="nil"/>
              <w:bottom w:val="single" w:color="auto" w:sz="4" w:space="0"/>
              <w:right w:val="single" w:color="auto" w:sz="4" w:space="0"/>
            </w:tcBorders>
            <w:noWrap/>
            <w:vAlign w:val="bottom"/>
          </w:tcPr>
          <w:p w14:paraId="0A11192F">
            <w:pPr>
              <w:widowControl/>
              <w:adjustRightInd w:val="0"/>
              <w:snapToGrid w:val="0"/>
              <w:jc w:val="center"/>
              <w:rPr>
                <w:rFonts w:ascii="宋体" w:eastAsia="宋体"/>
                <w:color w:val="000000"/>
                <w:kern w:val="0"/>
                <w:sz w:val="18"/>
                <w:szCs w:val="18"/>
              </w:rPr>
            </w:pPr>
            <w:r>
              <w:rPr>
                <w:rFonts w:hint="eastAsia" w:ascii="宋体"/>
                <w:color w:val="000000"/>
                <w:kern w:val="0"/>
                <w:sz w:val="18"/>
                <w:szCs w:val="18"/>
              </w:rPr>
              <w:t>2</w:t>
            </w:r>
          </w:p>
        </w:tc>
      </w:tr>
      <w:tr w14:paraId="38467D2B">
        <w:tblPrEx>
          <w:tblCellMar>
            <w:top w:w="0" w:type="dxa"/>
            <w:left w:w="108" w:type="dxa"/>
            <w:bottom w:w="0" w:type="dxa"/>
            <w:right w:w="108" w:type="dxa"/>
          </w:tblCellMar>
        </w:tblPrEx>
        <w:trPr>
          <w:trHeight w:val="270" w:hRule="atLeast"/>
        </w:trPr>
        <w:tc>
          <w:tcPr>
            <w:tcW w:w="1143" w:type="dxa"/>
            <w:vMerge w:val="continue"/>
            <w:tcBorders>
              <w:left w:val="single" w:color="auto" w:sz="4" w:space="0"/>
              <w:right w:val="single" w:color="auto" w:sz="4" w:space="0"/>
            </w:tcBorders>
            <w:vAlign w:val="center"/>
          </w:tcPr>
          <w:p w14:paraId="239E375C">
            <w:pPr>
              <w:spacing w:line="240" w:lineRule="atLeast"/>
              <w:jc w:val="center"/>
              <w:rPr>
                <w:rFonts w:ascii="宋体" w:hAnsi="宋体" w:eastAsia="宋体" w:cs="宋体"/>
                <w:color w:val="000000"/>
                <w:kern w:val="0"/>
                <w:sz w:val="18"/>
                <w:szCs w:val="18"/>
              </w:rPr>
            </w:pPr>
          </w:p>
        </w:tc>
        <w:tc>
          <w:tcPr>
            <w:tcW w:w="1136" w:type="dxa"/>
            <w:vMerge w:val="continue"/>
            <w:tcBorders>
              <w:top w:val="single" w:color="auto" w:sz="4" w:space="0"/>
              <w:left w:val="nil"/>
              <w:right w:val="single" w:color="auto" w:sz="4" w:space="0"/>
            </w:tcBorders>
            <w:noWrap/>
            <w:vAlign w:val="center"/>
          </w:tcPr>
          <w:p w14:paraId="69594523">
            <w:pPr>
              <w:spacing w:line="240" w:lineRule="atLeast"/>
              <w:jc w:val="center"/>
              <w:rPr>
                <w:rFonts w:ascii="宋体" w:hAnsi="宋体" w:eastAsia="宋体" w:cs="宋体"/>
                <w:color w:val="000000"/>
                <w:kern w:val="0"/>
                <w:sz w:val="18"/>
                <w:szCs w:val="18"/>
              </w:rPr>
            </w:pPr>
          </w:p>
        </w:tc>
        <w:tc>
          <w:tcPr>
            <w:tcW w:w="5668" w:type="dxa"/>
            <w:tcBorders>
              <w:top w:val="nil"/>
              <w:left w:val="nil"/>
              <w:bottom w:val="single" w:color="auto" w:sz="4" w:space="0"/>
              <w:right w:val="single" w:color="auto" w:sz="4" w:space="0"/>
            </w:tcBorders>
            <w:noWrap/>
            <w:vAlign w:val="bottom"/>
          </w:tcPr>
          <w:p w14:paraId="0D41DFE5">
            <w:pPr>
              <w:widowControl/>
              <w:adjustRightInd w:val="0"/>
              <w:snapToGrid w:val="0"/>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风险防范化解措施是否详实完整</w:t>
            </w:r>
          </w:p>
        </w:tc>
        <w:tc>
          <w:tcPr>
            <w:tcW w:w="891" w:type="dxa"/>
            <w:tcBorders>
              <w:top w:val="nil"/>
              <w:left w:val="nil"/>
              <w:bottom w:val="single" w:color="auto" w:sz="4" w:space="0"/>
              <w:right w:val="single" w:color="auto" w:sz="4" w:space="0"/>
            </w:tcBorders>
            <w:noWrap/>
            <w:vAlign w:val="bottom"/>
          </w:tcPr>
          <w:p w14:paraId="030F58B2">
            <w:pPr>
              <w:widowControl/>
              <w:adjustRightInd w:val="0"/>
              <w:snapToGrid w:val="0"/>
              <w:spacing w:line="240" w:lineRule="exact"/>
              <w:jc w:val="center"/>
              <w:rPr>
                <w:rFonts w:ascii="宋体" w:hAnsi="宋体" w:eastAsia="宋体" w:cs="宋体"/>
                <w:color w:val="000000"/>
                <w:kern w:val="0"/>
                <w:sz w:val="18"/>
                <w:szCs w:val="18"/>
              </w:rPr>
            </w:pPr>
            <w:r>
              <w:rPr>
                <w:rFonts w:hint="eastAsia" w:ascii="宋体" w:hAnsi="宋体" w:cs="宋体"/>
                <w:color w:val="000000"/>
                <w:kern w:val="0"/>
                <w:sz w:val="18"/>
                <w:szCs w:val="18"/>
              </w:rPr>
              <w:t>2</w:t>
            </w:r>
          </w:p>
        </w:tc>
      </w:tr>
      <w:tr w14:paraId="120FD34A">
        <w:tblPrEx>
          <w:tblCellMar>
            <w:top w:w="0" w:type="dxa"/>
            <w:left w:w="108" w:type="dxa"/>
            <w:bottom w:w="0" w:type="dxa"/>
            <w:right w:w="108" w:type="dxa"/>
          </w:tblCellMar>
        </w:tblPrEx>
        <w:trPr>
          <w:trHeight w:val="270" w:hRule="atLeast"/>
        </w:trPr>
        <w:tc>
          <w:tcPr>
            <w:tcW w:w="1143" w:type="dxa"/>
            <w:vMerge w:val="continue"/>
            <w:tcBorders>
              <w:left w:val="single" w:color="auto" w:sz="4" w:space="0"/>
              <w:right w:val="single" w:color="auto" w:sz="4" w:space="0"/>
            </w:tcBorders>
            <w:vAlign w:val="center"/>
          </w:tcPr>
          <w:p w14:paraId="1F9A4B5C">
            <w:pPr>
              <w:spacing w:line="240" w:lineRule="atLeast"/>
              <w:jc w:val="center"/>
              <w:rPr>
                <w:rFonts w:ascii="宋体" w:hAnsi="宋体" w:eastAsia="宋体" w:cs="宋体"/>
                <w:color w:val="000000"/>
                <w:kern w:val="0"/>
                <w:sz w:val="18"/>
                <w:szCs w:val="18"/>
              </w:rPr>
            </w:pPr>
          </w:p>
        </w:tc>
        <w:tc>
          <w:tcPr>
            <w:tcW w:w="1136" w:type="dxa"/>
            <w:vMerge w:val="continue"/>
            <w:tcBorders>
              <w:top w:val="single" w:color="auto" w:sz="4" w:space="0"/>
              <w:left w:val="nil"/>
              <w:right w:val="single" w:color="auto" w:sz="4" w:space="0"/>
            </w:tcBorders>
            <w:noWrap/>
            <w:vAlign w:val="center"/>
          </w:tcPr>
          <w:p w14:paraId="597A7445">
            <w:pPr>
              <w:spacing w:line="240" w:lineRule="atLeast"/>
              <w:jc w:val="center"/>
              <w:rPr>
                <w:rFonts w:ascii="宋体" w:hAnsi="宋体" w:eastAsia="宋体" w:cs="宋体"/>
                <w:color w:val="000000"/>
                <w:kern w:val="0"/>
                <w:sz w:val="18"/>
                <w:szCs w:val="18"/>
              </w:rPr>
            </w:pPr>
          </w:p>
        </w:tc>
        <w:tc>
          <w:tcPr>
            <w:tcW w:w="5668" w:type="dxa"/>
            <w:tcBorders>
              <w:top w:val="nil"/>
              <w:left w:val="nil"/>
              <w:bottom w:val="single" w:color="auto" w:sz="4" w:space="0"/>
              <w:right w:val="single" w:color="auto" w:sz="4" w:space="0"/>
            </w:tcBorders>
            <w:noWrap/>
            <w:vAlign w:val="bottom"/>
          </w:tcPr>
          <w:p w14:paraId="61AC19CE">
            <w:pPr>
              <w:widowControl/>
              <w:adjustRightInd w:val="0"/>
              <w:snapToGrid w:val="0"/>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风险防范化解责任是否落实到人</w:t>
            </w:r>
          </w:p>
        </w:tc>
        <w:tc>
          <w:tcPr>
            <w:tcW w:w="891" w:type="dxa"/>
            <w:tcBorders>
              <w:top w:val="nil"/>
              <w:left w:val="nil"/>
              <w:bottom w:val="single" w:color="auto" w:sz="4" w:space="0"/>
              <w:right w:val="single" w:color="auto" w:sz="4" w:space="0"/>
            </w:tcBorders>
            <w:noWrap/>
            <w:vAlign w:val="bottom"/>
          </w:tcPr>
          <w:p w14:paraId="27D6FAEB">
            <w:pPr>
              <w:widowControl/>
              <w:adjustRightInd w:val="0"/>
              <w:snapToGrid w:val="0"/>
              <w:spacing w:line="240" w:lineRule="exact"/>
              <w:jc w:val="center"/>
              <w:rPr>
                <w:rFonts w:ascii="宋体" w:hAnsi="宋体" w:eastAsia="宋体" w:cs="宋体"/>
                <w:color w:val="000000"/>
                <w:kern w:val="0"/>
                <w:sz w:val="18"/>
                <w:szCs w:val="18"/>
              </w:rPr>
            </w:pPr>
            <w:r>
              <w:rPr>
                <w:rFonts w:hint="eastAsia" w:ascii="宋体" w:hAnsi="宋体" w:cs="宋体"/>
                <w:color w:val="000000"/>
                <w:kern w:val="0"/>
                <w:sz w:val="18"/>
                <w:szCs w:val="18"/>
              </w:rPr>
              <w:t>2</w:t>
            </w:r>
          </w:p>
        </w:tc>
      </w:tr>
      <w:tr w14:paraId="18B90D88">
        <w:tblPrEx>
          <w:tblCellMar>
            <w:top w:w="0" w:type="dxa"/>
            <w:left w:w="108" w:type="dxa"/>
            <w:bottom w:w="0" w:type="dxa"/>
            <w:right w:w="108" w:type="dxa"/>
          </w:tblCellMar>
        </w:tblPrEx>
        <w:trPr>
          <w:trHeight w:val="270" w:hRule="atLeast"/>
        </w:trPr>
        <w:tc>
          <w:tcPr>
            <w:tcW w:w="1143" w:type="dxa"/>
            <w:vMerge w:val="continue"/>
            <w:tcBorders>
              <w:left w:val="single" w:color="auto" w:sz="4" w:space="0"/>
              <w:right w:val="single" w:color="auto" w:sz="4" w:space="0"/>
            </w:tcBorders>
            <w:vAlign w:val="center"/>
          </w:tcPr>
          <w:p w14:paraId="417026F9">
            <w:pPr>
              <w:spacing w:line="240" w:lineRule="atLeast"/>
              <w:jc w:val="center"/>
              <w:rPr>
                <w:rFonts w:ascii="宋体" w:hAnsi="宋体" w:eastAsia="宋体" w:cs="宋体"/>
                <w:color w:val="000000"/>
                <w:kern w:val="0"/>
                <w:sz w:val="18"/>
                <w:szCs w:val="18"/>
              </w:rPr>
            </w:pPr>
          </w:p>
        </w:tc>
        <w:tc>
          <w:tcPr>
            <w:tcW w:w="1136" w:type="dxa"/>
            <w:vMerge w:val="continue"/>
            <w:tcBorders>
              <w:top w:val="single" w:color="auto" w:sz="4" w:space="0"/>
              <w:left w:val="nil"/>
              <w:bottom w:val="single" w:color="auto" w:sz="4" w:space="0"/>
              <w:right w:val="single" w:color="auto" w:sz="4" w:space="0"/>
            </w:tcBorders>
            <w:noWrap/>
            <w:vAlign w:val="center"/>
          </w:tcPr>
          <w:p w14:paraId="5A9621C7">
            <w:pPr>
              <w:spacing w:line="240" w:lineRule="atLeast"/>
              <w:jc w:val="center"/>
              <w:rPr>
                <w:rFonts w:ascii="宋体" w:hAnsi="宋体" w:eastAsia="宋体" w:cs="宋体"/>
                <w:color w:val="000000"/>
                <w:kern w:val="0"/>
                <w:sz w:val="18"/>
                <w:szCs w:val="18"/>
              </w:rPr>
            </w:pPr>
          </w:p>
        </w:tc>
        <w:tc>
          <w:tcPr>
            <w:tcW w:w="5668" w:type="dxa"/>
            <w:tcBorders>
              <w:top w:val="nil"/>
              <w:left w:val="nil"/>
              <w:bottom w:val="single" w:color="auto" w:sz="4" w:space="0"/>
              <w:right w:val="single" w:color="auto" w:sz="4" w:space="0"/>
            </w:tcBorders>
            <w:noWrap/>
            <w:vAlign w:val="bottom"/>
          </w:tcPr>
          <w:p w14:paraId="56D0CB5A">
            <w:pPr>
              <w:widowControl/>
              <w:adjustRightInd w:val="0"/>
              <w:snapToGrid w:val="0"/>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地区行业负面联动影响是否可控</w:t>
            </w:r>
          </w:p>
        </w:tc>
        <w:tc>
          <w:tcPr>
            <w:tcW w:w="891" w:type="dxa"/>
            <w:tcBorders>
              <w:top w:val="nil"/>
              <w:left w:val="nil"/>
              <w:bottom w:val="single" w:color="auto" w:sz="4" w:space="0"/>
              <w:right w:val="single" w:color="auto" w:sz="4" w:space="0"/>
            </w:tcBorders>
            <w:noWrap/>
            <w:vAlign w:val="bottom"/>
          </w:tcPr>
          <w:p w14:paraId="45B16F33">
            <w:pPr>
              <w:widowControl/>
              <w:adjustRightInd w:val="0"/>
              <w:snapToGrid w:val="0"/>
              <w:jc w:val="center"/>
              <w:rPr>
                <w:rFonts w:ascii="宋体" w:hAnsi="宋体" w:eastAsia="宋体" w:cs="宋体"/>
                <w:color w:val="000000"/>
                <w:kern w:val="0"/>
                <w:sz w:val="18"/>
                <w:szCs w:val="18"/>
              </w:rPr>
            </w:pPr>
            <w:r>
              <w:rPr>
                <w:rFonts w:hint="eastAsia" w:ascii="宋体" w:hAnsi="宋体" w:cs="宋体"/>
                <w:color w:val="000000"/>
                <w:kern w:val="0"/>
                <w:sz w:val="18"/>
                <w:szCs w:val="18"/>
              </w:rPr>
              <w:t>1</w:t>
            </w:r>
          </w:p>
        </w:tc>
      </w:tr>
      <w:tr w14:paraId="1C099389">
        <w:tblPrEx>
          <w:tblCellMar>
            <w:top w:w="0" w:type="dxa"/>
            <w:left w:w="108" w:type="dxa"/>
            <w:bottom w:w="0" w:type="dxa"/>
            <w:right w:w="108" w:type="dxa"/>
          </w:tblCellMar>
        </w:tblPrEx>
        <w:trPr>
          <w:trHeight w:val="270" w:hRule="atLeast"/>
        </w:trPr>
        <w:tc>
          <w:tcPr>
            <w:tcW w:w="1143" w:type="dxa"/>
            <w:vMerge w:val="continue"/>
            <w:tcBorders>
              <w:left w:val="single" w:color="auto" w:sz="4" w:space="0"/>
              <w:right w:val="single" w:color="auto" w:sz="4" w:space="0"/>
            </w:tcBorders>
            <w:vAlign w:val="center"/>
          </w:tcPr>
          <w:p w14:paraId="73A1C140">
            <w:pPr>
              <w:spacing w:line="240" w:lineRule="atLeast"/>
              <w:jc w:val="center"/>
              <w:rPr>
                <w:rFonts w:ascii="宋体" w:hAnsi="宋体" w:eastAsia="宋体" w:cs="宋体"/>
                <w:color w:val="000000"/>
                <w:kern w:val="0"/>
                <w:sz w:val="18"/>
                <w:szCs w:val="18"/>
              </w:rPr>
            </w:pPr>
          </w:p>
        </w:tc>
        <w:tc>
          <w:tcPr>
            <w:tcW w:w="1136" w:type="dxa"/>
            <w:vMerge w:val="restart"/>
            <w:tcBorders>
              <w:top w:val="single" w:color="auto" w:sz="4" w:space="0"/>
              <w:left w:val="nil"/>
              <w:right w:val="single" w:color="auto" w:sz="4" w:space="0"/>
            </w:tcBorders>
            <w:noWrap/>
            <w:vAlign w:val="center"/>
          </w:tcPr>
          <w:p w14:paraId="4C12307B">
            <w:pPr>
              <w:widowControl/>
              <w:spacing w:line="240" w:lineRule="atLeast"/>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舆情引导</w:t>
            </w:r>
          </w:p>
          <w:p w14:paraId="7B6D2644">
            <w:pPr>
              <w:widowControl/>
              <w:spacing w:line="240" w:lineRule="atLeast"/>
              <w:rPr>
                <w:rFonts w:ascii="宋体" w:hAnsi="宋体" w:eastAsia="宋体" w:cs="宋体"/>
                <w:color w:val="000000"/>
                <w:kern w:val="0"/>
                <w:sz w:val="18"/>
                <w:szCs w:val="18"/>
              </w:rPr>
            </w:pPr>
            <w:r>
              <w:rPr>
                <w:rFonts w:hint="eastAsia" w:ascii="宋体" w:hAnsi="宋体" w:eastAsia="宋体" w:cs="宋体"/>
                <w:color w:val="000000"/>
                <w:kern w:val="0"/>
                <w:sz w:val="18"/>
                <w:szCs w:val="18"/>
              </w:rPr>
              <w:t>（10分）</w:t>
            </w:r>
          </w:p>
          <w:p w14:paraId="30E27E84">
            <w:pPr>
              <w:spacing w:line="240" w:lineRule="atLeast"/>
              <w:jc w:val="center"/>
              <w:rPr>
                <w:rFonts w:ascii="宋体" w:hAnsi="宋体" w:eastAsia="宋体" w:cs="宋体"/>
                <w:color w:val="000000"/>
                <w:kern w:val="0"/>
                <w:sz w:val="18"/>
                <w:szCs w:val="18"/>
              </w:rPr>
            </w:pPr>
          </w:p>
        </w:tc>
        <w:tc>
          <w:tcPr>
            <w:tcW w:w="5668" w:type="dxa"/>
            <w:tcBorders>
              <w:top w:val="nil"/>
              <w:left w:val="nil"/>
              <w:bottom w:val="single" w:color="auto" w:sz="4" w:space="0"/>
              <w:right w:val="single" w:color="auto" w:sz="4" w:space="0"/>
            </w:tcBorders>
            <w:noWrap/>
            <w:vAlign w:val="bottom"/>
          </w:tcPr>
          <w:p w14:paraId="59A021CC">
            <w:pPr>
              <w:widowControl/>
              <w:adjustRightInd w:val="0"/>
              <w:snapToGrid w:val="0"/>
              <w:jc w:val="left"/>
              <w:rPr>
                <w:rFonts w:ascii="宋体" w:hAnsi="宋体" w:eastAsia="宋体" w:cs="宋体"/>
                <w:color w:val="000000"/>
                <w:kern w:val="0"/>
                <w:sz w:val="18"/>
                <w:szCs w:val="18"/>
              </w:rPr>
            </w:pPr>
            <w:r>
              <w:rPr>
                <w:rFonts w:hint="eastAsia" w:ascii="宋体"/>
                <w:color w:val="000000"/>
                <w:kern w:val="0"/>
                <w:sz w:val="18"/>
                <w:szCs w:val="18"/>
              </w:rPr>
              <w:t>改革改制的必要性、相关政策及改革改制方案宣传解释是否到位</w:t>
            </w:r>
          </w:p>
        </w:tc>
        <w:tc>
          <w:tcPr>
            <w:tcW w:w="891" w:type="dxa"/>
            <w:tcBorders>
              <w:top w:val="nil"/>
              <w:left w:val="nil"/>
              <w:bottom w:val="single" w:color="auto" w:sz="4" w:space="0"/>
              <w:right w:val="single" w:color="auto" w:sz="4" w:space="0"/>
            </w:tcBorders>
            <w:noWrap/>
            <w:vAlign w:val="bottom"/>
          </w:tcPr>
          <w:p w14:paraId="48A80C65">
            <w:pPr>
              <w:widowControl/>
              <w:adjustRightInd w:val="0"/>
              <w:snapToGrid w:val="0"/>
              <w:jc w:val="center"/>
              <w:rPr>
                <w:rFonts w:ascii="宋体" w:eastAsia="宋体"/>
                <w:color w:val="000000"/>
                <w:kern w:val="0"/>
                <w:sz w:val="18"/>
                <w:szCs w:val="18"/>
              </w:rPr>
            </w:pPr>
            <w:r>
              <w:rPr>
                <w:rFonts w:hint="eastAsia" w:ascii="宋体"/>
                <w:color w:val="000000"/>
                <w:kern w:val="0"/>
                <w:sz w:val="18"/>
                <w:szCs w:val="18"/>
              </w:rPr>
              <w:t>2</w:t>
            </w:r>
          </w:p>
        </w:tc>
      </w:tr>
      <w:tr w14:paraId="6BF23DD0">
        <w:tblPrEx>
          <w:tblCellMar>
            <w:top w:w="0" w:type="dxa"/>
            <w:left w:w="108" w:type="dxa"/>
            <w:bottom w:w="0" w:type="dxa"/>
            <w:right w:w="108" w:type="dxa"/>
          </w:tblCellMar>
        </w:tblPrEx>
        <w:trPr>
          <w:trHeight w:val="270" w:hRule="atLeast"/>
        </w:trPr>
        <w:tc>
          <w:tcPr>
            <w:tcW w:w="1143" w:type="dxa"/>
            <w:vMerge w:val="continue"/>
            <w:tcBorders>
              <w:left w:val="single" w:color="auto" w:sz="4" w:space="0"/>
              <w:right w:val="single" w:color="auto" w:sz="4" w:space="0"/>
            </w:tcBorders>
            <w:vAlign w:val="center"/>
          </w:tcPr>
          <w:p w14:paraId="7D9236DF">
            <w:pPr>
              <w:spacing w:line="240" w:lineRule="atLeast"/>
              <w:jc w:val="center"/>
              <w:rPr>
                <w:rFonts w:ascii="宋体" w:hAnsi="宋体" w:eastAsia="宋体" w:cs="宋体"/>
                <w:color w:val="000000"/>
                <w:kern w:val="0"/>
                <w:sz w:val="18"/>
                <w:szCs w:val="18"/>
              </w:rPr>
            </w:pPr>
          </w:p>
        </w:tc>
        <w:tc>
          <w:tcPr>
            <w:tcW w:w="1136" w:type="dxa"/>
            <w:vMerge w:val="continue"/>
            <w:tcBorders>
              <w:top w:val="single" w:color="auto" w:sz="4" w:space="0"/>
              <w:left w:val="nil"/>
              <w:right w:val="single" w:color="auto" w:sz="4" w:space="0"/>
            </w:tcBorders>
            <w:noWrap/>
            <w:vAlign w:val="center"/>
          </w:tcPr>
          <w:p w14:paraId="1DAC8B59">
            <w:pPr>
              <w:widowControl/>
              <w:spacing w:line="240" w:lineRule="atLeast"/>
              <w:jc w:val="center"/>
              <w:rPr>
                <w:rFonts w:ascii="宋体" w:hAnsi="宋体" w:eastAsia="宋体" w:cs="宋体"/>
                <w:color w:val="000000"/>
                <w:kern w:val="0"/>
                <w:sz w:val="18"/>
                <w:szCs w:val="18"/>
              </w:rPr>
            </w:pPr>
          </w:p>
        </w:tc>
        <w:tc>
          <w:tcPr>
            <w:tcW w:w="5668" w:type="dxa"/>
            <w:tcBorders>
              <w:top w:val="nil"/>
              <w:left w:val="nil"/>
              <w:bottom w:val="single" w:color="auto" w:sz="4" w:space="0"/>
              <w:right w:val="single" w:color="auto" w:sz="4" w:space="0"/>
            </w:tcBorders>
            <w:noWrap/>
            <w:vAlign w:val="bottom"/>
          </w:tcPr>
          <w:p w14:paraId="468E103C">
            <w:pPr>
              <w:widowControl/>
              <w:adjustRightInd w:val="0"/>
              <w:snapToGrid w:val="0"/>
              <w:jc w:val="left"/>
              <w:rPr>
                <w:rFonts w:ascii="宋体"/>
                <w:color w:val="000000"/>
                <w:kern w:val="0"/>
                <w:sz w:val="18"/>
                <w:szCs w:val="18"/>
              </w:rPr>
            </w:pPr>
            <w:r>
              <w:rPr>
                <w:rFonts w:hint="eastAsia" w:ascii="宋体" w:hAnsi="宋体" w:eastAsia="宋体" w:cs="宋体"/>
                <w:color w:val="000000"/>
                <w:kern w:val="0"/>
                <w:sz w:val="18"/>
                <w:szCs w:val="18"/>
              </w:rPr>
              <w:t>是否针对职工心理预期、主要想法和意见开展了有效引导</w:t>
            </w:r>
          </w:p>
        </w:tc>
        <w:tc>
          <w:tcPr>
            <w:tcW w:w="891" w:type="dxa"/>
            <w:tcBorders>
              <w:top w:val="nil"/>
              <w:left w:val="nil"/>
              <w:bottom w:val="single" w:color="auto" w:sz="4" w:space="0"/>
              <w:right w:val="single" w:color="auto" w:sz="4" w:space="0"/>
            </w:tcBorders>
            <w:noWrap/>
            <w:vAlign w:val="bottom"/>
          </w:tcPr>
          <w:p w14:paraId="1F0C2A29">
            <w:pPr>
              <w:widowControl/>
              <w:adjustRightInd w:val="0"/>
              <w:snapToGrid w:val="0"/>
              <w:jc w:val="center"/>
              <w:rPr>
                <w:rFonts w:ascii="宋体" w:eastAsia="宋体"/>
                <w:color w:val="000000"/>
                <w:kern w:val="0"/>
                <w:sz w:val="18"/>
                <w:szCs w:val="18"/>
              </w:rPr>
            </w:pPr>
            <w:r>
              <w:rPr>
                <w:rFonts w:hint="eastAsia" w:ascii="宋体"/>
                <w:color w:val="000000"/>
                <w:kern w:val="0"/>
                <w:sz w:val="18"/>
                <w:szCs w:val="18"/>
              </w:rPr>
              <w:t>2</w:t>
            </w:r>
          </w:p>
        </w:tc>
      </w:tr>
      <w:tr w14:paraId="577F4AA6">
        <w:tblPrEx>
          <w:tblCellMar>
            <w:top w:w="0" w:type="dxa"/>
            <w:left w:w="108" w:type="dxa"/>
            <w:bottom w:w="0" w:type="dxa"/>
            <w:right w:w="108" w:type="dxa"/>
          </w:tblCellMar>
        </w:tblPrEx>
        <w:trPr>
          <w:trHeight w:val="270" w:hRule="atLeast"/>
        </w:trPr>
        <w:tc>
          <w:tcPr>
            <w:tcW w:w="1143" w:type="dxa"/>
            <w:vMerge w:val="continue"/>
            <w:tcBorders>
              <w:left w:val="single" w:color="auto" w:sz="4" w:space="0"/>
              <w:right w:val="single" w:color="auto" w:sz="4" w:space="0"/>
            </w:tcBorders>
            <w:vAlign w:val="center"/>
          </w:tcPr>
          <w:p w14:paraId="51B45E24">
            <w:pPr>
              <w:spacing w:line="240" w:lineRule="atLeast"/>
              <w:jc w:val="center"/>
              <w:rPr>
                <w:rFonts w:ascii="宋体" w:hAnsi="宋体" w:eastAsia="宋体" w:cs="宋体"/>
                <w:color w:val="000000"/>
                <w:kern w:val="0"/>
                <w:sz w:val="18"/>
                <w:szCs w:val="18"/>
              </w:rPr>
            </w:pPr>
          </w:p>
        </w:tc>
        <w:tc>
          <w:tcPr>
            <w:tcW w:w="1136" w:type="dxa"/>
            <w:vMerge w:val="continue"/>
            <w:tcBorders>
              <w:top w:val="single" w:color="auto" w:sz="4" w:space="0"/>
              <w:left w:val="nil"/>
              <w:right w:val="single" w:color="auto" w:sz="4" w:space="0"/>
            </w:tcBorders>
            <w:noWrap/>
            <w:vAlign w:val="center"/>
          </w:tcPr>
          <w:p w14:paraId="7BF475C8">
            <w:pPr>
              <w:widowControl/>
              <w:spacing w:line="240" w:lineRule="atLeast"/>
              <w:jc w:val="center"/>
              <w:rPr>
                <w:rFonts w:ascii="宋体" w:hAnsi="宋体" w:eastAsia="宋体" w:cs="宋体"/>
                <w:color w:val="000000"/>
                <w:kern w:val="0"/>
                <w:sz w:val="18"/>
                <w:szCs w:val="18"/>
              </w:rPr>
            </w:pPr>
          </w:p>
        </w:tc>
        <w:tc>
          <w:tcPr>
            <w:tcW w:w="5668" w:type="dxa"/>
            <w:tcBorders>
              <w:top w:val="nil"/>
              <w:left w:val="nil"/>
              <w:bottom w:val="single" w:color="auto" w:sz="4" w:space="0"/>
              <w:right w:val="single" w:color="auto" w:sz="4" w:space="0"/>
            </w:tcBorders>
            <w:noWrap/>
            <w:vAlign w:val="bottom"/>
          </w:tcPr>
          <w:p w14:paraId="259CAA45">
            <w:pPr>
              <w:widowControl/>
              <w:adjustRightInd w:val="0"/>
              <w:snapToGrid w:val="0"/>
              <w:jc w:val="left"/>
              <w:rPr>
                <w:rFonts w:ascii="宋体" w:hAnsi="宋体" w:eastAsia="宋体" w:cs="宋体"/>
                <w:color w:val="000000"/>
                <w:kern w:val="0"/>
                <w:sz w:val="18"/>
                <w:szCs w:val="18"/>
              </w:rPr>
            </w:pPr>
            <w:r>
              <w:rPr>
                <w:rFonts w:hint="eastAsia" w:ascii="宋体"/>
                <w:color w:val="000000"/>
                <w:kern w:val="0"/>
                <w:sz w:val="18"/>
                <w:szCs w:val="18"/>
              </w:rPr>
              <w:t>是否建立并落实“三同步”工作机制</w:t>
            </w:r>
          </w:p>
        </w:tc>
        <w:tc>
          <w:tcPr>
            <w:tcW w:w="891" w:type="dxa"/>
            <w:tcBorders>
              <w:top w:val="nil"/>
              <w:left w:val="nil"/>
              <w:bottom w:val="single" w:color="auto" w:sz="4" w:space="0"/>
              <w:right w:val="single" w:color="auto" w:sz="4" w:space="0"/>
            </w:tcBorders>
            <w:noWrap/>
            <w:vAlign w:val="bottom"/>
          </w:tcPr>
          <w:p w14:paraId="33CDCF21">
            <w:pPr>
              <w:widowControl/>
              <w:adjustRightInd w:val="0"/>
              <w:snapToGrid w:val="0"/>
              <w:jc w:val="center"/>
              <w:rPr>
                <w:rFonts w:ascii="宋体" w:hAnsi="宋体" w:eastAsia="宋体" w:cs="宋体"/>
                <w:color w:val="000000"/>
                <w:kern w:val="0"/>
                <w:sz w:val="18"/>
                <w:szCs w:val="18"/>
              </w:rPr>
            </w:pPr>
            <w:r>
              <w:rPr>
                <w:rFonts w:hint="eastAsia" w:ascii="宋体" w:hAnsi="宋体" w:cs="宋体"/>
                <w:color w:val="000000"/>
                <w:kern w:val="0"/>
                <w:sz w:val="18"/>
                <w:szCs w:val="18"/>
              </w:rPr>
              <w:t>2</w:t>
            </w:r>
          </w:p>
        </w:tc>
      </w:tr>
      <w:tr w14:paraId="6A0130A7">
        <w:tblPrEx>
          <w:tblCellMar>
            <w:top w:w="0" w:type="dxa"/>
            <w:left w:w="108" w:type="dxa"/>
            <w:bottom w:w="0" w:type="dxa"/>
            <w:right w:w="108" w:type="dxa"/>
          </w:tblCellMar>
        </w:tblPrEx>
        <w:trPr>
          <w:trHeight w:val="270" w:hRule="atLeast"/>
        </w:trPr>
        <w:tc>
          <w:tcPr>
            <w:tcW w:w="1143" w:type="dxa"/>
            <w:vMerge w:val="continue"/>
            <w:tcBorders>
              <w:left w:val="single" w:color="auto" w:sz="4" w:space="0"/>
              <w:right w:val="single" w:color="auto" w:sz="4" w:space="0"/>
            </w:tcBorders>
            <w:vAlign w:val="center"/>
          </w:tcPr>
          <w:p w14:paraId="7CDCB6A9">
            <w:pPr>
              <w:spacing w:line="240" w:lineRule="atLeast"/>
              <w:jc w:val="center"/>
              <w:rPr>
                <w:rFonts w:ascii="宋体" w:hAnsi="宋体" w:eastAsia="宋体" w:cs="宋体"/>
                <w:color w:val="000000"/>
                <w:kern w:val="0"/>
                <w:sz w:val="18"/>
                <w:szCs w:val="18"/>
              </w:rPr>
            </w:pPr>
          </w:p>
        </w:tc>
        <w:tc>
          <w:tcPr>
            <w:tcW w:w="1136" w:type="dxa"/>
            <w:vMerge w:val="continue"/>
            <w:tcBorders>
              <w:top w:val="single" w:color="auto" w:sz="4" w:space="0"/>
              <w:left w:val="nil"/>
              <w:right w:val="single" w:color="auto" w:sz="4" w:space="0"/>
            </w:tcBorders>
            <w:noWrap/>
            <w:vAlign w:val="center"/>
          </w:tcPr>
          <w:p w14:paraId="6C05217A">
            <w:pPr>
              <w:widowControl/>
              <w:spacing w:line="240" w:lineRule="atLeast"/>
              <w:jc w:val="center"/>
              <w:rPr>
                <w:rFonts w:ascii="宋体" w:hAnsi="宋体" w:eastAsia="宋体" w:cs="宋体"/>
                <w:color w:val="000000"/>
                <w:kern w:val="0"/>
                <w:sz w:val="18"/>
                <w:szCs w:val="18"/>
              </w:rPr>
            </w:pPr>
          </w:p>
        </w:tc>
        <w:tc>
          <w:tcPr>
            <w:tcW w:w="5668" w:type="dxa"/>
            <w:tcBorders>
              <w:top w:val="nil"/>
              <w:left w:val="nil"/>
              <w:bottom w:val="single" w:color="auto" w:sz="4" w:space="0"/>
              <w:right w:val="single" w:color="auto" w:sz="4" w:space="0"/>
            </w:tcBorders>
            <w:noWrap/>
            <w:vAlign w:val="bottom"/>
          </w:tcPr>
          <w:p w14:paraId="068A38CF">
            <w:pPr>
              <w:widowControl/>
              <w:adjustRightInd w:val="0"/>
              <w:snapToGrid w:val="0"/>
              <w:jc w:val="left"/>
              <w:rPr>
                <w:rFonts w:ascii="宋体" w:hAnsi="宋体" w:eastAsia="宋体" w:cs="宋体"/>
                <w:color w:val="000000"/>
                <w:kern w:val="0"/>
                <w:sz w:val="18"/>
                <w:szCs w:val="18"/>
              </w:rPr>
            </w:pPr>
            <w:r>
              <w:rPr>
                <w:rFonts w:hint="eastAsia" w:ascii="宋体"/>
                <w:color w:val="000000"/>
                <w:kern w:val="0"/>
                <w:sz w:val="18"/>
                <w:szCs w:val="18"/>
              </w:rPr>
              <w:t>是否与媒体建立正常的沟通渠道</w:t>
            </w:r>
          </w:p>
        </w:tc>
        <w:tc>
          <w:tcPr>
            <w:tcW w:w="891" w:type="dxa"/>
            <w:tcBorders>
              <w:top w:val="nil"/>
              <w:left w:val="nil"/>
              <w:bottom w:val="single" w:color="auto" w:sz="4" w:space="0"/>
              <w:right w:val="single" w:color="auto" w:sz="4" w:space="0"/>
            </w:tcBorders>
            <w:noWrap/>
            <w:vAlign w:val="bottom"/>
          </w:tcPr>
          <w:p w14:paraId="0CFBF38D">
            <w:pPr>
              <w:widowControl/>
              <w:adjustRightInd w:val="0"/>
              <w:snapToGrid w:val="0"/>
              <w:jc w:val="center"/>
              <w:rPr>
                <w:rFonts w:ascii="宋体" w:eastAsia="宋体"/>
                <w:color w:val="000000"/>
                <w:kern w:val="0"/>
                <w:sz w:val="18"/>
                <w:szCs w:val="18"/>
              </w:rPr>
            </w:pPr>
            <w:r>
              <w:rPr>
                <w:rFonts w:hint="eastAsia" w:ascii="宋体"/>
                <w:color w:val="000000"/>
                <w:kern w:val="0"/>
                <w:sz w:val="18"/>
                <w:szCs w:val="18"/>
              </w:rPr>
              <w:t>2</w:t>
            </w:r>
          </w:p>
        </w:tc>
      </w:tr>
      <w:tr w14:paraId="1F37C8CC">
        <w:tblPrEx>
          <w:tblCellMar>
            <w:top w:w="0" w:type="dxa"/>
            <w:left w:w="108" w:type="dxa"/>
            <w:bottom w:w="0" w:type="dxa"/>
            <w:right w:w="108" w:type="dxa"/>
          </w:tblCellMar>
        </w:tblPrEx>
        <w:trPr>
          <w:trHeight w:val="270" w:hRule="atLeast"/>
        </w:trPr>
        <w:tc>
          <w:tcPr>
            <w:tcW w:w="1143" w:type="dxa"/>
            <w:vMerge w:val="continue"/>
            <w:tcBorders>
              <w:left w:val="single" w:color="auto" w:sz="4" w:space="0"/>
              <w:bottom w:val="single" w:color="auto" w:sz="4" w:space="0"/>
              <w:right w:val="single" w:color="auto" w:sz="4" w:space="0"/>
            </w:tcBorders>
            <w:vAlign w:val="center"/>
          </w:tcPr>
          <w:p w14:paraId="33F5562D">
            <w:pPr>
              <w:spacing w:line="240" w:lineRule="atLeast"/>
              <w:jc w:val="center"/>
              <w:rPr>
                <w:rFonts w:ascii="宋体" w:hAnsi="宋体" w:eastAsia="宋体" w:cs="宋体"/>
                <w:color w:val="000000"/>
                <w:kern w:val="0"/>
                <w:sz w:val="18"/>
                <w:szCs w:val="18"/>
              </w:rPr>
            </w:pPr>
          </w:p>
        </w:tc>
        <w:tc>
          <w:tcPr>
            <w:tcW w:w="1136" w:type="dxa"/>
            <w:vMerge w:val="continue"/>
            <w:tcBorders>
              <w:top w:val="single" w:color="auto" w:sz="4" w:space="0"/>
              <w:left w:val="nil"/>
              <w:bottom w:val="single" w:color="auto" w:sz="4" w:space="0"/>
              <w:right w:val="single" w:color="auto" w:sz="4" w:space="0"/>
            </w:tcBorders>
            <w:noWrap/>
            <w:vAlign w:val="center"/>
          </w:tcPr>
          <w:p w14:paraId="78D8D5CC">
            <w:pPr>
              <w:spacing w:line="240" w:lineRule="atLeast"/>
              <w:jc w:val="center"/>
              <w:rPr>
                <w:rFonts w:ascii="宋体" w:hAnsi="宋体" w:eastAsia="宋体" w:cs="宋体"/>
                <w:color w:val="000000"/>
                <w:kern w:val="0"/>
                <w:sz w:val="18"/>
                <w:szCs w:val="18"/>
              </w:rPr>
            </w:pPr>
          </w:p>
        </w:tc>
        <w:tc>
          <w:tcPr>
            <w:tcW w:w="5668" w:type="dxa"/>
            <w:tcBorders>
              <w:top w:val="nil"/>
              <w:left w:val="nil"/>
              <w:bottom w:val="single" w:color="auto" w:sz="4" w:space="0"/>
              <w:right w:val="single" w:color="auto" w:sz="4" w:space="0"/>
            </w:tcBorders>
            <w:noWrap/>
            <w:vAlign w:val="bottom"/>
          </w:tcPr>
          <w:p w14:paraId="51DB6C0A">
            <w:pPr>
              <w:widowControl/>
              <w:adjustRightInd w:val="0"/>
              <w:snapToGrid w:val="0"/>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有无有效管控恶意炒作等负面舆情的措施办法</w:t>
            </w:r>
          </w:p>
        </w:tc>
        <w:tc>
          <w:tcPr>
            <w:tcW w:w="891" w:type="dxa"/>
            <w:tcBorders>
              <w:top w:val="nil"/>
              <w:left w:val="nil"/>
              <w:bottom w:val="single" w:color="auto" w:sz="4" w:space="0"/>
              <w:right w:val="single" w:color="auto" w:sz="4" w:space="0"/>
            </w:tcBorders>
            <w:noWrap/>
            <w:vAlign w:val="bottom"/>
          </w:tcPr>
          <w:p w14:paraId="2A7ED955">
            <w:pPr>
              <w:widowControl/>
              <w:adjustRightInd w:val="0"/>
              <w:snapToGrid w:val="0"/>
              <w:spacing w:line="240" w:lineRule="exact"/>
              <w:jc w:val="center"/>
              <w:rPr>
                <w:rFonts w:ascii="宋体" w:hAnsi="宋体" w:eastAsia="宋体" w:cs="宋体"/>
                <w:color w:val="000000"/>
                <w:kern w:val="0"/>
                <w:sz w:val="18"/>
                <w:szCs w:val="18"/>
              </w:rPr>
            </w:pPr>
            <w:r>
              <w:rPr>
                <w:rFonts w:hint="eastAsia" w:ascii="宋体" w:hAnsi="宋体" w:cs="宋体"/>
                <w:color w:val="000000"/>
                <w:kern w:val="0"/>
                <w:sz w:val="18"/>
                <w:szCs w:val="18"/>
              </w:rPr>
              <w:t>2</w:t>
            </w:r>
          </w:p>
        </w:tc>
      </w:tr>
      <w:tr w14:paraId="799FA917">
        <w:tblPrEx>
          <w:tblCellMar>
            <w:top w:w="0" w:type="dxa"/>
            <w:left w:w="108" w:type="dxa"/>
            <w:bottom w:w="0" w:type="dxa"/>
            <w:right w:w="108" w:type="dxa"/>
          </w:tblCellMar>
        </w:tblPrEx>
        <w:trPr>
          <w:trHeight w:val="270" w:hRule="atLeast"/>
        </w:trPr>
        <w:tc>
          <w:tcPr>
            <w:tcW w:w="1143" w:type="dxa"/>
            <w:vMerge w:val="continue"/>
            <w:tcBorders>
              <w:top w:val="single" w:color="auto" w:sz="4" w:space="0"/>
              <w:left w:val="single" w:color="auto" w:sz="4" w:space="0"/>
              <w:right w:val="single" w:color="auto" w:sz="4" w:space="0"/>
            </w:tcBorders>
            <w:vAlign w:val="center"/>
          </w:tcPr>
          <w:p w14:paraId="531CDB02">
            <w:pPr>
              <w:spacing w:line="240" w:lineRule="atLeast"/>
              <w:jc w:val="center"/>
              <w:rPr>
                <w:rFonts w:ascii="宋体" w:hAnsi="宋体" w:eastAsia="宋体" w:cs="宋体"/>
                <w:color w:val="000000"/>
                <w:kern w:val="0"/>
                <w:sz w:val="18"/>
                <w:szCs w:val="18"/>
              </w:rPr>
            </w:pPr>
          </w:p>
        </w:tc>
        <w:tc>
          <w:tcPr>
            <w:tcW w:w="1136" w:type="dxa"/>
            <w:vMerge w:val="restart"/>
            <w:tcBorders>
              <w:top w:val="single" w:color="auto" w:sz="4" w:space="0"/>
              <w:left w:val="nil"/>
              <w:right w:val="single" w:color="auto" w:sz="4" w:space="0"/>
            </w:tcBorders>
            <w:noWrap/>
            <w:vAlign w:val="center"/>
          </w:tcPr>
          <w:p w14:paraId="7107940B">
            <w:pPr>
              <w:spacing w:line="240" w:lineRule="atLeast"/>
              <w:jc w:val="center"/>
              <w:rPr>
                <w:rFonts w:ascii="宋体" w:hAnsi="宋体" w:eastAsia="宋体" w:cs="宋体"/>
                <w:color w:val="000000"/>
                <w:kern w:val="0"/>
                <w:sz w:val="18"/>
                <w:szCs w:val="18"/>
              </w:rPr>
            </w:pPr>
          </w:p>
          <w:p w14:paraId="3E4B69FC">
            <w:pPr>
              <w:spacing w:line="240" w:lineRule="atLeast"/>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事件管控</w:t>
            </w:r>
          </w:p>
          <w:p w14:paraId="5146C75C">
            <w:pPr>
              <w:spacing w:line="240" w:lineRule="atLeast"/>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（10分</w:t>
            </w:r>
          </w:p>
          <w:p w14:paraId="033B8BE3">
            <w:pPr>
              <w:spacing w:line="240" w:lineRule="atLeast"/>
              <w:jc w:val="center"/>
              <w:rPr>
                <w:rFonts w:ascii="宋体" w:hAnsi="宋体" w:eastAsia="宋体" w:cs="宋体"/>
                <w:color w:val="000000"/>
                <w:kern w:val="0"/>
                <w:sz w:val="18"/>
                <w:szCs w:val="18"/>
              </w:rPr>
            </w:pPr>
          </w:p>
        </w:tc>
        <w:tc>
          <w:tcPr>
            <w:tcW w:w="5668" w:type="dxa"/>
            <w:tcBorders>
              <w:top w:val="nil"/>
              <w:left w:val="nil"/>
              <w:bottom w:val="single" w:color="auto" w:sz="4" w:space="0"/>
              <w:right w:val="single" w:color="auto" w:sz="4" w:space="0"/>
            </w:tcBorders>
            <w:noWrap/>
            <w:vAlign w:val="bottom"/>
          </w:tcPr>
          <w:p w14:paraId="00FEAE22">
            <w:pPr>
              <w:widowControl/>
              <w:adjustRightInd w:val="0"/>
              <w:snapToGrid w:val="0"/>
              <w:jc w:val="left"/>
              <w:rPr>
                <w:rFonts w:ascii="宋体" w:hAnsi="宋体" w:eastAsia="宋体" w:cs="宋体"/>
                <w:color w:val="000000"/>
                <w:kern w:val="0"/>
                <w:sz w:val="18"/>
                <w:szCs w:val="18"/>
              </w:rPr>
            </w:pPr>
            <w:r>
              <w:rPr>
                <w:rFonts w:hint="eastAsia" w:ascii="宋体" w:hAnsi="宋体" w:cs="宋体"/>
                <w:color w:val="000000"/>
                <w:kern w:val="0"/>
                <w:sz w:val="18"/>
                <w:szCs w:val="18"/>
              </w:rPr>
              <w:t>有无突发事件应急处置预案</w:t>
            </w:r>
          </w:p>
        </w:tc>
        <w:tc>
          <w:tcPr>
            <w:tcW w:w="891" w:type="dxa"/>
            <w:tcBorders>
              <w:top w:val="nil"/>
              <w:left w:val="nil"/>
              <w:bottom w:val="single" w:color="auto" w:sz="4" w:space="0"/>
              <w:right w:val="single" w:color="auto" w:sz="4" w:space="0"/>
            </w:tcBorders>
            <w:noWrap/>
            <w:vAlign w:val="bottom"/>
          </w:tcPr>
          <w:p w14:paraId="7A758020">
            <w:pPr>
              <w:widowControl/>
              <w:adjustRightInd w:val="0"/>
              <w:snapToGrid w:val="0"/>
              <w:jc w:val="center"/>
              <w:rPr>
                <w:rFonts w:ascii="宋体" w:hAnsi="宋体" w:eastAsia="宋体" w:cs="宋体"/>
                <w:color w:val="000000"/>
                <w:kern w:val="0"/>
                <w:sz w:val="18"/>
                <w:szCs w:val="18"/>
              </w:rPr>
            </w:pPr>
            <w:r>
              <w:rPr>
                <w:rFonts w:hint="eastAsia" w:ascii="宋体" w:hAnsi="宋体" w:cs="宋体"/>
                <w:color w:val="000000"/>
                <w:kern w:val="0"/>
                <w:sz w:val="18"/>
                <w:szCs w:val="18"/>
              </w:rPr>
              <w:t>2</w:t>
            </w:r>
          </w:p>
        </w:tc>
      </w:tr>
      <w:tr w14:paraId="0D87DB5C">
        <w:tblPrEx>
          <w:tblCellMar>
            <w:top w:w="0" w:type="dxa"/>
            <w:left w:w="108" w:type="dxa"/>
            <w:bottom w:w="0" w:type="dxa"/>
            <w:right w:w="108" w:type="dxa"/>
          </w:tblCellMar>
        </w:tblPrEx>
        <w:trPr>
          <w:trHeight w:val="270" w:hRule="atLeast"/>
        </w:trPr>
        <w:tc>
          <w:tcPr>
            <w:tcW w:w="1143" w:type="dxa"/>
            <w:vMerge w:val="continue"/>
            <w:tcBorders>
              <w:top w:val="single" w:color="auto" w:sz="4" w:space="0"/>
              <w:left w:val="single" w:color="auto" w:sz="4" w:space="0"/>
              <w:right w:val="single" w:color="auto" w:sz="4" w:space="0"/>
            </w:tcBorders>
            <w:vAlign w:val="center"/>
          </w:tcPr>
          <w:p w14:paraId="6626D11F">
            <w:pPr>
              <w:spacing w:line="240" w:lineRule="atLeast"/>
              <w:jc w:val="center"/>
              <w:rPr>
                <w:rFonts w:ascii="宋体" w:hAnsi="宋体" w:eastAsia="宋体" w:cs="宋体"/>
                <w:color w:val="000000"/>
                <w:kern w:val="0"/>
                <w:sz w:val="18"/>
                <w:szCs w:val="18"/>
              </w:rPr>
            </w:pPr>
          </w:p>
        </w:tc>
        <w:tc>
          <w:tcPr>
            <w:tcW w:w="1136" w:type="dxa"/>
            <w:vMerge w:val="continue"/>
            <w:tcBorders>
              <w:top w:val="single" w:color="auto" w:sz="4" w:space="0"/>
              <w:left w:val="nil"/>
              <w:right w:val="single" w:color="auto" w:sz="4" w:space="0"/>
            </w:tcBorders>
            <w:noWrap/>
            <w:vAlign w:val="center"/>
          </w:tcPr>
          <w:p w14:paraId="7D6B545F">
            <w:pPr>
              <w:spacing w:line="240" w:lineRule="atLeast"/>
              <w:jc w:val="center"/>
              <w:rPr>
                <w:rFonts w:ascii="宋体" w:hAnsi="宋体" w:eastAsia="宋体" w:cs="宋体"/>
                <w:color w:val="000000"/>
                <w:kern w:val="0"/>
                <w:sz w:val="18"/>
                <w:szCs w:val="18"/>
              </w:rPr>
            </w:pPr>
          </w:p>
        </w:tc>
        <w:tc>
          <w:tcPr>
            <w:tcW w:w="5668" w:type="dxa"/>
            <w:tcBorders>
              <w:top w:val="nil"/>
              <w:left w:val="nil"/>
              <w:bottom w:val="single" w:color="auto" w:sz="4" w:space="0"/>
              <w:right w:val="single" w:color="auto" w:sz="4" w:space="0"/>
            </w:tcBorders>
            <w:noWrap/>
            <w:vAlign w:val="bottom"/>
          </w:tcPr>
          <w:p w14:paraId="11FFF4E1">
            <w:pPr>
              <w:widowControl/>
              <w:adjustRightInd w:val="0"/>
              <w:snapToGrid w:val="0"/>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有无完善的应急处置工作机制</w:t>
            </w:r>
          </w:p>
        </w:tc>
        <w:tc>
          <w:tcPr>
            <w:tcW w:w="891" w:type="dxa"/>
            <w:tcBorders>
              <w:top w:val="nil"/>
              <w:left w:val="nil"/>
              <w:bottom w:val="single" w:color="auto" w:sz="4" w:space="0"/>
              <w:right w:val="single" w:color="auto" w:sz="4" w:space="0"/>
            </w:tcBorders>
            <w:noWrap/>
            <w:vAlign w:val="bottom"/>
          </w:tcPr>
          <w:p w14:paraId="29D6F1AB">
            <w:pPr>
              <w:widowControl/>
              <w:adjustRightInd w:val="0"/>
              <w:snapToGrid w:val="0"/>
              <w:spacing w:line="240" w:lineRule="exact"/>
              <w:jc w:val="center"/>
              <w:rPr>
                <w:rFonts w:ascii="宋体" w:hAnsi="宋体" w:eastAsia="宋体" w:cs="宋体"/>
                <w:color w:val="000000"/>
                <w:kern w:val="0"/>
                <w:sz w:val="18"/>
                <w:szCs w:val="18"/>
              </w:rPr>
            </w:pPr>
            <w:r>
              <w:rPr>
                <w:rFonts w:hint="eastAsia" w:ascii="宋体" w:hAnsi="宋体" w:cs="宋体"/>
                <w:color w:val="000000"/>
                <w:kern w:val="0"/>
                <w:sz w:val="18"/>
                <w:szCs w:val="18"/>
              </w:rPr>
              <w:t>2</w:t>
            </w:r>
          </w:p>
        </w:tc>
      </w:tr>
      <w:tr w14:paraId="1C83F6BB">
        <w:tblPrEx>
          <w:tblCellMar>
            <w:top w:w="0" w:type="dxa"/>
            <w:left w:w="108" w:type="dxa"/>
            <w:bottom w:w="0" w:type="dxa"/>
            <w:right w:w="108" w:type="dxa"/>
          </w:tblCellMar>
        </w:tblPrEx>
        <w:trPr>
          <w:trHeight w:val="270" w:hRule="atLeast"/>
        </w:trPr>
        <w:tc>
          <w:tcPr>
            <w:tcW w:w="1143" w:type="dxa"/>
            <w:vMerge w:val="continue"/>
            <w:tcBorders>
              <w:top w:val="single" w:color="auto" w:sz="4" w:space="0"/>
              <w:left w:val="single" w:color="auto" w:sz="4" w:space="0"/>
              <w:right w:val="single" w:color="auto" w:sz="4" w:space="0"/>
            </w:tcBorders>
            <w:vAlign w:val="center"/>
          </w:tcPr>
          <w:p w14:paraId="6082533F">
            <w:pPr>
              <w:spacing w:line="240" w:lineRule="atLeast"/>
              <w:jc w:val="center"/>
              <w:rPr>
                <w:rFonts w:ascii="宋体" w:hAnsi="宋体" w:eastAsia="宋体" w:cs="宋体"/>
                <w:color w:val="000000"/>
                <w:kern w:val="0"/>
                <w:sz w:val="18"/>
                <w:szCs w:val="18"/>
              </w:rPr>
            </w:pPr>
          </w:p>
        </w:tc>
        <w:tc>
          <w:tcPr>
            <w:tcW w:w="1136" w:type="dxa"/>
            <w:vMerge w:val="continue"/>
            <w:tcBorders>
              <w:top w:val="single" w:color="auto" w:sz="4" w:space="0"/>
              <w:left w:val="nil"/>
              <w:right w:val="single" w:color="auto" w:sz="4" w:space="0"/>
            </w:tcBorders>
            <w:noWrap/>
            <w:vAlign w:val="center"/>
          </w:tcPr>
          <w:p w14:paraId="5EEFC86D">
            <w:pPr>
              <w:spacing w:line="240" w:lineRule="atLeast"/>
              <w:jc w:val="center"/>
              <w:rPr>
                <w:rFonts w:ascii="宋体" w:hAnsi="宋体" w:eastAsia="宋体" w:cs="宋体"/>
                <w:color w:val="000000"/>
                <w:kern w:val="0"/>
                <w:sz w:val="18"/>
                <w:szCs w:val="18"/>
              </w:rPr>
            </w:pPr>
          </w:p>
        </w:tc>
        <w:tc>
          <w:tcPr>
            <w:tcW w:w="5668" w:type="dxa"/>
            <w:tcBorders>
              <w:top w:val="nil"/>
              <w:left w:val="nil"/>
              <w:bottom w:val="single" w:color="auto" w:sz="4" w:space="0"/>
              <w:right w:val="single" w:color="auto" w:sz="4" w:space="0"/>
            </w:tcBorders>
            <w:noWrap/>
            <w:vAlign w:val="bottom"/>
          </w:tcPr>
          <w:p w14:paraId="123001BE">
            <w:pPr>
              <w:widowControl/>
              <w:adjustRightInd w:val="0"/>
              <w:snapToGrid w:val="0"/>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是否会引发规模性聚集事件、群体性事件、个人极端案事件及其他严重影响社会稳定的问题</w:t>
            </w:r>
            <w:r>
              <w:rPr>
                <w:rFonts w:hint="eastAsia" w:ascii="宋体" w:hAnsi="宋体" w:cs="宋体"/>
                <w:color w:val="000000"/>
                <w:kern w:val="0"/>
                <w:sz w:val="18"/>
                <w:szCs w:val="18"/>
              </w:rPr>
              <w:sym w:font="Wingdings" w:char="F0B5"/>
            </w:r>
          </w:p>
        </w:tc>
        <w:tc>
          <w:tcPr>
            <w:tcW w:w="891" w:type="dxa"/>
            <w:tcBorders>
              <w:top w:val="nil"/>
              <w:left w:val="nil"/>
              <w:bottom w:val="single" w:color="auto" w:sz="4" w:space="0"/>
              <w:right w:val="single" w:color="auto" w:sz="4" w:space="0"/>
            </w:tcBorders>
            <w:noWrap/>
            <w:vAlign w:val="bottom"/>
          </w:tcPr>
          <w:p w14:paraId="40219B82">
            <w:pPr>
              <w:widowControl/>
              <w:adjustRightInd w:val="0"/>
              <w:snapToGrid w:val="0"/>
              <w:spacing w:line="240" w:lineRule="exact"/>
              <w:jc w:val="center"/>
              <w:rPr>
                <w:rFonts w:ascii="宋体" w:hAnsi="宋体" w:eastAsia="宋体" w:cs="宋体"/>
                <w:color w:val="000000"/>
                <w:kern w:val="0"/>
                <w:sz w:val="18"/>
                <w:szCs w:val="18"/>
              </w:rPr>
            </w:pPr>
            <w:r>
              <w:rPr>
                <w:rFonts w:hint="eastAsia" w:ascii="宋体" w:hAnsi="宋体" w:cs="宋体"/>
                <w:color w:val="000000"/>
                <w:kern w:val="0"/>
                <w:sz w:val="18"/>
                <w:szCs w:val="18"/>
              </w:rPr>
              <w:t>4</w:t>
            </w:r>
          </w:p>
        </w:tc>
      </w:tr>
      <w:tr w14:paraId="7503415C">
        <w:tblPrEx>
          <w:tblCellMar>
            <w:top w:w="0" w:type="dxa"/>
            <w:left w:w="108" w:type="dxa"/>
            <w:bottom w:w="0" w:type="dxa"/>
            <w:right w:w="108" w:type="dxa"/>
          </w:tblCellMar>
        </w:tblPrEx>
        <w:trPr>
          <w:trHeight w:val="270" w:hRule="atLeast"/>
        </w:trPr>
        <w:tc>
          <w:tcPr>
            <w:tcW w:w="1143" w:type="dxa"/>
            <w:vMerge w:val="continue"/>
            <w:tcBorders>
              <w:left w:val="single" w:color="auto" w:sz="4" w:space="0"/>
              <w:bottom w:val="single" w:color="auto" w:sz="4" w:space="0"/>
              <w:right w:val="single" w:color="auto" w:sz="4" w:space="0"/>
            </w:tcBorders>
            <w:vAlign w:val="center"/>
          </w:tcPr>
          <w:p w14:paraId="0C3D67CB">
            <w:pPr>
              <w:spacing w:line="240" w:lineRule="atLeast"/>
              <w:jc w:val="center"/>
              <w:rPr>
                <w:rFonts w:ascii="宋体" w:hAnsi="宋体" w:eastAsia="宋体" w:cs="宋体"/>
                <w:color w:val="000000"/>
                <w:kern w:val="0"/>
                <w:sz w:val="18"/>
                <w:szCs w:val="18"/>
              </w:rPr>
            </w:pPr>
          </w:p>
        </w:tc>
        <w:tc>
          <w:tcPr>
            <w:tcW w:w="1136" w:type="dxa"/>
            <w:vMerge w:val="continue"/>
            <w:tcBorders>
              <w:top w:val="single" w:color="auto" w:sz="4" w:space="0"/>
              <w:left w:val="nil"/>
              <w:bottom w:val="single" w:color="auto" w:sz="4" w:space="0"/>
              <w:right w:val="single" w:color="auto" w:sz="4" w:space="0"/>
            </w:tcBorders>
            <w:noWrap/>
            <w:vAlign w:val="bottom"/>
          </w:tcPr>
          <w:p w14:paraId="2BC83BB2">
            <w:pPr>
              <w:spacing w:line="240" w:lineRule="atLeast"/>
              <w:jc w:val="left"/>
              <w:rPr>
                <w:rFonts w:ascii="宋体" w:hAnsi="宋体" w:eastAsia="宋体" w:cs="宋体"/>
                <w:color w:val="000000"/>
                <w:kern w:val="0"/>
                <w:sz w:val="18"/>
                <w:szCs w:val="18"/>
              </w:rPr>
            </w:pPr>
          </w:p>
        </w:tc>
        <w:tc>
          <w:tcPr>
            <w:tcW w:w="5668" w:type="dxa"/>
            <w:tcBorders>
              <w:top w:val="nil"/>
              <w:left w:val="nil"/>
              <w:bottom w:val="single" w:color="auto" w:sz="4" w:space="0"/>
              <w:right w:val="single" w:color="auto" w:sz="4" w:space="0"/>
            </w:tcBorders>
            <w:noWrap/>
            <w:vAlign w:val="bottom"/>
          </w:tcPr>
          <w:p w14:paraId="15115510">
            <w:pPr>
              <w:widowControl/>
              <w:adjustRightInd w:val="0"/>
              <w:snapToGrid w:val="0"/>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实施主体是否有处置突发事件的丰富经验和基本能力</w:t>
            </w:r>
          </w:p>
        </w:tc>
        <w:tc>
          <w:tcPr>
            <w:tcW w:w="891" w:type="dxa"/>
            <w:tcBorders>
              <w:top w:val="nil"/>
              <w:left w:val="nil"/>
              <w:bottom w:val="single" w:color="auto" w:sz="4" w:space="0"/>
              <w:right w:val="single" w:color="auto" w:sz="4" w:space="0"/>
            </w:tcBorders>
            <w:noWrap/>
            <w:vAlign w:val="bottom"/>
          </w:tcPr>
          <w:p w14:paraId="5DC2F99C">
            <w:pPr>
              <w:widowControl/>
              <w:adjustRightInd w:val="0"/>
              <w:snapToGrid w:val="0"/>
              <w:spacing w:line="240" w:lineRule="exact"/>
              <w:jc w:val="center"/>
              <w:rPr>
                <w:rFonts w:ascii="宋体" w:hAnsi="宋体" w:eastAsia="宋体" w:cs="宋体"/>
                <w:color w:val="000000"/>
                <w:kern w:val="0"/>
                <w:sz w:val="18"/>
                <w:szCs w:val="18"/>
              </w:rPr>
            </w:pPr>
            <w:r>
              <w:rPr>
                <w:rFonts w:hint="eastAsia" w:ascii="宋体" w:hAnsi="宋体" w:cs="宋体"/>
                <w:color w:val="000000"/>
                <w:kern w:val="0"/>
                <w:sz w:val="18"/>
                <w:szCs w:val="18"/>
              </w:rPr>
              <w:t>2</w:t>
            </w:r>
          </w:p>
        </w:tc>
      </w:tr>
      <w:tr w14:paraId="43135B44">
        <w:tblPrEx>
          <w:tblCellMar>
            <w:top w:w="0" w:type="dxa"/>
            <w:left w:w="108" w:type="dxa"/>
            <w:bottom w:w="0" w:type="dxa"/>
            <w:right w:w="108" w:type="dxa"/>
          </w:tblCellMar>
        </w:tblPrEx>
        <w:trPr>
          <w:trHeight w:val="307" w:hRule="atLeast"/>
        </w:trPr>
        <w:tc>
          <w:tcPr>
            <w:tcW w:w="7947" w:type="dxa"/>
            <w:gridSpan w:val="3"/>
            <w:tcBorders>
              <w:top w:val="single" w:color="auto" w:sz="4" w:space="0"/>
              <w:left w:val="single" w:color="auto" w:sz="4" w:space="0"/>
              <w:bottom w:val="single" w:color="auto" w:sz="4" w:space="0"/>
              <w:right w:val="single" w:color="auto" w:sz="4" w:space="0"/>
            </w:tcBorders>
            <w:vAlign w:val="center"/>
          </w:tcPr>
          <w:p w14:paraId="501D7230">
            <w:pPr>
              <w:widowControl/>
              <w:adjustRightInd w:val="0"/>
              <w:snapToGrid w:val="0"/>
              <w:jc w:val="left"/>
              <w:rPr>
                <w:rFonts w:ascii="宋体" w:hAnsi="宋体" w:eastAsia="宋体" w:cs="宋体"/>
                <w:color w:val="000000"/>
                <w:kern w:val="0"/>
                <w:sz w:val="18"/>
                <w:szCs w:val="18"/>
              </w:rPr>
            </w:pPr>
            <w:r>
              <w:rPr>
                <w:rFonts w:hint="eastAsia" w:ascii="宋体" w:hAnsi="宋体" w:cs="宋体"/>
                <w:color w:val="000000"/>
                <w:kern w:val="0"/>
                <w:sz w:val="18"/>
                <w:szCs w:val="18"/>
              </w:rPr>
              <w:t>注：</w:t>
            </w:r>
            <w:r>
              <w:rPr>
                <w:rFonts w:hint="eastAsia"/>
                <w:color w:val="000000"/>
                <w:sz w:val="18"/>
                <w:szCs w:val="18"/>
              </w:rPr>
              <w:t>指标中作“</w:t>
            </w:r>
            <w:r>
              <w:rPr>
                <w:rFonts w:hint="eastAsia"/>
                <w:color w:val="000000"/>
                <w:sz w:val="18"/>
                <w:szCs w:val="18"/>
              </w:rPr>
              <w:sym w:font="Wingdings" w:char="F0B5"/>
            </w:r>
            <w:r>
              <w:rPr>
                <w:rFonts w:hint="eastAsia"/>
                <w:color w:val="000000"/>
                <w:sz w:val="18"/>
                <w:szCs w:val="18"/>
              </w:rPr>
              <w:t>”标记的系直接定性分类指标，只要存在</w:t>
            </w:r>
            <w:r>
              <w:rPr>
                <w:rFonts w:hint="eastAsia"/>
                <w:color w:val="000000"/>
                <w:sz w:val="18"/>
                <w:szCs w:val="18"/>
                <w:lang w:eastAsia="zh-CN"/>
              </w:rPr>
              <w:t>“事件管控”三级指标作</w:t>
            </w:r>
            <w:r>
              <w:rPr>
                <w:rFonts w:hint="eastAsia"/>
                <w:color w:val="000000"/>
                <w:sz w:val="18"/>
                <w:szCs w:val="18"/>
              </w:rPr>
              <w:t>“</w:t>
            </w:r>
            <w:r>
              <w:rPr>
                <w:rFonts w:hint="eastAsia"/>
                <w:color w:val="000000"/>
                <w:sz w:val="18"/>
                <w:szCs w:val="18"/>
              </w:rPr>
              <w:sym w:font="Wingdings" w:char="F0B5"/>
            </w:r>
            <w:r>
              <w:rPr>
                <w:rFonts w:hint="eastAsia"/>
                <w:color w:val="000000"/>
                <w:sz w:val="18"/>
                <w:szCs w:val="18"/>
              </w:rPr>
              <w:t>”</w:t>
            </w:r>
            <w:r>
              <w:rPr>
                <w:rFonts w:hint="eastAsia"/>
                <w:color w:val="000000"/>
                <w:sz w:val="18"/>
                <w:szCs w:val="18"/>
                <w:lang w:eastAsia="zh-CN"/>
              </w:rPr>
              <w:t>标记的指标为肯定性描述情形，或其他作</w:t>
            </w:r>
            <w:r>
              <w:rPr>
                <w:rFonts w:hint="eastAsia"/>
                <w:color w:val="000000"/>
                <w:sz w:val="18"/>
                <w:szCs w:val="18"/>
              </w:rPr>
              <w:t>“</w:t>
            </w:r>
            <w:r>
              <w:rPr>
                <w:rFonts w:hint="eastAsia"/>
                <w:color w:val="000000"/>
                <w:sz w:val="18"/>
                <w:szCs w:val="18"/>
              </w:rPr>
              <w:sym w:font="Wingdings" w:char="F0B5"/>
            </w:r>
            <w:r>
              <w:rPr>
                <w:rFonts w:hint="eastAsia"/>
                <w:color w:val="000000"/>
                <w:sz w:val="18"/>
                <w:szCs w:val="18"/>
              </w:rPr>
              <w:t>”</w:t>
            </w:r>
            <w:r>
              <w:rPr>
                <w:rFonts w:hint="eastAsia"/>
                <w:color w:val="000000"/>
                <w:sz w:val="18"/>
                <w:szCs w:val="18"/>
                <w:lang w:eastAsia="zh-CN"/>
              </w:rPr>
              <w:t>标记的指标之一为</w:t>
            </w:r>
            <w:r>
              <w:rPr>
                <w:rFonts w:hint="eastAsia" w:ascii="宋体" w:hAnsi="宋体" w:cs="宋体"/>
                <w:color w:val="000000"/>
                <w:kern w:val="0"/>
                <w:sz w:val="18"/>
                <w:szCs w:val="18"/>
              </w:rPr>
              <w:t>否定性描</w:t>
            </w:r>
            <w:r>
              <w:rPr>
                <w:rFonts w:hint="eastAsia"/>
                <w:color w:val="000000"/>
                <w:sz w:val="18"/>
                <w:szCs w:val="18"/>
              </w:rPr>
              <w:t>述情形，则该决策事项为高风险。</w:t>
            </w:r>
          </w:p>
        </w:tc>
        <w:tc>
          <w:tcPr>
            <w:tcW w:w="891" w:type="dxa"/>
            <w:tcBorders>
              <w:top w:val="single" w:color="auto" w:sz="4" w:space="0"/>
              <w:left w:val="single" w:color="auto" w:sz="4" w:space="0"/>
              <w:bottom w:val="single" w:color="auto" w:sz="4" w:space="0"/>
              <w:right w:val="single" w:color="auto" w:sz="4" w:space="0"/>
            </w:tcBorders>
            <w:vAlign w:val="center"/>
          </w:tcPr>
          <w:p w14:paraId="5AE3A8FE">
            <w:pPr>
              <w:widowControl/>
              <w:adjustRightInd w:val="0"/>
              <w:snapToGrid w:val="0"/>
              <w:jc w:val="center"/>
              <w:rPr>
                <w:rFonts w:ascii="宋体" w:hAnsi="宋体" w:cs="宋体"/>
                <w:color w:val="000000"/>
                <w:kern w:val="0"/>
                <w:sz w:val="18"/>
                <w:szCs w:val="18"/>
              </w:rPr>
            </w:pPr>
          </w:p>
        </w:tc>
      </w:tr>
    </w:tbl>
    <w:p w14:paraId="1AB49CF6">
      <w:pPr>
        <w:widowControl/>
        <w:jc w:val="left"/>
        <w:rPr>
          <w:rFonts w:ascii="宋体" w:hAnsi="宋体" w:eastAsia="宋体"/>
          <w:b/>
          <w:color w:val="000000"/>
          <w:sz w:val="28"/>
          <w:szCs w:val="28"/>
        </w:rPr>
      </w:pPr>
      <w:r>
        <w:rPr>
          <w:rFonts w:ascii="宋体" w:hAnsi="宋体" w:eastAsia="宋体"/>
          <w:b/>
          <w:color w:val="000000"/>
          <w:sz w:val="28"/>
          <w:szCs w:val="28"/>
        </w:rPr>
        <w:br w:type="page"/>
      </w:r>
    </w:p>
    <w:p w14:paraId="0A5BE2A5">
      <w:pPr>
        <w:jc w:val="center"/>
        <w:rPr>
          <w:rFonts w:hint="eastAsia" w:ascii="黑体" w:hAnsi="黑体" w:eastAsia="黑体" w:cs="黑体"/>
          <w:kern w:val="0"/>
          <w:sz w:val="21"/>
          <w:szCs w:val="20"/>
        </w:rPr>
      </w:pPr>
      <w:r>
        <w:rPr>
          <w:rFonts w:hint="eastAsia" w:ascii="黑体" w:hAnsi="黑体" w:eastAsia="黑体" w:cs="黑体"/>
          <w:kern w:val="0"/>
          <w:sz w:val="21"/>
          <w:szCs w:val="20"/>
        </w:rPr>
        <w:t>表F</w:t>
      </w:r>
      <w:r>
        <w:rPr>
          <w:rFonts w:hint="eastAsia" w:ascii="黑体" w:hAnsi="黑体" w:eastAsia="黑体" w:cs="黑体"/>
          <w:kern w:val="0"/>
          <w:sz w:val="21"/>
          <w:szCs w:val="20"/>
          <w:lang w:val="en-US" w:eastAsia="zh-CN"/>
        </w:rPr>
        <w:t>.</w:t>
      </w:r>
      <w:r>
        <w:rPr>
          <w:rFonts w:hint="eastAsia" w:ascii="黑体" w:hAnsi="黑体" w:eastAsia="黑体" w:cs="黑体"/>
          <w:kern w:val="0"/>
          <w:sz w:val="21"/>
          <w:szCs w:val="20"/>
        </w:rPr>
        <w:t xml:space="preserve">4 </w:t>
      </w:r>
      <w:r>
        <w:rPr>
          <w:rFonts w:hint="eastAsia" w:ascii="黑体" w:hAnsi="黑体" w:eastAsia="黑体" w:cs="黑体"/>
          <w:kern w:val="0"/>
          <w:sz w:val="21"/>
          <w:szCs w:val="20"/>
          <w:lang w:val="en-US" w:eastAsia="zh-CN"/>
        </w:rPr>
        <w:t xml:space="preserve"> </w:t>
      </w:r>
      <w:r>
        <w:rPr>
          <w:rFonts w:hint="eastAsia" w:ascii="黑体" w:hAnsi="黑体" w:eastAsia="黑体" w:cs="黑体"/>
          <w:kern w:val="0"/>
          <w:sz w:val="21"/>
          <w:szCs w:val="20"/>
        </w:rPr>
        <w:t>重大项目建设类社会稳定风险评估指标体系</w:t>
      </w:r>
    </w:p>
    <w:tbl>
      <w:tblPr>
        <w:tblStyle w:val="25"/>
        <w:tblW w:w="8826" w:type="dxa"/>
        <w:tblInd w:w="0" w:type="dxa"/>
        <w:tblLayout w:type="fixed"/>
        <w:tblCellMar>
          <w:top w:w="0" w:type="dxa"/>
          <w:left w:w="108" w:type="dxa"/>
          <w:bottom w:w="0" w:type="dxa"/>
          <w:right w:w="108" w:type="dxa"/>
        </w:tblCellMar>
      </w:tblPr>
      <w:tblGrid>
        <w:gridCol w:w="1165"/>
        <w:gridCol w:w="1343"/>
        <w:gridCol w:w="5289"/>
        <w:gridCol w:w="1029"/>
      </w:tblGrid>
      <w:tr w14:paraId="1C5CD3B0">
        <w:tblPrEx>
          <w:tblCellMar>
            <w:top w:w="0" w:type="dxa"/>
            <w:left w:w="108" w:type="dxa"/>
            <w:bottom w:w="0" w:type="dxa"/>
            <w:right w:w="108" w:type="dxa"/>
          </w:tblCellMar>
        </w:tblPrEx>
        <w:trPr>
          <w:trHeight w:val="624" w:hRule="atLeast"/>
        </w:trPr>
        <w:tc>
          <w:tcPr>
            <w:tcW w:w="1165" w:type="dxa"/>
            <w:tcBorders>
              <w:top w:val="single" w:color="auto" w:sz="4" w:space="0"/>
              <w:left w:val="single" w:color="auto" w:sz="4" w:space="0"/>
              <w:bottom w:val="single" w:color="auto" w:sz="4" w:space="0"/>
              <w:right w:val="single" w:color="auto" w:sz="4" w:space="0"/>
            </w:tcBorders>
            <w:vAlign w:val="center"/>
          </w:tcPr>
          <w:p w14:paraId="5DB715FC">
            <w:pPr>
              <w:widowControl/>
              <w:spacing w:line="240" w:lineRule="atLeast"/>
              <w:jc w:val="center"/>
              <w:rPr>
                <w:rFonts w:ascii="宋体" w:hAnsi="宋体" w:eastAsia="宋体" w:cs="宋体"/>
                <w:b/>
                <w:color w:val="000000"/>
                <w:kern w:val="0"/>
                <w:sz w:val="18"/>
                <w:szCs w:val="18"/>
              </w:rPr>
            </w:pPr>
            <w:r>
              <w:rPr>
                <w:rFonts w:hint="eastAsia" w:ascii="宋体" w:hAnsi="宋体" w:eastAsia="宋体" w:cs="宋体"/>
                <w:b/>
                <w:color w:val="000000"/>
                <w:kern w:val="0"/>
                <w:sz w:val="18"/>
                <w:szCs w:val="18"/>
              </w:rPr>
              <w:t>一级指标（权重）</w:t>
            </w:r>
          </w:p>
        </w:tc>
        <w:tc>
          <w:tcPr>
            <w:tcW w:w="1343" w:type="dxa"/>
            <w:tcBorders>
              <w:top w:val="single" w:color="auto" w:sz="4" w:space="0"/>
              <w:left w:val="nil"/>
              <w:bottom w:val="single" w:color="auto" w:sz="4" w:space="0"/>
              <w:right w:val="single" w:color="auto" w:sz="4" w:space="0"/>
            </w:tcBorders>
            <w:noWrap/>
            <w:vAlign w:val="center"/>
          </w:tcPr>
          <w:p w14:paraId="02590851">
            <w:pPr>
              <w:widowControl/>
              <w:spacing w:line="240" w:lineRule="atLeast"/>
              <w:jc w:val="center"/>
              <w:rPr>
                <w:rFonts w:ascii="宋体" w:hAnsi="宋体" w:eastAsia="宋体" w:cs="宋体"/>
                <w:b/>
                <w:color w:val="000000"/>
                <w:kern w:val="0"/>
                <w:sz w:val="18"/>
                <w:szCs w:val="18"/>
              </w:rPr>
            </w:pPr>
            <w:r>
              <w:rPr>
                <w:rFonts w:hint="eastAsia" w:ascii="宋体" w:hAnsi="宋体" w:eastAsia="宋体" w:cs="宋体"/>
                <w:b/>
                <w:color w:val="000000"/>
                <w:kern w:val="0"/>
                <w:sz w:val="18"/>
                <w:szCs w:val="18"/>
              </w:rPr>
              <w:t>二级指标</w:t>
            </w:r>
          </w:p>
          <w:p w14:paraId="71E2B623">
            <w:pPr>
              <w:widowControl/>
              <w:spacing w:line="240" w:lineRule="atLeast"/>
              <w:jc w:val="center"/>
              <w:rPr>
                <w:rFonts w:ascii="宋体" w:hAnsi="宋体" w:eastAsia="宋体" w:cs="宋体"/>
                <w:b/>
                <w:color w:val="000000"/>
                <w:kern w:val="0"/>
                <w:sz w:val="18"/>
                <w:szCs w:val="18"/>
              </w:rPr>
            </w:pPr>
            <w:r>
              <w:rPr>
                <w:rFonts w:hint="eastAsia" w:ascii="宋体" w:hAnsi="宋体" w:eastAsia="宋体" w:cs="宋体"/>
                <w:b/>
                <w:color w:val="000000"/>
                <w:kern w:val="0"/>
                <w:sz w:val="18"/>
                <w:szCs w:val="18"/>
              </w:rPr>
              <w:t>（权重）</w:t>
            </w:r>
          </w:p>
        </w:tc>
        <w:tc>
          <w:tcPr>
            <w:tcW w:w="5289" w:type="dxa"/>
            <w:tcBorders>
              <w:top w:val="single" w:color="auto" w:sz="4" w:space="0"/>
              <w:left w:val="nil"/>
              <w:bottom w:val="single" w:color="auto" w:sz="4" w:space="0"/>
              <w:right w:val="single" w:color="auto" w:sz="4" w:space="0"/>
            </w:tcBorders>
            <w:noWrap/>
            <w:vAlign w:val="center"/>
          </w:tcPr>
          <w:p w14:paraId="77D4F051">
            <w:pPr>
              <w:widowControl/>
              <w:spacing w:line="240" w:lineRule="atLeast"/>
              <w:jc w:val="center"/>
              <w:rPr>
                <w:rFonts w:ascii="宋体" w:hAnsi="宋体" w:eastAsia="宋体" w:cs="宋体"/>
                <w:b/>
                <w:color w:val="000000"/>
                <w:kern w:val="0"/>
                <w:sz w:val="18"/>
                <w:szCs w:val="18"/>
              </w:rPr>
            </w:pPr>
            <w:r>
              <w:rPr>
                <w:rFonts w:hint="eastAsia" w:ascii="宋体" w:hAnsi="宋体" w:eastAsia="宋体" w:cs="宋体"/>
                <w:b/>
                <w:color w:val="000000"/>
                <w:kern w:val="0"/>
                <w:sz w:val="18"/>
                <w:szCs w:val="18"/>
              </w:rPr>
              <w:t>三级指标</w:t>
            </w:r>
          </w:p>
        </w:tc>
        <w:tc>
          <w:tcPr>
            <w:tcW w:w="1029" w:type="dxa"/>
            <w:tcBorders>
              <w:top w:val="single" w:color="auto" w:sz="4" w:space="0"/>
              <w:left w:val="nil"/>
              <w:bottom w:val="single" w:color="auto" w:sz="4" w:space="0"/>
              <w:right w:val="single" w:color="auto" w:sz="4" w:space="0"/>
            </w:tcBorders>
            <w:noWrap/>
            <w:vAlign w:val="center"/>
          </w:tcPr>
          <w:p w14:paraId="100D1C91">
            <w:pPr>
              <w:widowControl/>
              <w:spacing w:line="240" w:lineRule="atLeast"/>
              <w:jc w:val="center"/>
              <w:rPr>
                <w:rFonts w:ascii="宋体" w:hAnsi="宋体" w:eastAsia="宋体" w:cs="宋体"/>
                <w:b/>
                <w:color w:val="000000"/>
                <w:kern w:val="0"/>
                <w:sz w:val="18"/>
                <w:szCs w:val="18"/>
              </w:rPr>
            </w:pPr>
            <w:r>
              <w:rPr>
                <w:rFonts w:hint="eastAsia" w:ascii="宋体" w:hAnsi="宋体" w:cs="宋体"/>
                <w:b/>
                <w:color w:val="000000"/>
                <w:kern w:val="0"/>
                <w:sz w:val="18"/>
                <w:szCs w:val="18"/>
              </w:rPr>
              <w:t>权重</w:t>
            </w:r>
          </w:p>
        </w:tc>
      </w:tr>
      <w:tr w14:paraId="15D676EA">
        <w:tblPrEx>
          <w:tblCellMar>
            <w:top w:w="0" w:type="dxa"/>
            <w:left w:w="108" w:type="dxa"/>
            <w:bottom w:w="0" w:type="dxa"/>
            <w:right w:w="108" w:type="dxa"/>
          </w:tblCellMar>
        </w:tblPrEx>
        <w:trPr>
          <w:trHeight w:val="316" w:hRule="atLeast"/>
        </w:trPr>
        <w:tc>
          <w:tcPr>
            <w:tcW w:w="1165" w:type="dxa"/>
            <w:vMerge w:val="restart"/>
            <w:tcBorders>
              <w:top w:val="nil"/>
              <w:left w:val="single" w:color="auto" w:sz="4" w:space="0"/>
              <w:right w:val="single" w:color="auto" w:sz="4" w:space="0"/>
            </w:tcBorders>
            <w:vAlign w:val="center"/>
          </w:tcPr>
          <w:p w14:paraId="147AC0D6">
            <w:pPr>
              <w:widowControl/>
              <w:spacing w:line="240" w:lineRule="atLeast"/>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合法性</w:t>
            </w:r>
          </w:p>
          <w:p w14:paraId="1112534D">
            <w:pPr>
              <w:widowControl/>
              <w:spacing w:line="240" w:lineRule="atLeast"/>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（10分）</w:t>
            </w:r>
          </w:p>
        </w:tc>
        <w:tc>
          <w:tcPr>
            <w:tcW w:w="1343" w:type="dxa"/>
            <w:vMerge w:val="restart"/>
            <w:tcBorders>
              <w:top w:val="nil"/>
              <w:left w:val="nil"/>
              <w:right w:val="single" w:color="auto" w:sz="4" w:space="0"/>
            </w:tcBorders>
            <w:noWrap/>
            <w:vAlign w:val="center"/>
          </w:tcPr>
          <w:p w14:paraId="4E94E6DE">
            <w:pPr>
              <w:spacing w:line="240" w:lineRule="atLeast"/>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产业发展</w:t>
            </w:r>
          </w:p>
          <w:p w14:paraId="5ABF063D">
            <w:pPr>
              <w:spacing w:line="240" w:lineRule="atLeast"/>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（5分）</w:t>
            </w:r>
          </w:p>
        </w:tc>
        <w:tc>
          <w:tcPr>
            <w:tcW w:w="5289" w:type="dxa"/>
            <w:tcBorders>
              <w:top w:val="nil"/>
              <w:left w:val="nil"/>
              <w:bottom w:val="single" w:color="auto" w:sz="4" w:space="0"/>
              <w:right w:val="single" w:color="auto" w:sz="4" w:space="0"/>
            </w:tcBorders>
            <w:noWrap/>
            <w:vAlign w:val="center"/>
          </w:tcPr>
          <w:p w14:paraId="0B87E5B1">
            <w:pPr>
              <w:widowControl/>
              <w:adjustRightInd w:val="0"/>
              <w:snapToGrid w:val="0"/>
              <w:rPr>
                <w:rFonts w:ascii="宋体" w:hAnsi="宋体" w:eastAsia="宋体" w:cs="宋体"/>
                <w:color w:val="000000"/>
                <w:kern w:val="0"/>
                <w:sz w:val="18"/>
                <w:szCs w:val="18"/>
              </w:rPr>
            </w:pPr>
            <w:r>
              <w:rPr>
                <w:rFonts w:hint="eastAsia" w:ascii="宋体" w:hAnsi="宋体" w:eastAsia="宋体" w:cs="宋体"/>
                <w:color w:val="000000"/>
                <w:kern w:val="0"/>
                <w:sz w:val="18"/>
                <w:szCs w:val="18"/>
              </w:rPr>
              <w:t>是否符合现行相关法律法规和国家有关政策</w:t>
            </w:r>
          </w:p>
        </w:tc>
        <w:tc>
          <w:tcPr>
            <w:tcW w:w="1029" w:type="dxa"/>
            <w:tcBorders>
              <w:top w:val="nil"/>
              <w:left w:val="nil"/>
              <w:bottom w:val="single" w:color="auto" w:sz="4" w:space="0"/>
              <w:right w:val="single" w:color="auto" w:sz="4" w:space="0"/>
            </w:tcBorders>
            <w:noWrap/>
            <w:vAlign w:val="center"/>
          </w:tcPr>
          <w:p w14:paraId="3DBE08E8">
            <w:pPr>
              <w:widowControl/>
              <w:adjustRightInd w:val="0"/>
              <w:snapToGrid w:val="0"/>
              <w:jc w:val="center"/>
              <w:rPr>
                <w:rFonts w:ascii="宋体" w:hAnsi="宋体" w:eastAsia="宋体" w:cs="宋体"/>
                <w:color w:val="000000"/>
                <w:kern w:val="0"/>
                <w:sz w:val="18"/>
                <w:szCs w:val="18"/>
              </w:rPr>
            </w:pPr>
            <w:r>
              <w:rPr>
                <w:rFonts w:hint="eastAsia" w:ascii="宋体" w:hAnsi="宋体" w:cs="宋体"/>
                <w:color w:val="000000"/>
                <w:kern w:val="0"/>
                <w:sz w:val="18"/>
                <w:szCs w:val="18"/>
              </w:rPr>
              <w:t>2</w:t>
            </w:r>
          </w:p>
        </w:tc>
      </w:tr>
      <w:tr w14:paraId="09DB0076">
        <w:tblPrEx>
          <w:tblCellMar>
            <w:top w:w="0" w:type="dxa"/>
            <w:left w:w="108" w:type="dxa"/>
            <w:bottom w:w="0" w:type="dxa"/>
            <w:right w:w="108" w:type="dxa"/>
          </w:tblCellMar>
        </w:tblPrEx>
        <w:trPr>
          <w:trHeight w:val="316" w:hRule="atLeast"/>
        </w:trPr>
        <w:tc>
          <w:tcPr>
            <w:tcW w:w="1165" w:type="dxa"/>
            <w:vMerge w:val="continue"/>
            <w:tcBorders>
              <w:left w:val="single" w:color="auto" w:sz="4" w:space="0"/>
              <w:right w:val="single" w:color="auto" w:sz="4" w:space="0"/>
            </w:tcBorders>
            <w:vAlign w:val="center"/>
          </w:tcPr>
          <w:p w14:paraId="348DF4B9">
            <w:pPr>
              <w:widowControl/>
              <w:spacing w:line="240" w:lineRule="atLeast"/>
              <w:jc w:val="center"/>
              <w:rPr>
                <w:rFonts w:ascii="宋体" w:hAnsi="宋体" w:eastAsia="宋体" w:cs="宋体"/>
                <w:color w:val="000000"/>
                <w:kern w:val="0"/>
                <w:sz w:val="18"/>
                <w:szCs w:val="18"/>
              </w:rPr>
            </w:pPr>
          </w:p>
        </w:tc>
        <w:tc>
          <w:tcPr>
            <w:tcW w:w="1343" w:type="dxa"/>
            <w:vMerge w:val="continue"/>
            <w:tcBorders>
              <w:left w:val="nil"/>
              <w:right w:val="single" w:color="auto" w:sz="4" w:space="0"/>
            </w:tcBorders>
            <w:noWrap/>
            <w:vAlign w:val="center"/>
          </w:tcPr>
          <w:p w14:paraId="5B8892B9">
            <w:pPr>
              <w:widowControl/>
              <w:spacing w:line="240" w:lineRule="atLeast"/>
              <w:jc w:val="center"/>
              <w:rPr>
                <w:rFonts w:ascii="宋体" w:hAnsi="宋体" w:eastAsia="宋体" w:cs="宋体"/>
                <w:color w:val="000000"/>
                <w:kern w:val="0"/>
                <w:sz w:val="18"/>
                <w:szCs w:val="18"/>
              </w:rPr>
            </w:pPr>
          </w:p>
        </w:tc>
        <w:tc>
          <w:tcPr>
            <w:tcW w:w="5289" w:type="dxa"/>
            <w:tcBorders>
              <w:top w:val="nil"/>
              <w:left w:val="nil"/>
              <w:bottom w:val="single" w:color="auto" w:sz="4" w:space="0"/>
              <w:right w:val="single" w:color="auto" w:sz="4" w:space="0"/>
            </w:tcBorders>
            <w:noWrap/>
            <w:vAlign w:val="center"/>
          </w:tcPr>
          <w:p w14:paraId="7E93D442">
            <w:pPr>
              <w:widowControl/>
              <w:adjustRightInd w:val="0"/>
              <w:snapToGrid w:val="0"/>
              <w:rPr>
                <w:rFonts w:ascii="宋体" w:hAnsi="宋体" w:eastAsia="宋体" w:cs="宋体"/>
                <w:color w:val="000000"/>
                <w:kern w:val="0"/>
                <w:sz w:val="18"/>
                <w:szCs w:val="18"/>
              </w:rPr>
            </w:pPr>
            <w:r>
              <w:rPr>
                <w:rFonts w:hint="eastAsia" w:ascii="宋体" w:hAnsi="宋体" w:eastAsia="宋体" w:cs="宋体"/>
                <w:color w:val="000000"/>
                <w:kern w:val="0"/>
                <w:sz w:val="18"/>
                <w:szCs w:val="18"/>
              </w:rPr>
              <w:t>是否符合国家和地方发展总体规划和专项规划</w:t>
            </w:r>
          </w:p>
        </w:tc>
        <w:tc>
          <w:tcPr>
            <w:tcW w:w="1029" w:type="dxa"/>
            <w:tcBorders>
              <w:top w:val="nil"/>
              <w:left w:val="nil"/>
              <w:bottom w:val="single" w:color="auto" w:sz="4" w:space="0"/>
              <w:right w:val="single" w:color="auto" w:sz="4" w:space="0"/>
            </w:tcBorders>
            <w:noWrap/>
            <w:vAlign w:val="center"/>
          </w:tcPr>
          <w:p w14:paraId="5B8BF002">
            <w:pPr>
              <w:widowControl/>
              <w:adjustRightInd w:val="0"/>
              <w:snapToGrid w:val="0"/>
              <w:jc w:val="center"/>
              <w:rPr>
                <w:rFonts w:ascii="宋体" w:hAnsi="宋体" w:eastAsia="宋体" w:cs="宋体"/>
                <w:color w:val="000000"/>
                <w:kern w:val="0"/>
                <w:sz w:val="18"/>
                <w:szCs w:val="18"/>
              </w:rPr>
            </w:pPr>
            <w:r>
              <w:rPr>
                <w:rFonts w:hint="eastAsia" w:ascii="宋体" w:hAnsi="宋体" w:cs="宋体"/>
                <w:color w:val="000000"/>
                <w:kern w:val="0"/>
                <w:sz w:val="18"/>
                <w:szCs w:val="18"/>
              </w:rPr>
              <w:t>1</w:t>
            </w:r>
          </w:p>
        </w:tc>
      </w:tr>
      <w:tr w14:paraId="4E8772BC">
        <w:tblPrEx>
          <w:tblCellMar>
            <w:top w:w="0" w:type="dxa"/>
            <w:left w:w="108" w:type="dxa"/>
            <w:bottom w:w="0" w:type="dxa"/>
            <w:right w:w="108" w:type="dxa"/>
          </w:tblCellMar>
        </w:tblPrEx>
        <w:trPr>
          <w:trHeight w:val="316" w:hRule="atLeast"/>
        </w:trPr>
        <w:tc>
          <w:tcPr>
            <w:tcW w:w="1165" w:type="dxa"/>
            <w:vMerge w:val="continue"/>
            <w:tcBorders>
              <w:left w:val="single" w:color="auto" w:sz="4" w:space="0"/>
              <w:right w:val="single" w:color="auto" w:sz="4" w:space="0"/>
            </w:tcBorders>
            <w:vAlign w:val="center"/>
          </w:tcPr>
          <w:p w14:paraId="14B5E681">
            <w:pPr>
              <w:widowControl/>
              <w:spacing w:line="240" w:lineRule="atLeast"/>
              <w:jc w:val="center"/>
              <w:rPr>
                <w:rFonts w:ascii="宋体" w:hAnsi="宋体" w:eastAsia="宋体" w:cs="宋体"/>
                <w:color w:val="000000"/>
                <w:kern w:val="0"/>
                <w:sz w:val="18"/>
                <w:szCs w:val="18"/>
              </w:rPr>
            </w:pPr>
          </w:p>
        </w:tc>
        <w:tc>
          <w:tcPr>
            <w:tcW w:w="1343" w:type="dxa"/>
            <w:vMerge w:val="continue"/>
            <w:tcBorders>
              <w:left w:val="nil"/>
              <w:right w:val="single" w:color="auto" w:sz="4" w:space="0"/>
            </w:tcBorders>
            <w:noWrap/>
            <w:vAlign w:val="center"/>
          </w:tcPr>
          <w:p w14:paraId="415A7C02">
            <w:pPr>
              <w:widowControl/>
              <w:spacing w:line="240" w:lineRule="atLeast"/>
              <w:jc w:val="center"/>
              <w:rPr>
                <w:rFonts w:ascii="宋体" w:hAnsi="宋体" w:eastAsia="宋体" w:cs="宋体"/>
                <w:color w:val="000000"/>
                <w:kern w:val="0"/>
                <w:sz w:val="18"/>
                <w:szCs w:val="18"/>
              </w:rPr>
            </w:pPr>
          </w:p>
        </w:tc>
        <w:tc>
          <w:tcPr>
            <w:tcW w:w="5289" w:type="dxa"/>
            <w:tcBorders>
              <w:top w:val="nil"/>
              <w:left w:val="nil"/>
              <w:bottom w:val="single" w:color="auto" w:sz="4" w:space="0"/>
              <w:right w:val="single" w:color="auto" w:sz="4" w:space="0"/>
            </w:tcBorders>
            <w:noWrap/>
            <w:vAlign w:val="center"/>
          </w:tcPr>
          <w:p w14:paraId="3C30F3B1">
            <w:pPr>
              <w:widowControl/>
              <w:adjustRightInd w:val="0"/>
              <w:snapToGrid w:val="0"/>
              <w:rPr>
                <w:rFonts w:ascii="宋体" w:hAnsi="宋体" w:eastAsia="宋体" w:cs="宋体"/>
                <w:color w:val="000000"/>
                <w:kern w:val="0"/>
                <w:sz w:val="18"/>
                <w:szCs w:val="18"/>
              </w:rPr>
            </w:pPr>
            <w:r>
              <w:rPr>
                <w:rFonts w:hint="eastAsia" w:ascii="宋体" w:hAnsi="宋体" w:eastAsia="宋体" w:cs="宋体"/>
                <w:color w:val="000000"/>
                <w:kern w:val="0"/>
                <w:sz w:val="18"/>
                <w:szCs w:val="18"/>
              </w:rPr>
              <w:t>是否符合“三新一高”要求</w:t>
            </w:r>
          </w:p>
        </w:tc>
        <w:tc>
          <w:tcPr>
            <w:tcW w:w="1029" w:type="dxa"/>
            <w:tcBorders>
              <w:top w:val="nil"/>
              <w:left w:val="nil"/>
              <w:bottom w:val="single" w:color="auto" w:sz="4" w:space="0"/>
              <w:right w:val="single" w:color="auto" w:sz="4" w:space="0"/>
            </w:tcBorders>
            <w:noWrap/>
            <w:vAlign w:val="center"/>
          </w:tcPr>
          <w:p w14:paraId="0A3CD3DF">
            <w:pPr>
              <w:widowControl/>
              <w:adjustRightInd w:val="0"/>
              <w:snapToGrid w:val="0"/>
              <w:jc w:val="center"/>
              <w:rPr>
                <w:rFonts w:ascii="宋体" w:hAnsi="宋体" w:eastAsia="宋体" w:cs="宋体"/>
                <w:color w:val="000000"/>
                <w:kern w:val="0"/>
                <w:sz w:val="18"/>
                <w:szCs w:val="18"/>
              </w:rPr>
            </w:pPr>
            <w:r>
              <w:rPr>
                <w:rFonts w:hint="eastAsia" w:ascii="宋体" w:hAnsi="宋体" w:cs="宋体"/>
                <w:color w:val="000000"/>
                <w:kern w:val="0"/>
                <w:sz w:val="18"/>
                <w:szCs w:val="18"/>
              </w:rPr>
              <w:t>1</w:t>
            </w:r>
          </w:p>
        </w:tc>
      </w:tr>
      <w:tr w14:paraId="14CB1805">
        <w:tblPrEx>
          <w:tblCellMar>
            <w:top w:w="0" w:type="dxa"/>
            <w:left w:w="108" w:type="dxa"/>
            <w:bottom w:w="0" w:type="dxa"/>
            <w:right w:w="108" w:type="dxa"/>
          </w:tblCellMar>
        </w:tblPrEx>
        <w:trPr>
          <w:trHeight w:val="316" w:hRule="atLeast"/>
        </w:trPr>
        <w:tc>
          <w:tcPr>
            <w:tcW w:w="1165" w:type="dxa"/>
            <w:vMerge w:val="continue"/>
            <w:tcBorders>
              <w:left w:val="single" w:color="auto" w:sz="4" w:space="0"/>
              <w:right w:val="single" w:color="auto" w:sz="4" w:space="0"/>
            </w:tcBorders>
            <w:vAlign w:val="center"/>
          </w:tcPr>
          <w:p w14:paraId="56799222">
            <w:pPr>
              <w:widowControl/>
              <w:spacing w:line="240" w:lineRule="atLeast"/>
              <w:jc w:val="center"/>
              <w:rPr>
                <w:rFonts w:ascii="宋体" w:hAnsi="宋体" w:eastAsia="宋体" w:cs="宋体"/>
                <w:color w:val="000000"/>
                <w:kern w:val="0"/>
                <w:sz w:val="18"/>
                <w:szCs w:val="18"/>
              </w:rPr>
            </w:pPr>
          </w:p>
        </w:tc>
        <w:tc>
          <w:tcPr>
            <w:tcW w:w="1343" w:type="dxa"/>
            <w:vMerge w:val="continue"/>
            <w:tcBorders>
              <w:left w:val="nil"/>
              <w:right w:val="single" w:color="auto" w:sz="4" w:space="0"/>
            </w:tcBorders>
            <w:noWrap/>
            <w:vAlign w:val="center"/>
          </w:tcPr>
          <w:p w14:paraId="0837A600">
            <w:pPr>
              <w:widowControl/>
              <w:spacing w:line="240" w:lineRule="atLeast"/>
              <w:jc w:val="center"/>
              <w:rPr>
                <w:rFonts w:ascii="宋体" w:hAnsi="宋体" w:eastAsia="宋体" w:cs="宋体"/>
                <w:color w:val="000000"/>
                <w:kern w:val="0"/>
                <w:sz w:val="18"/>
                <w:szCs w:val="18"/>
              </w:rPr>
            </w:pPr>
          </w:p>
        </w:tc>
        <w:tc>
          <w:tcPr>
            <w:tcW w:w="5289" w:type="dxa"/>
            <w:tcBorders>
              <w:top w:val="nil"/>
              <w:left w:val="nil"/>
              <w:bottom w:val="single" w:color="auto" w:sz="4" w:space="0"/>
              <w:right w:val="single" w:color="auto" w:sz="4" w:space="0"/>
            </w:tcBorders>
            <w:noWrap/>
            <w:vAlign w:val="center"/>
          </w:tcPr>
          <w:p w14:paraId="467370BD">
            <w:pPr>
              <w:widowControl/>
              <w:adjustRightInd w:val="0"/>
              <w:snapToGrid w:val="0"/>
              <w:rPr>
                <w:rFonts w:ascii="宋体" w:hAnsi="宋体" w:eastAsia="宋体" w:cs="宋体"/>
                <w:color w:val="000000"/>
                <w:kern w:val="0"/>
                <w:sz w:val="18"/>
                <w:szCs w:val="18"/>
              </w:rPr>
            </w:pPr>
            <w:r>
              <w:rPr>
                <w:rFonts w:hint="eastAsia" w:ascii="宋体" w:hAnsi="宋体" w:eastAsia="宋体" w:cs="宋体"/>
                <w:color w:val="000000"/>
                <w:kern w:val="0"/>
                <w:sz w:val="18"/>
                <w:szCs w:val="18"/>
              </w:rPr>
              <w:t>是否符合有关强制性标准规定</w:t>
            </w:r>
          </w:p>
        </w:tc>
        <w:tc>
          <w:tcPr>
            <w:tcW w:w="1029" w:type="dxa"/>
            <w:tcBorders>
              <w:top w:val="nil"/>
              <w:left w:val="nil"/>
              <w:bottom w:val="single" w:color="auto" w:sz="4" w:space="0"/>
              <w:right w:val="single" w:color="auto" w:sz="4" w:space="0"/>
            </w:tcBorders>
            <w:noWrap/>
            <w:vAlign w:val="center"/>
          </w:tcPr>
          <w:p w14:paraId="7599B72A">
            <w:pPr>
              <w:widowControl/>
              <w:adjustRightInd w:val="0"/>
              <w:snapToGrid w:val="0"/>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w:t>
            </w:r>
          </w:p>
        </w:tc>
      </w:tr>
      <w:tr w14:paraId="0B1BE43B">
        <w:tblPrEx>
          <w:tblCellMar>
            <w:top w:w="0" w:type="dxa"/>
            <w:left w:w="108" w:type="dxa"/>
            <w:bottom w:w="0" w:type="dxa"/>
            <w:right w:w="108" w:type="dxa"/>
          </w:tblCellMar>
        </w:tblPrEx>
        <w:trPr>
          <w:trHeight w:val="312" w:hRule="atLeast"/>
        </w:trPr>
        <w:tc>
          <w:tcPr>
            <w:tcW w:w="1165" w:type="dxa"/>
            <w:vMerge w:val="continue"/>
            <w:tcBorders>
              <w:left w:val="single" w:color="auto" w:sz="4" w:space="0"/>
              <w:right w:val="single" w:color="auto" w:sz="4" w:space="0"/>
            </w:tcBorders>
            <w:vAlign w:val="center"/>
          </w:tcPr>
          <w:p w14:paraId="4D29BC34">
            <w:pPr>
              <w:spacing w:line="240" w:lineRule="atLeast"/>
              <w:jc w:val="center"/>
              <w:rPr>
                <w:rFonts w:ascii="宋体" w:hAnsi="宋体" w:eastAsia="宋体" w:cs="宋体"/>
                <w:color w:val="000000"/>
                <w:kern w:val="0"/>
                <w:sz w:val="18"/>
                <w:szCs w:val="18"/>
              </w:rPr>
            </w:pPr>
          </w:p>
        </w:tc>
        <w:tc>
          <w:tcPr>
            <w:tcW w:w="1343" w:type="dxa"/>
            <w:vMerge w:val="continue"/>
            <w:tcBorders>
              <w:left w:val="nil"/>
              <w:right w:val="single" w:color="auto" w:sz="4" w:space="0"/>
            </w:tcBorders>
            <w:noWrap/>
            <w:vAlign w:val="center"/>
          </w:tcPr>
          <w:p w14:paraId="7F41A97B">
            <w:pPr>
              <w:spacing w:line="240" w:lineRule="atLeast"/>
              <w:jc w:val="center"/>
              <w:rPr>
                <w:rFonts w:ascii="宋体" w:hAnsi="宋体" w:eastAsia="宋体" w:cs="宋体"/>
                <w:color w:val="000000"/>
                <w:kern w:val="0"/>
                <w:sz w:val="18"/>
                <w:szCs w:val="18"/>
              </w:rPr>
            </w:pPr>
          </w:p>
        </w:tc>
        <w:tc>
          <w:tcPr>
            <w:tcW w:w="5289" w:type="dxa"/>
            <w:tcBorders>
              <w:top w:val="single" w:color="auto" w:sz="4" w:space="0"/>
              <w:left w:val="nil"/>
              <w:bottom w:val="single" w:color="auto" w:sz="4" w:space="0"/>
              <w:right w:val="single" w:color="auto" w:sz="4" w:space="0"/>
            </w:tcBorders>
            <w:noWrap/>
            <w:vAlign w:val="center"/>
          </w:tcPr>
          <w:p w14:paraId="3BDCAC77">
            <w:pPr>
              <w:widowControl/>
              <w:adjustRightInd w:val="0"/>
              <w:snapToGrid w:val="0"/>
              <w:rPr>
                <w:rFonts w:ascii="宋体" w:hAnsi="宋体" w:eastAsia="宋体" w:cs="宋体"/>
                <w:color w:val="000000"/>
                <w:kern w:val="0"/>
                <w:sz w:val="18"/>
                <w:szCs w:val="18"/>
              </w:rPr>
            </w:pPr>
            <w:r>
              <w:rPr>
                <w:rFonts w:hint="eastAsia" w:ascii="宋体" w:hAnsi="宋体" w:eastAsia="宋体" w:cs="宋体"/>
                <w:color w:val="000000"/>
                <w:kern w:val="0"/>
                <w:sz w:val="18"/>
                <w:szCs w:val="18"/>
              </w:rPr>
              <w:t>是否符合有关产业政策的要求</w:t>
            </w:r>
          </w:p>
        </w:tc>
        <w:tc>
          <w:tcPr>
            <w:tcW w:w="1029" w:type="dxa"/>
            <w:tcBorders>
              <w:top w:val="single" w:color="auto" w:sz="4" w:space="0"/>
              <w:left w:val="nil"/>
              <w:bottom w:val="single" w:color="auto" w:sz="4" w:space="0"/>
              <w:right w:val="single" w:color="auto" w:sz="4" w:space="0"/>
            </w:tcBorders>
            <w:noWrap/>
            <w:vAlign w:val="center"/>
          </w:tcPr>
          <w:p w14:paraId="6FA34164">
            <w:pPr>
              <w:widowControl/>
              <w:adjustRightInd w:val="0"/>
              <w:snapToGrid w:val="0"/>
              <w:jc w:val="center"/>
              <w:rPr>
                <w:rFonts w:ascii="宋体" w:hAnsi="宋体" w:eastAsia="宋体" w:cs="宋体"/>
                <w:color w:val="000000"/>
                <w:kern w:val="0"/>
                <w:sz w:val="18"/>
                <w:szCs w:val="18"/>
              </w:rPr>
            </w:pPr>
            <w:r>
              <w:rPr>
                <w:rFonts w:hint="eastAsia" w:ascii="宋体" w:hAnsi="宋体" w:cs="宋体"/>
                <w:color w:val="000000"/>
                <w:kern w:val="0"/>
                <w:sz w:val="18"/>
                <w:szCs w:val="18"/>
              </w:rPr>
              <w:t>1</w:t>
            </w:r>
          </w:p>
        </w:tc>
      </w:tr>
      <w:tr w14:paraId="3CCBE5B0">
        <w:tblPrEx>
          <w:tblCellMar>
            <w:top w:w="0" w:type="dxa"/>
            <w:left w:w="108" w:type="dxa"/>
            <w:bottom w:w="0" w:type="dxa"/>
            <w:right w:w="108" w:type="dxa"/>
          </w:tblCellMar>
        </w:tblPrEx>
        <w:trPr>
          <w:trHeight w:val="269" w:hRule="atLeast"/>
        </w:trPr>
        <w:tc>
          <w:tcPr>
            <w:tcW w:w="1165" w:type="dxa"/>
            <w:vMerge w:val="continue"/>
            <w:tcBorders>
              <w:left w:val="single" w:color="auto" w:sz="4" w:space="0"/>
              <w:right w:val="single" w:color="auto" w:sz="4" w:space="0"/>
            </w:tcBorders>
            <w:vAlign w:val="center"/>
          </w:tcPr>
          <w:p w14:paraId="06E2C65E">
            <w:pPr>
              <w:spacing w:line="240" w:lineRule="atLeast"/>
              <w:jc w:val="center"/>
              <w:rPr>
                <w:rFonts w:ascii="宋体" w:hAnsi="宋体" w:eastAsia="宋体" w:cs="宋体"/>
                <w:color w:val="000000"/>
                <w:kern w:val="0"/>
                <w:sz w:val="18"/>
                <w:szCs w:val="18"/>
              </w:rPr>
            </w:pPr>
          </w:p>
        </w:tc>
        <w:tc>
          <w:tcPr>
            <w:tcW w:w="1343" w:type="dxa"/>
            <w:vMerge w:val="restart"/>
            <w:tcBorders>
              <w:top w:val="single" w:color="auto" w:sz="4" w:space="0"/>
              <w:left w:val="nil"/>
              <w:right w:val="single" w:color="auto" w:sz="4" w:space="0"/>
            </w:tcBorders>
            <w:noWrap/>
            <w:vAlign w:val="center"/>
          </w:tcPr>
          <w:p w14:paraId="77595721">
            <w:pPr>
              <w:spacing w:line="240" w:lineRule="atLeast"/>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行业准入</w:t>
            </w:r>
          </w:p>
          <w:p w14:paraId="6045D0C9">
            <w:pPr>
              <w:spacing w:line="240" w:lineRule="atLeast"/>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（2分）</w:t>
            </w:r>
          </w:p>
        </w:tc>
        <w:tc>
          <w:tcPr>
            <w:tcW w:w="5289" w:type="dxa"/>
            <w:tcBorders>
              <w:top w:val="single" w:color="auto" w:sz="4" w:space="0"/>
              <w:left w:val="nil"/>
              <w:bottom w:val="single" w:color="auto" w:sz="4" w:space="0"/>
              <w:right w:val="single" w:color="auto" w:sz="4" w:space="0"/>
            </w:tcBorders>
            <w:noWrap/>
            <w:vAlign w:val="center"/>
          </w:tcPr>
          <w:p w14:paraId="0C8F5D66">
            <w:pPr>
              <w:widowControl/>
              <w:adjustRightInd w:val="0"/>
              <w:snapToGrid w:val="0"/>
              <w:rPr>
                <w:rFonts w:ascii="宋体" w:hAnsi="宋体" w:eastAsia="宋体" w:cs="宋体"/>
                <w:color w:val="000000"/>
                <w:kern w:val="0"/>
                <w:sz w:val="18"/>
                <w:szCs w:val="18"/>
              </w:rPr>
            </w:pPr>
            <w:r>
              <w:rPr>
                <w:rFonts w:hint="eastAsia" w:ascii="宋体" w:hAnsi="宋体" w:eastAsia="宋体" w:cs="宋体"/>
                <w:color w:val="000000"/>
                <w:kern w:val="0"/>
                <w:sz w:val="18"/>
                <w:szCs w:val="18"/>
              </w:rPr>
              <w:t>是否符合相关行业准入的规定</w:t>
            </w:r>
          </w:p>
        </w:tc>
        <w:tc>
          <w:tcPr>
            <w:tcW w:w="1029" w:type="dxa"/>
            <w:tcBorders>
              <w:top w:val="single" w:color="auto" w:sz="4" w:space="0"/>
              <w:left w:val="nil"/>
              <w:bottom w:val="single" w:color="auto" w:sz="4" w:space="0"/>
              <w:right w:val="single" w:color="auto" w:sz="4" w:space="0"/>
            </w:tcBorders>
            <w:noWrap/>
            <w:vAlign w:val="center"/>
          </w:tcPr>
          <w:p w14:paraId="6B443B88">
            <w:pPr>
              <w:widowControl/>
              <w:adjustRightInd w:val="0"/>
              <w:snapToGrid w:val="0"/>
              <w:jc w:val="center"/>
              <w:rPr>
                <w:rFonts w:ascii="宋体" w:hAnsi="宋体" w:eastAsia="宋体" w:cs="宋体"/>
                <w:color w:val="000000"/>
                <w:kern w:val="0"/>
                <w:sz w:val="18"/>
                <w:szCs w:val="18"/>
              </w:rPr>
            </w:pPr>
            <w:r>
              <w:rPr>
                <w:rFonts w:hint="eastAsia" w:ascii="宋体" w:hAnsi="宋体" w:cs="宋体"/>
                <w:color w:val="000000"/>
                <w:kern w:val="0"/>
                <w:sz w:val="18"/>
                <w:szCs w:val="18"/>
              </w:rPr>
              <w:t>1</w:t>
            </w:r>
          </w:p>
        </w:tc>
      </w:tr>
      <w:tr w14:paraId="5D8BA21E">
        <w:tblPrEx>
          <w:tblCellMar>
            <w:top w:w="0" w:type="dxa"/>
            <w:left w:w="108" w:type="dxa"/>
            <w:bottom w:w="0" w:type="dxa"/>
            <w:right w:w="108" w:type="dxa"/>
          </w:tblCellMar>
        </w:tblPrEx>
        <w:trPr>
          <w:trHeight w:val="269" w:hRule="atLeast"/>
        </w:trPr>
        <w:tc>
          <w:tcPr>
            <w:tcW w:w="1165" w:type="dxa"/>
            <w:vMerge w:val="continue"/>
            <w:tcBorders>
              <w:left w:val="single" w:color="auto" w:sz="4" w:space="0"/>
              <w:right w:val="single" w:color="auto" w:sz="4" w:space="0"/>
            </w:tcBorders>
            <w:vAlign w:val="center"/>
          </w:tcPr>
          <w:p w14:paraId="07D8EB7C">
            <w:pPr>
              <w:spacing w:line="240" w:lineRule="atLeast"/>
              <w:jc w:val="center"/>
              <w:rPr>
                <w:rFonts w:ascii="宋体" w:hAnsi="宋体" w:eastAsia="宋体" w:cs="宋体"/>
                <w:color w:val="000000"/>
                <w:kern w:val="0"/>
                <w:sz w:val="18"/>
                <w:szCs w:val="18"/>
              </w:rPr>
            </w:pPr>
          </w:p>
        </w:tc>
        <w:tc>
          <w:tcPr>
            <w:tcW w:w="1343" w:type="dxa"/>
            <w:vMerge w:val="continue"/>
            <w:tcBorders>
              <w:left w:val="nil"/>
              <w:bottom w:val="single" w:color="auto" w:sz="4" w:space="0"/>
              <w:right w:val="single" w:color="auto" w:sz="4" w:space="0"/>
            </w:tcBorders>
            <w:noWrap/>
            <w:vAlign w:val="center"/>
          </w:tcPr>
          <w:p w14:paraId="0209AF40">
            <w:pPr>
              <w:spacing w:line="240" w:lineRule="atLeast"/>
              <w:jc w:val="center"/>
              <w:rPr>
                <w:rFonts w:ascii="宋体" w:hAnsi="宋体" w:eastAsia="宋体" w:cs="宋体"/>
                <w:color w:val="000000"/>
                <w:kern w:val="0"/>
                <w:sz w:val="18"/>
                <w:szCs w:val="18"/>
              </w:rPr>
            </w:pPr>
          </w:p>
        </w:tc>
        <w:tc>
          <w:tcPr>
            <w:tcW w:w="5289" w:type="dxa"/>
            <w:tcBorders>
              <w:top w:val="single" w:color="auto" w:sz="4" w:space="0"/>
              <w:left w:val="nil"/>
              <w:bottom w:val="single" w:color="auto" w:sz="4" w:space="0"/>
              <w:right w:val="single" w:color="auto" w:sz="4" w:space="0"/>
            </w:tcBorders>
            <w:noWrap/>
            <w:vAlign w:val="center"/>
          </w:tcPr>
          <w:p w14:paraId="783BA532">
            <w:pPr>
              <w:widowControl/>
              <w:adjustRightInd w:val="0"/>
              <w:snapToGrid w:val="0"/>
              <w:rPr>
                <w:rFonts w:ascii="宋体" w:hAnsi="宋体" w:eastAsia="宋体" w:cs="宋体"/>
                <w:color w:val="000000"/>
                <w:kern w:val="0"/>
                <w:sz w:val="18"/>
                <w:szCs w:val="18"/>
              </w:rPr>
            </w:pPr>
            <w:r>
              <w:rPr>
                <w:rFonts w:hint="eastAsia" w:ascii="宋体" w:hAnsi="宋体" w:eastAsia="宋体" w:cs="宋体"/>
                <w:color w:val="000000"/>
                <w:kern w:val="0"/>
                <w:sz w:val="18"/>
                <w:szCs w:val="18"/>
              </w:rPr>
              <w:t>是否具备项目建设所需相关证照</w:t>
            </w:r>
          </w:p>
        </w:tc>
        <w:tc>
          <w:tcPr>
            <w:tcW w:w="1029" w:type="dxa"/>
            <w:tcBorders>
              <w:top w:val="single" w:color="auto" w:sz="4" w:space="0"/>
              <w:left w:val="nil"/>
              <w:bottom w:val="single" w:color="auto" w:sz="4" w:space="0"/>
              <w:right w:val="single" w:color="auto" w:sz="4" w:space="0"/>
            </w:tcBorders>
            <w:noWrap/>
            <w:vAlign w:val="center"/>
          </w:tcPr>
          <w:p w14:paraId="333AFCBF">
            <w:pPr>
              <w:widowControl/>
              <w:adjustRightInd w:val="0"/>
              <w:snapToGrid w:val="0"/>
              <w:jc w:val="center"/>
              <w:rPr>
                <w:rFonts w:ascii="宋体" w:hAnsi="宋体" w:cs="宋体"/>
                <w:color w:val="000000"/>
                <w:kern w:val="0"/>
                <w:sz w:val="18"/>
                <w:szCs w:val="18"/>
              </w:rPr>
            </w:pPr>
            <w:r>
              <w:rPr>
                <w:rFonts w:hint="eastAsia" w:ascii="宋体" w:hAnsi="宋体" w:cs="宋体"/>
                <w:color w:val="000000"/>
                <w:kern w:val="0"/>
                <w:sz w:val="18"/>
                <w:szCs w:val="18"/>
              </w:rPr>
              <w:t>1</w:t>
            </w:r>
          </w:p>
        </w:tc>
      </w:tr>
      <w:tr w14:paraId="0D0BF2A5">
        <w:tblPrEx>
          <w:tblCellMar>
            <w:top w:w="0" w:type="dxa"/>
            <w:left w:w="108" w:type="dxa"/>
            <w:bottom w:w="0" w:type="dxa"/>
            <w:right w:w="108" w:type="dxa"/>
          </w:tblCellMar>
        </w:tblPrEx>
        <w:trPr>
          <w:trHeight w:val="340" w:hRule="atLeast"/>
        </w:trPr>
        <w:tc>
          <w:tcPr>
            <w:tcW w:w="1165" w:type="dxa"/>
            <w:vMerge w:val="continue"/>
            <w:tcBorders>
              <w:left w:val="single" w:color="auto" w:sz="4" w:space="0"/>
              <w:right w:val="single" w:color="auto" w:sz="4" w:space="0"/>
            </w:tcBorders>
            <w:vAlign w:val="center"/>
          </w:tcPr>
          <w:p w14:paraId="1B3C8688">
            <w:pPr>
              <w:widowControl/>
              <w:spacing w:line="240" w:lineRule="atLeast"/>
              <w:jc w:val="center"/>
              <w:rPr>
                <w:rFonts w:ascii="宋体" w:hAnsi="宋体" w:eastAsia="宋体" w:cs="宋体"/>
                <w:color w:val="000000"/>
                <w:kern w:val="0"/>
                <w:sz w:val="18"/>
                <w:szCs w:val="18"/>
              </w:rPr>
            </w:pPr>
          </w:p>
        </w:tc>
        <w:tc>
          <w:tcPr>
            <w:tcW w:w="1343" w:type="dxa"/>
            <w:vMerge w:val="restart"/>
            <w:tcBorders>
              <w:top w:val="single" w:color="auto" w:sz="4" w:space="0"/>
              <w:left w:val="nil"/>
              <w:right w:val="single" w:color="auto" w:sz="4" w:space="0"/>
            </w:tcBorders>
            <w:noWrap/>
            <w:vAlign w:val="center"/>
          </w:tcPr>
          <w:p w14:paraId="50537E90">
            <w:pPr>
              <w:widowControl/>
              <w:spacing w:line="240" w:lineRule="atLeast"/>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立项审批</w:t>
            </w:r>
          </w:p>
          <w:p w14:paraId="7FBD795D">
            <w:pPr>
              <w:widowControl/>
              <w:spacing w:line="240" w:lineRule="atLeast"/>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（3分）</w:t>
            </w:r>
          </w:p>
        </w:tc>
        <w:tc>
          <w:tcPr>
            <w:tcW w:w="5289" w:type="dxa"/>
            <w:tcBorders>
              <w:top w:val="single" w:color="auto" w:sz="4" w:space="0"/>
              <w:left w:val="nil"/>
              <w:bottom w:val="single" w:color="auto" w:sz="4" w:space="0"/>
              <w:right w:val="single" w:color="auto" w:sz="4" w:space="0"/>
            </w:tcBorders>
            <w:noWrap/>
            <w:vAlign w:val="center"/>
          </w:tcPr>
          <w:p w14:paraId="5E857517">
            <w:pPr>
              <w:widowControl/>
              <w:adjustRightInd w:val="0"/>
              <w:snapToGrid w:val="0"/>
              <w:rPr>
                <w:rFonts w:ascii="宋体" w:hAnsi="宋体" w:eastAsia="宋体" w:cs="宋体"/>
                <w:color w:val="000000"/>
                <w:kern w:val="0"/>
                <w:sz w:val="18"/>
                <w:szCs w:val="18"/>
              </w:rPr>
            </w:pPr>
            <w:r>
              <w:rPr>
                <w:rFonts w:hint="eastAsia" w:ascii="宋体" w:hAnsi="宋体" w:eastAsia="宋体" w:cs="宋体"/>
                <w:color w:val="000000"/>
                <w:kern w:val="0"/>
                <w:sz w:val="18"/>
                <w:szCs w:val="18"/>
              </w:rPr>
              <w:t>是否经过科学的可行性研究论证</w:t>
            </w:r>
          </w:p>
        </w:tc>
        <w:tc>
          <w:tcPr>
            <w:tcW w:w="1029" w:type="dxa"/>
            <w:tcBorders>
              <w:top w:val="single" w:color="auto" w:sz="4" w:space="0"/>
              <w:left w:val="nil"/>
              <w:bottom w:val="single" w:color="auto" w:sz="4" w:space="0"/>
              <w:right w:val="single" w:color="auto" w:sz="4" w:space="0"/>
            </w:tcBorders>
            <w:noWrap/>
            <w:vAlign w:val="center"/>
          </w:tcPr>
          <w:p w14:paraId="0D0A8025">
            <w:pPr>
              <w:widowControl/>
              <w:adjustRightInd w:val="0"/>
              <w:snapToGrid w:val="0"/>
              <w:jc w:val="center"/>
              <w:rPr>
                <w:rFonts w:ascii="宋体" w:hAnsi="宋体" w:cs="宋体"/>
                <w:color w:val="000000"/>
                <w:kern w:val="0"/>
                <w:sz w:val="18"/>
                <w:szCs w:val="18"/>
              </w:rPr>
            </w:pPr>
            <w:r>
              <w:rPr>
                <w:rFonts w:hint="eastAsia" w:ascii="宋体" w:hAnsi="宋体" w:cs="宋体"/>
                <w:color w:val="000000"/>
                <w:kern w:val="0"/>
                <w:sz w:val="18"/>
                <w:szCs w:val="18"/>
              </w:rPr>
              <w:t>1</w:t>
            </w:r>
          </w:p>
        </w:tc>
      </w:tr>
      <w:tr w14:paraId="0C456C05">
        <w:tblPrEx>
          <w:tblCellMar>
            <w:top w:w="0" w:type="dxa"/>
            <w:left w:w="108" w:type="dxa"/>
            <w:bottom w:w="0" w:type="dxa"/>
            <w:right w:w="108" w:type="dxa"/>
          </w:tblCellMar>
        </w:tblPrEx>
        <w:trPr>
          <w:trHeight w:val="340" w:hRule="atLeast"/>
        </w:trPr>
        <w:tc>
          <w:tcPr>
            <w:tcW w:w="1165" w:type="dxa"/>
            <w:vMerge w:val="continue"/>
            <w:tcBorders>
              <w:left w:val="single" w:color="auto" w:sz="4" w:space="0"/>
              <w:right w:val="single" w:color="auto" w:sz="4" w:space="0"/>
            </w:tcBorders>
            <w:vAlign w:val="center"/>
          </w:tcPr>
          <w:p w14:paraId="0EBD4D7A">
            <w:pPr>
              <w:widowControl/>
              <w:spacing w:line="240" w:lineRule="atLeast"/>
              <w:jc w:val="center"/>
              <w:rPr>
                <w:rFonts w:ascii="宋体" w:hAnsi="宋体" w:eastAsia="宋体" w:cs="宋体"/>
                <w:color w:val="000000"/>
                <w:kern w:val="0"/>
                <w:sz w:val="18"/>
                <w:szCs w:val="18"/>
              </w:rPr>
            </w:pPr>
          </w:p>
        </w:tc>
        <w:tc>
          <w:tcPr>
            <w:tcW w:w="1343" w:type="dxa"/>
            <w:vMerge w:val="continue"/>
            <w:tcBorders>
              <w:left w:val="nil"/>
              <w:right w:val="single" w:color="auto" w:sz="4" w:space="0"/>
            </w:tcBorders>
            <w:noWrap/>
            <w:vAlign w:val="center"/>
          </w:tcPr>
          <w:p w14:paraId="21BDB172">
            <w:pPr>
              <w:widowControl/>
              <w:spacing w:line="240" w:lineRule="atLeast"/>
              <w:jc w:val="center"/>
              <w:rPr>
                <w:rFonts w:ascii="宋体" w:hAnsi="宋体" w:eastAsia="宋体" w:cs="宋体"/>
                <w:color w:val="000000"/>
                <w:kern w:val="0"/>
                <w:sz w:val="18"/>
                <w:szCs w:val="18"/>
              </w:rPr>
            </w:pPr>
          </w:p>
        </w:tc>
        <w:tc>
          <w:tcPr>
            <w:tcW w:w="5289" w:type="dxa"/>
            <w:tcBorders>
              <w:top w:val="single" w:color="auto" w:sz="4" w:space="0"/>
              <w:left w:val="nil"/>
              <w:bottom w:val="single" w:color="auto" w:sz="4" w:space="0"/>
              <w:right w:val="single" w:color="auto" w:sz="4" w:space="0"/>
            </w:tcBorders>
            <w:noWrap/>
            <w:vAlign w:val="center"/>
          </w:tcPr>
          <w:p w14:paraId="291D63D5">
            <w:pPr>
              <w:widowControl/>
              <w:adjustRightInd w:val="0"/>
              <w:snapToGrid w:val="0"/>
              <w:rPr>
                <w:rFonts w:ascii="宋体" w:hAnsi="宋体" w:eastAsia="宋体" w:cs="宋体"/>
                <w:color w:val="000000"/>
                <w:kern w:val="0"/>
                <w:sz w:val="18"/>
                <w:szCs w:val="18"/>
              </w:rPr>
            </w:pPr>
            <w:r>
              <w:rPr>
                <w:rFonts w:hint="eastAsia" w:ascii="宋体" w:hAnsi="宋体" w:eastAsia="宋体" w:cs="宋体"/>
                <w:color w:val="000000"/>
                <w:kern w:val="0"/>
                <w:sz w:val="18"/>
                <w:szCs w:val="18"/>
              </w:rPr>
              <w:t>决策主体是否在审批权限范围内作出决策</w:t>
            </w:r>
          </w:p>
        </w:tc>
        <w:tc>
          <w:tcPr>
            <w:tcW w:w="1029" w:type="dxa"/>
            <w:tcBorders>
              <w:top w:val="single" w:color="auto" w:sz="4" w:space="0"/>
              <w:left w:val="nil"/>
              <w:bottom w:val="single" w:color="auto" w:sz="4" w:space="0"/>
              <w:right w:val="single" w:color="auto" w:sz="4" w:space="0"/>
            </w:tcBorders>
            <w:noWrap/>
            <w:vAlign w:val="center"/>
          </w:tcPr>
          <w:p w14:paraId="0E225B1A">
            <w:pPr>
              <w:widowControl/>
              <w:adjustRightInd w:val="0"/>
              <w:snapToGrid w:val="0"/>
              <w:jc w:val="center"/>
              <w:rPr>
                <w:rFonts w:ascii="宋体" w:hAnsi="宋体" w:eastAsia="宋体" w:cs="宋体"/>
                <w:color w:val="000000"/>
                <w:kern w:val="0"/>
                <w:sz w:val="18"/>
                <w:szCs w:val="18"/>
              </w:rPr>
            </w:pPr>
            <w:r>
              <w:rPr>
                <w:rFonts w:hint="eastAsia" w:ascii="宋体" w:hAnsi="宋体" w:cs="宋体"/>
                <w:color w:val="000000"/>
                <w:kern w:val="0"/>
                <w:sz w:val="18"/>
                <w:szCs w:val="18"/>
              </w:rPr>
              <w:t>1</w:t>
            </w:r>
          </w:p>
        </w:tc>
      </w:tr>
      <w:tr w14:paraId="0F0DA18F">
        <w:tblPrEx>
          <w:tblCellMar>
            <w:top w:w="0" w:type="dxa"/>
            <w:left w:w="108" w:type="dxa"/>
            <w:bottom w:w="0" w:type="dxa"/>
            <w:right w:w="108" w:type="dxa"/>
          </w:tblCellMar>
        </w:tblPrEx>
        <w:trPr>
          <w:trHeight w:val="339" w:hRule="atLeast"/>
        </w:trPr>
        <w:tc>
          <w:tcPr>
            <w:tcW w:w="1165" w:type="dxa"/>
            <w:vMerge w:val="continue"/>
            <w:tcBorders>
              <w:left w:val="single" w:color="auto" w:sz="4" w:space="0"/>
              <w:bottom w:val="single" w:color="auto" w:sz="4" w:space="0"/>
              <w:right w:val="single" w:color="auto" w:sz="4" w:space="0"/>
            </w:tcBorders>
            <w:vAlign w:val="center"/>
          </w:tcPr>
          <w:p w14:paraId="5B048901">
            <w:pPr>
              <w:widowControl/>
              <w:spacing w:line="240" w:lineRule="atLeast"/>
              <w:jc w:val="center"/>
              <w:rPr>
                <w:rFonts w:ascii="宋体" w:hAnsi="宋体" w:eastAsia="宋体" w:cs="宋体"/>
                <w:color w:val="000000"/>
                <w:kern w:val="0"/>
                <w:sz w:val="18"/>
                <w:szCs w:val="18"/>
              </w:rPr>
            </w:pPr>
          </w:p>
        </w:tc>
        <w:tc>
          <w:tcPr>
            <w:tcW w:w="1343" w:type="dxa"/>
            <w:vMerge w:val="continue"/>
            <w:tcBorders>
              <w:left w:val="nil"/>
              <w:bottom w:val="single" w:color="auto" w:sz="4" w:space="0"/>
              <w:right w:val="single" w:color="auto" w:sz="4" w:space="0"/>
            </w:tcBorders>
            <w:noWrap/>
            <w:vAlign w:val="center"/>
          </w:tcPr>
          <w:p w14:paraId="0DB6C155">
            <w:pPr>
              <w:widowControl/>
              <w:spacing w:line="240" w:lineRule="atLeast"/>
              <w:jc w:val="center"/>
              <w:rPr>
                <w:rFonts w:ascii="宋体" w:hAnsi="宋体" w:eastAsia="宋体" w:cs="宋体"/>
                <w:color w:val="000000"/>
                <w:kern w:val="0"/>
                <w:sz w:val="18"/>
                <w:szCs w:val="18"/>
              </w:rPr>
            </w:pPr>
          </w:p>
        </w:tc>
        <w:tc>
          <w:tcPr>
            <w:tcW w:w="5289" w:type="dxa"/>
            <w:tcBorders>
              <w:top w:val="nil"/>
              <w:left w:val="nil"/>
              <w:bottom w:val="single" w:color="auto" w:sz="4" w:space="0"/>
              <w:right w:val="single" w:color="auto" w:sz="4" w:space="0"/>
            </w:tcBorders>
            <w:noWrap/>
            <w:vAlign w:val="center"/>
          </w:tcPr>
          <w:p w14:paraId="7A4335EB">
            <w:pPr>
              <w:widowControl/>
              <w:adjustRightInd w:val="0"/>
              <w:snapToGrid w:val="0"/>
              <w:rPr>
                <w:rFonts w:ascii="宋体" w:hAnsi="宋体" w:eastAsia="宋体" w:cs="宋体"/>
                <w:color w:val="000000"/>
                <w:kern w:val="0"/>
                <w:sz w:val="18"/>
                <w:szCs w:val="18"/>
              </w:rPr>
            </w:pPr>
            <w:r>
              <w:rPr>
                <w:rFonts w:hint="eastAsia" w:ascii="宋体" w:hAnsi="宋体" w:eastAsia="宋体" w:cs="宋体"/>
                <w:color w:val="000000"/>
                <w:kern w:val="0"/>
                <w:sz w:val="18"/>
                <w:szCs w:val="18"/>
              </w:rPr>
              <w:t>国有企业及政府投资项目是否经报建单位集体讨论决定并形成了会议纪要</w:t>
            </w:r>
          </w:p>
        </w:tc>
        <w:tc>
          <w:tcPr>
            <w:tcW w:w="1029" w:type="dxa"/>
            <w:tcBorders>
              <w:top w:val="nil"/>
              <w:left w:val="nil"/>
              <w:bottom w:val="single" w:color="auto" w:sz="4" w:space="0"/>
              <w:right w:val="single" w:color="auto" w:sz="4" w:space="0"/>
            </w:tcBorders>
            <w:noWrap/>
            <w:vAlign w:val="center"/>
          </w:tcPr>
          <w:p w14:paraId="14550C19">
            <w:pPr>
              <w:widowControl/>
              <w:adjustRightInd w:val="0"/>
              <w:snapToGrid w:val="0"/>
              <w:jc w:val="center"/>
              <w:rPr>
                <w:rFonts w:ascii="宋体" w:hAnsi="宋体" w:eastAsia="宋体" w:cs="宋体"/>
                <w:color w:val="000000"/>
                <w:kern w:val="0"/>
                <w:sz w:val="18"/>
                <w:szCs w:val="18"/>
              </w:rPr>
            </w:pPr>
            <w:r>
              <w:rPr>
                <w:rFonts w:hint="eastAsia" w:ascii="宋体" w:hAnsi="宋体" w:cs="宋体"/>
                <w:color w:val="000000"/>
                <w:kern w:val="0"/>
                <w:sz w:val="18"/>
                <w:szCs w:val="18"/>
              </w:rPr>
              <w:t>1</w:t>
            </w:r>
          </w:p>
        </w:tc>
      </w:tr>
      <w:tr w14:paraId="145E6221">
        <w:tblPrEx>
          <w:tblCellMar>
            <w:top w:w="0" w:type="dxa"/>
            <w:left w:w="108" w:type="dxa"/>
            <w:bottom w:w="0" w:type="dxa"/>
            <w:right w:w="108" w:type="dxa"/>
          </w:tblCellMar>
        </w:tblPrEx>
        <w:trPr>
          <w:trHeight w:val="270" w:hRule="atLeast"/>
        </w:trPr>
        <w:tc>
          <w:tcPr>
            <w:tcW w:w="1165" w:type="dxa"/>
            <w:vMerge w:val="restart"/>
            <w:tcBorders>
              <w:top w:val="single" w:color="auto" w:sz="4" w:space="0"/>
              <w:left w:val="single" w:color="auto" w:sz="4" w:space="0"/>
              <w:right w:val="single" w:color="auto" w:sz="4" w:space="0"/>
            </w:tcBorders>
            <w:vAlign w:val="center"/>
          </w:tcPr>
          <w:p w14:paraId="6CEECB96">
            <w:pPr>
              <w:widowControl/>
              <w:spacing w:line="240" w:lineRule="atLeast"/>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合理性</w:t>
            </w:r>
          </w:p>
          <w:p w14:paraId="685D941F">
            <w:pPr>
              <w:widowControl/>
              <w:spacing w:line="240" w:lineRule="atLeast"/>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（30分）</w:t>
            </w:r>
          </w:p>
        </w:tc>
        <w:tc>
          <w:tcPr>
            <w:tcW w:w="1343" w:type="dxa"/>
            <w:vMerge w:val="restart"/>
            <w:tcBorders>
              <w:top w:val="nil"/>
              <w:left w:val="nil"/>
              <w:right w:val="single" w:color="auto" w:sz="4" w:space="0"/>
            </w:tcBorders>
            <w:noWrap/>
            <w:vAlign w:val="center"/>
          </w:tcPr>
          <w:p w14:paraId="3DC99F6C">
            <w:pPr>
              <w:widowControl/>
              <w:spacing w:line="240" w:lineRule="atLeast"/>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规划选址与土地利用</w:t>
            </w:r>
          </w:p>
          <w:p w14:paraId="337B2F76">
            <w:pPr>
              <w:widowControl/>
              <w:spacing w:line="240" w:lineRule="atLeast"/>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（10分）</w:t>
            </w:r>
          </w:p>
        </w:tc>
        <w:tc>
          <w:tcPr>
            <w:tcW w:w="5289" w:type="dxa"/>
            <w:tcBorders>
              <w:top w:val="nil"/>
              <w:left w:val="nil"/>
              <w:bottom w:val="single" w:color="auto" w:sz="4" w:space="0"/>
              <w:right w:val="single" w:color="auto" w:sz="4" w:space="0"/>
            </w:tcBorders>
            <w:noWrap/>
            <w:vAlign w:val="center"/>
          </w:tcPr>
          <w:p w14:paraId="7CD4B692">
            <w:pPr>
              <w:widowControl/>
              <w:adjustRightInd w:val="0"/>
              <w:snapToGrid w:val="0"/>
              <w:rPr>
                <w:rFonts w:ascii="宋体" w:hAnsi="宋体" w:eastAsia="宋体" w:cs="宋体"/>
                <w:color w:val="000000"/>
                <w:kern w:val="0"/>
                <w:sz w:val="18"/>
                <w:szCs w:val="18"/>
              </w:rPr>
            </w:pPr>
            <w:r>
              <w:rPr>
                <w:rFonts w:hint="eastAsia" w:ascii="宋体" w:hAnsi="宋体" w:eastAsia="宋体" w:cs="宋体"/>
                <w:color w:val="000000"/>
                <w:kern w:val="0"/>
                <w:sz w:val="18"/>
                <w:szCs w:val="18"/>
              </w:rPr>
              <w:t>规划选址是否科学、合理</w:t>
            </w:r>
            <w:r>
              <w:rPr>
                <w:rFonts w:hint="eastAsia" w:ascii="宋体" w:hAnsi="宋体" w:cs="宋体"/>
                <w:color w:val="000000"/>
                <w:kern w:val="0"/>
                <w:sz w:val="18"/>
                <w:szCs w:val="18"/>
              </w:rPr>
              <w:sym w:font="Wingdings" w:char="F0B5"/>
            </w:r>
          </w:p>
        </w:tc>
        <w:tc>
          <w:tcPr>
            <w:tcW w:w="1029" w:type="dxa"/>
            <w:tcBorders>
              <w:top w:val="nil"/>
              <w:left w:val="nil"/>
              <w:bottom w:val="single" w:color="auto" w:sz="4" w:space="0"/>
              <w:right w:val="single" w:color="auto" w:sz="4" w:space="0"/>
            </w:tcBorders>
            <w:noWrap/>
            <w:vAlign w:val="center"/>
          </w:tcPr>
          <w:p w14:paraId="4CC103F9">
            <w:pPr>
              <w:widowControl/>
              <w:adjustRightInd w:val="0"/>
              <w:snapToGrid w:val="0"/>
              <w:jc w:val="center"/>
              <w:rPr>
                <w:rFonts w:ascii="宋体" w:hAnsi="宋体" w:eastAsia="宋体" w:cs="宋体"/>
                <w:color w:val="000000"/>
                <w:kern w:val="0"/>
                <w:sz w:val="18"/>
                <w:szCs w:val="18"/>
              </w:rPr>
            </w:pPr>
            <w:r>
              <w:rPr>
                <w:rFonts w:hint="eastAsia" w:ascii="宋体" w:hAnsi="宋体" w:cs="宋体"/>
                <w:color w:val="000000"/>
                <w:kern w:val="0"/>
                <w:sz w:val="18"/>
                <w:szCs w:val="18"/>
              </w:rPr>
              <w:t>2</w:t>
            </w:r>
          </w:p>
        </w:tc>
      </w:tr>
      <w:tr w14:paraId="46F314A8">
        <w:tblPrEx>
          <w:tblCellMar>
            <w:top w:w="0" w:type="dxa"/>
            <w:left w:w="108" w:type="dxa"/>
            <w:bottom w:w="0" w:type="dxa"/>
            <w:right w:w="108" w:type="dxa"/>
          </w:tblCellMar>
        </w:tblPrEx>
        <w:trPr>
          <w:trHeight w:val="270" w:hRule="atLeast"/>
        </w:trPr>
        <w:tc>
          <w:tcPr>
            <w:tcW w:w="1165" w:type="dxa"/>
            <w:vMerge w:val="continue"/>
            <w:tcBorders>
              <w:top w:val="single" w:color="auto" w:sz="4" w:space="0"/>
              <w:left w:val="single" w:color="auto" w:sz="4" w:space="0"/>
              <w:right w:val="single" w:color="auto" w:sz="4" w:space="0"/>
            </w:tcBorders>
            <w:vAlign w:val="center"/>
          </w:tcPr>
          <w:p w14:paraId="3F3E040F">
            <w:pPr>
              <w:widowControl/>
              <w:spacing w:line="240" w:lineRule="atLeast"/>
              <w:jc w:val="center"/>
              <w:rPr>
                <w:rFonts w:ascii="宋体" w:hAnsi="宋体" w:eastAsia="宋体" w:cs="宋体"/>
                <w:color w:val="000000"/>
                <w:kern w:val="0"/>
                <w:sz w:val="18"/>
                <w:szCs w:val="18"/>
              </w:rPr>
            </w:pPr>
          </w:p>
        </w:tc>
        <w:tc>
          <w:tcPr>
            <w:tcW w:w="1343" w:type="dxa"/>
            <w:vMerge w:val="continue"/>
            <w:tcBorders>
              <w:left w:val="nil"/>
              <w:right w:val="single" w:color="auto" w:sz="4" w:space="0"/>
            </w:tcBorders>
            <w:noWrap/>
            <w:vAlign w:val="center"/>
          </w:tcPr>
          <w:p w14:paraId="5CD14968">
            <w:pPr>
              <w:widowControl/>
              <w:spacing w:line="240" w:lineRule="atLeast"/>
              <w:jc w:val="center"/>
              <w:rPr>
                <w:rFonts w:ascii="宋体" w:hAnsi="宋体" w:eastAsia="宋体" w:cs="宋体"/>
                <w:color w:val="000000"/>
                <w:kern w:val="0"/>
                <w:sz w:val="18"/>
                <w:szCs w:val="18"/>
              </w:rPr>
            </w:pPr>
          </w:p>
        </w:tc>
        <w:tc>
          <w:tcPr>
            <w:tcW w:w="5289" w:type="dxa"/>
            <w:tcBorders>
              <w:top w:val="nil"/>
              <w:left w:val="nil"/>
              <w:bottom w:val="single" w:color="auto" w:sz="4" w:space="0"/>
              <w:right w:val="single" w:color="auto" w:sz="4" w:space="0"/>
            </w:tcBorders>
            <w:noWrap/>
            <w:vAlign w:val="center"/>
          </w:tcPr>
          <w:p w14:paraId="2FF43DFE">
            <w:pPr>
              <w:widowControl/>
              <w:adjustRightInd w:val="0"/>
              <w:snapToGrid w:val="0"/>
              <w:rPr>
                <w:rFonts w:ascii="宋体" w:hAnsi="宋体" w:eastAsia="宋体" w:cs="宋体"/>
                <w:color w:val="000000"/>
                <w:kern w:val="0"/>
                <w:sz w:val="18"/>
                <w:szCs w:val="18"/>
              </w:rPr>
            </w:pPr>
            <w:r>
              <w:rPr>
                <w:rFonts w:hint="eastAsia" w:ascii="宋体" w:hAnsi="宋体" w:eastAsia="宋体" w:cs="宋体"/>
                <w:color w:val="000000"/>
                <w:kern w:val="0"/>
                <w:sz w:val="18"/>
                <w:szCs w:val="18"/>
              </w:rPr>
              <w:t>是否存在“邻避”问题</w:t>
            </w:r>
          </w:p>
        </w:tc>
        <w:tc>
          <w:tcPr>
            <w:tcW w:w="1029" w:type="dxa"/>
            <w:tcBorders>
              <w:top w:val="nil"/>
              <w:left w:val="nil"/>
              <w:bottom w:val="single" w:color="auto" w:sz="4" w:space="0"/>
              <w:right w:val="single" w:color="auto" w:sz="4" w:space="0"/>
            </w:tcBorders>
            <w:noWrap/>
            <w:vAlign w:val="center"/>
          </w:tcPr>
          <w:p w14:paraId="604566D7">
            <w:pPr>
              <w:widowControl/>
              <w:adjustRightInd w:val="0"/>
              <w:snapToGrid w:val="0"/>
              <w:jc w:val="center"/>
              <w:rPr>
                <w:rFonts w:ascii="宋体" w:hAnsi="宋体" w:eastAsia="宋体" w:cs="宋体"/>
                <w:color w:val="000000"/>
                <w:kern w:val="0"/>
                <w:sz w:val="18"/>
                <w:szCs w:val="18"/>
              </w:rPr>
            </w:pPr>
            <w:r>
              <w:rPr>
                <w:rFonts w:hint="eastAsia" w:ascii="宋体" w:hAnsi="宋体" w:cs="宋体"/>
                <w:color w:val="000000"/>
                <w:kern w:val="0"/>
                <w:sz w:val="18"/>
                <w:szCs w:val="18"/>
              </w:rPr>
              <w:t>2</w:t>
            </w:r>
          </w:p>
        </w:tc>
      </w:tr>
      <w:tr w14:paraId="52350045">
        <w:tblPrEx>
          <w:tblCellMar>
            <w:top w:w="0" w:type="dxa"/>
            <w:left w:w="108" w:type="dxa"/>
            <w:bottom w:w="0" w:type="dxa"/>
            <w:right w:w="108" w:type="dxa"/>
          </w:tblCellMar>
        </w:tblPrEx>
        <w:trPr>
          <w:trHeight w:val="270" w:hRule="atLeast"/>
        </w:trPr>
        <w:tc>
          <w:tcPr>
            <w:tcW w:w="1165" w:type="dxa"/>
            <w:vMerge w:val="continue"/>
            <w:tcBorders>
              <w:top w:val="single" w:color="auto" w:sz="4" w:space="0"/>
              <w:left w:val="single" w:color="auto" w:sz="4" w:space="0"/>
              <w:right w:val="single" w:color="auto" w:sz="4" w:space="0"/>
            </w:tcBorders>
            <w:vAlign w:val="center"/>
          </w:tcPr>
          <w:p w14:paraId="5B250DD3">
            <w:pPr>
              <w:widowControl/>
              <w:spacing w:line="240" w:lineRule="atLeast"/>
              <w:jc w:val="center"/>
              <w:rPr>
                <w:rFonts w:ascii="宋体" w:hAnsi="宋体" w:eastAsia="宋体" w:cs="宋体"/>
                <w:color w:val="000000"/>
                <w:kern w:val="0"/>
                <w:sz w:val="18"/>
                <w:szCs w:val="18"/>
              </w:rPr>
            </w:pPr>
          </w:p>
        </w:tc>
        <w:tc>
          <w:tcPr>
            <w:tcW w:w="1343" w:type="dxa"/>
            <w:vMerge w:val="continue"/>
            <w:tcBorders>
              <w:left w:val="nil"/>
              <w:right w:val="single" w:color="auto" w:sz="4" w:space="0"/>
            </w:tcBorders>
            <w:noWrap/>
            <w:vAlign w:val="center"/>
          </w:tcPr>
          <w:p w14:paraId="5768AD8A">
            <w:pPr>
              <w:widowControl/>
              <w:spacing w:line="240" w:lineRule="atLeast"/>
              <w:jc w:val="center"/>
              <w:rPr>
                <w:rFonts w:ascii="宋体" w:hAnsi="宋体" w:eastAsia="宋体" w:cs="宋体"/>
                <w:color w:val="000000"/>
                <w:kern w:val="0"/>
                <w:sz w:val="18"/>
                <w:szCs w:val="18"/>
              </w:rPr>
            </w:pPr>
          </w:p>
        </w:tc>
        <w:tc>
          <w:tcPr>
            <w:tcW w:w="5289" w:type="dxa"/>
            <w:tcBorders>
              <w:top w:val="nil"/>
              <w:left w:val="nil"/>
              <w:bottom w:val="single" w:color="auto" w:sz="4" w:space="0"/>
              <w:right w:val="single" w:color="auto" w:sz="4" w:space="0"/>
            </w:tcBorders>
            <w:noWrap/>
            <w:vAlign w:val="center"/>
          </w:tcPr>
          <w:p w14:paraId="03337268">
            <w:pPr>
              <w:widowControl/>
              <w:adjustRightInd w:val="0"/>
              <w:snapToGrid w:val="0"/>
              <w:rPr>
                <w:rFonts w:ascii="宋体" w:hAnsi="宋体" w:eastAsia="宋体" w:cs="宋体"/>
                <w:color w:val="000000"/>
                <w:kern w:val="0"/>
                <w:sz w:val="18"/>
                <w:szCs w:val="18"/>
              </w:rPr>
            </w:pPr>
            <w:r>
              <w:rPr>
                <w:rFonts w:hint="eastAsia" w:ascii="宋体" w:hAnsi="宋体" w:eastAsia="宋体" w:cs="宋体"/>
                <w:color w:val="000000"/>
                <w:kern w:val="0"/>
                <w:sz w:val="18"/>
                <w:szCs w:val="18"/>
              </w:rPr>
              <w:t>用地是否存在历史遗留问题</w:t>
            </w:r>
          </w:p>
        </w:tc>
        <w:tc>
          <w:tcPr>
            <w:tcW w:w="1029" w:type="dxa"/>
            <w:tcBorders>
              <w:top w:val="nil"/>
              <w:left w:val="nil"/>
              <w:bottom w:val="single" w:color="auto" w:sz="4" w:space="0"/>
              <w:right w:val="single" w:color="auto" w:sz="4" w:space="0"/>
            </w:tcBorders>
            <w:noWrap/>
            <w:vAlign w:val="center"/>
          </w:tcPr>
          <w:p w14:paraId="5C74BBE6">
            <w:pPr>
              <w:widowControl/>
              <w:adjustRightInd w:val="0"/>
              <w:snapToGrid w:val="0"/>
              <w:jc w:val="center"/>
              <w:rPr>
                <w:rFonts w:ascii="宋体" w:hAnsi="宋体" w:cs="宋体"/>
                <w:color w:val="000000"/>
                <w:kern w:val="0"/>
                <w:sz w:val="18"/>
                <w:szCs w:val="18"/>
              </w:rPr>
            </w:pPr>
            <w:r>
              <w:rPr>
                <w:rFonts w:hint="eastAsia" w:ascii="宋体" w:hAnsi="宋体" w:cs="宋体"/>
                <w:color w:val="000000"/>
                <w:kern w:val="0"/>
                <w:sz w:val="18"/>
                <w:szCs w:val="18"/>
              </w:rPr>
              <w:t>2</w:t>
            </w:r>
          </w:p>
        </w:tc>
      </w:tr>
      <w:tr w14:paraId="59FEEB5F">
        <w:tblPrEx>
          <w:tblCellMar>
            <w:top w:w="0" w:type="dxa"/>
            <w:left w:w="108" w:type="dxa"/>
            <w:bottom w:w="0" w:type="dxa"/>
            <w:right w:w="108" w:type="dxa"/>
          </w:tblCellMar>
        </w:tblPrEx>
        <w:trPr>
          <w:trHeight w:val="270" w:hRule="atLeast"/>
        </w:trPr>
        <w:tc>
          <w:tcPr>
            <w:tcW w:w="1165" w:type="dxa"/>
            <w:vMerge w:val="continue"/>
            <w:tcBorders>
              <w:top w:val="single" w:color="auto" w:sz="4" w:space="0"/>
              <w:left w:val="single" w:color="auto" w:sz="4" w:space="0"/>
              <w:right w:val="single" w:color="auto" w:sz="4" w:space="0"/>
            </w:tcBorders>
            <w:vAlign w:val="center"/>
          </w:tcPr>
          <w:p w14:paraId="410A335C">
            <w:pPr>
              <w:widowControl/>
              <w:spacing w:line="240" w:lineRule="atLeast"/>
              <w:jc w:val="center"/>
              <w:rPr>
                <w:rFonts w:ascii="宋体" w:hAnsi="宋体" w:eastAsia="宋体" w:cs="宋体"/>
                <w:color w:val="000000"/>
                <w:kern w:val="0"/>
                <w:sz w:val="18"/>
                <w:szCs w:val="18"/>
              </w:rPr>
            </w:pPr>
          </w:p>
        </w:tc>
        <w:tc>
          <w:tcPr>
            <w:tcW w:w="1343" w:type="dxa"/>
            <w:vMerge w:val="continue"/>
            <w:tcBorders>
              <w:left w:val="nil"/>
              <w:right w:val="single" w:color="auto" w:sz="4" w:space="0"/>
            </w:tcBorders>
            <w:noWrap/>
            <w:vAlign w:val="center"/>
          </w:tcPr>
          <w:p w14:paraId="5B8C1F4C">
            <w:pPr>
              <w:widowControl/>
              <w:spacing w:line="240" w:lineRule="atLeast"/>
              <w:jc w:val="center"/>
              <w:rPr>
                <w:rFonts w:ascii="宋体" w:hAnsi="宋体" w:eastAsia="宋体" w:cs="宋体"/>
                <w:color w:val="000000"/>
                <w:kern w:val="0"/>
                <w:sz w:val="18"/>
                <w:szCs w:val="18"/>
              </w:rPr>
            </w:pPr>
          </w:p>
        </w:tc>
        <w:tc>
          <w:tcPr>
            <w:tcW w:w="5289" w:type="dxa"/>
            <w:tcBorders>
              <w:top w:val="nil"/>
              <w:left w:val="nil"/>
              <w:bottom w:val="single" w:color="auto" w:sz="4" w:space="0"/>
              <w:right w:val="single" w:color="auto" w:sz="4" w:space="0"/>
            </w:tcBorders>
            <w:noWrap/>
            <w:vAlign w:val="center"/>
          </w:tcPr>
          <w:p w14:paraId="3B0E4A8C">
            <w:pPr>
              <w:widowControl/>
              <w:adjustRightInd w:val="0"/>
              <w:snapToGrid w:val="0"/>
              <w:rPr>
                <w:rFonts w:ascii="宋体" w:hAnsi="宋体" w:eastAsia="宋体" w:cs="宋体"/>
                <w:color w:val="000000"/>
                <w:kern w:val="0"/>
                <w:sz w:val="18"/>
                <w:szCs w:val="18"/>
              </w:rPr>
            </w:pPr>
            <w:r>
              <w:rPr>
                <w:rFonts w:hint="eastAsia" w:ascii="宋体" w:hAnsi="宋体" w:eastAsia="宋体" w:cs="宋体"/>
                <w:color w:val="000000"/>
                <w:kern w:val="0"/>
                <w:sz w:val="18"/>
                <w:szCs w:val="18"/>
              </w:rPr>
              <w:t>是否压覆矿</w:t>
            </w:r>
            <w:r>
              <w:rPr>
                <w:rFonts w:hint="eastAsia" w:ascii="宋体" w:hAnsi="宋体" w:cs="宋体"/>
                <w:color w:val="000000"/>
                <w:kern w:val="0"/>
                <w:sz w:val="18"/>
                <w:szCs w:val="18"/>
              </w:rPr>
              <w:t>产</w:t>
            </w:r>
            <w:r>
              <w:rPr>
                <w:rFonts w:hint="eastAsia" w:ascii="宋体" w:hAnsi="宋体" w:eastAsia="宋体" w:cs="宋体"/>
                <w:color w:val="000000"/>
                <w:kern w:val="0"/>
                <w:sz w:val="18"/>
                <w:szCs w:val="18"/>
              </w:rPr>
              <w:t>文物，影响防洪排涝，影响通航及军事设施等</w:t>
            </w:r>
          </w:p>
        </w:tc>
        <w:tc>
          <w:tcPr>
            <w:tcW w:w="1029" w:type="dxa"/>
            <w:tcBorders>
              <w:top w:val="nil"/>
              <w:left w:val="nil"/>
              <w:bottom w:val="single" w:color="auto" w:sz="4" w:space="0"/>
              <w:right w:val="single" w:color="auto" w:sz="4" w:space="0"/>
            </w:tcBorders>
            <w:noWrap/>
            <w:vAlign w:val="center"/>
          </w:tcPr>
          <w:p w14:paraId="312F8628">
            <w:pPr>
              <w:widowControl/>
              <w:adjustRightInd w:val="0"/>
              <w:snapToGrid w:val="0"/>
              <w:jc w:val="center"/>
              <w:rPr>
                <w:rFonts w:ascii="宋体" w:hAnsi="宋体" w:eastAsia="宋体" w:cs="宋体"/>
                <w:color w:val="000000"/>
                <w:kern w:val="0"/>
                <w:sz w:val="18"/>
                <w:szCs w:val="18"/>
              </w:rPr>
            </w:pPr>
            <w:r>
              <w:rPr>
                <w:rFonts w:hint="eastAsia" w:ascii="宋体" w:hAnsi="宋体" w:cs="宋体"/>
                <w:color w:val="000000"/>
                <w:kern w:val="0"/>
                <w:sz w:val="18"/>
                <w:szCs w:val="18"/>
              </w:rPr>
              <w:t>2</w:t>
            </w:r>
          </w:p>
        </w:tc>
      </w:tr>
      <w:tr w14:paraId="2B28A9AA">
        <w:tblPrEx>
          <w:tblCellMar>
            <w:top w:w="0" w:type="dxa"/>
            <w:left w:w="108" w:type="dxa"/>
            <w:bottom w:w="0" w:type="dxa"/>
            <w:right w:w="108" w:type="dxa"/>
          </w:tblCellMar>
        </w:tblPrEx>
        <w:trPr>
          <w:trHeight w:val="270" w:hRule="atLeast"/>
        </w:trPr>
        <w:tc>
          <w:tcPr>
            <w:tcW w:w="1165" w:type="dxa"/>
            <w:vMerge w:val="continue"/>
            <w:tcBorders>
              <w:top w:val="single" w:color="auto" w:sz="4" w:space="0"/>
              <w:left w:val="single" w:color="auto" w:sz="4" w:space="0"/>
              <w:right w:val="single" w:color="auto" w:sz="4" w:space="0"/>
            </w:tcBorders>
            <w:vAlign w:val="center"/>
          </w:tcPr>
          <w:p w14:paraId="3B3E4E4A">
            <w:pPr>
              <w:widowControl/>
              <w:spacing w:line="240" w:lineRule="atLeast"/>
              <w:jc w:val="center"/>
              <w:rPr>
                <w:rFonts w:ascii="宋体" w:hAnsi="宋体" w:eastAsia="宋体" w:cs="宋体"/>
                <w:color w:val="000000"/>
                <w:kern w:val="0"/>
                <w:sz w:val="18"/>
                <w:szCs w:val="18"/>
              </w:rPr>
            </w:pPr>
          </w:p>
        </w:tc>
        <w:tc>
          <w:tcPr>
            <w:tcW w:w="1343" w:type="dxa"/>
            <w:vMerge w:val="continue"/>
            <w:tcBorders>
              <w:left w:val="nil"/>
              <w:right w:val="single" w:color="auto" w:sz="4" w:space="0"/>
            </w:tcBorders>
            <w:noWrap/>
            <w:vAlign w:val="center"/>
          </w:tcPr>
          <w:p w14:paraId="45F44B9E">
            <w:pPr>
              <w:widowControl/>
              <w:spacing w:line="240" w:lineRule="atLeast"/>
              <w:jc w:val="center"/>
              <w:rPr>
                <w:rFonts w:ascii="宋体" w:hAnsi="宋体" w:eastAsia="宋体" w:cs="宋体"/>
                <w:color w:val="000000"/>
                <w:kern w:val="0"/>
                <w:sz w:val="18"/>
                <w:szCs w:val="18"/>
              </w:rPr>
            </w:pPr>
          </w:p>
        </w:tc>
        <w:tc>
          <w:tcPr>
            <w:tcW w:w="5289" w:type="dxa"/>
            <w:tcBorders>
              <w:top w:val="nil"/>
              <w:left w:val="nil"/>
              <w:bottom w:val="single" w:color="auto" w:sz="4" w:space="0"/>
              <w:right w:val="single" w:color="auto" w:sz="4" w:space="0"/>
            </w:tcBorders>
            <w:noWrap/>
            <w:vAlign w:val="center"/>
          </w:tcPr>
          <w:p w14:paraId="6F13D822">
            <w:pPr>
              <w:widowControl/>
              <w:adjustRightInd w:val="0"/>
              <w:snapToGrid w:val="0"/>
              <w:rPr>
                <w:rFonts w:ascii="宋体" w:hAnsi="宋体" w:eastAsia="宋体" w:cs="宋体"/>
                <w:color w:val="000000"/>
                <w:kern w:val="0"/>
                <w:sz w:val="18"/>
                <w:szCs w:val="18"/>
              </w:rPr>
            </w:pPr>
            <w:r>
              <w:rPr>
                <w:rFonts w:hint="eastAsia" w:ascii="宋体" w:hAnsi="宋体" w:eastAsia="宋体" w:cs="宋体"/>
                <w:color w:val="000000"/>
                <w:kern w:val="0"/>
                <w:sz w:val="18"/>
                <w:szCs w:val="18"/>
              </w:rPr>
              <w:t>用地是否存在权属争议</w:t>
            </w:r>
          </w:p>
        </w:tc>
        <w:tc>
          <w:tcPr>
            <w:tcW w:w="1029" w:type="dxa"/>
            <w:tcBorders>
              <w:top w:val="nil"/>
              <w:left w:val="nil"/>
              <w:bottom w:val="single" w:color="auto" w:sz="4" w:space="0"/>
              <w:right w:val="single" w:color="auto" w:sz="4" w:space="0"/>
            </w:tcBorders>
            <w:noWrap/>
            <w:vAlign w:val="center"/>
          </w:tcPr>
          <w:p w14:paraId="19A27F52">
            <w:pPr>
              <w:widowControl/>
              <w:adjustRightInd w:val="0"/>
              <w:snapToGrid w:val="0"/>
              <w:jc w:val="center"/>
              <w:rPr>
                <w:rFonts w:ascii="宋体" w:hAnsi="宋体" w:eastAsia="宋体" w:cs="宋体"/>
                <w:color w:val="000000"/>
                <w:kern w:val="0"/>
                <w:sz w:val="18"/>
                <w:szCs w:val="18"/>
              </w:rPr>
            </w:pPr>
            <w:r>
              <w:rPr>
                <w:rFonts w:hint="eastAsia" w:ascii="宋体" w:hAnsi="宋体" w:cs="宋体"/>
                <w:color w:val="000000"/>
                <w:kern w:val="0"/>
                <w:sz w:val="18"/>
                <w:szCs w:val="18"/>
              </w:rPr>
              <w:t>2</w:t>
            </w:r>
          </w:p>
        </w:tc>
      </w:tr>
      <w:tr w14:paraId="58499422">
        <w:tblPrEx>
          <w:tblCellMar>
            <w:top w:w="0" w:type="dxa"/>
            <w:left w:w="108" w:type="dxa"/>
            <w:bottom w:w="0" w:type="dxa"/>
            <w:right w:w="108" w:type="dxa"/>
          </w:tblCellMar>
        </w:tblPrEx>
        <w:trPr>
          <w:trHeight w:val="270" w:hRule="atLeast"/>
        </w:trPr>
        <w:tc>
          <w:tcPr>
            <w:tcW w:w="1165" w:type="dxa"/>
            <w:vMerge w:val="continue"/>
            <w:tcBorders>
              <w:left w:val="single" w:color="auto" w:sz="4" w:space="0"/>
              <w:right w:val="single" w:color="auto" w:sz="4" w:space="0"/>
            </w:tcBorders>
            <w:vAlign w:val="center"/>
          </w:tcPr>
          <w:p w14:paraId="11A926B0">
            <w:pPr>
              <w:widowControl/>
              <w:spacing w:line="240" w:lineRule="atLeast"/>
              <w:jc w:val="center"/>
              <w:rPr>
                <w:rFonts w:ascii="宋体" w:hAnsi="宋体" w:eastAsia="宋体" w:cs="宋体"/>
                <w:color w:val="000000"/>
                <w:kern w:val="0"/>
                <w:sz w:val="18"/>
                <w:szCs w:val="18"/>
              </w:rPr>
            </w:pPr>
          </w:p>
        </w:tc>
        <w:tc>
          <w:tcPr>
            <w:tcW w:w="1343" w:type="dxa"/>
            <w:vMerge w:val="restart"/>
            <w:tcBorders>
              <w:top w:val="single" w:color="auto" w:sz="4" w:space="0"/>
              <w:left w:val="nil"/>
              <w:right w:val="single" w:color="auto" w:sz="4" w:space="0"/>
            </w:tcBorders>
            <w:noWrap/>
            <w:vAlign w:val="center"/>
          </w:tcPr>
          <w:p w14:paraId="7A4031D5">
            <w:pPr>
              <w:widowControl/>
              <w:spacing w:line="240" w:lineRule="atLeast"/>
              <w:jc w:val="center"/>
              <w:rPr>
                <w:sz w:val="18"/>
                <w:szCs w:val="18"/>
              </w:rPr>
            </w:pPr>
            <w:r>
              <w:rPr>
                <w:rFonts w:hint="eastAsia"/>
                <w:sz w:val="18"/>
                <w:szCs w:val="18"/>
              </w:rPr>
              <w:t>征地拆迁及安置补偿</w:t>
            </w:r>
            <w:r>
              <w:rPr>
                <w:rFonts w:hint="eastAsia" w:ascii="宋体" w:hAnsi="宋体" w:eastAsia="宋体" w:cs="宋体"/>
                <w:color w:val="000000"/>
                <w:kern w:val="0"/>
                <w:sz w:val="18"/>
                <w:szCs w:val="18"/>
              </w:rPr>
              <w:t>（10分）</w:t>
            </w:r>
          </w:p>
        </w:tc>
        <w:tc>
          <w:tcPr>
            <w:tcW w:w="5289" w:type="dxa"/>
            <w:tcBorders>
              <w:top w:val="nil"/>
              <w:left w:val="nil"/>
              <w:bottom w:val="single" w:color="auto" w:sz="4" w:space="0"/>
              <w:right w:val="single" w:color="auto" w:sz="4" w:space="0"/>
            </w:tcBorders>
            <w:noWrap/>
            <w:vAlign w:val="center"/>
          </w:tcPr>
          <w:p w14:paraId="09AC9B85">
            <w:pPr>
              <w:widowControl/>
              <w:adjustRightInd w:val="0"/>
              <w:snapToGrid w:val="0"/>
              <w:rPr>
                <w:rFonts w:ascii="宋体" w:hAnsi="宋体" w:eastAsia="宋体" w:cs="宋体"/>
                <w:color w:val="000000"/>
                <w:kern w:val="0"/>
                <w:sz w:val="18"/>
                <w:szCs w:val="18"/>
              </w:rPr>
            </w:pPr>
            <w:r>
              <w:rPr>
                <w:rFonts w:hint="eastAsia" w:ascii="宋体" w:hAnsi="宋体" w:eastAsia="宋体" w:cs="宋体"/>
                <w:color w:val="000000"/>
                <w:kern w:val="0"/>
                <w:sz w:val="18"/>
                <w:szCs w:val="18"/>
              </w:rPr>
              <w:t>征地拆迁补偿标准是否符合法律法规及政策规定</w:t>
            </w:r>
            <w:r>
              <w:rPr>
                <w:rFonts w:hint="eastAsia" w:ascii="宋体" w:hAnsi="宋体" w:cs="宋体"/>
                <w:color w:val="000000"/>
                <w:kern w:val="0"/>
                <w:sz w:val="18"/>
                <w:szCs w:val="18"/>
              </w:rPr>
              <w:sym w:font="Wingdings" w:char="F0B5"/>
            </w:r>
          </w:p>
        </w:tc>
        <w:tc>
          <w:tcPr>
            <w:tcW w:w="1029" w:type="dxa"/>
            <w:tcBorders>
              <w:top w:val="nil"/>
              <w:left w:val="nil"/>
              <w:bottom w:val="single" w:color="auto" w:sz="4" w:space="0"/>
              <w:right w:val="single" w:color="auto" w:sz="4" w:space="0"/>
            </w:tcBorders>
            <w:noWrap/>
            <w:vAlign w:val="center"/>
          </w:tcPr>
          <w:p w14:paraId="0F9151B0">
            <w:pPr>
              <w:widowControl/>
              <w:adjustRightInd w:val="0"/>
              <w:snapToGrid w:val="0"/>
              <w:jc w:val="center"/>
              <w:rPr>
                <w:rFonts w:ascii="宋体" w:hAnsi="宋体" w:cs="宋体"/>
                <w:color w:val="000000"/>
                <w:kern w:val="0"/>
                <w:sz w:val="18"/>
                <w:szCs w:val="18"/>
              </w:rPr>
            </w:pPr>
            <w:r>
              <w:rPr>
                <w:rFonts w:hint="eastAsia" w:ascii="宋体" w:hAnsi="宋体" w:cs="宋体"/>
                <w:color w:val="000000"/>
                <w:kern w:val="0"/>
                <w:sz w:val="18"/>
                <w:szCs w:val="18"/>
              </w:rPr>
              <w:t>2</w:t>
            </w:r>
          </w:p>
        </w:tc>
      </w:tr>
      <w:tr w14:paraId="2C0AA844">
        <w:tblPrEx>
          <w:tblCellMar>
            <w:top w:w="0" w:type="dxa"/>
            <w:left w:w="108" w:type="dxa"/>
            <w:bottom w:w="0" w:type="dxa"/>
            <w:right w:w="108" w:type="dxa"/>
          </w:tblCellMar>
        </w:tblPrEx>
        <w:trPr>
          <w:trHeight w:val="270" w:hRule="atLeast"/>
        </w:trPr>
        <w:tc>
          <w:tcPr>
            <w:tcW w:w="1165" w:type="dxa"/>
            <w:vMerge w:val="continue"/>
            <w:tcBorders>
              <w:left w:val="single" w:color="auto" w:sz="4" w:space="0"/>
              <w:right w:val="single" w:color="auto" w:sz="4" w:space="0"/>
            </w:tcBorders>
            <w:vAlign w:val="center"/>
          </w:tcPr>
          <w:p w14:paraId="431260EB">
            <w:pPr>
              <w:widowControl/>
              <w:spacing w:line="240" w:lineRule="atLeast"/>
              <w:jc w:val="center"/>
              <w:rPr>
                <w:rFonts w:ascii="宋体" w:hAnsi="宋体" w:eastAsia="宋体" w:cs="宋体"/>
                <w:color w:val="000000"/>
                <w:kern w:val="0"/>
                <w:sz w:val="18"/>
                <w:szCs w:val="18"/>
              </w:rPr>
            </w:pPr>
          </w:p>
        </w:tc>
        <w:tc>
          <w:tcPr>
            <w:tcW w:w="1343" w:type="dxa"/>
            <w:vMerge w:val="continue"/>
            <w:tcBorders>
              <w:left w:val="nil"/>
              <w:right w:val="single" w:color="auto" w:sz="4" w:space="0"/>
            </w:tcBorders>
            <w:noWrap/>
            <w:vAlign w:val="center"/>
          </w:tcPr>
          <w:p w14:paraId="180ED4FF">
            <w:pPr>
              <w:widowControl/>
              <w:spacing w:line="240" w:lineRule="atLeast"/>
              <w:jc w:val="center"/>
              <w:rPr>
                <w:sz w:val="18"/>
                <w:szCs w:val="18"/>
              </w:rPr>
            </w:pPr>
          </w:p>
        </w:tc>
        <w:tc>
          <w:tcPr>
            <w:tcW w:w="5289" w:type="dxa"/>
            <w:tcBorders>
              <w:top w:val="nil"/>
              <w:left w:val="nil"/>
              <w:bottom w:val="single" w:color="auto" w:sz="4" w:space="0"/>
              <w:right w:val="single" w:color="auto" w:sz="4" w:space="0"/>
            </w:tcBorders>
            <w:noWrap/>
            <w:vAlign w:val="center"/>
          </w:tcPr>
          <w:p w14:paraId="1E0196A9">
            <w:pPr>
              <w:widowControl/>
              <w:adjustRightInd w:val="0"/>
              <w:snapToGrid w:val="0"/>
              <w:rPr>
                <w:rFonts w:ascii="宋体" w:hAnsi="宋体" w:eastAsia="宋体" w:cs="宋体"/>
                <w:color w:val="000000"/>
                <w:kern w:val="0"/>
                <w:sz w:val="18"/>
                <w:szCs w:val="18"/>
              </w:rPr>
            </w:pPr>
            <w:r>
              <w:rPr>
                <w:rFonts w:hint="eastAsia" w:ascii="宋体" w:hAnsi="宋体" w:eastAsia="宋体" w:cs="宋体"/>
                <w:color w:val="000000"/>
                <w:kern w:val="0"/>
                <w:sz w:val="18"/>
                <w:szCs w:val="18"/>
              </w:rPr>
              <w:t>征地拆迁方案是否公开透明并得到多数群众理解与支持</w:t>
            </w:r>
            <w:r>
              <w:rPr>
                <w:rFonts w:hint="eastAsia" w:ascii="宋体" w:hAnsi="宋体" w:cs="宋体"/>
                <w:color w:val="000000"/>
                <w:kern w:val="0"/>
                <w:sz w:val="18"/>
                <w:szCs w:val="18"/>
              </w:rPr>
              <w:sym w:font="Wingdings" w:char="F0B5"/>
            </w:r>
          </w:p>
        </w:tc>
        <w:tc>
          <w:tcPr>
            <w:tcW w:w="1029" w:type="dxa"/>
            <w:tcBorders>
              <w:top w:val="nil"/>
              <w:left w:val="nil"/>
              <w:bottom w:val="single" w:color="auto" w:sz="4" w:space="0"/>
              <w:right w:val="single" w:color="auto" w:sz="4" w:space="0"/>
            </w:tcBorders>
            <w:noWrap/>
            <w:vAlign w:val="center"/>
          </w:tcPr>
          <w:p w14:paraId="5E5295D1">
            <w:pPr>
              <w:widowControl/>
              <w:adjustRightInd w:val="0"/>
              <w:snapToGrid w:val="0"/>
              <w:jc w:val="center"/>
              <w:rPr>
                <w:rFonts w:ascii="宋体" w:hAnsi="宋体" w:cs="宋体"/>
                <w:color w:val="000000"/>
                <w:kern w:val="0"/>
                <w:sz w:val="18"/>
                <w:szCs w:val="18"/>
              </w:rPr>
            </w:pPr>
            <w:r>
              <w:rPr>
                <w:rFonts w:hint="eastAsia" w:ascii="宋体" w:hAnsi="宋体" w:cs="宋体"/>
                <w:color w:val="000000"/>
                <w:kern w:val="0"/>
                <w:sz w:val="18"/>
                <w:szCs w:val="18"/>
              </w:rPr>
              <w:t>2</w:t>
            </w:r>
          </w:p>
        </w:tc>
      </w:tr>
      <w:tr w14:paraId="2B1EBA2F">
        <w:tblPrEx>
          <w:tblCellMar>
            <w:top w:w="0" w:type="dxa"/>
            <w:left w:w="108" w:type="dxa"/>
            <w:bottom w:w="0" w:type="dxa"/>
            <w:right w:w="108" w:type="dxa"/>
          </w:tblCellMar>
        </w:tblPrEx>
        <w:trPr>
          <w:trHeight w:val="270" w:hRule="atLeast"/>
        </w:trPr>
        <w:tc>
          <w:tcPr>
            <w:tcW w:w="1165" w:type="dxa"/>
            <w:vMerge w:val="continue"/>
            <w:tcBorders>
              <w:left w:val="single" w:color="auto" w:sz="4" w:space="0"/>
              <w:right w:val="single" w:color="auto" w:sz="4" w:space="0"/>
            </w:tcBorders>
            <w:vAlign w:val="center"/>
          </w:tcPr>
          <w:p w14:paraId="148C183D">
            <w:pPr>
              <w:widowControl/>
              <w:spacing w:line="240" w:lineRule="atLeast"/>
              <w:jc w:val="center"/>
              <w:rPr>
                <w:rFonts w:ascii="宋体" w:hAnsi="宋体" w:eastAsia="宋体" w:cs="宋体"/>
                <w:color w:val="000000"/>
                <w:kern w:val="0"/>
                <w:sz w:val="18"/>
                <w:szCs w:val="18"/>
              </w:rPr>
            </w:pPr>
          </w:p>
        </w:tc>
        <w:tc>
          <w:tcPr>
            <w:tcW w:w="1343" w:type="dxa"/>
            <w:vMerge w:val="continue"/>
            <w:tcBorders>
              <w:left w:val="nil"/>
              <w:right w:val="single" w:color="auto" w:sz="4" w:space="0"/>
            </w:tcBorders>
            <w:noWrap/>
            <w:vAlign w:val="center"/>
          </w:tcPr>
          <w:p w14:paraId="375C1550">
            <w:pPr>
              <w:widowControl/>
              <w:spacing w:line="240" w:lineRule="atLeast"/>
              <w:jc w:val="center"/>
              <w:rPr>
                <w:rFonts w:ascii="宋体" w:hAnsi="宋体" w:eastAsia="宋体" w:cs="宋体"/>
                <w:color w:val="000000"/>
                <w:kern w:val="0"/>
                <w:sz w:val="18"/>
                <w:szCs w:val="18"/>
              </w:rPr>
            </w:pPr>
          </w:p>
        </w:tc>
        <w:tc>
          <w:tcPr>
            <w:tcW w:w="5289" w:type="dxa"/>
            <w:tcBorders>
              <w:top w:val="nil"/>
              <w:left w:val="nil"/>
              <w:bottom w:val="single" w:color="auto" w:sz="4" w:space="0"/>
              <w:right w:val="single" w:color="auto" w:sz="4" w:space="0"/>
            </w:tcBorders>
            <w:noWrap/>
            <w:vAlign w:val="center"/>
          </w:tcPr>
          <w:p w14:paraId="33F063D1">
            <w:pPr>
              <w:widowControl/>
              <w:adjustRightInd w:val="0"/>
              <w:snapToGrid w:val="0"/>
              <w:rPr>
                <w:rFonts w:ascii="宋体" w:hAnsi="宋体" w:eastAsia="宋体" w:cs="宋体"/>
                <w:color w:val="000000"/>
                <w:kern w:val="0"/>
                <w:sz w:val="18"/>
                <w:szCs w:val="18"/>
              </w:rPr>
            </w:pPr>
            <w:r>
              <w:rPr>
                <w:rFonts w:hint="eastAsia" w:ascii="宋体" w:hAnsi="宋体" w:eastAsia="宋体" w:cs="宋体"/>
                <w:color w:val="000000"/>
                <w:kern w:val="0"/>
                <w:sz w:val="18"/>
                <w:szCs w:val="18"/>
              </w:rPr>
              <w:t>国有土地上房屋征收价格评估机构的选定是否经过规定程序</w:t>
            </w:r>
          </w:p>
        </w:tc>
        <w:tc>
          <w:tcPr>
            <w:tcW w:w="1029" w:type="dxa"/>
            <w:tcBorders>
              <w:top w:val="nil"/>
              <w:left w:val="nil"/>
              <w:bottom w:val="single" w:color="auto" w:sz="4" w:space="0"/>
              <w:right w:val="single" w:color="auto" w:sz="4" w:space="0"/>
            </w:tcBorders>
            <w:noWrap/>
            <w:vAlign w:val="center"/>
          </w:tcPr>
          <w:p w14:paraId="2D3BC0C2">
            <w:pPr>
              <w:widowControl/>
              <w:adjustRightInd w:val="0"/>
              <w:snapToGrid w:val="0"/>
              <w:jc w:val="center"/>
              <w:rPr>
                <w:rFonts w:ascii="宋体" w:hAnsi="宋体" w:eastAsia="宋体" w:cs="宋体"/>
                <w:color w:val="000000"/>
                <w:kern w:val="0"/>
                <w:sz w:val="18"/>
                <w:szCs w:val="18"/>
              </w:rPr>
            </w:pPr>
            <w:r>
              <w:rPr>
                <w:rFonts w:hint="eastAsia" w:ascii="宋体" w:hAnsi="宋体" w:cs="宋体"/>
                <w:color w:val="000000"/>
                <w:kern w:val="0"/>
                <w:sz w:val="18"/>
                <w:szCs w:val="18"/>
              </w:rPr>
              <w:t>1</w:t>
            </w:r>
          </w:p>
        </w:tc>
      </w:tr>
      <w:tr w14:paraId="3A2A129E">
        <w:tblPrEx>
          <w:tblCellMar>
            <w:top w:w="0" w:type="dxa"/>
            <w:left w:w="108" w:type="dxa"/>
            <w:bottom w:w="0" w:type="dxa"/>
            <w:right w:w="108" w:type="dxa"/>
          </w:tblCellMar>
        </w:tblPrEx>
        <w:trPr>
          <w:trHeight w:val="270" w:hRule="atLeast"/>
        </w:trPr>
        <w:tc>
          <w:tcPr>
            <w:tcW w:w="1165" w:type="dxa"/>
            <w:vMerge w:val="continue"/>
            <w:tcBorders>
              <w:left w:val="single" w:color="auto" w:sz="4" w:space="0"/>
              <w:right w:val="single" w:color="auto" w:sz="4" w:space="0"/>
            </w:tcBorders>
            <w:vAlign w:val="center"/>
          </w:tcPr>
          <w:p w14:paraId="2B2CD50C">
            <w:pPr>
              <w:widowControl/>
              <w:spacing w:line="240" w:lineRule="atLeast"/>
              <w:jc w:val="center"/>
              <w:rPr>
                <w:rFonts w:ascii="宋体" w:hAnsi="宋体" w:eastAsia="宋体" w:cs="宋体"/>
                <w:color w:val="000000"/>
                <w:kern w:val="0"/>
                <w:sz w:val="18"/>
                <w:szCs w:val="18"/>
              </w:rPr>
            </w:pPr>
          </w:p>
        </w:tc>
        <w:tc>
          <w:tcPr>
            <w:tcW w:w="1343" w:type="dxa"/>
            <w:vMerge w:val="continue"/>
            <w:tcBorders>
              <w:left w:val="nil"/>
              <w:right w:val="single" w:color="auto" w:sz="4" w:space="0"/>
            </w:tcBorders>
            <w:noWrap/>
            <w:vAlign w:val="center"/>
          </w:tcPr>
          <w:p w14:paraId="1B2E11CB">
            <w:pPr>
              <w:widowControl/>
              <w:spacing w:line="240" w:lineRule="atLeast"/>
              <w:jc w:val="center"/>
              <w:rPr>
                <w:rFonts w:ascii="宋体" w:hAnsi="宋体" w:eastAsia="宋体" w:cs="宋体"/>
                <w:color w:val="000000"/>
                <w:kern w:val="0"/>
                <w:sz w:val="18"/>
                <w:szCs w:val="18"/>
              </w:rPr>
            </w:pPr>
          </w:p>
        </w:tc>
        <w:tc>
          <w:tcPr>
            <w:tcW w:w="5289" w:type="dxa"/>
            <w:tcBorders>
              <w:top w:val="nil"/>
              <w:left w:val="nil"/>
              <w:bottom w:val="single" w:color="auto" w:sz="4" w:space="0"/>
              <w:right w:val="single" w:color="auto" w:sz="4" w:space="0"/>
            </w:tcBorders>
            <w:noWrap/>
            <w:vAlign w:val="center"/>
          </w:tcPr>
          <w:p w14:paraId="0E57EEA1">
            <w:pPr>
              <w:widowControl/>
              <w:adjustRightInd w:val="0"/>
              <w:snapToGrid w:val="0"/>
              <w:rPr>
                <w:rFonts w:ascii="宋体" w:hAnsi="宋体" w:eastAsia="宋体" w:cs="宋体"/>
                <w:color w:val="000000"/>
                <w:kern w:val="0"/>
                <w:sz w:val="18"/>
                <w:szCs w:val="18"/>
              </w:rPr>
            </w:pPr>
            <w:r>
              <w:rPr>
                <w:rFonts w:hint="eastAsia" w:ascii="宋体" w:hAnsi="宋体" w:eastAsia="宋体" w:cs="宋体"/>
                <w:color w:val="000000"/>
                <w:kern w:val="0"/>
                <w:sz w:val="18"/>
                <w:szCs w:val="18"/>
              </w:rPr>
              <w:t>是否依规依政策对失地农民的社会保障、就业、就学、就医做出安排</w:t>
            </w:r>
          </w:p>
        </w:tc>
        <w:tc>
          <w:tcPr>
            <w:tcW w:w="1029" w:type="dxa"/>
            <w:tcBorders>
              <w:top w:val="nil"/>
              <w:left w:val="nil"/>
              <w:bottom w:val="single" w:color="auto" w:sz="4" w:space="0"/>
              <w:right w:val="single" w:color="auto" w:sz="4" w:space="0"/>
            </w:tcBorders>
            <w:noWrap/>
            <w:vAlign w:val="center"/>
          </w:tcPr>
          <w:p w14:paraId="72D5B56F">
            <w:pPr>
              <w:widowControl/>
              <w:adjustRightInd w:val="0"/>
              <w:snapToGrid w:val="0"/>
              <w:jc w:val="center"/>
              <w:rPr>
                <w:rFonts w:ascii="宋体" w:hAnsi="宋体" w:cs="宋体"/>
                <w:color w:val="000000"/>
                <w:kern w:val="0"/>
                <w:sz w:val="18"/>
                <w:szCs w:val="18"/>
              </w:rPr>
            </w:pPr>
            <w:r>
              <w:rPr>
                <w:rFonts w:hint="eastAsia" w:ascii="宋体" w:hAnsi="宋体" w:cs="宋体"/>
                <w:color w:val="000000"/>
                <w:kern w:val="0"/>
                <w:sz w:val="18"/>
                <w:szCs w:val="18"/>
              </w:rPr>
              <w:t>1</w:t>
            </w:r>
          </w:p>
        </w:tc>
      </w:tr>
      <w:tr w14:paraId="65592B4A">
        <w:tblPrEx>
          <w:tblCellMar>
            <w:top w:w="0" w:type="dxa"/>
            <w:left w:w="108" w:type="dxa"/>
            <w:bottom w:w="0" w:type="dxa"/>
            <w:right w:w="108" w:type="dxa"/>
          </w:tblCellMar>
        </w:tblPrEx>
        <w:trPr>
          <w:trHeight w:val="270" w:hRule="atLeast"/>
        </w:trPr>
        <w:tc>
          <w:tcPr>
            <w:tcW w:w="1165" w:type="dxa"/>
            <w:vMerge w:val="continue"/>
            <w:tcBorders>
              <w:left w:val="single" w:color="auto" w:sz="4" w:space="0"/>
              <w:right w:val="single" w:color="auto" w:sz="4" w:space="0"/>
            </w:tcBorders>
            <w:vAlign w:val="center"/>
          </w:tcPr>
          <w:p w14:paraId="3936B706">
            <w:pPr>
              <w:widowControl/>
              <w:spacing w:line="240" w:lineRule="atLeast"/>
              <w:jc w:val="center"/>
              <w:rPr>
                <w:rFonts w:ascii="宋体" w:hAnsi="宋体" w:eastAsia="宋体" w:cs="宋体"/>
                <w:color w:val="000000"/>
                <w:kern w:val="0"/>
                <w:sz w:val="18"/>
                <w:szCs w:val="18"/>
              </w:rPr>
            </w:pPr>
          </w:p>
        </w:tc>
        <w:tc>
          <w:tcPr>
            <w:tcW w:w="1343" w:type="dxa"/>
            <w:vMerge w:val="continue"/>
            <w:tcBorders>
              <w:left w:val="nil"/>
              <w:right w:val="single" w:color="auto" w:sz="4" w:space="0"/>
            </w:tcBorders>
            <w:noWrap/>
            <w:vAlign w:val="center"/>
          </w:tcPr>
          <w:p w14:paraId="3F06C508">
            <w:pPr>
              <w:widowControl/>
              <w:spacing w:line="240" w:lineRule="atLeast"/>
              <w:jc w:val="center"/>
              <w:rPr>
                <w:rFonts w:ascii="宋体" w:hAnsi="宋体" w:eastAsia="宋体" w:cs="宋体"/>
                <w:color w:val="000000"/>
                <w:kern w:val="0"/>
                <w:sz w:val="18"/>
                <w:szCs w:val="18"/>
              </w:rPr>
            </w:pPr>
          </w:p>
        </w:tc>
        <w:tc>
          <w:tcPr>
            <w:tcW w:w="5289" w:type="dxa"/>
            <w:tcBorders>
              <w:top w:val="nil"/>
              <w:left w:val="nil"/>
              <w:bottom w:val="single" w:color="auto" w:sz="4" w:space="0"/>
              <w:right w:val="single" w:color="auto" w:sz="4" w:space="0"/>
            </w:tcBorders>
            <w:noWrap/>
            <w:vAlign w:val="center"/>
          </w:tcPr>
          <w:p w14:paraId="515CD0C2">
            <w:pPr>
              <w:widowControl/>
              <w:adjustRightInd w:val="0"/>
              <w:snapToGrid w:val="0"/>
              <w:rPr>
                <w:rFonts w:ascii="宋体" w:hAnsi="宋体" w:eastAsia="宋体" w:cs="宋体"/>
                <w:color w:val="000000"/>
                <w:kern w:val="0"/>
                <w:sz w:val="18"/>
                <w:szCs w:val="18"/>
              </w:rPr>
            </w:pPr>
            <w:r>
              <w:rPr>
                <w:rFonts w:hint="eastAsia" w:ascii="宋体" w:hAnsi="宋体" w:eastAsia="宋体" w:cs="宋体"/>
                <w:color w:val="000000"/>
                <w:kern w:val="0"/>
                <w:sz w:val="18"/>
                <w:szCs w:val="18"/>
              </w:rPr>
              <w:t>被安置农民对安置点选址是否接受</w:t>
            </w:r>
          </w:p>
        </w:tc>
        <w:tc>
          <w:tcPr>
            <w:tcW w:w="1029" w:type="dxa"/>
            <w:tcBorders>
              <w:top w:val="nil"/>
              <w:left w:val="nil"/>
              <w:bottom w:val="single" w:color="auto" w:sz="4" w:space="0"/>
              <w:right w:val="single" w:color="auto" w:sz="4" w:space="0"/>
            </w:tcBorders>
            <w:noWrap/>
            <w:vAlign w:val="center"/>
          </w:tcPr>
          <w:p w14:paraId="1A81D839">
            <w:pPr>
              <w:widowControl/>
              <w:adjustRightInd w:val="0"/>
              <w:snapToGrid w:val="0"/>
              <w:jc w:val="center"/>
              <w:rPr>
                <w:rFonts w:ascii="宋体" w:hAnsi="宋体" w:eastAsia="宋体" w:cs="宋体"/>
                <w:color w:val="000000"/>
                <w:kern w:val="0"/>
                <w:sz w:val="18"/>
                <w:szCs w:val="18"/>
              </w:rPr>
            </w:pPr>
            <w:r>
              <w:rPr>
                <w:rFonts w:hint="eastAsia" w:ascii="宋体" w:hAnsi="宋体" w:cs="宋体"/>
                <w:color w:val="000000"/>
                <w:kern w:val="0"/>
                <w:sz w:val="18"/>
                <w:szCs w:val="18"/>
              </w:rPr>
              <w:t>1</w:t>
            </w:r>
          </w:p>
        </w:tc>
      </w:tr>
      <w:tr w14:paraId="5870C67F">
        <w:tblPrEx>
          <w:tblCellMar>
            <w:top w:w="0" w:type="dxa"/>
            <w:left w:w="108" w:type="dxa"/>
            <w:bottom w:w="0" w:type="dxa"/>
            <w:right w:w="108" w:type="dxa"/>
          </w:tblCellMar>
        </w:tblPrEx>
        <w:trPr>
          <w:trHeight w:val="270" w:hRule="atLeast"/>
        </w:trPr>
        <w:tc>
          <w:tcPr>
            <w:tcW w:w="1165" w:type="dxa"/>
            <w:vMerge w:val="continue"/>
            <w:tcBorders>
              <w:left w:val="single" w:color="auto" w:sz="4" w:space="0"/>
              <w:right w:val="single" w:color="auto" w:sz="4" w:space="0"/>
            </w:tcBorders>
            <w:vAlign w:val="center"/>
          </w:tcPr>
          <w:p w14:paraId="48640EB4">
            <w:pPr>
              <w:widowControl/>
              <w:spacing w:line="240" w:lineRule="atLeast"/>
              <w:jc w:val="center"/>
              <w:rPr>
                <w:rFonts w:ascii="宋体" w:hAnsi="宋体" w:eastAsia="宋体" w:cs="宋体"/>
                <w:color w:val="000000"/>
                <w:kern w:val="0"/>
                <w:sz w:val="18"/>
                <w:szCs w:val="18"/>
              </w:rPr>
            </w:pPr>
          </w:p>
        </w:tc>
        <w:tc>
          <w:tcPr>
            <w:tcW w:w="1343" w:type="dxa"/>
            <w:vMerge w:val="continue"/>
            <w:tcBorders>
              <w:left w:val="nil"/>
              <w:right w:val="single" w:color="auto" w:sz="4" w:space="0"/>
            </w:tcBorders>
            <w:noWrap/>
            <w:vAlign w:val="center"/>
          </w:tcPr>
          <w:p w14:paraId="6ED02728">
            <w:pPr>
              <w:widowControl/>
              <w:spacing w:line="240" w:lineRule="atLeast"/>
              <w:jc w:val="center"/>
              <w:rPr>
                <w:rFonts w:ascii="宋体" w:hAnsi="宋体" w:eastAsia="宋体" w:cs="宋体"/>
                <w:color w:val="000000"/>
                <w:kern w:val="0"/>
                <w:sz w:val="18"/>
                <w:szCs w:val="18"/>
              </w:rPr>
            </w:pPr>
          </w:p>
        </w:tc>
        <w:tc>
          <w:tcPr>
            <w:tcW w:w="5289" w:type="dxa"/>
            <w:tcBorders>
              <w:top w:val="nil"/>
              <w:left w:val="nil"/>
              <w:bottom w:val="single" w:color="auto" w:sz="4" w:space="0"/>
              <w:right w:val="single" w:color="auto" w:sz="4" w:space="0"/>
            </w:tcBorders>
            <w:noWrap/>
            <w:vAlign w:val="center"/>
          </w:tcPr>
          <w:p w14:paraId="56C3FB40">
            <w:pPr>
              <w:widowControl/>
              <w:adjustRightInd w:val="0"/>
              <w:snapToGrid w:val="0"/>
              <w:rPr>
                <w:rFonts w:ascii="宋体" w:hAnsi="宋体" w:eastAsia="宋体" w:cs="宋体"/>
                <w:color w:val="000000"/>
                <w:kern w:val="0"/>
                <w:sz w:val="18"/>
                <w:szCs w:val="18"/>
              </w:rPr>
            </w:pPr>
            <w:r>
              <w:rPr>
                <w:rFonts w:hint="eastAsia" w:ascii="宋体" w:hAnsi="宋体" w:eastAsia="宋体" w:cs="宋体"/>
                <w:color w:val="000000"/>
                <w:kern w:val="0"/>
                <w:sz w:val="18"/>
                <w:szCs w:val="18"/>
              </w:rPr>
              <w:t>安置点用地是否获批</w:t>
            </w:r>
          </w:p>
        </w:tc>
        <w:tc>
          <w:tcPr>
            <w:tcW w:w="1029" w:type="dxa"/>
            <w:tcBorders>
              <w:top w:val="nil"/>
              <w:left w:val="nil"/>
              <w:bottom w:val="single" w:color="auto" w:sz="4" w:space="0"/>
              <w:right w:val="single" w:color="auto" w:sz="4" w:space="0"/>
            </w:tcBorders>
            <w:noWrap/>
            <w:vAlign w:val="center"/>
          </w:tcPr>
          <w:p w14:paraId="430BFECB">
            <w:pPr>
              <w:widowControl/>
              <w:adjustRightInd w:val="0"/>
              <w:snapToGrid w:val="0"/>
              <w:jc w:val="center"/>
              <w:rPr>
                <w:rFonts w:ascii="宋体" w:hAnsi="宋体" w:eastAsia="宋体" w:cs="宋体"/>
                <w:color w:val="000000"/>
                <w:kern w:val="0"/>
                <w:sz w:val="18"/>
                <w:szCs w:val="18"/>
              </w:rPr>
            </w:pPr>
            <w:r>
              <w:rPr>
                <w:rFonts w:hint="eastAsia" w:ascii="宋体" w:hAnsi="宋体" w:cs="宋体"/>
                <w:color w:val="000000"/>
                <w:kern w:val="0"/>
                <w:sz w:val="18"/>
                <w:szCs w:val="18"/>
              </w:rPr>
              <w:t>1</w:t>
            </w:r>
          </w:p>
        </w:tc>
      </w:tr>
      <w:tr w14:paraId="4D864B1D">
        <w:tblPrEx>
          <w:tblCellMar>
            <w:top w:w="0" w:type="dxa"/>
            <w:left w:w="108" w:type="dxa"/>
            <w:bottom w:w="0" w:type="dxa"/>
            <w:right w:w="108" w:type="dxa"/>
          </w:tblCellMar>
        </w:tblPrEx>
        <w:trPr>
          <w:trHeight w:val="270" w:hRule="atLeast"/>
        </w:trPr>
        <w:tc>
          <w:tcPr>
            <w:tcW w:w="1165" w:type="dxa"/>
            <w:vMerge w:val="continue"/>
            <w:tcBorders>
              <w:left w:val="single" w:color="auto" w:sz="4" w:space="0"/>
              <w:right w:val="single" w:color="auto" w:sz="4" w:space="0"/>
            </w:tcBorders>
            <w:vAlign w:val="center"/>
          </w:tcPr>
          <w:p w14:paraId="65A87069">
            <w:pPr>
              <w:widowControl/>
              <w:spacing w:line="240" w:lineRule="atLeast"/>
              <w:jc w:val="center"/>
              <w:rPr>
                <w:rFonts w:ascii="宋体" w:hAnsi="宋体" w:eastAsia="宋体" w:cs="宋体"/>
                <w:color w:val="000000"/>
                <w:kern w:val="0"/>
                <w:sz w:val="18"/>
                <w:szCs w:val="18"/>
              </w:rPr>
            </w:pPr>
          </w:p>
        </w:tc>
        <w:tc>
          <w:tcPr>
            <w:tcW w:w="1343" w:type="dxa"/>
            <w:vMerge w:val="continue"/>
            <w:tcBorders>
              <w:left w:val="nil"/>
              <w:right w:val="single" w:color="auto" w:sz="4" w:space="0"/>
            </w:tcBorders>
            <w:noWrap/>
            <w:vAlign w:val="center"/>
          </w:tcPr>
          <w:p w14:paraId="466BB8BC">
            <w:pPr>
              <w:widowControl/>
              <w:spacing w:line="240" w:lineRule="atLeast"/>
              <w:jc w:val="center"/>
              <w:rPr>
                <w:rFonts w:ascii="宋体" w:hAnsi="宋体" w:eastAsia="宋体" w:cs="宋体"/>
                <w:color w:val="000000"/>
                <w:kern w:val="0"/>
                <w:sz w:val="18"/>
                <w:szCs w:val="18"/>
              </w:rPr>
            </w:pPr>
          </w:p>
        </w:tc>
        <w:tc>
          <w:tcPr>
            <w:tcW w:w="5289" w:type="dxa"/>
            <w:tcBorders>
              <w:top w:val="nil"/>
              <w:left w:val="nil"/>
              <w:bottom w:val="single" w:color="auto" w:sz="4" w:space="0"/>
              <w:right w:val="single" w:color="auto" w:sz="4" w:space="0"/>
            </w:tcBorders>
            <w:noWrap/>
            <w:vAlign w:val="center"/>
          </w:tcPr>
          <w:p w14:paraId="5B25EDDB">
            <w:pPr>
              <w:widowControl/>
              <w:adjustRightInd w:val="0"/>
              <w:snapToGrid w:val="0"/>
              <w:rPr>
                <w:rFonts w:ascii="宋体" w:hAnsi="宋体" w:eastAsia="宋体" w:cs="宋体"/>
                <w:color w:val="000000"/>
                <w:kern w:val="0"/>
                <w:sz w:val="18"/>
                <w:szCs w:val="18"/>
              </w:rPr>
            </w:pPr>
            <w:r>
              <w:rPr>
                <w:rFonts w:hint="eastAsia" w:ascii="宋体" w:hAnsi="宋体" w:eastAsia="宋体" w:cs="宋体"/>
                <w:color w:val="000000"/>
                <w:kern w:val="0"/>
                <w:sz w:val="18"/>
                <w:szCs w:val="18"/>
              </w:rPr>
              <w:t>因国有土地上征收房屋造成的搬迁、临时安置、停产停业损失的补偿方案是否制定且合理</w:t>
            </w:r>
          </w:p>
        </w:tc>
        <w:tc>
          <w:tcPr>
            <w:tcW w:w="1029" w:type="dxa"/>
            <w:tcBorders>
              <w:top w:val="nil"/>
              <w:left w:val="nil"/>
              <w:bottom w:val="single" w:color="auto" w:sz="4" w:space="0"/>
              <w:right w:val="single" w:color="auto" w:sz="4" w:space="0"/>
            </w:tcBorders>
            <w:noWrap/>
            <w:vAlign w:val="center"/>
          </w:tcPr>
          <w:p w14:paraId="7B1D3368">
            <w:pPr>
              <w:widowControl/>
              <w:adjustRightInd w:val="0"/>
              <w:snapToGrid w:val="0"/>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2</w:t>
            </w:r>
          </w:p>
        </w:tc>
      </w:tr>
      <w:tr w14:paraId="7565F3F1">
        <w:tblPrEx>
          <w:tblCellMar>
            <w:top w:w="0" w:type="dxa"/>
            <w:left w:w="108" w:type="dxa"/>
            <w:bottom w:w="0" w:type="dxa"/>
            <w:right w:w="108" w:type="dxa"/>
          </w:tblCellMar>
        </w:tblPrEx>
        <w:trPr>
          <w:trHeight w:val="270" w:hRule="atLeast"/>
        </w:trPr>
        <w:tc>
          <w:tcPr>
            <w:tcW w:w="1165" w:type="dxa"/>
            <w:vMerge w:val="continue"/>
            <w:tcBorders>
              <w:left w:val="single" w:color="auto" w:sz="4" w:space="0"/>
              <w:right w:val="single" w:color="auto" w:sz="4" w:space="0"/>
            </w:tcBorders>
            <w:vAlign w:val="center"/>
          </w:tcPr>
          <w:p w14:paraId="0139270C">
            <w:pPr>
              <w:widowControl/>
              <w:spacing w:line="240" w:lineRule="atLeast"/>
              <w:jc w:val="center"/>
              <w:rPr>
                <w:rFonts w:ascii="宋体" w:hAnsi="宋体" w:eastAsia="宋体" w:cs="宋体"/>
                <w:color w:val="000000"/>
                <w:kern w:val="0"/>
                <w:sz w:val="18"/>
                <w:szCs w:val="18"/>
              </w:rPr>
            </w:pPr>
          </w:p>
        </w:tc>
        <w:tc>
          <w:tcPr>
            <w:tcW w:w="1343" w:type="dxa"/>
            <w:vMerge w:val="continue"/>
            <w:tcBorders>
              <w:left w:val="nil"/>
              <w:bottom w:val="single" w:color="auto" w:sz="4" w:space="0"/>
              <w:right w:val="single" w:color="auto" w:sz="4" w:space="0"/>
            </w:tcBorders>
            <w:noWrap/>
            <w:vAlign w:val="center"/>
          </w:tcPr>
          <w:p w14:paraId="032AE7FC">
            <w:pPr>
              <w:widowControl/>
              <w:spacing w:line="240" w:lineRule="atLeast"/>
              <w:jc w:val="center"/>
              <w:rPr>
                <w:rFonts w:ascii="宋体" w:hAnsi="宋体" w:eastAsia="宋体" w:cs="宋体"/>
                <w:color w:val="000000"/>
                <w:kern w:val="0"/>
                <w:sz w:val="18"/>
                <w:szCs w:val="18"/>
              </w:rPr>
            </w:pPr>
          </w:p>
        </w:tc>
        <w:tc>
          <w:tcPr>
            <w:tcW w:w="5289" w:type="dxa"/>
            <w:tcBorders>
              <w:top w:val="nil"/>
              <w:left w:val="nil"/>
              <w:bottom w:val="single" w:color="auto" w:sz="4" w:space="0"/>
              <w:right w:val="single" w:color="auto" w:sz="4" w:space="0"/>
            </w:tcBorders>
            <w:noWrap/>
            <w:vAlign w:val="center"/>
          </w:tcPr>
          <w:p w14:paraId="7DF3B59D">
            <w:pPr>
              <w:widowControl/>
              <w:adjustRightInd w:val="0"/>
              <w:snapToGrid w:val="0"/>
              <w:rPr>
                <w:rFonts w:ascii="宋体" w:hAnsi="宋体" w:eastAsia="宋体" w:cs="宋体"/>
                <w:color w:val="000000"/>
                <w:kern w:val="0"/>
                <w:sz w:val="18"/>
                <w:szCs w:val="18"/>
              </w:rPr>
            </w:pPr>
            <w:r>
              <w:rPr>
                <w:rFonts w:hint="eastAsia" w:ascii="宋体" w:hAnsi="宋体" w:eastAsia="宋体" w:cs="宋体"/>
                <w:color w:val="000000"/>
                <w:kern w:val="0"/>
                <w:sz w:val="18"/>
                <w:szCs w:val="18"/>
              </w:rPr>
              <w:t>征地拆迁补偿款及安置等费用是否能及时足额发放到位</w:t>
            </w:r>
          </w:p>
        </w:tc>
        <w:tc>
          <w:tcPr>
            <w:tcW w:w="1029" w:type="dxa"/>
            <w:tcBorders>
              <w:top w:val="nil"/>
              <w:left w:val="nil"/>
              <w:bottom w:val="single" w:color="auto" w:sz="4" w:space="0"/>
              <w:right w:val="single" w:color="auto" w:sz="4" w:space="0"/>
            </w:tcBorders>
            <w:noWrap/>
            <w:vAlign w:val="center"/>
          </w:tcPr>
          <w:p w14:paraId="0EE096E0">
            <w:pPr>
              <w:widowControl/>
              <w:adjustRightInd w:val="0"/>
              <w:snapToGrid w:val="0"/>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2</w:t>
            </w:r>
          </w:p>
        </w:tc>
      </w:tr>
      <w:tr w14:paraId="76AE9AF0">
        <w:tblPrEx>
          <w:tblCellMar>
            <w:top w:w="0" w:type="dxa"/>
            <w:left w:w="108" w:type="dxa"/>
            <w:bottom w:w="0" w:type="dxa"/>
            <w:right w:w="108" w:type="dxa"/>
          </w:tblCellMar>
        </w:tblPrEx>
        <w:trPr>
          <w:trHeight w:val="270" w:hRule="atLeast"/>
        </w:trPr>
        <w:tc>
          <w:tcPr>
            <w:tcW w:w="1165" w:type="dxa"/>
            <w:vMerge w:val="continue"/>
            <w:tcBorders>
              <w:left w:val="single" w:color="auto" w:sz="4" w:space="0"/>
              <w:right w:val="single" w:color="auto" w:sz="4" w:space="0"/>
            </w:tcBorders>
            <w:vAlign w:val="center"/>
          </w:tcPr>
          <w:p w14:paraId="3F538FF4">
            <w:pPr>
              <w:widowControl/>
              <w:spacing w:line="240" w:lineRule="atLeast"/>
              <w:jc w:val="center"/>
              <w:rPr>
                <w:rFonts w:ascii="宋体" w:hAnsi="宋体" w:eastAsia="宋体" w:cs="宋体"/>
                <w:color w:val="000000"/>
                <w:kern w:val="0"/>
                <w:sz w:val="18"/>
                <w:szCs w:val="18"/>
              </w:rPr>
            </w:pPr>
          </w:p>
        </w:tc>
        <w:tc>
          <w:tcPr>
            <w:tcW w:w="1343" w:type="dxa"/>
            <w:vMerge w:val="restart"/>
            <w:tcBorders>
              <w:top w:val="single" w:color="auto" w:sz="4" w:space="0"/>
              <w:left w:val="nil"/>
              <w:right w:val="single" w:color="auto" w:sz="4" w:space="0"/>
            </w:tcBorders>
            <w:noWrap/>
            <w:vAlign w:val="center"/>
          </w:tcPr>
          <w:p w14:paraId="3252FCBC">
            <w:pPr>
              <w:widowControl/>
              <w:spacing w:line="240" w:lineRule="atLeast"/>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生态环境</w:t>
            </w:r>
          </w:p>
          <w:p w14:paraId="33920F0F">
            <w:pPr>
              <w:widowControl/>
              <w:spacing w:line="240" w:lineRule="atLeast"/>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影响</w:t>
            </w:r>
          </w:p>
          <w:p w14:paraId="30CFE298">
            <w:pPr>
              <w:widowControl/>
              <w:spacing w:line="240" w:lineRule="atLeast"/>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（10分）</w:t>
            </w:r>
          </w:p>
        </w:tc>
        <w:tc>
          <w:tcPr>
            <w:tcW w:w="5289" w:type="dxa"/>
            <w:tcBorders>
              <w:top w:val="nil"/>
              <w:left w:val="nil"/>
              <w:bottom w:val="single" w:color="auto" w:sz="4" w:space="0"/>
              <w:right w:val="single" w:color="auto" w:sz="4" w:space="0"/>
            </w:tcBorders>
            <w:noWrap/>
            <w:vAlign w:val="center"/>
          </w:tcPr>
          <w:p w14:paraId="4571AFCD">
            <w:pPr>
              <w:widowControl/>
              <w:adjustRightInd w:val="0"/>
              <w:snapToGrid w:val="0"/>
              <w:rPr>
                <w:rFonts w:ascii="宋体" w:hAnsi="宋体" w:eastAsia="宋体" w:cs="宋体"/>
                <w:color w:val="000000"/>
                <w:kern w:val="0"/>
                <w:sz w:val="18"/>
                <w:szCs w:val="18"/>
              </w:rPr>
            </w:pPr>
            <w:r>
              <w:rPr>
                <w:rFonts w:hint="eastAsia" w:ascii="宋体" w:hAnsi="宋体" w:eastAsia="宋体" w:cs="宋体"/>
                <w:color w:val="000000"/>
                <w:kern w:val="0"/>
                <w:sz w:val="18"/>
                <w:szCs w:val="18"/>
              </w:rPr>
              <w:t>按规定需要开展环评的，环境影响评价是否通过</w:t>
            </w:r>
          </w:p>
        </w:tc>
        <w:tc>
          <w:tcPr>
            <w:tcW w:w="1029" w:type="dxa"/>
            <w:tcBorders>
              <w:top w:val="nil"/>
              <w:left w:val="nil"/>
              <w:bottom w:val="single" w:color="auto" w:sz="4" w:space="0"/>
              <w:right w:val="single" w:color="auto" w:sz="4" w:space="0"/>
            </w:tcBorders>
            <w:noWrap/>
            <w:vAlign w:val="center"/>
          </w:tcPr>
          <w:p w14:paraId="48FB1EE8">
            <w:pPr>
              <w:widowControl/>
              <w:adjustRightInd w:val="0"/>
              <w:snapToGrid w:val="0"/>
              <w:jc w:val="center"/>
              <w:rPr>
                <w:rFonts w:ascii="宋体" w:hAnsi="宋体" w:eastAsia="宋体" w:cs="宋体"/>
                <w:color w:val="000000"/>
                <w:kern w:val="0"/>
                <w:sz w:val="18"/>
                <w:szCs w:val="18"/>
              </w:rPr>
            </w:pPr>
            <w:r>
              <w:rPr>
                <w:rFonts w:hint="eastAsia" w:ascii="宋体" w:hAnsi="宋体" w:cs="宋体"/>
                <w:color w:val="000000"/>
                <w:kern w:val="0"/>
                <w:sz w:val="18"/>
                <w:szCs w:val="18"/>
              </w:rPr>
              <w:t>3</w:t>
            </w:r>
          </w:p>
        </w:tc>
      </w:tr>
      <w:tr w14:paraId="5356E065">
        <w:tblPrEx>
          <w:tblCellMar>
            <w:top w:w="0" w:type="dxa"/>
            <w:left w:w="108" w:type="dxa"/>
            <w:bottom w:w="0" w:type="dxa"/>
            <w:right w:w="108" w:type="dxa"/>
          </w:tblCellMar>
        </w:tblPrEx>
        <w:trPr>
          <w:trHeight w:val="270" w:hRule="atLeast"/>
        </w:trPr>
        <w:tc>
          <w:tcPr>
            <w:tcW w:w="1165" w:type="dxa"/>
            <w:vMerge w:val="continue"/>
            <w:tcBorders>
              <w:left w:val="single" w:color="auto" w:sz="4" w:space="0"/>
              <w:right w:val="single" w:color="auto" w:sz="4" w:space="0"/>
            </w:tcBorders>
            <w:vAlign w:val="center"/>
          </w:tcPr>
          <w:p w14:paraId="77C2EDE0">
            <w:pPr>
              <w:widowControl/>
              <w:spacing w:line="240" w:lineRule="atLeast"/>
              <w:jc w:val="center"/>
              <w:rPr>
                <w:rFonts w:ascii="宋体" w:hAnsi="宋体" w:eastAsia="宋体" w:cs="宋体"/>
                <w:color w:val="000000"/>
                <w:kern w:val="0"/>
                <w:sz w:val="18"/>
                <w:szCs w:val="18"/>
              </w:rPr>
            </w:pPr>
          </w:p>
        </w:tc>
        <w:tc>
          <w:tcPr>
            <w:tcW w:w="1343" w:type="dxa"/>
            <w:vMerge w:val="continue"/>
            <w:tcBorders>
              <w:top w:val="single" w:color="auto" w:sz="4" w:space="0"/>
              <w:left w:val="nil"/>
              <w:right w:val="single" w:color="auto" w:sz="4" w:space="0"/>
            </w:tcBorders>
            <w:noWrap/>
            <w:vAlign w:val="center"/>
          </w:tcPr>
          <w:p w14:paraId="0068735A">
            <w:pPr>
              <w:widowControl/>
              <w:spacing w:line="240" w:lineRule="atLeast"/>
              <w:jc w:val="center"/>
              <w:rPr>
                <w:rFonts w:ascii="宋体" w:hAnsi="宋体" w:eastAsia="宋体" w:cs="宋体"/>
                <w:color w:val="000000"/>
                <w:kern w:val="0"/>
                <w:sz w:val="18"/>
                <w:szCs w:val="18"/>
              </w:rPr>
            </w:pPr>
          </w:p>
        </w:tc>
        <w:tc>
          <w:tcPr>
            <w:tcW w:w="5289" w:type="dxa"/>
            <w:tcBorders>
              <w:top w:val="nil"/>
              <w:left w:val="nil"/>
              <w:bottom w:val="single" w:color="auto" w:sz="4" w:space="0"/>
              <w:right w:val="single" w:color="auto" w:sz="4" w:space="0"/>
            </w:tcBorders>
            <w:noWrap/>
            <w:vAlign w:val="center"/>
          </w:tcPr>
          <w:p w14:paraId="3B486F7C">
            <w:pPr>
              <w:widowControl/>
              <w:adjustRightInd w:val="0"/>
              <w:snapToGrid w:val="0"/>
              <w:rPr>
                <w:rFonts w:ascii="宋体" w:hAnsi="宋体" w:eastAsia="宋体" w:cs="宋体"/>
                <w:color w:val="000000"/>
                <w:kern w:val="0"/>
                <w:sz w:val="18"/>
                <w:szCs w:val="18"/>
              </w:rPr>
            </w:pPr>
            <w:r>
              <w:rPr>
                <w:rFonts w:hint="eastAsia" w:ascii="宋体" w:hAnsi="宋体" w:eastAsia="宋体" w:cs="宋体"/>
                <w:color w:val="000000"/>
                <w:kern w:val="0"/>
                <w:sz w:val="18"/>
                <w:szCs w:val="18"/>
              </w:rPr>
              <w:t>当地群众对重大工程项目预期排放废水、废气、噪音、粉尘等污染影响有无质疑</w:t>
            </w:r>
          </w:p>
        </w:tc>
        <w:tc>
          <w:tcPr>
            <w:tcW w:w="1029" w:type="dxa"/>
            <w:tcBorders>
              <w:top w:val="nil"/>
              <w:left w:val="nil"/>
              <w:bottom w:val="single" w:color="auto" w:sz="4" w:space="0"/>
              <w:right w:val="single" w:color="auto" w:sz="4" w:space="0"/>
            </w:tcBorders>
            <w:noWrap/>
            <w:vAlign w:val="center"/>
          </w:tcPr>
          <w:p w14:paraId="233345F0">
            <w:pPr>
              <w:widowControl/>
              <w:adjustRightInd w:val="0"/>
              <w:snapToGrid w:val="0"/>
              <w:jc w:val="center"/>
              <w:rPr>
                <w:rFonts w:ascii="宋体" w:hAnsi="宋体" w:eastAsia="宋体" w:cs="宋体"/>
                <w:color w:val="000000"/>
                <w:kern w:val="0"/>
                <w:sz w:val="18"/>
                <w:szCs w:val="18"/>
              </w:rPr>
            </w:pPr>
            <w:r>
              <w:rPr>
                <w:rFonts w:hint="eastAsia" w:ascii="宋体" w:hAnsi="宋体" w:cs="宋体"/>
                <w:color w:val="000000"/>
                <w:kern w:val="0"/>
                <w:sz w:val="18"/>
                <w:szCs w:val="18"/>
              </w:rPr>
              <w:t>2</w:t>
            </w:r>
          </w:p>
        </w:tc>
      </w:tr>
      <w:tr w14:paraId="111925B8">
        <w:tblPrEx>
          <w:tblCellMar>
            <w:top w:w="0" w:type="dxa"/>
            <w:left w:w="108" w:type="dxa"/>
            <w:bottom w:w="0" w:type="dxa"/>
            <w:right w:w="108" w:type="dxa"/>
          </w:tblCellMar>
        </w:tblPrEx>
        <w:trPr>
          <w:trHeight w:val="270" w:hRule="atLeast"/>
        </w:trPr>
        <w:tc>
          <w:tcPr>
            <w:tcW w:w="1165" w:type="dxa"/>
            <w:vMerge w:val="continue"/>
            <w:tcBorders>
              <w:left w:val="single" w:color="auto" w:sz="4" w:space="0"/>
              <w:right w:val="single" w:color="auto" w:sz="4" w:space="0"/>
            </w:tcBorders>
            <w:vAlign w:val="center"/>
          </w:tcPr>
          <w:p w14:paraId="365658CE">
            <w:pPr>
              <w:widowControl/>
              <w:spacing w:line="240" w:lineRule="atLeast"/>
              <w:jc w:val="center"/>
              <w:rPr>
                <w:rFonts w:ascii="宋体" w:hAnsi="宋体" w:eastAsia="宋体" w:cs="宋体"/>
                <w:color w:val="000000"/>
                <w:kern w:val="0"/>
                <w:sz w:val="18"/>
                <w:szCs w:val="18"/>
              </w:rPr>
            </w:pPr>
          </w:p>
        </w:tc>
        <w:tc>
          <w:tcPr>
            <w:tcW w:w="1343" w:type="dxa"/>
            <w:vMerge w:val="continue"/>
            <w:tcBorders>
              <w:top w:val="single" w:color="auto" w:sz="4" w:space="0"/>
              <w:left w:val="nil"/>
              <w:right w:val="single" w:color="auto" w:sz="4" w:space="0"/>
            </w:tcBorders>
            <w:noWrap/>
            <w:vAlign w:val="center"/>
          </w:tcPr>
          <w:p w14:paraId="7455BE24">
            <w:pPr>
              <w:widowControl/>
              <w:spacing w:line="240" w:lineRule="atLeast"/>
              <w:jc w:val="center"/>
              <w:rPr>
                <w:rFonts w:ascii="宋体" w:hAnsi="宋体" w:eastAsia="宋体" w:cs="宋体"/>
                <w:color w:val="000000"/>
                <w:kern w:val="0"/>
                <w:sz w:val="18"/>
                <w:szCs w:val="18"/>
              </w:rPr>
            </w:pPr>
          </w:p>
        </w:tc>
        <w:tc>
          <w:tcPr>
            <w:tcW w:w="5289" w:type="dxa"/>
            <w:tcBorders>
              <w:top w:val="nil"/>
              <w:left w:val="nil"/>
              <w:bottom w:val="single" w:color="auto" w:sz="4" w:space="0"/>
              <w:right w:val="single" w:color="auto" w:sz="4" w:space="0"/>
            </w:tcBorders>
            <w:noWrap/>
            <w:vAlign w:val="center"/>
          </w:tcPr>
          <w:p w14:paraId="30C9447F">
            <w:pPr>
              <w:widowControl/>
              <w:adjustRightInd w:val="0"/>
              <w:snapToGrid w:val="0"/>
              <w:rPr>
                <w:rFonts w:ascii="宋体" w:hAnsi="宋体" w:eastAsia="宋体" w:cs="宋体"/>
                <w:color w:val="000000"/>
                <w:kern w:val="0"/>
                <w:sz w:val="18"/>
                <w:szCs w:val="18"/>
              </w:rPr>
            </w:pPr>
            <w:r>
              <w:rPr>
                <w:rFonts w:hint="eastAsia" w:ascii="宋体" w:hAnsi="宋体" w:eastAsia="宋体" w:cs="宋体"/>
                <w:color w:val="000000"/>
                <w:kern w:val="0"/>
                <w:sz w:val="18"/>
                <w:szCs w:val="18"/>
              </w:rPr>
              <w:t>是否会影响当地生态环境，包括但不限于破坏人文景观、绿地森林、大气风沙、农田水利、水资源水环境等，有无科学得当的防御对策和补救措施</w:t>
            </w:r>
          </w:p>
        </w:tc>
        <w:tc>
          <w:tcPr>
            <w:tcW w:w="1029" w:type="dxa"/>
            <w:tcBorders>
              <w:top w:val="nil"/>
              <w:left w:val="nil"/>
              <w:bottom w:val="single" w:color="auto" w:sz="4" w:space="0"/>
              <w:right w:val="single" w:color="auto" w:sz="4" w:space="0"/>
            </w:tcBorders>
            <w:noWrap/>
            <w:vAlign w:val="center"/>
          </w:tcPr>
          <w:p w14:paraId="4329B578">
            <w:pPr>
              <w:widowControl/>
              <w:adjustRightInd w:val="0"/>
              <w:snapToGrid w:val="0"/>
              <w:jc w:val="center"/>
              <w:rPr>
                <w:rFonts w:ascii="宋体" w:hAnsi="宋体" w:eastAsia="宋体" w:cs="宋体"/>
                <w:color w:val="000000"/>
                <w:kern w:val="0"/>
                <w:sz w:val="18"/>
                <w:szCs w:val="18"/>
              </w:rPr>
            </w:pPr>
            <w:r>
              <w:rPr>
                <w:rFonts w:hint="eastAsia" w:ascii="宋体" w:hAnsi="宋体" w:cs="宋体"/>
                <w:color w:val="000000"/>
                <w:kern w:val="0"/>
                <w:sz w:val="18"/>
                <w:szCs w:val="18"/>
              </w:rPr>
              <w:t>2</w:t>
            </w:r>
          </w:p>
        </w:tc>
      </w:tr>
      <w:tr w14:paraId="511AE91A">
        <w:tblPrEx>
          <w:tblCellMar>
            <w:top w:w="0" w:type="dxa"/>
            <w:left w:w="108" w:type="dxa"/>
            <w:bottom w:w="0" w:type="dxa"/>
            <w:right w:w="108" w:type="dxa"/>
          </w:tblCellMar>
        </w:tblPrEx>
        <w:trPr>
          <w:trHeight w:val="270" w:hRule="atLeast"/>
        </w:trPr>
        <w:tc>
          <w:tcPr>
            <w:tcW w:w="1165" w:type="dxa"/>
            <w:vMerge w:val="continue"/>
            <w:tcBorders>
              <w:left w:val="single" w:color="auto" w:sz="4" w:space="0"/>
              <w:right w:val="single" w:color="auto" w:sz="4" w:space="0"/>
            </w:tcBorders>
            <w:vAlign w:val="center"/>
          </w:tcPr>
          <w:p w14:paraId="4475599C">
            <w:pPr>
              <w:widowControl/>
              <w:spacing w:line="240" w:lineRule="atLeast"/>
              <w:jc w:val="center"/>
              <w:rPr>
                <w:rFonts w:ascii="宋体" w:hAnsi="宋体" w:eastAsia="宋体" w:cs="宋体"/>
                <w:color w:val="000000"/>
                <w:kern w:val="0"/>
                <w:sz w:val="18"/>
                <w:szCs w:val="18"/>
              </w:rPr>
            </w:pPr>
          </w:p>
        </w:tc>
        <w:tc>
          <w:tcPr>
            <w:tcW w:w="1343" w:type="dxa"/>
            <w:vMerge w:val="continue"/>
            <w:tcBorders>
              <w:top w:val="single" w:color="auto" w:sz="4" w:space="0"/>
              <w:left w:val="nil"/>
              <w:right w:val="single" w:color="auto" w:sz="4" w:space="0"/>
            </w:tcBorders>
            <w:noWrap/>
            <w:vAlign w:val="center"/>
          </w:tcPr>
          <w:p w14:paraId="4FB65CF3">
            <w:pPr>
              <w:widowControl/>
              <w:spacing w:line="240" w:lineRule="atLeast"/>
              <w:jc w:val="center"/>
              <w:rPr>
                <w:rFonts w:ascii="宋体" w:hAnsi="宋体" w:eastAsia="宋体" w:cs="宋体"/>
                <w:color w:val="000000"/>
                <w:kern w:val="0"/>
                <w:sz w:val="18"/>
                <w:szCs w:val="18"/>
              </w:rPr>
            </w:pPr>
          </w:p>
        </w:tc>
        <w:tc>
          <w:tcPr>
            <w:tcW w:w="5289" w:type="dxa"/>
            <w:tcBorders>
              <w:top w:val="nil"/>
              <w:left w:val="nil"/>
              <w:bottom w:val="single" w:color="auto" w:sz="4" w:space="0"/>
              <w:right w:val="single" w:color="auto" w:sz="4" w:space="0"/>
            </w:tcBorders>
            <w:noWrap/>
            <w:vAlign w:val="center"/>
          </w:tcPr>
          <w:p w14:paraId="237467E0">
            <w:pPr>
              <w:widowControl/>
              <w:adjustRightInd w:val="0"/>
              <w:snapToGrid w:val="0"/>
              <w:rPr>
                <w:rFonts w:ascii="宋体" w:hAnsi="宋体" w:eastAsia="宋体" w:cs="宋体"/>
                <w:color w:val="000000"/>
                <w:kern w:val="0"/>
                <w:sz w:val="18"/>
                <w:szCs w:val="18"/>
              </w:rPr>
            </w:pPr>
            <w:r>
              <w:rPr>
                <w:rFonts w:hint="eastAsia" w:ascii="宋体" w:hAnsi="宋体" w:eastAsia="宋体" w:cs="宋体"/>
                <w:color w:val="000000"/>
                <w:kern w:val="0"/>
                <w:sz w:val="18"/>
                <w:szCs w:val="18"/>
              </w:rPr>
              <w:t>是否会造成资源环境的次生灾害，甚至永久性破坏等</w:t>
            </w:r>
          </w:p>
        </w:tc>
        <w:tc>
          <w:tcPr>
            <w:tcW w:w="1029" w:type="dxa"/>
            <w:tcBorders>
              <w:top w:val="nil"/>
              <w:left w:val="nil"/>
              <w:bottom w:val="single" w:color="auto" w:sz="4" w:space="0"/>
              <w:right w:val="single" w:color="auto" w:sz="4" w:space="0"/>
            </w:tcBorders>
            <w:noWrap/>
            <w:vAlign w:val="center"/>
          </w:tcPr>
          <w:p w14:paraId="57934954">
            <w:pPr>
              <w:widowControl/>
              <w:adjustRightInd w:val="0"/>
              <w:snapToGrid w:val="0"/>
              <w:jc w:val="center"/>
              <w:rPr>
                <w:rFonts w:ascii="宋体" w:hAnsi="宋体" w:eastAsia="宋体" w:cs="宋体"/>
                <w:color w:val="000000"/>
                <w:kern w:val="0"/>
                <w:sz w:val="18"/>
                <w:szCs w:val="18"/>
              </w:rPr>
            </w:pPr>
            <w:r>
              <w:rPr>
                <w:rFonts w:hint="eastAsia" w:ascii="宋体" w:hAnsi="宋体" w:cs="宋体"/>
                <w:color w:val="000000"/>
                <w:kern w:val="0"/>
                <w:sz w:val="18"/>
                <w:szCs w:val="18"/>
              </w:rPr>
              <w:t>2</w:t>
            </w:r>
          </w:p>
        </w:tc>
      </w:tr>
      <w:tr w14:paraId="009449FC">
        <w:tblPrEx>
          <w:tblCellMar>
            <w:top w:w="0" w:type="dxa"/>
            <w:left w:w="108" w:type="dxa"/>
            <w:bottom w:w="0" w:type="dxa"/>
            <w:right w:w="108" w:type="dxa"/>
          </w:tblCellMar>
        </w:tblPrEx>
        <w:trPr>
          <w:trHeight w:val="270" w:hRule="atLeast"/>
        </w:trPr>
        <w:tc>
          <w:tcPr>
            <w:tcW w:w="1165" w:type="dxa"/>
            <w:vMerge w:val="continue"/>
            <w:tcBorders>
              <w:left w:val="single" w:color="auto" w:sz="4" w:space="0"/>
              <w:bottom w:val="single" w:color="auto" w:sz="4" w:space="0"/>
              <w:right w:val="single" w:color="auto" w:sz="4" w:space="0"/>
            </w:tcBorders>
            <w:vAlign w:val="center"/>
          </w:tcPr>
          <w:p w14:paraId="79DF1AFF">
            <w:pPr>
              <w:widowControl/>
              <w:spacing w:line="240" w:lineRule="atLeast"/>
              <w:jc w:val="center"/>
              <w:rPr>
                <w:rFonts w:ascii="宋体" w:hAnsi="宋体" w:eastAsia="宋体" w:cs="宋体"/>
                <w:color w:val="000000"/>
                <w:kern w:val="0"/>
                <w:sz w:val="18"/>
                <w:szCs w:val="18"/>
              </w:rPr>
            </w:pPr>
          </w:p>
        </w:tc>
        <w:tc>
          <w:tcPr>
            <w:tcW w:w="1343" w:type="dxa"/>
            <w:vMerge w:val="continue"/>
            <w:tcBorders>
              <w:left w:val="nil"/>
              <w:bottom w:val="single" w:color="auto" w:sz="4" w:space="0"/>
              <w:right w:val="single" w:color="auto" w:sz="4" w:space="0"/>
            </w:tcBorders>
            <w:noWrap/>
            <w:vAlign w:val="center"/>
          </w:tcPr>
          <w:p w14:paraId="4C8E3601">
            <w:pPr>
              <w:widowControl/>
              <w:spacing w:line="240" w:lineRule="atLeast"/>
              <w:jc w:val="center"/>
              <w:rPr>
                <w:rFonts w:ascii="宋体" w:hAnsi="宋体" w:eastAsia="宋体" w:cs="宋体"/>
                <w:color w:val="000000"/>
                <w:kern w:val="0"/>
                <w:sz w:val="18"/>
                <w:szCs w:val="18"/>
              </w:rPr>
            </w:pPr>
          </w:p>
        </w:tc>
        <w:tc>
          <w:tcPr>
            <w:tcW w:w="5289" w:type="dxa"/>
            <w:tcBorders>
              <w:top w:val="nil"/>
              <w:left w:val="nil"/>
              <w:bottom w:val="single" w:color="auto" w:sz="4" w:space="0"/>
              <w:right w:val="single" w:color="auto" w:sz="4" w:space="0"/>
            </w:tcBorders>
            <w:noWrap/>
            <w:vAlign w:val="center"/>
          </w:tcPr>
          <w:p w14:paraId="0B100E6D">
            <w:pPr>
              <w:widowControl/>
              <w:adjustRightInd w:val="0"/>
              <w:snapToGrid w:val="0"/>
              <w:rPr>
                <w:rFonts w:ascii="宋体" w:hAnsi="宋体" w:eastAsia="宋体" w:cs="宋体"/>
                <w:color w:val="000000"/>
                <w:kern w:val="0"/>
                <w:sz w:val="18"/>
                <w:szCs w:val="18"/>
              </w:rPr>
            </w:pPr>
            <w:r>
              <w:rPr>
                <w:rFonts w:hint="eastAsia" w:ascii="宋体" w:hAnsi="宋体" w:eastAsia="宋体" w:cs="宋体"/>
                <w:color w:val="000000"/>
                <w:kern w:val="0"/>
                <w:sz w:val="18"/>
                <w:szCs w:val="18"/>
              </w:rPr>
              <w:t>是否适应气候变化要求或开展必要的气候可行性论证</w:t>
            </w:r>
          </w:p>
        </w:tc>
        <w:tc>
          <w:tcPr>
            <w:tcW w:w="1029" w:type="dxa"/>
            <w:tcBorders>
              <w:top w:val="nil"/>
              <w:left w:val="nil"/>
              <w:bottom w:val="single" w:color="auto" w:sz="4" w:space="0"/>
              <w:right w:val="single" w:color="auto" w:sz="4" w:space="0"/>
            </w:tcBorders>
            <w:noWrap/>
            <w:vAlign w:val="center"/>
          </w:tcPr>
          <w:p w14:paraId="2DC45C9C">
            <w:pPr>
              <w:widowControl/>
              <w:adjustRightInd w:val="0"/>
              <w:snapToGrid w:val="0"/>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w:t>
            </w:r>
          </w:p>
        </w:tc>
      </w:tr>
      <w:tr w14:paraId="72A1D6F9">
        <w:tblPrEx>
          <w:tblCellMar>
            <w:top w:w="0" w:type="dxa"/>
            <w:left w:w="108" w:type="dxa"/>
            <w:bottom w:w="0" w:type="dxa"/>
            <w:right w:w="108" w:type="dxa"/>
          </w:tblCellMar>
        </w:tblPrEx>
        <w:trPr>
          <w:trHeight w:val="270" w:hRule="atLeast"/>
        </w:trPr>
        <w:tc>
          <w:tcPr>
            <w:tcW w:w="1165" w:type="dxa"/>
            <w:vMerge w:val="restart"/>
            <w:tcBorders>
              <w:top w:val="single" w:color="auto" w:sz="4" w:space="0"/>
              <w:left w:val="single" w:color="auto" w:sz="4" w:space="0"/>
              <w:right w:val="single" w:color="auto" w:sz="4" w:space="0"/>
            </w:tcBorders>
            <w:vAlign w:val="center"/>
          </w:tcPr>
          <w:p w14:paraId="39B4C1E4">
            <w:pPr>
              <w:widowControl/>
              <w:spacing w:line="240" w:lineRule="atLeast"/>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可行性</w:t>
            </w:r>
          </w:p>
          <w:p w14:paraId="691A25F6">
            <w:pPr>
              <w:widowControl/>
              <w:spacing w:line="240" w:lineRule="atLeast"/>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（30分）</w:t>
            </w:r>
          </w:p>
        </w:tc>
        <w:tc>
          <w:tcPr>
            <w:tcW w:w="1343" w:type="dxa"/>
            <w:vMerge w:val="restart"/>
            <w:tcBorders>
              <w:top w:val="single" w:color="auto" w:sz="4" w:space="0"/>
              <w:left w:val="nil"/>
              <w:right w:val="single" w:color="auto" w:sz="4" w:space="0"/>
            </w:tcBorders>
            <w:noWrap/>
            <w:vAlign w:val="center"/>
          </w:tcPr>
          <w:p w14:paraId="21669FB3">
            <w:pPr>
              <w:widowControl/>
              <w:spacing w:line="240" w:lineRule="atLeast"/>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实施条件</w:t>
            </w:r>
          </w:p>
          <w:p w14:paraId="741A0FCC">
            <w:pPr>
              <w:widowControl/>
              <w:spacing w:line="240" w:lineRule="atLeast"/>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（12分）</w:t>
            </w:r>
          </w:p>
        </w:tc>
        <w:tc>
          <w:tcPr>
            <w:tcW w:w="5289" w:type="dxa"/>
            <w:tcBorders>
              <w:top w:val="nil"/>
              <w:left w:val="nil"/>
              <w:bottom w:val="single" w:color="auto" w:sz="4" w:space="0"/>
              <w:right w:val="single" w:color="auto" w:sz="4" w:space="0"/>
            </w:tcBorders>
            <w:noWrap/>
            <w:vAlign w:val="bottom"/>
          </w:tcPr>
          <w:p w14:paraId="7D8D4EE0">
            <w:pPr>
              <w:widowControl/>
              <w:adjustRightInd w:val="0"/>
              <w:snapToGrid w:val="0"/>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用地预审、规划选址等前置审批是否通过</w:t>
            </w:r>
          </w:p>
        </w:tc>
        <w:tc>
          <w:tcPr>
            <w:tcW w:w="1029" w:type="dxa"/>
            <w:tcBorders>
              <w:top w:val="nil"/>
              <w:left w:val="nil"/>
              <w:bottom w:val="single" w:color="auto" w:sz="4" w:space="0"/>
              <w:right w:val="single" w:color="auto" w:sz="4" w:space="0"/>
            </w:tcBorders>
            <w:noWrap/>
            <w:vAlign w:val="bottom"/>
          </w:tcPr>
          <w:p w14:paraId="64B576A6">
            <w:pPr>
              <w:widowControl/>
              <w:adjustRightInd w:val="0"/>
              <w:snapToGrid w:val="0"/>
              <w:jc w:val="center"/>
              <w:rPr>
                <w:rFonts w:ascii="宋体" w:hAnsi="宋体" w:cs="宋体"/>
                <w:color w:val="000000"/>
                <w:kern w:val="0"/>
                <w:sz w:val="18"/>
                <w:szCs w:val="18"/>
              </w:rPr>
            </w:pPr>
            <w:r>
              <w:rPr>
                <w:rFonts w:hint="eastAsia" w:ascii="宋体" w:hAnsi="宋体" w:cs="宋体"/>
                <w:color w:val="000000"/>
                <w:kern w:val="0"/>
                <w:sz w:val="18"/>
                <w:szCs w:val="18"/>
              </w:rPr>
              <w:t>2</w:t>
            </w:r>
          </w:p>
        </w:tc>
      </w:tr>
      <w:tr w14:paraId="2E9C03EE">
        <w:tblPrEx>
          <w:tblCellMar>
            <w:top w:w="0" w:type="dxa"/>
            <w:left w:w="108" w:type="dxa"/>
            <w:bottom w:w="0" w:type="dxa"/>
            <w:right w:w="108" w:type="dxa"/>
          </w:tblCellMar>
        </w:tblPrEx>
        <w:trPr>
          <w:trHeight w:val="270" w:hRule="atLeast"/>
        </w:trPr>
        <w:tc>
          <w:tcPr>
            <w:tcW w:w="1165" w:type="dxa"/>
            <w:vMerge w:val="continue"/>
            <w:tcBorders>
              <w:left w:val="single" w:color="auto" w:sz="4" w:space="0"/>
              <w:right w:val="single" w:color="auto" w:sz="4" w:space="0"/>
            </w:tcBorders>
            <w:vAlign w:val="center"/>
          </w:tcPr>
          <w:p w14:paraId="135C1500">
            <w:pPr>
              <w:widowControl/>
              <w:spacing w:line="240" w:lineRule="atLeast"/>
              <w:jc w:val="center"/>
              <w:rPr>
                <w:rFonts w:ascii="宋体" w:hAnsi="宋体" w:eastAsia="宋体" w:cs="宋体"/>
                <w:color w:val="000000"/>
                <w:kern w:val="0"/>
                <w:sz w:val="18"/>
                <w:szCs w:val="18"/>
              </w:rPr>
            </w:pPr>
          </w:p>
        </w:tc>
        <w:tc>
          <w:tcPr>
            <w:tcW w:w="1343" w:type="dxa"/>
            <w:vMerge w:val="continue"/>
            <w:tcBorders>
              <w:left w:val="nil"/>
              <w:right w:val="single" w:color="auto" w:sz="4" w:space="0"/>
            </w:tcBorders>
            <w:noWrap/>
            <w:vAlign w:val="center"/>
          </w:tcPr>
          <w:p w14:paraId="4FB855E2">
            <w:pPr>
              <w:widowControl/>
              <w:spacing w:line="240" w:lineRule="atLeast"/>
              <w:jc w:val="center"/>
              <w:rPr>
                <w:rFonts w:ascii="宋体" w:hAnsi="宋体" w:eastAsia="宋体" w:cs="宋体"/>
                <w:color w:val="000000"/>
                <w:kern w:val="0"/>
                <w:sz w:val="18"/>
                <w:szCs w:val="18"/>
              </w:rPr>
            </w:pPr>
          </w:p>
        </w:tc>
        <w:tc>
          <w:tcPr>
            <w:tcW w:w="5289" w:type="dxa"/>
            <w:tcBorders>
              <w:top w:val="nil"/>
              <w:left w:val="nil"/>
              <w:bottom w:val="single" w:color="auto" w:sz="4" w:space="0"/>
              <w:right w:val="single" w:color="auto" w:sz="4" w:space="0"/>
            </w:tcBorders>
            <w:noWrap/>
            <w:vAlign w:val="bottom"/>
          </w:tcPr>
          <w:p w14:paraId="5F68C572">
            <w:pPr>
              <w:widowControl/>
              <w:adjustRightInd w:val="0"/>
              <w:snapToGrid w:val="0"/>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可行性研究报告是否获通过</w:t>
            </w:r>
          </w:p>
        </w:tc>
        <w:tc>
          <w:tcPr>
            <w:tcW w:w="1029" w:type="dxa"/>
            <w:tcBorders>
              <w:top w:val="nil"/>
              <w:left w:val="nil"/>
              <w:bottom w:val="single" w:color="auto" w:sz="4" w:space="0"/>
              <w:right w:val="single" w:color="auto" w:sz="4" w:space="0"/>
            </w:tcBorders>
            <w:noWrap/>
            <w:vAlign w:val="bottom"/>
          </w:tcPr>
          <w:p w14:paraId="28796FFB">
            <w:pPr>
              <w:widowControl/>
              <w:adjustRightInd w:val="0"/>
              <w:snapToGrid w:val="0"/>
              <w:jc w:val="center"/>
              <w:rPr>
                <w:rFonts w:ascii="宋体" w:hAnsi="宋体" w:eastAsia="宋体" w:cs="宋体"/>
                <w:color w:val="000000"/>
                <w:kern w:val="0"/>
                <w:sz w:val="18"/>
                <w:szCs w:val="18"/>
              </w:rPr>
            </w:pPr>
            <w:r>
              <w:rPr>
                <w:rFonts w:hint="eastAsia" w:ascii="宋体" w:hAnsi="宋体" w:cs="宋体"/>
                <w:color w:val="000000"/>
                <w:kern w:val="0"/>
                <w:sz w:val="18"/>
                <w:szCs w:val="18"/>
              </w:rPr>
              <w:t>2</w:t>
            </w:r>
          </w:p>
        </w:tc>
      </w:tr>
      <w:tr w14:paraId="07413031">
        <w:tblPrEx>
          <w:tblCellMar>
            <w:top w:w="0" w:type="dxa"/>
            <w:left w:w="108" w:type="dxa"/>
            <w:bottom w:w="0" w:type="dxa"/>
            <w:right w:w="108" w:type="dxa"/>
          </w:tblCellMar>
        </w:tblPrEx>
        <w:trPr>
          <w:trHeight w:val="270" w:hRule="atLeast"/>
        </w:trPr>
        <w:tc>
          <w:tcPr>
            <w:tcW w:w="1165" w:type="dxa"/>
            <w:vMerge w:val="continue"/>
            <w:tcBorders>
              <w:left w:val="single" w:color="auto" w:sz="4" w:space="0"/>
              <w:right w:val="single" w:color="auto" w:sz="4" w:space="0"/>
            </w:tcBorders>
            <w:vAlign w:val="center"/>
          </w:tcPr>
          <w:p w14:paraId="77C4DD5C">
            <w:pPr>
              <w:widowControl/>
              <w:spacing w:line="240" w:lineRule="atLeast"/>
              <w:jc w:val="center"/>
              <w:rPr>
                <w:rFonts w:ascii="宋体" w:hAnsi="宋体" w:eastAsia="宋体" w:cs="宋体"/>
                <w:color w:val="000000"/>
                <w:kern w:val="0"/>
                <w:sz w:val="18"/>
                <w:szCs w:val="18"/>
              </w:rPr>
            </w:pPr>
          </w:p>
        </w:tc>
        <w:tc>
          <w:tcPr>
            <w:tcW w:w="1343" w:type="dxa"/>
            <w:vMerge w:val="continue"/>
            <w:tcBorders>
              <w:left w:val="nil"/>
              <w:right w:val="single" w:color="auto" w:sz="4" w:space="0"/>
            </w:tcBorders>
            <w:noWrap/>
            <w:vAlign w:val="center"/>
          </w:tcPr>
          <w:p w14:paraId="19E4CC6E">
            <w:pPr>
              <w:widowControl/>
              <w:spacing w:line="240" w:lineRule="atLeast"/>
              <w:jc w:val="center"/>
              <w:rPr>
                <w:rFonts w:ascii="宋体" w:hAnsi="宋体" w:eastAsia="宋体" w:cs="宋体"/>
                <w:color w:val="000000"/>
                <w:kern w:val="0"/>
                <w:sz w:val="18"/>
                <w:szCs w:val="18"/>
              </w:rPr>
            </w:pPr>
          </w:p>
        </w:tc>
        <w:tc>
          <w:tcPr>
            <w:tcW w:w="5289" w:type="dxa"/>
            <w:tcBorders>
              <w:top w:val="nil"/>
              <w:left w:val="nil"/>
              <w:bottom w:val="single" w:color="auto" w:sz="4" w:space="0"/>
              <w:right w:val="single" w:color="auto" w:sz="4" w:space="0"/>
            </w:tcBorders>
            <w:noWrap/>
            <w:vAlign w:val="bottom"/>
          </w:tcPr>
          <w:p w14:paraId="4EB30938">
            <w:pPr>
              <w:adjustRightInd w:val="0"/>
              <w:snapToGrid w:val="0"/>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项目采用的技术是否先进且安全可靠</w:t>
            </w:r>
          </w:p>
        </w:tc>
        <w:tc>
          <w:tcPr>
            <w:tcW w:w="1029" w:type="dxa"/>
            <w:tcBorders>
              <w:top w:val="nil"/>
              <w:left w:val="nil"/>
              <w:bottom w:val="single" w:color="auto" w:sz="4" w:space="0"/>
              <w:right w:val="single" w:color="auto" w:sz="4" w:space="0"/>
            </w:tcBorders>
            <w:noWrap/>
            <w:vAlign w:val="bottom"/>
          </w:tcPr>
          <w:p w14:paraId="4551112E">
            <w:pPr>
              <w:adjustRightInd w:val="0"/>
              <w:snapToGrid w:val="0"/>
              <w:jc w:val="center"/>
              <w:rPr>
                <w:rFonts w:ascii="宋体" w:hAnsi="宋体" w:eastAsia="宋体" w:cs="宋体"/>
                <w:color w:val="000000"/>
                <w:kern w:val="0"/>
                <w:sz w:val="18"/>
                <w:szCs w:val="18"/>
              </w:rPr>
            </w:pPr>
            <w:r>
              <w:rPr>
                <w:rFonts w:hint="eastAsia" w:ascii="宋体" w:hAnsi="宋体" w:cs="宋体"/>
                <w:color w:val="000000"/>
                <w:kern w:val="0"/>
                <w:sz w:val="18"/>
                <w:szCs w:val="18"/>
              </w:rPr>
              <w:t>2</w:t>
            </w:r>
          </w:p>
        </w:tc>
      </w:tr>
      <w:tr w14:paraId="42B3EACF">
        <w:tblPrEx>
          <w:tblCellMar>
            <w:top w:w="0" w:type="dxa"/>
            <w:left w:w="108" w:type="dxa"/>
            <w:bottom w:w="0" w:type="dxa"/>
            <w:right w:w="108" w:type="dxa"/>
          </w:tblCellMar>
        </w:tblPrEx>
        <w:trPr>
          <w:trHeight w:val="270" w:hRule="atLeast"/>
        </w:trPr>
        <w:tc>
          <w:tcPr>
            <w:tcW w:w="1165" w:type="dxa"/>
            <w:vMerge w:val="continue"/>
            <w:tcBorders>
              <w:left w:val="single" w:color="auto" w:sz="4" w:space="0"/>
              <w:right w:val="single" w:color="auto" w:sz="4" w:space="0"/>
            </w:tcBorders>
            <w:vAlign w:val="center"/>
          </w:tcPr>
          <w:p w14:paraId="41EE10B4">
            <w:pPr>
              <w:widowControl/>
              <w:spacing w:line="240" w:lineRule="atLeast"/>
              <w:jc w:val="center"/>
              <w:rPr>
                <w:rFonts w:ascii="宋体" w:hAnsi="宋体" w:eastAsia="宋体" w:cs="宋体"/>
                <w:color w:val="000000"/>
                <w:kern w:val="0"/>
                <w:sz w:val="18"/>
                <w:szCs w:val="18"/>
              </w:rPr>
            </w:pPr>
          </w:p>
        </w:tc>
        <w:tc>
          <w:tcPr>
            <w:tcW w:w="1343" w:type="dxa"/>
            <w:vMerge w:val="continue"/>
            <w:tcBorders>
              <w:left w:val="nil"/>
              <w:right w:val="single" w:color="auto" w:sz="4" w:space="0"/>
            </w:tcBorders>
            <w:noWrap/>
            <w:vAlign w:val="center"/>
          </w:tcPr>
          <w:p w14:paraId="3DA532F5">
            <w:pPr>
              <w:widowControl/>
              <w:spacing w:line="240" w:lineRule="atLeast"/>
              <w:jc w:val="center"/>
              <w:rPr>
                <w:rFonts w:ascii="宋体" w:hAnsi="宋体" w:eastAsia="宋体" w:cs="宋体"/>
                <w:color w:val="000000"/>
                <w:kern w:val="0"/>
                <w:sz w:val="18"/>
                <w:szCs w:val="18"/>
              </w:rPr>
            </w:pPr>
          </w:p>
        </w:tc>
        <w:tc>
          <w:tcPr>
            <w:tcW w:w="5289" w:type="dxa"/>
            <w:tcBorders>
              <w:top w:val="nil"/>
              <w:left w:val="nil"/>
              <w:bottom w:val="single" w:color="auto" w:sz="4" w:space="0"/>
              <w:right w:val="single" w:color="auto" w:sz="4" w:space="0"/>
            </w:tcBorders>
            <w:noWrap/>
            <w:vAlign w:val="bottom"/>
          </w:tcPr>
          <w:p w14:paraId="5EA534B3">
            <w:pPr>
              <w:widowControl/>
              <w:adjustRightInd w:val="0"/>
              <w:snapToGrid w:val="0"/>
              <w:jc w:val="left"/>
              <w:rPr>
                <w:rFonts w:ascii="宋体" w:eastAsia="宋体"/>
                <w:color w:val="000000"/>
                <w:kern w:val="0"/>
                <w:sz w:val="18"/>
                <w:szCs w:val="18"/>
              </w:rPr>
            </w:pPr>
            <w:r>
              <w:rPr>
                <w:rFonts w:hint="eastAsia" w:ascii="宋体" w:hAnsi="宋体" w:eastAsia="宋体" w:cs="宋体"/>
                <w:color w:val="000000"/>
                <w:kern w:val="0"/>
                <w:sz w:val="18"/>
                <w:szCs w:val="18"/>
              </w:rPr>
              <w:t>业主是否制定了项目管理的详实完整方案</w:t>
            </w:r>
          </w:p>
        </w:tc>
        <w:tc>
          <w:tcPr>
            <w:tcW w:w="1029" w:type="dxa"/>
            <w:tcBorders>
              <w:top w:val="nil"/>
              <w:left w:val="nil"/>
              <w:bottom w:val="single" w:color="auto" w:sz="4" w:space="0"/>
              <w:right w:val="single" w:color="auto" w:sz="4" w:space="0"/>
            </w:tcBorders>
            <w:noWrap/>
            <w:vAlign w:val="bottom"/>
          </w:tcPr>
          <w:p w14:paraId="28C64F3B">
            <w:pPr>
              <w:widowControl/>
              <w:adjustRightInd w:val="0"/>
              <w:snapToGrid w:val="0"/>
              <w:jc w:val="center"/>
              <w:rPr>
                <w:rFonts w:ascii="宋体" w:eastAsia="宋体"/>
                <w:color w:val="000000"/>
                <w:kern w:val="0"/>
                <w:sz w:val="18"/>
                <w:szCs w:val="18"/>
              </w:rPr>
            </w:pPr>
            <w:r>
              <w:rPr>
                <w:rFonts w:hint="eastAsia" w:ascii="宋体"/>
                <w:color w:val="000000"/>
                <w:kern w:val="0"/>
                <w:sz w:val="18"/>
                <w:szCs w:val="18"/>
              </w:rPr>
              <w:t>2</w:t>
            </w:r>
          </w:p>
        </w:tc>
      </w:tr>
      <w:tr w14:paraId="5CED8306">
        <w:tblPrEx>
          <w:tblCellMar>
            <w:top w:w="0" w:type="dxa"/>
            <w:left w:w="108" w:type="dxa"/>
            <w:bottom w:w="0" w:type="dxa"/>
            <w:right w:w="108" w:type="dxa"/>
          </w:tblCellMar>
        </w:tblPrEx>
        <w:trPr>
          <w:trHeight w:val="270" w:hRule="atLeast"/>
        </w:trPr>
        <w:tc>
          <w:tcPr>
            <w:tcW w:w="1165" w:type="dxa"/>
            <w:vMerge w:val="continue"/>
            <w:tcBorders>
              <w:left w:val="single" w:color="auto" w:sz="4" w:space="0"/>
              <w:right w:val="single" w:color="auto" w:sz="4" w:space="0"/>
            </w:tcBorders>
            <w:vAlign w:val="center"/>
          </w:tcPr>
          <w:p w14:paraId="0DC75C76">
            <w:pPr>
              <w:widowControl/>
              <w:spacing w:line="240" w:lineRule="atLeast"/>
              <w:jc w:val="center"/>
              <w:rPr>
                <w:rFonts w:ascii="宋体" w:hAnsi="宋体" w:eastAsia="宋体" w:cs="宋体"/>
                <w:color w:val="000000"/>
                <w:kern w:val="0"/>
                <w:sz w:val="18"/>
                <w:szCs w:val="18"/>
              </w:rPr>
            </w:pPr>
          </w:p>
        </w:tc>
        <w:tc>
          <w:tcPr>
            <w:tcW w:w="1343" w:type="dxa"/>
            <w:vMerge w:val="continue"/>
            <w:tcBorders>
              <w:left w:val="nil"/>
              <w:right w:val="single" w:color="auto" w:sz="4" w:space="0"/>
            </w:tcBorders>
            <w:noWrap/>
            <w:vAlign w:val="center"/>
          </w:tcPr>
          <w:p w14:paraId="03823317">
            <w:pPr>
              <w:widowControl/>
              <w:spacing w:line="240" w:lineRule="atLeast"/>
              <w:jc w:val="center"/>
              <w:rPr>
                <w:rFonts w:ascii="宋体" w:hAnsi="宋体" w:eastAsia="宋体" w:cs="宋体"/>
                <w:color w:val="000000"/>
                <w:kern w:val="0"/>
                <w:sz w:val="18"/>
                <w:szCs w:val="18"/>
              </w:rPr>
            </w:pPr>
          </w:p>
        </w:tc>
        <w:tc>
          <w:tcPr>
            <w:tcW w:w="5289" w:type="dxa"/>
            <w:tcBorders>
              <w:top w:val="nil"/>
              <w:left w:val="nil"/>
              <w:bottom w:val="single" w:color="auto" w:sz="4" w:space="0"/>
              <w:right w:val="single" w:color="auto" w:sz="4" w:space="0"/>
            </w:tcBorders>
            <w:noWrap/>
            <w:vAlign w:val="bottom"/>
          </w:tcPr>
          <w:p w14:paraId="2D43E056">
            <w:pPr>
              <w:adjustRightInd w:val="0"/>
              <w:snapToGrid w:val="0"/>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建设时机和条件是否成熟，是否会导致相关行业、相邻地方群众攀比</w:t>
            </w:r>
          </w:p>
        </w:tc>
        <w:tc>
          <w:tcPr>
            <w:tcW w:w="1029" w:type="dxa"/>
            <w:tcBorders>
              <w:top w:val="nil"/>
              <w:left w:val="nil"/>
              <w:bottom w:val="single" w:color="auto" w:sz="4" w:space="0"/>
              <w:right w:val="single" w:color="auto" w:sz="4" w:space="0"/>
            </w:tcBorders>
            <w:noWrap/>
            <w:vAlign w:val="bottom"/>
          </w:tcPr>
          <w:p w14:paraId="4D12150F">
            <w:pPr>
              <w:adjustRightInd w:val="0"/>
              <w:snapToGrid w:val="0"/>
              <w:jc w:val="center"/>
              <w:rPr>
                <w:rFonts w:ascii="宋体" w:hAnsi="宋体" w:eastAsia="宋体" w:cs="宋体"/>
                <w:color w:val="000000"/>
                <w:kern w:val="0"/>
                <w:sz w:val="18"/>
                <w:szCs w:val="18"/>
              </w:rPr>
            </w:pPr>
            <w:r>
              <w:rPr>
                <w:rFonts w:hint="eastAsia" w:ascii="宋体" w:hAnsi="宋体" w:cs="宋体"/>
                <w:color w:val="000000"/>
                <w:kern w:val="0"/>
                <w:sz w:val="18"/>
                <w:szCs w:val="18"/>
              </w:rPr>
              <w:t>2</w:t>
            </w:r>
          </w:p>
        </w:tc>
      </w:tr>
      <w:tr w14:paraId="4A4B3A2F">
        <w:tblPrEx>
          <w:tblCellMar>
            <w:top w:w="0" w:type="dxa"/>
            <w:left w:w="108" w:type="dxa"/>
            <w:bottom w:w="0" w:type="dxa"/>
            <w:right w:w="108" w:type="dxa"/>
          </w:tblCellMar>
        </w:tblPrEx>
        <w:trPr>
          <w:trHeight w:val="270" w:hRule="atLeast"/>
        </w:trPr>
        <w:tc>
          <w:tcPr>
            <w:tcW w:w="1165" w:type="dxa"/>
            <w:vMerge w:val="continue"/>
            <w:tcBorders>
              <w:left w:val="single" w:color="auto" w:sz="4" w:space="0"/>
              <w:right w:val="single" w:color="auto" w:sz="4" w:space="0"/>
            </w:tcBorders>
            <w:vAlign w:val="center"/>
          </w:tcPr>
          <w:p w14:paraId="08FE64CC">
            <w:pPr>
              <w:widowControl/>
              <w:spacing w:line="240" w:lineRule="atLeast"/>
              <w:jc w:val="center"/>
              <w:rPr>
                <w:rFonts w:ascii="宋体" w:hAnsi="宋体" w:eastAsia="宋体" w:cs="宋体"/>
                <w:color w:val="000000"/>
                <w:kern w:val="0"/>
                <w:sz w:val="18"/>
                <w:szCs w:val="18"/>
              </w:rPr>
            </w:pPr>
          </w:p>
        </w:tc>
        <w:tc>
          <w:tcPr>
            <w:tcW w:w="1343" w:type="dxa"/>
            <w:vMerge w:val="continue"/>
            <w:tcBorders>
              <w:left w:val="nil"/>
              <w:bottom w:val="single" w:color="auto" w:sz="4" w:space="0"/>
              <w:right w:val="single" w:color="auto" w:sz="4" w:space="0"/>
            </w:tcBorders>
            <w:noWrap/>
            <w:vAlign w:val="center"/>
          </w:tcPr>
          <w:p w14:paraId="2B9EB9CF">
            <w:pPr>
              <w:widowControl/>
              <w:spacing w:line="240" w:lineRule="atLeast"/>
              <w:jc w:val="center"/>
              <w:rPr>
                <w:rFonts w:ascii="宋体" w:hAnsi="宋体" w:eastAsia="宋体" w:cs="宋体"/>
                <w:color w:val="000000"/>
                <w:kern w:val="0"/>
                <w:sz w:val="18"/>
                <w:szCs w:val="18"/>
              </w:rPr>
            </w:pPr>
          </w:p>
        </w:tc>
        <w:tc>
          <w:tcPr>
            <w:tcW w:w="5289" w:type="dxa"/>
            <w:tcBorders>
              <w:top w:val="nil"/>
              <w:left w:val="nil"/>
              <w:bottom w:val="single" w:color="auto" w:sz="4" w:space="0"/>
              <w:right w:val="single" w:color="auto" w:sz="4" w:space="0"/>
            </w:tcBorders>
            <w:noWrap/>
            <w:vAlign w:val="bottom"/>
          </w:tcPr>
          <w:p w14:paraId="5977AD00">
            <w:pPr>
              <w:adjustRightInd w:val="0"/>
              <w:snapToGrid w:val="0"/>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该项目资金的筹集和落实是否有保障</w:t>
            </w:r>
            <w:r>
              <w:rPr>
                <w:rFonts w:hint="eastAsia" w:ascii="宋体" w:hAnsi="宋体" w:eastAsia="宋体" w:cs="宋体"/>
                <w:color w:val="000000"/>
                <w:kern w:val="0"/>
                <w:sz w:val="18"/>
                <w:szCs w:val="18"/>
              </w:rPr>
              <w:sym w:font="Wingdings" w:char="F0B5"/>
            </w:r>
          </w:p>
        </w:tc>
        <w:tc>
          <w:tcPr>
            <w:tcW w:w="1029" w:type="dxa"/>
            <w:tcBorders>
              <w:top w:val="nil"/>
              <w:left w:val="nil"/>
              <w:bottom w:val="single" w:color="auto" w:sz="4" w:space="0"/>
              <w:right w:val="single" w:color="auto" w:sz="4" w:space="0"/>
            </w:tcBorders>
            <w:noWrap/>
            <w:vAlign w:val="bottom"/>
          </w:tcPr>
          <w:p w14:paraId="31AD36B5">
            <w:pPr>
              <w:adjustRightInd w:val="0"/>
              <w:snapToGrid w:val="0"/>
              <w:jc w:val="center"/>
              <w:rPr>
                <w:rFonts w:ascii="宋体" w:hAnsi="宋体" w:eastAsia="宋体" w:cs="宋体"/>
                <w:color w:val="000000"/>
                <w:kern w:val="0"/>
                <w:sz w:val="18"/>
                <w:szCs w:val="18"/>
              </w:rPr>
            </w:pPr>
            <w:r>
              <w:rPr>
                <w:rFonts w:hint="eastAsia" w:ascii="宋体" w:hAnsi="宋体" w:cs="宋体"/>
                <w:color w:val="000000"/>
                <w:kern w:val="0"/>
                <w:sz w:val="18"/>
                <w:szCs w:val="18"/>
              </w:rPr>
              <w:t>2</w:t>
            </w:r>
          </w:p>
        </w:tc>
      </w:tr>
      <w:tr w14:paraId="51C56CFB">
        <w:tblPrEx>
          <w:tblCellMar>
            <w:top w:w="0" w:type="dxa"/>
            <w:left w:w="108" w:type="dxa"/>
            <w:bottom w:w="0" w:type="dxa"/>
            <w:right w:w="108" w:type="dxa"/>
          </w:tblCellMar>
        </w:tblPrEx>
        <w:trPr>
          <w:trHeight w:val="262" w:hRule="atLeast"/>
        </w:trPr>
        <w:tc>
          <w:tcPr>
            <w:tcW w:w="1165" w:type="dxa"/>
            <w:vMerge w:val="continue"/>
            <w:tcBorders>
              <w:left w:val="single" w:color="auto" w:sz="4" w:space="0"/>
              <w:right w:val="single" w:color="auto" w:sz="4" w:space="0"/>
            </w:tcBorders>
            <w:vAlign w:val="center"/>
          </w:tcPr>
          <w:p w14:paraId="4D56A2EE">
            <w:pPr>
              <w:spacing w:line="240" w:lineRule="atLeast"/>
              <w:jc w:val="center"/>
              <w:rPr>
                <w:rFonts w:ascii="宋体" w:hAnsi="宋体" w:eastAsia="宋体" w:cs="宋体"/>
                <w:color w:val="000000"/>
                <w:kern w:val="0"/>
                <w:sz w:val="18"/>
                <w:szCs w:val="18"/>
              </w:rPr>
            </w:pPr>
          </w:p>
        </w:tc>
        <w:tc>
          <w:tcPr>
            <w:tcW w:w="1343" w:type="dxa"/>
            <w:vMerge w:val="restart"/>
            <w:tcBorders>
              <w:top w:val="single" w:color="auto" w:sz="4" w:space="0"/>
              <w:left w:val="nil"/>
              <w:right w:val="single" w:color="auto" w:sz="4" w:space="0"/>
            </w:tcBorders>
            <w:noWrap/>
            <w:vAlign w:val="center"/>
          </w:tcPr>
          <w:p w14:paraId="4C48E234">
            <w:pPr>
              <w:spacing w:line="240" w:lineRule="atLeast"/>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经济效益和社会影响</w:t>
            </w:r>
          </w:p>
          <w:p w14:paraId="3F40AE7D">
            <w:pPr>
              <w:spacing w:line="240" w:lineRule="atLeast"/>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（10分）</w:t>
            </w:r>
          </w:p>
        </w:tc>
        <w:tc>
          <w:tcPr>
            <w:tcW w:w="5289" w:type="dxa"/>
            <w:tcBorders>
              <w:top w:val="nil"/>
              <w:left w:val="nil"/>
              <w:bottom w:val="single" w:color="auto" w:sz="4" w:space="0"/>
              <w:right w:val="single" w:color="auto" w:sz="4" w:space="0"/>
            </w:tcBorders>
            <w:noWrap/>
            <w:vAlign w:val="bottom"/>
          </w:tcPr>
          <w:p w14:paraId="5C282429">
            <w:pPr>
              <w:adjustRightInd w:val="0"/>
              <w:snapToGrid w:val="0"/>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是否对地方经济、集体组织的发展有促进作用</w:t>
            </w:r>
          </w:p>
        </w:tc>
        <w:tc>
          <w:tcPr>
            <w:tcW w:w="1029" w:type="dxa"/>
            <w:tcBorders>
              <w:top w:val="nil"/>
              <w:left w:val="nil"/>
              <w:bottom w:val="single" w:color="auto" w:sz="4" w:space="0"/>
              <w:right w:val="single" w:color="auto" w:sz="4" w:space="0"/>
            </w:tcBorders>
            <w:noWrap/>
            <w:vAlign w:val="bottom"/>
          </w:tcPr>
          <w:p w14:paraId="5689D797">
            <w:pPr>
              <w:adjustRightInd w:val="0"/>
              <w:snapToGrid w:val="0"/>
              <w:jc w:val="center"/>
              <w:rPr>
                <w:rFonts w:ascii="宋体" w:hAnsi="宋体" w:cs="宋体"/>
                <w:color w:val="000000"/>
                <w:kern w:val="0"/>
                <w:sz w:val="18"/>
                <w:szCs w:val="18"/>
              </w:rPr>
            </w:pPr>
            <w:r>
              <w:rPr>
                <w:rFonts w:hint="eastAsia" w:ascii="宋体" w:hAnsi="宋体" w:cs="宋体"/>
                <w:color w:val="000000"/>
                <w:kern w:val="0"/>
                <w:sz w:val="18"/>
                <w:szCs w:val="18"/>
              </w:rPr>
              <w:t>2</w:t>
            </w:r>
          </w:p>
        </w:tc>
      </w:tr>
      <w:tr w14:paraId="41174D1A">
        <w:tblPrEx>
          <w:tblCellMar>
            <w:top w:w="0" w:type="dxa"/>
            <w:left w:w="108" w:type="dxa"/>
            <w:bottom w:w="0" w:type="dxa"/>
            <w:right w:w="108" w:type="dxa"/>
          </w:tblCellMar>
        </w:tblPrEx>
        <w:trPr>
          <w:trHeight w:val="262" w:hRule="atLeast"/>
        </w:trPr>
        <w:tc>
          <w:tcPr>
            <w:tcW w:w="1165" w:type="dxa"/>
            <w:vMerge w:val="continue"/>
            <w:tcBorders>
              <w:left w:val="single" w:color="auto" w:sz="4" w:space="0"/>
              <w:right w:val="single" w:color="auto" w:sz="4" w:space="0"/>
            </w:tcBorders>
            <w:vAlign w:val="center"/>
          </w:tcPr>
          <w:p w14:paraId="304FF73B">
            <w:pPr>
              <w:spacing w:line="240" w:lineRule="atLeast"/>
              <w:jc w:val="center"/>
              <w:rPr>
                <w:rFonts w:ascii="宋体" w:hAnsi="宋体" w:eastAsia="宋体" w:cs="宋体"/>
                <w:color w:val="000000"/>
                <w:kern w:val="0"/>
                <w:sz w:val="18"/>
                <w:szCs w:val="18"/>
              </w:rPr>
            </w:pPr>
          </w:p>
        </w:tc>
        <w:tc>
          <w:tcPr>
            <w:tcW w:w="1343" w:type="dxa"/>
            <w:vMerge w:val="continue"/>
            <w:tcBorders>
              <w:left w:val="nil"/>
              <w:right w:val="single" w:color="auto" w:sz="4" w:space="0"/>
            </w:tcBorders>
            <w:noWrap/>
            <w:vAlign w:val="center"/>
          </w:tcPr>
          <w:p w14:paraId="70D29168">
            <w:pPr>
              <w:spacing w:line="240" w:lineRule="atLeast"/>
              <w:jc w:val="center"/>
              <w:rPr>
                <w:rFonts w:ascii="宋体" w:hAnsi="宋体" w:eastAsia="宋体" w:cs="宋体"/>
                <w:color w:val="000000"/>
                <w:kern w:val="0"/>
                <w:sz w:val="18"/>
                <w:szCs w:val="18"/>
              </w:rPr>
            </w:pPr>
          </w:p>
        </w:tc>
        <w:tc>
          <w:tcPr>
            <w:tcW w:w="5289" w:type="dxa"/>
            <w:tcBorders>
              <w:top w:val="nil"/>
              <w:left w:val="nil"/>
              <w:bottom w:val="single" w:color="auto" w:sz="4" w:space="0"/>
              <w:right w:val="single" w:color="auto" w:sz="4" w:space="0"/>
            </w:tcBorders>
            <w:noWrap/>
            <w:vAlign w:val="bottom"/>
          </w:tcPr>
          <w:p w14:paraId="498422F3">
            <w:pPr>
              <w:adjustRightInd w:val="0"/>
              <w:snapToGrid w:val="0"/>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是否造成当地群众失业或促进群众就业</w:t>
            </w:r>
          </w:p>
        </w:tc>
        <w:tc>
          <w:tcPr>
            <w:tcW w:w="1029" w:type="dxa"/>
            <w:tcBorders>
              <w:top w:val="nil"/>
              <w:left w:val="nil"/>
              <w:bottom w:val="single" w:color="auto" w:sz="4" w:space="0"/>
              <w:right w:val="single" w:color="auto" w:sz="4" w:space="0"/>
            </w:tcBorders>
            <w:noWrap/>
            <w:vAlign w:val="bottom"/>
          </w:tcPr>
          <w:p w14:paraId="2E382A0C">
            <w:pPr>
              <w:adjustRightInd w:val="0"/>
              <w:snapToGrid w:val="0"/>
              <w:jc w:val="center"/>
              <w:rPr>
                <w:rFonts w:ascii="宋体" w:hAnsi="宋体" w:eastAsia="宋体" w:cs="宋体"/>
                <w:color w:val="000000"/>
                <w:kern w:val="0"/>
                <w:sz w:val="18"/>
                <w:szCs w:val="18"/>
              </w:rPr>
            </w:pPr>
            <w:r>
              <w:rPr>
                <w:rFonts w:hint="eastAsia" w:ascii="宋体" w:hAnsi="宋体" w:cs="宋体"/>
                <w:color w:val="000000"/>
                <w:kern w:val="0"/>
                <w:sz w:val="18"/>
                <w:szCs w:val="18"/>
              </w:rPr>
              <w:t>2</w:t>
            </w:r>
          </w:p>
        </w:tc>
      </w:tr>
      <w:tr w14:paraId="5FF3C184">
        <w:tblPrEx>
          <w:tblCellMar>
            <w:top w:w="0" w:type="dxa"/>
            <w:left w:w="108" w:type="dxa"/>
            <w:bottom w:w="0" w:type="dxa"/>
            <w:right w:w="108" w:type="dxa"/>
          </w:tblCellMar>
        </w:tblPrEx>
        <w:trPr>
          <w:trHeight w:val="349" w:hRule="atLeast"/>
        </w:trPr>
        <w:tc>
          <w:tcPr>
            <w:tcW w:w="1165" w:type="dxa"/>
            <w:vMerge w:val="continue"/>
            <w:tcBorders>
              <w:left w:val="single" w:color="auto" w:sz="4" w:space="0"/>
              <w:right w:val="single" w:color="auto" w:sz="4" w:space="0"/>
            </w:tcBorders>
            <w:vAlign w:val="center"/>
          </w:tcPr>
          <w:p w14:paraId="49BB1F96">
            <w:pPr>
              <w:spacing w:line="240" w:lineRule="atLeast"/>
              <w:jc w:val="center"/>
              <w:rPr>
                <w:rFonts w:ascii="宋体" w:hAnsi="宋体" w:eastAsia="宋体" w:cs="宋体"/>
                <w:color w:val="000000"/>
                <w:kern w:val="0"/>
                <w:sz w:val="18"/>
                <w:szCs w:val="18"/>
              </w:rPr>
            </w:pPr>
          </w:p>
        </w:tc>
        <w:tc>
          <w:tcPr>
            <w:tcW w:w="1343" w:type="dxa"/>
            <w:vMerge w:val="continue"/>
            <w:tcBorders>
              <w:left w:val="nil"/>
              <w:right w:val="single" w:color="auto" w:sz="4" w:space="0"/>
            </w:tcBorders>
            <w:noWrap/>
            <w:vAlign w:val="center"/>
          </w:tcPr>
          <w:p w14:paraId="53A23574">
            <w:pPr>
              <w:spacing w:line="240" w:lineRule="atLeast"/>
              <w:jc w:val="center"/>
              <w:rPr>
                <w:rFonts w:ascii="宋体" w:hAnsi="宋体" w:eastAsia="宋体" w:cs="宋体"/>
                <w:color w:val="000000"/>
                <w:kern w:val="0"/>
                <w:sz w:val="18"/>
                <w:szCs w:val="18"/>
              </w:rPr>
            </w:pPr>
          </w:p>
        </w:tc>
        <w:tc>
          <w:tcPr>
            <w:tcW w:w="5289" w:type="dxa"/>
            <w:tcBorders>
              <w:top w:val="single" w:color="auto" w:sz="4" w:space="0"/>
              <w:left w:val="nil"/>
              <w:bottom w:val="single" w:color="auto" w:sz="4" w:space="0"/>
              <w:right w:val="single" w:color="auto" w:sz="4" w:space="0"/>
            </w:tcBorders>
            <w:noWrap/>
            <w:vAlign w:val="bottom"/>
          </w:tcPr>
          <w:p w14:paraId="705F2E7C">
            <w:pPr>
              <w:adjustRightInd w:val="0"/>
              <w:snapToGrid w:val="0"/>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会给当地群众带来减收还是增收</w:t>
            </w:r>
          </w:p>
        </w:tc>
        <w:tc>
          <w:tcPr>
            <w:tcW w:w="1029" w:type="dxa"/>
            <w:tcBorders>
              <w:top w:val="single" w:color="auto" w:sz="4" w:space="0"/>
              <w:left w:val="nil"/>
              <w:bottom w:val="single" w:color="auto" w:sz="4" w:space="0"/>
              <w:right w:val="single" w:color="auto" w:sz="4" w:space="0"/>
            </w:tcBorders>
            <w:noWrap/>
            <w:vAlign w:val="bottom"/>
          </w:tcPr>
          <w:p w14:paraId="001709BE">
            <w:pPr>
              <w:adjustRightInd w:val="0"/>
              <w:snapToGrid w:val="0"/>
              <w:jc w:val="center"/>
              <w:rPr>
                <w:rFonts w:ascii="宋体" w:hAnsi="宋体" w:eastAsia="宋体" w:cs="宋体"/>
                <w:color w:val="000000"/>
                <w:kern w:val="0"/>
                <w:sz w:val="18"/>
                <w:szCs w:val="18"/>
              </w:rPr>
            </w:pPr>
            <w:r>
              <w:rPr>
                <w:rFonts w:hint="eastAsia" w:ascii="宋体" w:hAnsi="宋体" w:cs="宋体"/>
                <w:color w:val="000000"/>
                <w:kern w:val="0"/>
                <w:sz w:val="18"/>
                <w:szCs w:val="18"/>
              </w:rPr>
              <w:t>2</w:t>
            </w:r>
          </w:p>
        </w:tc>
      </w:tr>
      <w:tr w14:paraId="411E10D5">
        <w:tblPrEx>
          <w:tblCellMar>
            <w:top w:w="0" w:type="dxa"/>
            <w:left w:w="108" w:type="dxa"/>
            <w:bottom w:w="0" w:type="dxa"/>
            <w:right w:w="108" w:type="dxa"/>
          </w:tblCellMar>
        </w:tblPrEx>
        <w:trPr>
          <w:trHeight w:val="349" w:hRule="atLeast"/>
        </w:trPr>
        <w:tc>
          <w:tcPr>
            <w:tcW w:w="1165" w:type="dxa"/>
            <w:vMerge w:val="continue"/>
            <w:tcBorders>
              <w:left w:val="single" w:color="auto" w:sz="4" w:space="0"/>
              <w:right w:val="single" w:color="auto" w:sz="4" w:space="0"/>
            </w:tcBorders>
            <w:vAlign w:val="center"/>
          </w:tcPr>
          <w:p w14:paraId="6DD6832A">
            <w:pPr>
              <w:spacing w:line="240" w:lineRule="atLeast"/>
              <w:jc w:val="center"/>
              <w:rPr>
                <w:rFonts w:ascii="宋体" w:hAnsi="宋体" w:eastAsia="宋体" w:cs="宋体"/>
                <w:color w:val="000000"/>
                <w:kern w:val="0"/>
                <w:sz w:val="18"/>
                <w:szCs w:val="18"/>
              </w:rPr>
            </w:pPr>
          </w:p>
        </w:tc>
        <w:tc>
          <w:tcPr>
            <w:tcW w:w="1343" w:type="dxa"/>
            <w:vMerge w:val="continue"/>
            <w:tcBorders>
              <w:left w:val="nil"/>
              <w:right w:val="single" w:color="auto" w:sz="4" w:space="0"/>
            </w:tcBorders>
            <w:noWrap/>
            <w:vAlign w:val="center"/>
          </w:tcPr>
          <w:p w14:paraId="3E46C25A">
            <w:pPr>
              <w:spacing w:line="240" w:lineRule="atLeast"/>
              <w:jc w:val="center"/>
              <w:rPr>
                <w:rFonts w:ascii="宋体" w:hAnsi="宋体" w:eastAsia="宋体" w:cs="宋体"/>
                <w:color w:val="000000"/>
                <w:kern w:val="0"/>
                <w:sz w:val="18"/>
                <w:szCs w:val="18"/>
              </w:rPr>
            </w:pPr>
          </w:p>
        </w:tc>
        <w:tc>
          <w:tcPr>
            <w:tcW w:w="5289" w:type="dxa"/>
            <w:tcBorders>
              <w:top w:val="single" w:color="auto" w:sz="4" w:space="0"/>
              <w:left w:val="nil"/>
              <w:bottom w:val="single" w:color="auto" w:sz="4" w:space="0"/>
              <w:right w:val="single" w:color="auto" w:sz="4" w:space="0"/>
            </w:tcBorders>
            <w:noWrap/>
            <w:vAlign w:val="bottom"/>
          </w:tcPr>
          <w:p w14:paraId="26B0D8D3">
            <w:pPr>
              <w:adjustRightInd w:val="0"/>
              <w:snapToGrid w:val="0"/>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建设期间及建成后是否会造成当地群众生产生活不便，包括但不限于出行、居住环境等</w:t>
            </w:r>
          </w:p>
        </w:tc>
        <w:tc>
          <w:tcPr>
            <w:tcW w:w="1029" w:type="dxa"/>
            <w:tcBorders>
              <w:top w:val="single" w:color="auto" w:sz="4" w:space="0"/>
              <w:left w:val="nil"/>
              <w:bottom w:val="single" w:color="auto" w:sz="4" w:space="0"/>
              <w:right w:val="single" w:color="auto" w:sz="4" w:space="0"/>
            </w:tcBorders>
            <w:noWrap/>
            <w:vAlign w:val="bottom"/>
          </w:tcPr>
          <w:p w14:paraId="0F8090FA">
            <w:pPr>
              <w:adjustRightInd w:val="0"/>
              <w:snapToGrid w:val="0"/>
              <w:jc w:val="center"/>
              <w:rPr>
                <w:rFonts w:ascii="宋体" w:hAnsi="宋体" w:eastAsia="宋体" w:cs="宋体"/>
                <w:color w:val="000000"/>
                <w:kern w:val="0"/>
                <w:sz w:val="18"/>
                <w:szCs w:val="18"/>
              </w:rPr>
            </w:pPr>
            <w:r>
              <w:rPr>
                <w:rFonts w:hint="eastAsia" w:ascii="宋体" w:hAnsi="宋体" w:cs="宋体"/>
                <w:color w:val="000000"/>
                <w:kern w:val="0"/>
                <w:sz w:val="18"/>
                <w:szCs w:val="18"/>
              </w:rPr>
              <w:t>2</w:t>
            </w:r>
          </w:p>
        </w:tc>
      </w:tr>
      <w:tr w14:paraId="74166A4F">
        <w:tblPrEx>
          <w:tblCellMar>
            <w:top w:w="0" w:type="dxa"/>
            <w:left w:w="108" w:type="dxa"/>
            <w:bottom w:w="0" w:type="dxa"/>
            <w:right w:w="108" w:type="dxa"/>
          </w:tblCellMar>
        </w:tblPrEx>
        <w:trPr>
          <w:trHeight w:val="270" w:hRule="atLeast"/>
        </w:trPr>
        <w:tc>
          <w:tcPr>
            <w:tcW w:w="1165" w:type="dxa"/>
            <w:vMerge w:val="continue"/>
            <w:tcBorders>
              <w:left w:val="single" w:color="auto" w:sz="4" w:space="0"/>
              <w:right w:val="single" w:color="auto" w:sz="4" w:space="0"/>
            </w:tcBorders>
            <w:vAlign w:val="center"/>
          </w:tcPr>
          <w:p w14:paraId="4152D2B1">
            <w:pPr>
              <w:widowControl/>
              <w:spacing w:line="240" w:lineRule="atLeast"/>
              <w:jc w:val="center"/>
              <w:rPr>
                <w:rFonts w:ascii="宋体" w:hAnsi="宋体" w:eastAsia="宋体" w:cs="宋体"/>
                <w:color w:val="000000"/>
                <w:kern w:val="0"/>
                <w:sz w:val="18"/>
                <w:szCs w:val="18"/>
              </w:rPr>
            </w:pPr>
          </w:p>
        </w:tc>
        <w:tc>
          <w:tcPr>
            <w:tcW w:w="1343" w:type="dxa"/>
            <w:vMerge w:val="continue"/>
            <w:tcBorders>
              <w:left w:val="nil"/>
              <w:bottom w:val="single" w:color="auto" w:sz="4" w:space="0"/>
              <w:right w:val="single" w:color="auto" w:sz="4" w:space="0"/>
            </w:tcBorders>
            <w:noWrap/>
            <w:vAlign w:val="center"/>
          </w:tcPr>
          <w:p w14:paraId="268184A5">
            <w:pPr>
              <w:widowControl/>
              <w:spacing w:line="240" w:lineRule="atLeast"/>
              <w:jc w:val="center"/>
              <w:rPr>
                <w:rFonts w:ascii="宋体" w:hAnsi="宋体" w:eastAsia="宋体" w:cs="宋体"/>
                <w:color w:val="000000"/>
                <w:kern w:val="0"/>
                <w:sz w:val="18"/>
                <w:szCs w:val="18"/>
              </w:rPr>
            </w:pPr>
          </w:p>
        </w:tc>
        <w:tc>
          <w:tcPr>
            <w:tcW w:w="5289" w:type="dxa"/>
            <w:tcBorders>
              <w:top w:val="nil"/>
              <w:left w:val="nil"/>
              <w:bottom w:val="single" w:color="auto" w:sz="4" w:space="0"/>
              <w:right w:val="single" w:color="auto" w:sz="4" w:space="0"/>
            </w:tcBorders>
            <w:noWrap/>
            <w:vAlign w:val="bottom"/>
          </w:tcPr>
          <w:p w14:paraId="470ABB1B">
            <w:pPr>
              <w:adjustRightInd w:val="0"/>
              <w:snapToGrid w:val="0"/>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建设期间及建成后是否会带来新的安全隐患，包括但不限于</w:t>
            </w:r>
            <w:r>
              <w:rPr>
                <w:rFonts w:hint="eastAsia" w:ascii="宋体" w:hAnsi="宋体" w:cs="宋体"/>
                <w:color w:val="000000"/>
                <w:kern w:val="0"/>
                <w:sz w:val="18"/>
                <w:szCs w:val="18"/>
              </w:rPr>
              <w:t>是否引发安全事故、是否</w:t>
            </w:r>
            <w:r>
              <w:rPr>
                <w:rFonts w:hint="eastAsia" w:ascii="宋体" w:hAnsi="宋体" w:eastAsia="宋体" w:cs="宋体"/>
                <w:color w:val="000000"/>
                <w:kern w:val="0"/>
                <w:sz w:val="18"/>
                <w:szCs w:val="18"/>
              </w:rPr>
              <w:t>存在危险化学品爆炸或者泄露等安全隐患</w:t>
            </w:r>
          </w:p>
        </w:tc>
        <w:tc>
          <w:tcPr>
            <w:tcW w:w="1029" w:type="dxa"/>
            <w:tcBorders>
              <w:top w:val="nil"/>
              <w:left w:val="nil"/>
              <w:bottom w:val="single" w:color="auto" w:sz="4" w:space="0"/>
              <w:right w:val="single" w:color="auto" w:sz="4" w:space="0"/>
            </w:tcBorders>
            <w:noWrap/>
            <w:vAlign w:val="bottom"/>
          </w:tcPr>
          <w:p w14:paraId="6E477529">
            <w:pPr>
              <w:adjustRightInd w:val="0"/>
              <w:snapToGrid w:val="0"/>
              <w:jc w:val="center"/>
              <w:rPr>
                <w:rFonts w:ascii="宋体" w:hAnsi="宋体" w:eastAsia="宋体" w:cs="宋体"/>
                <w:color w:val="000000"/>
                <w:kern w:val="0"/>
                <w:sz w:val="18"/>
                <w:szCs w:val="18"/>
              </w:rPr>
            </w:pPr>
            <w:r>
              <w:rPr>
                <w:rFonts w:hint="eastAsia" w:ascii="宋体" w:hAnsi="宋体" w:cs="宋体"/>
                <w:color w:val="000000"/>
                <w:kern w:val="0"/>
                <w:sz w:val="18"/>
                <w:szCs w:val="18"/>
              </w:rPr>
              <w:t>2</w:t>
            </w:r>
          </w:p>
        </w:tc>
      </w:tr>
      <w:tr w14:paraId="200BB8C9">
        <w:tblPrEx>
          <w:tblCellMar>
            <w:top w:w="0" w:type="dxa"/>
            <w:left w:w="108" w:type="dxa"/>
            <w:bottom w:w="0" w:type="dxa"/>
            <w:right w:w="108" w:type="dxa"/>
          </w:tblCellMar>
        </w:tblPrEx>
        <w:trPr>
          <w:trHeight w:val="270" w:hRule="atLeast"/>
        </w:trPr>
        <w:tc>
          <w:tcPr>
            <w:tcW w:w="1165" w:type="dxa"/>
            <w:vMerge w:val="continue"/>
            <w:tcBorders>
              <w:left w:val="single" w:color="auto" w:sz="4" w:space="0"/>
              <w:right w:val="single" w:color="auto" w:sz="4" w:space="0"/>
            </w:tcBorders>
            <w:vAlign w:val="center"/>
          </w:tcPr>
          <w:p w14:paraId="3AC5B388">
            <w:pPr>
              <w:widowControl/>
              <w:spacing w:line="240" w:lineRule="atLeast"/>
              <w:jc w:val="center"/>
              <w:rPr>
                <w:rFonts w:ascii="宋体" w:hAnsi="宋体" w:eastAsia="宋体" w:cs="宋体"/>
                <w:color w:val="000000"/>
                <w:kern w:val="0"/>
                <w:sz w:val="18"/>
                <w:szCs w:val="18"/>
              </w:rPr>
            </w:pPr>
          </w:p>
        </w:tc>
        <w:tc>
          <w:tcPr>
            <w:tcW w:w="1343" w:type="dxa"/>
            <w:vMerge w:val="restart"/>
            <w:tcBorders>
              <w:top w:val="single" w:color="auto" w:sz="4" w:space="0"/>
              <w:left w:val="nil"/>
              <w:right w:val="single" w:color="auto" w:sz="4" w:space="0"/>
            </w:tcBorders>
            <w:noWrap/>
            <w:vAlign w:val="center"/>
          </w:tcPr>
          <w:p w14:paraId="52F75677">
            <w:pPr>
              <w:widowControl/>
              <w:spacing w:line="240" w:lineRule="atLeast"/>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社会适应性</w:t>
            </w:r>
          </w:p>
          <w:p w14:paraId="1E52CA29">
            <w:pPr>
              <w:widowControl/>
              <w:spacing w:line="240" w:lineRule="atLeast"/>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（8分）</w:t>
            </w:r>
          </w:p>
        </w:tc>
        <w:tc>
          <w:tcPr>
            <w:tcW w:w="5289" w:type="dxa"/>
            <w:tcBorders>
              <w:top w:val="nil"/>
              <w:left w:val="nil"/>
              <w:bottom w:val="single" w:color="auto" w:sz="4" w:space="0"/>
              <w:right w:val="single" w:color="auto" w:sz="4" w:space="0"/>
            </w:tcBorders>
            <w:noWrap/>
            <w:vAlign w:val="bottom"/>
          </w:tcPr>
          <w:p w14:paraId="360A94EC">
            <w:pPr>
              <w:adjustRightInd w:val="0"/>
              <w:snapToGrid w:val="0"/>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地方部门、所在地基层组织的支持度</w:t>
            </w:r>
          </w:p>
        </w:tc>
        <w:tc>
          <w:tcPr>
            <w:tcW w:w="1029" w:type="dxa"/>
            <w:tcBorders>
              <w:top w:val="nil"/>
              <w:left w:val="nil"/>
              <w:bottom w:val="single" w:color="auto" w:sz="4" w:space="0"/>
              <w:right w:val="single" w:color="auto" w:sz="4" w:space="0"/>
            </w:tcBorders>
            <w:noWrap/>
            <w:vAlign w:val="bottom"/>
          </w:tcPr>
          <w:p w14:paraId="14F94D9F">
            <w:pPr>
              <w:adjustRightInd w:val="0"/>
              <w:snapToGrid w:val="0"/>
              <w:jc w:val="center"/>
              <w:rPr>
                <w:rFonts w:ascii="宋体" w:hAnsi="宋体" w:eastAsia="宋体" w:cs="宋体"/>
                <w:color w:val="000000"/>
                <w:kern w:val="0"/>
                <w:sz w:val="18"/>
                <w:szCs w:val="18"/>
              </w:rPr>
            </w:pPr>
            <w:r>
              <w:rPr>
                <w:rFonts w:hint="eastAsia" w:ascii="宋体" w:hAnsi="宋体" w:cs="宋体"/>
                <w:color w:val="000000"/>
                <w:kern w:val="0"/>
                <w:sz w:val="18"/>
                <w:szCs w:val="18"/>
              </w:rPr>
              <w:t>2</w:t>
            </w:r>
          </w:p>
        </w:tc>
      </w:tr>
      <w:tr w14:paraId="65F55E60">
        <w:tblPrEx>
          <w:tblCellMar>
            <w:top w:w="0" w:type="dxa"/>
            <w:left w:w="108" w:type="dxa"/>
            <w:bottom w:w="0" w:type="dxa"/>
            <w:right w:w="108" w:type="dxa"/>
          </w:tblCellMar>
        </w:tblPrEx>
        <w:trPr>
          <w:trHeight w:val="448" w:hRule="atLeast"/>
        </w:trPr>
        <w:tc>
          <w:tcPr>
            <w:tcW w:w="1165" w:type="dxa"/>
            <w:vMerge w:val="continue"/>
            <w:tcBorders>
              <w:left w:val="single" w:color="auto" w:sz="4" w:space="0"/>
              <w:right w:val="single" w:color="auto" w:sz="4" w:space="0"/>
            </w:tcBorders>
            <w:vAlign w:val="center"/>
          </w:tcPr>
          <w:p w14:paraId="03DD8416">
            <w:pPr>
              <w:widowControl/>
              <w:spacing w:line="240" w:lineRule="atLeast"/>
              <w:jc w:val="center"/>
              <w:rPr>
                <w:rFonts w:ascii="宋体" w:hAnsi="宋体" w:eastAsia="宋体" w:cs="宋体"/>
                <w:color w:val="000000"/>
                <w:kern w:val="0"/>
                <w:sz w:val="18"/>
                <w:szCs w:val="18"/>
              </w:rPr>
            </w:pPr>
          </w:p>
        </w:tc>
        <w:tc>
          <w:tcPr>
            <w:tcW w:w="1343" w:type="dxa"/>
            <w:vMerge w:val="continue"/>
            <w:tcBorders>
              <w:top w:val="single" w:color="auto" w:sz="4" w:space="0"/>
              <w:left w:val="nil"/>
              <w:right w:val="single" w:color="auto" w:sz="4" w:space="0"/>
            </w:tcBorders>
            <w:noWrap/>
            <w:vAlign w:val="center"/>
          </w:tcPr>
          <w:p w14:paraId="2EB7B31F">
            <w:pPr>
              <w:widowControl/>
              <w:spacing w:line="240" w:lineRule="atLeast"/>
              <w:jc w:val="center"/>
              <w:rPr>
                <w:rFonts w:ascii="宋体" w:hAnsi="宋体" w:eastAsia="宋体" w:cs="宋体"/>
                <w:color w:val="000000"/>
                <w:kern w:val="0"/>
                <w:sz w:val="18"/>
                <w:szCs w:val="18"/>
              </w:rPr>
            </w:pPr>
          </w:p>
        </w:tc>
        <w:tc>
          <w:tcPr>
            <w:tcW w:w="5289" w:type="dxa"/>
            <w:tcBorders>
              <w:top w:val="nil"/>
              <w:left w:val="nil"/>
              <w:bottom w:val="single" w:color="auto" w:sz="4" w:space="0"/>
              <w:right w:val="single" w:color="auto" w:sz="4" w:space="0"/>
            </w:tcBorders>
            <w:noWrap/>
            <w:vAlign w:val="bottom"/>
          </w:tcPr>
          <w:p w14:paraId="5FFCE738">
            <w:pPr>
              <w:adjustRightInd w:val="0"/>
              <w:snapToGrid w:val="0"/>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受影响群众的知晓度、认可度</w:t>
            </w:r>
          </w:p>
        </w:tc>
        <w:tc>
          <w:tcPr>
            <w:tcW w:w="1029" w:type="dxa"/>
            <w:tcBorders>
              <w:top w:val="nil"/>
              <w:left w:val="nil"/>
              <w:bottom w:val="single" w:color="auto" w:sz="4" w:space="0"/>
              <w:right w:val="single" w:color="auto" w:sz="4" w:space="0"/>
            </w:tcBorders>
            <w:noWrap/>
            <w:vAlign w:val="bottom"/>
          </w:tcPr>
          <w:p w14:paraId="00ACEF09">
            <w:pPr>
              <w:adjustRightInd w:val="0"/>
              <w:snapToGrid w:val="0"/>
              <w:jc w:val="center"/>
              <w:rPr>
                <w:rFonts w:ascii="宋体" w:hAnsi="宋体" w:eastAsia="宋体" w:cs="宋体"/>
                <w:color w:val="000000"/>
                <w:kern w:val="0"/>
                <w:sz w:val="18"/>
                <w:szCs w:val="18"/>
              </w:rPr>
            </w:pPr>
            <w:r>
              <w:rPr>
                <w:rFonts w:hint="eastAsia" w:ascii="宋体" w:hAnsi="宋体" w:cs="宋体"/>
                <w:color w:val="000000"/>
                <w:kern w:val="0"/>
                <w:sz w:val="18"/>
                <w:szCs w:val="18"/>
              </w:rPr>
              <w:t>2</w:t>
            </w:r>
          </w:p>
        </w:tc>
      </w:tr>
      <w:tr w14:paraId="12E2682F">
        <w:tblPrEx>
          <w:tblCellMar>
            <w:top w:w="0" w:type="dxa"/>
            <w:left w:w="108" w:type="dxa"/>
            <w:bottom w:w="0" w:type="dxa"/>
            <w:right w:w="108" w:type="dxa"/>
          </w:tblCellMar>
        </w:tblPrEx>
        <w:trPr>
          <w:trHeight w:val="448" w:hRule="atLeast"/>
        </w:trPr>
        <w:tc>
          <w:tcPr>
            <w:tcW w:w="1165" w:type="dxa"/>
            <w:vMerge w:val="continue"/>
            <w:tcBorders>
              <w:left w:val="single" w:color="auto" w:sz="4" w:space="0"/>
              <w:right w:val="single" w:color="auto" w:sz="4" w:space="0"/>
            </w:tcBorders>
            <w:vAlign w:val="center"/>
          </w:tcPr>
          <w:p w14:paraId="6F517727">
            <w:pPr>
              <w:widowControl/>
              <w:spacing w:line="240" w:lineRule="atLeast"/>
              <w:jc w:val="center"/>
              <w:rPr>
                <w:rFonts w:ascii="宋体" w:hAnsi="宋体" w:eastAsia="宋体" w:cs="宋体"/>
                <w:color w:val="000000"/>
                <w:kern w:val="0"/>
                <w:sz w:val="18"/>
                <w:szCs w:val="18"/>
              </w:rPr>
            </w:pPr>
          </w:p>
        </w:tc>
        <w:tc>
          <w:tcPr>
            <w:tcW w:w="1343" w:type="dxa"/>
            <w:vMerge w:val="continue"/>
            <w:tcBorders>
              <w:top w:val="single" w:color="auto" w:sz="4" w:space="0"/>
              <w:left w:val="nil"/>
              <w:right w:val="single" w:color="auto" w:sz="4" w:space="0"/>
            </w:tcBorders>
            <w:noWrap/>
            <w:vAlign w:val="center"/>
          </w:tcPr>
          <w:p w14:paraId="141CE65D">
            <w:pPr>
              <w:widowControl/>
              <w:spacing w:line="240" w:lineRule="atLeast"/>
              <w:jc w:val="center"/>
              <w:rPr>
                <w:rFonts w:ascii="宋体" w:hAnsi="宋体" w:eastAsia="宋体" w:cs="宋体"/>
                <w:color w:val="000000"/>
                <w:kern w:val="0"/>
                <w:sz w:val="18"/>
                <w:szCs w:val="18"/>
              </w:rPr>
            </w:pPr>
          </w:p>
        </w:tc>
        <w:tc>
          <w:tcPr>
            <w:tcW w:w="5289" w:type="dxa"/>
            <w:tcBorders>
              <w:top w:val="nil"/>
              <w:left w:val="nil"/>
              <w:bottom w:val="single" w:color="auto" w:sz="4" w:space="0"/>
              <w:right w:val="single" w:color="auto" w:sz="4" w:space="0"/>
            </w:tcBorders>
            <w:noWrap/>
            <w:vAlign w:val="bottom"/>
          </w:tcPr>
          <w:p w14:paraId="1A59B71B">
            <w:pPr>
              <w:adjustRightInd w:val="0"/>
              <w:snapToGrid w:val="0"/>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本地类似项目的历史影响</w:t>
            </w:r>
          </w:p>
        </w:tc>
        <w:tc>
          <w:tcPr>
            <w:tcW w:w="1029" w:type="dxa"/>
            <w:tcBorders>
              <w:top w:val="nil"/>
              <w:left w:val="nil"/>
              <w:bottom w:val="single" w:color="auto" w:sz="4" w:space="0"/>
              <w:right w:val="single" w:color="auto" w:sz="4" w:space="0"/>
            </w:tcBorders>
            <w:noWrap/>
            <w:vAlign w:val="bottom"/>
          </w:tcPr>
          <w:p w14:paraId="33481FDC">
            <w:pPr>
              <w:adjustRightInd w:val="0"/>
              <w:snapToGrid w:val="0"/>
              <w:jc w:val="center"/>
              <w:rPr>
                <w:rFonts w:ascii="宋体" w:hAnsi="宋体" w:cs="宋体"/>
                <w:color w:val="000000"/>
                <w:kern w:val="0"/>
                <w:sz w:val="18"/>
                <w:szCs w:val="18"/>
              </w:rPr>
            </w:pPr>
            <w:r>
              <w:rPr>
                <w:rFonts w:hint="eastAsia" w:ascii="宋体" w:hAnsi="宋体" w:cs="宋体"/>
                <w:color w:val="000000"/>
                <w:kern w:val="0"/>
                <w:sz w:val="18"/>
                <w:szCs w:val="18"/>
              </w:rPr>
              <w:t>2</w:t>
            </w:r>
          </w:p>
        </w:tc>
      </w:tr>
      <w:tr w14:paraId="117D6F09">
        <w:tblPrEx>
          <w:tblCellMar>
            <w:top w:w="0" w:type="dxa"/>
            <w:left w:w="108" w:type="dxa"/>
            <w:bottom w:w="0" w:type="dxa"/>
            <w:right w:w="108" w:type="dxa"/>
          </w:tblCellMar>
        </w:tblPrEx>
        <w:trPr>
          <w:trHeight w:val="686" w:hRule="atLeast"/>
        </w:trPr>
        <w:tc>
          <w:tcPr>
            <w:tcW w:w="1165" w:type="dxa"/>
            <w:vMerge w:val="continue"/>
            <w:tcBorders>
              <w:left w:val="single" w:color="auto" w:sz="4" w:space="0"/>
              <w:bottom w:val="single" w:color="auto" w:sz="4" w:space="0"/>
              <w:right w:val="single" w:color="auto" w:sz="4" w:space="0"/>
            </w:tcBorders>
            <w:vAlign w:val="center"/>
          </w:tcPr>
          <w:p w14:paraId="3350F2A0">
            <w:pPr>
              <w:widowControl/>
              <w:spacing w:line="240" w:lineRule="atLeast"/>
              <w:jc w:val="center"/>
              <w:rPr>
                <w:rFonts w:ascii="宋体" w:hAnsi="宋体" w:eastAsia="宋体" w:cs="宋体"/>
                <w:color w:val="000000"/>
                <w:kern w:val="0"/>
                <w:sz w:val="18"/>
                <w:szCs w:val="18"/>
              </w:rPr>
            </w:pPr>
          </w:p>
        </w:tc>
        <w:tc>
          <w:tcPr>
            <w:tcW w:w="1343" w:type="dxa"/>
            <w:vMerge w:val="continue"/>
            <w:tcBorders>
              <w:top w:val="single" w:color="auto" w:sz="4" w:space="0"/>
              <w:left w:val="nil"/>
              <w:bottom w:val="single" w:color="auto" w:sz="4" w:space="0"/>
              <w:right w:val="single" w:color="auto" w:sz="4" w:space="0"/>
            </w:tcBorders>
            <w:noWrap/>
            <w:vAlign w:val="center"/>
          </w:tcPr>
          <w:p w14:paraId="4BED6123">
            <w:pPr>
              <w:widowControl/>
              <w:spacing w:line="240" w:lineRule="atLeast"/>
              <w:jc w:val="center"/>
              <w:rPr>
                <w:rFonts w:ascii="宋体" w:hAnsi="宋体" w:eastAsia="宋体" w:cs="宋体"/>
                <w:color w:val="000000"/>
                <w:kern w:val="0"/>
                <w:sz w:val="18"/>
                <w:szCs w:val="18"/>
              </w:rPr>
            </w:pPr>
          </w:p>
        </w:tc>
        <w:tc>
          <w:tcPr>
            <w:tcW w:w="5289" w:type="dxa"/>
            <w:tcBorders>
              <w:top w:val="nil"/>
              <w:left w:val="nil"/>
              <w:bottom w:val="single" w:color="auto" w:sz="4" w:space="0"/>
              <w:right w:val="single" w:color="auto" w:sz="4" w:space="0"/>
            </w:tcBorders>
            <w:noWrap/>
            <w:vAlign w:val="bottom"/>
          </w:tcPr>
          <w:p w14:paraId="4D232473">
            <w:pPr>
              <w:adjustRightInd w:val="0"/>
              <w:snapToGrid w:val="0"/>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本地人文环境、风俗习惯对项目实施的影响</w:t>
            </w:r>
          </w:p>
        </w:tc>
        <w:tc>
          <w:tcPr>
            <w:tcW w:w="1029" w:type="dxa"/>
            <w:tcBorders>
              <w:top w:val="nil"/>
              <w:left w:val="nil"/>
              <w:bottom w:val="single" w:color="auto" w:sz="4" w:space="0"/>
              <w:right w:val="single" w:color="auto" w:sz="4" w:space="0"/>
            </w:tcBorders>
            <w:noWrap/>
            <w:vAlign w:val="bottom"/>
          </w:tcPr>
          <w:p w14:paraId="5863E1BC">
            <w:pPr>
              <w:adjustRightInd w:val="0"/>
              <w:snapToGrid w:val="0"/>
              <w:jc w:val="center"/>
              <w:rPr>
                <w:rFonts w:ascii="宋体" w:hAnsi="宋体" w:eastAsia="宋体" w:cs="宋体"/>
                <w:color w:val="000000"/>
                <w:kern w:val="0"/>
                <w:sz w:val="18"/>
                <w:szCs w:val="18"/>
              </w:rPr>
            </w:pPr>
            <w:r>
              <w:rPr>
                <w:rFonts w:hint="eastAsia" w:ascii="宋体" w:hAnsi="宋体" w:cs="宋体"/>
                <w:color w:val="000000"/>
                <w:kern w:val="0"/>
                <w:sz w:val="18"/>
                <w:szCs w:val="18"/>
              </w:rPr>
              <w:t>2</w:t>
            </w:r>
          </w:p>
        </w:tc>
      </w:tr>
      <w:tr w14:paraId="13E4D66C">
        <w:tblPrEx>
          <w:tblCellMar>
            <w:top w:w="0" w:type="dxa"/>
            <w:left w:w="108" w:type="dxa"/>
            <w:bottom w:w="0" w:type="dxa"/>
            <w:right w:w="108" w:type="dxa"/>
          </w:tblCellMar>
        </w:tblPrEx>
        <w:trPr>
          <w:trHeight w:val="270" w:hRule="atLeast"/>
        </w:trPr>
        <w:tc>
          <w:tcPr>
            <w:tcW w:w="1165" w:type="dxa"/>
            <w:vMerge w:val="restart"/>
            <w:tcBorders>
              <w:top w:val="single" w:color="auto" w:sz="4" w:space="0"/>
              <w:left w:val="single" w:color="auto" w:sz="4" w:space="0"/>
              <w:right w:val="single" w:color="auto" w:sz="4" w:space="0"/>
            </w:tcBorders>
            <w:vAlign w:val="center"/>
          </w:tcPr>
          <w:p w14:paraId="39ADB6AE">
            <w:pPr>
              <w:widowControl/>
              <w:spacing w:line="240" w:lineRule="atLeast"/>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可控性</w:t>
            </w:r>
          </w:p>
          <w:p w14:paraId="3A579E15">
            <w:pPr>
              <w:spacing w:line="240" w:lineRule="atLeast"/>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（30分）</w:t>
            </w:r>
          </w:p>
        </w:tc>
        <w:tc>
          <w:tcPr>
            <w:tcW w:w="1343" w:type="dxa"/>
            <w:vMerge w:val="restart"/>
            <w:tcBorders>
              <w:top w:val="single" w:color="auto" w:sz="4" w:space="0"/>
              <w:left w:val="nil"/>
              <w:right w:val="single" w:color="auto" w:sz="4" w:space="0"/>
            </w:tcBorders>
            <w:noWrap/>
            <w:vAlign w:val="center"/>
          </w:tcPr>
          <w:p w14:paraId="45E22DE7">
            <w:pPr>
              <w:spacing w:line="240" w:lineRule="atLeast"/>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风险防范</w:t>
            </w:r>
          </w:p>
          <w:p w14:paraId="5E6E6164">
            <w:pPr>
              <w:widowControl/>
              <w:spacing w:line="240" w:lineRule="atLeast"/>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w:t>
            </w:r>
            <w:r>
              <w:rPr>
                <w:rFonts w:hint="eastAsia" w:ascii="宋体" w:hAnsi="宋体" w:cs="宋体"/>
                <w:color w:val="000000"/>
                <w:kern w:val="0"/>
                <w:sz w:val="18"/>
                <w:szCs w:val="18"/>
              </w:rPr>
              <w:t>0</w:t>
            </w:r>
            <w:r>
              <w:rPr>
                <w:rFonts w:hint="eastAsia" w:ascii="宋体" w:hAnsi="宋体" w:eastAsia="宋体" w:cs="宋体"/>
                <w:color w:val="000000"/>
                <w:kern w:val="0"/>
                <w:sz w:val="18"/>
                <w:szCs w:val="18"/>
              </w:rPr>
              <w:t>分）</w:t>
            </w:r>
          </w:p>
          <w:p w14:paraId="30BDB4F1">
            <w:pPr>
              <w:widowControl/>
              <w:spacing w:line="240" w:lineRule="atLeast"/>
              <w:jc w:val="center"/>
              <w:rPr>
                <w:rFonts w:ascii="宋体" w:hAnsi="宋体" w:eastAsia="宋体" w:cs="宋体"/>
                <w:color w:val="000000"/>
                <w:kern w:val="0"/>
                <w:sz w:val="18"/>
                <w:szCs w:val="18"/>
              </w:rPr>
            </w:pPr>
          </w:p>
        </w:tc>
        <w:tc>
          <w:tcPr>
            <w:tcW w:w="5289" w:type="dxa"/>
            <w:tcBorders>
              <w:top w:val="single" w:color="auto" w:sz="4" w:space="0"/>
              <w:left w:val="nil"/>
              <w:bottom w:val="single" w:color="auto" w:sz="4" w:space="0"/>
              <w:right w:val="single" w:color="auto" w:sz="4" w:space="0"/>
            </w:tcBorders>
            <w:noWrap/>
            <w:vAlign w:val="center"/>
          </w:tcPr>
          <w:p w14:paraId="03BDB400">
            <w:pPr>
              <w:widowControl/>
              <w:adjustRightInd w:val="0"/>
              <w:snapToGrid w:val="0"/>
              <w:jc w:val="left"/>
              <w:rPr>
                <w:rFonts w:ascii="宋体"/>
                <w:color w:val="000000"/>
                <w:kern w:val="0"/>
                <w:sz w:val="18"/>
                <w:szCs w:val="18"/>
              </w:rPr>
            </w:pPr>
            <w:r>
              <w:rPr>
                <w:rFonts w:hint="eastAsia" w:ascii="宋体"/>
                <w:color w:val="000000"/>
                <w:kern w:val="0"/>
                <w:sz w:val="18"/>
                <w:szCs w:val="18"/>
              </w:rPr>
              <w:t>群众利益诉求渠道是否畅通，是否有专人受理投诉举报</w:t>
            </w:r>
          </w:p>
        </w:tc>
        <w:tc>
          <w:tcPr>
            <w:tcW w:w="1029" w:type="dxa"/>
            <w:tcBorders>
              <w:top w:val="nil"/>
              <w:left w:val="nil"/>
              <w:bottom w:val="single" w:color="auto" w:sz="4" w:space="0"/>
              <w:right w:val="single" w:color="auto" w:sz="4" w:space="0"/>
            </w:tcBorders>
            <w:noWrap/>
            <w:vAlign w:val="center"/>
          </w:tcPr>
          <w:p w14:paraId="1B30C084">
            <w:pPr>
              <w:widowControl/>
              <w:adjustRightInd w:val="0"/>
              <w:snapToGrid w:val="0"/>
              <w:jc w:val="center"/>
              <w:rPr>
                <w:rFonts w:ascii="宋体" w:eastAsia="宋体"/>
                <w:color w:val="000000"/>
                <w:kern w:val="0"/>
                <w:sz w:val="18"/>
                <w:szCs w:val="18"/>
              </w:rPr>
            </w:pPr>
            <w:r>
              <w:rPr>
                <w:rFonts w:hint="eastAsia" w:ascii="宋体"/>
                <w:color w:val="000000"/>
                <w:kern w:val="0"/>
                <w:sz w:val="18"/>
                <w:szCs w:val="18"/>
              </w:rPr>
              <w:t>1</w:t>
            </w:r>
          </w:p>
        </w:tc>
      </w:tr>
      <w:tr w14:paraId="2DC965EF">
        <w:tblPrEx>
          <w:tblCellMar>
            <w:top w:w="0" w:type="dxa"/>
            <w:left w:w="108" w:type="dxa"/>
            <w:bottom w:w="0" w:type="dxa"/>
            <w:right w:w="108" w:type="dxa"/>
          </w:tblCellMar>
        </w:tblPrEx>
        <w:trPr>
          <w:trHeight w:val="270" w:hRule="atLeast"/>
        </w:trPr>
        <w:tc>
          <w:tcPr>
            <w:tcW w:w="1165" w:type="dxa"/>
            <w:vMerge w:val="continue"/>
            <w:tcBorders>
              <w:left w:val="single" w:color="auto" w:sz="4" w:space="0"/>
              <w:right w:val="single" w:color="auto" w:sz="4" w:space="0"/>
            </w:tcBorders>
            <w:vAlign w:val="center"/>
          </w:tcPr>
          <w:p w14:paraId="741E26DE">
            <w:pPr>
              <w:widowControl/>
              <w:spacing w:line="240" w:lineRule="atLeast"/>
              <w:jc w:val="center"/>
              <w:rPr>
                <w:rFonts w:ascii="宋体" w:hAnsi="宋体" w:eastAsia="宋体" w:cs="宋体"/>
                <w:color w:val="000000"/>
                <w:kern w:val="0"/>
                <w:sz w:val="18"/>
                <w:szCs w:val="18"/>
              </w:rPr>
            </w:pPr>
          </w:p>
        </w:tc>
        <w:tc>
          <w:tcPr>
            <w:tcW w:w="1343" w:type="dxa"/>
            <w:vMerge w:val="continue"/>
            <w:tcBorders>
              <w:left w:val="nil"/>
              <w:right w:val="single" w:color="auto" w:sz="4" w:space="0"/>
            </w:tcBorders>
            <w:noWrap/>
            <w:vAlign w:val="center"/>
          </w:tcPr>
          <w:p w14:paraId="166B64F5">
            <w:pPr>
              <w:spacing w:line="240" w:lineRule="atLeast"/>
              <w:jc w:val="center"/>
              <w:rPr>
                <w:rFonts w:ascii="宋体" w:hAnsi="宋体" w:eastAsia="宋体" w:cs="宋体"/>
                <w:color w:val="000000"/>
                <w:kern w:val="0"/>
                <w:sz w:val="18"/>
                <w:szCs w:val="18"/>
              </w:rPr>
            </w:pPr>
          </w:p>
        </w:tc>
        <w:tc>
          <w:tcPr>
            <w:tcW w:w="5289" w:type="dxa"/>
            <w:tcBorders>
              <w:top w:val="nil"/>
              <w:left w:val="nil"/>
              <w:bottom w:val="single" w:color="auto" w:sz="4" w:space="0"/>
              <w:right w:val="single" w:color="auto" w:sz="4" w:space="0"/>
            </w:tcBorders>
            <w:noWrap/>
            <w:vAlign w:val="bottom"/>
          </w:tcPr>
          <w:p w14:paraId="18FC1450">
            <w:pPr>
              <w:widowControl/>
              <w:adjustRightInd w:val="0"/>
              <w:snapToGrid w:val="0"/>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是否有风险隐患排查工作机制</w:t>
            </w:r>
          </w:p>
        </w:tc>
        <w:tc>
          <w:tcPr>
            <w:tcW w:w="1029" w:type="dxa"/>
            <w:tcBorders>
              <w:top w:val="nil"/>
              <w:left w:val="nil"/>
              <w:bottom w:val="single" w:color="auto" w:sz="4" w:space="0"/>
              <w:right w:val="single" w:color="auto" w:sz="4" w:space="0"/>
            </w:tcBorders>
            <w:noWrap/>
            <w:vAlign w:val="bottom"/>
          </w:tcPr>
          <w:p w14:paraId="0BAF9820">
            <w:pPr>
              <w:widowControl/>
              <w:adjustRightInd w:val="0"/>
              <w:snapToGrid w:val="0"/>
              <w:spacing w:line="240" w:lineRule="exact"/>
              <w:jc w:val="center"/>
              <w:rPr>
                <w:rFonts w:ascii="宋体" w:hAnsi="宋体" w:eastAsia="宋体" w:cs="宋体"/>
                <w:color w:val="000000"/>
                <w:kern w:val="0"/>
                <w:sz w:val="18"/>
                <w:szCs w:val="18"/>
              </w:rPr>
            </w:pPr>
            <w:r>
              <w:rPr>
                <w:rFonts w:hint="eastAsia" w:ascii="宋体" w:hAnsi="宋体" w:cs="宋体"/>
                <w:color w:val="000000"/>
                <w:kern w:val="0"/>
                <w:sz w:val="18"/>
                <w:szCs w:val="18"/>
              </w:rPr>
              <w:t>1</w:t>
            </w:r>
          </w:p>
        </w:tc>
      </w:tr>
      <w:tr w14:paraId="505628D2">
        <w:tblPrEx>
          <w:tblCellMar>
            <w:top w:w="0" w:type="dxa"/>
            <w:left w:w="108" w:type="dxa"/>
            <w:bottom w:w="0" w:type="dxa"/>
            <w:right w:w="108" w:type="dxa"/>
          </w:tblCellMar>
        </w:tblPrEx>
        <w:trPr>
          <w:trHeight w:val="270" w:hRule="atLeast"/>
        </w:trPr>
        <w:tc>
          <w:tcPr>
            <w:tcW w:w="1165" w:type="dxa"/>
            <w:vMerge w:val="continue"/>
            <w:tcBorders>
              <w:left w:val="single" w:color="auto" w:sz="4" w:space="0"/>
              <w:right w:val="single" w:color="auto" w:sz="4" w:space="0"/>
            </w:tcBorders>
            <w:vAlign w:val="center"/>
          </w:tcPr>
          <w:p w14:paraId="3DDAC6BA">
            <w:pPr>
              <w:spacing w:line="240" w:lineRule="atLeast"/>
              <w:jc w:val="center"/>
              <w:rPr>
                <w:rFonts w:ascii="宋体" w:hAnsi="宋体" w:eastAsia="宋体" w:cs="宋体"/>
                <w:color w:val="000000"/>
                <w:kern w:val="0"/>
                <w:sz w:val="18"/>
                <w:szCs w:val="18"/>
              </w:rPr>
            </w:pPr>
          </w:p>
        </w:tc>
        <w:tc>
          <w:tcPr>
            <w:tcW w:w="1343" w:type="dxa"/>
            <w:vMerge w:val="continue"/>
            <w:tcBorders>
              <w:left w:val="nil"/>
              <w:right w:val="single" w:color="auto" w:sz="4" w:space="0"/>
            </w:tcBorders>
            <w:noWrap/>
            <w:vAlign w:val="center"/>
          </w:tcPr>
          <w:p w14:paraId="49BAA1C5">
            <w:pPr>
              <w:widowControl/>
              <w:spacing w:line="240" w:lineRule="atLeast"/>
              <w:jc w:val="center"/>
              <w:rPr>
                <w:rFonts w:ascii="宋体" w:hAnsi="宋体" w:eastAsia="宋体" w:cs="宋体"/>
                <w:color w:val="000000"/>
                <w:kern w:val="0"/>
                <w:sz w:val="18"/>
                <w:szCs w:val="18"/>
              </w:rPr>
            </w:pPr>
          </w:p>
        </w:tc>
        <w:tc>
          <w:tcPr>
            <w:tcW w:w="5289" w:type="dxa"/>
            <w:tcBorders>
              <w:top w:val="nil"/>
              <w:left w:val="nil"/>
              <w:bottom w:val="single" w:color="auto" w:sz="4" w:space="0"/>
              <w:right w:val="single" w:color="auto" w:sz="4" w:space="0"/>
            </w:tcBorders>
            <w:noWrap/>
            <w:vAlign w:val="bottom"/>
          </w:tcPr>
          <w:p w14:paraId="61DF3858">
            <w:pPr>
              <w:widowControl/>
              <w:adjustRightInd w:val="0"/>
              <w:snapToGrid w:val="0"/>
              <w:spacing w:line="240" w:lineRule="exact"/>
              <w:jc w:val="left"/>
              <w:rPr>
                <w:rFonts w:ascii="宋体" w:hAnsi="宋体" w:cs="宋体"/>
                <w:color w:val="000000"/>
                <w:kern w:val="0"/>
                <w:sz w:val="18"/>
                <w:szCs w:val="18"/>
              </w:rPr>
            </w:pPr>
            <w:r>
              <w:rPr>
                <w:rFonts w:hint="eastAsia" w:ascii="宋体"/>
                <w:color w:val="000000"/>
                <w:kern w:val="0"/>
                <w:sz w:val="18"/>
                <w:szCs w:val="18"/>
              </w:rPr>
              <w:t>是否建立风险隐患工作台账、底数清</w:t>
            </w:r>
          </w:p>
        </w:tc>
        <w:tc>
          <w:tcPr>
            <w:tcW w:w="1029" w:type="dxa"/>
            <w:tcBorders>
              <w:top w:val="nil"/>
              <w:left w:val="nil"/>
              <w:bottom w:val="single" w:color="auto" w:sz="4" w:space="0"/>
              <w:right w:val="single" w:color="auto" w:sz="4" w:space="0"/>
            </w:tcBorders>
            <w:noWrap/>
            <w:vAlign w:val="bottom"/>
          </w:tcPr>
          <w:p w14:paraId="60CE5E24">
            <w:pPr>
              <w:widowControl/>
              <w:adjustRightInd w:val="0"/>
              <w:snapToGrid w:val="0"/>
              <w:spacing w:line="240" w:lineRule="exact"/>
              <w:jc w:val="center"/>
              <w:rPr>
                <w:rFonts w:ascii="宋体" w:eastAsia="宋体"/>
                <w:color w:val="000000"/>
                <w:kern w:val="0"/>
                <w:sz w:val="18"/>
                <w:szCs w:val="18"/>
              </w:rPr>
            </w:pPr>
            <w:r>
              <w:rPr>
                <w:rFonts w:hint="eastAsia" w:ascii="宋体"/>
                <w:color w:val="000000"/>
                <w:kern w:val="0"/>
                <w:sz w:val="18"/>
                <w:szCs w:val="18"/>
              </w:rPr>
              <w:t>1</w:t>
            </w:r>
          </w:p>
        </w:tc>
      </w:tr>
      <w:tr w14:paraId="5D66D473">
        <w:tblPrEx>
          <w:tblCellMar>
            <w:top w:w="0" w:type="dxa"/>
            <w:left w:w="108" w:type="dxa"/>
            <w:bottom w:w="0" w:type="dxa"/>
            <w:right w:w="108" w:type="dxa"/>
          </w:tblCellMar>
        </w:tblPrEx>
        <w:trPr>
          <w:trHeight w:val="270" w:hRule="atLeast"/>
        </w:trPr>
        <w:tc>
          <w:tcPr>
            <w:tcW w:w="1165" w:type="dxa"/>
            <w:vMerge w:val="continue"/>
            <w:tcBorders>
              <w:left w:val="single" w:color="auto" w:sz="4" w:space="0"/>
              <w:right w:val="single" w:color="auto" w:sz="4" w:space="0"/>
            </w:tcBorders>
            <w:vAlign w:val="center"/>
          </w:tcPr>
          <w:p w14:paraId="3A02FCE8">
            <w:pPr>
              <w:spacing w:line="240" w:lineRule="atLeast"/>
              <w:jc w:val="center"/>
              <w:rPr>
                <w:rFonts w:ascii="宋体" w:hAnsi="宋体" w:eastAsia="宋体" w:cs="宋体"/>
                <w:color w:val="000000"/>
                <w:kern w:val="0"/>
                <w:sz w:val="18"/>
                <w:szCs w:val="18"/>
              </w:rPr>
            </w:pPr>
          </w:p>
        </w:tc>
        <w:tc>
          <w:tcPr>
            <w:tcW w:w="1343" w:type="dxa"/>
            <w:vMerge w:val="continue"/>
            <w:tcBorders>
              <w:left w:val="nil"/>
              <w:right w:val="single" w:color="auto" w:sz="4" w:space="0"/>
            </w:tcBorders>
            <w:noWrap/>
            <w:vAlign w:val="center"/>
          </w:tcPr>
          <w:p w14:paraId="39826686">
            <w:pPr>
              <w:widowControl/>
              <w:spacing w:line="240" w:lineRule="atLeast"/>
              <w:jc w:val="center"/>
              <w:rPr>
                <w:rFonts w:ascii="宋体" w:hAnsi="宋体" w:eastAsia="宋体" w:cs="宋体"/>
                <w:color w:val="000000"/>
                <w:kern w:val="0"/>
                <w:sz w:val="18"/>
                <w:szCs w:val="18"/>
              </w:rPr>
            </w:pPr>
          </w:p>
        </w:tc>
        <w:tc>
          <w:tcPr>
            <w:tcW w:w="5289" w:type="dxa"/>
            <w:tcBorders>
              <w:top w:val="nil"/>
              <w:left w:val="nil"/>
              <w:bottom w:val="single" w:color="auto" w:sz="4" w:space="0"/>
              <w:right w:val="single" w:color="auto" w:sz="4" w:space="0"/>
            </w:tcBorders>
            <w:noWrap/>
            <w:vAlign w:val="bottom"/>
          </w:tcPr>
          <w:p w14:paraId="457CE824">
            <w:pPr>
              <w:widowControl/>
              <w:adjustRightInd w:val="0"/>
              <w:snapToGrid w:val="0"/>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风险防范化解措施是否详实完整</w:t>
            </w:r>
          </w:p>
        </w:tc>
        <w:tc>
          <w:tcPr>
            <w:tcW w:w="1029" w:type="dxa"/>
            <w:tcBorders>
              <w:top w:val="nil"/>
              <w:left w:val="nil"/>
              <w:bottom w:val="single" w:color="auto" w:sz="4" w:space="0"/>
              <w:right w:val="single" w:color="auto" w:sz="4" w:space="0"/>
            </w:tcBorders>
            <w:noWrap/>
            <w:vAlign w:val="bottom"/>
          </w:tcPr>
          <w:p w14:paraId="6E1D6003">
            <w:pPr>
              <w:widowControl/>
              <w:adjustRightInd w:val="0"/>
              <w:snapToGrid w:val="0"/>
              <w:spacing w:line="240" w:lineRule="exact"/>
              <w:jc w:val="center"/>
              <w:rPr>
                <w:rFonts w:ascii="宋体" w:hAnsi="宋体" w:eastAsia="宋体" w:cs="宋体"/>
                <w:color w:val="000000"/>
                <w:kern w:val="0"/>
                <w:sz w:val="18"/>
                <w:szCs w:val="18"/>
              </w:rPr>
            </w:pPr>
            <w:r>
              <w:rPr>
                <w:rFonts w:hint="eastAsia" w:ascii="宋体" w:hAnsi="宋体" w:cs="宋体"/>
                <w:color w:val="000000"/>
                <w:kern w:val="0"/>
                <w:sz w:val="18"/>
                <w:szCs w:val="18"/>
              </w:rPr>
              <w:t>1</w:t>
            </w:r>
          </w:p>
        </w:tc>
      </w:tr>
      <w:tr w14:paraId="686E1381">
        <w:tblPrEx>
          <w:tblCellMar>
            <w:top w:w="0" w:type="dxa"/>
            <w:left w:w="108" w:type="dxa"/>
            <w:bottom w:w="0" w:type="dxa"/>
            <w:right w:w="108" w:type="dxa"/>
          </w:tblCellMar>
        </w:tblPrEx>
        <w:trPr>
          <w:trHeight w:val="270" w:hRule="atLeast"/>
        </w:trPr>
        <w:tc>
          <w:tcPr>
            <w:tcW w:w="1165" w:type="dxa"/>
            <w:vMerge w:val="continue"/>
            <w:tcBorders>
              <w:left w:val="single" w:color="auto" w:sz="4" w:space="0"/>
              <w:right w:val="single" w:color="auto" w:sz="4" w:space="0"/>
            </w:tcBorders>
            <w:vAlign w:val="center"/>
          </w:tcPr>
          <w:p w14:paraId="753C2EBC">
            <w:pPr>
              <w:spacing w:line="240" w:lineRule="atLeast"/>
              <w:jc w:val="center"/>
              <w:rPr>
                <w:rFonts w:ascii="宋体" w:hAnsi="宋体" w:eastAsia="宋体" w:cs="宋体"/>
                <w:color w:val="000000"/>
                <w:kern w:val="0"/>
                <w:sz w:val="18"/>
                <w:szCs w:val="18"/>
              </w:rPr>
            </w:pPr>
          </w:p>
        </w:tc>
        <w:tc>
          <w:tcPr>
            <w:tcW w:w="1343" w:type="dxa"/>
            <w:vMerge w:val="continue"/>
            <w:tcBorders>
              <w:left w:val="nil"/>
              <w:right w:val="single" w:color="auto" w:sz="4" w:space="0"/>
            </w:tcBorders>
            <w:noWrap/>
            <w:vAlign w:val="center"/>
          </w:tcPr>
          <w:p w14:paraId="79E8A0E3">
            <w:pPr>
              <w:widowControl/>
              <w:spacing w:line="240" w:lineRule="atLeast"/>
              <w:jc w:val="center"/>
              <w:rPr>
                <w:rFonts w:ascii="宋体" w:hAnsi="宋体" w:eastAsia="宋体" w:cs="宋体"/>
                <w:color w:val="000000"/>
                <w:kern w:val="0"/>
                <w:sz w:val="18"/>
                <w:szCs w:val="18"/>
              </w:rPr>
            </w:pPr>
          </w:p>
        </w:tc>
        <w:tc>
          <w:tcPr>
            <w:tcW w:w="5289" w:type="dxa"/>
            <w:tcBorders>
              <w:top w:val="nil"/>
              <w:left w:val="nil"/>
              <w:bottom w:val="single" w:color="auto" w:sz="4" w:space="0"/>
              <w:right w:val="single" w:color="auto" w:sz="4" w:space="0"/>
            </w:tcBorders>
            <w:noWrap/>
            <w:vAlign w:val="bottom"/>
          </w:tcPr>
          <w:p w14:paraId="53F7F31E">
            <w:pPr>
              <w:widowControl/>
              <w:adjustRightInd w:val="0"/>
              <w:snapToGrid w:val="0"/>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风险防范化解责任是否落实到人</w:t>
            </w:r>
          </w:p>
        </w:tc>
        <w:tc>
          <w:tcPr>
            <w:tcW w:w="1029" w:type="dxa"/>
            <w:tcBorders>
              <w:top w:val="nil"/>
              <w:left w:val="nil"/>
              <w:bottom w:val="single" w:color="auto" w:sz="4" w:space="0"/>
              <w:right w:val="single" w:color="auto" w:sz="4" w:space="0"/>
            </w:tcBorders>
            <w:noWrap/>
            <w:vAlign w:val="bottom"/>
          </w:tcPr>
          <w:p w14:paraId="136BC163">
            <w:pPr>
              <w:widowControl/>
              <w:adjustRightInd w:val="0"/>
              <w:snapToGrid w:val="0"/>
              <w:spacing w:line="240" w:lineRule="exact"/>
              <w:jc w:val="center"/>
              <w:rPr>
                <w:rFonts w:ascii="宋体" w:hAnsi="宋体" w:eastAsia="宋体" w:cs="宋体"/>
                <w:color w:val="000000"/>
                <w:kern w:val="0"/>
                <w:sz w:val="18"/>
                <w:szCs w:val="18"/>
              </w:rPr>
            </w:pPr>
            <w:r>
              <w:rPr>
                <w:rFonts w:hint="eastAsia" w:ascii="宋体" w:hAnsi="宋体" w:cs="宋体"/>
                <w:color w:val="000000"/>
                <w:kern w:val="0"/>
                <w:sz w:val="18"/>
                <w:szCs w:val="18"/>
              </w:rPr>
              <w:t>1</w:t>
            </w:r>
          </w:p>
        </w:tc>
      </w:tr>
      <w:tr w14:paraId="4C993154">
        <w:tblPrEx>
          <w:tblCellMar>
            <w:top w:w="0" w:type="dxa"/>
            <w:left w:w="108" w:type="dxa"/>
            <w:bottom w:w="0" w:type="dxa"/>
            <w:right w:w="108" w:type="dxa"/>
          </w:tblCellMar>
        </w:tblPrEx>
        <w:trPr>
          <w:trHeight w:val="270" w:hRule="atLeast"/>
        </w:trPr>
        <w:tc>
          <w:tcPr>
            <w:tcW w:w="1165" w:type="dxa"/>
            <w:vMerge w:val="continue"/>
            <w:tcBorders>
              <w:left w:val="single" w:color="auto" w:sz="4" w:space="0"/>
              <w:right w:val="single" w:color="auto" w:sz="4" w:space="0"/>
            </w:tcBorders>
            <w:vAlign w:val="center"/>
          </w:tcPr>
          <w:p w14:paraId="3D25F3CD">
            <w:pPr>
              <w:spacing w:line="240" w:lineRule="atLeast"/>
              <w:jc w:val="center"/>
              <w:rPr>
                <w:rFonts w:ascii="宋体" w:hAnsi="宋体" w:eastAsia="宋体" w:cs="宋体"/>
                <w:color w:val="000000"/>
                <w:kern w:val="0"/>
                <w:sz w:val="18"/>
                <w:szCs w:val="18"/>
              </w:rPr>
            </w:pPr>
          </w:p>
        </w:tc>
        <w:tc>
          <w:tcPr>
            <w:tcW w:w="1343" w:type="dxa"/>
            <w:vMerge w:val="continue"/>
            <w:tcBorders>
              <w:left w:val="nil"/>
              <w:right w:val="single" w:color="auto" w:sz="4" w:space="0"/>
            </w:tcBorders>
            <w:noWrap/>
            <w:vAlign w:val="center"/>
          </w:tcPr>
          <w:p w14:paraId="0CDC026D">
            <w:pPr>
              <w:widowControl/>
              <w:spacing w:line="240" w:lineRule="atLeast"/>
              <w:jc w:val="center"/>
              <w:rPr>
                <w:rFonts w:ascii="宋体" w:hAnsi="宋体" w:eastAsia="宋体" w:cs="宋体"/>
                <w:color w:val="000000"/>
                <w:kern w:val="0"/>
                <w:sz w:val="18"/>
                <w:szCs w:val="18"/>
              </w:rPr>
            </w:pPr>
          </w:p>
        </w:tc>
        <w:tc>
          <w:tcPr>
            <w:tcW w:w="5289" w:type="dxa"/>
            <w:tcBorders>
              <w:top w:val="nil"/>
              <w:left w:val="nil"/>
              <w:bottom w:val="single" w:color="auto" w:sz="4" w:space="0"/>
              <w:right w:val="single" w:color="auto" w:sz="4" w:space="0"/>
            </w:tcBorders>
            <w:noWrap/>
            <w:vAlign w:val="bottom"/>
          </w:tcPr>
          <w:p w14:paraId="6F31359A">
            <w:pPr>
              <w:widowControl/>
              <w:adjustRightInd w:val="0"/>
              <w:snapToGrid w:val="0"/>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地区行业负面联动影响是否可控</w:t>
            </w:r>
          </w:p>
        </w:tc>
        <w:tc>
          <w:tcPr>
            <w:tcW w:w="1029" w:type="dxa"/>
            <w:tcBorders>
              <w:top w:val="nil"/>
              <w:left w:val="nil"/>
              <w:bottom w:val="single" w:color="auto" w:sz="4" w:space="0"/>
              <w:right w:val="single" w:color="auto" w:sz="4" w:space="0"/>
            </w:tcBorders>
            <w:noWrap/>
            <w:vAlign w:val="bottom"/>
          </w:tcPr>
          <w:p w14:paraId="7BCAC05C">
            <w:pPr>
              <w:widowControl/>
              <w:adjustRightInd w:val="0"/>
              <w:snapToGrid w:val="0"/>
              <w:spacing w:line="240" w:lineRule="exact"/>
              <w:jc w:val="center"/>
              <w:rPr>
                <w:rFonts w:ascii="宋体" w:hAnsi="宋体" w:eastAsia="宋体" w:cs="宋体"/>
                <w:color w:val="000000"/>
                <w:kern w:val="0"/>
                <w:sz w:val="18"/>
                <w:szCs w:val="18"/>
              </w:rPr>
            </w:pPr>
            <w:r>
              <w:rPr>
                <w:rFonts w:hint="eastAsia" w:ascii="宋体" w:hAnsi="宋体" w:cs="宋体"/>
                <w:color w:val="000000"/>
                <w:kern w:val="0"/>
                <w:sz w:val="18"/>
                <w:szCs w:val="18"/>
              </w:rPr>
              <w:t>1</w:t>
            </w:r>
          </w:p>
        </w:tc>
      </w:tr>
      <w:tr w14:paraId="0DC834B1">
        <w:tblPrEx>
          <w:tblCellMar>
            <w:top w:w="0" w:type="dxa"/>
            <w:left w:w="108" w:type="dxa"/>
            <w:bottom w:w="0" w:type="dxa"/>
            <w:right w:w="108" w:type="dxa"/>
          </w:tblCellMar>
        </w:tblPrEx>
        <w:trPr>
          <w:trHeight w:val="270" w:hRule="atLeast"/>
        </w:trPr>
        <w:tc>
          <w:tcPr>
            <w:tcW w:w="1165" w:type="dxa"/>
            <w:vMerge w:val="continue"/>
            <w:tcBorders>
              <w:left w:val="single" w:color="auto" w:sz="4" w:space="0"/>
              <w:right w:val="single" w:color="auto" w:sz="4" w:space="0"/>
            </w:tcBorders>
            <w:vAlign w:val="center"/>
          </w:tcPr>
          <w:p w14:paraId="7B948906">
            <w:pPr>
              <w:spacing w:line="240" w:lineRule="atLeast"/>
              <w:jc w:val="center"/>
              <w:rPr>
                <w:rFonts w:ascii="宋体" w:hAnsi="宋体" w:eastAsia="宋体" w:cs="宋体"/>
                <w:color w:val="000000"/>
                <w:kern w:val="0"/>
                <w:sz w:val="18"/>
                <w:szCs w:val="18"/>
              </w:rPr>
            </w:pPr>
          </w:p>
        </w:tc>
        <w:tc>
          <w:tcPr>
            <w:tcW w:w="1343" w:type="dxa"/>
            <w:vMerge w:val="continue"/>
            <w:tcBorders>
              <w:left w:val="nil"/>
              <w:right w:val="single" w:color="auto" w:sz="4" w:space="0"/>
            </w:tcBorders>
            <w:noWrap/>
            <w:vAlign w:val="center"/>
          </w:tcPr>
          <w:p w14:paraId="244BC0AA">
            <w:pPr>
              <w:widowControl/>
              <w:spacing w:line="240" w:lineRule="atLeast"/>
              <w:jc w:val="center"/>
              <w:rPr>
                <w:rFonts w:ascii="宋体" w:hAnsi="宋体" w:eastAsia="宋体" w:cs="宋体"/>
                <w:color w:val="000000"/>
                <w:kern w:val="0"/>
                <w:sz w:val="18"/>
                <w:szCs w:val="18"/>
              </w:rPr>
            </w:pPr>
          </w:p>
        </w:tc>
        <w:tc>
          <w:tcPr>
            <w:tcW w:w="5289" w:type="dxa"/>
            <w:tcBorders>
              <w:top w:val="nil"/>
              <w:left w:val="nil"/>
              <w:bottom w:val="single" w:color="auto" w:sz="4" w:space="0"/>
              <w:right w:val="single" w:color="auto" w:sz="4" w:space="0"/>
            </w:tcBorders>
            <w:noWrap/>
            <w:vAlign w:val="center"/>
          </w:tcPr>
          <w:p w14:paraId="3729114B">
            <w:pPr>
              <w:widowControl/>
              <w:adjustRightInd w:val="0"/>
              <w:snapToGrid w:val="0"/>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对建设施工期间可能造成的道路、桥梁、农田、水利设施损毁是否有具体的防范与补救措施，</w:t>
            </w:r>
          </w:p>
        </w:tc>
        <w:tc>
          <w:tcPr>
            <w:tcW w:w="1029" w:type="dxa"/>
            <w:tcBorders>
              <w:top w:val="nil"/>
              <w:left w:val="nil"/>
              <w:bottom w:val="single" w:color="auto" w:sz="4" w:space="0"/>
              <w:right w:val="single" w:color="auto" w:sz="4" w:space="0"/>
            </w:tcBorders>
            <w:noWrap/>
            <w:vAlign w:val="center"/>
          </w:tcPr>
          <w:p w14:paraId="1B536ED8">
            <w:pPr>
              <w:widowControl/>
              <w:adjustRightInd w:val="0"/>
              <w:snapToGrid w:val="0"/>
              <w:jc w:val="center"/>
              <w:rPr>
                <w:rFonts w:ascii="宋体" w:hAnsi="宋体" w:eastAsia="宋体" w:cs="宋体"/>
                <w:color w:val="000000"/>
                <w:kern w:val="0"/>
                <w:sz w:val="18"/>
                <w:szCs w:val="18"/>
              </w:rPr>
            </w:pPr>
            <w:r>
              <w:rPr>
                <w:rFonts w:hint="eastAsia" w:ascii="宋体" w:hAnsi="宋体" w:cs="宋体"/>
                <w:color w:val="000000"/>
                <w:kern w:val="0"/>
                <w:sz w:val="18"/>
                <w:szCs w:val="18"/>
              </w:rPr>
              <w:t>1</w:t>
            </w:r>
          </w:p>
        </w:tc>
      </w:tr>
      <w:tr w14:paraId="6C6A458A">
        <w:tblPrEx>
          <w:tblCellMar>
            <w:top w:w="0" w:type="dxa"/>
            <w:left w:w="108" w:type="dxa"/>
            <w:bottom w:w="0" w:type="dxa"/>
            <w:right w:w="108" w:type="dxa"/>
          </w:tblCellMar>
        </w:tblPrEx>
        <w:trPr>
          <w:trHeight w:val="270" w:hRule="atLeast"/>
        </w:trPr>
        <w:tc>
          <w:tcPr>
            <w:tcW w:w="1165" w:type="dxa"/>
            <w:vMerge w:val="continue"/>
            <w:tcBorders>
              <w:left w:val="single" w:color="auto" w:sz="4" w:space="0"/>
              <w:right w:val="single" w:color="auto" w:sz="4" w:space="0"/>
            </w:tcBorders>
            <w:vAlign w:val="center"/>
          </w:tcPr>
          <w:p w14:paraId="15B733B0">
            <w:pPr>
              <w:spacing w:line="240" w:lineRule="atLeast"/>
              <w:jc w:val="center"/>
              <w:rPr>
                <w:rFonts w:ascii="宋体" w:hAnsi="宋体" w:eastAsia="宋体" w:cs="宋体"/>
                <w:color w:val="000000"/>
                <w:kern w:val="0"/>
                <w:sz w:val="18"/>
                <w:szCs w:val="18"/>
              </w:rPr>
            </w:pPr>
          </w:p>
        </w:tc>
        <w:tc>
          <w:tcPr>
            <w:tcW w:w="1343" w:type="dxa"/>
            <w:vMerge w:val="continue"/>
            <w:tcBorders>
              <w:left w:val="nil"/>
              <w:right w:val="single" w:color="auto" w:sz="4" w:space="0"/>
            </w:tcBorders>
            <w:noWrap/>
            <w:vAlign w:val="center"/>
          </w:tcPr>
          <w:p w14:paraId="0DB24B6D">
            <w:pPr>
              <w:widowControl/>
              <w:spacing w:line="240" w:lineRule="atLeast"/>
              <w:jc w:val="center"/>
              <w:rPr>
                <w:rFonts w:ascii="宋体" w:hAnsi="宋体" w:eastAsia="宋体" w:cs="宋体"/>
                <w:color w:val="000000"/>
                <w:kern w:val="0"/>
                <w:sz w:val="18"/>
                <w:szCs w:val="18"/>
              </w:rPr>
            </w:pPr>
          </w:p>
        </w:tc>
        <w:tc>
          <w:tcPr>
            <w:tcW w:w="5289" w:type="dxa"/>
            <w:tcBorders>
              <w:top w:val="nil"/>
              <w:left w:val="nil"/>
              <w:bottom w:val="single" w:color="auto" w:sz="4" w:space="0"/>
              <w:right w:val="single" w:color="auto" w:sz="4" w:space="0"/>
            </w:tcBorders>
            <w:noWrap/>
            <w:vAlign w:val="center"/>
          </w:tcPr>
          <w:p w14:paraId="5DC291B1">
            <w:pPr>
              <w:widowControl/>
              <w:adjustRightInd w:val="0"/>
              <w:snapToGrid w:val="0"/>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对建设施工期间可能造成的环境污染是否有防范和补偿措施</w:t>
            </w:r>
          </w:p>
        </w:tc>
        <w:tc>
          <w:tcPr>
            <w:tcW w:w="1029" w:type="dxa"/>
            <w:tcBorders>
              <w:top w:val="nil"/>
              <w:left w:val="nil"/>
              <w:bottom w:val="single" w:color="auto" w:sz="4" w:space="0"/>
              <w:right w:val="single" w:color="auto" w:sz="4" w:space="0"/>
            </w:tcBorders>
            <w:noWrap/>
            <w:vAlign w:val="center"/>
          </w:tcPr>
          <w:p w14:paraId="06B3D7AA">
            <w:pPr>
              <w:widowControl/>
              <w:adjustRightInd w:val="0"/>
              <w:snapToGrid w:val="0"/>
              <w:jc w:val="center"/>
              <w:rPr>
                <w:rFonts w:ascii="宋体" w:hAnsi="宋体" w:cs="宋体"/>
                <w:color w:val="000000"/>
                <w:kern w:val="0"/>
                <w:sz w:val="18"/>
                <w:szCs w:val="18"/>
              </w:rPr>
            </w:pPr>
            <w:r>
              <w:rPr>
                <w:rFonts w:hint="eastAsia" w:ascii="宋体" w:hAnsi="宋体" w:cs="宋体"/>
                <w:color w:val="000000"/>
                <w:kern w:val="0"/>
                <w:sz w:val="18"/>
                <w:szCs w:val="18"/>
              </w:rPr>
              <w:t>1</w:t>
            </w:r>
          </w:p>
        </w:tc>
      </w:tr>
      <w:tr w14:paraId="6CF92654">
        <w:tblPrEx>
          <w:tblCellMar>
            <w:top w:w="0" w:type="dxa"/>
            <w:left w:w="108" w:type="dxa"/>
            <w:bottom w:w="0" w:type="dxa"/>
            <w:right w:w="108" w:type="dxa"/>
          </w:tblCellMar>
        </w:tblPrEx>
        <w:trPr>
          <w:trHeight w:val="270" w:hRule="atLeast"/>
        </w:trPr>
        <w:tc>
          <w:tcPr>
            <w:tcW w:w="1165" w:type="dxa"/>
            <w:vMerge w:val="continue"/>
            <w:tcBorders>
              <w:left w:val="single" w:color="auto" w:sz="4" w:space="0"/>
              <w:right w:val="single" w:color="auto" w:sz="4" w:space="0"/>
            </w:tcBorders>
            <w:vAlign w:val="center"/>
          </w:tcPr>
          <w:p w14:paraId="0EBB03A1">
            <w:pPr>
              <w:spacing w:line="240" w:lineRule="atLeast"/>
              <w:jc w:val="center"/>
              <w:rPr>
                <w:rFonts w:ascii="宋体" w:hAnsi="宋体" w:eastAsia="宋体" w:cs="宋体"/>
                <w:color w:val="000000"/>
                <w:kern w:val="0"/>
                <w:sz w:val="18"/>
                <w:szCs w:val="18"/>
              </w:rPr>
            </w:pPr>
          </w:p>
        </w:tc>
        <w:tc>
          <w:tcPr>
            <w:tcW w:w="1343" w:type="dxa"/>
            <w:vMerge w:val="continue"/>
            <w:tcBorders>
              <w:left w:val="nil"/>
              <w:right w:val="single" w:color="auto" w:sz="4" w:space="0"/>
            </w:tcBorders>
            <w:noWrap/>
            <w:vAlign w:val="center"/>
          </w:tcPr>
          <w:p w14:paraId="50B8FDFB">
            <w:pPr>
              <w:widowControl/>
              <w:spacing w:line="240" w:lineRule="atLeast"/>
              <w:jc w:val="center"/>
              <w:rPr>
                <w:rFonts w:ascii="宋体" w:hAnsi="宋体" w:eastAsia="宋体" w:cs="宋体"/>
                <w:color w:val="000000"/>
                <w:kern w:val="0"/>
                <w:sz w:val="18"/>
                <w:szCs w:val="18"/>
              </w:rPr>
            </w:pPr>
          </w:p>
        </w:tc>
        <w:tc>
          <w:tcPr>
            <w:tcW w:w="5289" w:type="dxa"/>
            <w:tcBorders>
              <w:top w:val="nil"/>
              <w:left w:val="nil"/>
              <w:bottom w:val="single" w:color="auto" w:sz="4" w:space="0"/>
              <w:right w:val="single" w:color="auto" w:sz="4" w:space="0"/>
            </w:tcBorders>
            <w:noWrap/>
            <w:vAlign w:val="center"/>
          </w:tcPr>
          <w:p w14:paraId="316C8AD4">
            <w:pPr>
              <w:widowControl/>
              <w:adjustRightInd w:val="0"/>
              <w:snapToGrid w:val="0"/>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对建设施工期间因流动人口增加等可能影响物价和社会治安秩序是否有相应的防范措施</w:t>
            </w:r>
          </w:p>
        </w:tc>
        <w:tc>
          <w:tcPr>
            <w:tcW w:w="1029" w:type="dxa"/>
            <w:tcBorders>
              <w:top w:val="nil"/>
              <w:left w:val="nil"/>
              <w:bottom w:val="single" w:color="auto" w:sz="4" w:space="0"/>
              <w:right w:val="single" w:color="auto" w:sz="4" w:space="0"/>
            </w:tcBorders>
            <w:noWrap/>
            <w:vAlign w:val="center"/>
          </w:tcPr>
          <w:p w14:paraId="58AFF9CB">
            <w:pPr>
              <w:widowControl/>
              <w:adjustRightInd w:val="0"/>
              <w:snapToGrid w:val="0"/>
              <w:jc w:val="center"/>
              <w:rPr>
                <w:rFonts w:ascii="宋体" w:hAnsi="宋体" w:cs="宋体"/>
                <w:color w:val="000000"/>
                <w:kern w:val="0"/>
                <w:sz w:val="18"/>
                <w:szCs w:val="18"/>
              </w:rPr>
            </w:pPr>
            <w:r>
              <w:rPr>
                <w:rFonts w:hint="eastAsia" w:ascii="宋体" w:hAnsi="宋体" w:cs="宋体"/>
                <w:color w:val="000000"/>
                <w:kern w:val="0"/>
                <w:sz w:val="18"/>
                <w:szCs w:val="18"/>
              </w:rPr>
              <w:t>1</w:t>
            </w:r>
          </w:p>
        </w:tc>
      </w:tr>
      <w:tr w14:paraId="27F98016">
        <w:tblPrEx>
          <w:tblCellMar>
            <w:top w:w="0" w:type="dxa"/>
            <w:left w:w="108" w:type="dxa"/>
            <w:bottom w:w="0" w:type="dxa"/>
            <w:right w:w="108" w:type="dxa"/>
          </w:tblCellMar>
        </w:tblPrEx>
        <w:trPr>
          <w:trHeight w:val="270" w:hRule="atLeast"/>
        </w:trPr>
        <w:tc>
          <w:tcPr>
            <w:tcW w:w="1165" w:type="dxa"/>
            <w:vMerge w:val="continue"/>
            <w:tcBorders>
              <w:left w:val="single" w:color="auto" w:sz="4" w:space="0"/>
              <w:right w:val="single" w:color="auto" w:sz="4" w:space="0"/>
            </w:tcBorders>
            <w:vAlign w:val="center"/>
          </w:tcPr>
          <w:p w14:paraId="12957760">
            <w:pPr>
              <w:spacing w:line="240" w:lineRule="atLeast"/>
              <w:jc w:val="center"/>
              <w:rPr>
                <w:rFonts w:ascii="宋体" w:hAnsi="宋体" w:eastAsia="宋体" w:cs="宋体"/>
                <w:color w:val="000000"/>
                <w:kern w:val="0"/>
                <w:sz w:val="18"/>
                <w:szCs w:val="18"/>
              </w:rPr>
            </w:pPr>
          </w:p>
        </w:tc>
        <w:tc>
          <w:tcPr>
            <w:tcW w:w="1343" w:type="dxa"/>
            <w:vMerge w:val="continue"/>
            <w:tcBorders>
              <w:left w:val="nil"/>
              <w:bottom w:val="single" w:color="auto" w:sz="4" w:space="0"/>
              <w:right w:val="single" w:color="auto" w:sz="4" w:space="0"/>
            </w:tcBorders>
            <w:noWrap/>
            <w:vAlign w:val="center"/>
          </w:tcPr>
          <w:p w14:paraId="7EA60351">
            <w:pPr>
              <w:widowControl/>
              <w:spacing w:line="240" w:lineRule="atLeast"/>
              <w:jc w:val="center"/>
              <w:rPr>
                <w:rFonts w:ascii="宋体" w:hAnsi="宋体" w:eastAsia="宋体" w:cs="宋体"/>
                <w:color w:val="000000"/>
                <w:kern w:val="0"/>
                <w:sz w:val="18"/>
                <w:szCs w:val="18"/>
              </w:rPr>
            </w:pPr>
          </w:p>
        </w:tc>
        <w:tc>
          <w:tcPr>
            <w:tcW w:w="5289" w:type="dxa"/>
            <w:tcBorders>
              <w:top w:val="nil"/>
              <w:left w:val="nil"/>
              <w:bottom w:val="single" w:color="auto" w:sz="4" w:space="0"/>
              <w:right w:val="single" w:color="auto" w:sz="4" w:space="0"/>
            </w:tcBorders>
            <w:noWrap/>
            <w:vAlign w:val="bottom"/>
          </w:tcPr>
          <w:p w14:paraId="47A3FC28">
            <w:pPr>
              <w:widowControl/>
              <w:adjustRightInd w:val="0"/>
              <w:snapToGrid w:val="0"/>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是否会因资金不到位而出现拖欠工程款、农民工工资和征地拆迁补偿款等问题</w:t>
            </w:r>
          </w:p>
        </w:tc>
        <w:tc>
          <w:tcPr>
            <w:tcW w:w="1029" w:type="dxa"/>
            <w:tcBorders>
              <w:top w:val="nil"/>
              <w:left w:val="nil"/>
              <w:bottom w:val="single" w:color="auto" w:sz="4" w:space="0"/>
              <w:right w:val="single" w:color="auto" w:sz="4" w:space="0"/>
            </w:tcBorders>
            <w:noWrap/>
            <w:vAlign w:val="bottom"/>
          </w:tcPr>
          <w:p w14:paraId="7897219C">
            <w:pPr>
              <w:widowControl/>
              <w:adjustRightInd w:val="0"/>
              <w:snapToGrid w:val="0"/>
              <w:jc w:val="center"/>
              <w:rPr>
                <w:rFonts w:ascii="宋体" w:hAnsi="宋体" w:eastAsia="宋体" w:cs="宋体"/>
                <w:color w:val="000000"/>
                <w:kern w:val="0"/>
                <w:sz w:val="18"/>
                <w:szCs w:val="18"/>
              </w:rPr>
            </w:pPr>
            <w:r>
              <w:rPr>
                <w:rFonts w:hint="eastAsia" w:ascii="宋体" w:hAnsi="宋体" w:cs="宋体"/>
                <w:color w:val="000000"/>
                <w:kern w:val="0"/>
                <w:sz w:val="18"/>
                <w:szCs w:val="18"/>
              </w:rPr>
              <w:t>1</w:t>
            </w:r>
          </w:p>
        </w:tc>
      </w:tr>
      <w:tr w14:paraId="75311154">
        <w:tblPrEx>
          <w:tblCellMar>
            <w:top w:w="0" w:type="dxa"/>
            <w:left w:w="108" w:type="dxa"/>
            <w:bottom w:w="0" w:type="dxa"/>
            <w:right w:w="108" w:type="dxa"/>
          </w:tblCellMar>
        </w:tblPrEx>
        <w:trPr>
          <w:trHeight w:val="270" w:hRule="atLeast"/>
        </w:trPr>
        <w:tc>
          <w:tcPr>
            <w:tcW w:w="1165" w:type="dxa"/>
            <w:vMerge w:val="continue"/>
            <w:tcBorders>
              <w:left w:val="single" w:color="auto" w:sz="4" w:space="0"/>
              <w:right w:val="single" w:color="auto" w:sz="4" w:space="0"/>
            </w:tcBorders>
            <w:vAlign w:val="center"/>
          </w:tcPr>
          <w:p w14:paraId="2E5C49BC">
            <w:pPr>
              <w:widowControl/>
              <w:spacing w:line="240" w:lineRule="atLeast"/>
              <w:jc w:val="center"/>
              <w:rPr>
                <w:rFonts w:ascii="宋体" w:hAnsi="宋体" w:eastAsia="宋体" w:cs="宋体"/>
                <w:color w:val="000000"/>
                <w:kern w:val="0"/>
                <w:sz w:val="18"/>
                <w:szCs w:val="18"/>
              </w:rPr>
            </w:pPr>
          </w:p>
        </w:tc>
        <w:tc>
          <w:tcPr>
            <w:tcW w:w="1343" w:type="dxa"/>
            <w:vMerge w:val="restart"/>
            <w:tcBorders>
              <w:top w:val="single" w:color="auto" w:sz="4" w:space="0"/>
              <w:left w:val="nil"/>
              <w:right w:val="single" w:color="auto" w:sz="4" w:space="0"/>
            </w:tcBorders>
            <w:noWrap/>
            <w:vAlign w:val="center"/>
          </w:tcPr>
          <w:p w14:paraId="06241BAC">
            <w:pPr>
              <w:widowControl/>
              <w:spacing w:line="240" w:lineRule="atLeast"/>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舆情引导</w:t>
            </w:r>
          </w:p>
          <w:p w14:paraId="63DC9520">
            <w:pPr>
              <w:widowControl/>
              <w:spacing w:line="240" w:lineRule="atLeast"/>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（10分）</w:t>
            </w:r>
          </w:p>
          <w:p w14:paraId="0EF2F748">
            <w:pPr>
              <w:widowControl/>
              <w:spacing w:line="240" w:lineRule="atLeast"/>
              <w:jc w:val="center"/>
              <w:rPr>
                <w:rFonts w:ascii="宋体" w:hAnsi="宋体" w:eastAsia="宋体" w:cs="宋体"/>
                <w:color w:val="000000"/>
                <w:kern w:val="0"/>
                <w:sz w:val="18"/>
                <w:szCs w:val="18"/>
              </w:rPr>
            </w:pPr>
          </w:p>
        </w:tc>
        <w:tc>
          <w:tcPr>
            <w:tcW w:w="5289" w:type="dxa"/>
            <w:tcBorders>
              <w:top w:val="nil"/>
              <w:left w:val="nil"/>
              <w:bottom w:val="single" w:color="auto" w:sz="4" w:space="0"/>
              <w:right w:val="single" w:color="auto" w:sz="4" w:space="0"/>
            </w:tcBorders>
            <w:noWrap/>
            <w:vAlign w:val="bottom"/>
          </w:tcPr>
          <w:p w14:paraId="37C9BDE0">
            <w:pPr>
              <w:widowControl/>
              <w:adjustRightInd w:val="0"/>
              <w:snapToGrid w:val="0"/>
              <w:jc w:val="left"/>
              <w:rPr>
                <w:rFonts w:ascii="宋体" w:hAnsi="宋体" w:eastAsia="宋体" w:cs="宋体"/>
                <w:color w:val="000000"/>
                <w:kern w:val="0"/>
                <w:sz w:val="18"/>
                <w:szCs w:val="18"/>
              </w:rPr>
            </w:pPr>
            <w:r>
              <w:rPr>
                <w:rFonts w:hint="eastAsia" w:ascii="宋体"/>
                <w:color w:val="000000"/>
                <w:kern w:val="0"/>
                <w:sz w:val="18"/>
                <w:szCs w:val="18"/>
              </w:rPr>
              <w:t>项目建设的必要性、合理性、可行性宣传解释是否到位</w:t>
            </w:r>
          </w:p>
        </w:tc>
        <w:tc>
          <w:tcPr>
            <w:tcW w:w="1029" w:type="dxa"/>
            <w:tcBorders>
              <w:top w:val="nil"/>
              <w:left w:val="nil"/>
              <w:bottom w:val="single" w:color="auto" w:sz="4" w:space="0"/>
              <w:right w:val="single" w:color="auto" w:sz="4" w:space="0"/>
            </w:tcBorders>
            <w:noWrap/>
            <w:vAlign w:val="bottom"/>
          </w:tcPr>
          <w:p w14:paraId="5957DF22">
            <w:pPr>
              <w:widowControl/>
              <w:adjustRightInd w:val="0"/>
              <w:snapToGrid w:val="0"/>
              <w:jc w:val="center"/>
              <w:rPr>
                <w:rFonts w:ascii="宋体" w:eastAsia="宋体"/>
                <w:color w:val="000000"/>
                <w:kern w:val="0"/>
                <w:sz w:val="18"/>
                <w:szCs w:val="18"/>
              </w:rPr>
            </w:pPr>
            <w:r>
              <w:rPr>
                <w:rFonts w:hint="eastAsia" w:ascii="宋体"/>
                <w:color w:val="000000"/>
                <w:kern w:val="0"/>
                <w:sz w:val="18"/>
                <w:szCs w:val="18"/>
              </w:rPr>
              <w:t>2</w:t>
            </w:r>
          </w:p>
        </w:tc>
      </w:tr>
      <w:tr w14:paraId="19730CBA">
        <w:tblPrEx>
          <w:tblCellMar>
            <w:top w:w="0" w:type="dxa"/>
            <w:left w:w="108" w:type="dxa"/>
            <w:bottom w:w="0" w:type="dxa"/>
            <w:right w:w="108" w:type="dxa"/>
          </w:tblCellMar>
        </w:tblPrEx>
        <w:trPr>
          <w:trHeight w:val="270" w:hRule="atLeast"/>
        </w:trPr>
        <w:tc>
          <w:tcPr>
            <w:tcW w:w="1165" w:type="dxa"/>
            <w:vMerge w:val="continue"/>
            <w:tcBorders>
              <w:left w:val="single" w:color="auto" w:sz="4" w:space="0"/>
              <w:right w:val="single" w:color="auto" w:sz="4" w:space="0"/>
            </w:tcBorders>
            <w:vAlign w:val="center"/>
          </w:tcPr>
          <w:p w14:paraId="1A8855D1">
            <w:pPr>
              <w:widowControl/>
              <w:spacing w:line="240" w:lineRule="atLeast"/>
              <w:jc w:val="center"/>
              <w:rPr>
                <w:rFonts w:ascii="宋体" w:hAnsi="宋体" w:eastAsia="宋体" w:cs="宋体"/>
                <w:color w:val="000000"/>
                <w:kern w:val="0"/>
                <w:sz w:val="18"/>
                <w:szCs w:val="18"/>
              </w:rPr>
            </w:pPr>
          </w:p>
        </w:tc>
        <w:tc>
          <w:tcPr>
            <w:tcW w:w="1343" w:type="dxa"/>
            <w:vMerge w:val="continue"/>
            <w:tcBorders>
              <w:top w:val="single" w:color="auto" w:sz="4" w:space="0"/>
              <w:left w:val="nil"/>
              <w:right w:val="single" w:color="auto" w:sz="4" w:space="0"/>
            </w:tcBorders>
            <w:noWrap/>
            <w:vAlign w:val="center"/>
          </w:tcPr>
          <w:p w14:paraId="3B0DFB30">
            <w:pPr>
              <w:widowControl/>
              <w:spacing w:line="240" w:lineRule="atLeast"/>
              <w:jc w:val="center"/>
              <w:rPr>
                <w:rFonts w:ascii="宋体" w:hAnsi="宋体" w:eastAsia="宋体" w:cs="宋体"/>
                <w:color w:val="000000"/>
                <w:kern w:val="0"/>
                <w:sz w:val="18"/>
                <w:szCs w:val="18"/>
              </w:rPr>
            </w:pPr>
          </w:p>
        </w:tc>
        <w:tc>
          <w:tcPr>
            <w:tcW w:w="5289" w:type="dxa"/>
            <w:tcBorders>
              <w:top w:val="nil"/>
              <w:left w:val="nil"/>
              <w:bottom w:val="single" w:color="auto" w:sz="4" w:space="0"/>
              <w:right w:val="single" w:color="auto" w:sz="4" w:space="0"/>
            </w:tcBorders>
            <w:noWrap/>
            <w:vAlign w:val="bottom"/>
          </w:tcPr>
          <w:p w14:paraId="66498914">
            <w:pPr>
              <w:widowControl/>
              <w:adjustRightInd w:val="0"/>
              <w:snapToGrid w:val="0"/>
              <w:jc w:val="left"/>
              <w:rPr>
                <w:rFonts w:ascii="宋体"/>
                <w:color w:val="000000"/>
                <w:kern w:val="0"/>
                <w:sz w:val="18"/>
                <w:szCs w:val="18"/>
              </w:rPr>
            </w:pPr>
            <w:r>
              <w:rPr>
                <w:rFonts w:hint="eastAsia" w:ascii="宋体"/>
                <w:color w:val="000000"/>
                <w:kern w:val="0"/>
                <w:sz w:val="18"/>
                <w:szCs w:val="18"/>
              </w:rPr>
              <w:t>征地拆迁、安置补偿的政策法律依据宣传解释是否到位</w:t>
            </w:r>
          </w:p>
        </w:tc>
        <w:tc>
          <w:tcPr>
            <w:tcW w:w="1029" w:type="dxa"/>
            <w:tcBorders>
              <w:top w:val="nil"/>
              <w:left w:val="nil"/>
              <w:bottom w:val="single" w:color="auto" w:sz="4" w:space="0"/>
              <w:right w:val="single" w:color="auto" w:sz="4" w:space="0"/>
            </w:tcBorders>
            <w:noWrap/>
            <w:vAlign w:val="bottom"/>
          </w:tcPr>
          <w:p w14:paraId="67F8DF94">
            <w:pPr>
              <w:widowControl/>
              <w:adjustRightInd w:val="0"/>
              <w:snapToGrid w:val="0"/>
              <w:jc w:val="center"/>
              <w:rPr>
                <w:rFonts w:ascii="宋体" w:eastAsia="宋体"/>
                <w:color w:val="000000"/>
                <w:kern w:val="0"/>
                <w:sz w:val="18"/>
                <w:szCs w:val="18"/>
              </w:rPr>
            </w:pPr>
            <w:r>
              <w:rPr>
                <w:rFonts w:hint="eastAsia" w:ascii="宋体"/>
                <w:color w:val="000000"/>
                <w:kern w:val="0"/>
                <w:sz w:val="18"/>
                <w:szCs w:val="18"/>
              </w:rPr>
              <w:t>2</w:t>
            </w:r>
          </w:p>
        </w:tc>
      </w:tr>
      <w:tr w14:paraId="6C0243D1">
        <w:tblPrEx>
          <w:tblCellMar>
            <w:top w:w="0" w:type="dxa"/>
            <w:left w:w="108" w:type="dxa"/>
            <w:bottom w:w="0" w:type="dxa"/>
            <w:right w:w="108" w:type="dxa"/>
          </w:tblCellMar>
        </w:tblPrEx>
        <w:trPr>
          <w:trHeight w:val="270" w:hRule="atLeast"/>
        </w:trPr>
        <w:tc>
          <w:tcPr>
            <w:tcW w:w="1165" w:type="dxa"/>
            <w:vMerge w:val="continue"/>
            <w:tcBorders>
              <w:left w:val="single" w:color="auto" w:sz="4" w:space="0"/>
              <w:right w:val="single" w:color="auto" w:sz="4" w:space="0"/>
            </w:tcBorders>
            <w:vAlign w:val="center"/>
          </w:tcPr>
          <w:p w14:paraId="5B750CE5">
            <w:pPr>
              <w:widowControl/>
              <w:spacing w:line="240" w:lineRule="atLeast"/>
              <w:jc w:val="center"/>
              <w:rPr>
                <w:rFonts w:ascii="宋体" w:hAnsi="宋体" w:eastAsia="宋体" w:cs="宋体"/>
                <w:color w:val="000000"/>
                <w:kern w:val="0"/>
                <w:sz w:val="18"/>
                <w:szCs w:val="18"/>
              </w:rPr>
            </w:pPr>
          </w:p>
        </w:tc>
        <w:tc>
          <w:tcPr>
            <w:tcW w:w="1343" w:type="dxa"/>
            <w:vMerge w:val="continue"/>
            <w:tcBorders>
              <w:top w:val="single" w:color="auto" w:sz="4" w:space="0"/>
              <w:left w:val="nil"/>
              <w:right w:val="single" w:color="auto" w:sz="4" w:space="0"/>
            </w:tcBorders>
            <w:noWrap/>
            <w:vAlign w:val="center"/>
          </w:tcPr>
          <w:p w14:paraId="704ACA98">
            <w:pPr>
              <w:widowControl/>
              <w:spacing w:line="240" w:lineRule="atLeast"/>
              <w:jc w:val="center"/>
              <w:rPr>
                <w:rFonts w:ascii="宋体" w:hAnsi="宋体" w:eastAsia="宋体" w:cs="宋体"/>
                <w:color w:val="000000"/>
                <w:kern w:val="0"/>
                <w:sz w:val="18"/>
                <w:szCs w:val="18"/>
              </w:rPr>
            </w:pPr>
          </w:p>
        </w:tc>
        <w:tc>
          <w:tcPr>
            <w:tcW w:w="5289" w:type="dxa"/>
            <w:tcBorders>
              <w:top w:val="nil"/>
              <w:left w:val="nil"/>
              <w:bottom w:val="single" w:color="auto" w:sz="4" w:space="0"/>
              <w:right w:val="single" w:color="auto" w:sz="4" w:space="0"/>
            </w:tcBorders>
            <w:noWrap/>
            <w:vAlign w:val="bottom"/>
          </w:tcPr>
          <w:p w14:paraId="19830052">
            <w:pPr>
              <w:widowControl/>
              <w:adjustRightInd w:val="0"/>
              <w:snapToGrid w:val="0"/>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是否针对群众心理预期、主要想法和意见开展了引导</w:t>
            </w:r>
          </w:p>
        </w:tc>
        <w:tc>
          <w:tcPr>
            <w:tcW w:w="1029" w:type="dxa"/>
            <w:tcBorders>
              <w:top w:val="nil"/>
              <w:left w:val="nil"/>
              <w:bottom w:val="single" w:color="auto" w:sz="4" w:space="0"/>
              <w:right w:val="single" w:color="auto" w:sz="4" w:space="0"/>
            </w:tcBorders>
            <w:noWrap/>
            <w:vAlign w:val="bottom"/>
          </w:tcPr>
          <w:p w14:paraId="15B193A7">
            <w:pPr>
              <w:widowControl/>
              <w:adjustRightInd w:val="0"/>
              <w:snapToGrid w:val="0"/>
              <w:jc w:val="center"/>
              <w:rPr>
                <w:rFonts w:ascii="宋体" w:hAnsi="宋体" w:eastAsia="宋体" w:cs="宋体"/>
                <w:color w:val="000000"/>
                <w:kern w:val="0"/>
                <w:sz w:val="18"/>
                <w:szCs w:val="18"/>
              </w:rPr>
            </w:pPr>
            <w:r>
              <w:rPr>
                <w:rFonts w:hint="eastAsia" w:ascii="宋体" w:hAnsi="宋体" w:cs="宋体"/>
                <w:color w:val="000000"/>
                <w:kern w:val="0"/>
                <w:sz w:val="18"/>
                <w:szCs w:val="18"/>
              </w:rPr>
              <w:t>2</w:t>
            </w:r>
          </w:p>
        </w:tc>
      </w:tr>
      <w:tr w14:paraId="068881D2">
        <w:tblPrEx>
          <w:tblCellMar>
            <w:top w:w="0" w:type="dxa"/>
            <w:left w:w="108" w:type="dxa"/>
            <w:bottom w:w="0" w:type="dxa"/>
            <w:right w:w="108" w:type="dxa"/>
          </w:tblCellMar>
        </w:tblPrEx>
        <w:trPr>
          <w:trHeight w:val="270" w:hRule="atLeast"/>
        </w:trPr>
        <w:tc>
          <w:tcPr>
            <w:tcW w:w="1165" w:type="dxa"/>
            <w:vMerge w:val="continue"/>
            <w:tcBorders>
              <w:left w:val="single" w:color="auto" w:sz="4" w:space="0"/>
              <w:right w:val="single" w:color="auto" w:sz="4" w:space="0"/>
            </w:tcBorders>
            <w:vAlign w:val="center"/>
          </w:tcPr>
          <w:p w14:paraId="50782DD1">
            <w:pPr>
              <w:spacing w:line="240" w:lineRule="atLeast"/>
              <w:jc w:val="center"/>
              <w:rPr>
                <w:rFonts w:ascii="宋体" w:hAnsi="宋体" w:eastAsia="宋体" w:cs="宋体"/>
                <w:color w:val="000000"/>
                <w:kern w:val="0"/>
                <w:sz w:val="18"/>
                <w:szCs w:val="18"/>
              </w:rPr>
            </w:pPr>
          </w:p>
        </w:tc>
        <w:tc>
          <w:tcPr>
            <w:tcW w:w="1343" w:type="dxa"/>
            <w:vMerge w:val="continue"/>
            <w:tcBorders>
              <w:top w:val="single" w:color="auto" w:sz="4" w:space="0"/>
              <w:left w:val="nil"/>
              <w:right w:val="single" w:color="auto" w:sz="4" w:space="0"/>
            </w:tcBorders>
            <w:noWrap/>
            <w:vAlign w:val="center"/>
          </w:tcPr>
          <w:p w14:paraId="7BA562CB">
            <w:pPr>
              <w:spacing w:line="240" w:lineRule="atLeast"/>
              <w:jc w:val="center"/>
              <w:rPr>
                <w:rFonts w:ascii="宋体" w:hAnsi="宋体" w:eastAsia="宋体" w:cs="宋体"/>
                <w:color w:val="000000"/>
                <w:kern w:val="0"/>
                <w:sz w:val="18"/>
                <w:szCs w:val="18"/>
              </w:rPr>
            </w:pPr>
          </w:p>
        </w:tc>
        <w:tc>
          <w:tcPr>
            <w:tcW w:w="5289" w:type="dxa"/>
            <w:tcBorders>
              <w:top w:val="nil"/>
              <w:left w:val="nil"/>
              <w:bottom w:val="single" w:color="auto" w:sz="4" w:space="0"/>
              <w:right w:val="single" w:color="auto" w:sz="4" w:space="0"/>
            </w:tcBorders>
            <w:noWrap/>
            <w:vAlign w:val="bottom"/>
          </w:tcPr>
          <w:p w14:paraId="7E766340">
            <w:pPr>
              <w:widowControl/>
              <w:adjustRightInd w:val="0"/>
              <w:snapToGrid w:val="0"/>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对情绪激烈、持反对意见的当事人是否有针对性地教育疏导措施</w:t>
            </w:r>
          </w:p>
        </w:tc>
        <w:tc>
          <w:tcPr>
            <w:tcW w:w="1029" w:type="dxa"/>
            <w:tcBorders>
              <w:top w:val="nil"/>
              <w:left w:val="nil"/>
              <w:bottom w:val="single" w:color="auto" w:sz="4" w:space="0"/>
              <w:right w:val="single" w:color="auto" w:sz="4" w:space="0"/>
            </w:tcBorders>
            <w:noWrap/>
            <w:vAlign w:val="bottom"/>
          </w:tcPr>
          <w:p w14:paraId="7CD95FA8">
            <w:pPr>
              <w:widowControl/>
              <w:adjustRightInd w:val="0"/>
              <w:snapToGrid w:val="0"/>
              <w:jc w:val="center"/>
              <w:rPr>
                <w:rFonts w:ascii="宋体" w:hAnsi="宋体" w:eastAsia="宋体" w:cs="宋体"/>
                <w:color w:val="000000"/>
                <w:kern w:val="0"/>
                <w:sz w:val="18"/>
                <w:szCs w:val="18"/>
              </w:rPr>
            </w:pPr>
            <w:r>
              <w:rPr>
                <w:rFonts w:hint="eastAsia" w:ascii="宋体" w:hAnsi="宋体" w:cs="宋体"/>
                <w:color w:val="000000"/>
                <w:kern w:val="0"/>
                <w:sz w:val="18"/>
                <w:szCs w:val="18"/>
              </w:rPr>
              <w:t>2</w:t>
            </w:r>
          </w:p>
        </w:tc>
      </w:tr>
      <w:tr w14:paraId="0FD1F893">
        <w:tblPrEx>
          <w:tblCellMar>
            <w:top w:w="0" w:type="dxa"/>
            <w:left w:w="108" w:type="dxa"/>
            <w:bottom w:w="0" w:type="dxa"/>
            <w:right w:w="108" w:type="dxa"/>
          </w:tblCellMar>
        </w:tblPrEx>
        <w:trPr>
          <w:trHeight w:val="270" w:hRule="atLeast"/>
        </w:trPr>
        <w:tc>
          <w:tcPr>
            <w:tcW w:w="1165" w:type="dxa"/>
            <w:vMerge w:val="continue"/>
            <w:tcBorders>
              <w:left w:val="single" w:color="auto" w:sz="4" w:space="0"/>
              <w:right w:val="single" w:color="auto" w:sz="4" w:space="0"/>
            </w:tcBorders>
            <w:vAlign w:val="center"/>
          </w:tcPr>
          <w:p w14:paraId="2E40BE65">
            <w:pPr>
              <w:spacing w:line="240" w:lineRule="atLeast"/>
              <w:jc w:val="center"/>
              <w:rPr>
                <w:rFonts w:ascii="宋体" w:hAnsi="宋体" w:eastAsia="宋体" w:cs="宋体"/>
                <w:color w:val="000000"/>
                <w:kern w:val="0"/>
                <w:sz w:val="18"/>
                <w:szCs w:val="18"/>
              </w:rPr>
            </w:pPr>
          </w:p>
        </w:tc>
        <w:tc>
          <w:tcPr>
            <w:tcW w:w="1343" w:type="dxa"/>
            <w:vMerge w:val="continue"/>
            <w:tcBorders>
              <w:top w:val="single" w:color="auto" w:sz="4" w:space="0"/>
              <w:left w:val="nil"/>
              <w:right w:val="single" w:color="auto" w:sz="4" w:space="0"/>
            </w:tcBorders>
            <w:noWrap/>
            <w:vAlign w:val="center"/>
          </w:tcPr>
          <w:p w14:paraId="1B858858">
            <w:pPr>
              <w:spacing w:line="240" w:lineRule="atLeast"/>
              <w:jc w:val="center"/>
              <w:rPr>
                <w:rFonts w:ascii="宋体" w:hAnsi="宋体" w:eastAsia="宋体" w:cs="宋体"/>
                <w:color w:val="000000"/>
                <w:kern w:val="0"/>
                <w:sz w:val="18"/>
                <w:szCs w:val="18"/>
              </w:rPr>
            </w:pPr>
          </w:p>
        </w:tc>
        <w:tc>
          <w:tcPr>
            <w:tcW w:w="5289" w:type="dxa"/>
            <w:tcBorders>
              <w:top w:val="nil"/>
              <w:left w:val="nil"/>
              <w:bottom w:val="single" w:color="auto" w:sz="4" w:space="0"/>
              <w:right w:val="single" w:color="auto" w:sz="4" w:space="0"/>
            </w:tcBorders>
            <w:noWrap/>
            <w:vAlign w:val="bottom"/>
          </w:tcPr>
          <w:p w14:paraId="2419249A">
            <w:pPr>
              <w:widowControl/>
              <w:adjustRightInd w:val="0"/>
              <w:snapToGrid w:val="0"/>
              <w:jc w:val="left"/>
              <w:rPr>
                <w:rFonts w:ascii="宋体" w:hAnsi="宋体" w:eastAsia="宋体" w:cs="宋体"/>
                <w:color w:val="000000"/>
                <w:kern w:val="0"/>
                <w:sz w:val="18"/>
                <w:szCs w:val="18"/>
              </w:rPr>
            </w:pPr>
            <w:r>
              <w:rPr>
                <w:rFonts w:hint="eastAsia" w:ascii="宋体"/>
                <w:color w:val="000000"/>
                <w:kern w:val="0"/>
                <w:sz w:val="18"/>
                <w:szCs w:val="18"/>
              </w:rPr>
              <w:t>是否与媒体建立正常的沟通渠道</w:t>
            </w:r>
          </w:p>
        </w:tc>
        <w:tc>
          <w:tcPr>
            <w:tcW w:w="1029" w:type="dxa"/>
            <w:tcBorders>
              <w:top w:val="nil"/>
              <w:left w:val="nil"/>
              <w:bottom w:val="single" w:color="auto" w:sz="4" w:space="0"/>
              <w:right w:val="single" w:color="auto" w:sz="4" w:space="0"/>
            </w:tcBorders>
            <w:noWrap/>
            <w:vAlign w:val="bottom"/>
          </w:tcPr>
          <w:p w14:paraId="79EDB065">
            <w:pPr>
              <w:widowControl/>
              <w:adjustRightInd w:val="0"/>
              <w:snapToGrid w:val="0"/>
              <w:jc w:val="center"/>
              <w:rPr>
                <w:rFonts w:ascii="宋体" w:eastAsia="宋体"/>
                <w:color w:val="000000"/>
                <w:kern w:val="0"/>
                <w:sz w:val="18"/>
                <w:szCs w:val="18"/>
              </w:rPr>
            </w:pPr>
            <w:r>
              <w:rPr>
                <w:rFonts w:hint="eastAsia" w:ascii="宋体"/>
                <w:color w:val="000000"/>
                <w:kern w:val="0"/>
                <w:sz w:val="18"/>
                <w:szCs w:val="18"/>
              </w:rPr>
              <w:t>1</w:t>
            </w:r>
          </w:p>
        </w:tc>
      </w:tr>
      <w:tr w14:paraId="353792B7">
        <w:tblPrEx>
          <w:tblCellMar>
            <w:top w:w="0" w:type="dxa"/>
            <w:left w:w="108" w:type="dxa"/>
            <w:bottom w:w="0" w:type="dxa"/>
            <w:right w:w="108" w:type="dxa"/>
          </w:tblCellMar>
        </w:tblPrEx>
        <w:trPr>
          <w:trHeight w:val="270" w:hRule="atLeast"/>
        </w:trPr>
        <w:tc>
          <w:tcPr>
            <w:tcW w:w="1165" w:type="dxa"/>
            <w:vMerge w:val="continue"/>
            <w:tcBorders>
              <w:left w:val="single" w:color="auto" w:sz="4" w:space="0"/>
              <w:right w:val="single" w:color="auto" w:sz="4" w:space="0"/>
            </w:tcBorders>
            <w:vAlign w:val="center"/>
          </w:tcPr>
          <w:p w14:paraId="5CA13D6C">
            <w:pPr>
              <w:spacing w:line="240" w:lineRule="atLeast"/>
              <w:jc w:val="center"/>
              <w:rPr>
                <w:rFonts w:ascii="宋体" w:hAnsi="宋体" w:eastAsia="宋体" w:cs="宋体"/>
                <w:color w:val="000000"/>
                <w:kern w:val="0"/>
                <w:sz w:val="18"/>
                <w:szCs w:val="18"/>
              </w:rPr>
            </w:pPr>
          </w:p>
        </w:tc>
        <w:tc>
          <w:tcPr>
            <w:tcW w:w="1343" w:type="dxa"/>
            <w:vMerge w:val="continue"/>
            <w:tcBorders>
              <w:top w:val="single" w:color="auto" w:sz="4" w:space="0"/>
              <w:left w:val="nil"/>
              <w:bottom w:val="single" w:color="auto" w:sz="4" w:space="0"/>
              <w:right w:val="single" w:color="auto" w:sz="4" w:space="0"/>
            </w:tcBorders>
            <w:noWrap/>
            <w:vAlign w:val="center"/>
          </w:tcPr>
          <w:p w14:paraId="5463A783">
            <w:pPr>
              <w:spacing w:line="240" w:lineRule="atLeast"/>
              <w:jc w:val="center"/>
              <w:rPr>
                <w:rFonts w:ascii="宋体" w:hAnsi="宋体" w:eastAsia="宋体" w:cs="宋体"/>
                <w:color w:val="000000"/>
                <w:kern w:val="0"/>
                <w:sz w:val="18"/>
                <w:szCs w:val="18"/>
              </w:rPr>
            </w:pPr>
          </w:p>
        </w:tc>
        <w:tc>
          <w:tcPr>
            <w:tcW w:w="5289" w:type="dxa"/>
            <w:tcBorders>
              <w:top w:val="nil"/>
              <w:left w:val="nil"/>
              <w:bottom w:val="single" w:color="auto" w:sz="4" w:space="0"/>
              <w:right w:val="single" w:color="auto" w:sz="4" w:space="0"/>
            </w:tcBorders>
            <w:noWrap/>
            <w:vAlign w:val="bottom"/>
          </w:tcPr>
          <w:p w14:paraId="53D50639">
            <w:pPr>
              <w:widowControl/>
              <w:adjustRightInd w:val="0"/>
              <w:snapToGrid w:val="0"/>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有无有效管控恶意炒作等负面舆情的措施办法</w:t>
            </w:r>
          </w:p>
        </w:tc>
        <w:tc>
          <w:tcPr>
            <w:tcW w:w="1029" w:type="dxa"/>
            <w:tcBorders>
              <w:top w:val="nil"/>
              <w:left w:val="nil"/>
              <w:bottom w:val="single" w:color="auto" w:sz="4" w:space="0"/>
              <w:right w:val="single" w:color="auto" w:sz="4" w:space="0"/>
            </w:tcBorders>
            <w:noWrap/>
            <w:vAlign w:val="bottom"/>
          </w:tcPr>
          <w:p w14:paraId="50C16953">
            <w:pPr>
              <w:widowControl/>
              <w:adjustRightInd w:val="0"/>
              <w:snapToGrid w:val="0"/>
              <w:spacing w:line="240" w:lineRule="exact"/>
              <w:jc w:val="center"/>
              <w:rPr>
                <w:rFonts w:ascii="宋体" w:hAnsi="宋体" w:eastAsia="宋体" w:cs="宋体"/>
                <w:color w:val="000000"/>
                <w:kern w:val="0"/>
                <w:sz w:val="18"/>
                <w:szCs w:val="18"/>
              </w:rPr>
            </w:pPr>
            <w:r>
              <w:rPr>
                <w:rFonts w:hint="eastAsia" w:ascii="宋体" w:hAnsi="宋体" w:cs="宋体"/>
                <w:color w:val="000000"/>
                <w:kern w:val="0"/>
                <w:sz w:val="18"/>
                <w:szCs w:val="18"/>
              </w:rPr>
              <w:t>1</w:t>
            </w:r>
          </w:p>
        </w:tc>
      </w:tr>
      <w:tr w14:paraId="74562B25">
        <w:tblPrEx>
          <w:tblCellMar>
            <w:top w:w="0" w:type="dxa"/>
            <w:left w:w="108" w:type="dxa"/>
            <w:bottom w:w="0" w:type="dxa"/>
            <w:right w:w="108" w:type="dxa"/>
          </w:tblCellMar>
        </w:tblPrEx>
        <w:trPr>
          <w:trHeight w:val="270" w:hRule="atLeast"/>
        </w:trPr>
        <w:tc>
          <w:tcPr>
            <w:tcW w:w="1165" w:type="dxa"/>
            <w:vMerge w:val="continue"/>
            <w:tcBorders>
              <w:left w:val="single" w:color="auto" w:sz="4" w:space="0"/>
              <w:right w:val="single" w:color="auto" w:sz="4" w:space="0"/>
            </w:tcBorders>
            <w:vAlign w:val="center"/>
          </w:tcPr>
          <w:p w14:paraId="4F0E46A8">
            <w:pPr>
              <w:spacing w:line="240" w:lineRule="atLeast"/>
              <w:jc w:val="center"/>
              <w:rPr>
                <w:rFonts w:ascii="宋体" w:hAnsi="宋体" w:eastAsia="宋体" w:cs="宋体"/>
                <w:color w:val="000000"/>
                <w:kern w:val="0"/>
                <w:sz w:val="18"/>
                <w:szCs w:val="18"/>
              </w:rPr>
            </w:pPr>
          </w:p>
        </w:tc>
        <w:tc>
          <w:tcPr>
            <w:tcW w:w="1343" w:type="dxa"/>
            <w:vMerge w:val="restart"/>
            <w:tcBorders>
              <w:top w:val="single" w:color="auto" w:sz="4" w:space="0"/>
              <w:left w:val="nil"/>
              <w:right w:val="single" w:color="auto" w:sz="4" w:space="0"/>
            </w:tcBorders>
            <w:noWrap/>
            <w:vAlign w:val="center"/>
          </w:tcPr>
          <w:p w14:paraId="1563ADB8">
            <w:pPr>
              <w:spacing w:line="240" w:lineRule="atLeast"/>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事件管控</w:t>
            </w:r>
          </w:p>
          <w:p w14:paraId="09052FFF">
            <w:pPr>
              <w:widowControl/>
              <w:spacing w:line="240" w:lineRule="atLeast"/>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（10分）</w:t>
            </w:r>
          </w:p>
          <w:p w14:paraId="41376802">
            <w:pPr>
              <w:widowControl/>
              <w:spacing w:line="240" w:lineRule="atLeast"/>
              <w:jc w:val="center"/>
              <w:rPr>
                <w:rFonts w:ascii="宋体" w:hAnsi="宋体" w:eastAsia="宋体" w:cs="宋体"/>
                <w:color w:val="000000"/>
                <w:kern w:val="0"/>
                <w:sz w:val="18"/>
                <w:szCs w:val="18"/>
              </w:rPr>
            </w:pPr>
          </w:p>
        </w:tc>
        <w:tc>
          <w:tcPr>
            <w:tcW w:w="5289" w:type="dxa"/>
            <w:tcBorders>
              <w:top w:val="nil"/>
              <w:left w:val="nil"/>
              <w:bottom w:val="single" w:color="auto" w:sz="4" w:space="0"/>
              <w:right w:val="single" w:color="auto" w:sz="4" w:space="0"/>
            </w:tcBorders>
            <w:noWrap/>
            <w:vAlign w:val="bottom"/>
          </w:tcPr>
          <w:p w14:paraId="7F3E4806">
            <w:pPr>
              <w:widowControl/>
              <w:adjustRightInd w:val="0"/>
              <w:snapToGrid w:val="0"/>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有无突发事件应急处置预案</w:t>
            </w:r>
          </w:p>
        </w:tc>
        <w:tc>
          <w:tcPr>
            <w:tcW w:w="1029" w:type="dxa"/>
            <w:tcBorders>
              <w:top w:val="nil"/>
              <w:left w:val="nil"/>
              <w:bottom w:val="single" w:color="auto" w:sz="4" w:space="0"/>
              <w:right w:val="single" w:color="auto" w:sz="4" w:space="0"/>
            </w:tcBorders>
            <w:noWrap/>
            <w:vAlign w:val="bottom"/>
          </w:tcPr>
          <w:p w14:paraId="1731BF2A">
            <w:pPr>
              <w:widowControl/>
              <w:adjustRightInd w:val="0"/>
              <w:snapToGrid w:val="0"/>
              <w:spacing w:line="240" w:lineRule="exact"/>
              <w:jc w:val="center"/>
              <w:rPr>
                <w:rFonts w:ascii="宋体" w:hAnsi="宋体" w:eastAsia="宋体" w:cs="宋体"/>
                <w:color w:val="000000"/>
                <w:kern w:val="0"/>
                <w:sz w:val="18"/>
                <w:szCs w:val="18"/>
              </w:rPr>
            </w:pPr>
            <w:r>
              <w:rPr>
                <w:rFonts w:hint="eastAsia" w:ascii="宋体" w:hAnsi="宋体" w:cs="宋体"/>
                <w:color w:val="000000"/>
                <w:kern w:val="0"/>
                <w:sz w:val="18"/>
                <w:szCs w:val="18"/>
              </w:rPr>
              <w:t>1</w:t>
            </w:r>
          </w:p>
        </w:tc>
      </w:tr>
      <w:tr w14:paraId="7E3F85CB">
        <w:tblPrEx>
          <w:tblCellMar>
            <w:top w:w="0" w:type="dxa"/>
            <w:left w:w="108" w:type="dxa"/>
            <w:bottom w:w="0" w:type="dxa"/>
            <w:right w:w="108" w:type="dxa"/>
          </w:tblCellMar>
        </w:tblPrEx>
        <w:trPr>
          <w:trHeight w:val="270" w:hRule="atLeast"/>
        </w:trPr>
        <w:tc>
          <w:tcPr>
            <w:tcW w:w="1165" w:type="dxa"/>
            <w:vMerge w:val="continue"/>
            <w:tcBorders>
              <w:left w:val="single" w:color="auto" w:sz="4" w:space="0"/>
              <w:right w:val="single" w:color="auto" w:sz="4" w:space="0"/>
            </w:tcBorders>
            <w:vAlign w:val="center"/>
          </w:tcPr>
          <w:p w14:paraId="1FD5F277">
            <w:pPr>
              <w:spacing w:line="240" w:lineRule="atLeast"/>
              <w:jc w:val="center"/>
              <w:rPr>
                <w:rFonts w:ascii="宋体" w:hAnsi="宋体" w:eastAsia="宋体" w:cs="宋体"/>
                <w:color w:val="000000"/>
                <w:kern w:val="0"/>
                <w:sz w:val="18"/>
                <w:szCs w:val="18"/>
              </w:rPr>
            </w:pPr>
          </w:p>
        </w:tc>
        <w:tc>
          <w:tcPr>
            <w:tcW w:w="1343" w:type="dxa"/>
            <w:vMerge w:val="continue"/>
            <w:tcBorders>
              <w:left w:val="nil"/>
              <w:right w:val="single" w:color="auto" w:sz="4" w:space="0"/>
            </w:tcBorders>
            <w:noWrap/>
            <w:vAlign w:val="center"/>
          </w:tcPr>
          <w:p w14:paraId="31639AAF">
            <w:pPr>
              <w:widowControl/>
              <w:spacing w:line="240" w:lineRule="atLeast"/>
              <w:jc w:val="center"/>
              <w:rPr>
                <w:rFonts w:ascii="宋体" w:hAnsi="宋体" w:eastAsia="宋体" w:cs="宋体"/>
                <w:color w:val="000000"/>
                <w:kern w:val="0"/>
                <w:sz w:val="18"/>
                <w:szCs w:val="18"/>
              </w:rPr>
            </w:pPr>
          </w:p>
        </w:tc>
        <w:tc>
          <w:tcPr>
            <w:tcW w:w="5289" w:type="dxa"/>
            <w:tcBorders>
              <w:top w:val="nil"/>
              <w:left w:val="nil"/>
              <w:bottom w:val="single" w:color="auto" w:sz="4" w:space="0"/>
              <w:right w:val="single" w:color="auto" w:sz="4" w:space="0"/>
            </w:tcBorders>
            <w:noWrap/>
            <w:vAlign w:val="bottom"/>
          </w:tcPr>
          <w:p w14:paraId="1FF799A5">
            <w:pPr>
              <w:widowControl/>
              <w:adjustRightInd w:val="0"/>
              <w:snapToGrid w:val="0"/>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有无完善的应急处置工作机制</w:t>
            </w:r>
          </w:p>
        </w:tc>
        <w:tc>
          <w:tcPr>
            <w:tcW w:w="1029" w:type="dxa"/>
            <w:tcBorders>
              <w:top w:val="nil"/>
              <w:left w:val="nil"/>
              <w:bottom w:val="single" w:color="auto" w:sz="4" w:space="0"/>
              <w:right w:val="single" w:color="auto" w:sz="4" w:space="0"/>
            </w:tcBorders>
            <w:noWrap/>
            <w:vAlign w:val="bottom"/>
          </w:tcPr>
          <w:p w14:paraId="49962CC5">
            <w:pPr>
              <w:widowControl/>
              <w:adjustRightInd w:val="0"/>
              <w:snapToGrid w:val="0"/>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2</w:t>
            </w:r>
          </w:p>
        </w:tc>
      </w:tr>
      <w:tr w14:paraId="427496B0">
        <w:tblPrEx>
          <w:tblCellMar>
            <w:top w:w="0" w:type="dxa"/>
            <w:left w:w="108" w:type="dxa"/>
            <w:bottom w:w="0" w:type="dxa"/>
            <w:right w:w="108" w:type="dxa"/>
          </w:tblCellMar>
        </w:tblPrEx>
        <w:trPr>
          <w:trHeight w:val="270" w:hRule="atLeast"/>
        </w:trPr>
        <w:tc>
          <w:tcPr>
            <w:tcW w:w="1165" w:type="dxa"/>
            <w:vMerge w:val="continue"/>
            <w:tcBorders>
              <w:left w:val="single" w:color="auto" w:sz="4" w:space="0"/>
              <w:right w:val="single" w:color="auto" w:sz="4" w:space="0"/>
            </w:tcBorders>
            <w:vAlign w:val="center"/>
          </w:tcPr>
          <w:p w14:paraId="6B4AB024">
            <w:pPr>
              <w:spacing w:line="240" w:lineRule="atLeast"/>
              <w:jc w:val="center"/>
              <w:rPr>
                <w:rFonts w:ascii="宋体" w:hAnsi="宋体" w:eastAsia="宋体" w:cs="宋体"/>
                <w:color w:val="000000"/>
                <w:kern w:val="0"/>
                <w:sz w:val="18"/>
                <w:szCs w:val="18"/>
              </w:rPr>
            </w:pPr>
          </w:p>
        </w:tc>
        <w:tc>
          <w:tcPr>
            <w:tcW w:w="1343" w:type="dxa"/>
            <w:vMerge w:val="continue"/>
            <w:tcBorders>
              <w:top w:val="single" w:color="auto" w:sz="4" w:space="0"/>
              <w:left w:val="nil"/>
              <w:right w:val="single" w:color="auto" w:sz="4" w:space="0"/>
            </w:tcBorders>
            <w:noWrap/>
            <w:vAlign w:val="center"/>
          </w:tcPr>
          <w:p w14:paraId="66284606">
            <w:pPr>
              <w:spacing w:line="240" w:lineRule="atLeast"/>
              <w:jc w:val="center"/>
              <w:rPr>
                <w:rFonts w:ascii="宋体" w:hAnsi="宋体" w:eastAsia="宋体" w:cs="宋体"/>
                <w:color w:val="000000"/>
                <w:kern w:val="0"/>
                <w:sz w:val="18"/>
                <w:szCs w:val="18"/>
              </w:rPr>
            </w:pPr>
          </w:p>
        </w:tc>
        <w:tc>
          <w:tcPr>
            <w:tcW w:w="5289" w:type="dxa"/>
            <w:tcBorders>
              <w:top w:val="nil"/>
              <w:left w:val="nil"/>
              <w:bottom w:val="single" w:color="auto" w:sz="4" w:space="0"/>
              <w:right w:val="single" w:color="auto" w:sz="4" w:space="0"/>
            </w:tcBorders>
            <w:noWrap/>
            <w:vAlign w:val="bottom"/>
          </w:tcPr>
          <w:p w14:paraId="745A0E39">
            <w:pPr>
              <w:widowControl/>
              <w:adjustRightInd w:val="0"/>
              <w:snapToGrid w:val="0"/>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是否会引发规模性聚集事件、群体性事件、个人极端案事件及其他严重影响社会稳定的问题</w:t>
            </w:r>
            <w:r>
              <w:rPr>
                <w:rFonts w:hint="eastAsia" w:ascii="宋体" w:hAnsi="宋体" w:cs="宋体"/>
                <w:color w:val="000000"/>
                <w:kern w:val="0"/>
                <w:sz w:val="18"/>
                <w:szCs w:val="18"/>
              </w:rPr>
              <w:sym w:font="Wingdings" w:char="F0B5"/>
            </w:r>
          </w:p>
        </w:tc>
        <w:tc>
          <w:tcPr>
            <w:tcW w:w="1029" w:type="dxa"/>
            <w:tcBorders>
              <w:top w:val="nil"/>
              <w:left w:val="nil"/>
              <w:bottom w:val="single" w:color="auto" w:sz="4" w:space="0"/>
              <w:right w:val="single" w:color="auto" w:sz="4" w:space="0"/>
            </w:tcBorders>
            <w:noWrap/>
            <w:vAlign w:val="bottom"/>
          </w:tcPr>
          <w:p w14:paraId="7B23833C">
            <w:pPr>
              <w:widowControl/>
              <w:adjustRightInd w:val="0"/>
              <w:snapToGrid w:val="0"/>
              <w:spacing w:line="240" w:lineRule="exact"/>
              <w:jc w:val="center"/>
              <w:rPr>
                <w:rFonts w:ascii="宋体" w:hAnsi="宋体" w:eastAsia="宋体" w:cs="宋体"/>
                <w:color w:val="000000"/>
                <w:kern w:val="0"/>
                <w:sz w:val="18"/>
                <w:szCs w:val="18"/>
              </w:rPr>
            </w:pPr>
            <w:r>
              <w:rPr>
                <w:rFonts w:hint="eastAsia" w:ascii="宋体" w:hAnsi="宋体" w:cs="宋体"/>
                <w:color w:val="000000"/>
                <w:kern w:val="0"/>
                <w:sz w:val="18"/>
                <w:szCs w:val="18"/>
              </w:rPr>
              <w:t>5</w:t>
            </w:r>
          </w:p>
        </w:tc>
      </w:tr>
      <w:tr w14:paraId="2976D80F">
        <w:tblPrEx>
          <w:tblCellMar>
            <w:top w:w="0" w:type="dxa"/>
            <w:left w:w="108" w:type="dxa"/>
            <w:bottom w:w="0" w:type="dxa"/>
            <w:right w:w="108" w:type="dxa"/>
          </w:tblCellMar>
        </w:tblPrEx>
        <w:trPr>
          <w:trHeight w:val="270" w:hRule="atLeast"/>
        </w:trPr>
        <w:tc>
          <w:tcPr>
            <w:tcW w:w="1165" w:type="dxa"/>
            <w:vMerge w:val="continue"/>
            <w:tcBorders>
              <w:left w:val="single" w:color="auto" w:sz="4" w:space="0"/>
              <w:bottom w:val="single" w:color="auto" w:sz="4" w:space="0"/>
              <w:right w:val="single" w:color="auto" w:sz="4" w:space="0"/>
            </w:tcBorders>
            <w:vAlign w:val="center"/>
          </w:tcPr>
          <w:p w14:paraId="7185A1D3">
            <w:pPr>
              <w:spacing w:line="240" w:lineRule="atLeast"/>
              <w:jc w:val="center"/>
              <w:rPr>
                <w:rFonts w:ascii="宋体" w:hAnsi="宋体" w:eastAsia="宋体" w:cs="宋体"/>
                <w:color w:val="000000"/>
                <w:kern w:val="0"/>
                <w:sz w:val="18"/>
                <w:szCs w:val="18"/>
              </w:rPr>
            </w:pPr>
          </w:p>
        </w:tc>
        <w:tc>
          <w:tcPr>
            <w:tcW w:w="1343" w:type="dxa"/>
            <w:vMerge w:val="continue"/>
            <w:tcBorders>
              <w:top w:val="single" w:color="auto" w:sz="4" w:space="0"/>
              <w:left w:val="nil"/>
              <w:bottom w:val="single" w:color="auto" w:sz="4" w:space="0"/>
              <w:right w:val="single" w:color="auto" w:sz="4" w:space="0"/>
            </w:tcBorders>
            <w:noWrap/>
            <w:vAlign w:val="center"/>
          </w:tcPr>
          <w:p w14:paraId="068F9FE0">
            <w:pPr>
              <w:spacing w:line="240" w:lineRule="atLeast"/>
              <w:jc w:val="center"/>
              <w:rPr>
                <w:rFonts w:ascii="宋体" w:hAnsi="宋体" w:eastAsia="宋体" w:cs="宋体"/>
                <w:color w:val="000000"/>
                <w:kern w:val="0"/>
                <w:sz w:val="18"/>
                <w:szCs w:val="18"/>
              </w:rPr>
            </w:pPr>
          </w:p>
        </w:tc>
        <w:tc>
          <w:tcPr>
            <w:tcW w:w="5289" w:type="dxa"/>
            <w:tcBorders>
              <w:top w:val="nil"/>
              <w:left w:val="nil"/>
              <w:bottom w:val="single" w:color="auto" w:sz="4" w:space="0"/>
              <w:right w:val="single" w:color="auto" w:sz="4" w:space="0"/>
            </w:tcBorders>
            <w:noWrap/>
            <w:vAlign w:val="bottom"/>
          </w:tcPr>
          <w:p w14:paraId="324D1611">
            <w:pPr>
              <w:widowControl/>
              <w:adjustRightInd w:val="0"/>
              <w:snapToGrid w:val="0"/>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实施主体是否有处置突发事件的丰富经验和基本能力</w:t>
            </w:r>
          </w:p>
        </w:tc>
        <w:tc>
          <w:tcPr>
            <w:tcW w:w="1029" w:type="dxa"/>
            <w:tcBorders>
              <w:top w:val="nil"/>
              <w:left w:val="nil"/>
              <w:bottom w:val="single" w:color="auto" w:sz="4" w:space="0"/>
              <w:right w:val="single" w:color="auto" w:sz="4" w:space="0"/>
            </w:tcBorders>
            <w:noWrap/>
            <w:vAlign w:val="bottom"/>
          </w:tcPr>
          <w:p w14:paraId="64F1B801">
            <w:pPr>
              <w:widowControl/>
              <w:adjustRightInd w:val="0"/>
              <w:snapToGrid w:val="0"/>
              <w:spacing w:line="240" w:lineRule="exact"/>
              <w:jc w:val="center"/>
              <w:rPr>
                <w:rFonts w:ascii="宋体" w:hAnsi="宋体" w:eastAsia="宋体" w:cs="宋体"/>
                <w:color w:val="000000"/>
                <w:kern w:val="0"/>
                <w:sz w:val="18"/>
                <w:szCs w:val="18"/>
              </w:rPr>
            </w:pPr>
            <w:r>
              <w:rPr>
                <w:rFonts w:hint="eastAsia" w:ascii="宋体" w:hAnsi="宋体" w:cs="宋体"/>
                <w:color w:val="000000"/>
                <w:kern w:val="0"/>
                <w:sz w:val="18"/>
                <w:szCs w:val="18"/>
              </w:rPr>
              <w:t>2</w:t>
            </w:r>
          </w:p>
        </w:tc>
      </w:tr>
      <w:tr w14:paraId="17C8D1E1">
        <w:tblPrEx>
          <w:tblCellMar>
            <w:top w:w="0" w:type="dxa"/>
            <w:left w:w="108" w:type="dxa"/>
            <w:bottom w:w="0" w:type="dxa"/>
            <w:right w:w="108" w:type="dxa"/>
          </w:tblCellMar>
        </w:tblPrEx>
        <w:trPr>
          <w:trHeight w:val="270" w:hRule="atLeast"/>
        </w:trPr>
        <w:tc>
          <w:tcPr>
            <w:tcW w:w="7797" w:type="dxa"/>
            <w:gridSpan w:val="3"/>
            <w:tcBorders>
              <w:top w:val="single" w:color="auto" w:sz="4" w:space="0"/>
              <w:left w:val="single" w:color="auto" w:sz="4" w:space="0"/>
              <w:bottom w:val="single" w:color="auto" w:sz="4" w:space="0"/>
              <w:right w:val="single" w:color="auto" w:sz="4" w:space="0"/>
            </w:tcBorders>
            <w:vAlign w:val="center"/>
          </w:tcPr>
          <w:p w14:paraId="29DC962B">
            <w:pPr>
              <w:widowControl/>
              <w:adjustRightInd w:val="0"/>
              <w:snapToGrid w:val="0"/>
              <w:jc w:val="left"/>
              <w:rPr>
                <w:rFonts w:ascii="宋体" w:hAnsi="宋体" w:eastAsia="宋体" w:cs="宋体"/>
                <w:color w:val="000000"/>
                <w:kern w:val="0"/>
                <w:sz w:val="18"/>
                <w:szCs w:val="18"/>
              </w:rPr>
            </w:pPr>
            <w:r>
              <w:rPr>
                <w:rFonts w:hint="eastAsia" w:ascii="宋体" w:hAnsi="宋体" w:cs="宋体"/>
                <w:color w:val="000000"/>
                <w:kern w:val="0"/>
                <w:sz w:val="18"/>
                <w:szCs w:val="18"/>
              </w:rPr>
              <w:t>注：</w:t>
            </w:r>
            <w:r>
              <w:rPr>
                <w:rFonts w:hint="eastAsia"/>
                <w:color w:val="000000"/>
                <w:sz w:val="18"/>
                <w:szCs w:val="18"/>
              </w:rPr>
              <w:t>指标中作“</w:t>
            </w:r>
            <w:r>
              <w:rPr>
                <w:rFonts w:hint="eastAsia"/>
                <w:color w:val="000000"/>
                <w:sz w:val="18"/>
                <w:szCs w:val="18"/>
              </w:rPr>
              <w:sym w:font="Wingdings" w:char="F0B5"/>
            </w:r>
            <w:r>
              <w:rPr>
                <w:rFonts w:hint="eastAsia"/>
                <w:color w:val="000000"/>
                <w:sz w:val="18"/>
                <w:szCs w:val="18"/>
              </w:rPr>
              <w:t>”标记的系直接定性分类指标，只要存在</w:t>
            </w:r>
            <w:r>
              <w:rPr>
                <w:rFonts w:hint="eastAsia"/>
                <w:color w:val="000000"/>
                <w:sz w:val="18"/>
                <w:szCs w:val="18"/>
                <w:lang w:eastAsia="zh-CN"/>
              </w:rPr>
              <w:t>“事件管控”三级指标作</w:t>
            </w:r>
            <w:r>
              <w:rPr>
                <w:rFonts w:hint="eastAsia"/>
                <w:color w:val="000000"/>
                <w:sz w:val="18"/>
                <w:szCs w:val="18"/>
              </w:rPr>
              <w:t>“</w:t>
            </w:r>
            <w:r>
              <w:rPr>
                <w:rFonts w:hint="eastAsia"/>
                <w:color w:val="000000"/>
                <w:sz w:val="18"/>
                <w:szCs w:val="18"/>
              </w:rPr>
              <w:sym w:font="Wingdings" w:char="F0B5"/>
            </w:r>
            <w:r>
              <w:rPr>
                <w:rFonts w:hint="eastAsia"/>
                <w:color w:val="000000"/>
                <w:sz w:val="18"/>
                <w:szCs w:val="18"/>
              </w:rPr>
              <w:t>”</w:t>
            </w:r>
            <w:r>
              <w:rPr>
                <w:rFonts w:hint="eastAsia"/>
                <w:color w:val="000000"/>
                <w:sz w:val="18"/>
                <w:szCs w:val="18"/>
                <w:lang w:eastAsia="zh-CN"/>
              </w:rPr>
              <w:t>标记的指标为肯定性描述情形，或其他作</w:t>
            </w:r>
            <w:r>
              <w:rPr>
                <w:rFonts w:hint="eastAsia"/>
                <w:color w:val="000000"/>
                <w:sz w:val="18"/>
                <w:szCs w:val="18"/>
              </w:rPr>
              <w:t>“</w:t>
            </w:r>
            <w:r>
              <w:rPr>
                <w:rFonts w:hint="eastAsia"/>
                <w:color w:val="000000"/>
                <w:sz w:val="18"/>
                <w:szCs w:val="18"/>
              </w:rPr>
              <w:sym w:font="Wingdings" w:char="F0B5"/>
            </w:r>
            <w:r>
              <w:rPr>
                <w:rFonts w:hint="eastAsia"/>
                <w:color w:val="000000"/>
                <w:sz w:val="18"/>
                <w:szCs w:val="18"/>
              </w:rPr>
              <w:t>”</w:t>
            </w:r>
            <w:r>
              <w:rPr>
                <w:rFonts w:hint="eastAsia"/>
                <w:color w:val="000000"/>
                <w:sz w:val="18"/>
                <w:szCs w:val="18"/>
                <w:lang w:eastAsia="zh-CN"/>
              </w:rPr>
              <w:t>标记的指标之一为</w:t>
            </w:r>
            <w:r>
              <w:rPr>
                <w:rFonts w:hint="eastAsia" w:ascii="宋体" w:hAnsi="宋体" w:cs="宋体"/>
                <w:color w:val="000000"/>
                <w:kern w:val="0"/>
                <w:sz w:val="18"/>
                <w:szCs w:val="18"/>
              </w:rPr>
              <w:t>否定性描</w:t>
            </w:r>
            <w:r>
              <w:rPr>
                <w:rFonts w:hint="eastAsia"/>
                <w:color w:val="000000"/>
                <w:sz w:val="18"/>
                <w:szCs w:val="18"/>
              </w:rPr>
              <w:t>述情形，则该决策事项为高风险。</w:t>
            </w:r>
          </w:p>
        </w:tc>
        <w:tc>
          <w:tcPr>
            <w:tcW w:w="1029" w:type="dxa"/>
            <w:tcBorders>
              <w:top w:val="single" w:color="auto" w:sz="4" w:space="0"/>
              <w:left w:val="single" w:color="auto" w:sz="4" w:space="0"/>
              <w:bottom w:val="single" w:color="auto" w:sz="4" w:space="0"/>
              <w:right w:val="single" w:color="auto" w:sz="4" w:space="0"/>
            </w:tcBorders>
            <w:vAlign w:val="center"/>
          </w:tcPr>
          <w:p w14:paraId="1F59E6E7">
            <w:pPr>
              <w:widowControl/>
              <w:adjustRightInd w:val="0"/>
              <w:snapToGrid w:val="0"/>
              <w:jc w:val="center"/>
              <w:rPr>
                <w:rFonts w:ascii="宋体" w:hAnsi="宋体" w:cs="宋体"/>
                <w:color w:val="000000"/>
                <w:kern w:val="0"/>
                <w:sz w:val="18"/>
                <w:szCs w:val="18"/>
              </w:rPr>
            </w:pPr>
          </w:p>
        </w:tc>
      </w:tr>
    </w:tbl>
    <w:p w14:paraId="59ABA76C">
      <w:pPr>
        <w:widowControl/>
        <w:jc w:val="center"/>
        <w:rPr>
          <w:rFonts w:hint="eastAsia" w:ascii="黑体" w:hAnsi="黑体" w:eastAsia="黑体" w:cs="黑体"/>
          <w:kern w:val="0"/>
          <w:sz w:val="21"/>
          <w:szCs w:val="20"/>
        </w:rPr>
      </w:pPr>
      <w:r>
        <w:rPr>
          <w:rFonts w:ascii="宋体" w:hAnsi="宋体" w:eastAsia="宋体"/>
          <w:b/>
          <w:color w:val="000000"/>
          <w:sz w:val="28"/>
          <w:szCs w:val="28"/>
        </w:rPr>
        <w:br w:type="page"/>
      </w:r>
      <w:r>
        <w:rPr>
          <w:rFonts w:hint="eastAsia" w:ascii="黑体" w:hAnsi="黑体" w:eastAsia="黑体" w:cs="黑体"/>
          <w:kern w:val="0"/>
          <w:sz w:val="21"/>
          <w:szCs w:val="20"/>
        </w:rPr>
        <w:t>表F</w:t>
      </w:r>
      <w:r>
        <w:rPr>
          <w:rFonts w:hint="eastAsia" w:ascii="黑体" w:hAnsi="黑体" w:eastAsia="黑体" w:cs="黑体"/>
          <w:kern w:val="0"/>
          <w:sz w:val="21"/>
          <w:szCs w:val="20"/>
          <w:lang w:val="en-US" w:eastAsia="zh-CN"/>
        </w:rPr>
        <w:t>.</w:t>
      </w:r>
      <w:r>
        <w:rPr>
          <w:rFonts w:hint="eastAsia" w:ascii="黑体" w:hAnsi="黑体" w:eastAsia="黑体" w:cs="黑体"/>
          <w:kern w:val="0"/>
          <w:sz w:val="21"/>
          <w:szCs w:val="20"/>
        </w:rPr>
        <w:t>5  重大活动举办类社会稳定风险评估指标体系</w:t>
      </w:r>
    </w:p>
    <w:tbl>
      <w:tblPr>
        <w:tblStyle w:val="25"/>
        <w:tblW w:w="8847" w:type="dxa"/>
        <w:tblInd w:w="0" w:type="dxa"/>
        <w:tblLayout w:type="fixed"/>
        <w:tblCellMar>
          <w:top w:w="0" w:type="dxa"/>
          <w:left w:w="108" w:type="dxa"/>
          <w:bottom w:w="0" w:type="dxa"/>
          <w:right w:w="108" w:type="dxa"/>
        </w:tblCellMar>
      </w:tblPr>
      <w:tblGrid>
        <w:gridCol w:w="1176"/>
        <w:gridCol w:w="1167"/>
        <w:gridCol w:w="5454"/>
        <w:gridCol w:w="1050"/>
      </w:tblGrid>
      <w:tr w14:paraId="5C908C4B">
        <w:tblPrEx>
          <w:tblCellMar>
            <w:top w:w="0" w:type="dxa"/>
            <w:left w:w="108" w:type="dxa"/>
            <w:bottom w:w="0" w:type="dxa"/>
            <w:right w:w="108" w:type="dxa"/>
          </w:tblCellMar>
        </w:tblPrEx>
        <w:trPr>
          <w:trHeight w:val="270" w:hRule="atLeast"/>
        </w:trPr>
        <w:tc>
          <w:tcPr>
            <w:tcW w:w="1176" w:type="dxa"/>
            <w:tcBorders>
              <w:top w:val="single" w:color="auto" w:sz="4" w:space="0"/>
              <w:left w:val="single" w:color="auto" w:sz="4" w:space="0"/>
              <w:bottom w:val="single" w:color="auto" w:sz="4" w:space="0"/>
              <w:right w:val="single" w:color="auto" w:sz="4" w:space="0"/>
            </w:tcBorders>
            <w:vAlign w:val="center"/>
          </w:tcPr>
          <w:p w14:paraId="204221BA">
            <w:pPr>
              <w:widowControl/>
              <w:spacing w:line="240" w:lineRule="atLeast"/>
              <w:jc w:val="center"/>
              <w:rPr>
                <w:rFonts w:ascii="宋体" w:hAnsi="宋体" w:eastAsia="宋体" w:cs="宋体"/>
                <w:b/>
                <w:color w:val="000000"/>
                <w:kern w:val="0"/>
                <w:sz w:val="18"/>
                <w:szCs w:val="18"/>
              </w:rPr>
            </w:pPr>
            <w:r>
              <w:rPr>
                <w:rFonts w:hint="eastAsia" w:ascii="宋体" w:hAnsi="宋体" w:eastAsia="宋体" w:cs="宋体"/>
                <w:b/>
                <w:color w:val="000000"/>
                <w:kern w:val="0"/>
                <w:sz w:val="18"/>
                <w:szCs w:val="18"/>
              </w:rPr>
              <w:t>一级指标（权重）</w:t>
            </w:r>
          </w:p>
        </w:tc>
        <w:tc>
          <w:tcPr>
            <w:tcW w:w="1167" w:type="dxa"/>
            <w:tcBorders>
              <w:top w:val="single" w:color="auto" w:sz="4" w:space="0"/>
              <w:left w:val="nil"/>
              <w:bottom w:val="single" w:color="auto" w:sz="4" w:space="0"/>
              <w:right w:val="single" w:color="auto" w:sz="4" w:space="0"/>
            </w:tcBorders>
            <w:noWrap/>
            <w:vAlign w:val="center"/>
          </w:tcPr>
          <w:p w14:paraId="5E23D283">
            <w:pPr>
              <w:widowControl/>
              <w:spacing w:line="240" w:lineRule="atLeast"/>
              <w:jc w:val="center"/>
              <w:rPr>
                <w:rFonts w:ascii="宋体" w:hAnsi="宋体" w:eastAsia="宋体" w:cs="宋体"/>
                <w:b/>
                <w:color w:val="000000"/>
                <w:kern w:val="0"/>
                <w:sz w:val="18"/>
                <w:szCs w:val="18"/>
              </w:rPr>
            </w:pPr>
            <w:r>
              <w:rPr>
                <w:rFonts w:hint="eastAsia" w:ascii="宋体" w:hAnsi="宋体" w:eastAsia="宋体" w:cs="宋体"/>
                <w:b/>
                <w:color w:val="000000"/>
                <w:kern w:val="0"/>
                <w:sz w:val="18"/>
                <w:szCs w:val="18"/>
              </w:rPr>
              <w:t>二级指标</w:t>
            </w:r>
          </w:p>
          <w:p w14:paraId="2B4D7F02">
            <w:pPr>
              <w:widowControl/>
              <w:spacing w:line="240" w:lineRule="atLeast"/>
              <w:jc w:val="center"/>
              <w:rPr>
                <w:rFonts w:ascii="宋体" w:hAnsi="宋体" w:eastAsia="宋体" w:cs="宋体"/>
                <w:b/>
                <w:color w:val="000000"/>
                <w:kern w:val="0"/>
                <w:sz w:val="18"/>
                <w:szCs w:val="18"/>
              </w:rPr>
            </w:pPr>
            <w:r>
              <w:rPr>
                <w:rFonts w:hint="eastAsia" w:ascii="宋体" w:hAnsi="宋体" w:eastAsia="宋体" w:cs="宋体"/>
                <w:b/>
                <w:color w:val="000000"/>
                <w:kern w:val="0"/>
                <w:sz w:val="18"/>
                <w:szCs w:val="18"/>
              </w:rPr>
              <w:t>（权重）</w:t>
            </w:r>
          </w:p>
        </w:tc>
        <w:tc>
          <w:tcPr>
            <w:tcW w:w="5454" w:type="dxa"/>
            <w:tcBorders>
              <w:top w:val="single" w:color="auto" w:sz="4" w:space="0"/>
              <w:left w:val="nil"/>
              <w:bottom w:val="single" w:color="auto" w:sz="4" w:space="0"/>
              <w:right w:val="single" w:color="auto" w:sz="4" w:space="0"/>
            </w:tcBorders>
            <w:noWrap/>
            <w:vAlign w:val="center"/>
          </w:tcPr>
          <w:p w14:paraId="62C2488C">
            <w:pPr>
              <w:widowControl/>
              <w:spacing w:line="240" w:lineRule="atLeast"/>
              <w:jc w:val="center"/>
              <w:rPr>
                <w:rFonts w:ascii="宋体" w:hAnsi="宋体" w:eastAsia="宋体" w:cs="宋体"/>
                <w:b/>
                <w:color w:val="000000"/>
                <w:kern w:val="0"/>
                <w:sz w:val="18"/>
                <w:szCs w:val="18"/>
              </w:rPr>
            </w:pPr>
            <w:r>
              <w:rPr>
                <w:rFonts w:hint="eastAsia" w:ascii="宋体" w:hAnsi="宋体" w:eastAsia="宋体" w:cs="宋体"/>
                <w:b/>
                <w:color w:val="000000"/>
                <w:kern w:val="0"/>
                <w:sz w:val="18"/>
                <w:szCs w:val="18"/>
              </w:rPr>
              <w:t>三级指标</w:t>
            </w:r>
          </w:p>
        </w:tc>
        <w:tc>
          <w:tcPr>
            <w:tcW w:w="1050" w:type="dxa"/>
            <w:tcBorders>
              <w:top w:val="single" w:color="auto" w:sz="4" w:space="0"/>
              <w:left w:val="nil"/>
              <w:bottom w:val="single" w:color="auto" w:sz="4" w:space="0"/>
              <w:right w:val="single" w:color="auto" w:sz="4" w:space="0"/>
            </w:tcBorders>
            <w:noWrap/>
            <w:vAlign w:val="center"/>
          </w:tcPr>
          <w:p w14:paraId="7E2917C0">
            <w:pPr>
              <w:widowControl/>
              <w:spacing w:line="240" w:lineRule="atLeast"/>
              <w:jc w:val="center"/>
              <w:rPr>
                <w:rFonts w:ascii="宋体" w:hAnsi="宋体" w:eastAsia="宋体" w:cs="宋体"/>
                <w:b/>
                <w:color w:val="000000"/>
                <w:kern w:val="0"/>
                <w:sz w:val="18"/>
                <w:szCs w:val="18"/>
              </w:rPr>
            </w:pPr>
            <w:r>
              <w:rPr>
                <w:rFonts w:hint="eastAsia" w:ascii="宋体" w:hAnsi="宋体" w:cs="宋体"/>
                <w:b/>
                <w:color w:val="000000"/>
                <w:kern w:val="0"/>
                <w:sz w:val="18"/>
                <w:szCs w:val="18"/>
              </w:rPr>
              <w:t>权重</w:t>
            </w:r>
          </w:p>
        </w:tc>
      </w:tr>
      <w:tr w14:paraId="2B569798">
        <w:tblPrEx>
          <w:tblCellMar>
            <w:top w:w="0" w:type="dxa"/>
            <w:left w:w="108" w:type="dxa"/>
            <w:bottom w:w="0" w:type="dxa"/>
            <w:right w:w="108" w:type="dxa"/>
          </w:tblCellMar>
        </w:tblPrEx>
        <w:trPr>
          <w:trHeight w:val="316" w:hRule="atLeast"/>
        </w:trPr>
        <w:tc>
          <w:tcPr>
            <w:tcW w:w="1176" w:type="dxa"/>
            <w:vMerge w:val="restart"/>
            <w:tcBorders>
              <w:top w:val="nil"/>
              <w:left w:val="single" w:color="auto" w:sz="4" w:space="0"/>
              <w:right w:val="single" w:color="auto" w:sz="4" w:space="0"/>
            </w:tcBorders>
            <w:vAlign w:val="center"/>
          </w:tcPr>
          <w:p w14:paraId="7F7815B3">
            <w:pPr>
              <w:widowControl/>
              <w:spacing w:line="240" w:lineRule="atLeast"/>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合法性</w:t>
            </w:r>
          </w:p>
          <w:p w14:paraId="7CA042A5">
            <w:pPr>
              <w:widowControl/>
              <w:spacing w:line="240" w:lineRule="atLeast"/>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（10分）</w:t>
            </w:r>
          </w:p>
        </w:tc>
        <w:tc>
          <w:tcPr>
            <w:tcW w:w="1167" w:type="dxa"/>
            <w:tcBorders>
              <w:top w:val="nil"/>
              <w:left w:val="nil"/>
              <w:bottom w:val="single" w:color="auto" w:sz="4" w:space="0"/>
              <w:right w:val="single" w:color="auto" w:sz="4" w:space="0"/>
            </w:tcBorders>
            <w:noWrap/>
            <w:vAlign w:val="center"/>
          </w:tcPr>
          <w:p w14:paraId="0322C94B">
            <w:pPr>
              <w:widowControl/>
              <w:spacing w:line="240" w:lineRule="atLeast"/>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主体合法</w:t>
            </w:r>
          </w:p>
          <w:p w14:paraId="67B6DEBD">
            <w:pPr>
              <w:widowControl/>
              <w:spacing w:line="240" w:lineRule="atLeast"/>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（2分）</w:t>
            </w:r>
          </w:p>
        </w:tc>
        <w:tc>
          <w:tcPr>
            <w:tcW w:w="5454" w:type="dxa"/>
            <w:tcBorders>
              <w:top w:val="nil"/>
              <w:left w:val="nil"/>
              <w:bottom w:val="single" w:color="auto" w:sz="4" w:space="0"/>
              <w:right w:val="single" w:color="auto" w:sz="4" w:space="0"/>
            </w:tcBorders>
            <w:noWrap/>
            <w:vAlign w:val="center"/>
          </w:tcPr>
          <w:p w14:paraId="1638F38E">
            <w:pPr>
              <w:widowControl/>
              <w:adjustRightInd w:val="0"/>
              <w:snapToGrid w:val="0"/>
              <w:rPr>
                <w:rFonts w:ascii="宋体" w:hAnsi="宋体" w:eastAsia="宋体" w:cs="宋体"/>
                <w:color w:val="000000"/>
                <w:kern w:val="0"/>
                <w:sz w:val="18"/>
                <w:szCs w:val="18"/>
              </w:rPr>
            </w:pPr>
            <w:r>
              <w:rPr>
                <w:rFonts w:hint="eastAsia" w:ascii="宋体" w:hAnsi="宋体" w:eastAsia="宋体" w:cs="宋体"/>
                <w:color w:val="000000"/>
                <w:kern w:val="0"/>
                <w:sz w:val="18"/>
                <w:szCs w:val="18"/>
              </w:rPr>
              <w:t>活动举办方是否具有独立的法人资格</w:t>
            </w:r>
          </w:p>
        </w:tc>
        <w:tc>
          <w:tcPr>
            <w:tcW w:w="1050" w:type="dxa"/>
            <w:tcBorders>
              <w:top w:val="nil"/>
              <w:left w:val="nil"/>
              <w:bottom w:val="single" w:color="auto" w:sz="4" w:space="0"/>
              <w:right w:val="single" w:color="auto" w:sz="4" w:space="0"/>
            </w:tcBorders>
            <w:noWrap/>
            <w:vAlign w:val="center"/>
          </w:tcPr>
          <w:p w14:paraId="5C8F75F2">
            <w:pPr>
              <w:widowControl/>
              <w:adjustRightInd w:val="0"/>
              <w:snapToGrid w:val="0"/>
              <w:jc w:val="center"/>
              <w:rPr>
                <w:rFonts w:ascii="宋体" w:hAnsi="宋体" w:eastAsia="宋体" w:cs="宋体"/>
                <w:color w:val="000000"/>
                <w:kern w:val="0"/>
                <w:sz w:val="18"/>
                <w:szCs w:val="18"/>
              </w:rPr>
            </w:pPr>
            <w:r>
              <w:rPr>
                <w:rFonts w:hint="eastAsia" w:ascii="宋体" w:hAnsi="宋体" w:cs="宋体"/>
                <w:color w:val="000000"/>
                <w:kern w:val="0"/>
                <w:sz w:val="18"/>
                <w:szCs w:val="18"/>
              </w:rPr>
              <w:t>2</w:t>
            </w:r>
          </w:p>
        </w:tc>
      </w:tr>
      <w:tr w14:paraId="52C30569">
        <w:tblPrEx>
          <w:tblCellMar>
            <w:top w:w="0" w:type="dxa"/>
            <w:left w:w="108" w:type="dxa"/>
            <w:bottom w:w="0" w:type="dxa"/>
            <w:right w:w="108" w:type="dxa"/>
          </w:tblCellMar>
        </w:tblPrEx>
        <w:trPr>
          <w:trHeight w:val="316" w:hRule="atLeast"/>
        </w:trPr>
        <w:tc>
          <w:tcPr>
            <w:tcW w:w="1176" w:type="dxa"/>
            <w:vMerge w:val="continue"/>
            <w:tcBorders>
              <w:top w:val="nil"/>
              <w:left w:val="single" w:color="auto" w:sz="4" w:space="0"/>
              <w:right w:val="single" w:color="auto" w:sz="4" w:space="0"/>
            </w:tcBorders>
            <w:vAlign w:val="center"/>
          </w:tcPr>
          <w:p w14:paraId="439F0121">
            <w:pPr>
              <w:widowControl/>
              <w:spacing w:line="240" w:lineRule="atLeast"/>
              <w:jc w:val="center"/>
              <w:rPr>
                <w:rFonts w:ascii="宋体" w:hAnsi="宋体" w:eastAsia="宋体" w:cs="宋体"/>
                <w:color w:val="000000"/>
                <w:kern w:val="0"/>
                <w:sz w:val="18"/>
                <w:szCs w:val="18"/>
              </w:rPr>
            </w:pPr>
          </w:p>
        </w:tc>
        <w:tc>
          <w:tcPr>
            <w:tcW w:w="1167" w:type="dxa"/>
            <w:vMerge w:val="restart"/>
            <w:tcBorders>
              <w:top w:val="single" w:color="auto" w:sz="4" w:space="0"/>
              <w:left w:val="nil"/>
              <w:right w:val="single" w:color="auto" w:sz="4" w:space="0"/>
            </w:tcBorders>
            <w:noWrap/>
            <w:vAlign w:val="center"/>
          </w:tcPr>
          <w:p w14:paraId="356A0C23">
            <w:pPr>
              <w:spacing w:line="240" w:lineRule="atLeast"/>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内容合法</w:t>
            </w:r>
          </w:p>
          <w:p w14:paraId="173A5671">
            <w:pPr>
              <w:widowControl/>
              <w:spacing w:line="240" w:lineRule="atLeast"/>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（5分）</w:t>
            </w:r>
          </w:p>
        </w:tc>
        <w:tc>
          <w:tcPr>
            <w:tcW w:w="5454" w:type="dxa"/>
            <w:tcBorders>
              <w:top w:val="nil"/>
              <w:left w:val="nil"/>
              <w:bottom w:val="single" w:color="auto" w:sz="4" w:space="0"/>
              <w:right w:val="single" w:color="auto" w:sz="4" w:space="0"/>
            </w:tcBorders>
            <w:noWrap/>
            <w:vAlign w:val="center"/>
          </w:tcPr>
          <w:p w14:paraId="259C36EE">
            <w:pPr>
              <w:widowControl/>
              <w:adjustRightInd w:val="0"/>
              <w:snapToGrid w:val="0"/>
              <w:spacing w:line="240" w:lineRule="exact"/>
              <w:rPr>
                <w:rFonts w:ascii="宋体" w:hAnsi="宋体" w:cs="宋体"/>
                <w:color w:val="000000"/>
                <w:kern w:val="0"/>
                <w:sz w:val="18"/>
                <w:szCs w:val="18"/>
              </w:rPr>
            </w:pPr>
            <w:r>
              <w:rPr>
                <w:rFonts w:hint="eastAsia" w:ascii="宋体" w:eastAsia="宋体"/>
                <w:color w:val="000000"/>
                <w:kern w:val="0"/>
                <w:sz w:val="18"/>
                <w:szCs w:val="18"/>
              </w:rPr>
              <w:t>活动</w:t>
            </w:r>
            <w:r>
              <w:rPr>
                <w:rFonts w:hint="eastAsia" w:ascii="宋体"/>
                <w:color w:val="000000"/>
                <w:kern w:val="0"/>
                <w:sz w:val="18"/>
                <w:szCs w:val="18"/>
              </w:rPr>
              <w:t>主题和内容</w:t>
            </w:r>
            <w:r>
              <w:rPr>
                <w:rFonts w:hint="eastAsia" w:ascii="宋体" w:eastAsia="宋体"/>
                <w:color w:val="000000"/>
                <w:kern w:val="0"/>
                <w:sz w:val="18"/>
                <w:szCs w:val="18"/>
              </w:rPr>
              <w:t>是否符合有关法律法规和政策规定</w:t>
            </w:r>
          </w:p>
        </w:tc>
        <w:tc>
          <w:tcPr>
            <w:tcW w:w="1050" w:type="dxa"/>
            <w:tcBorders>
              <w:top w:val="nil"/>
              <w:left w:val="nil"/>
              <w:bottom w:val="single" w:color="auto" w:sz="4" w:space="0"/>
              <w:right w:val="single" w:color="auto" w:sz="4" w:space="0"/>
            </w:tcBorders>
            <w:noWrap/>
            <w:vAlign w:val="center"/>
          </w:tcPr>
          <w:p w14:paraId="54E26498">
            <w:pPr>
              <w:widowControl/>
              <w:adjustRightInd w:val="0"/>
              <w:snapToGrid w:val="0"/>
              <w:spacing w:line="240" w:lineRule="exact"/>
              <w:jc w:val="center"/>
              <w:rPr>
                <w:rFonts w:ascii="宋体" w:hAnsi="宋体" w:eastAsia="宋体" w:cs="宋体"/>
                <w:color w:val="000000"/>
                <w:kern w:val="0"/>
                <w:sz w:val="18"/>
                <w:szCs w:val="18"/>
              </w:rPr>
            </w:pPr>
            <w:r>
              <w:rPr>
                <w:rFonts w:hint="eastAsia" w:ascii="宋体" w:hAnsi="宋体" w:cs="宋体"/>
                <w:color w:val="000000"/>
                <w:kern w:val="0"/>
                <w:sz w:val="18"/>
                <w:szCs w:val="18"/>
              </w:rPr>
              <w:t>2</w:t>
            </w:r>
          </w:p>
        </w:tc>
      </w:tr>
      <w:tr w14:paraId="5361D6C1">
        <w:tblPrEx>
          <w:tblCellMar>
            <w:top w:w="0" w:type="dxa"/>
            <w:left w:w="108" w:type="dxa"/>
            <w:bottom w:w="0" w:type="dxa"/>
            <w:right w:w="108" w:type="dxa"/>
          </w:tblCellMar>
        </w:tblPrEx>
        <w:trPr>
          <w:trHeight w:val="316" w:hRule="atLeast"/>
        </w:trPr>
        <w:tc>
          <w:tcPr>
            <w:tcW w:w="1176" w:type="dxa"/>
            <w:vMerge w:val="continue"/>
            <w:tcBorders>
              <w:top w:val="nil"/>
              <w:left w:val="single" w:color="auto" w:sz="4" w:space="0"/>
              <w:right w:val="single" w:color="auto" w:sz="4" w:space="0"/>
            </w:tcBorders>
            <w:vAlign w:val="center"/>
          </w:tcPr>
          <w:p w14:paraId="5D67D9BC">
            <w:pPr>
              <w:widowControl/>
              <w:spacing w:line="240" w:lineRule="atLeast"/>
              <w:jc w:val="center"/>
              <w:rPr>
                <w:rFonts w:ascii="宋体" w:hAnsi="宋体" w:eastAsia="宋体" w:cs="宋体"/>
                <w:color w:val="000000"/>
                <w:kern w:val="0"/>
                <w:sz w:val="18"/>
                <w:szCs w:val="18"/>
              </w:rPr>
            </w:pPr>
          </w:p>
        </w:tc>
        <w:tc>
          <w:tcPr>
            <w:tcW w:w="1167" w:type="dxa"/>
            <w:vMerge w:val="continue"/>
            <w:tcBorders>
              <w:top w:val="nil"/>
              <w:left w:val="nil"/>
              <w:right w:val="single" w:color="auto" w:sz="4" w:space="0"/>
            </w:tcBorders>
            <w:noWrap/>
            <w:vAlign w:val="center"/>
          </w:tcPr>
          <w:p w14:paraId="23F27EB9">
            <w:pPr>
              <w:spacing w:line="240" w:lineRule="atLeast"/>
              <w:jc w:val="center"/>
              <w:rPr>
                <w:rFonts w:ascii="宋体" w:hAnsi="宋体" w:eastAsia="宋体" w:cs="宋体"/>
                <w:color w:val="000000"/>
                <w:kern w:val="0"/>
                <w:sz w:val="18"/>
                <w:szCs w:val="18"/>
              </w:rPr>
            </w:pPr>
          </w:p>
        </w:tc>
        <w:tc>
          <w:tcPr>
            <w:tcW w:w="5454" w:type="dxa"/>
            <w:tcBorders>
              <w:top w:val="nil"/>
              <w:left w:val="nil"/>
              <w:bottom w:val="single" w:color="auto" w:sz="4" w:space="0"/>
              <w:right w:val="single" w:color="auto" w:sz="4" w:space="0"/>
            </w:tcBorders>
            <w:noWrap/>
            <w:vAlign w:val="center"/>
          </w:tcPr>
          <w:p w14:paraId="6E8D2437">
            <w:pPr>
              <w:widowControl/>
              <w:adjustRightInd w:val="0"/>
              <w:snapToGrid w:val="0"/>
              <w:rPr>
                <w:rFonts w:ascii="宋体" w:eastAsia="宋体"/>
                <w:color w:val="000000"/>
                <w:kern w:val="0"/>
                <w:sz w:val="18"/>
                <w:szCs w:val="18"/>
              </w:rPr>
            </w:pPr>
            <w:r>
              <w:rPr>
                <w:rFonts w:hint="eastAsia" w:ascii="宋体" w:eastAsia="宋体"/>
                <w:color w:val="000000"/>
                <w:kern w:val="0"/>
                <w:sz w:val="18"/>
                <w:szCs w:val="18"/>
              </w:rPr>
              <w:t>活动主题和内容是否符合道德规范、公序良俗、宗教教规</w:t>
            </w:r>
          </w:p>
        </w:tc>
        <w:tc>
          <w:tcPr>
            <w:tcW w:w="1050" w:type="dxa"/>
            <w:tcBorders>
              <w:top w:val="nil"/>
              <w:left w:val="nil"/>
              <w:bottom w:val="single" w:color="auto" w:sz="4" w:space="0"/>
              <w:right w:val="single" w:color="auto" w:sz="4" w:space="0"/>
            </w:tcBorders>
            <w:noWrap/>
            <w:vAlign w:val="center"/>
          </w:tcPr>
          <w:p w14:paraId="5FA1398B">
            <w:pPr>
              <w:widowControl/>
              <w:adjustRightInd w:val="0"/>
              <w:snapToGrid w:val="0"/>
              <w:jc w:val="center"/>
              <w:rPr>
                <w:rFonts w:ascii="宋体" w:eastAsia="宋体"/>
                <w:color w:val="000000"/>
                <w:kern w:val="0"/>
                <w:sz w:val="18"/>
                <w:szCs w:val="18"/>
              </w:rPr>
            </w:pPr>
            <w:r>
              <w:rPr>
                <w:rFonts w:hint="eastAsia" w:ascii="宋体"/>
                <w:color w:val="000000"/>
                <w:kern w:val="0"/>
                <w:sz w:val="18"/>
                <w:szCs w:val="18"/>
              </w:rPr>
              <w:t>2</w:t>
            </w:r>
          </w:p>
        </w:tc>
      </w:tr>
      <w:tr w14:paraId="5F413A9B">
        <w:tblPrEx>
          <w:tblCellMar>
            <w:top w:w="0" w:type="dxa"/>
            <w:left w:w="108" w:type="dxa"/>
            <w:bottom w:w="0" w:type="dxa"/>
            <w:right w:w="108" w:type="dxa"/>
          </w:tblCellMar>
        </w:tblPrEx>
        <w:trPr>
          <w:trHeight w:val="316" w:hRule="atLeast"/>
        </w:trPr>
        <w:tc>
          <w:tcPr>
            <w:tcW w:w="1176" w:type="dxa"/>
            <w:vMerge w:val="continue"/>
            <w:tcBorders>
              <w:top w:val="nil"/>
              <w:left w:val="single" w:color="auto" w:sz="4" w:space="0"/>
              <w:right w:val="single" w:color="auto" w:sz="4" w:space="0"/>
            </w:tcBorders>
            <w:vAlign w:val="center"/>
          </w:tcPr>
          <w:p w14:paraId="5563FC82">
            <w:pPr>
              <w:widowControl/>
              <w:spacing w:line="240" w:lineRule="atLeast"/>
              <w:jc w:val="center"/>
              <w:rPr>
                <w:rFonts w:ascii="宋体" w:hAnsi="宋体" w:eastAsia="宋体" w:cs="宋体"/>
                <w:color w:val="000000"/>
                <w:kern w:val="0"/>
                <w:sz w:val="18"/>
                <w:szCs w:val="18"/>
              </w:rPr>
            </w:pPr>
          </w:p>
        </w:tc>
        <w:tc>
          <w:tcPr>
            <w:tcW w:w="1167" w:type="dxa"/>
            <w:vMerge w:val="continue"/>
            <w:tcBorders>
              <w:left w:val="nil"/>
              <w:bottom w:val="single" w:color="auto" w:sz="4" w:space="0"/>
              <w:right w:val="single" w:color="auto" w:sz="4" w:space="0"/>
            </w:tcBorders>
            <w:noWrap/>
            <w:vAlign w:val="center"/>
          </w:tcPr>
          <w:p w14:paraId="3AE58F4A">
            <w:pPr>
              <w:spacing w:line="240" w:lineRule="atLeast"/>
              <w:jc w:val="center"/>
              <w:rPr>
                <w:rFonts w:ascii="宋体" w:hAnsi="宋体" w:eastAsia="宋体" w:cs="宋体"/>
                <w:color w:val="000000"/>
                <w:kern w:val="0"/>
                <w:sz w:val="18"/>
                <w:szCs w:val="18"/>
              </w:rPr>
            </w:pPr>
          </w:p>
        </w:tc>
        <w:tc>
          <w:tcPr>
            <w:tcW w:w="5454" w:type="dxa"/>
            <w:tcBorders>
              <w:top w:val="single" w:color="auto" w:sz="4" w:space="0"/>
              <w:left w:val="nil"/>
              <w:bottom w:val="single" w:color="auto" w:sz="4" w:space="0"/>
              <w:right w:val="single" w:color="auto" w:sz="4" w:space="0"/>
            </w:tcBorders>
            <w:noWrap/>
            <w:vAlign w:val="center"/>
          </w:tcPr>
          <w:p w14:paraId="4CCBF442">
            <w:pPr>
              <w:widowControl/>
              <w:adjustRightInd w:val="0"/>
              <w:snapToGrid w:val="0"/>
              <w:rPr>
                <w:rFonts w:ascii="宋体" w:eastAsia="宋体"/>
                <w:color w:val="000000"/>
                <w:kern w:val="0"/>
                <w:sz w:val="18"/>
                <w:szCs w:val="18"/>
              </w:rPr>
            </w:pPr>
            <w:r>
              <w:rPr>
                <w:rFonts w:hint="eastAsia" w:ascii="宋体"/>
                <w:color w:val="000000"/>
                <w:kern w:val="0"/>
                <w:sz w:val="18"/>
                <w:szCs w:val="18"/>
              </w:rPr>
              <w:t>活动举办是否与国家方针政策倡导的方向相一致</w:t>
            </w:r>
          </w:p>
        </w:tc>
        <w:tc>
          <w:tcPr>
            <w:tcW w:w="1050" w:type="dxa"/>
            <w:tcBorders>
              <w:top w:val="nil"/>
              <w:left w:val="nil"/>
              <w:bottom w:val="single" w:color="auto" w:sz="4" w:space="0"/>
              <w:right w:val="single" w:color="auto" w:sz="4" w:space="0"/>
            </w:tcBorders>
            <w:noWrap/>
            <w:vAlign w:val="center"/>
          </w:tcPr>
          <w:p w14:paraId="71D60301">
            <w:pPr>
              <w:widowControl/>
              <w:adjustRightInd w:val="0"/>
              <w:snapToGrid w:val="0"/>
              <w:jc w:val="center"/>
              <w:rPr>
                <w:rFonts w:ascii="宋体" w:eastAsia="宋体"/>
                <w:color w:val="000000"/>
                <w:kern w:val="0"/>
                <w:sz w:val="18"/>
                <w:szCs w:val="18"/>
              </w:rPr>
            </w:pPr>
            <w:r>
              <w:rPr>
                <w:rFonts w:hint="eastAsia" w:ascii="宋体"/>
                <w:color w:val="000000"/>
                <w:kern w:val="0"/>
                <w:sz w:val="18"/>
                <w:szCs w:val="18"/>
              </w:rPr>
              <w:t>1</w:t>
            </w:r>
          </w:p>
        </w:tc>
      </w:tr>
      <w:tr w14:paraId="7A59C025">
        <w:tblPrEx>
          <w:tblCellMar>
            <w:top w:w="0" w:type="dxa"/>
            <w:left w:w="108" w:type="dxa"/>
            <w:bottom w:w="0" w:type="dxa"/>
            <w:right w:w="108" w:type="dxa"/>
          </w:tblCellMar>
        </w:tblPrEx>
        <w:trPr>
          <w:trHeight w:val="270" w:hRule="atLeast"/>
        </w:trPr>
        <w:tc>
          <w:tcPr>
            <w:tcW w:w="1176" w:type="dxa"/>
            <w:vMerge w:val="continue"/>
            <w:tcBorders>
              <w:left w:val="single" w:color="auto" w:sz="4" w:space="0"/>
              <w:right w:val="single" w:color="auto" w:sz="4" w:space="0"/>
            </w:tcBorders>
            <w:vAlign w:val="center"/>
          </w:tcPr>
          <w:p w14:paraId="42FA3E49">
            <w:pPr>
              <w:spacing w:line="240" w:lineRule="atLeast"/>
              <w:jc w:val="center"/>
              <w:rPr>
                <w:rFonts w:ascii="宋体" w:hAnsi="宋体" w:eastAsia="宋体" w:cs="宋体"/>
                <w:color w:val="000000"/>
                <w:kern w:val="0"/>
                <w:sz w:val="18"/>
                <w:szCs w:val="18"/>
              </w:rPr>
            </w:pPr>
          </w:p>
        </w:tc>
        <w:tc>
          <w:tcPr>
            <w:tcW w:w="1167" w:type="dxa"/>
            <w:vMerge w:val="restart"/>
            <w:tcBorders>
              <w:top w:val="single" w:color="auto" w:sz="4" w:space="0"/>
              <w:left w:val="nil"/>
              <w:right w:val="single" w:color="auto" w:sz="4" w:space="0"/>
            </w:tcBorders>
            <w:noWrap/>
            <w:vAlign w:val="center"/>
          </w:tcPr>
          <w:p w14:paraId="788716D9">
            <w:pPr>
              <w:spacing w:line="240" w:lineRule="atLeast"/>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程序合法</w:t>
            </w:r>
          </w:p>
          <w:p w14:paraId="01F49F06">
            <w:pPr>
              <w:widowControl/>
              <w:spacing w:line="240" w:lineRule="atLeast"/>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（3分）</w:t>
            </w:r>
          </w:p>
        </w:tc>
        <w:tc>
          <w:tcPr>
            <w:tcW w:w="5454" w:type="dxa"/>
            <w:tcBorders>
              <w:top w:val="nil"/>
              <w:left w:val="nil"/>
              <w:bottom w:val="single" w:color="auto" w:sz="4" w:space="0"/>
              <w:right w:val="single" w:color="auto" w:sz="4" w:space="0"/>
            </w:tcBorders>
            <w:noWrap/>
            <w:vAlign w:val="center"/>
          </w:tcPr>
          <w:p w14:paraId="51DA2F5E">
            <w:pPr>
              <w:widowControl/>
              <w:adjustRightInd w:val="0"/>
              <w:snapToGrid w:val="0"/>
              <w:rPr>
                <w:rFonts w:ascii="宋体" w:hAnsi="宋体" w:eastAsia="宋体" w:cs="宋体"/>
                <w:color w:val="000000"/>
                <w:kern w:val="0"/>
                <w:sz w:val="18"/>
                <w:szCs w:val="18"/>
              </w:rPr>
            </w:pPr>
            <w:r>
              <w:rPr>
                <w:rFonts w:hint="eastAsia" w:ascii="宋体" w:hAnsi="宋体" w:eastAsia="宋体" w:cs="宋体"/>
                <w:color w:val="000000"/>
                <w:kern w:val="0"/>
                <w:sz w:val="18"/>
                <w:szCs w:val="18"/>
              </w:rPr>
              <w:t>活动举办是否获得有关部门许可</w:t>
            </w:r>
            <w:r>
              <w:rPr>
                <w:rFonts w:hint="eastAsia" w:ascii="宋体" w:hAnsi="宋体" w:cs="宋体"/>
                <w:color w:val="000000"/>
                <w:kern w:val="0"/>
                <w:sz w:val="18"/>
                <w:szCs w:val="18"/>
              </w:rPr>
              <w:sym w:font="Wingdings" w:char="F0B5"/>
            </w:r>
          </w:p>
        </w:tc>
        <w:tc>
          <w:tcPr>
            <w:tcW w:w="1050" w:type="dxa"/>
            <w:tcBorders>
              <w:top w:val="nil"/>
              <w:left w:val="nil"/>
              <w:bottom w:val="single" w:color="auto" w:sz="4" w:space="0"/>
              <w:right w:val="single" w:color="auto" w:sz="4" w:space="0"/>
            </w:tcBorders>
            <w:noWrap/>
            <w:vAlign w:val="center"/>
          </w:tcPr>
          <w:p w14:paraId="2DC4CC3C">
            <w:pPr>
              <w:widowControl/>
              <w:adjustRightInd w:val="0"/>
              <w:snapToGrid w:val="0"/>
              <w:jc w:val="center"/>
              <w:rPr>
                <w:rFonts w:ascii="宋体" w:hAnsi="宋体" w:eastAsia="宋体" w:cs="宋体"/>
                <w:color w:val="000000"/>
                <w:kern w:val="0"/>
                <w:sz w:val="18"/>
                <w:szCs w:val="18"/>
              </w:rPr>
            </w:pPr>
            <w:r>
              <w:rPr>
                <w:rFonts w:hint="eastAsia" w:ascii="宋体" w:hAnsi="宋体" w:cs="宋体"/>
                <w:color w:val="000000"/>
                <w:kern w:val="0"/>
                <w:sz w:val="18"/>
                <w:szCs w:val="18"/>
              </w:rPr>
              <w:t>2</w:t>
            </w:r>
          </w:p>
        </w:tc>
      </w:tr>
      <w:tr w14:paraId="4276039C">
        <w:tblPrEx>
          <w:tblCellMar>
            <w:top w:w="0" w:type="dxa"/>
            <w:left w:w="108" w:type="dxa"/>
            <w:bottom w:w="0" w:type="dxa"/>
            <w:right w:w="108" w:type="dxa"/>
          </w:tblCellMar>
        </w:tblPrEx>
        <w:trPr>
          <w:trHeight w:val="270" w:hRule="atLeast"/>
        </w:trPr>
        <w:tc>
          <w:tcPr>
            <w:tcW w:w="1176" w:type="dxa"/>
            <w:vMerge w:val="continue"/>
            <w:tcBorders>
              <w:left w:val="single" w:color="auto" w:sz="4" w:space="0"/>
              <w:bottom w:val="single" w:color="auto" w:sz="4" w:space="0"/>
              <w:right w:val="single" w:color="auto" w:sz="4" w:space="0"/>
            </w:tcBorders>
            <w:vAlign w:val="center"/>
          </w:tcPr>
          <w:p w14:paraId="6164D679">
            <w:pPr>
              <w:widowControl/>
              <w:spacing w:line="240" w:lineRule="atLeast"/>
              <w:jc w:val="center"/>
              <w:rPr>
                <w:rFonts w:ascii="宋体" w:hAnsi="宋体" w:eastAsia="宋体" w:cs="宋体"/>
                <w:color w:val="000000"/>
                <w:kern w:val="0"/>
                <w:sz w:val="18"/>
                <w:szCs w:val="18"/>
              </w:rPr>
            </w:pPr>
          </w:p>
        </w:tc>
        <w:tc>
          <w:tcPr>
            <w:tcW w:w="1167" w:type="dxa"/>
            <w:vMerge w:val="continue"/>
            <w:tcBorders>
              <w:left w:val="nil"/>
              <w:bottom w:val="single" w:color="auto" w:sz="4" w:space="0"/>
              <w:right w:val="single" w:color="auto" w:sz="4" w:space="0"/>
            </w:tcBorders>
            <w:noWrap/>
            <w:vAlign w:val="center"/>
          </w:tcPr>
          <w:p w14:paraId="09619210">
            <w:pPr>
              <w:widowControl/>
              <w:spacing w:line="240" w:lineRule="atLeast"/>
              <w:jc w:val="center"/>
              <w:rPr>
                <w:rFonts w:ascii="宋体" w:hAnsi="宋体" w:eastAsia="宋体" w:cs="宋体"/>
                <w:color w:val="000000"/>
                <w:kern w:val="0"/>
                <w:sz w:val="18"/>
                <w:szCs w:val="18"/>
              </w:rPr>
            </w:pPr>
          </w:p>
        </w:tc>
        <w:tc>
          <w:tcPr>
            <w:tcW w:w="5454" w:type="dxa"/>
            <w:tcBorders>
              <w:top w:val="nil"/>
              <w:left w:val="nil"/>
              <w:bottom w:val="single" w:color="auto" w:sz="4" w:space="0"/>
              <w:right w:val="single" w:color="auto" w:sz="4" w:space="0"/>
            </w:tcBorders>
            <w:noWrap/>
            <w:vAlign w:val="center"/>
          </w:tcPr>
          <w:p w14:paraId="38E13CAE">
            <w:pPr>
              <w:widowControl/>
              <w:adjustRightInd w:val="0"/>
              <w:snapToGrid w:val="0"/>
              <w:rPr>
                <w:rFonts w:ascii="宋体" w:hAnsi="宋体" w:eastAsia="宋体" w:cs="宋体"/>
                <w:color w:val="000000"/>
                <w:kern w:val="0"/>
                <w:sz w:val="18"/>
                <w:szCs w:val="18"/>
              </w:rPr>
            </w:pPr>
            <w:r>
              <w:rPr>
                <w:rFonts w:hint="eastAsia" w:ascii="宋体" w:hAnsi="宋体" w:eastAsia="宋体" w:cs="宋体"/>
                <w:color w:val="000000"/>
                <w:kern w:val="0"/>
                <w:sz w:val="18"/>
                <w:szCs w:val="18"/>
              </w:rPr>
              <w:t>是否依法取得场地使用权</w:t>
            </w:r>
          </w:p>
        </w:tc>
        <w:tc>
          <w:tcPr>
            <w:tcW w:w="1050" w:type="dxa"/>
            <w:tcBorders>
              <w:top w:val="nil"/>
              <w:left w:val="nil"/>
              <w:bottom w:val="single" w:color="auto" w:sz="4" w:space="0"/>
              <w:right w:val="single" w:color="auto" w:sz="4" w:space="0"/>
            </w:tcBorders>
            <w:noWrap/>
            <w:vAlign w:val="center"/>
          </w:tcPr>
          <w:p w14:paraId="65C6941B">
            <w:pPr>
              <w:widowControl/>
              <w:adjustRightInd w:val="0"/>
              <w:snapToGrid w:val="0"/>
              <w:jc w:val="center"/>
              <w:rPr>
                <w:rFonts w:ascii="宋体" w:hAnsi="宋体" w:eastAsia="宋体" w:cs="宋体"/>
                <w:color w:val="000000"/>
                <w:kern w:val="0"/>
                <w:sz w:val="18"/>
                <w:szCs w:val="18"/>
              </w:rPr>
            </w:pPr>
            <w:r>
              <w:rPr>
                <w:rFonts w:hint="eastAsia" w:ascii="宋体" w:hAnsi="宋体" w:cs="宋体"/>
                <w:color w:val="000000"/>
                <w:kern w:val="0"/>
                <w:sz w:val="18"/>
                <w:szCs w:val="18"/>
              </w:rPr>
              <w:t>1</w:t>
            </w:r>
          </w:p>
        </w:tc>
      </w:tr>
      <w:tr w14:paraId="03080CDC">
        <w:tblPrEx>
          <w:tblCellMar>
            <w:top w:w="0" w:type="dxa"/>
            <w:left w:w="108" w:type="dxa"/>
            <w:bottom w:w="0" w:type="dxa"/>
            <w:right w:w="108" w:type="dxa"/>
          </w:tblCellMar>
        </w:tblPrEx>
        <w:trPr>
          <w:trHeight w:val="270" w:hRule="atLeast"/>
        </w:trPr>
        <w:tc>
          <w:tcPr>
            <w:tcW w:w="1176" w:type="dxa"/>
            <w:vMerge w:val="restart"/>
            <w:tcBorders>
              <w:top w:val="single" w:color="auto" w:sz="4" w:space="0"/>
              <w:left w:val="single" w:color="auto" w:sz="4" w:space="0"/>
              <w:right w:val="single" w:color="auto" w:sz="4" w:space="0"/>
            </w:tcBorders>
            <w:vAlign w:val="center"/>
          </w:tcPr>
          <w:p w14:paraId="3358D4EB">
            <w:pPr>
              <w:widowControl/>
              <w:spacing w:line="240" w:lineRule="atLeast"/>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合理性</w:t>
            </w:r>
          </w:p>
          <w:p w14:paraId="40B5DCAC">
            <w:pPr>
              <w:widowControl/>
              <w:spacing w:line="240" w:lineRule="atLeast"/>
              <w:jc w:val="center"/>
              <w:rPr>
                <w:rFonts w:ascii="宋体" w:hAnsi="宋体" w:eastAsia="宋体" w:cs="宋体"/>
                <w:color w:val="000000"/>
                <w:kern w:val="0"/>
                <w:sz w:val="18"/>
                <w:szCs w:val="18"/>
              </w:rPr>
            </w:pPr>
            <w:r>
              <w:rPr>
                <w:rFonts w:hint="eastAsia" w:ascii="宋体" w:hAnsi="宋体" w:eastAsia="宋体" w:cs="宋体"/>
                <w:color w:val="000000" w:themeColor="text1"/>
                <w:kern w:val="0"/>
                <w:sz w:val="18"/>
                <w:szCs w:val="18"/>
                <w14:textFill>
                  <w14:solidFill>
                    <w14:schemeClr w14:val="tx1"/>
                  </w14:solidFill>
                </w14:textFill>
              </w:rPr>
              <w:t>（10分）</w:t>
            </w:r>
          </w:p>
        </w:tc>
        <w:tc>
          <w:tcPr>
            <w:tcW w:w="1167" w:type="dxa"/>
            <w:vMerge w:val="restart"/>
            <w:tcBorders>
              <w:top w:val="nil"/>
              <w:left w:val="nil"/>
              <w:right w:val="single" w:color="auto" w:sz="4" w:space="0"/>
            </w:tcBorders>
            <w:noWrap/>
            <w:vAlign w:val="center"/>
          </w:tcPr>
          <w:p w14:paraId="144F59BF">
            <w:pPr>
              <w:widowControl/>
              <w:spacing w:line="240" w:lineRule="atLeast"/>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规模适度</w:t>
            </w:r>
          </w:p>
          <w:p w14:paraId="13ABB5A6">
            <w:pPr>
              <w:widowControl/>
              <w:spacing w:line="240" w:lineRule="atLeast"/>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（5分）</w:t>
            </w:r>
          </w:p>
        </w:tc>
        <w:tc>
          <w:tcPr>
            <w:tcW w:w="5454" w:type="dxa"/>
            <w:tcBorders>
              <w:top w:val="nil"/>
              <w:left w:val="nil"/>
              <w:bottom w:val="single" w:color="auto" w:sz="4" w:space="0"/>
              <w:right w:val="single" w:color="auto" w:sz="4" w:space="0"/>
            </w:tcBorders>
            <w:noWrap/>
            <w:vAlign w:val="center"/>
          </w:tcPr>
          <w:p w14:paraId="619B1D4A">
            <w:pPr>
              <w:widowControl/>
              <w:adjustRightInd w:val="0"/>
              <w:snapToGrid w:val="0"/>
              <w:spacing w:line="240" w:lineRule="exact"/>
              <w:rPr>
                <w:rFonts w:ascii="宋体" w:hAnsi="宋体" w:cs="宋体"/>
                <w:color w:val="000000"/>
                <w:kern w:val="0"/>
                <w:sz w:val="18"/>
                <w:szCs w:val="18"/>
              </w:rPr>
            </w:pPr>
            <w:r>
              <w:rPr>
                <w:rFonts w:hint="eastAsia" w:ascii="宋体" w:hAnsi="宋体" w:cs="宋体"/>
                <w:color w:val="000000"/>
                <w:kern w:val="0"/>
                <w:sz w:val="18"/>
                <w:szCs w:val="18"/>
              </w:rPr>
              <w:t>为保障活动举办，相关管控区域范围是否适中</w:t>
            </w:r>
          </w:p>
        </w:tc>
        <w:tc>
          <w:tcPr>
            <w:tcW w:w="1050" w:type="dxa"/>
            <w:tcBorders>
              <w:top w:val="nil"/>
              <w:left w:val="nil"/>
              <w:bottom w:val="single" w:color="auto" w:sz="4" w:space="0"/>
              <w:right w:val="single" w:color="auto" w:sz="4" w:space="0"/>
            </w:tcBorders>
            <w:noWrap/>
            <w:vAlign w:val="center"/>
          </w:tcPr>
          <w:p w14:paraId="46E7F638">
            <w:pPr>
              <w:widowControl/>
              <w:adjustRightInd w:val="0"/>
              <w:snapToGrid w:val="0"/>
              <w:spacing w:line="240" w:lineRule="exact"/>
              <w:jc w:val="center"/>
              <w:rPr>
                <w:rFonts w:ascii="宋体" w:hAnsi="宋体" w:eastAsia="宋体" w:cs="宋体"/>
                <w:color w:val="000000"/>
                <w:kern w:val="0"/>
                <w:sz w:val="18"/>
                <w:szCs w:val="18"/>
              </w:rPr>
            </w:pPr>
            <w:r>
              <w:rPr>
                <w:rFonts w:hint="eastAsia" w:ascii="宋体" w:hAnsi="宋体" w:cs="宋体"/>
                <w:color w:val="000000"/>
                <w:kern w:val="0"/>
                <w:sz w:val="18"/>
                <w:szCs w:val="18"/>
              </w:rPr>
              <w:t>2</w:t>
            </w:r>
          </w:p>
        </w:tc>
      </w:tr>
      <w:tr w14:paraId="05B67FB6">
        <w:tblPrEx>
          <w:tblCellMar>
            <w:top w:w="0" w:type="dxa"/>
            <w:left w:w="108" w:type="dxa"/>
            <w:bottom w:w="0" w:type="dxa"/>
            <w:right w:w="108" w:type="dxa"/>
          </w:tblCellMar>
        </w:tblPrEx>
        <w:trPr>
          <w:trHeight w:val="270" w:hRule="atLeast"/>
        </w:trPr>
        <w:tc>
          <w:tcPr>
            <w:tcW w:w="1176" w:type="dxa"/>
            <w:vMerge w:val="continue"/>
            <w:tcBorders>
              <w:top w:val="single" w:color="auto" w:sz="4" w:space="0"/>
              <w:left w:val="single" w:color="auto" w:sz="4" w:space="0"/>
              <w:right w:val="single" w:color="auto" w:sz="4" w:space="0"/>
            </w:tcBorders>
            <w:vAlign w:val="center"/>
          </w:tcPr>
          <w:p w14:paraId="2D62D387">
            <w:pPr>
              <w:widowControl/>
              <w:spacing w:line="240" w:lineRule="atLeast"/>
              <w:jc w:val="center"/>
              <w:rPr>
                <w:rFonts w:ascii="宋体" w:hAnsi="宋体" w:eastAsia="宋体" w:cs="宋体"/>
                <w:color w:val="000000"/>
                <w:kern w:val="0"/>
                <w:sz w:val="18"/>
                <w:szCs w:val="18"/>
              </w:rPr>
            </w:pPr>
          </w:p>
        </w:tc>
        <w:tc>
          <w:tcPr>
            <w:tcW w:w="1167" w:type="dxa"/>
            <w:vMerge w:val="continue"/>
            <w:tcBorders>
              <w:top w:val="nil"/>
              <w:left w:val="nil"/>
              <w:right w:val="single" w:color="auto" w:sz="4" w:space="0"/>
            </w:tcBorders>
            <w:noWrap/>
            <w:vAlign w:val="center"/>
          </w:tcPr>
          <w:p w14:paraId="5108AB6B">
            <w:pPr>
              <w:widowControl/>
              <w:spacing w:line="240" w:lineRule="atLeast"/>
              <w:jc w:val="center"/>
              <w:rPr>
                <w:rFonts w:ascii="宋体" w:hAnsi="宋体" w:eastAsia="宋体" w:cs="宋体"/>
                <w:color w:val="000000"/>
                <w:kern w:val="0"/>
                <w:sz w:val="18"/>
                <w:szCs w:val="18"/>
              </w:rPr>
            </w:pPr>
          </w:p>
        </w:tc>
        <w:tc>
          <w:tcPr>
            <w:tcW w:w="5454" w:type="dxa"/>
            <w:tcBorders>
              <w:top w:val="nil"/>
              <w:left w:val="nil"/>
              <w:bottom w:val="single" w:color="auto" w:sz="4" w:space="0"/>
              <w:right w:val="single" w:color="auto" w:sz="4" w:space="0"/>
            </w:tcBorders>
            <w:noWrap/>
            <w:vAlign w:val="center"/>
          </w:tcPr>
          <w:p w14:paraId="13DD9E8D">
            <w:pPr>
              <w:widowControl/>
              <w:adjustRightInd w:val="0"/>
              <w:snapToGrid w:val="0"/>
              <w:spacing w:line="240" w:lineRule="exact"/>
              <w:rPr>
                <w:rFonts w:ascii="宋体" w:hAnsi="宋体" w:cs="宋体"/>
                <w:color w:val="000000"/>
                <w:kern w:val="0"/>
                <w:sz w:val="18"/>
                <w:szCs w:val="18"/>
              </w:rPr>
            </w:pPr>
            <w:r>
              <w:rPr>
                <w:rFonts w:hint="eastAsia" w:ascii="宋体" w:hAnsi="宋体" w:cs="宋体"/>
                <w:color w:val="000000"/>
                <w:kern w:val="0"/>
                <w:sz w:val="18"/>
                <w:szCs w:val="18"/>
              </w:rPr>
              <w:t>活动参与人数与场地容量、交通出行、供水供电、安保力量配置、应急救援能力是否相匹配</w:t>
            </w:r>
          </w:p>
        </w:tc>
        <w:tc>
          <w:tcPr>
            <w:tcW w:w="1050" w:type="dxa"/>
            <w:tcBorders>
              <w:top w:val="nil"/>
              <w:left w:val="nil"/>
              <w:bottom w:val="single" w:color="auto" w:sz="4" w:space="0"/>
              <w:right w:val="single" w:color="auto" w:sz="4" w:space="0"/>
            </w:tcBorders>
            <w:noWrap/>
            <w:vAlign w:val="center"/>
          </w:tcPr>
          <w:p w14:paraId="1527E728">
            <w:pPr>
              <w:widowControl/>
              <w:adjustRightInd w:val="0"/>
              <w:snapToGrid w:val="0"/>
              <w:spacing w:line="240" w:lineRule="exact"/>
              <w:jc w:val="center"/>
              <w:rPr>
                <w:rFonts w:ascii="宋体" w:hAnsi="宋体" w:eastAsia="宋体" w:cs="宋体"/>
                <w:color w:val="000000"/>
                <w:kern w:val="0"/>
                <w:sz w:val="18"/>
                <w:szCs w:val="18"/>
              </w:rPr>
            </w:pPr>
            <w:r>
              <w:rPr>
                <w:rFonts w:hint="eastAsia" w:ascii="宋体" w:hAnsi="宋体" w:cs="宋体"/>
                <w:color w:val="000000"/>
                <w:kern w:val="0"/>
                <w:sz w:val="18"/>
                <w:szCs w:val="18"/>
              </w:rPr>
              <w:t>2</w:t>
            </w:r>
          </w:p>
        </w:tc>
      </w:tr>
      <w:tr w14:paraId="6649ABFF">
        <w:tblPrEx>
          <w:tblCellMar>
            <w:top w:w="0" w:type="dxa"/>
            <w:left w:w="108" w:type="dxa"/>
            <w:bottom w:w="0" w:type="dxa"/>
            <w:right w:w="108" w:type="dxa"/>
          </w:tblCellMar>
        </w:tblPrEx>
        <w:trPr>
          <w:trHeight w:val="270" w:hRule="atLeast"/>
        </w:trPr>
        <w:tc>
          <w:tcPr>
            <w:tcW w:w="1176" w:type="dxa"/>
            <w:vMerge w:val="continue"/>
            <w:tcBorders>
              <w:top w:val="single" w:color="auto" w:sz="4" w:space="0"/>
              <w:left w:val="single" w:color="auto" w:sz="4" w:space="0"/>
              <w:right w:val="single" w:color="auto" w:sz="4" w:space="0"/>
            </w:tcBorders>
            <w:vAlign w:val="center"/>
          </w:tcPr>
          <w:p w14:paraId="1AEB1111">
            <w:pPr>
              <w:widowControl/>
              <w:spacing w:line="240" w:lineRule="atLeast"/>
              <w:jc w:val="center"/>
              <w:rPr>
                <w:rFonts w:ascii="宋体" w:hAnsi="宋体" w:eastAsia="宋体" w:cs="宋体"/>
                <w:color w:val="000000"/>
                <w:kern w:val="0"/>
                <w:sz w:val="18"/>
                <w:szCs w:val="18"/>
              </w:rPr>
            </w:pPr>
          </w:p>
        </w:tc>
        <w:tc>
          <w:tcPr>
            <w:tcW w:w="1167" w:type="dxa"/>
            <w:vMerge w:val="continue"/>
            <w:tcBorders>
              <w:left w:val="nil"/>
              <w:bottom w:val="single" w:color="auto" w:sz="4" w:space="0"/>
              <w:right w:val="single" w:color="auto" w:sz="4" w:space="0"/>
            </w:tcBorders>
            <w:noWrap/>
            <w:vAlign w:val="center"/>
          </w:tcPr>
          <w:p w14:paraId="7ED35087">
            <w:pPr>
              <w:widowControl/>
              <w:spacing w:line="240" w:lineRule="atLeast"/>
              <w:jc w:val="center"/>
              <w:rPr>
                <w:rFonts w:ascii="宋体" w:hAnsi="宋体" w:eastAsia="宋体" w:cs="宋体"/>
                <w:color w:val="000000"/>
                <w:kern w:val="0"/>
                <w:sz w:val="18"/>
                <w:szCs w:val="18"/>
              </w:rPr>
            </w:pPr>
          </w:p>
        </w:tc>
        <w:tc>
          <w:tcPr>
            <w:tcW w:w="5454" w:type="dxa"/>
            <w:tcBorders>
              <w:top w:val="nil"/>
              <w:left w:val="nil"/>
              <w:bottom w:val="single" w:color="auto" w:sz="4" w:space="0"/>
              <w:right w:val="single" w:color="auto" w:sz="4" w:space="0"/>
            </w:tcBorders>
            <w:noWrap/>
            <w:vAlign w:val="center"/>
          </w:tcPr>
          <w:p w14:paraId="16F6D70C">
            <w:pPr>
              <w:widowControl/>
              <w:adjustRightInd w:val="0"/>
              <w:snapToGrid w:val="0"/>
              <w:rPr>
                <w:rFonts w:ascii="宋体" w:hAnsi="宋体" w:eastAsia="宋体" w:cs="宋体"/>
                <w:color w:val="000000"/>
                <w:kern w:val="0"/>
                <w:sz w:val="18"/>
                <w:szCs w:val="18"/>
              </w:rPr>
            </w:pPr>
            <w:r>
              <w:rPr>
                <w:rFonts w:hint="eastAsia" w:ascii="宋体" w:hAnsi="宋体" w:eastAsia="宋体" w:cs="宋体"/>
                <w:color w:val="000000"/>
                <w:kern w:val="0"/>
                <w:sz w:val="18"/>
                <w:szCs w:val="18"/>
              </w:rPr>
              <w:t>对参与活动的人数规模预判是否准确</w:t>
            </w:r>
          </w:p>
        </w:tc>
        <w:tc>
          <w:tcPr>
            <w:tcW w:w="1050" w:type="dxa"/>
            <w:tcBorders>
              <w:top w:val="nil"/>
              <w:left w:val="nil"/>
              <w:bottom w:val="single" w:color="auto" w:sz="4" w:space="0"/>
              <w:right w:val="single" w:color="auto" w:sz="4" w:space="0"/>
            </w:tcBorders>
            <w:noWrap/>
            <w:vAlign w:val="center"/>
          </w:tcPr>
          <w:p w14:paraId="03397E5D">
            <w:pPr>
              <w:widowControl/>
              <w:adjustRightInd w:val="0"/>
              <w:snapToGrid w:val="0"/>
              <w:jc w:val="center"/>
              <w:rPr>
                <w:rFonts w:ascii="宋体" w:eastAsia="宋体"/>
                <w:color w:val="000000"/>
                <w:kern w:val="0"/>
                <w:sz w:val="18"/>
                <w:szCs w:val="18"/>
              </w:rPr>
            </w:pPr>
            <w:r>
              <w:rPr>
                <w:rFonts w:hint="eastAsia" w:ascii="宋体"/>
                <w:color w:val="000000"/>
                <w:kern w:val="0"/>
                <w:sz w:val="18"/>
                <w:szCs w:val="18"/>
              </w:rPr>
              <w:t>1</w:t>
            </w:r>
          </w:p>
        </w:tc>
      </w:tr>
      <w:tr w14:paraId="70F1284C">
        <w:tblPrEx>
          <w:tblCellMar>
            <w:top w:w="0" w:type="dxa"/>
            <w:left w:w="108" w:type="dxa"/>
            <w:bottom w:w="0" w:type="dxa"/>
            <w:right w:w="108" w:type="dxa"/>
          </w:tblCellMar>
        </w:tblPrEx>
        <w:trPr>
          <w:trHeight w:val="270" w:hRule="atLeast"/>
        </w:trPr>
        <w:tc>
          <w:tcPr>
            <w:tcW w:w="1176" w:type="dxa"/>
            <w:vMerge w:val="continue"/>
            <w:tcBorders>
              <w:top w:val="single" w:color="auto" w:sz="4" w:space="0"/>
              <w:left w:val="single" w:color="auto" w:sz="4" w:space="0"/>
              <w:right w:val="single" w:color="auto" w:sz="4" w:space="0"/>
            </w:tcBorders>
            <w:vAlign w:val="center"/>
          </w:tcPr>
          <w:p w14:paraId="69280172">
            <w:pPr>
              <w:widowControl/>
              <w:spacing w:line="240" w:lineRule="atLeast"/>
              <w:jc w:val="center"/>
              <w:rPr>
                <w:rFonts w:ascii="宋体" w:hAnsi="宋体" w:eastAsia="宋体" w:cs="宋体"/>
                <w:color w:val="000000"/>
                <w:kern w:val="0"/>
                <w:sz w:val="18"/>
                <w:szCs w:val="18"/>
              </w:rPr>
            </w:pPr>
          </w:p>
        </w:tc>
        <w:tc>
          <w:tcPr>
            <w:tcW w:w="1167" w:type="dxa"/>
            <w:vMerge w:val="restart"/>
            <w:tcBorders>
              <w:top w:val="nil"/>
              <w:left w:val="nil"/>
              <w:right w:val="single" w:color="auto" w:sz="4" w:space="0"/>
            </w:tcBorders>
            <w:noWrap/>
            <w:vAlign w:val="center"/>
          </w:tcPr>
          <w:p w14:paraId="2E305887">
            <w:pPr>
              <w:widowControl/>
              <w:spacing w:line="240" w:lineRule="atLeast"/>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时机适宜</w:t>
            </w:r>
          </w:p>
          <w:p w14:paraId="418DD692">
            <w:pPr>
              <w:widowControl/>
              <w:spacing w:line="240" w:lineRule="atLeast"/>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（5分）</w:t>
            </w:r>
          </w:p>
        </w:tc>
        <w:tc>
          <w:tcPr>
            <w:tcW w:w="5454" w:type="dxa"/>
            <w:tcBorders>
              <w:top w:val="nil"/>
              <w:left w:val="nil"/>
              <w:bottom w:val="single" w:color="auto" w:sz="4" w:space="0"/>
              <w:right w:val="single" w:color="auto" w:sz="4" w:space="0"/>
            </w:tcBorders>
            <w:noWrap/>
            <w:vAlign w:val="center"/>
          </w:tcPr>
          <w:p w14:paraId="3FAA1E13">
            <w:pPr>
              <w:widowControl/>
              <w:adjustRightInd w:val="0"/>
              <w:snapToGrid w:val="0"/>
              <w:rPr>
                <w:rFonts w:ascii="宋体" w:hAnsi="宋体" w:eastAsia="宋体" w:cs="宋体"/>
                <w:color w:val="000000"/>
                <w:kern w:val="0"/>
                <w:sz w:val="18"/>
                <w:szCs w:val="18"/>
              </w:rPr>
            </w:pPr>
            <w:r>
              <w:rPr>
                <w:rFonts w:hint="eastAsia" w:ascii="宋体" w:hAnsi="宋体" w:eastAsia="宋体" w:cs="宋体"/>
                <w:color w:val="000000"/>
                <w:kern w:val="0"/>
                <w:sz w:val="18"/>
                <w:szCs w:val="18"/>
              </w:rPr>
              <w:t>活动举办的时间节点是否与国家重大活动、特定纪念日相冲突</w:t>
            </w:r>
          </w:p>
        </w:tc>
        <w:tc>
          <w:tcPr>
            <w:tcW w:w="1050" w:type="dxa"/>
            <w:tcBorders>
              <w:top w:val="nil"/>
              <w:left w:val="nil"/>
              <w:bottom w:val="single" w:color="auto" w:sz="4" w:space="0"/>
              <w:right w:val="single" w:color="auto" w:sz="4" w:space="0"/>
            </w:tcBorders>
            <w:noWrap/>
            <w:vAlign w:val="center"/>
          </w:tcPr>
          <w:p w14:paraId="2FD474F3">
            <w:pPr>
              <w:widowControl/>
              <w:adjustRightInd w:val="0"/>
              <w:snapToGrid w:val="0"/>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2</w:t>
            </w:r>
          </w:p>
        </w:tc>
      </w:tr>
      <w:tr w14:paraId="7BCC0E73">
        <w:tblPrEx>
          <w:tblCellMar>
            <w:top w:w="0" w:type="dxa"/>
            <w:left w:w="108" w:type="dxa"/>
            <w:bottom w:w="0" w:type="dxa"/>
            <w:right w:w="108" w:type="dxa"/>
          </w:tblCellMar>
        </w:tblPrEx>
        <w:trPr>
          <w:trHeight w:val="270" w:hRule="atLeast"/>
        </w:trPr>
        <w:tc>
          <w:tcPr>
            <w:tcW w:w="1176" w:type="dxa"/>
            <w:vMerge w:val="continue"/>
            <w:tcBorders>
              <w:left w:val="single" w:color="auto" w:sz="4" w:space="0"/>
              <w:bottom w:val="single" w:color="auto" w:sz="4" w:space="0"/>
              <w:right w:val="single" w:color="auto" w:sz="4" w:space="0"/>
            </w:tcBorders>
            <w:vAlign w:val="center"/>
          </w:tcPr>
          <w:p w14:paraId="6C56744D">
            <w:pPr>
              <w:widowControl/>
              <w:spacing w:line="240" w:lineRule="atLeast"/>
              <w:jc w:val="center"/>
              <w:rPr>
                <w:rFonts w:ascii="宋体" w:hAnsi="宋体" w:eastAsia="宋体" w:cs="宋体"/>
                <w:color w:val="000000"/>
                <w:kern w:val="0"/>
                <w:sz w:val="18"/>
                <w:szCs w:val="18"/>
              </w:rPr>
            </w:pPr>
          </w:p>
        </w:tc>
        <w:tc>
          <w:tcPr>
            <w:tcW w:w="1167" w:type="dxa"/>
            <w:vMerge w:val="continue"/>
            <w:tcBorders>
              <w:left w:val="nil"/>
              <w:bottom w:val="single" w:color="auto" w:sz="4" w:space="0"/>
              <w:right w:val="single" w:color="auto" w:sz="4" w:space="0"/>
            </w:tcBorders>
            <w:noWrap/>
            <w:vAlign w:val="center"/>
          </w:tcPr>
          <w:p w14:paraId="66FC430E">
            <w:pPr>
              <w:widowControl/>
              <w:spacing w:line="240" w:lineRule="atLeast"/>
              <w:jc w:val="center"/>
              <w:rPr>
                <w:rFonts w:ascii="宋体" w:hAnsi="宋体" w:eastAsia="宋体" w:cs="宋体"/>
                <w:color w:val="000000"/>
                <w:kern w:val="0"/>
                <w:sz w:val="18"/>
                <w:szCs w:val="18"/>
              </w:rPr>
            </w:pPr>
          </w:p>
        </w:tc>
        <w:tc>
          <w:tcPr>
            <w:tcW w:w="5454" w:type="dxa"/>
            <w:tcBorders>
              <w:top w:val="nil"/>
              <w:left w:val="nil"/>
              <w:bottom w:val="single" w:color="auto" w:sz="4" w:space="0"/>
              <w:right w:val="single" w:color="auto" w:sz="4" w:space="0"/>
            </w:tcBorders>
            <w:noWrap/>
            <w:vAlign w:val="center"/>
          </w:tcPr>
          <w:p w14:paraId="6F23C997">
            <w:pPr>
              <w:widowControl/>
              <w:adjustRightInd w:val="0"/>
              <w:snapToGrid w:val="0"/>
              <w:rPr>
                <w:rFonts w:ascii="宋体" w:hAnsi="宋体" w:eastAsia="宋体" w:cs="宋体"/>
                <w:color w:val="000000"/>
                <w:kern w:val="0"/>
                <w:sz w:val="18"/>
                <w:szCs w:val="18"/>
              </w:rPr>
            </w:pPr>
            <w:r>
              <w:rPr>
                <w:rFonts w:hint="eastAsia" w:ascii="宋体" w:hAnsi="宋体" w:eastAsia="宋体" w:cs="宋体"/>
                <w:color w:val="000000"/>
                <w:kern w:val="0"/>
                <w:sz w:val="18"/>
                <w:szCs w:val="18"/>
              </w:rPr>
              <w:t>活动举办的时长是否适中</w:t>
            </w:r>
          </w:p>
        </w:tc>
        <w:tc>
          <w:tcPr>
            <w:tcW w:w="1050" w:type="dxa"/>
            <w:tcBorders>
              <w:top w:val="nil"/>
              <w:left w:val="nil"/>
              <w:bottom w:val="single" w:color="auto" w:sz="4" w:space="0"/>
              <w:right w:val="single" w:color="auto" w:sz="4" w:space="0"/>
            </w:tcBorders>
            <w:noWrap/>
            <w:vAlign w:val="center"/>
          </w:tcPr>
          <w:p w14:paraId="1EC92BA1">
            <w:pPr>
              <w:widowControl/>
              <w:adjustRightInd w:val="0"/>
              <w:snapToGrid w:val="0"/>
              <w:jc w:val="center"/>
              <w:rPr>
                <w:rFonts w:ascii="宋体" w:hAnsi="宋体" w:cs="宋体"/>
                <w:color w:val="000000"/>
                <w:kern w:val="0"/>
                <w:sz w:val="18"/>
                <w:szCs w:val="18"/>
              </w:rPr>
            </w:pPr>
            <w:r>
              <w:rPr>
                <w:rFonts w:hint="eastAsia" w:ascii="宋体" w:hAnsi="宋体" w:cs="宋体"/>
                <w:color w:val="000000"/>
                <w:kern w:val="0"/>
                <w:sz w:val="18"/>
                <w:szCs w:val="18"/>
              </w:rPr>
              <w:t>1</w:t>
            </w:r>
          </w:p>
        </w:tc>
      </w:tr>
      <w:tr w14:paraId="400D8072">
        <w:tblPrEx>
          <w:tblCellMar>
            <w:top w:w="0" w:type="dxa"/>
            <w:left w:w="108" w:type="dxa"/>
            <w:bottom w:w="0" w:type="dxa"/>
            <w:right w:w="108" w:type="dxa"/>
          </w:tblCellMar>
        </w:tblPrEx>
        <w:trPr>
          <w:trHeight w:val="270" w:hRule="atLeast"/>
        </w:trPr>
        <w:tc>
          <w:tcPr>
            <w:tcW w:w="1176" w:type="dxa"/>
            <w:vMerge w:val="continue"/>
            <w:tcBorders>
              <w:left w:val="single" w:color="auto" w:sz="4" w:space="0"/>
              <w:bottom w:val="single" w:color="auto" w:sz="4" w:space="0"/>
              <w:right w:val="single" w:color="auto" w:sz="4" w:space="0"/>
            </w:tcBorders>
            <w:vAlign w:val="center"/>
          </w:tcPr>
          <w:p w14:paraId="592AE5EF">
            <w:pPr>
              <w:widowControl/>
              <w:spacing w:line="240" w:lineRule="atLeast"/>
              <w:jc w:val="center"/>
              <w:rPr>
                <w:rFonts w:ascii="宋体" w:hAnsi="宋体" w:eastAsia="宋体" w:cs="宋体"/>
                <w:color w:val="000000"/>
                <w:kern w:val="0"/>
                <w:sz w:val="18"/>
                <w:szCs w:val="18"/>
              </w:rPr>
            </w:pPr>
          </w:p>
        </w:tc>
        <w:tc>
          <w:tcPr>
            <w:tcW w:w="1167" w:type="dxa"/>
            <w:vMerge w:val="continue"/>
            <w:tcBorders>
              <w:left w:val="nil"/>
              <w:bottom w:val="single" w:color="auto" w:sz="4" w:space="0"/>
              <w:right w:val="single" w:color="auto" w:sz="4" w:space="0"/>
            </w:tcBorders>
            <w:noWrap/>
            <w:vAlign w:val="center"/>
          </w:tcPr>
          <w:p w14:paraId="1F03743B">
            <w:pPr>
              <w:widowControl/>
              <w:spacing w:line="240" w:lineRule="atLeast"/>
              <w:jc w:val="center"/>
              <w:rPr>
                <w:rFonts w:ascii="宋体" w:hAnsi="宋体" w:eastAsia="宋体" w:cs="宋体"/>
                <w:color w:val="000000"/>
                <w:kern w:val="0"/>
                <w:sz w:val="18"/>
                <w:szCs w:val="18"/>
              </w:rPr>
            </w:pPr>
          </w:p>
        </w:tc>
        <w:tc>
          <w:tcPr>
            <w:tcW w:w="5454" w:type="dxa"/>
            <w:tcBorders>
              <w:top w:val="nil"/>
              <w:left w:val="nil"/>
              <w:bottom w:val="single" w:color="auto" w:sz="4" w:space="0"/>
              <w:right w:val="single" w:color="auto" w:sz="4" w:space="0"/>
            </w:tcBorders>
            <w:noWrap/>
            <w:vAlign w:val="center"/>
          </w:tcPr>
          <w:p w14:paraId="5B714526">
            <w:pPr>
              <w:widowControl/>
              <w:adjustRightInd w:val="0"/>
              <w:snapToGrid w:val="0"/>
              <w:rPr>
                <w:rFonts w:ascii="宋体" w:hAnsi="宋体" w:eastAsia="宋体" w:cs="宋体"/>
                <w:color w:val="000000"/>
                <w:kern w:val="0"/>
                <w:sz w:val="18"/>
                <w:szCs w:val="18"/>
              </w:rPr>
            </w:pPr>
            <w:r>
              <w:rPr>
                <w:rFonts w:hint="eastAsia" w:ascii="宋体" w:hAnsi="宋体" w:eastAsia="宋体" w:cs="宋体"/>
                <w:color w:val="000000"/>
                <w:kern w:val="0"/>
                <w:sz w:val="18"/>
                <w:szCs w:val="18"/>
              </w:rPr>
              <w:t>活动举办对周边生产生活环境、交通出行、用水用电用气、消防和治安等的影响程度是否超出群众的可承受度</w:t>
            </w:r>
          </w:p>
        </w:tc>
        <w:tc>
          <w:tcPr>
            <w:tcW w:w="1050" w:type="dxa"/>
            <w:tcBorders>
              <w:top w:val="nil"/>
              <w:left w:val="nil"/>
              <w:bottom w:val="single" w:color="auto" w:sz="4" w:space="0"/>
              <w:right w:val="single" w:color="auto" w:sz="4" w:space="0"/>
            </w:tcBorders>
            <w:noWrap/>
            <w:vAlign w:val="center"/>
          </w:tcPr>
          <w:p w14:paraId="61A99F14">
            <w:pPr>
              <w:widowControl/>
              <w:adjustRightInd w:val="0"/>
              <w:snapToGrid w:val="0"/>
              <w:jc w:val="center"/>
              <w:rPr>
                <w:rFonts w:ascii="宋体" w:hAnsi="宋体" w:eastAsia="宋体" w:cs="宋体"/>
                <w:color w:val="000000"/>
                <w:kern w:val="0"/>
                <w:sz w:val="18"/>
                <w:szCs w:val="18"/>
              </w:rPr>
            </w:pPr>
            <w:r>
              <w:rPr>
                <w:rFonts w:hint="eastAsia" w:ascii="宋体" w:hAnsi="宋体" w:cs="宋体"/>
                <w:color w:val="000000"/>
                <w:kern w:val="0"/>
                <w:sz w:val="18"/>
                <w:szCs w:val="18"/>
              </w:rPr>
              <w:t>2</w:t>
            </w:r>
          </w:p>
        </w:tc>
      </w:tr>
      <w:tr w14:paraId="2A8F13EA">
        <w:tblPrEx>
          <w:tblCellMar>
            <w:top w:w="0" w:type="dxa"/>
            <w:left w:w="108" w:type="dxa"/>
            <w:bottom w:w="0" w:type="dxa"/>
            <w:right w:w="108" w:type="dxa"/>
          </w:tblCellMar>
        </w:tblPrEx>
        <w:trPr>
          <w:trHeight w:val="270" w:hRule="atLeast"/>
        </w:trPr>
        <w:tc>
          <w:tcPr>
            <w:tcW w:w="1176" w:type="dxa"/>
            <w:vMerge w:val="restart"/>
            <w:tcBorders>
              <w:top w:val="single" w:color="auto" w:sz="4" w:space="0"/>
              <w:left w:val="single" w:color="auto" w:sz="4" w:space="0"/>
              <w:right w:val="single" w:color="auto" w:sz="4" w:space="0"/>
            </w:tcBorders>
            <w:vAlign w:val="center"/>
          </w:tcPr>
          <w:p w14:paraId="60F8CACB">
            <w:pPr>
              <w:widowControl/>
              <w:spacing w:line="240" w:lineRule="atLeast"/>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可行性</w:t>
            </w:r>
          </w:p>
          <w:p w14:paraId="2E6B27ED">
            <w:pPr>
              <w:widowControl/>
              <w:spacing w:line="240" w:lineRule="atLeast"/>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（30分）</w:t>
            </w:r>
          </w:p>
        </w:tc>
        <w:tc>
          <w:tcPr>
            <w:tcW w:w="1167" w:type="dxa"/>
            <w:vMerge w:val="restart"/>
            <w:tcBorders>
              <w:top w:val="single" w:color="auto" w:sz="4" w:space="0"/>
              <w:left w:val="nil"/>
              <w:right w:val="single" w:color="auto" w:sz="4" w:space="0"/>
            </w:tcBorders>
            <w:noWrap/>
            <w:vAlign w:val="center"/>
          </w:tcPr>
          <w:p w14:paraId="62988D75">
            <w:pPr>
              <w:widowControl/>
              <w:spacing w:line="240" w:lineRule="atLeast"/>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基础条件</w:t>
            </w:r>
          </w:p>
          <w:p w14:paraId="3C752991">
            <w:pPr>
              <w:widowControl/>
              <w:spacing w:line="240" w:lineRule="atLeast"/>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（10分）</w:t>
            </w:r>
          </w:p>
        </w:tc>
        <w:tc>
          <w:tcPr>
            <w:tcW w:w="5454" w:type="dxa"/>
            <w:tcBorders>
              <w:top w:val="nil"/>
              <w:left w:val="nil"/>
              <w:bottom w:val="single" w:color="auto" w:sz="4" w:space="0"/>
              <w:right w:val="single" w:color="auto" w:sz="4" w:space="0"/>
            </w:tcBorders>
            <w:noWrap/>
            <w:vAlign w:val="bottom"/>
          </w:tcPr>
          <w:p w14:paraId="42E4D5B3">
            <w:pPr>
              <w:widowControl/>
              <w:adjustRightInd w:val="0"/>
              <w:snapToGrid w:val="0"/>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活动举办场所是否符合相关安全要求</w:t>
            </w:r>
            <w:r>
              <w:rPr>
                <w:rFonts w:hint="eastAsia" w:ascii="宋体" w:hAnsi="宋体" w:cs="宋体"/>
                <w:color w:val="000000"/>
                <w:kern w:val="0"/>
                <w:sz w:val="18"/>
                <w:szCs w:val="18"/>
              </w:rPr>
              <w:sym w:font="Wingdings" w:char="F0B5"/>
            </w:r>
          </w:p>
        </w:tc>
        <w:tc>
          <w:tcPr>
            <w:tcW w:w="1050" w:type="dxa"/>
            <w:tcBorders>
              <w:top w:val="nil"/>
              <w:left w:val="nil"/>
              <w:bottom w:val="single" w:color="auto" w:sz="4" w:space="0"/>
              <w:right w:val="single" w:color="auto" w:sz="4" w:space="0"/>
            </w:tcBorders>
            <w:noWrap/>
            <w:vAlign w:val="bottom"/>
          </w:tcPr>
          <w:p w14:paraId="75DC7463">
            <w:pPr>
              <w:widowControl/>
              <w:adjustRightInd w:val="0"/>
              <w:snapToGrid w:val="0"/>
              <w:jc w:val="center"/>
              <w:rPr>
                <w:rFonts w:ascii="宋体" w:hAnsi="宋体" w:eastAsia="宋体" w:cs="宋体"/>
                <w:color w:val="000000"/>
                <w:kern w:val="0"/>
                <w:sz w:val="18"/>
                <w:szCs w:val="18"/>
              </w:rPr>
            </w:pPr>
            <w:r>
              <w:rPr>
                <w:rFonts w:hint="eastAsia" w:ascii="宋体" w:hAnsi="宋体" w:cs="宋体"/>
                <w:color w:val="000000"/>
                <w:kern w:val="0"/>
                <w:sz w:val="18"/>
                <w:szCs w:val="18"/>
              </w:rPr>
              <w:t>2</w:t>
            </w:r>
          </w:p>
        </w:tc>
      </w:tr>
      <w:tr w14:paraId="7FCF70E2">
        <w:tblPrEx>
          <w:tblCellMar>
            <w:top w:w="0" w:type="dxa"/>
            <w:left w:w="108" w:type="dxa"/>
            <w:bottom w:w="0" w:type="dxa"/>
            <w:right w:w="108" w:type="dxa"/>
          </w:tblCellMar>
        </w:tblPrEx>
        <w:trPr>
          <w:trHeight w:val="270" w:hRule="atLeast"/>
        </w:trPr>
        <w:tc>
          <w:tcPr>
            <w:tcW w:w="1176" w:type="dxa"/>
            <w:vMerge w:val="continue"/>
            <w:tcBorders>
              <w:top w:val="single" w:color="auto" w:sz="4" w:space="0"/>
              <w:left w:val="single" w:color="auto" w:sz="4" w:space="0"/>
              <w:right w:val="single" w:color="auto" w:sz="4" w:space="0"/>
            </w:tcBorders>
            <w:vAlign w:val="center"/>
          </w:tcPr>
          <w:p w14:paraId="3FB1B116">
            <w:pPr>
              <w:widowControl/>
              <w:spacing w:line="240" w:lineRule="atLeast"/>
              <w:jc w:val="center"/>
              <w:rPr>
                <w:rFonts w:ascii="宋体" w:hAnsi="宋体" w:eastAsia="宋体" w:cs="宋体"/>
                <w:color w:val="000000"/>
                <w:kern w:val="0"/>
                <w:sz w:val="18"/>
                <w:szCs w:val="18"/>
              </w:rPr>
            </w:pPr>
          </w:p>
        </w:tc>
        <w:tc>
          <w:tcPr>
            <w:tcW w:w="1167" w:type="dxa"/>
            <w:vMerge w:val="continue"/>
            <w:tcBorders>
              <w:top w:val="single" w:color="auto" w:sz="4" w:space="0"/>
              <w:left w:val="nil"/>
              <w:right w:val="single" w:color="auto" w:sz="4" w:space="0"/>
            </w:tcBorders>
            <w:noWrap/>
            <w:vAlign w:val="center"/>
          </w:tcPr>
          <w:p w14:paraId="14E15320">
            <w:pPr>
              <w:widowControl/>
              <w:spacing w:line="240" w:lineRule="atLeast"/>
              <w:jc w:val="center"/>
              <w:rPr>
                <w:rFonts w:ascii="宋体" w:hAnsi="宋体" w:eastAsia="宋体" w:cs="宋体"/>
                <w:color w:val="000000"/>
                <w:kern w:val="0"/>
                <w:sz w:val="18"/>
                <w:szCs w:val="18"/>
              </w:rPr>
            </w:pPr>
          </w:p>
        </w:tc>
        <w:tc>
          <w:tcPr>
            <w:tcW w:w="5454" w:type="dxa"/>
            <w:tcBorders>
              <w:top w:val="nil"/>
              <w:left w:val="nil"/>
              <w:bottom w:val="single" w:color="auto" w:sz="4" w:space="0"/>
              <w:right w:val="single" w:color="auto" w:sz="4" w:space="0"/>
            </w:tcBorders>
            <w:noWrap/>
            <w:vAlign w:val="bottom"/>
          </w:tcPr>
          <w:p w14:paraId="49B3620D">
            <w:pPr>
              <w:adjustRightInd w:val="0"/>
              <w:snapToGrid w:val="0"/>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当地政府相关部门对活动举办是否给予支持</w:t>
            </w:r>
          </w:p>
        </w:tc>
        <w:tc>
          <w:tcPr>
            <w:tcW w:w="1050" w:type="dxa"/>
            <w:tcBorders>
              <w:top w:val="nil"/>
              <w:left w:val="nil"/>
              <w:bottom w:val="single" w:color="auto" w:sz="4" w:space="0"/>
              <w:right w:val="single" w:color="auto" w:sz="4" w:space="0"/>
            </w:tcBorders>
            <w:noWrap/>
            <w:vAlign w:val="bottom"/>
          </w:tcPr>
          <w:p w14:paraId="56F59FA5">
            <w:pPr>
              <w:adjustRightInd w:val="0"/>
              <w:snapToGrid w:val="0"/>
              <w:jc w:val="center"/>
              <w:rPr>
                <w:rFonts w:ascii="宋体" w:hAnsi="宋体" w:eastAsia="宋体" w:cs="宋体"/>
                <w:color w:val="000000"/>
                <w:kern w:val="0"/>
                <w:sz w:val="18"/>
                <w:szCs w:val="18"/>
              </w:rPr>
            </w:pPr>
            <w:r>
              <w:rPr>
                <w:rFonts w:hint="eastAsia" w:ascii="宋体" w:hAnsi="宋体" w:cs="宋体"/>
                <w:color w:val="000000"/>
                <w:kern w:val="0"/>
                <w:sz w:val="18"/>
                <w:szCs w:val="18"/>
              </w:rPr>
              <w:t>2</w:t>
            </w:r>
          </w:p>
        </w:tc>
      </w:tr>
      <w:tr w14:paraId="395CECFB">
        <w:tblPrEx>
          <w:tblCellMar>
            <w:top w:w="0" w:type="dxa"/>
            <w:left w:w="108" w:type="dxa"/>
            <w:bottom w:w="0" w:type="dxa"/>
            <w:right w:w="108" w:type="dxa"/>
          </w:tblCellMar>
        </w:tblPrEx>
        <w:trPr>
          <w:trHeight w:val="270" w:hRule="atLeast"/>
        </w:trPr>
        <w:tc>
          <w:tcPr>
            <w:tcW w:w="1176" w:type="dxa"/>
            <w:vMerge w:val="continue"/>
            <w:tcBorders>
              <w:top w:val="single" w:color="auto" w:sz="4" w:space="0"/>
              <w:left w:val="single" w:color="auto" w:sz="4" w:space="0"/>
              <w:right w:val="single" w:color="auto" w:sz="4" w:space="0"/>
            </w:tcBorders>
            <w:vAlign w:val="center"/>
          </w:tcPr>
          <w:p w14:paraId="2B19C30E">
            <w:pPr>
              <w:widowControl/>
              <w:spacing w:line="240" w:lineRule="atLeast"/>
              <w:jc w:val="center"/>
              <w:rPr>
                <w:rFonts w:ascii="宋体" w:hAnsi="宋体" w:eastAsia="宋体" w:cs="宋体"/>
                <w:color w:val="000000"/>
                <w:kern w:val="0"/>
                <w:sz w:val="18"/>
                <w:szCs w:val="18"/>
              </w:rPr>
            </w:pPr>
          </w:p>
        </w:tc>
        <w:tc>
          <w:tcPr>
            <w:tcW w:w="1167" w:type="dxa"/>
            <w:vMerge w:val="continue"/>
            <w:tcBorders>
              <w:top w:val="single" w:color="auto" w:sz="4" w:space="0"/>
              <w:left w:val="nil"/>
              <w:right w:val="single" w:color="auto" w:sz="4" w:space="0"/>
            </w:tcBorders>
            <w:noWrap/>
            <w:vAlign w:val="center"/>
          </w:tcPr>
          <w:p w14:paraId="21F14D3A">
            <w:pPr>
              <w:widowControl/>
              <w:spacing w:line="240" w:lineRule="atLeast"/>
              <w:jc w:val="center"/>
              <w:rPr>
                <w:rFonts w:ascii="宋体" w:hAnsi="宋体" w:eastAsia="宋体" w:cs="宋体"/>
                <w:color w:val="000000"/>
                <w:kern w:val="0"/>
                <w:sz w:val="18"/>
                <w:szCs w:val="18"/>
              </w:rPr>
            </w:pPr>
          </w:p>
        </w:tc>
        <w:tc>
          <w:tcPr>
            <w:tcW w:w="5454" w:type="dxa"/>
            <w:tcBorders>
              <w:top w:val="nil"/>
              <w:left w:val="nil"/>
              <w:bottom w:val="single" w:color="auto" w:sz="4" w:space="0"/>
              <w:right w:val="single" w:color="auto" w:sz="4" w:space="0"/>
            </w:tcBorders>
            <w:noWrap/>
            <w:vAlign w:val="bottom"/>
          </w:tcPr>
          <w:p w14:paraId="5F52DBC1">
            <w:pPr>
              <w:adjustRightInd w:val="0"/>
              <w:snapToGrid w:val="0"/>
              <w:jc w:val="left"/>
              <w:rPr>
                <w:rFonts w:ascii="宋体" w:hAnsi="宋体" w:eastAsia="宋体" w:cs="宋体"/>
                <w:color w:val="000000"/>
                <w:kern w:val="0"/>
                <w:sz w:val="18"/>
                <w:szCs w:val="18"/>
              </w:rPr>
            </w:pPr>
            <w:r>
              <w:rPr>
                <w:rFonts w:hint="eastAsia" w:ascii="宋体" w:hAnsi="宋体" w:cs="宋体"/>
                <w:color w:val="000000"/>
                <w:kern w:val="0"/>
                <w:sz w:val="18"/>
                <w:szCs w:val="18"/>
              </w:rPr>
              <w:t>活动举办所需人力物力财力准备是否充分</w:t>
            </w:r>
          </w:p>
        </w:tc>
        <w:tc>
          <w:tcPr>
            <w:tcW w:w="1050" w:type="dxa"/>
            <w:tcBorders>
              <w:top w:val="nil"/>
              <w:left w:val="nil"/>
              <w:bottom w:val="single" w:color="auto" w:sz="4" w:space="0"/>
              <w:right w:val="single" w:color="auto" w:sz="4" w:space="0"/>
            </w:tcBorders>
            <w:noWrap/>
            <w:vAlign w:val="bottom"/>
          </w:tcPr>
          <w:p w14:paraId="39FF9852">
            <w:pPr>
              <w:adjustRightInd w:val="0"/>
              <w:snapToGrid w:val="0"/>
              <w:jc w:val="center"/>
              <w:rPr>
                <w:rFonts w:ascii="宋体" w:hAnsi="宋体" w:eastAsia="宋体" w:cs="宋体"/>
                <w:color w:val="000000"/>
                <w:kern w:val="0"/>
                <w:sz w:val="18"/>
                <w:szCs w:val="18"/>
              </w:rPr>
            </w:pPr>
            <w:r>
              <w:rPr>
                <w:rFonts w:hint="eastAsia" w:ascii="宋体" w:hAnsi="宋体" w:cs="宋体"/>
                <w:color w:val="000000"/>
                <w:kern w:val="0"/>
                <w:sz w:val="18"/>
                <w:szCs w:val="18"/>
              </w:rPr>
              <w:t>2</w:t>
            </w:r>
          </w:p>
        </w:tc>
      </w:tr>
      <w:tr w14:paraId="364DE037">
        <w:tblPrEx>
          <w:tblCellMar>
            <w:top w:w="0" w:type="dxa"/>
            <w:left w:w="108" w:type="dxa"/>
            <w:bottom w:w="0" w:type="dxa"/>
            <w:right w:w="108" w:type="dxa"/>
          </w:tblCellMar>
        </w:tblPrEx>
        <w:trPr>
          <w:trHeight w:val="270" w:hRule="atLeast"/>
        </w:trPr>
        <w:tc>
          <w:tcPr>
            <w:tcW w:w="1176" w:type="dxa"/>
            <w:vMerge w:val="continue"/>
            <w:tcBorders>
              <w:top w:val="single" w:color="auto" w:sz="4" w:space="0"/>
              <w:left w:val="single" w:color="auto" w:sz="4" w:space="0"/>
              <w:right w:val="single" w:color="auto" w:sz="4" w:space="0"/>
            </w:tcBorders>
            <w:vAlign w:val="center"/>
          </w:tcPr>
          <w:p w14:paraId="51A77C28">
            <w:pPr>
              <w:widowControl/>
              <w:spacing w:line="240" w:lineRule="atLeast"/>
              <w:jc w:val="center"/>
              <w:rPr>
                <w:rFonts w:ascii="宋体" w:hAnsi="宋体" w:eastAsia="宋体" w:cs="宋体"/>
                <w:color w:val="000000"/>
                <w:kern w:val="0"/>
                <w:sz w:val="18"/>
                <w:szCs w:val="18"/>
              </w:rPr>
            </w:pPr>
          </w:p>
        </w:tc>
        <w:tc>
          <w:tcPr>
            <w:tcW w:w="1167" w:type="dxa"/>
            <w:vMerge w:val="continue"/>
            <w:tcBorders>
              <w:top w:val="single" w:color="auto" w:sz="4" w:space="0"/>
              <w:left w:val="nil"/>
              <w:right w:val="single" w:color="auto" w:sz="4" w:space="0"/>
            </w:tcBorders>
            <w:noWrap/>
            <w:vAlign w:val="center"/>
          </w:tcPr>
          <w:p w14:paraId="7E42B72E">
            <w:pPr>
              <w:widowControl/>
              <w:spacing w:line="240" w:lineRule="atLeast"/>
              <w:jc w:val="center"/>
              <w:rPr>
                <w:rFonts w:ascii="宋体" w:hAnsi="宋体" w:eastAsia="宋体" w:cs="宋体"/>
                <w:color w:val="000000"/>
                <w:kern w:val="0"/>
                <w:sz w:val="18"/>
                <w:szCs w:val="18"/>
              </w:rPr>
            </w:pPr>
          </w:p>
        </w:tc>
        <w:tc>
          <w:tcPr>
            <w:tcW w:w="5454" w:type="dxa"/>
            <w:tcBorders>
              <w:top w:val="nil"/>
              <w:left w:val="nil"/>
              <w:bottom w:val="single" w:color="auto" w:sz="4" w:space="0"/>
              <w:right w:val="single" w:color="auto" w:sz="4" w:space="0"/>
            </w:tcBorders>
            <w:noWrap/>
            <w:vAlign w:val="bottom"/>
          </w:tcPr>
          <w:p w14:paraId="05109CB8">
            <w:pPr>
              <w:widowControl/>
              <w:adjustRightInd w:val="0"/>
              <w:snapToGrid w:val="0"/>
              <w:jc w:val="left"/>
              <w:rPr>
                <w:rFonts w:ascii="宋体" w:eastAsia="宋体"/>
                <w:color w:val="000000"/>
                <w:kern w:val="0"/>
                <w:sz w:val="18"/>
                <w:szCs w:val="18"/>
              </w:rPr>
            </w:pPr>
            <w:r>
              <w:rPr>
                <w:rFonts w:hint="eastAsia" w:ascii="宋体"/>
                <w:color w:val="000000"/>
                <w:kern w:val="0"/>
                <w:sz w:val="18"/>
                <w:szCs w:val="18"/>
              </w:rPr>
              <w:t>活动组织承办机构专业能力是否适宜</w:t>
            </w:r>
          </w:p>
        </w:tc>
        <w:tc>
          <w:tcPr>
            <w:tcW w:w="1050" w:type="dxa"/>
            <w:tcBorders>
              <w:top w:val="nil"/>
              <w:left w:val="nil"/>
              <w:bottom w:val="single" w:color="auto" w:sz="4" w:space="0"/>
              <w:right w:val="single" w:color="auto" w:sz="4" w:space="0"/>
            </w:tcBorders>
            <w:noWrap/>
            <w:vAlign w:val="bottom"/>
          </w:tcPr>
          <w:p w14:paraId="02CDFB65">
            <w:pPr>
              <w:widowControl/>
              <w:adjustRightInd w:val="0"/>
              <w:snapToGrid w:val="0"/>
              <w:jc w:val="center"/>
              <w:rPr>
                <w:rFonts w:ascii="宋体" w:eastAsia="宋体"/>
                <w:color w:val="000000"/>
                <w:kern w:val="0"/>
                <w:sz w:val="18"/>
                <w:szCs w:val="18"/>
              </w:rPr>
            </w:pPr>
            <w:r>
              <w:rPr>
                <w:rFonts w:hint="eastAsia" w:ascii="宋体"/>
                <w:color w:val="000000"/>
                <w:kern w:val="0"/>
                <w:sz w:val="18"/>
                <w:szCs w:val="18"/>
              </w:rPr>
              <w:t>2</w:t>
            </w:r>
          </w:p>
        </w:tc>
      </w:tr>
      <w:tr w14:paraId="5D37143C">
        <w:tblPrEx>
          <w:tblCellMar>
            <w:top w:w="0" w:type="dxa"/>
            <w:left w:w="108" w:type="dxa"/>
            <w:bottom w:w="0" w:type="dxa"/>
            <w:right w:w="108" w:type="dxa"/>
          </w:tblCellMar>
        </w:tblPrEx>
        <w:trPr>
          <w:trHeight w:val="270" w:hRule="atLeast"/>
        </w:trPr>
        <w:tc>
          <w:tcPr>
            <w:tcW w:w="1176" w:type="dxa"/>
            <w:vMerge w:val="continue"/>
            <w:tcBorders>
              <w:top w:val="single" w:color="auto" w:sz="4" w:space="0"/>
              <w:left w:val="single" w:color="auto" w:sz="4" w:space="0"/>
              <w:right w:val="single" w:color="auto" w:sz="4" w:space="0"/>
            </w:tcBorders>
            <w:vAlign w:val="center"/>
          </w:tcPr>
          <w:p w14:paraId="544D144E">
            <w:pPr>
              <w:widowControl/>
              <w:spacing w:line="240" w:lineRule="atLeast"/>
              <w:jc w:val="center"/>
              <w:rPr>
                <w:rFonts w:ascii="宋体" w:hAnsi="宋体" w:eastAsia="宋体" w:cs="宋体"/>
                <w:color w:val="000000"/>
                <w:kern w:val="0"/>
                <w:sz w:val="18"/>
                <w:szCs w:val="18"/>
              </w:rPr>
            </w:pPr>
          </w:p>
        </w:tc>
        <w:tc>
          <w:tcPr>
            <w:tcW w:w="1167" w:type="dxa"/>
            <w:vMerge w:val="continue"/>
            <w:tcBorders>
              <w:top w:val="single" w:color="auto" w:sz="4" w:space="0"/>
              <w:left w:val="nil"/>
              <w:right w:val="single" w:color="auto" w:sz="4" w:space="0"/>
            </w:tcBorders>
            <w:noWrap/>
            <w:vAlign w:val="center"/>
          </w:tcPr>
          <w:p w14:paraId="0F077F88">
            <w:pPr>
              <w:widowControl/>
              <w:spacing w:line="240" w:lineRule="atLeast"/>
              <w:jc w:val="center"/>
              <w:rPr>
                <w:rFonts w:ascii="宋体" w:hAnsi="宋体" w:eastAsia="宋体" w:cs="宋体"/>
                <w:color w:val="000000"/>
                <w:kern w:val="0"/>
                <w:sz w:val="18"/>
                <w:szCs w:val="18"/>
              </w:rPr>
            </w:pPr>
          </w:p>
        </w:tc>
        <w:tc>
          <w:tcPr>
            <w:tcW w:w="5454" w:type="dxa"/>
            <w:tcBorders>
              <w:top w:val="nil"/>
              <w:left w:val="nil"/>
              <w:bottom w:val="single" w:color="auto" w:sz="4" w:space="0"/>
              <w:right w:val="single" w:color="auto" w:sz="4" w:space="0"/>
            </w:tcBorders>
            <w:noWrap/>
            <w:vAlign w:val="bottom"/>
          </w:tcPr>
          <w:p w14:paraId="542ACE10">
            <w:pPr>
              <w:widowControl/>
              <w:adjustRightInd w:val="0"/>
              <w:snapToGrid w:val="0"/>
              <w:jc w:val="left"/>
              <w:rPr>
                <w:rFonts w:ascii="宋体" w:eastAsia="宋体"/>
                <w:color w:val="000000"/>
                <w:kern w:val="0"/>
                <w:sz w:val="18"/>
                <w:szCs w:val="18"/>
              </w:rPr>
            </w:pPr>
            <w:r>
              <w:rPr>
                <w:rFonts w:hint="eastAsia" w:ascii="宋体" w:eastAsia="宋体"/>
                <w:color w:val="000000"/>
                <w:kern w:val="0"/>
                <w:sz w:val="18"/>
                <w:szCs w:val="18"/>
              </w:rPr>
              <w:t>活动举办的相关气候条件是否适宜</w:t>
            </w:r>
          </w:p>
        </w:tc>
        <w:tc>
          <w:tcPr>
            <w:tcW w:w="1050" w:type="dxa"/>
            <w:tcBorders>
              <w:top w:val="nil"/>
              <w:left w:val="nil"/>
              <w:bottom w:val="single" w:color="auto" w:sz="4" w:space="0"/>
              <w:right w:val="single" w:color="auto" w:sz="4" w:space="0"/>
            </w:tcBorders>
            <w:noWrap/>
            <w:vAlign w:val="bottom"/>
          </w:tcPr>
          <w:p w14:paraId="192FCFDD">
            <w:pPr>
              <w:widowControl/>
              <w:adjustRightInd w:val="0"/>
              <w:snapToGrid w:val="0"/>
              <w:jc w:val="center"/>
              <w:rPr>
                <w:rFonts w:ascii="宋体" w:eastAsia="宋体"/>
                <w:color w:val="000000"/>
                <w:kern w:val="0"/>
                <w:sz w:val="18"/>
                <w:szCs w:val="18"/>
              </w:rPr>
            </w:pPr>
            <w:r>
              <w:rPr>
                <w:rFonts w:hint="eastAsia" w:ascii="宋体"/>
                <w:color w:val="000000"/>
                <w:kern w:val="0"/>
                <w:sz w:val="18"/>
                <w:szCs w:val="18"/>
              </w:rPr>
              <w:t>2</w:t>
            </w:r>
          </w:p>
        </w:tc>
      </w:tr>
      <w:tr w14:paraId="39A441DE">
        <w:tblPrEx>
          <w:tblCellMar>
            <w:top w:w="0" w:type="dxa"/>
            <w:left w:w="108" w:type="dxa"/>
            <w:bottom w:w="0" w:type="dxa"/>
            <w:right w:w="108" w:type="dxa"/>
          </w:tblCellMar>
        </w:tblPrEx>
        <w:trPr>
          <w:trHeight w:val="262" w:hRule="atLeast"/>
        </w:trPr>
        <w:tc>
          <w:tcPr>
            <w:tcW w:w="1176" w:type="dxa"/>
            <w:vMerge w:val="continue"/>
            <w:tcBorders>
              <w:left w:val="single" w:color="auto" w:sz="4" w:space="0"/>
              <w:right w:val="single" w:color="auto" w:sz="4" w:space="0"/>
            </w:tcBorders>
            <w:vAlign w:val="center"/>
          </w:tcPr>
          <w:p w14:paraId="6D554118">
            <w:pPr>
              <w:spacing w:line="240" w:lineRule="atLeast"/>
              <w:jc w:val="center"/>
              <w:rPr>
                <w:rFonts w:ascii="宋体" w:hAnsi="宋体" w:eastAsia="宋体" w:cs="宋体"/>
                <w:color w:val="000000"/>
                <w:kern w:val="0"/>
                <w:sz w:val="18"/>
                <w:szCs w:val="18"/>
              </w:rPr>
            </w:pPr>
          </w:p>
        </w:tc>
        <w:tc>
          <w:tcPr>
            <w:tcW w:w="1167" w:type="dxa"/>
            <w:vMerge w:val="restart"/>
            <w:tcBorders>
              <w:top w:val="single" w:color="auto" w:sz="4" w:space="0"/>
              <w:left w:val="nil"/>
              <w:right w:val="single" w:color="auto" w:sz="4" w:space="0"/>
            </w:tcBorders>
            <w:noWrap/>
            <w:vAlign w:val="center"/>
          </w:tcPr>
          <w:p w14:paraId="24696D10">
            <w:pPr>
              <w:spacing w:line="240" w:lineRule="atLeast"/>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人文环境</w:t>
            </w:r>
          </w:p>
          <w:p w14:paraId="59173C3E">
            <w:pPr>
              <w:spacing w:line="240" w:lineRule="atLeast"/>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（10分）</w:t>
            </w:r>
          </w:p>
        </w:tc>
        <w:tc>
          <w:tcPr>
            <w:tcW w:w="5454" w:type="dxa"/>
            <w:tcBorders>
              <w:top w:val="nil"/>
              <w:left w:val="nil"/>
              <w:bottom w:val="single" w:color="auto" w:sz="4" w:space="0"/>
              <w:right w:val="single" w:color="auto" w:sz="4" w:space="0"/>
            </w:tcBorders>
            <w:noWrap/>
            <w:vAlign w:val="bottom"/>
          </w:tcPr>
          <w:p w14:paraId="2DB6EB35">
            <w:pPr>
              <w:widowControl/>
              <w:adjustRightInd w:val="0"/>
              <w:snapToGrid w:val="0"/>
              <w:jc w:val="left"/>
              <w:rPr>
                <w:rFonts w:ascii="宋体" w:eastAsia="宋体"/>
                <w:color w:val="000000"/>
                <w:kern w:val="0"/>
                <w:sz w:val="18"/>
                <w:szCs w:val="18"/>
              </w:rPr>
            </w:pPr>
            <w:r>
              <w:rPr>
                <w:rFonts w:hint="eastAsia" w:ascii="宋体" w:hAnsi="宋体" w:cs="宋体"/>
                <w:color w:val="000000"/>
                <w:kern w:val="0"/>
                <w:sz w:val="18"/>
                <w:szCs w:val="18"/>
              </w:rPr>
              <w:t>是否存在严重影响群众生产生活或损害群众合法权益情形</w:t>
            </w:r>
          </w:p>
        </w:tc>
        <w:tc>
          <w:tcPr>
            <w:tcW w:w="1050" w:type="dxa"/>
            <w:tcBorders>
              <w:top w:val="nil"/>
              <w:left w:val="nil"/>
              <w:bottom w:val="single" w:color="auto" w:sz="4" w:space="0"/>
              <w:right w:val="single" w:color="auto" w:sz="4" w:space="0"/>
            </w:tcBorders>
            <w:noWrap/>
            <w:vAlign w:val="bottom"/>
          </w:tcPr>
          <w:p w14:paraId="52AB9EE6">
            <w:pPr>
              <w:widowControl/>
              <w:adjustRightInd w:val="0"/>
              <w:snapToGrid w:val="0"/>
              <w:jc w:val="center"/>
              <w:rPr>
                <w:rFonts w:ascii="宋体" w:eastAsia="宋体"/>
                <w:color w:val="000000"/>
                <w:kern w:val="0"/>
                <w:sz w:val="18"/>
                <w:szCs w:val="18"/>
              </w:rPr>
            </w:pPr>
            <w:r>
              <w:rPr>
                <w:rFonts w:hint="eastAsia" w:ascii="宋体"/>
                <w:color w:val="000000"/>
                <w:kern w:val="0"/>
                <w:sz w:val="18"/>
                <w:szCs w:val="18"/>
              </w:rPr>
              <w:t>4</w:t>
            </w:r>
          </w:p>
        </w:tc>
      </w:tr>
      <w:tr w14:paraId="7DF91AE6">
        <w:tblPrEx>
          <w:tblCellMar>
            <w:top w:w="0" w:type="dxa"/>
            <w:left w:w="108" w:type="dxa"/>
            <w:bottom w:w="0" w:type="dxa"/>
            <w:right w:w="108" w:type="dxa"/>
          </w:tblCellMar>
        </w:tblPrEx>
        <w:trPr>
          <w:trHeight w:val="262" w:hRule="atLeast"/>
        </w:trPr>
        <w:tc>
          <w:tcPr>
            <w:tcW w:w="1176" w:type="dxa"/>
            <w:vMerge w:val="continue"/>
            <w:tcBorders>
              <w:left w:val="single" w:color="auto" w:sz="4" w:space="0"/>
              <w:right w:val="single" w:color="auto" w:sz="4" w:space="0"/>
            </w:tcBorders>
            <w:vAlign w:val="center"/>
          </w:tcPr>
          <w:p w14:paraId="78E80F29">
            <w:pPr>
              <w:spacing w:line="240" w:lineRule="atLeast"/>
              <w:jc w:val="center"/>
              <w:rPr>
                <w:rFonts w:ascii="宋体" w:hAnsi="宋体" w:eastAsia="宋体" w:cs="宋体"/>
                <w:color w:val="000000"/>
                <w:kern w:val="0"/>
                <w:sz w:val="18"/>
                <w:szCs w:val="18"/>
              </w:rPr>
            </w:pPr>
          </w:p>
        </w:tc>
        <w:tc>
          <w:tcPr>
            <w:tcW w:w="1167" w:type="dxa"/>
            <w:vMerge w:val="continue"/>
            <w:tcBorders>
              <w:left w:val="nil"/>
              <w:bottom w:val="single" w:color="auto" w:sz="4" w:space="0"/>
              <w:right w:val="single" w:color="auto" w:sz="4" w:space="0"/>
            </w:tcBorders>
            <w:noWrap/>
            <w:vAlign w:val="center"/>
          </w:tcPr>
          <w:p w14:paraId="7A0AA3E5">
            <w:pPr>
              <w:spacing w:line="240" w:lineRule="atLeast"/>
              <w:jc w:val="center"/>
              <w:rPr>
                <w:rFonts w:ascii="宋体" w:hAnsi="宋体" w:eastAsia="宋体" w:cs="宋体"/>
                <w:color w:val="000000"/>
                <w:kern w:val="0"/>
                <w:sz w:val="18"/>
                <w:szCs w:val="18"/>
              </w:rPr>
            </w:pPr>
          </w:p>
        </w:tc>
        <w:tc>
          <w:tcPr>
            <w:tcW w:w="5454" w:type="dxa"/>
            <w:tcBorders>
              <w:top w:val="nil"/>
              <w:left w:val="nil"/>
              <w:bottom w:val="single" w:color="auto" w:sz="4" w:space="0"/>
              <w:right w:val="single" w:color="auto" w:sz="4" w:space="0"/>
            </w:tcBorders>
            <w:noWrap/>
            <w:vAlign w:val="bottom"/>
          </w:tcPr>
          <w:p w14:paraId="2AA814A0">
            <w:pPr>
              <w:widowControl/>
              <w:adjustRightInd w:val="0"/>
              <w:snapToGrid w:val="0"/>
              <w:jc w:val="left"/>
              <w:rPr>
                <w:rFonts w:ascii="宋体" w:eastAsia="宋体"/>
                <w:color w:val="000000"/>
                <w:kern w:val="0"/>
                <w:sz w:val="18"/>
                <w:szCs w:val="18"/>
              </w:rPr>
            </w:pPr>
            <w:r>
              <w:rPr>
                <w:rFonts w:hint="eastAsia" w:ascii="宋体" w:eastAsia="宋体"/>
                <w:color w:val="000000"/>
                <w:kern w:val="0"/>
                <w:sz w:val="18"/>
                <w:szCs w:val="18"/>
              </w:rPr>
              <w:t>社会公众对活动举办</w:t>
            </w:r>
            <w:r>
              <w:rPr>
                <w:rFonts w:hint="eastAsia" w:ascii="宋体"/>
                <w:color w:val="000000"/>
                <w:kern w:val="0"/>
                <w:sz w:val="18"/>
                <w:szCs w:val="18"/>
              </w:rPr>
              <w:t>的认可和支持程度</w:t>
            </w:r>
          </w:p>
        </w:tc>
        <w:tc>
          <w:tcPr>
            <w:tcW w:w="1050" w:type="dxa"/>
            <w:tcBorders>
              <w:top w:val="nil"/>
              <w:left w:val="nil"/>
              <w:bottom w:val="single" w:color="auto" w:sz="4" w:space="0"/>
              <w:right w:val="single" w:color="auto" w:sz="4" w:space="0"/>
            </w:tcBorders>
            <w:noWrap/>
            <w:vAlign w:val="bottom"/>
          </w:tcPr>
          <w:p w14:paraId="3A08C1FB">
            <w:pPr>
              <w:widowControl/>
              <w:adjustRightInd w:val="0"/>
              <w:snapToGrid w:val="0"/>
              <w:jc w:val="center"/>
              <w:rPr>
                <w:rFonts w:ascii="宋体"/>
                <w:color w:val="000000"/>
                <w:kern w:val="0"/>
                <w:sz w:val="18"/>
                <w:szCs w:val="18"/>
              </w:rPr>
            </w:pPr>
            <w:r>
              <w:rPr>
                <w:rFonts w:hint="eastAsia" w:ascii="宋体"/>
                <w:color w:val="000000"/>
                <w:kern w:val="0"/>
                <w:sz w:val="18"/>
                <w:szCs w:val="18"/>
              </w:rPr>
              <w:t>3</w:t>
            </w:r>
          </w:p>
        </w:tc>
      </w:tr>
      <w:tr w14:paraId="761A1725">
        <w:tblPrEx>
          <w:tblCellMar>
            <w:top w:w="0" w:type="dxa"/>
            <w:left w:w="108" w:type="dxa"/>
            <w:bottom w:w="0" w:type="dxa"/>
            <w:right w:w="108" w:type="dxa"/>
          </w:tblCellMar>
        </w:tblPrEx>
        <w:trPr>
          <w:trHeight w:val="262" w:hRule="atLeast"/>
        </w:trPr>
        <w:tc>
          <w:tcPr>
            <w:tcW w:w="1176" w:type="dxa"/>
            <w:vMerge w:val="continue"/>
            <w:tcBorders>
              <w:left w:val="single" w:color="auto" w:sz="4" w:space="0"/>
              <w:right w:val="single" w:color="auto" w:sz="4" w:space="0"/>
            </w:tcBorders>
            <w:vAlign w:val="center"/>
          </w:tcPr>
          <w:p w14:paraId="7F99C50A">
            <w:pPr>
              <w:spacing w:line="240" w:lineRule="atLeast"/>
              <w:jc w:val="center"/>
              <w:rPr>
                <w:rFonts w:ascii="宋体" w:hAnsi="宋体" w:eastAsia="宋体" w:cs="宋体"/>
                <w:color w:val="000000"/>
                <w:kern w:val="0"/>
                <w:sz w:val="18"/>
                <w:szCs w:val="18"/>
              </w:rPr>
            </w:pPr>
          </w:p>
        </w:tc>
        <w:tc>
          <w:tcPr>
            <w:tcW w:w="1167" w:type="dxa"/>
            <w:vMerge w:val="continue"/>
            <w:tcBorders>
              <w:left w:val="nil"/>
              <w:bottom w:val="single" w:color="auto" w:sz="4" w:space="0"/>
              <w:right w:val="single" w:color="auto" w:sz="4" w:space="0"/>
            </w:tcBorders>
            <w:noWrap/>
            <w:vAlign w:val="center"/>
          </w:tcPr>
          <w:p w14:paraId="69213570">
            <w:pPr>
              <w:spacing w:line="240" w:lineRule="atLeast"/>
              <w:jc w:val="center"/>
              <w:rPr>
                <w:rFonts w:ascii="宋体" w:hAnsi="宋体" w:eastAsia="宋体" w:cs="宋体"/>
                <w:color w:val="000000"/>
                <w:kern w:val="0"/>
                <w:sz w:val="18"/>
                <w:szCs w:val="18"/>
              </w:rPr>
            </w:pPr>
          </w:p>
        </w:tc>
        <w:tc>
          <w:tcPr>
            <w:tcW w:w="5454" w:type="dxa"/>
            <w:tcBorders>
              <w:top w:val="nil"/>
              <w:left w:val="nil"/>
              <w:bottom w:val="single" w:color="auto" w:sz="4" w:space="0"/>
              <w:right w:val="single" w:color="auto" w:sz="4" w:space="0"/>
            </w:tcBorders>
            <w:noWrap/>
            <w:vAlign w:val="bottom"/>
          </w:tcPr>
          <w:p w14:paraId="06758F2B">
            <w:pPr>
              <w:widowControl/>
              <w:adjustRightInd w:val="0"/>
              <w:snapToGrid w:val="0"/>
              <w:jc w:val="left"/>
              <w:rPr>
                <w:rFonts w:ascii="宋体" w:eastAsia="宋体"/>
                <w:color w:val="000000"/>
                <w:kern w:val="0"/>
                <w:sz w:val="18"/>
                <w:szCs w:val="18"/>
              </w:rPr>
            </w:pPr>
            <w:r>
              <w:rPr>
                <w:rFonts w:hint="eastAsia" w:ascii="宋体" w:eastAsia="宋体"/>
                <w:color w:val="000000"/>
                <w:kern w:val="0"/>
                <w:sz w:val="18"/>
                <w:szCs w:val="18"/>
              </w:rPr>
              <w:t>活动场所周边居民是否存在反对声音，反对理由是否充分</w:t>
            </w:r>
          </w:p>
        </w:tc>
        <w:tc>
          <w:tcPr>
            <w:tcW w:w="1050" w:type="dxa"/>
            <w:tcBorders>
              <w:top w:val="nil"/>
              <w:left w:val="nil"/>
              <w:bottom w:val="single" w:color="auto" w:sz="4" w:space="0"/>
              <w:right w:val="single" w:color="auto" w:sz="4" w:space="0"/>
            </w:tcBorders>
            <w:noWrap/>
            <w:vAlign w:val="bottom"/>
          </w:tcPr>
          <w:p w14:paraId="65243759">
            <w:pPr>
              <w:widowControl/>
              <w:adjustRightInd w:val="0"/>
              <w:snapToGrid w:val="0"/>
              <w:jc w:val="center"/>
              <w:rPr>
                <w:rFonts w:ascii="宋体" w:eastAsia="宋体"/>
                <w:color w:val="000000"/>
                <w:kern w:val="0"/>
                <w:sz w:val="18"/>
                <w:szCs w:val="18"/>
              </w:rPr>
            </w:pPr>
            <w:r>
              <w:rPr>
                <w:rFonts w:hint="eastAsia" w:ascii="宋体"/>
                <w:color w:val="000000"/>
                <w:kern w:val="0"/>
                <w:sz w:val="18"/>
                <w:szCs w:val="18"/>
              </w:rPr>
              <w:t>3</w:t>
            </w:r>
          </w:p>
        </w:tc>
      </w:tr>
      <w:tr w14:paraId="6B9C8185">
        <w:tblPrEx>
          <w:tblCellMar>
            <w:top w:w="0" w:type="dxa"/>
            <w:left w:w="108" w:type="dxa"/>
            <w:bottom w:w="0" w:type="dxa"/>
            <w:right w:w="108" w:type="dxa"/>
          </w:tblCellMar>
        </w:tblPrEx>
        <w:trPr>
          <w:trHeight w:val="349" w:hRule="atLeast"/>
        </w:trPr>
        <w:tc>
          <w:tcPr>
            <w:tcW w:w="1176" w:type="dxa"/>
            <w:vMerge w:val="continue"/>
            <w:tcBorders>
              <w:left w:val="single" w:color="auto" w:sz="4" w:space="0"/>
              <w:right w:val="single" w:color="auto" w:sz="4" w:space="0"/>
            </w:tcBorders>
            <w:vAlign w:val="center"/>
          </w:tcPr>
          <w:p w14:paraId="7195481C">
            <w:pPr>
              <w:spacing w:line="240" w:lineRule="atLeast"/>
              <w:jc w:val="center"/>
              <w:rPr>
                <w:rFonts w:ascii="宋体" w:hAnsi="宋体" w:eastAsia="宋体" w:cs="宋体"/>
                <w:color w:val="000000"/>
                <w:kern w:val="0"/>
                <w:sz w:val="18"/>
                <w:szCs w:val="18"/>
              </w:rPr>
            </w:pPr>
          </w:p>
        </w:tc>
        <w:tc>
          <w:tcPr>
            <w:tcW w:w="1167" w:type="dxa"/>
            <w:vMerge w:val="restart"/>
            <w:tcBorders>
              <w:top w:val="single" w:color="auto" w:sz="4" w:space="0"/>
              <w:left w:val="nil"/>
              <w:right w:val="single" w:color="auto" w:sz="4" w:space="0"/>
            </w:tcBorders>
            <w:noWrap/>
            <w:vAlign w:val="center"/>
          </w:tcPr>
          <w:p w14:paraId="2F509050">
            <w:pPr>
              <w:spacing w:line="240" w:lineRule="atLeast"/>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配套支持</w:t>
            </w:r>
          </w:p>
          <w:p w14:paraId="2C887220">
            <w:pPr>
              <w:spacing w:line="240" w:lineRule="atLeast"/>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（10分）</w:t>
            </w:r>
          </w:p>
        </w:tc>
        <w:tc>
          <w:tcPr>
            <w:tcW w:w="5454" w:type="dxa"/>
            <w:tcBorders>
              <w:top w:val="single" w:color="auto" w:sz="4" w:space="0"/>
              <w:left w:val="nil"/>
              <w:bottom w:val="single" w:color="auto" w:sz="4" w:space="0"/>
              <w:right w:val="single" w:color="auto" w:sz="4" w:space="0"/>
            </w:tcBorders>
            <w:noWrap/>
            <w:vAlign w:val="bottom"/>
          </w:tcPr>
          <w:p w14:paraId="64504C3E">
            <w:pPr>
              <w:widowControl/>
              <w:adjustRightInd w:val="0"/>
              <w:snapToGrid w:val="0"/>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活动现场的组织是否严密有序，消防、安保和应急措施等是否精准实用</w:t>
            </w:r>
          </w:p>
        </w:tc>
        <w:tc>
          <w:tcPr>
            <w:tcW w:w="1050" w:type="dxa"/>
            <w:tcBorders>
              <w:top w:val="single" w:color="auto" w:sz="4" w:space="0"/>
              <w:left w:val="nil"/>
              <w:bottom w:val="single" w:color="auto" w:sz="4" w:space="0"/>
              <w:right w:val="single" w:color="auto" w:sz="4" w:space="0"/>
            </w:tcBorders>
            <w:noWrap/>
            <w:vAlign w:val="bottom"/>
          </w:tcPr>
          <w:p w14:paraId="5441CFAC">
            <w:pPr>
              <w:widowControl/>
              <w:adjustRightInd w:val="0"/>
              <w:snapToGrid w:val="0"/>
              <w:jc w:val="center"/>
              <w:rPr>
                <w:rFonts w:ascii="宋体" w:hAnsi="宋体" w:eastAsia="宋体" w:cs="宋体"/>
                <w:color w:val="000000"/>
                <w:kern w:val="0"/>
                <w:sz w:val="18"/>
                <w:szCs w:val="18"/>
              </w:rPr>
            </w:pPr>
            <w:r>
              <w:rPr>
                <w:rFonts w:hint="eastAsia" w:ascii="宋体" w:hAnsi="宋体" w:cs="宋体"/>
                <w:color w:val="000000"/>
                <w:kern w:val="0"/>
                <w:sz w:val="18"/>
                <w:szCs w:val="18"/>
              </w:rPr>
              <w:t>4</w:t>
            </w:r>
          </w:p>
        </w:tc>
      </w:tr>
      <w:tr w14:paraId="513FAE57">
        <w:tblPrEx>
          <w:tblCellMar>
            <w:top w:w="0" w:type="dxa"/>
            <w:left w:w="108" w:type="dxa"/>
            <w:bottom w:w="0" w:type="dxa"/>
            <w:right w:w="108" w:type="dxa"/>
          </w:tblCellMar>
        </w:tblPrEx>
        <w:trPr>
          <w:trHeight w:val="349" w:hRule="atLeast"/>
        </w:trPr>
        <w:tc>
          <w:tcPr>
            <w:tcW w:w="1176" w:type="dxa"/>
            <w:vMerge w:val="continue"/>
            <w:tcBorders>
              <w:left w:val="single" w:color="auto" w:sz="4" w:space="0"/>
              <w:right w:val="single" w:color="auto" w:sz="4" w:space="0"/>
            </w:tcBorders>
            <w:vAlign w:val="center"/>
          </w:tcPr>
          <w:p w14:paraId="6974580B">
            <w:pPr>
              <w:spacing w:line="240" w:lineRule="atLeast"/>
              <w:jc w:val="center"/>
              <w:rPr>
                <w:rFonts w:ascii="宋体" w:hAnsi="宋体" w:eastAsia="宋体" w:cs="宋体"/>
                <w:color w:val="000000"/>
                <w:kern w:val="0"/>
                <w:sz w:val="18"/>
                <w:szCs w:val="18"/>
              </w:rPr>
            </w:pPr>
          </w:p>
        </w:tc>
        <w:tc>
          <w:tcPr>
            <w:tcW w:w="1167" w:type="dxa"/>
            <w:vMerge w:val="continue"/>
            <w:tcBorders>
              <w:top w:val="single" w:color="auto" w:sz="4" w:space="0"/>
              <w:left w:val="nil"/>
              <w:right w:val="single" w:color="auto" w:sz="4" w:space="0"/>
            </w:tcBorders>
            <w:noWrap/>
            <w:vAlign w:val="center"/>
          </w:tcPr>
          <w:p w14:paraId="14D7B91C">
            <w:pPr>
              <w:spacing w:line="240" w:lineRule="atLeast"/>
              <w:jc w:val="center"/>
              <w:rPr>
                <w:rFonts w:ascii="宋体" w:hAnsi="宋体" w:eastAsia="宋体" w:cs="宋体"/>
                <w:color w:val="000000"/>
                <w:kern w:val="0"/>
                <w:sz w:val="18"/>
                <w:szCs w:val="18"/>
              </w:rPr>
            </w:pPr>
          </w:p>
        </w:tc>
        <w:tc>
          <w:tcPr>
            <w:tcW w:w="5454" w:type="dxa"/>
            <w:tcBorders>
              <w:top w:val="single" w:color="auto" w:sz="4" w:space="0"/>
              <w:left w:val="nil"/>
              <w:bottom w:val="single" w:color="auto" w:sz="4" w:space="0"/>
              <w:right w:val="single" w:color="auto" w:sz="4" w:space="0"/>
            </w:tcBorders>
            <w:noWrap/>
            <w:vAlign w:val="bottom"/>
          </w:tcPr>
          <w:p w14:paraId="5CFCA2BC">
            <w:pPr>
              <w:widowControl/>
              <w:adjustRightInd w:val="0"/>
              <w:snapToGrid w:val="0"/>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活动场所供水、供电、通信、医疗急救、卫生、餐饮、住宿、交通等保障措施是否能落实到位</w:t>
            </w:r>
          </w:p>
        </w:tc>
        <w:tc>
          <w:tcPr>
            <w:tcW w:w="1050" w:type="dxa"/>
            <w:tcBorders>
              <w:top w:val="single" w:color="auto" w:sz="4" w:space="0"/>
              <w:left w:val="nil"/>
              <w:bottom w:val="single" w:color="auto" w:sz="4" w:space="0"/>
              <w:right w:val="single" w:color="auto" w:sz="4" w:space="0"/>
            </w:tcBorders>
            <w:noWrap/>
            <w:vAlign w:val="bottom"/>
          </w:tcPr>
          <w:p w14:paraId="74DD9A17">
            <w:pPr>
              <w:widowControl/>
              <w:adjustRightInd w:val="0"/>
              <w:snapToGrid w:val="0"/>
              <w:jc w:val="center"/>
              <w:rPr>
                <w:rFonts w:ascii="宋体" w:hAnsi="宋体" w:eastAsia="宋体" w:cs="宋体"/>
                <w:color w:val="000000"/>
                <w:kern w:val="0"/>
                <w:sz w:val="18"/>
                <w:szCs w:val="18"/>
              </w:rPr>
            </w:pPr>
            <w:r>
              <w:rPr>
                <w:rFonts w:hint="eastAsia" w:ascii="宋体" w:hAnsi="宋体" w:cs="宋体"/>
                <w:color w:val="000000"/>
                <w:kern w:val="0"/>
                <w:sz w:val="18"/>
                <w:szCs w:val="18"/>
              </w:rPr>
              <w:t>3</w:t>
            </w:r>
          </w:p>
        </w:tc>
      </w:tr>
      <w:tr w14:paraId="4F71A40D">
        <w:tblPrEx>
          <w:tblCellMar>
            <w:top w:w="0" w:type="dxa"/>
            <w:left w:w="108" w:type="dxa"/>
            <w:bottom w:w="0" w:type="dxa"/>
            <w:right w:w="108" w:type="dxa"/>
          </w:tblCellMar>
        </w:tblPrEx>
        <w:trPr>
          <w:trHeight w:val="270" w:hRule="atLeast"/>
        </w:trPr>
        <w:tc>
          <w:tcPr>
            <w:tcW w:w="1176" w:type="dxa"/>
            <w:vMerge w:val="continue"/>
            <w:tcBorders>
              <w:left w:val="single" w:color="auto" w:sz="4" w:space="0"/>
              <w:bottom w:val="single" w:color="auto" w:sz="4" w:space="0"/>
              <w:right w:val="single" w:color="auto" w:sz="4" w:space="0"/>
            </w:tcBorders>
            <w:vAlign w:val="center"/>
          </w:tcPr>
          <w:p w14:paraId="75395796">
            <w:pPr>
              <w:widowControl/>
              <w:spacing w:line="240" w:lineRule="atLeast"/>
              <w:jc w:val="center"/>
              <w:rPr>
                <w:rFonts w:ascii="宋体" w:hAnsi="宋体" w:eastAsia="宋体" w:cs="宋体"/>
                <w:color w:val="000000"/>
                <w:kern w:val="0"/>
                <w:sz w:val="18"/>
                <w:szCs w:val="18"/>
              </w:rPr>
            </w:pPr>
          </w:p>
        </w:tc>
        <w:tc>
          <w:tcPr>
            <w:tcW w:w="1167" w:type="dxa"/>
            <w:vMerge w:val="continue"/>
            <w:tcBorders>
              <w:top w:val="single" w:color="auto" w:sz="4" w:space="0"/>
              <w:left w:val="nil"/>
              <w:bottom w:val="single" w:color="auto" w:sz="4" w:space="0"/>
              <w:right w:val="single" w:color="auto" w:sz="4" w:space="0"/>
            </w:tcBorders>
            <w:noWrap/>
            <w:vAlign w:val="center"/>
          </w:tcPr>
          <w:p w14:paraId="4FA8EE3A">
            <w:pPr>
              <w:widowControl/>
              <w:spacing w:line="240" w:lineRule="atLeast"/>
              <w:jc w:val="center"/>
              <w:rPr>
                <w:rFonts w:ascii="宋体" w:hAnsi="宋体" w:eastAsia="宋体" w:cs="宋体"/>
                <w:color w:val="000000"/>
                <w:kern w:val="0"/>
                <w:sz w:val="18"/>
                <w:szCs w:val="18"/>
              </w:rPr>
            </w:pPr>
          </w:p>
        </w:tc>
        <w:tc>
          <w:tcPr>
            <w:tcW w:w="5454" w:type="dxa"/>
            <w:tcBorders>
              <w:top w:val="nil"/>
              <w:left w:val="nil"/>
              <w:bottom w:val="single" w:color="auto" w:sz="4" w:space="0"/>
              <w:right w:val="single" w:color="auto" w:sz="4" w:space="0"/>
            </w:tcBorders>
            <w:noWrap/>
            <w:vAlign w:val="bottom"/>
          </w:tcPr>
          <w:p w14:paraId="42F5799D">
            <w:pPr>
              <w:widowControl/>
              <w:adjustRightInd w:val="0"/>
              <w:snapToGrid w:val="0"/>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活动举办方对外联络协调是否顺畅</w:t>
            </w:r>
          </w:p>
        </w:tc>
        <w:tc>
          <w:tcPr>
            <w:tcW w:w="1050" w:type="dxa"/>
            <w:tcBorders>
              <w:top w:val="nil"/>
              <w:left w:val="nil"/>
              <w:bottom w:val="single" w:color="auto" w:sz="4" w:space="0"/>
              <w:right w:val="single" w:color="auto" w:sz="4" w:space="0"/>
            </w:tcBorders>
            <w:noWrap/>
            <w:vAlign w:val="bottom"/>
          </w:tcPr>
          <w:p w14:paraId="30338550">
            <w:pPr>
              <w:widowControl/>
              <w:adjustRightInd w:val="0"/>
              <w:snapToGrid w:val="0"/>
              <w:jc w:val="center"/>
              <w:rPr>
                <w:rFonts w:ascii="宋体" w:hAnsi="宋体" w:eastAsia="宋体" w:cs="宋体"/>
                <w:color w:val="000000"/>
                <w:kern w:val="0"/>
                <w:sz w:val="18"/>
                <w:szCs w:val="18"/>
              </w:rPr>
            </w:pPr>
            <w:r>
              <w:rPr>
                <w:rFonts w:hint="eastAsia" w:ascii="宋体" w:hAnsi="宋体" w:cs="宋体"/>
                <w:color w:val="000000"/>
                <w:kern w:val="0"/>
                <w:sz w:val="18"/>
                <w:szCs w:val="18"/>
              </w:rPr>
              <w:t>3</w:t>
            </w:r>
          </w:p>
        </w:tc>
      </w:tr>
      <w:tr w14:paraId="58726A5C">
        <w:tblPrEx>
          <w:tblCellMar>
            <w:top w:w="0" w:type="dxa"/>
            <w:left w:w="108" w:type="dxa"/>
            <w:bottom w:w="0" w:type="dxa"/>
            <w:right w:w="108" w:type="dxa"/>
          </w:tblCellMar>
        </w:tblPrEx>
        <w:trPr>
          <w:trHeight w:val="270" w:hRule="atLeast"/>
        </w:trPr>
        <w:tc>
          <w:tcPr>
            <w:tcW w:w="1176" w:type="dxa"/>
            <w:vMerge w:val="restart"/>
            <w:tcBorders>
              <w:top w:val="single" w:color="auto" w:sz="4" w:space="0"/>
              <w:left w:val="single" w:color="auto" w:sz="4" w:space="0"/>
              <w:right w:val="single" w:color="auto" w:sz="4" w:space="0"/>
            </w:tcBorders>
            <w:vAlign w:val="center"/>
          </w:tcPr>
          <w:p w14:paraId="43C031E0">
            <w:pPr>
              <w:widowControl/>
              <w:spacing w:line="240" w:lineRule="atLeast"/>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可控性</w:t>
            </w:r>
          </w:p>
          <w:p w14:paraId="71F18144">
            <w:pPr>
              <w:widowControl/>
              <w:spacing w:line="240" w:lineRule="atLeast"/>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（50分）</w:t>
            </w:r>
          </w:p>
        </w:tc>
        <w:tc>
          <w:tcPr>
            <w:tcW w:w="1167" w:type="dxa"/>
            <w:vMerge w:val="restart"/>
            <w:tcBorders>
              <w:top w:val="single" w:color="auto" w:sz="4" w:space="0"/>
              <w:left w:val="nil"/>
              <w:right w:val="single" w:color="auto" w:sz="4" w:space="0"/>
            </w:tcBorders>
            <w:noWrap/>
            <w:vAlign w:val="center"/>
          </w:tcPr>
          <w:p w14:paraId="4B9F722F">
            <w:pPr>
              <w:spacing w:line="240" w:lineRule="atLeast"/>
              <w:rPr>
                <w:rFonts w:ascii="宋体" w:hAnsi="宋体" w:eastAsia="宋体" w:cs="宋体"/>
                <w:color w:val="000000"/>
                <w:kern w:val="0"/>
                <w:sz w:val="18"/>
                <w:szCs w:val="18"/>
              </w:rPr>
            </w:pPr>
            <w:r>
              <w:rPr>
                <w:rFonts w:hint="eastAsia" w:ascii="宋体" w:hAnsi="宋体" w:eastAsia="宋体" w:cs="宋体"/>
                <w:color w:val="000000"/>
                <w:kern w:val="0"/>
                <w:sz w:val="18"/>
                <w:szCs w:val="18"/>
              </w:rPr>
              <w:t>风险防范</w:t>
            </w:r>
          </w:p>
          <w:p w14:paraId="2C031FD5">
            <w:pPr>
              <w:widowControl/>
              <w:spacing w:line="240" w:lineRule="atLeast"/>
              <w:rPr>
                <w:rFonts w:ascii="宋体" w:hAnsi="宋体" w:eastAsia="宋体" w:cs="宋体"/>
                <w:color w:val="000000"/>
                <w:kern w:val="0"/>
                <w:sz w:val="18"/>
                <w:szCs w:val="18"/>
              </w:rPr>
            </w:pPr>
            <w:r>
              <w:rPr>
                <w:rFonts w:hint="eastAsia" w:ascii="宋体" w:hAnsi="宋体" w:eastAsia="宋体" w:cs="宋体"/>
                <w:color w:val="000000"/>
                <w:kern w:val="0"/>
                <w:sz w:val="18"/>
                <w:szCs w:val="18"/>
              </w:rPr>
              <w:t>（20分）</w:t>
            </w:r>
          </w:p>
        </w:tc>
        <w:tc>
          <w:tcPr>
            <w:tcW w:w="5454" w:type="dxa"/>
            <w:tcBorders>
              <w:top w:val="nil"/>
              <w:left w:val="nil"/>
              <w:bottom w:val="single" w:color="auto" w:sz="4" w:space="0"/>
              <w:right w:val="single" w:color="auto" w:sz="4" w:space="0"/>
            </w:tcBorders>
            <w:noWrap/>
            <w:vAlign w:val="bottom"/>
          </w:tcPr>
          <w:p w14:paraId="4E020001">
            <w:pPr>
              <w:widowControl/>
              <w:adjustRightInd w:val="0"/>
              <w:snapToGrid w:val="0"/>
              <w:spacing w:line="240" w:lineRule="exact"/>
              <w:jc w:val="left"/>
              <w:rPr>
                <w:rFonts w:ascii="宋体" w:hAnsi="宋体" w:cs="宋体"/>
                <w:color w:val="000000"/>
                <w:kern w:val="0"/>
                <w:sz w:val="18"/>
                <w:szCs w:val="18"/>
              </w:rPr>
            </w:pPr>
            <w:r>
              <w:rPr>
                <w:rFonts w:hint="eastAsia" w:ascii="宋体" w:hAnsi="宋体" w:eastAsia="宋体" w:cs="宋体"/>
                <w:color w:val="000000"/>
                <w:kern w:val="0"/>
                <w:sz w:val="18"/>
                <w:szCs w:val="18"/>
              </w:rPr>
              <w:t>活动场所是否开展了安全风险排查</w:t>
            </w:r>
            <w:r>
              <w:rPr>
                <w:rFonts w:hint="eastAsia" w:ascii="宋体" w:hAnsi="宋体" w:cs="宋体"/>
                <w:color w:val="000000"/>
                <w:kern w:val="0"/>
                <w:sz w:val="18"/>
                <w:szCs w:val="18"/>
              </w:rPr>
              <w:t>，隐患</w:t>
            </w:r>
            <w:r>
              <w:rPr>
                <w:rFonts w:hint="eastAsia" w:ascii="宋体" w:hAnsi="宋体" w:eastAsia="宋体" w:cs="宋体"/>
                <w:color w:val="000000"/>
                <w:kern w:val="0"/>
                <w:sz w:val="18"/>
                <w:szCs w:val="18"/>
              </w:rPr>
              <w:t>整改</w:t>
            </w:r>
            <w:r>
              <w:rPr>
                <w:rFonts w:hint="eastAsia" w:ascii="宋体" w:hAnsi="宋体" w:cs="宋体"/>
                <w:color w:val="000000"/>
                <w:kern w:val="0"/>
                <w:sz w:val="18"/>
                <w:szCs w:val="18"/>
              </w:rPr>
              <w:t>是否</w:t>
            </w:r>
            <w:r>
              <w:rPr>
                <w:rFonts w:hint="eastAsia" w:ascii="宋体" w:hAnsi="宋体" w:eastAsia="宋体" w:cs="宋体"/>
                <w:color w:val="000000"/>
                <w:kern w:val="0"/>
                <w:sz w:val="18"/>
                <w:szCs w:val="18"/>
              </w:rPr>
              <w:t>符合相关安全要求</w:t>
            </w:r>
            <w:r>
              <w:rPr>
                <w:rFonts w:hint="eastAsia" w:ascii="宋体" w:hAnsi="宋体" w:cs="宋体"/>
                <w:color w:val="000000"/>
                <w:kern w:val="0"/>
                <w:sz w:val="18"/>
                <w:szCs w:val="18"/>
              </w:rPr>
              <w:sym w:font="Wingdings" w:char="F0B5"/>
            </w:r>
          </w:p>
        </w:tc>
        <w:tc>
          <w:tcPr>
            <w:tcW w:w="1050" w:type="dxa"/>
            <w:tcBorders>
              <w:top w:val="nil"/>
              <w:left w:val="nil"/>
              <w:bottom w:val="single" w:color="auto" w:sz="4" w:space="0"/>
              <w:right w:val="single" w:color="auto" w:sz="4" w:space="0"/>
            </w:tcBorders>
            <w:noWrap/>
            <w:vAlign w:val="bottom"/>
          </w:tcPr>
          <w:p w14:paraId="6BC36E5D">
            <w:pPr>
              <w:widowControl/>
              <w:adjustRightInd w:val="0"/>
              <w:snapToGrid w:val="0"/>
              <w:spacing w:line="240" w:lineRule="exact"/>
              <w:jc w:val="center"/>
              <w:rPr>
                <w:rFonts w:ascii="宋体" w:eastAsia="宋体"/>
                <w:color w:val="000000"/>
                <w:kern w:val="0"/>
                <w:sz w:val="18"/>
                <w:szCs w:val="18"/>
              </w:rPr>
            </w:pPr>
            <w:r>
              <w:rPr>
                <w:rFonts w:hint="eastAsia" w:ascii="宋体" w:eastAsia="宋体"/>
                <w:color w:val="000000"/>
                <w:kern w:val="0"/>
                <w:sz w:val="18"/>
                <w:szCs w:val="18"/>
              </w:rPr>
              <w:t>4</w:t>
            </w:r>
          </w:p>
        </w:tc>
      </w:tr>
      <w:tr w14:paraId="39B93439">
        <w:tblPrEx>
          <w:tblCellMar>
            <w:top w:w="0" w:type="dxa"/>
            <w:left w:w="108" w:type="dxa"/>
            <w:bottom w:w="0" w:type="dxa"/>
            <w:right w:w="108" w:type="dxa"/>
          </w:tblCellMar>
        </w:tblPrEx>
        <w:trPr>
          <w:trHeight w:val="270" w:hRule="atLeast"/>
        </w:trPr>
        <w:tc>
          <w:tcPr>
            <w:tcW w:w="1176" w:type="dxa"/>
            <w:vMerge w:val="continue"/>
            <w:tcBorders>
              <w:top w:val="single" w:color="auto" w:sz="4" w:space="0"/>
              <w:left w:val="single" w:color="auto" w:sz="4" w:space="0"/>
              <w:right w:val="single" w:color="auto" w:sz="4" w:space="0"/>
            </w:tcBorders>
            <w:vAlign w:val="center"/>
          </w:tcPr>
          <w:p w14:paraId="25B34DBD">
            <w:pPr>
              <w:widowControl/>
              <w:spacing w:line="240" w:lineRule="atLeast"/>
              <w:jc w:val="center"/>
              <w:rPr>
                <w:rFonts w:ascii="宋体" w:hAnsi="宋体" w:eastAsia="宋体" w:cs="宋体"/>
                <w:color w:val="000000"/>
                <w:kern w:val="0"/>
                <w:sz w:val="18"/>
                <w:szCs w:val="18"/>
              </w:rPr>
            </w:pPr>
          </w:p>
        </w:tc>
        <w:tc>
          <w:tcPr>
            <w:tcW w:w="1167" w:type="dxa"/>
            <w:vMerge w:val="continue"/>
            <w:tcBorders>
              <w:top w:val="single" w:color="auto" w:sz="4" w:space="0"/>
              <w:left w:val="nil"/>
              <w:right w:val="single" w:color="auto" w:sz="4" w:space="0"/>
            </w:tcBorders>
            <w:noWrap/>
            <w:vAlign w:val="center"/>
          </w:tcPr>
          <w:p w14:paraId="3542A6DC">
            <w:pPr>
              <w:widowControl/>
              <w:spacing w:line="240" w:lineRule="atLeast"/>
              <w:rPr>
                <w:rFonts w:ascii="宋体" w:hAnsi="宋体" w:eastAsia="宋体" w:cs="宋体"/>
                <w:color w:val="000000"/>
                <w:kern w:val="0"/>
                <w:sz w:val="18"/>
                <w:szCs w:val="18"/>
              </w:rPr>
            </w:pPr>
          </w:p>
        </w:tc>
        <w:tc>
          <w:tcPr>
            <w:tcW w:w="5454" w:type="dxa"/>
            <w:tcBorders>
              <w:top w:val="nil"/>
              <w:left w:val="nil"/>
              <w:bottom w:val="single" w:color="auto" w:sz="4" w:space="0"/>
              <w:right w:val="single" w:color="auto" w:sz="4" w:space="0"/>
            </w:tcBorders>
            <w:noWrap/>
            <w:vAlign w:val="bottom"/>
          </w:tcPr>
          <w:p w14:paraId="6933931D">
            <w:pPr>
              <w:widowControl/>
              <w:adjustRightInd w:val="0"/>
              <w:snapToGrid w:val="0"/>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是否对活动场所及周边交通状况开展调研，并制定人员疏散、交通疏导措施</w:t>
            </w:r>
          </w:p>
        </w:tc>
        <w:tc>
          <w:tcPr>
            <w:tcW w:w="1050" w:type="dxa"/>
            <w:tcBorders>
              <w:top w:val="nil"/>
              <w:left w:val="nil"/>
              <w:bottom w:val="single" w:color="auto" w:sz="4" w:space="0"/>
              <w:right w:val="single" w:color="auto" w:sz="4" w:space="0"/>
            </w:tcBorders>
            <w:noWrap/>
            <w:vAlign w:val="bottom"/>
          </w:tcPr>
          <w:p w14:paraId="2A977411">
            <w:pPr>
              <w:widowControl/>
              <w:adjustRightInd w:val="0"/>
              <w:snapToGrid w:val="0"/>
              <w:spacing w:line="240" w:lineRule="exact"/>
              <w:jc w:val="center"/>
              <w:rPr>
                <w:rFonts w:ascii="宋体" w:hAnsi="宋体" w:eastAsia="宋体" w:cs="宋体"/>
                <w:color w:val="000000"/>
                <w:kern w:val="0"/>
                <w:sz w:val="18"/>
                <w:szCs w:val="18"/>
              </w:rPr>
            </w:pPr>
            <w:r>
              <w:rPr>
                <w:rFonts w:hint="eastAsia" w:ascii="宋体" w:hAnsi="宋体" w:cs="宋体"/>
                <w:color w:val="000000"/>
                <w:kern w:val="0"/>
                <w:sz w:val="18"/>
                <w:szCs w:val="18"/>
              </w:rPr>
              <w:t>4</w:t>
            </w:r>
          </w:p>
        </w:tc>
      </w:tr>
      <w:tr w14:paraId="58358AD0">
        <w:tblPrEx>
          <w:tblCellMar>
            <w:top w:w="0" w:type="dxa"/>
            <w:left w:w="108" w:type="dxa"/>
            <w:bottom w:w="0" w:type="dxa"/>
            <w:right w:w="108" w:type="dxa"/>
          </w:tblCellMar>
        </w:tblPrEx>
        <w:trPr>
          <w:trHeight w:val="270" w:hRule="atLeast"/>
        </w:trPr>
        <w:tc>
          <w:tcPr>
            <w:tcW w:w="1176" w:type="dxa"/>
            <w:vMerge w:val="continue"/>
            <w:tcBorders>
              <w:top w:val="single" w:color="auto" w:sz="4" w:space="0"/>
              <w:left w:val="single" w:color="auto" w:sz="4" w:space="0"/>
              <w:right w:val="single" w:color="auto" w:sz="4" w:space="0"/>
            </w:tcBorders>
            <w:vAlign w:val="center"/>
          </w:tcPr>
          <w:p w14:paraId="265ED728">
            <w:pPr>
              <w:widowControl/>
              <w:spacing w:line="240" w:lineRule="atLeast"/>
              <w:jc w:val="center"/>
              <w:rPr>
                <w:rFonts w:ascii="宋体" w:hAnsi="宋体" w:eastAsia="宋体" w:cs="宋体"/>
                <w:color w:val="000000"/>
                <w:kern w:val="0"/>
                <w:sz w:val="18"/>
                <w:szCs w:val="18"/>
              </w:rPr>
            </w:pPr>
          </w:p>
        </w:tc>
        <w:tc>
          <w:tcPr>
            <w:tcW w:w="1167" w:type="dxa"/>
            <w:vMerge w:val="continue"/>
            <w:tcBorders>
              <w:top w:val="single" w:color="auto" w:sz="4" w:space="0"/>
              <w:left w:val="nil"/>
              <w:right w:val="single" w:color="auto" w:sz="4" w:space="0"/>
            </w:tcBorders>
            <w:noWrap/>
            <w:vAlign w:val="center"/>
          </w:tcPr>
          <w:p w14:paraId="1A441C2D">
            <w:pPr>
              <w:widowControl/>
              <w:spacing w:line="240" w:lineRule="atLeast"/>
              <w:rPr>
                <w:rFonts w:ascii="宋体" w:hAnsi="宋体" w:eastAsia="宋体" w:cs="宋体"/>
                <w:color w:val="000000"/>
                <w:kern w:val="0"/>
                <w:sz w:val="18"/>
                <w:szCs w:val="18"/>
              </w:rPr>
            </w:pPr>
          </w:p>
        </w:tc>
        <w:tc>
          <w:tcPr>
            <w:tcW w:w="5454" w:type="dxa"/>
            <w:tcBorders>
              <w:top w:val="nil"/>
              <w:left w:val="nil"/>
              <w:bottom w:val="single" w:color="auto" w:sz="4" w:space="0"/>
              <w:right w:val="single" w:color="auto" w:sz="4" w:space="0"/>
            </w:tcBorders>
            <w:noWrap/>
            <w:vAlign w:val="bottom"/>
          </w:tcPr>
          <w:p w14:paraId="47AE5D4C">
            <w:pPr>
              <w:widowControl/>
              <w:adjustRightInd w:val="0"/>
              <w:snapToGrid w:val="0"/>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是否针对活动现场制定了防爆、防火、防踩踏、防骚乱措施</w:t>
            </w:r>
          </w:p>
        </w:tc>
        <w:tc>
          <w:tcPr>
            <w:tcW w:w="1050" w:type="dxa"/>
            <w:tcBorders>
              <w:top w:val="nil"/>
              <w:left w:val="nil"/>
              <w:bottom w:val="single" w:color="auto" w:sz="4" w:space="0"/>
              <w:right w:val="single" w:color="auto" w:sz="4" w:space="0"/>
            </w:tcBorders>
            <w:noWrap/>
            <w:vAlign w:val="bottom"/>
          </w:tcPr>
          <w:p w14:paraId="5FBE603D">
            <w:pPr>
              <w:widowControl/>
              <w:adjustRightInd w:val="0"/>
              <w:snapToGrid w:val="0"/>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3</w:t>
            </w:r>
          </w:p>
        </w:tc>
      </w:tr>
      <w:tr w14:paraId="1D6182AB">
        <w:tblPrEx>
          <w:tblCellMar>
            <w:top w:w="0" w:type="dxa"/>
            <w:left w:w="108" w:type="dxa"/>
            <w:bottom w:w="0" w:type="dxa"/>
            <w:right w:w="108" w:type="dxa"/>
          </w:tblCellMar>
        </w:tblPrEx>
        <w:trPr>
          <w:trHeight w:val="270" w:hRule="atLeast"/>
        </w:trPr>
        <w:tc>
          <w:tcPr>
            <w:tcW w:w="1176" w:type="dxa"/>
            <w:vMerge w:val="continue"/>
            <w:tcBorders>
              <w:top w:val="single" w:color="auto" w:sz="4" w:space="0"/>
              <w:left w:val="single" w:color="auto" w:sz="4" w:space="0"/>
              <w:right w:val="single" w:color="auto" w:sz="4" w:space="0"/>
            </w:tcBorders>
            <w:vAlign w:val="center"/>
          </w:tcPr>
          <w:p w14:paraId="4C78E71B">
            <w:pPr>
              <w:widowControl/>
              <w:spacing w:line="240" w:lineRule="atLeast"/>
              <w:jc w:val="center"/>
              <w:rPr>
                <w:rFonts w:ascii="宋体" w:hAnsi="宋体" w:eastAsia="宋体" w:cs="宋体"/>
                <w:color w:val="000000"/>
                <w:kern w:val="0"/>
                <w:sz w:val="18"/>
                <w:szCs w:val="18"/>
              </w:rPr>
            </w:pPr>
          </w:p>
        </w:tc>
        <w:tc>
          <w:tcPr>
            <w:tcW w:w="1167" w:type="dxa"/>
            <w:vMerge w:val="continue"/>
            <w:tcBorders>
              <w:top w:val="single" w:color="auto" w:sz="4" w:space="0"/>
              <w:left w:val="nil"/>
              <w:right w:val="single" w:color="auto" w:sz="4" w:space="0"/>
            </w:tcBorders>
            <w:noWrap/>
            <w:vAlign w:val="center"/>
          </w:tcPr>
          <w:p w14:paraId="5F7ACAEA">
            <w:pPr>
              <w:widowControl/>
              <w:spacing w:line="240" w:lineRule="atLeast"/>
              <w:rPr>
                <w:rFonts w:ascii="宋体" w:hAnsi="宋体" w:eastAsia="宋体" w:cs="宋体"/>
                <w:color w:val="000000"/>
                <w:kern w:val="0"/>
                <w:sz w:val="18"/>
                <w:szCs w:val="18"/>
              </w:rPr>
            </w:pPr>
          </w:p>
        </w:tc>
        <w:tc>
          <w:tcPr>
            <w:tcW w:w="5454" w:type="dxa"/>
            <w:tcBorders>
              <w:top w:val="nil"/>
              <w:left w:val="nil"/>
              <w:bottom w:val="single" w:color="auto" w:sz="4" w:space="0"/>
              <w:right w:val="single" w:color="auto" w:sz="4" w:space="0"/>
            </w:tcBorders>
            <w:noWrap/>
            <w:vAlign w:val="bottom"/>
          </w:tcPr>
          <w:p w14:paraId="23CB7293">
            <w:pPr>
              <w:widowControl/>
              <w:adjustRightInd w:val="0"/>
              <w:snapToGrid w:val="0"/>
              <w:spacing w:line="240" w:lineRule="exact"/>
              <w:jc w:val="left"/>
              <w:rPr>
                <w:rFonts w:ascii="宋体" w:hAnsi="宋体" w:cs="宋体"/>
                <w:color w:val="000000"/>
                <w:kern w:val="0"/>
                <w:sz w:val="18"/>
                <w:szCs w:val="18"/>
              </w:rPr>
            </w:pPr>
            <w:r>
              <w:rPr>
                <w:rFonts w:hint="eastAsia" w:ascii="宋体"/>
                <w:color w:val="000000"/>
                <w:kern w:val="0"/>
                <w:sz w:val="18"/>
                <w:szCs w:val="18"/>
              </w:rPr>
              <w:t>是否建立风险隐患工作台账、做到底数清</w:t>
            </w:r>
          </w:p>
        </w:tc>
        <w:tc>
          <w:tcPr>
            <w:tcW w:w="1050" w:type="dxa"/>
            <w:tcBorders>
              <w:top w:val="nil"/>
              <w:left w:val="nil"/>
              <w:bottom w:val="single" w:color="auto" w:sz="4" w:space="0"/>
              <w:right w:val="single" w:color="auto" w:sz="4" w:space="0"/>
            </w:tcBorders>
            <w:noWrap/>
            <w:vAlign w:val="bottom"/>
          </w:tcPr>
          <w:p w14:paraId="5AD4D5C8">
            <w:pPr>
              <w:widowControl/>
              <w:adjustRightInd w:val="0"/>
              <w:snapToGrid w:val="0"/>
              <w:spacing w:line="240" w:lineRule="exact"/>
              <w:jc w:val="center"/>
              <w:rPr>
                <w:rFonts w:ascii="宋体" w:eastAsia="宋体"/>
                <w:color w:val="000000"/>
                <w:kern w:val="0"/>
                <w:sz w:val="18"/>
                <w:szCs w:val="18"/>
              </w:rPr>
            </w:pPr>
            <w:r>
              <w:rPr>
                <w:rFonts w:hint="eastAsia" w:ascii="宋体" w:eastAsia="宋体"/>
                <w:color w:val="000000"/>
                <w:kern w:val="0"/>
                <w:sz w:val="18"/>
                <w:szCs w:val="18"/>
              </w:rPr>
              <w:t>2</w:t>
            </w:r>
          </w:p>
        </w:tc>
      </w:tr>
      <w:tr w14:paraId="6A802E5B">
        <w:tblPrEx>
          <w:tblCellMar>
            <w:top w:w="0" w:type="dxa"/>
            <w:left w:w="108" w:type="dxa"/>
            <w:bottom w:w="0" w:type="dxa"/>
            <w:right w:w="108" w:type="dxa"/>
          </w:tblCellMar>
        </w:tblPrEx>
        <w:trPr>
          <w:trHeight w:val="270" w:hRule="atLeast"/>
        </w:trPr>
        <w:tc>
          <w:tcPr>
            <w:tcW w:w="1176" w:type="dxa"/>
            <w:vMerge w:val="continue"/>
            <w:tcBorders>
              <w:top w:val="single" w:color="auto" w:sz="4" w:space="0"/>
              <w:left w:val="single" w:color="auto" w:sz="4" w:space="0"/>
              <w:right w:val="single" w:color="auto" w:sz="4" w:space="0"/>
            </w:tcBorders>
            <w:vAlign w:val="center"/>
          </w:tcPr>
          <w:p w14:paraId="16135D41">
            <w:pPr>
              <w:widowControl/>
              <w:spacing w:line="240" w:lineRule="atLeast"/>
              <w:jc w:val="center"/>
              <w:rPr>
                <w:rFonts w:ascii="宋体" w:hAnsi="宋体" w:eastAsia="宋体" w:cs="宋体"/>
                <w:color w:val="000000"/>
                <w:kern w:val="0"/>
                <w:sz w:val="18"/>
                <w:szCs w:val="18"/>
              </w:rPr>
            </w:pPr>
          </w:p>
        </w:tc>
        <w:tc>
          <w:tcPr>
            <w:tcW w:w="1167" w:type="dxa"/>
            <w:vMerge w:val="continue"/>
            <w:tcBorders>
              <w:top w:val="single" w:color="auto" w:sz="4" w:space="0"/>
              <w:left w:val="nil"/>
              <w:right w:val="single" w:color="auto" w:sz="4" w:space="0"/>
            </w:tcBorders>
            <w:noWrap/>
            <w:vAlign w:val="center"/>
          </w:tcPr>
          <w:p w14:paraId="7C36B7D0">
            <w:pPr>
              <w:widowControl/>
              <w:spacing w:line="240" w:lineRule="atLeast"/>
              <w:rPr>
                <w:rFonts w:ascii="宋体" w:hAnsi="宋体" w:eastAsia="宋体" w:cs="宋体"/>
                <w:color w:val="000000"/>
                <w:kern w:val="0"/>
                <w:sz w:val="18"/>
                <w:szCs w:val="18"/>
              </w:rPr>
            </w:pPr>
          </w:p>
        </w:tc>
        <w:tc>
          <w:tcPr>
            <w:tcW w:w="5454" w:type="dxa"/>
            <w:tcBorders>
              <w:top w:val="nil"/>
              <w:left w:val="nil"/>
              <w:bottom w:val="single" w:color="auto" w:sz="4" w:space="0"/>
              <w:right w:val="single" w:color="auto" w:sz="4" w:space="0"/>
            </w:tcBorders>
            <w:noWrap/>
            <w:vAlign w:val="bottom"/>
          </w:tcPr>
          <w:p w14:paraId="421C0874">
            <w:pPr>
              <w:widowControl/>
              <w:adjustRightInd w:val="0"/>
              <w:snapToGrid w:val="0"/>
              <w:spacing w:line="240" w:lineRule="exact"/>
              <w:jc w:val="left"/>
              <w:rPr>
                <w:rFonts w:ascii="宋体"/>
                <w:color w:val="000000"/>
                <w:kern w:val="0"/>
                <w:sz w:val="18"/>
                <w:szCs w:val="18"/>
              </w:rPr>
            </w:pPr>
            <w:r>
              <w:rPr>
                <w:rFonts w:hint="eastAsia" w:ascii="宋体"/>
                <w:color w:val="000000"/>
                <w:kern w:val="0"/>
                <w:sz w:val="18"/>
                <w:szCs w:val="18"/>
              </w:rPr>
              <w:t>是否对参与活动人员群体进行了分析</w:t>
            </w:r>
          </w:p>
        </w:tc>
        <w:tc>
          <w:tcPr>
            <w:tcW w:w="1050" w:type="dxa"/>
            <w:tcBorders>
              <w:top w:val="nil"/>
              <w:left w:val="nil"/>
              <w:bottom w:val="single" w:color="auto" w:sz="4" w:space="0"/>
              <w:right w:val="single" w:color="auto" w:sz="4" w:space="0"/>
            </w:tcBorders>
            <w:noWrap/>
            <w:vAlign w:val="bottom"/>
          </w:tcPr>
          <w:p w14:paraId="585F912C">
            <w:pPr>
              <w:widowControl/>
              <w:adjustRightInd w:val="0"/>
              <w:snapToGrid w:val="0"/>
              <w:spacing w:line="240" w:lineRule="exact"/>
              <w:jc w:val="center"/>
              <w:rPr>
                <w:rFonts w:ascii="宋体"/>
                <w:color w:val="000000"/>
                <w:kern w:val="0"/>
                <w:sz w:val="18"/>
                <w:szCs w:val="18"/>
              </w:rPr>
            </w:pPr>
            <w:r>
              <w:rPr>
                <w:rFonts w:hint="eastAsia" w:ascii="宋体"/>
                <w:color w:val="000000"/>
                <w:kern w:val="0"/>
                <w:sz w:val="18"/>
                <w:szCs w:val="18"/>
              </w:rPr>
              <w:t>2</w:t>
            </w:r>
          </w:p>
        </w:tc>
      </w:tr>
      <w:tr w14:paraId="29FFD5CB">
        <w:tblPrEx>
          <w:tblCellMar>
            <w:top w:w="0" w:type="dxa"/>
            <w:left w:w="108" w:type="dxa"/>
            <w:bottom w:w="0" w:type="dxa"/>
            <w:right w:w="108" w:type="dxa"/>
          </w:tblCellMar>
        </w:tblPrEx>
        <w:trPr>
          <w:trHeight w:val="270" w:hRule="atLeast"/>
        </w:trPr>
        <w:tc>
          <w:tcPr>
            <w:tcW w:w="1176" w:type="dxa"/>
            <w:vMerge w:val="continue"/>
            <w:tcBorders>
              <w:top w:val="single" w:color="auto" w:sz="4" w:space="0"/>
              <w:left w:val="single" w:color="auto" w:sz="4" w:space="0"/>
              <w:right w:val="single" w:color="auto" w:sz="4" w:space="0"/>
            </w:tcBorders>
            <w:vAlign w:val="center"/>
          </w:tcPr>
          <w:p w14:paraId="28380135">
            <w:pPr>
              <w:widowControl/>
              <w:spacing w:line="240" w:lineRule="atLeast"/>
              <w:jc w:val="center"/>
              <w:rPr>
                <w:rFonts w:ascii="宋体" w:hAnsi="宋体" w:eastAsia="宋体" w:cs="宋体"/>
                <w:color w:val="000000"/>
                <w:kern w:val="0"/>
                <w:sz w:val="18"/>
                <w:szCs w:val="18"/>
              </w:rPr>
            </w:pPr>
          </w:p>
        </w:tc>
        <w:tc>
          <w:tcPr>
            <w:tcW w:w="1167" w:type="dxa"/>
            <w:vMerge w:val="continue"/>
            <w:tcBorders>
              <w:top w:val="single" w:color="auto" w:sz="4" w:space="0"/>
              <w:left w:val="nil"/>
              <w:right w:val="single" w:color="auto" w:sz="4" w:space="0"/>
            </w:tcBorders>
            <w:noWrap/>
            <w:vAlign w:val="center"/>
          </w:tcPr>
          <w:p w14:paraId="7BA1C88C">
            <w:pPr>
              <w:widowControl/>
              <w:spacing w:line="240" w:lineRule="atLeast"/>
              <w:rPr>
                <w:rFonts w:ascii="宋体" w:hAnsi="宋体" w:eastAsia="宋体" w:cs="宋体"/>
                <w:color w:val="000000"/>
                <w:kern w:val="0"/>
                <w:sz w:val="18"/>
                <w:szCs w:val="18"/>
              </w:rPr>
            </w:pPr>
          </w:p>
        </w:tc>
        <w:tc>
          <w:tcPr>
            <w:tcW w:w="5454" w:type="dxa"/>
            <w:tcBorders>
              <w:top w:val="nil"/>
              <w:left w:val="nil"/>
              <w:bottom w:val="single" w:color="auto" w:sz="4" w:space="0"/>
              <w:right w:val="single" w:color="auto" w:sz="4" w:space="0"/>
            </w:tcBorders>
            <w:noWrap/>
            <w:vAlign w:val="bottom"/>
          </w:tcPr>
          <w:p w14:paraId="0EC931D5">
            <w:pPr>
              <w:widowControl/>
              <w:adjustRightInd w:val="0"/>
              <w:snapToGrid w:val="0"/>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风险防范化解措施是否详实完整</w:t>
            </w:r>
          </w:p>
        </w:tc>
        <w:tc>
          <w:tcPr>
            <w:tcW w:w="1050" w:type="dxa"/>
            <w:tcBorders>
              <w:top w:val="nil"/>
              <w:left w:val="nil"/>
              <w:bottom w:val="single" w:color="auto" w:sz="4" w:space="0"/>
              <w:right w:val="single" w:color="auto" w:sz="4" w:space="0"/>
            </w:tcBorders>
            <w:noWrap/>
            <w:vAlign w:val="bottom"/>
          </w:tcPr>
          <w:p w14:paraId="42D0A61A">
            <w:pPr>
              <w:widowControl/>
              <w:adjustRightInd w:val="0"/>
              <w:snapToGrid w:val="0"/>
              <w:spacing w:line="240" w:lineRule="exact"/>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2</w:t>
            </w:r>
          </w:p>
        </w:tc>
      </w:tr>
      <w:tr w14:paraId="108E04D9">
        <w:tblPrEx>
          <w:tblCellMar>
            <w:top w:w="0" w:type="dxa"/>
            <w:left w:w="108" w:type="dxa"/>
            <w:bottom w:w="0" w:type="dxa"/>
            <w:right w:w="108" w:type="dxa"/>
          </w:tblCellMar>
        </w:tblPrEx>
        <w:trPr>
          <w:trHeight w:val="270" w:hRule="atLeast"/>
        </w:trPr>
        <w:tc>
          <w:tcPr>
            <w:tcW w:w="1176" w:type="dxa"/>
            <w:vMerge w:val="continue"/>
            <w:tcBorders>
              <w:left w:val="single" w:color="auto" w:sz="4" w:space="0"/>
              <w:right w:val="single" w:color="auto" w:sz="4" w:space="0"/>
            </w:tcBorders>
            <w:vAlign w:val="center"/>
          </w:tcPr>
          <w:p w14:paraId="041EB8EF">
            <w:pPr>
              <w:spacing w:line="240" w:lineRule="atLeast"/>
              <w:jc w:val="center"/>
              <w:rPr>
                <w:rFonts w:ascii="宋体" w:hAnsi="宋体" w:eastAsia="宋体" w:cs="宋体"/>
                <w:color w:val="000000"/>
                <w:kern w:val="0"/>
                <w:sz w:val="18"/>
                <w:szCs w:val="18"/>
              </w:rPr>
            </w:pPr>
          </w:p>
        </w:tc>
        <w:tc>
          <w:tcPr>
            <w:tcW w:w="1167" w:type="dxa"/>
            <w:vMerge w:val="continue"/>
            <w:tcBorders>
              <w:top w:val="single" w:color="auto" w:sz="4" w:space="0"/>
              <w:left w:val="nil"/>
              <w:right w:val="single" w:color="auto" w:sz="4" w:space="0"/>
            </w:tcBorders>
            <w:noWrap/>
            <w:vAlign w:val="center"/>
          </w:tcPr>
          <w:p w14:paraId="360EC110">
            <w:pPr>
              <w:spacing w:line="240" w:lineRule="atLeast"/>
              <w:rPr>
                <w:rFonts w:ascii="宋体" w:hAnsi="宋体" w:eastAsia="宋体" w:cs="宋体"/>
                <w:color w:val="000000"/>
                <w:kern w:val="0"/>
                <w:sz w:val="18"/>
                <w:szCs w:val="18"/>
              </w:rPr>
            </w:pPr>
          </w:p>
        </w:tc>
        <w:tc>
          <w:tcPr>
            <w:tcW w:w="5454" w:type="dxa"/>
            <w:tcBorders>
              <w:top w:val="nil"/>
              <w:left w:val="nil"/>
              <w:bottom w:val="single" w:color="auto" w:sz="4" w:space="0"/>
              <w:right w:val="single" w:color="auto" w:sz="4" w:space="0"/>
            </w:tcBorders>
            <w:noWrap/>
            <w:vAlign w:val="bottom"/>
          </w:tcPr>
          <w:p w14:paraId="19428723">
            <w:pPr>
              <w:widowControl/>
              <w:adjustRightInd w:val="0"/>
              <w:snapToGrid w:val="0"/>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风险防范化解责任是否落实到人</w:t>
            </w:r>
          </w:p>
        </w:tc>
        <w:tc>
          <w:tcPr>
            <w:tcW w:w="1050" w:type="dxa"/>
            <w:tcBorders>
              <w:top w:val="nil"/>
              <w:left w:val="nil"/>
              <w:bottom w:val="single" w:color="auto" w:sz="4" w:space="0"/>
              <w:right w:val="single" w:color="auto" w:sz="4" w:space="0"/>
            </w:tcBorders>
            <w:noWrap/>
            <w:vAlign w:val="bottom"/>
          </w:tcPr>
          <w:p w14:paraId="327ABEB6">
            <w:pPr>
              <w:widowControl/>
              <w:adjustRightInd w:val="0"/>
              <w:snapToGrid w:val="0"/>
              <w:spacing w:line="240" w:lineRule="exact"/>
              <w:jc w:val="center"/>
              <w:rPr>
                <w:rFonts w:ascii="宋体" w:hAnsi="宋体" w:eastAsia="宋体" w:cs="宋体"/>
                <w:color w:val="000000"/>
                <w:kern w:val="0"/>
                <w:sz w:val="18"/>
                <w:szCs w:val="18"/>
              </w:rPr>
            </w:pPr>
            <w:r>
              <w:rPr>
                <w:rFonts w:hint="eastAsia" w:ascii="宋体" w:hAnsi="宋体" w:cs="宋体"/>
                <w:color w:val="000000"/>
                <w:kern w:val="0"/>
                <w:sz w:val="18"/>
                <w:szCs w:val="18"/>
              </w:rPr>
              <w:t>3</w:t>
            </w:r>
          </w:p>
        </w:tc>
      </w:tr>
      <w:tr w14:paraId="4259AC21">
        <w:tblPrEx>
          <w:tblCellMar>
            <w:top w:w="0" w:type="dxa"/>
            <w:left w:w="108" w:type="dxa"/>
            <w:bottom w:w="0" w:type="dxa"/>
            <w:right w:w="108" w:type="dxa"/>
          </w:tblCellMar>
        </w:tblPrEx>
        <w:trPr>
          <w:trHeight w:val="270" w:hRule="atLeast"/>
        </w:trPr>
        <w:tc>
          <w:tcPr>
            <w:tcW w:w="1176" w:type="dxa"/>
            <w:vMerge w:val="continue"/>
            <w:tcBorders>
              <w:left w:val="single" w:color="auto" w:sz="4" w:space="0"/>
              <w:right w:val="single" w:color="auto" w:sz="4" w:space="0"/>
            </w:tcBorders>
            <w:vAlign w:val="center"/>
          </w:tcPr>
          <w:p w14:paraId="0B616FFC">
            <w:pPr>
              <w:spacing w:line="240" w:lineRule="atLeast"/>
              <w:jc w:val="center"/>
              <w:rPr>
                <w:rFonts w:ascii="宋体" w:hAnsi="宋体" w:eastAsia="宋体" w:cs="宋体"/>
                <w:color w:val="000000"/>
                <w:kern w:val="0"/>
                <w:sz w:val="18"/>
                <w:szCs w:val="18"/>
              </w:rPr>
            </w:pPr>
          </w:p>
        </w:tc>
        <w:tc>
          <w:tcPr>
            <w:tcW w:w="1167" w:type="dxa"/>
            <w:vMerge w:val="restart"/>
            <w:tcBorders>
              <w:top w:val="single" w:color="auto" w:sz="4" w:space="0"/>
              <w:left w:val="nil"/>
              <w:right w:val="single" w:color="auto" w:sz="4" w:space="0"/>
            </w:tcBorders>
            <w:noWrap/>
            <w:vAlign w:val="center"/>
          </w:tcPr>
          <w:p w14:paraId="151AA2E3">
            <w:pPr>
              <w:widowControl/>
              <w:spacing w:line="240" w:lineRule="atLeast"/>
              <w:rPr>
                <w:rFonts w:ascii="宋体" w:hAnsi="宋体" w:eastAsia="宋体" w:cs="宋体"/>
                <w:color w:val="000000"/>
                <w:kern w:val="0"/>
                <w:sz w:val="18"/>
                <w:szCs w:val="18"/>
              </w:rPr>
            </w:pPr>
          </w:p>
          <w:p w14:paraId="01EB8B3B">
            <w:pPr>
              <w:widowControl/>
              <w:spacing w:line="240" w:lineRule="atLeast"/>
              <w:rPr>
                <w:rFonts w:ascii="宋体" w:hAnsi="宋体" w:eastAsia="宋体" w:cs="宋体"/>
                <w:color w:val="000000"/>
                <w:kern w:val="0"/>
                <w:sz w:val="18"/>
                <w:szCs w:val="18"/>
              </w:rPr>
            </w:pPr>
            <w:r>
              <w:rPr>
                <w:rFonts w:hint="eastAsia" w:ascii="宋体" w:hAnsi="宋体" w:eastAsia="宋体" w:cs="宋体"/>
                <w:color w:val="000000"/>
                <w:kern w:val="0"/>
                <w:sz w:val="18"/>
                <w:szCs w:val="18"/>
              </w:rPr>
              <w:t>舆情引导</w:t>
            </w:r>
          </w:p>
          <w:p w14:paraId="3CB05373">
            <w:pPr>
              <w:widowControl/>
              <w:spacing w:line="240" w:lineRule="atLeast"/>
              <w:rPr>
                <w:rFonts w:ascii="宋体" w:hAnsi="宋体" w:eastAsia="宋体" w:cs="宋体"/>
                <w:color w:val="000000"/>
                <w:kern w:val="0"/>
                <w:sz w:val="18"/>
                <w:szCs w:val="18"/>
              </w:rPr>
            </w:pPr>
            <w:r>
              <w:rPr>
                <w:rFonts w:hint="eastAsia" w:ascii="宋体" w:hAnsi="宋体" w:eastAsia="宋体" w:cs="宋体"/>
                <w:color w:val="000000"/>
                <w:kern w:val="0"/>
                <w:sz w:val="18"/>
                <w:szCs w:val="18"/>
              </w:rPr>
              <w:t>（15分）</w:t>
            </w:r>
          </w:p>
          <w:p w14:paraId="04F36987">
            <w:pPr>
              <w:spacing w:line="240" w:lineRule="atLeast"/>
              <w:rPr>
                <w:rFonts w:ascii="宋体" w:hAnsi="宋体" w:eastAsia="宋体" w:cs="宋体"/>
                <w:color w:val="000000"/>
                <w:kern w:val="0"/>
                <w:sz w:val="18"/>
                <w:szCs w:val="18"/>
              </w:rPr>
            </w:pPr>
          </w:p>
        </w:tc>
        <w:tc>
          <w:tcPr>
            <w:tcW w:w="5454" w:type="dxa"/>
            <w:tcBorders>
              <w:top w:val="nil"/>
              <w:left w:val="nil"/>
              <w:bottom w:val="single" w:color="auto" w:sz="4" w:space="0"/>
              <w:right w:val="single" w:color="auto" w:sz="4" w:space="0"/>
            </w:tcBorders>
            <w:noWrap/>
            <w:vAlign w:val="bottom"/>
          </w:tcPr>
          <w:p w14:paraId="75A32BB0">
            <w:pPr>
              <w:widowControl/>
              <w:adjustRightInd w:val="0"/>
              <w:snapToGrid w:val="0"/>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政策宣传解释是否到位</w:t>
            </w:r>
          </w:p>
        </w:tc>
        <w:tc>
          <w:tcPr>
            <w:tcW w:w="1050" w:type="dxa"/>
            <w:tcBorders>
              <w:top w:val="nil"/>
              <w:left w:val="nil"/>
              <w:bottom w:val="single" w:color="auto" w:sz="4" w:space="0"/>
              <w:right w:val="single" w:color="auto" w:sz="4" w:space="0"/>
            </w:tcBorders>
            <w:noWrap/>
            <w:vAlign w:val="bottom"/>
          </w:tcPr>
          <w:p w14:paraId="5B4F6DAE">
            <w:pPr>
              <w:widowControl/>
              <w:adjustRightInd w:val="0"/>
              <w:snapToGrid w:val="0"/>
              <w:spacing w:line="240" w:lineRule="exact"/>
              <w:jc w:val="center"/>
              <w:rPr>
                <w:rFonts w:ascii="宋体" w:hAnsi="宋体" w:eastAsia="宋体" w:cs="宋体"/>
                <w:color w:val="000000"/>
                <w:kern w:val="0"/>
                <w:sz w:val="18"/>
                <w:szCs w:val="18"/>
              </w:rPr>
            </w:pPr>
            <w:r>
              <w:rPr>
                <w:rFonts w:hint="eastAsia" w:ascii="宋体" w:hAnsi="宋体" w:cs="宋体"/>
                <w:color w:val="000000"/>
                <w:kern w:val="0"/>
                <w:sz w:val="18"/>
                <w:szCs w:val="18"/>
              </w:rPr>
              <w:t>3</w:t>
            </w:r>
          </w:p>
        </w:tc>
      </w:tr>
      <w:tr w14:paraId="1D559A97">
        <w:tblPrEx>
          <w:tblCellMar>
            <w:top w:w="0" w:type="dxa"/>
            <w:left w:w="108" w:type="dxa"/>
            <w:bottom w:w="0" w:type="dxa"/>
            <w:right w:w="108" w:type="dxa"/>
          </w:tblCellMar>
        </w:tblPrEx>
        <w:trPr>
          <w:trHeight w:val="270" w:hRule="atLeast"/>
        </w:trPr>
        <w:tc>
          <w:tcPr>
            <w:tcW w:w="1176" w:type="dxa"/>
            <w:vMerge w:val="continue"/>
            <w:tcBorders>
              <w:left w:val="single" w:color="auto" w:sz="4" w:space="0"/>
              <w:right w:val="single" w:color="auto" w:sz="4" w:space="0"/>
            </w:tcBorders>
            <w:vAlign w:val="center"/>
          </w:tcPr>
          <w:p w14:paraId="5DCF4935">
            <w:pPr>
              <w:spacing w:line="240" w:lineRule="atLeast"/>
              <w:jc w:val="center"/>
              <w:rPr>
                <w:rFonts w:ascii="宋体" w:hAnsi="宋体" w:eastAsia="宋体" w:cs="宋体"/>
                <w:color w:val="000000"/>
                <w:kern w:val="0"/>
                <w:sz w:val="18"/>
                <w:szCs w:val="18"/>
              </w:rPr>
            </w:pPr>
          </w:p>
        </w:tc>
        <w:tc>
          <w:tcPr>
            <w:tcW w:w="1167" w:type="dxa"/>
            <w:vMerge w:val="continue"/>
            <w:tcBorders>
              <w:top w:val="single" w:color="auto" w:sz="4" w:space="0"/>
              <w:left w:val="nil"/>
              <w:right w:val="single" w:color="auto" w:sz="4" w:space="0"/>
            </w:tcBorders>
            <w:noWrap/>
            <w:vAlign w:val="center"/>
          </w:tcPr>
          <w:p w14:paraId="621DC181">
            <w:pPr>
              <w:widowControl/>
              <w:spacing w:line="240" w:lineRule="atLeast"/>
              <w:rPr>
                <w:rFonts w:ascii="宋体" w:hAnsi="宋体" w:eastAsia="宋体" w:cs="宋体"/>
                <w:color w:val="000000"/>
                <w:kern w:val="0"/>
                <w:sz w:val="18"/>
                <w:szCs w:val="18"/>
              </w:rPr>
            </w:pPr>
          </w:p>
        </w:tc>
        <w:tc>
          <w:tcPr>
            <w:tcW w:w="5454" w:type="dxa"/>
            <w:tcBorders>
              <w:top w:val="nil"/>
              <w:left w:val="nil"/>
              <w:bottom w:val="single" w:color="auto" w:sz="4" w:space="0"/>
              <w:right w:val="single" w:color="auto" w:sz="4" w:space="0"/>
            </w:tcBorders>
            <w:noWrap/>
            <w:vAlign w:val="bottom"/>
          </w:tcPr>
          <w:p w14:paraId="1C7DA023">
            <w:pPr>
              <w:widowControl/>
              <w:adjustRightInd w:val="0"/>
              <w:snapToGrid w:val="0"/>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活动场所周边居民是否存在反对声音，反对理由是否充分</w:t>
            </w:r>
          </w:p>
        </w:tc>
        <w:tc>
          <w:tcPr>
            <w:tcW w:w="1050" w:type="dxa"/>
            <w:tcBorders>
              <w:top w:val="nil"/>
              <w:left w:val="nil"/>
              <w:bottom w:val="single" w:color="auto" w:sz="4" w:space="0"/>
              <w:right w:val="single" w:color="auto" w:sz="4" w:space="0"/>
            </w:tcBorders>
            <w:noWrap/>
            <w:vAlign w:val="bottom"/>
          </w:tcPr>
          <w:p w14:paraId="714890FE">
            <w:pPr>
              <w:widowControl/>
              <w:adjustRightInd w:val="0"/>
              <w:snapToGrid w:val="0"/>
              <w:jc w:val="center"/>
              <w:rPr>
                <w:rFonts w:ascii="宋体" w:hAnsi="宋体" w:eastAsia="宋体" w:cs="宋体"/>
                <w:color w:val="000000"/>
                <w:kern w:val="0"/>
                <w:sz w:val="18"/>
                <w:szCs w:val="18"/>
              </w:rPr>
            </w:pPr>
            <w:r>
              <w:rPr>
                <w:rFonts w:hint="eastAsia" w:ascii="宋体" w:hAnsi="宋体" w:cs="宋体"/>
                <w:color w:val="000000"/>
                <w:kern w:val="0"/>
                <w:sz w:val="18"/>
                <w:szCs w:val="18"/>
              </w:rPr>
              <w:t>3</w:t>
            </w:r>
          </w:p>
        </w:tc>
      </w:tr>
      <w:tr w14:paraId="18A199AD">
        <w:tblPrEx>
          <w:tblCellMar>
            <w:top w:w="0" w:type="dxa"/>
            <w:left w:w="108" w:type="dxa"/>
            <w:bottom w:w="0" w:type="dxa"/>
            <w:right w:w="108" w:type="dxa"/>
          </w:tblCellMar>
        </w:tblPrEx>
        <w:trPr>
          <w:trHeight w:val="270" w:hRule="atLeast"/>
        </w:trPr>
        <w:tc>
          <w:tcPr>
            <w:tcW w:w="1176" w:type="dxa"/>
            <w:vMerge w:val="continue"/>
            <w:tcBorders>
              <w:left w:val="single" w:color="auto" w:sz="4" w:space="0"/>
              <w:right w:val="single" w:color="auto" w:sz="4" w:space="0"/>
            </w:tcBorders>
            <w:vAlign w:val="center"/>
          </w:tcPr>
          <w:p w14:paraId="07470279">
            <w:pPr>
              <w:spacing w:line="240" w:lineRule="atLeast"/>
              <w:jc w:val="center"/>
              <w:rPr>
                <w:rFonts w:ascii="宋体" w:hAnsi="宋体" w:eastAsia="宋体" w:cs="宋体"/>
                <w:color w:val="000000"/>
                <w:kern w:val="0"/>
                <w:sz w:val="18"/>
                <w:szCs w:val="18"/>
              </w:rPr>
            </w:pPr>
          </w:p>
        </w:tc>
        <w:tc>
          <w:tcPr>
            <w:tcW w:w="1167" w:type="dxa"/>
            <w:vMerge w:val="continue"/>
            <w:tcBorders>
              <w:top w:val="single" w:color="auto" w:sz="4" w:space="0"/>
              <w:left w:val="nil"/>
              <w:right w:val="single" w:color="auto" w:sz="4" w:space="0"/>
            </w:tcBorders>
            <w:noWrap/>
            <w:vAlign w:val="center"/>
          </w:tcPr>
          <w:p w14:paraId="1082F461">
            <w:pPr>
              <w:widowControl/>
              <w:spacing w:line="240" w:lineRule="atLeast"/>
              <w:rPr>
                <w:rFonts w:ascii="宋体" w:hAnsi="宋体" w:eastAsia="宋体" w:cs="宋体"/>
                <w:color w:val="000000"/>
                <w:kern w:val="0"/>
                <w:sz w:val="18"/>
                <w:szCs w:val="18"/>
              </w:rPr>
            </w:pPr>
          </w:p>
        </w:tc>
        <w:tc>
          <w:tcPr>
            <w:tcW w:w="5454" w:type="dxa"/>
            <w:tcBorders>
              <w:top w:val="nil"/>
              <w:left w:val="nil"/>
              <w:bottom w:val="single" w:color="auto" w:sz="4" w:space="0"/>
              <w:right w:val="single" w:color="auto" w:sz="4" w:space="0"/>
            </w:tcBorders>
            <w:noWrap/>
            <w:vAlign w:val="bottom"/>
          </w:tcPr>
          <w:p w14:paraId="673DD9E8">
            <w:pPr>
              <w:widowControl/>
              <w:adjustRightInd w:val="0"/>
              <w:snapToGrid w:val="0"/>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社会公众对活动举办是否广泛支持，是否存在负面舆论</w:t>
            </w:r>
          </w:p>
        </w:tc>
        <w:tc>
          <w:tcPr>
            <w:tcW w:w="1050" w:type="dxa"/>
            <w:tcBorders>
              <w:top w:val="nil"/>
              <w:left w:val="nil"/>
              <w:bottom w:val="single" w:color="auto" w:sz="4" w:space="0"/>
              <w:right w:val="single" w:color="auto" w:sz="4" w:space="0"/>
            </w:tcBorders>
            <w:noWrap/>
            <w:vAlign w:val="bottom"/>
          </w:tcPr>
          <w:p w14:paraId="4529E142">
            <w:pPr>
              <w:widowControl/>
              <w:adjustRightInd w:val="0"/>
              <w:snapToGrid w:val="0"/>
              <w:jc w:val="center"/>
              <w:rPr>
                <w:rFonts w:ascii="宋体" w:hAnsi="宋体" w:eastAsia="宋体" w:cs="宋体"/>
                <w:color w:val="000000"/>
                <w:kern w:val="0"/>
                <w:sz w:val="18"/>
                <w:szCs w:val="18"/>
              </w:rPr>
            </w:pPr>
            <w:r>
              <w:rPr>
                <w:rFonts w:hint="eastAsia" w:ascii="宋体" w:hAnsi="宋体" w:cs="宋体"/>
                <w:color w:val="000000"/>
                <w:kern w:val="0"/>
                <w:sz w:val="18"/>
                <w:szCs w:val="18"/>
              </w:rPr>
              <w:t>3</w:t>
            </w:r>
          </w:p>
        </w:tc>
      </w:tr>
      <w:tr w14:paraId="7299E6FD">
        <w:tblPrEx>
          <w:tblCellMar>
            <w:top w:w="0" w:type="dxa"/>
            <w:left w:w="108" w:type="dxa"/>
            <w:bottom w:w="0" w:type="dxa"/>
            <w:right w:w="108" w:type="dxa"/>
          </w:tblCellMar>
        </w:tblPrEx>
        <w:trPr>
          <w:trHeight w:val="270" w:hRule="atLeast"/>
        </w:trPr>
        <w:tc>
          <w:tcPr>
            <w:tcW w:w="1176" w:type="dxa"/>
            <w:vMerge w:val="continue"/>
            <w:tcBorders>
              <w:left w:val="single" w:color="auto" w:sz="4" w:space="0"/>
              <w:right w:val="single" w:color="auto" w:sz="4" w:space="0"/>
            </w:tcBorders>
            <w:vAlign w:val="center"/>
          </w:tcPr>
          <w:p w14:paraId="269A8D0E">
            <w:pPr>
              <w:spacing w:line="240" w:lineRule="atLeast"/>
              <w:jc w:val="center"/>
              <w:rPr>
                <w:rFonts w:ascii="宋体" w:hAnsi="宋体" w:eastAsia="宋体" w:cs="宋体"/>
                <w:color w:val="000000"/>
                <w:kern w:val="0"/>
                <w:sz w:val="18"/>
                <w:szCs w:val="18"/>
              </w:rPr>
            </w:pPr>
          </w:p>
        </w:tc>
        <w:tc>
          <w:tcPr>
            <w:tcW w:w="1167" w:type="dxa"/>
            <w:vMerge w:val="continue"/>
            <w:tcBorders>
              <w:top w:val="single" w:color="auto" w:sz="4" w:space="0"/>
              <w:left w:val="nil"/>
              <w:right w:val="single" w:color="auto" w:sz="4" w:space="0"/>
            </w:tcBorders>
            <w:noWrap/>
            <w:vAlign w:val="center"/>
          </w:tcPr>
          <w:p w14:paraId="1D08394E">
            <w:pPr>
              <w:widowControl/>
              <w:spacing w:line="240" w:lineRule="atLeast"/>
              <w:rPr>
                <w:rFonts w:ascii="宋体" w:hAnsi="宋体" w:eastAsia="宋体" w:cs="宋体"/>
                <w:color w:val="000000"/>
                <w:kern w:val="0"/>
                <w:sz w:val="18"/>
                <w:szCs w:val="18"/>
              </w:rPr>
            </w:pPr>
          </w:p>
        </w:tc>
        <w:tc>
          <w:tcPr>
            <w:tcW w:w="5454" w:type="dxa"/>
            <w:tcBorders>
              <w:top w:val="nil"/>
              <w:left w:val="nil"/>
              <w:bottom w:val="single" w:color="auto" w:sz="4" w:space="0"/>
              <w:right w:val="single" w:color="auto" w:sz="4" w:space="0"/>
            </w:tcBorders>
            <w:noWrap/>
            <w:vAlign w:val="bottom"/>
          </w:tcPr>
          <w:p w14:paraId="77E9D5AB">
            <w:pPr>
              <w:widowControl/>
              <w:adjustRightInd w:val="0"/>
              <w:snapToGrid w:val="0"/>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是否建立并落实“三同步”机制</w:t>
            </w:r>
          </w:p>
        </w:tc>
        <w:tc>
          <w:tcPr>
            <w:tcW w:w="1050" w:type="dxa"/>
            <w:tcBorders>
              <w:top w:val="nil"/>
              <w:left w:val="nil"/>
              <w:bottom w:val="single" w:color="auto" w:sz="4" w:space="0"/>
              <w:right w:val="single" w:color="auto" w:sz="4" w:space="0"/>
            </w:tcBorders>
            <w:noWrap/>
            <w:vAlign w:val="bottom"/>
          </w:tcPr>
          <w:p w14:paraId="6BCE9060">
            <w:pPr>
              <w:widowControl/>
              <w:adjustRightInd w:val="0"/>
              <w:snapToGrid w:val="0"/>
              <w:spacing w:line="240" w:lineRule="exact"/>
              <w:jc w:val="center"/>
              <w:rPr>
                <w:rFonts w:ascii="宋体" w:hAnsi="宋体" w:eastAsia="宋体" w:cs="宋体"/>
                <w:color w:val="000000"/>
                <w:kern w:val="0"/>
                <w:sz w:val="18"/>
                <w:szCs w:val="18"/>
              </w:rPr>
            </w:pPr>
            <w:r>
              <w:rPr>
                <w:rFonts w:hint="eastAsia" w:ascii="宋体" w:hAnsi="宋体" w:cs="宋体"/>
                <w:color w:val="000000"/>
                <w:kern w:val="0"/>
                <w:sz w:val="18"/>
                <w:szCs w:val="18"/>
              </w:rPr>
              <w:t>3</w:t>
            </w:r>
          </w:p>
        </w:tc>
      </w:tr>
      <w:tr w14:paraId="38B8CB94">
        <w:tblPrEx>
          <w:tblCellMar>
            <w:top w:w="0" w:type="dxa"/>
            <w:left w:w="108" w:type="dxa"/>
            <w:bottom w:w="0" w:type="dxa"/>
            <w:right w:w="108" w:type="dxa"/>
          </w:tblCellMar>
        </w:tblPrEx>
        <w:trPr>
          <w:trHeight w:val="270" w:hRule="atLeast"/>
        </w:trPr>
        <w:tc>
          <w:tcPr>
            <w:tcW w:w="1176" w:type="dxa"/>
            <w:vMerge w:val="continue"/>
            <w:tcBorders>
              <w:left w:val="single" w:color="auto" w:sz="4" w:space="0"/>
              <w:right w:val="single" w:color="auto" w:sz="4" w:space="0"/>
            </w:tcBorders>
            <w:vAlign w:val="center"/>
          </w:tcPr>
          <w:p w14:paraId="51AAABD1">
            <w:pPr>
              <w:spacing w:line="240" w:lineRule="atLeast"/>
              <w:jc w:val="center"/>
              <w:rPr>
                <w:rFonts w:ascii="宋体" w:hAnsi="宋体" w:eastAsia="宋体" w:cs="宋体"/>
                <w:color w:val="000000"/>
                <w:kern w:val="0"/>
                <w:sz w:val="18"/>
                <w:szCs w:val="18"/>
              </w:rPr>
            </w:pPr>
          </w:p>
        </w:tc>
        <w:tc>
          <w:tcPr>
            <w:tcW w:w="1167" w:type="dxa"/>
            <w:vMerge w:val="continue"/>
            <w:tcBorders>
              <w:top w:val="single" w:color="auto" w:sz="4" w:space="0"/>
              <w:left w:val="nil"/>
              <w:right w:val="single" w:color="auto" w:sz="4" w:space="0"/>
            </w:tcBorders>
            <w:noWrap/>
            <w:vAlign w:val="center"/>
          </w:tcPr>
          <w:p w14:paraId="4B40CAF1">
            <w:pPr>
              <w:widowControl/>
              <w:spacing w:line="240" w:lineRule="atLeast"/>
              <w:rPr>
                <w:rFonts w:ascii="宋体" w:hAnsi="宋体" w:eastAsia="宋体" w:cs="宋体"/>
                <w:color w:val="000000"/>
                <w:kern w:val="0"/>
                <w:sz w:val="18"/>
                <w:szCs w:val="18"/>
              </w:rPr>
            </w:pPr>
          </w:p>
        </w:tc>
        <w:tc>
          <w:tcPr>
            <w:tcW w:w="5454" w:type="dxa"/>
            <w:tcBorders>
              <w:top w:val="nil"/>
              <w:left w:val="nil"/>
              <w:bottom w:val="single" w:color="auto" w:sz="4" w:space="0"/>
              <w:right w:val="single" w:color="auto" w:sz="4" w:space="0"/>
            </w:tcBorders>
            <w:noWrap/>
            <w:vAlign w:val="bottom"/>
          </w:tcPr>
          <w:p w14:paraId="5F1C8782">
            <w:pPr>
              <w:widowControl/>
              <w:adjustRightInd w:val="0"/>
              <w:snapToGrid w:val="0"/>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是否与媒体建立正常的沟通渠道</w:t>
            </w:r>
          </w:p>
        </w:tc>
        <w:tc>
          <w:tcPr>
            <w:tcW w:w="1050" w:type="dxa"/>
            <w:tcBorders>
              <w:top w:val="nil"/>
              <w:left w:val="nil"/>
              <w:bottom w:val="single" w:color="auto" w:sz="4" w:space="0"/>
              <w:right w:val="single" w:color="auto" w:sz="4" w:space="0"/>
            </w:tcBorders>
            <w:noWrap/>
            <w:vAlign w:val="bottom"/>
          </w:tcPr>
          <w:p w14:paraId="0154DE64">
            <w:pPr>
              <w:widowControl/>
              <w:adjustRightInd w:val="0"/>
              <w:snapToGrid w:val="0"/>
              <w:spacing w:line="240" w:lineRule="exact"/>
              <w:jc w:val="center"/>
              <w:rPr>
                <w:rFonts w:ascii="宋体" w:hAnsi="宋体" w:eastAsia="宋体" w:cs="宋体"/>
                <w:color w:val="000000"/>
                <w:kern w:val="0"/>
                <w:sz w:val="18"/>
                <w:szCs w:val="18"/>
              </w:rPr>
            </w:pPr>
            <w:r>
              <w:rPr>
                <w:rFonts w:hint="eastAsia" w:ascii="宋体" w:hAnsi="宋体" w:cs="宋体"/>
                <w:color w:val="000000"/>
                <w:kern w:val="0"/>
                <w:sz w:val="18"/>
                <w:szCs w:val="18"/>
              </w:rPr>
              <w:t>3</w:t>
            </w:r>
          </w:p>
        </w:tc>
      </w:tr>
      <w:tr w14:paraId="39353278">
        <w:tblPrEx>
          <w:tblCellMar>
            <w:top w:w="0" w:type="dxa"/>
            <w:left w:w="108" w:type="dxa"/>
            <w:bottom w:w="0" w:type="dxa"/>
            <w:right w:w="108" w:type="dxa"/>
          </w:tblCellMar>
        </w:tblPrEx>
        <w:trPr>
          <w:trHeight w:val="270" w:hRule="atLeast"/>
        </w:trPr>
        <w:tc>
          <w:tcPr>
            <w:tcW w:w="1176" w:type="dxa"/>
            <w:vMerge w:val="continue"/>
            <w:tcBorders>
              <w:left w:val="single" w:color="auto" w:sz="4" w:space="0"/>
              <w:right w:val="single" w:color="auto" w:sz="4" w:space="0"/>
            </w:tcBorders>
            <w:vAlign w:val="center"/>
          </w:tcPr>
          <w:p w14:paraId="2559DCB9">
            <w:pPr>
              <w:spacing w:line="240" w:lineRule="atLeast"/>
              <w:jc w:val="center"/>
              <w:rPr>
                <w:rFonts w:ascii="宋体" w:hAnsi="宋体" w:eastAsia="宋体" w:cs="宋体"/>
                <w:color w:val="000000"/>
                <w:kern w:val="0"/>
                <w:sz w:val="18"/>
                <w:szCs w:val="18"/>
              </w:rPr>
            </w:pPr>
          </w:p>
        </w:tc>
        <w:tc>
          <w:tcPr>
            <w:tcW w:w="1167" w:type="dxa"/>
            <w:vMerge w:val="continue"/>
            <w:tcBorders>
              <w:top w:val="single" w:color="auto" w:sz="4" w:space="0"/>
              <w:left w:val="nil"/>
              <w:bottom w:val="single" w:color="auto" w:sz="4" w:space="0"/>
              <w:right w:val="single" w:color="auto" w:sz="4" w:space="0"/>
            </w:tcBorders>
            <w:noWrap/>
            <w:vAlign w:val="center"/>
          </w:tcPr>
          <w:p w14:paraId="12D176DC">
            <w:pPr>
              <w:spacing w:line="240" w:lineRule="atLeast"/>
              <w:rPr>
                <w:rFonts w:ascii="宋体" w:hAnsi="宋体" w:eastAsia="宋体" w:cs="宋体"/>
                <w:color w:val="000000"/>
                <w:kern w:val="0"/>
                <w:sz w:val="18"/>
                <w:szCs w:val="18"/>
              </w:rPr>
            </w:pPr>
          </w:p>
        </w:tc>
        <w:tc>
          <w:tcPr>
            <w:tcW w:w="5454" w:type="dxa"/>
            <w:tcBorders>
              <w:top w:val="nil"/>
              <w:left w:val="nil"/>
              <w:bottom w:val="single" w:color="auto" w:sz="4" w:space="0"/>
              <w:right w:val="single" w:color="auto" w:sz="4" w:space="0"/>
            </w:tcBorders>
            <w:noWrap/>
            <w:vAlign w:val="bottom"/>
          </w:tcPr>
          <w:p w14:paraId="1CDF7417">
            <w:pPr>
              <w:widowControl/>
              <w:adjustRightInd w:val="0"/>
              <w:snapToGrid w:val="0"/>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有无有效管控恶意炒作等负面舆情的措施办法</w:t>
            </w:r>
          </w:p>
        </w:tc>
        <w:tc>
          <w:tcPr>
            <w:tcW w:w="1050" w:type="dxa"/>
            <w:tcBorders>
              <w:top w:val="nil"/>
              <w:left w:val="nil"/>
              <w:bottom w:val="single" w:color="auto" w:sz="4" w:space="0"/>
              <w:right w:val="single" w:color="auto" w:sz="4" w:space="0"/>
            </w:tcBorders>
            <w:noWrap/>
            <w:vAlign w:val="bottom"/>
          </w:tcPr>
          <w:p w14:paraId="6AA7AD84">
            <w:pPr>
              <w:widowControl/>
              <w:adjustRightInd w:val="0"/>
              <w:snapToGrid w:val="0"/>
              <w:spacing w:line="240" w:lineRule="exact"/>
              <w:jc w:val="center"/>
              <w:rPr>
                <w:rFonts w:ascii="宋体" w:hAnsi="宋体" w:eastAsia="宋体" w:cs="宋体"/>
                <w:color w:val="000000"/>
                <w:kern w:val="0"/>
                <w:sz w:val="18"/>
                <w:szCs w:val="18"/>
              </w:rPr>
            </w:pPr>
            <w:r>
              <w:rPr>
                <w:rFonts w:hint="eastAsia" w:ascii="宋体" w:hAnsi="宋体" w:cs="宋体"/>
                <w:color w:val="000000"/>
                <w:kern w:val="0"/>
                <w:sz w:val="18"/>
                <w:szCs w:val="18"/>
              </w:rPr>
              <w:t>3</w:t>
            </w:r>
          </w:p>
        </w:tc>
      </w:tr>
      <w:tr w14:paraId="2548FD9D">
        <w:tblPrEx>
          <w:tblCellMar>
            <w:top w:w="0" w:type="dxa"/>
            <w:left w:w="108" w:type="dxa"/>
            <w:bottom w:w="0" w:type="dxa"/>
            <w:right w:w="108" w:type="dxa"/>
          </w:tblCellMar>
        </w:tblPrEx>
        <w:trPr>
          <w:trHeight w:val="270" w:hRule="atLeast"/>
        </w:trPr>
        <w:tc>
          <w:tcPr>
            <w:tcW w:w="1176" w:type="dxa"/>
            <w:vMerge w:val="continue"/>
            <w:tcBorders>
              <w:left w:val="single" w:color="auto" w:sz="4" w:space="0"/>
              <w:right w:val="single" w:color="auto" w:sz="4" w:space="0"/>
            </w:tcBorders>
            <w:vAlign w:val="center"/>
          </w:tcPr>
          <w:p w14:paraId="4A1C8170">
            <w:pPr>
              <w:spacing w:line="240" w:lineRule="atLeast"/>
              <w:jc w:val="center"/>
              <w:rPr>
                <w:rFonts w:ascii="宋体" w:hAnsi="宋体" w:eastAsia="宋体" w:cs="宋体"/>
                <w:color w:val="000000"/>
                <w:kern w:val="0"/>
                <w:sz w:val="18"/>
                <w:szCs w:val="18"/>
              </w:rPr>
            </w:pPr>
          </w:p>
        </w:tc>
        <w:tc>
          <w:tcPr>
            <w:tcW w:w="1167" w:type="dxa"/>
            <w:vMerge w:val="restart"/>
            <w:tcBorders>
              <w:top w:val="single" w:color="auto" w:sz="4" w:space="0"/>
              <w:left w:val="nil"/>
              <w:right w:val="single" w:color="auto" w:sz="4" w:space="0"/>
            </w:tcBorders>
            <w:noWrap/>
            <w:vAlign w:val="center"/>
          </w:tcPr>
          <w:p w14:paraId="27112C9F">
            <w:pPr>
              <w:spacing w:line="240" w:lineRule="atLeast"/>
              <w:rPr>
                <w:rFonts w:ascii="宋体" w:hAnsi="宋体" w:eastAsia="宋体" w:cs="宋体"/>
                <w:color w:val="000000"/>
                <w:kern w:val="0"/>
                <w:sz w:val="18"/>
                <w:szCs w:val="18"/>
              </w:rPr>
            </w:pPr>
            <w:r>
              <w:rPr>
                <w:rFonts w:hint="eastAsia" w:ascii="宋体" w:hAnsi="宋体" w:eastAsia="宋体" w:cs="宋体"/>
                <w:color w:val="000000"/>
                <w:kern w:val="0"/>
                <w:sz w:val="18"/>
                <w:szCs w:val="18"/>
              </w:rPr>
              <w:t>事件管控</w:t>
            </w:r>
          </w:p>
          <w:p w14:paraId="1B17300D">
            <w:pPr>
              <w:spacing w:line="240" w:lineRule="atLeast"/>
              <w:rPr>
                <w:rFonts w:ascii="宋体" w:hAnsi="宋体" w:eastAsia="宋体" w:cs="宋体"/>
                <w:color w:val="000000"/>
                <w:kern w:val="0"/>
                <w:sz w:val="18"/>
                <w:szCs w:val="18"/>
              </w:rPr>
            </w:pPr>
            <w:r>
              <w:rPr>
                <w:rFonts w:hint="eastAsia" w:ascii="宋体" w:hAnsi="宋体" w:eastAsia="宋体" w:cs="宋体"/>
                <w:color w:val="000000"/>
                <w:kern w:val="0"/>
                <w:sz w:val="18"/>
                <w:szCs w:val="18"/>
              </w:rPr>
              <w:t>（15分）</w:t>
            </w:r>
          </w:p>
        </w:tc>
        <w:tc>
          <w:tcPr>
            <w:tcW w:w="5454" w:type="dxa"/>
            <w:tcBorders>
              <w:top w:val="nil"/>
              <w:left w:val="nil"/>
              <w:bottom w:val="single" w:color="auto" w:sz="4" w:space="0"/>
              <w:right w:val="single" w:color="auto" w:sz="4" w:space="0"/>
            </w:tcBorders>
            <w:noWrap/>
            <w:vAlign w:val="bottom"/>
          </w:tcPr>
          <w:p w14:paraId="42C2AFA0">
            <w:pPr>
              <w:widowControl/>
              <w:adjustRightInd w:val="0"/>
              <w:snapToGrid w:val="0"/>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有无突发事件应急处置预案</w:t>
            </w:r>
          </w:p>
        </w:tc>
        <w:tc>
          <w:tcPr>
            <w:tcW w:w="1050" w:type="dxa"/>
            <w:tcBorders>
              <w:top w:val="nil"/>
              <w:left w:val="nil"/>
              <w:bottom w:val="single" w:color="auto" w:sz="4" w:space="0"/>
              <w:right w:val="single" w:color="auto" w:sz="4" w:space="0"/>
            </w:tcBorders>
            <w:noWrap/>
            <w:vAlign w:val="bottom"/>
          </w:tcPr>
          <w:p w14:paraId="70366011">
            <w:pPr>
              <w:widowControl/>
              <w:adjustRightInd w:val="0"/>
              <w:snapToGrid w:val="0"/>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2</w:t>
            </w:r>
          </w:p>
        </w:tc>
      </w:tr>
      <w:tr w14:paraId="0A9E3918">
        <w:tblPrEx>
          <w:tblCellMar>
            <w:top w:w="0" w:type="dxa"/>
            <w:left w:w="108" w:type="dxa"/>
            <w:bottom w:w="0" w:type="dxa"/>
            <w:right w:w="108" w:type="dxa"/>
          </w:tblCellMar>
        </w:tblPrEx>
        <w:trPr>
          <w:trHeight w:val="270" w:hRule="atLeast"/>
        </w:trPr>
        <w:tc>
          <w:tcPr>
            <w:tcW w:w="1176" w:type="dxa"/>
            <w:vMerge w:val="continue"/>
            <w:tcBorders>
              <w:left w:val="single" w:color="auto" w:sz="4" w:space="0"/>
              <w:right w:val="single" w:color="auto" w:sz="4" w:space="0"/>
            </w:tcBorders>
            <w:vAlign w:val="center"/>
          </w:tcPr>
          <w:p w14:paraId="1611C12D">
            <w:pPr>
              <w:spacing w:line="240" w:lineRule="atLeast"/>
              <w:jc w:val="center"/>
              <w:rPr>
                <w:rFonts w:ascii="宋体" w:hAnsi="宋体" w:eastAsia="宋体" w:cs="宋体"/>
                <w:color w:val="000000"/>
                <w:kern w:val="0"/>
                <w:sz w:val="18"/>
                <w:szCs w:val="18"/>
              </w:rPr>
            </w:pPr>
          </w:p>
        </w:tc>
        <w:tc>
          <w:tcPr>
            <w:tcW w:w="1167" w:type="dxa"/>
            <w:vMerge w:val="continue"/>
            <w:tcBorders>
              <w:left w:val="nil"/>
              <w:right w:val="single" w:color="auto" w:sz="4" w:space="0"/>
            </w:tcBorders>
            <w:noWrap/>
            <w:vAlign w:val="center"/>
          </w:tcPr>
          <w:p w14:paraId="6B8D9399">
            <w:pPr>
              <w:spacing w:line="240" w:lineRule="atLeast"/>
              <w:rPr>
                <w:rFonts w:ascii="宋体" w:hAnsi="宋体" w:eastAsia="宋体" w:cs="宋体"/>
                <w:color w:val="000000"/>
                <w:kern w:val="0"/>
                <w:sz w:val="18"/>
                <w:szCs w:val="18"/>
              </w:rPr>
            </w:pPr>
          </w:p>
        </w:tc>
        <w:tc>
          <w:tcPr>
            <w:tcW w:w="5454" w:type="dxa"/>
            <w:tcBorders>
              <w:top w:val="nil"/>
              <w:left w:val="nil"/>
              <w:bottom w:val="single" w:color="auto" w:sz="4" w:space="0"/>
              <w:right w:val="single" w:color="auto" w:sz="4" w:space="0"/>
            </w:tcBorders>
            <w:noWrap/>
            <w:vAlign w:val="bottom"/>
          </w:tcPr>
          <w:p w14:paraId="133AE2D2">
            <w:pPr>
              <w:widowControl/>
              <w:adjustRightInd w:val="0"/>
              <w:snapToGrid w:val="0"/>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有无完善的应急处置工作机制</w:t>
            </w:r>
          </w:p>
        </w:tc>
        <w:tc>
          <w:tcPr>
            <w:tcW w:w="1050" w:type="dxa"/>
            <w:tcBorders>
              <w:top w:val="nil"/>
              <w:left w:val="nil"/>
              <w:bottom w:val="single" w:color="auto" w:sz="4" w:space="0"/>
              <w:right w:val="single" w:color="auto" w:sz="4" w:space="0"/>
            </w:tcBorders>
            <w:noWrap/>
            <w:vAlign w:val="bottom"/>
          </w:tcPr>
          <w:p w14:paraId="2EA357C6">
            <w:pPr>
              <w:widowControl/>
              <w:adjustRightInd w:val="0"/>
              <w:snapToGrid w:val="0"/>
              <w:spacing w:line="240" w:lineRule="exact"/>
              <w:jc w:val="center"/>
              <w:rPr>
                <w:rFonts w:ascii="宋体" w:hAnsi="宋体" w:eastAsia="宋体" w:cs="宋体"/>
                <w:color w:val="000000"/>
                <w:kern w:val="0"/>
                <w:sz w:val="18"/>
                <w:szCs w:val="18"/>
              </w:rPr>
            </w:pPr>
            <w:r>
              <w:rPr>
                <w:rFonts w:hint="eastAsia" w:ascii="宋体" w:hAnsi="宋体" w:cs="宋体"/>
                <w:color w:val="000000"/>
                <w:kern w:val="0"/>
                <w:sz w:val="18"/>
                <w:szCs w:val="18"/>
              </w:rPr>
              <w:t>2</w:t>
            </w:r>
          </w:p>
        </w:tc>
      </w:tr>
      <w:tr w14:paraId="1B88B2F8">
        <w:tblPrEx>
          <w:tblCellMar>
            <w:top w:w="0" w:type="dxa"/>
            <w:left w:w="108" w:type="dxa"/>
            <w:bottom w:w="0" w:type="dxa"/>
            <w:right w:w="108" w:type="dxa"/>
          </w:tblCellMar>
        </w:tblPrEx>
        <w:trPr>
          <w:trHeight w:val="270" w:hRule="atLeast"/>
        </w:trPr>
        <w:tc>
          <w:tcPr>
            <w:tcW w:w="1176" w:type="dxa"/>
            <w:vMerge w:val="continue"/>
            <w:tcBorders>
              <w:left w:val="single" w:color="auto" w:sz="4" w:space="0"/>
              <w:right w:val="single" w:color="auto" w:sz="4" w:space="0"/>
            </w:tcBorders>
            <w:vAlign w:val="center"/>
          </w:tcPr>
          <w:p w14:paraId="5EF3524B">
            <w:pPr>
              <w:spacing w:line="240" w:lineRule="atLeast"/>
              <w:jc w:val="center"/>
              <w:rPr>
                <w:rFonts w:ascii="宋体" w:hAnsi="宋体" w:eastAsia="宋体" w:cs="宋体"/>
                <w:color w:val="000000"/>
                <w:kern w:val="0"/>
                <w:sz w:val="18"/>
                <w:szCs w:val="18"/>
              </w:rPr>
            </w:pPr>
          </w:p>
        </w:tc>
        <w:tc>
          <w:tcPr>
            <w:tcW w:w="1167" w:type="dxa"/>
            <w:vMerge w:val="continue"/>
            <w:tcBorders>
              <w:left w:val="nil"/>
              <w:right w:val="single" w:color="auto" w:sz="4" w:space="0"/>
            </w:tcBorders>
            <w:noWrap/>
            <w:vAlign w:val="center"/>
          </w:tcPr>
          <w:p w14:paraId="4AAA7877">
            <w:pPr>
              <w:spacing w:line="240" w:lineRule="atLeast"/>
              <w:jc w:val="center"/>
              <w:rPr>
                <w:rFonts w:ascii="宋体" w:hAnsi="宋体" w:eastAsia="宋体" w:cs="宋体"/>
                <w:color w:val="000000"/>
                <w:kern w:val="0"/>
                <w:sz w:val="18"/>
                <w:szCs w:val="18"/>
              </w:rPr>
            </w:pPr>
          </w:p>
        </w:tc>
        <w:tc>
          <w:tcPr>
            <w:tcW w:w="5454" w:type="dxa"/>
            <w:tcBorders>
              <w:top w:val="nil"/>
              <w:left w:val="nil"/>
              <w:bottom w:val="single" w:color="auto" w:sz="4" w:space="0"/>
              <w:right w:val="single" w:color="auto" w:sz="4" w:space="0"/>
            </w:tcBorders>
            <w:noWrap/>
            <w:vAlign w:val="bottom"/>
          </w:tcPr>
          <w:p w14:paraId="28F4A983">
            <w:pPr>
              <w:widowControl/>
              <w:adjustRightInd w:val="0"/>
              <w:snapToGrid w:val="0"/>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是否配备安全防护和应急处置力量</w:t>
            </w:r>
          </w:p>
        </w:tc>
        <w:tc>
          <w:tcPr>
            <w:tcW w:w="1050" w:type="dxa"/>
            <w:tcBorders>
              <w:top w:val="nil"/>
              <w:left w:val="nil"/>
              <w:bottom w:val="single" w:color="auto" w:sz="4" w:space="0"/>
              <w:right w:val="single" w:color="auto" w:sz="4" w:space="0"/>
            </w:tcBorders>
            <w:noWrap/>
            <w:vAlign w:val="bottom"/>
          </w:tcPr>
          <w:p w14:paraId="13FD762E">
            <w:pPr>
              <w:widowControl/>
              <w:adjustRightInd w:val="0"/>
              <w:snapToGrid w:val="0"/>
              <w:jc w:val="center"/>
              <w:rPr>
                <w:rFonts w:ascii="宋体" w:hAnsi="宋体" w:eastAsia="宋体" w:cs="宋体"/>
                <w:color w:val="000000"/>
                <w:kern w:val="0"/>
                <w:sz w:val="18"/>
                <w:szCs w:val="18"/>
              </w:rPr>
            </w:pPr>
            <w:r>
              <w:rPr>
                <w:rFonts w:hint="eastAsia" w:ascii="宋体" w:hAnsi="宋体" w:cs="宋体"/>
                <w:color w:val="000000"/>
                <w:kern w:val="0"/>
                <w:sz w:val="18"/>
                <w:szCs w:val="18"/>
              </w:rPr>
              <w:t>4</w:t>
            </w:r>
          </w:p>
        </w:tc>
      </w:tr>
      <w:tr w14:paraId="5D61D26C">
        <w:tblPrEx>
          <w:tblCellMar>
            <w:top w:w="0" w:type="dxa"/>
            <w:left w:w="108" w:type="dxa"/>
            <w:bottom w:w="0" w:type="dxa"/>
            <w:right w:w="108" w:type="dxa"/>
          </w:tblCellMar>
        </w:tblPrEx>
        <w:trPr>
          <w:trHeight w:val="270" w:hRule="atLeast"/>
        </w:trPr>
        <w:tc>
          <w:tcPr>
            <w:tcW w:w="1176" w:type="dxa"/>
            <w:vMerge w:val="continue"/>
            <w:tcBorders>
              <w:left w:val="single" w:color="auto" w:sz="4" w:space="0"/>
              <w:right w:val="single" w:color="auto" w:sz="4" w:space="0"/>
            </w:tcBorders>
            <w:vAlign w:val="center"/>
          </w:tcPr>
          <w:p w14:paraId="2256BFB2">
            <w:pPr>
              <w:spacing w:line="240" w:lineRule="atLeast"/>
              <w:jc w:val="center"/>
              <w:rPr>
                <w:rFonts w:ascii="宋体" w:hAnsi="宋体" w:eastAsia="宋体" w:cs="宋体"/>
                <w:color w:val="000000"/>
                <w:kern w:val="0"/>
                <w:sz w:val="18"/>
                <w:szCs w:val="18"/>
              </w:rPr>
            </w:pPr>
          </w:p>
        </w:tc>
        <w:tc>
          <w:tcPr>
            <w:tcW w:w="1167" w:type="dxa"/>
            <w:vMerge w:val="continue"/>
            <w:tcBorders>
              <w:left w:val="nil"/>
              <w:right w:val="single" w:color="auto" w:sz="4" w:space="0"/>
            </w:tcBorders>
            <w:noWrap/>
            <w:vAlign w:val="center"/>
          </w:tcPr>
          <w:p w14:paraId="6EF5480F">
            <w:pPr>
              <w:spacing w:line="240" w:lineRule="atLeast"/>
              <w:jc w:val="center"/>
              <w:rPr>
                <w:rFonts w:ascii="宋体" w:hAnsi="宋体" w:eastAsia="宋体" w:cs="宋体"/>
                <w:color w:val="000000"/>
                <w:kern w:val="0"/>
                <w:sz w:val="18"/>
                <w:szCs w:val="18"/>
              </w:rPr>
            </w:pPr>
          </w:p>
        </w:tc>
        <w:tc>
          <w:tcPr>
            <w:tcW w:w="5454" w:type="dxa"/>
            <w:tcBorders>
              <w:top w:val="nil"/>
              <w:left w:val="nil"/>
              <w:bottom w:val="single" w:color="auto" w:sz="4" w:space="0"/>
              <w:right w:val="single" w:color="auto" w:sz="4" w:space="0"/>
            </w:tcBorders>
            <w:noWrap/>
            <w:vAlign w:val="bottom"/>
          </w:tcPr>
          <w:p w14:paraId="218F0ABC">
            <w:pPr>
              <w:widowControl/>
              <w:adjustRightInd w:val="0"/>
              <w:snapToGrid w:val="0"/>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是否会引发规模性聚集事件、群体性事件、个人极端案事件及其他严重影响社会稳定的问题</w:t>
            </w:r>
            <w:r>
              <w:rPr>
                <w:rFonts w:hint="eastAsia" w:ascii="宋体" w:hAnsi="宋体" w:cs="宋体"/>
                <w:color w:val="000000"/>
                <w:kern w:val="0"/>
                <w:sz w:val="18"/>
                <w:szCs w:val="18"/>
              </w:rPr>
              <w:sym w:font="Wingdings" w:char="F0B5"/>
            </w:r>
          </w:p>
        </w:tc>
        <w:tc>
          <w:tcPr>
            <w:tcW w:w="1050" w:type="dxa"/>
            <w:tcBorders>
              <w:top w:val="nil"/>
              <w:left w:val="nil"/>
              <w:bottom w:val="single" w:color="auto" w:sz="4" w:space="0"/>
              <w:right w:val="single" w:color="auto" w:sz="4" w:space="0"/>
            </w:tcBorders>
            <w:noWrap/>
            <w:vAlign w:val="bottom"/>
          </w:tcPr>
          <w:p w14:paraId="6BC44CB6">
            <w:pPr>
              <w:widowControl/>
              <w:adjustRightInd w:val="0"/>
              <w:snapToGrid w:val="0"/>
              <w:spacing w:line="240" w:lineRule="exact"/>
              <w:jc w:val="center"/>
              <w:rPr>
                <w:rFonts w:ascii="宋体" w:hAnsi="宋体" w:eastAsia="宋体" w:cs="宋体"/>
                <w:color w:val="000000"/>
                <w:kern w:val="0"/>
                <w:sz w:val="18"/>
                <w:szCs w:val="18"/>
              </w:rPr>
            </w:pPr>
            <w:r>
              <w:rPr>
                <w:rFonts w:hint="eastAsia" w:ascii="宋体" w:hAnsi="宋体" w:cs="宋体"/>
                <w:color w:val="000000"/>
                <w:kern w:val="0"/>
                <w:sz w:val="18"/>
                <w:szCs w:val="18"/>
              </w:rPr>
              <w:t>5</w:t>
            </w:r>
          </w:p>
        </w:tc>
      </w:tr>
      <w:tr w14:paraId="150F8E3C">
        <w:tblPrEx>
          <w:tblCellMar>
            <w:top w:w="0" w:type="dxa"/>
            <w:left w:w="108" w:type="dxa"/>
            <w:bottom w:w="0" w:type="dxa"/>
            <w:right w:w="108" w:type="dxa"/>
          </w:tblCellMar>
        </w:tblPrEx>
        <w:trPr>
          <w:trHeight w:val="270" w:hRule="atLeast"/>
        </w:trPr>
        <w:tc>
          <w:tcPr>
            <w:tcW w:w="1176" w:type="dxa"/>
            <w:vMerge w:val="continue"/>
            <w:tcBorders>
              <w:left w:val="single" w:color="auto" w:sz="4" w:space="0"/>
              <w:bottom w:val="single" w:color="auto" w:sz="4" w:space="0"/>
              <w:right w:val="single" w:color="auto" w:sz="4" w:space="0"/>
            </w:tcBorders>
            <w:vAlign w:val="center"/>
          </w:tcPr>
          <w:p w14:paraId="3779428F">
            <w:pPr>
              <w:spacing w:line="240" w:lineRule="atLeast"/>
              <w:jc w:val="center"/>
              <w:rPr>
                <w:rFonts w:ascii="宋体" w:hAnsi="宋体" w:eastAsia="宋体" w:cs="宋体"/>
                <w:color w:val="000000"/>
                <w:kern w:val="0"/>
                <w:sz w:val="18"/>
                <w:szCs w:val="18"/>
              </w:rPr>
            </w:pPr>
          </w:p>
        </w:tc>
        <w:tc>
          <w:tcPr>
            <w:tcW w:w="1167" w:type="dxa"/>
            <w:vMerge w:val="continue"/>
            <w:tcBorders>
              <w:left w:val="nil"/>
              <w:bottom w:val="single" w:color="auto" w:sz="4" w:space="0"/>
              <w:right w:val="single" w:color="auto" w:sz="4" w:space="0"/>
            </w:tcBorders>
            <w:noWrap/>
            <w:vAlign w:val="bottom"/>
          </w:tcPr>
          <w:p w14:paraId="659ABFBD">
            <w:pPr>
              <w:spacing w:line="240" w:lineRule="atLeast"/>
              <w:jc w:val="left"/>
              <w:rPr>
                <w:rFonts w:ascii="宋体" w:hAnsi="宋体" w:eastAsia="宋体" w:cs="宋体"/>
                <w:color w:val="000000"/>
                <w:kern w:val="0"/>
                <w:sz w:val="18"/>
                <w:szCs w:val="18"/>
              </w:rPr>
            </w:pPr>
          </w:p>
        </w:tc>
        <w:tc>
          <w:tcPr>
            <w:tcW w:w="5454" w:type="dxa"/>
            <w:tcBorders>
              <w:top w:val="nil"/>
              <w:left w:val="nil"/>
              <w:bottom w:val="single" w:color="auto" w:sz="4" w:space="0"/>
              <w:right w:val="single" w:color="auto" w:sz="4" w:space="0"/>
            </w:tcBorders>
            <w:noWrap/>
            <w:vAlign w:val="bottom"/>
          </w:tcPr>
          <w:p w14:paraId="27D9D081">
            <w:pPr>
              <w:widowControl/>
              <w:adjustRightInd w:val="0"/>
              <w:snapToGrid w:val="0"/>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实施主体是否有处置突发事件的丰富经验和基本能力</w:t>
            </w:r>
          </w:p>
        </w:tc>
        <w:tc>
          <w:tcPr>
            <w:tcW w:w="1050" w:type="dxa"/>
            <w:tcBorders>
              <w:top w:val="nil"/>
              <w:left w:val="nil"/>
              <w:bottom w:val="single" w:color="auto" w:sz="4" w:space="0"/>
              <w:right w:val="single" w:color="auto" w:sz="4" w:space="0"/>
            </w:tcBorders>
            <w:noWrap/>
            <w:vAlign w:val="bottom"/>
          </w:tcPr>
          <w:p w14:paraId="2F1C300B">
            <w:pPr>
              <w:widowControl/>
              <w:adjustRightInd w:val="0"/>
              <w:snapToGrid w:val="0"/>
              <w:spacing w:line="240" w:lineRule="exact"/>
              <w:jc w:val="center"/>
              <w:rPr>
                <w:rFonts w:ascii="宋体" w:hAnsi="宋体" w:eastAsia="宋体" w:cs="宋体"/>
                <w:color w:val="000000"/>
                <w:kern w:val="0"/>
                <w:sz w:val="18"/>
                <w:szCs w:val="18"/>
              </w:rPr>
            </w:pPr>
            <w:r>
              <w:rPr>
                <w:rFonts w:hint="eastAsia" w:ascii="宋体" w:hAnsi="宋体" w:cs="宋体"/>
                <w:color w:val="000000"/>
                <w:kern w:val="0"/>
                <w:sz w:val="18"/>
                <w:szCs w:val="18"/>
              </w:rPr>
              <w:t>2</w:t>
            </w:r>
          </w:p>
        </w:tc>
      </w:tr>
      <w:tr w14:paraId="26E3AF43">
        <w:tblPrEx>
          <w:tblCellMar>
            <w:top w:w="0" w:type="dxa"/>
            <w:left w:w="108" w:type="dxa"/>
            <w:bottom w:w="0" w:type="dxa"/>
            <w:right w:w="108" w:type="dxa"/>
          </w:tblCellMar>
        </w:tblPrEx>
        <w:trPr>
          <w:trHeight w:val="307" w:hRule="atLeast"/>
        </w:trPr>
        <w:tc>
          <w:tcPr>
            <w:tcW w:w="7797" w:type="dxa"/>
            <w:gridSpan w:val="3"/>
            <w:tcBorders>
              <w:top w:val="single" w:color="auto" w:sz="4" w:space="0"/>
              <w:left w:val="single" w:color="auto" w:sz="4" w:space="0"/>
              <w:bottom w:val="single" w:color="auto" w:sz="4" w:space="0"/>
              <w:right w:val="single" w:color="auto" w:sz="4" w:space="0"/>
            </w:tcBorders>
            <w:vAlign w:val="center"/>
          </w:tcPr>
          <w:p w14:paraId="59B6A624">
            <w:pPr>
              <w:widowControl/>
              <w:adjustRightInd w:val="0"/>
              <w:snapToGrid w:val="0"/>
              <w:jc w:val="left"/>
              <w:rPr>
                <w:rFonts w:ascii="宋体" w:hAnsi="宋体" w:eastAsia="宋体" w:cs="宋体"/>
                <w:color w:val="000000"/>
                <w:kern w:val="0"/>
                <w:sz w:val="18"/>
                <w:szCs w:val="18"/>
              </w:rPr>
            </w:pPr>
            <w:r>
              <w:rPr>
                <w:rFonts w:hint="eastAsia" w:ascii="宋体" w:hAnsi="宋体" w:cs="宋体"/>
                <w:color w:val="000000"/>
                <w:kern w:val="0"/>
                <w:sz w:val="18"/>
                <w:szCs w:val="18"/>
              </w:rPr>
              <w:t>注：</w:t>
            </w:r>
            <w:r>
              <w:rPr>
                <w:rFonts w:hint="eastAsia"/>
                <w:color w:val="000000"/>
                <w:sz w:val="18"/>
                <w:szCs w:val="18"/>
              </w:rPr>
              <w:t>指标中作“</w:t>
            </w:r>
            <w:r>
              <w:rPr>
                <w:rFonts w:hint="eastAsia"/>
                <w:color w:val="000000"/>
                <w:sz w:val="18"/>
                <w:szCs w:val="18"/>
              </w:rPr>
              <w:sym w:font="Wingdings" w:char="F0B5"/>
            </w:r>
            <w:r>
              <w:rPr>
                <w:rFonts w:hint="eastAsia"/>
                <w:color w:val="000000"/>
                <w:sz w:val="18"/>
                <w:szCs w:val="18"/>
              </w:rPr>
              <w:t>”标记的系直接定性分类指标，只要存在</w:t>
            </w:r>
            <w:r>
              <w:rPr>
                <w:rFonts w:hint="eastAsia"/>
                <w:color w:val="000000"/>
                <w:sz w:val="18"/>
                <w:szCs w:val="18"/>
                <w:lang w:eastAsia="zh-CN"/>
              </w:rPr>
              <w:t>“事件管控”三级指标作</w:t>
            </w:r>
            <w:r>
              <w:rPr>
                <w:rFonts w:hint="eastAsia"/>
                <w:color w:val="000000"/>
                <w:sz w:val="18"/>
                <w:szCs w:val="18"/>
              </w:rPr>
              <w:t>“</w:t>
            </w:r>
            <w:r>
              <w:rPr>
                <w:rFonts w:hint="eastAsia"/>
                <w:color w:val="000000"/>
                <w:sz w:val="18"/>
                <w:szCs w:val="18"/>
              </w:rPr>
              <w:sym w:font="Wingdings" w:char="F0B5"/>
            </w:r>
            <w:r>
              <w:rPr>
                <w:rFonts w:hint="eastAsia"/>
                <w:color w:val="000000"/>
                <w:sz w:val="18"/>
                <w:szCs w:val="18"/>
              </w:rPr>
              <w:t>”</w:t>
            </w:r>
            <w:r>
              <w:rPr>
                <w:rFonts w:hint="eastAsia"/>
                <w:color w:val="000000"/>
                <w:sz w:val="18"/>
                <w:szCs w:val="18"/>
                <w:lang w:eastAsia="zh-CN"/>
              </w:rPr>
              <w:t>标记的指标为肯定性描述情形，或其他作</w:t>
            </w:r>
            <w:r>
              <w:rPr>
                <w:rFonts w:hint="eastAsia"/>
                <w:color w:val="000000"/>
                <w:sz w:val="18"/>
                <w:szCs w:val="18"/>
              </w:rPr>
              <w:t>“</w:t>
            </w:r>
            <w:r>
              <w:rPr>
                <w:rFonts w:hint="eastAsia"/>
                <w:color w:val="000000"/>
                <w:sz w:val="18"/>
                <w:szCs w:val="18"/>
              </w:rPr>
              <w:sym w:font="Wingdings" w:char="F0B5"/>
            </w:r>
            <w:r>
              <w:rPr>
                <w:rFonts w:hint="eastAsia"/>
                <w:color w:val="000000"/>
                <w:sz w:val="18"/>
                <w:szCs w:val="18"/>
              </w:rPr>
              <w:t>”</w:t>
            </w:r>
            <w:r>
              <w:rPr>
                <w:rFonts w:hint="eastAsia"/>
                <w:color w:val="000000"/>
                <w:sz w:val="18"/>
                <w:szCs w:val="18"/>
                <w:lang w:eastAsia="zh-CN"/>
              </w:rPr>
              <w:t>标记的指标之一为</w:t>
            </w:r>
            <w:r>
              <w:rPr>
                <w:rFonts w:hint="eastAsia" w:ascii="宋体" w:hAnsi="宋体" w:cs="宋体"/>
                <w:color w:val="000000"/>
                <w:kern w:val="0"/>
                <w:sz w:val="18"/>
                <w:szCs w:val="18"/>
              </w:rPr>
              <w:t>否定性描</w:t>
            </w:r>
            <w:r>
              <w:rPr>
                <w:rFonts w:hint="eastAsia"/>
                <w:color w:val="000000"/>
                <w:sz w:val="18"/>
                <w:szCs w:val="18"/>
              </w:rPr>
              <w:t>述情形，则该决策事项为高风险。</w:t>
            </w:r>
          </w:p>
        </w:tc>
        <w:tc>
          <w:tcPr>
            <w:tcW w:w="1050" w:type="dxa"/>
            <w:tcBorders>
              <w:top w:val="single" w:color="auto" w:sz="4" w:space="0"/>
              <w:left w:val="single" w:color="auto" w:sz="4" w:space="0"/>
              <w:bottom w:val="single" w:color="auto" w:sz="4" w:space="0"/>
              <w:right w:val="single" w:color="auto" w:sz="4" w:space="0"/>
            </w:tcBorders>
            <w:vAlign w:val="center"/>
          </w:tcPr>
          <w:p w14:paraId="26617598">
            <w:pPr>
              <w:widowControl/>
              <w:adjustRightInd w:val="0"/>
              <w:snapToGrid w:val="0"/>
              <w:jc w:val="center"/>
              <w:rPr>
                <w:rFonts w:ascii="宋体" w:hAnsi="宋体" w:cs="宋体"/>
                <w:color w:val="000000"/>
                <w:kern w:val="0"/>
                <w:sz w:val="18"/>
                <w:szCs w:val="18"/>
              </w:rPr>
            </w:pPr>
          </w:p>
        </w:tc>
      </w:tr>
    </w:tbl>
    <w:p w14:paraId="1C113B3C">
      <w:pPr>
        <w:rPr>
          <w:rFonts w:hint="eastAsia" w:ascii="黑体" w:hAnsi="Times New Roman" w:eastAsia="黑体" w:cs="黑体"/>
          <w:kern w:val="0"/>
          <w:sz w:val="21"/>
          <w:szCs w:val="20"/>
          <w:lang w:val="en-US" w:eastAsia="zh-CN"/>
        </w:rPr>
      </w:pPr>
      <w:r>
        <w:rPr>
          <w:rFonts w:hint="eastAsia" w:ascii="黑体" w:hAnsi="Times New Roman" w:eastAsia="黑体" w:cs="黑体"/>
          <w:kern w:val="0"/>
          <w:sz w:val="21"/>
          <w:szCs w:val="20"/>
          <w:lang w:val="en-US" w:eastAsia="zh-CN"/>
        </w:rPr>
        <w:t>F.2.</w:t>
      </w:r>
      <w:r>
        <w:rPr>
          <w:rFonts w:hint="eastAsia" w:ascii="黑体" w:eastAsia="黑体" w:cs="黑体"/>
          <w:kern w:val="0"/>
          <w:sz w:val="21"/>
          <w:szCs w:val="20"/>
          <w:lang w:val="en-US" w:eastAsia="zh-CN"/>
        </w:rPr>
        <w:t>2</w:t>
      </w:r>
      <w:r>
        <w:rPr>
          <w:rFonts w:hint="eastAsia" w:ascii="黑体" w:hAnsi="Times New Roman" w:eastAsia="黑体" w:cs="黑体"/>
          <w:kern w:val="0"/>
          <w:sz w:val="21"/>
          <w:szCs w:val="20"/>
          <w:lang w:val="en-US" w:eastAsia="zh-CN"/>
        </w:rPr>
        <w:t>　风险指数</w:t>
      </w:r>
    </w:p>
    <w:p w14:paraId="065E4213">
      <w:pPr>
        <w:pStyle w:val="44"/>
        <w:bidi w:val="0"/>
      </w:pPr>
      <w:r>
        <w:rPr>
          <w:rFonts w:hint="eastAsia" w:ascii="宋体" w:hAnsi="宋体" w:eastAsia="宋体"/>
          <w:color w:val="000000" w:themeColor="text1"/>
          <w:szCs w:val="28"/>
          <w14:textFill>
            <w14:solidFill>
              <w14:schemeClr w14:val="tx1"/>
            </w14:solidFill>
          </w14:textFill>
        </w:rPr>
        <w:t>综合</w:t>
      </w:r>
      <w:r>
        <w:rPr>
          <w:rFonts w:hint="eastAsia"/>
        </w:rPr>
        <w:t>风险指数计算的具体步骤如下：</w:t>
      </w:r>
    </w:p>
    <w:p w14:paraId="4D8BE6E1">
      <w:pPr>
        <w:pStyle w:val="76"/>
        <w:bidi w:val="0"/>
      </w:pPr>
      <w:r>
        <w:rPr>
          <w:rFonts w:hint="eastAsia"/>
        </w:rPr>
        <w:t>建立风险指数计算表。在单因素风险分析的基础上将评判确定的主要特征风险全部列入表中；</w:t>
      </w:r>
    </w:p>
    <w:p w14:paraId="7D3BAFCB">
      <w:pPr>
        <w:pStyle w:val="76"/>
        <w:bidi w:val="0"/>
      </w:pPr>
      <w:r>
        <w:rPr>
          <w:rFonts w:hint="eastAsia"/>
        </w:rPr>
        <w:t>计算每个风险因素的风险指数（Wn ）。根据评估指标确定的分值权重，将每个评估指标（风险因素）的权重系数（I）与风险程度系数（R）相乘，所得分值即为每个风险因素的风险指数（W）；</w:t>
      </w:r>
    </w:p>
    <w:p w14:paraId="06FAFA5A">
      <w:pPr>
        <w:pStyle w:val="76"/>
        <w:bidi w:val="0"/>
      </w:pPr>
      <w:r>
        <w:rPr>
          <w:rFonts w:hint="eastAsia"/>
        </w:rPr>
        <w:t>最后将风险指数计算表中所有风险的风险指数相加，得出整体的综合风险指数（∑Rn ×In ）（n指风险因素数量）。分值越高，决策事项的整体风险程度越大。综合风险指数计算方法参见表F</w:t>
      </w:r>
      <w:r>
        <w:rPr>
          <w:rFonts w:hint="eastAsia"/>
          <w:lang w:val="en-US" w:eastAsia="zh-CN"/>
        </w:rPr>
        <w:t>.</w:t>
      </w:r>
      <w:r>
        <w:rPr>
          <w:rFonts w:hint="eastAsia"/>
        </w:rPr>
        <w:t>6。</w:t>
      </w:r>
    </w:p>
    <w:p w14:paraId="4B570CFE">
      <w:pPr>
        <w:pStyle w:val="132"/>
        <w:numPr>
          <w:ilvl w:val="0"/>
          <w:numId w:val="0"/>
        </w:numPr>
        <w:bidi w:val="0"/>
        <w:ind w:left="0" w:leftChars="0" w:firstLine="0" w:firstLineChars="0"/>
      </w:pPr>
      <w:r>
        <w:rPr>
          <w:rFonts w:hint="eastAsia"/>
        </w:rPr>
        <w:t>表F</w:t>
      </w:r>
      <w:r>
        <w:rPr>
          <w:rFonts w:hint="eastAsia"/>
          <w:lang w:val="en-US" w:eastAsia="zh-CN"/>
        </w:rPr>
        <w:t>.</w:t>
      </w:r>
      <w:r>
        <w:rPr>
          <w:rFonts w:hint="eastAsia"/>
        </w:rPr>
        <w:t xml:space="preserve">6 </w:t>
      </w:r>
      <w:r>
        <w:rPr>
          <w:rFonts w:hint="eastAsia"/>
          <w:lang w:val="en-US" w:eastAsia="zh-CN"/>
        </w:rPr>
        <w:t xml:space="preserve"> </w:t>
      </w:r>
      <w:r>
        <w:rPr>
          <w:rFonts w:hint="eastAsia"/>
        </w:rPr>
        <w:t>综合风险指数计算表</w:t>
      </w:r>
    </w:p>
    <w:tbl>
      <w:tblPr>
        <w:tblStyle w:val="26"/>
        <w:tblW w:w="83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70"/>
        <w:gridCol w:w="808"/>
        <w:gridCol w:w="960"/>
        <w:gridCol w:w="1064"/>
        <w:gridCol w:w="952"/>
        <w:gridCol w:w="979"/>
        <w:gridCol w:w="654"/>
        <w:gridCol w:w="1896"/>
      </w:tblGrid>
      <w:tr w14:paraId="5E56CF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0" w:type="dxa"/>
            <w:vMerge w:val="restart"/>
            <w:vAlign w:val="center"/>
          </w:tcPr>
          <w:p w14:paraId="39FEA89D">
            <w:pPr>
              <w:jc w:val="center"/>
              <w:rPr>
                <w:rFonts w:ascii="宋体" w:hAnsi="宋体" w:eastAsia="宋体"/>
                <w:b/>
                <w:color w:val="000000" w:themeColor="text1"/>
                <w:sz w:val="18"/>
                <w:szCs w:val="18"/>
                <w14:textFill>
                  <w14:solidFill>
                    <w14:schemeClr w14:val="tx1"/>
                  </w14:solidFill>
                </w14:textFill>
              </w:rPr>
            </w:pPr>
            <w:r>
              <w:rPr>
                <w:rFonts w:hint="eastAsia" w:ascii="宋体" w:hAnsi="宋体" w:eastAsia="宋体"/>
                <w:b/>
                <w:color w:val="000000" w:themeColor="text1"/>
                <w:sz w:val="18"/>
                <w:szCs w:val="18"/>
                <w14:textFill>
                  <w14:solidFill>
                    <w14:schemeClr w14:val="tx1"/>
                  </w14:solidFill>
                </w14:textFill>
              </w:rPr>
              <w:t>风险因素</w:t>
            </w:r>
          </w:p>
          <w:p w14:paraId="388A5CF2">
            <w:pPr>
              <w:jc w:val="center"/>
              <w:rPr>
                <w:rFonts w:ascii="宋体" w:hAnsi="宋体" w:eastAsia="宋体"/>
                <w:b/>
                <w:color w:val="000000" w:themeColor="text1"/>
                <w:sz w:val="18"/>
                <w:szCs w:val="18"/>
                <w14:textFill>
                  <w14:solidFill>
                    <w14:schemeClr w14:val="tx1"/>
                  </w14:solidFill>
                </w14:textFill>
              </w:rPr>
            </w:pPr>
            <w:r>
              <w:rPr>
                <w:rFonts w:hint="eastAsia" w:ascii="宋体" w:hAnsi="宋体" w:eastAsia="宋体"/>
                <w:b/>
                <w:color w:val="000000" w:themeColor="text1"/>
                <w:sz w:val="18"/>
                <w:szCs w:val="18"/>
                <w14:textFill>
                  <w14:solidFill>
                    <w14:schemeClr w14:val="tx1"/>
                  </w14:solidFill>
                </w14:textFill>
              </w:rPr>
              <w:t>（W）</w:t>
            </w:r>
          </w:p>
        </w:tc>
        <w:tc>
          <w:tcPr>
            <w:tcW w:w="808" w:type="dxa"/>
            <w:vMerge w:val="restart"/>
            <w:vAlign w:val="center"/>
          </w:tcPr>
          <w:p w14:paraId="39901B1F">
            <w:pPr>
              <w:jc w:val="center"/>
              <w:rPr>
                <w:rFonts w:ascii="宋体" w:hAnsi="宋体" w:eastAsia="宋体"/>
                <w:b/>
                <w:color w:val="000000" w:themeColor="text1"/>
                <w:sz w:val="18"/>
                <w:szCs w:val="18"/>
                <w14:textFill>
                  <w14:solidFill>
                    <w14:schemeClr w14:val="tx1"/>
                  </w14:solidFill>
                </w14:textFill>
              </w:rPr>
            </w:pPr>
            <w:r>
              <w:rPr>
                <w:rFonts w:hint="eastAsia" w:ascii="宋体" w:hAnsi="宋体" w:eastAsia="宋体"/>
                <w:b/>
                <w:color w:val="000000" w:themeColor="text1"/>
                <w:sz w:val="18"/>
                <w:szCs w:val="18"/>
                <w14:textFill>
                  <w14:solidFill>
                    <w14:schemeClr w14:val="tx1"/>
                  </w14:solidFill>
                </w14:textFill>
              </w:rPr>
              <w:t>权重</w:t>
            </w:r>
          </w:p>
          <w:p w14:paraId="16ACA56F">
            <w:pPr>
              <w:jc w:val="center"/>
              <w:rPr>
                <w:rFonts w:ascii="宋体" w:hAnsi="宋体" w:eastAsia="宋体"/>
                <w:b/>
                <w:color w:val="000000" w:themeColor="text1"/>
                <w:sz w:val="18"/>
                <w:szCs w:val="18"/>
                <w14:textFill>
                  <w14:solidFill>
                    <w14:schemeClr w14:val="tx1"/>
                  </w14:solidFill>
                </w14:textFill>
              </w:rPr>
            </w:pPr>
            <w:r>
              <w:rPr>
                <w:rFonts w:hint="eastAsia" w:ascii="宋体" w:hAnsi="宋体" w:eastAsia="宋体"/>
                <w:b/>
                <w:color w:val="000000" w:themeColor="text1"/>
                <w:sz w:val="18"/>
                <w:szCs w:val="18"/>
                <w14:textFill>
                  <w14:solidFill>
                    <w14:schemeClr w14:val="tx1"/>
                  </w14:solidFill>
                </w14:textFill>
              </w:rPr>
              <w:t>(I）</w:t>
            </w:r>
          </w:p>
        </w:tc>
        <w:tc>
          <w:tcPr>
            <w:tcW w:w="4609" w:type="dxa"/>
            <w:gridSpan w:val="5"/>
            <w:vAlign w:val="center"/>
          </w:tcPr>
          <w:p w14:paraId="1069622C">
            <w:pPr>
              <w:jc w:val="center"/>
              <w:rPr>
                <w:rFonts w:ascii="宋体" w:hAnsi="宋体" w:eastAsia="宋体"/>
                <w:b/>
                <w:color w:val="000000" w:themeColor="text1"/>
                <w:sz w:val="18"/>
                <w:szCs w:val="18"/>
                <w14:textFill>
                  <w14:solidFill>
                    <w14:schemeClr w14:val="tx1"/>
                  </w14:solidFill>
                </w14:textFill>
              </w:rPr>
            </w:pPr>
            <w:r>
              <w:rPr>
                <w:rFonts w:hint="eastAsia" w:ascii="宋体" w:hAnsi="宋体" w:eastAsia="宋体"/>
                <w:b/>
                <w:color w:val="000000" w:themeColor="text1"/>
                <w:sz w:val="18"/>
                <w:szCs w:val="18"/>
                <w14:textFill>
                  <w14:solidFill>
                    <w14:schemeClr w14:val="tx1"/>
                  </w14:solidFill>
                </w14:textFill>
              </w:rPr>
              <w:t>风险程度（R）</w:t>
            </w:r>
          </w:p>
        </w:tc>
        <w:tc>
          <w:tcPr>
            <w:tcW w:w="1896" w:type="dxa"/>
            <w:vMerge w:val="restart"/>
            <w:vAlign w:val="center"/>
          </w:tcPr>
          <w:p w14:paraId="0EBC8DA5">
            <w:pPr>
              <w:jc w:val="center"/>
              <w:rPr>
                <w:rFonts w:ascii="宋体" w:hAnsi="宋体" w:eastAsia="宋体"/>
                <w:b/>
                <w:color w:val="000000" w:themeColor="text1"/>
                <w:sz w:val="18"/>
                <w:szCs w:val="18"/>
                <w14:textFill>
                  <w14:solidFill>
                    <w14:schemeClr w14:val="tx1"/>
                  </w14:solidFill>
                </w14:textFill>
              </w:rPr>
            </w:pPr>
            <w:r>
              <w:rPr>
                <w:rFonts w:hint="eastAsia" w:ascii="宋体" w:hAnsi="宋体" w:eastAsia="宋体"/>
                <w:b/>
                <w:color w:val="000000" w:themeColor="text1"/>
                <w:sz w:val="18"/>
                <w:szCs w:val="18"/>
                <w14:textFill>
                  <w14:solidFill>
                    <w14:schemeClr w14:val="tx1"/>
                  </w14:solidFill>
                </w14:textFill>
              </w:rPr>
              <w:t>风险指数</w:t>
            </w:r>
          </w:p>
          <w:p w14:paraId="16AFE17F">
            <w:pPr>
              <w:jc w:val="center"/>
              <w:rPr>
                <w:rFonts w:ascii="宋体" w:hAnsi="宋体" w:eastAsia="宋体"/>
                <w:color w:val="000000" w:themeColor="text1"/>
                <w:sz w:val="18"/>
                <w:szCs w:val="18"/>
                <w14:textFill>
                  <w14:solidFill>
                    <w14:schemeClr w14:val="tx1"/>
                  </w14:solidFill>
                </w14:textFill>
              </w:rPr>
            </w:pPr>
            <w:r>
              <w:rPr>
                <w:rFonts w:hint="eastAsia" w:ascii="宋体" w:hAnsi="宋体" w:eastAsia="宋体"/>
                <w:b/>
                <w:color w:val="000000" w:themeColor="text1"/>
                <w:sz w:val="18"/>
                <w:szCs w:val="18"/>
                <w14:textFill>
                  <w14:solidFill>
                    <w14:schemeClr w14:val="tx1"/>
                  </w14:solidFill>
                </w14:textFill>
              </w:rPr>
              <w:t>（R×I）</w:t>
            </w:r>
          </w:p>
        </w:tc>
      </w:tr>
      <w:tr w14:paraId="743592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0" w:type="dxa"/>
            <w:vMerge w:val="continue"/>
            <w:vAlign w:val="center"/>
          </w:tcPr>
          <w:p w14:paraId="59642475">
            <w:pPr>
              <w:jc w:val="center"/>
              <w:rPr>
                <w:rFonts w:ascii="宋体" w:hAnsi="宋体" w:eastAsia="宋体"/>
                <w:color w:val="000000" w:themeColor="text1"/>
                <w:sz w:val="18"/>
                <w:szCs w:val="18"/>
                <w14:textFill>
                  <w14:solidFill>
                    <w14:schemeClr w14:val="tx1"/>
                  </w14:solidFill>
                </w14:textFill>
              </w:rPr>
            </w:pPr>
          </w:p>
        </w:tc>
        <w:tc>
          <w:tcPr>
            <w:tcW w:w="808" w:type="dxa"/>
            <w:vMerge w:val="continue"/>
            <w:vAlign w:val="center"/>
          </w:tcPr>
          <w:p w14:paraId="2D4E77DE">
            <w:pPr>
              <w:jc w:val="center"/>
              <w:rPr>
                <w:rFonts w:ascii="宋体" w:hAnsi="宋体" w:eastAsia="宋体"/>
                <w:color w:val="000000" w:themeColor="text1"/>
                <w:sz w:val="18"/>
                <w:szCs w:val="18"/>
                <w14:textFill>
                  <w14:solidFill>
                    <w14:schemeClr w14:val="tx1"/>
                  </w14:solidFill>
                </w14:textFill>
              </w:rPr>
            </w:pPr>
          </w:p>
        </w:tc>
        <w:tc>
          <w:tcPr>
            <w:tcW w:w="960" w:type="dxa"/>
            <w:vAlign w:val="center"/>
          </w:tcPr>
          <w:p w14:paraId="0343CD28">
            <w:pPr>
              <w:jc w:val="center"/>
              <w:rPr>
                <w:rFonts w:ascii="宋体" w:hAnsi="宋体" w:eastAsia="宋体"/>
                <w:color w:val="000000" w:themeColor="text1"/>
                <w:sz w:val="18"/>
                <w:szCs w:val="18"/>
                <w14:textFill>
                  <w14:solidFill>
                    <w14:schemeClr w14:val="tx1"/>
                  </w14:solidFill>
                </w14:textFill>
              </w:rPr>
            </w:pPr>
            <w:r>
              <w:rPr>
                <w:rFonts w:hint="eastAsia" w:ascii="宋体" w:hAnsi="宋体" w:eastAsia="宋体"/>
                <w:color w:val="000000" w:themeColor="text1"/>
                <w:sz w:val="18"/>
                <w:szCs w:val="18"/>
                <w14:textFill>
                  <w14:solidFill>
                    <w14:schemeClr w14:val="tx1"/>
                  </w14:solidFill>
                </w14:textFill>
              </w:rPr>
              <w:t>微小</w:t>
            </w:r>
          </w:p>
          <w:p w14:paraId="03EE0A47">
            <w:pPr>
              <w:jc w:val="center"/>
              <w:rPr>
                <w:rFonts w:ascii="宋体" w:hAnsi="宋体" w:eastAsia="宋体"/>
                <w:color w:val="000000" w:themeColor="text1"/>
                <w:sz w:val="18"/>
                <w:szCs w:val="18"/>
                <w14:textFill>
                  <w14:solidFill>
                    <w14:schemeClr w14:val="tx1"/>
                  </w14:solidFill>
                </w14:textFill>
              </w:rPr>
            </w:pPr>
            <w:r>
              <w:rPr>
                <w:rFonts w:hint="eastAsia" w:ascii="宋体" w:hAnsi="宋体" w:eastAsia="宋体"/>
                <w:color w:val="000000" w:themeColor="text1"/>
                <w:sz w:val="18"/>
                <w:szCs w:val="18"/>
                <w14:textFill>
                  <w14:solidFill>
                    <w14:schemeClr w14:val="tx1"/>
                  </w14:solidFill>
                </w14:textFill>
              </w:rPr>
              <w:t>（0.04）</w:t>
            </w:r>
          </w:p>
        </w:tc>
        <w:tc>
          <w:tcPr>
            <w:tcW w:w="1064" w:type="dxa"/>
            <w:vAlign w:val="center"/>
          </w:tcPr>
          <w:p w14:paraId="1F5D423A">
            <w:pPr>
              <w:jc w:val="center"/>
              <w:rPr>
                <w:rFonts w:ascii="宋体" w:hAnsi="宋体" w:eastAsia="宋体"/>
                <w:color w:val="000000" w:themeColor="text1"/>
                <w:sz w:val="18"/>
                <w:szCs w:val="18"/>
                <w14:textFill>
                  <w14:solidFill>
                    <w14:schemeClr w14:val="tx1"/>
                  </w14:solidFill>
                </w14:textFill>
              </w:rPr>
            </w:pPr>
            <w:r>
              <w:rPr>
                <w:rFonts w:hint="eastAsia" w:ascii="宋体" w:hAnsi="宋体" w:eastAsia="宋体"/>
                <w:color w:val="000000" w:themeColor="text1"/>
                <w:sz w:val="18"/>
                <w:szCs w:val="18"/>
                <w14:textFill>
                  <w14:solidFill>
                    <w14:schemeClr w14:val="tx1"/>
                  </w14:solidFill>
                </w14:textFill>
              </w:rPr>
              <w:t>较小</w:t>
            </w:r>
          </w:p>
          <w:p w14:paraId="09B4AA97">
            <w:pPr>
              <w:jc w:val="center"/>
              <w:rPr>
                <w:rFonts w:ascii="宋体" w:hAnsi="宋体" w:eastAsia="宋体"/>
                <w:color w:val="000000" w:themeColor="text1"/>
                <w:sz w:val="18"/>
                <w:szCs w:val="18"/>
                <w14:textFill>
                  <w14:solidFill>
                    <w14:schemeClr w14:val="tx1"/>
                  </w14:solidFill>
                </w14:textFill>
              </w:rPr>
            </w:pPr>
            <w:r>
              <w:rPr>
                <w:rFonts w:hint="eastAsia" w:ascii="宋体" w:hAnsi="宋体" w:eastAsia="宋体"/>
                <w:color w:val="000000" w:themeColor="text1"/>
                <w:sz w:val="18"/>
                <w:szCs w:val="18"/>
                <w14:textFill>
                  <w14:solidFill>
                    <w14:schemeClr w14:val="tx1"/>
                  </w14:solidFill>
                </w14:textFill>
              </w:rPr>
              <w:t>（0.16）</w:t>
            </w:r>
          </w:p>
        </w:tc>
        <w:tc>
          <w:tcPr>
            <w:tcW w:w="952" w:type="dxa"/>
            <w:vAlign w:val="center"/>
          </w:tcPr>
          <w:p w14:paraId="66CED92C">
            <w:pPr>
              <w:jc w:val="center"/>
              <w:rPr>
                <w:rFonts w:ascii="宋体" w:hAnsi="宋体" w:eastAsia="宋体"/>
                <w:color w:val="000000" w:themeColor="text1"/>
                <w:sz w:val="18"/>
                <w:szCs w:val="18"/>
                <w14:textFill>
                  <w14:solidFill>
                    <w14:schemeClr w14:val="tx1"/>
                  </w14:solidFill>
                </w14:textFill>
              </w:rPr>
            </w:pPr>
            <w:r>
              <w:rPr>
                <w:rFonts w:hint="eastAsia" w:ascii="宋体" w:hAnsi="宋体" w:eastAsia="宋体"/>
                <w:color w:val="000000" w:themeColor="text1"/>
                <w:sz w:val="18"/>
                <w:szCs w:val="18"/>
                <w14:textFill>
                  <w14:solidFill>
                    <w14:schemeClr w14:val="tx1"/>
                  </w14:solidFill>
                </w14:textFill>
              </w:rPr>
              <w:t>一般</w:t>
            </w:r>
          </w:p>
          <w:p w14:paraId="51862986">
            <w:pPr>
              <w:jc w:val="center"/>
              <w:rPr>
                <w:rFonts w:ascii="宋体" w:hAnsi="宋体" w:eastAsia="宋体"/>
                <w:color w:val="000000" w:themeColor="text1"/>
                <w:sz w:val="18"/>
                <w:szCs w:val="18"/>
                <w14:textFill>
                  <w14:solidFill>
                    <w14:schemeClr w14:val="tx1"/>
                  </w14:solidFill>
                </w14:textFill>
              </w:rPr>
            </w:pPr>
            <w:r>
              <w:rPr>
                <w:rFonts w:hint="eastAsia" w:ascii="宋体" w:hAnsi="宋体" w:eastAsia="宋体"/>
                <w:color w:val="000000" w:themeColor="text1"/>
                <w:sz w:val="18"/>
                <w:szCs w:val="18"/>
                <w14:textFill>
                  <w14:solidFill>
                    <w14:schemeClr w14:val="tx1"/>
                  </w14:solidFill>
                </w14:textFill>
              </w:rPr>
              <w:t>（0.36）</w:t>
            </w:r>
          </w:p>
        </w:tc>
        <w:tc>
          <w:tcPr>
            <w:tcW w:w="979" w:type="dxa"/>
            <w:vAlign w:val="center"/>
          </w:tcPr>
          <w:p w14:paraId="201E2F73">
            <w:pPr>
              <w:jc w:val="center"/>
              <w:rPr>
                <w:rFonts w:ascii="宋体" w:hAnsi="宋体" w:eastAsia="宋体"/>
                <w:color w:val="000000" w:themeColor="text1"/>
                <w:sz w:val="18"/>
                <w:szCs w:val="18"/>
                <w14:textFill>
                  <w14:solidFill>
                    <w14:schemeClr w14:val="tx1"/>
                  </w14:solidFill>
                </w14:textFill>
              </w:rPr>
            </w:pPr>
            <w:r>
              <w:rPr>
                <w:rFonts w:hint="eastAsia" w:ascii="宋体" w:hAnsi="宋体" w:eastAsia="宋体"/>
                <w:color w:val="000000" w:themeColor="text1"/>
                <w:sz w:val="18"/>
                <w:szCs w:val="18"/>
                <w14:textFill>
                  <w14:solidFill>
                    <w14:schemeClr w14:val="tx1"/>
                  </w14:solidFill>
                </w14:textFill>
              </w:rPr>
              <w:t>较大</w:t>
            </w:r>
          </w:p>
          <w:p w14:paraId="449B18B0">
            <w:pPr>
              <w:jc w:val="center"/>
              <w:rPr>
                <w:rFonts w:ascii="宋体" w:hAnsi="宋体" w:eastAsia="宋体"/>
                <w:color w:val="000000" w:themeColor="text1"/>
                <w:sz w:val="18"/>
                <w:szCs w:val="18"/>
                <w14:textFill>
                  <w14:solidFill>
                    <w14:schemeClr w14:val="tx1"/>
                  </w14:solidFill>
                </w14:textFill>
              </w:rPr>
            </w:pPr>
            <w:r>
              <w:rPr>
                <w:rFonts w:hint="eastAsia" w:ascii="宋体" w:hAnsi="宋体" w:eastAsia="宋体"/>
                <w:color w:val="000000" w:themeColor="text1"/>
                <w:sz w:val="18"/>
                <w:szCs w:val="18"/>
                <w14:textFill>
                  <w14:solidFill>
                    <w14:schemeClr w14:val="tx1"/>
                  </w14:solidFill>
                </w14:textFill>
              </w:rPr>
              <w:t>（0.64）</w:t>
            </w:r>
          </w:p>
        </w:tc>
        <w:tc>
          <w:tcPr>
            <w:tcW w:w="654" w:type="dxa"/>
            <w:vAlign w:val="center"/>
          </w:tcPr>
          <w:p w14:paraId="5728E5D4">
            <w:pPr>
              <w:jc w:val="center"/>
              <w:rPr>
                <w:rFonts w:ascii="宋体" w:hAnsi="宋体" w:eastAsia="宋体"/>
                <w:color w:val="000000" w:themeColor="text1"/>
                <w:sz w:val="18"/>
                <w:szCs w:val="18"/>
                <w14:textFill>
                  <w14:solidFill>
                    <w14:schemeClr w14:val="tx1"/>
                  </w14:solidFill>
                </w14:textFill>
              </w:rPr>
            </w:pPr>
            <w:r>
              <w:rPr>
                <w:rFonts w:hint="eastAsia" w:ascii="宋体" w:hAnsi="宋体" w:eastAsia="宋体"/>
                <w:color w:val="000000" w:themeColor="text1"/>
                <w:sz w:val="18"/>
                <w:szCs w:val="18"/>
                <w14:textFill>
                  <w14:solidFill>
                    <w14:schemeClr w14:val="tx1"/>
                  </w14:solidFill>
                </w14:textFill>
              </w:rPr>
              <w:t>重大</w:t>
            </w:r>
          </w:p>
          <w:p w14:paraId="7CB742F2">
            <w:pPr>
              <w:jc w:val="center"/>
              <w:rPr>
                <w:rFonts w:ascii="宋体" w:hAnsi="宋体" w:eastAsia="宋体"/>
                <w:color w:val="000000" w:themeColor="text1"/>
                <w:sz w:val="18"/>
                <w:szCs w:val="18"/>
                <w14:textFill>
                  <w14:solidFill>
                    <w14:schemeClr w14:val="tx1"/>
                  </w14:solidFill>
                </w14:textFill>
              </w:rPr>
            </w:pPr>
            <w:r>
              <w:rPr>
                <w:rFonts w:hint="eastAsia" w:ascii="宋体" w:hAnsi="宋体" w:eastAsia="宋体"/>
                <w:color w:val="000000" w:themeColor="text1"/>
                <w:sz w:val="18"/>
                <w:szCs w:val="18"/>
                <w14:textFill>
                  <w14:solidFill>
                    <w14:schemeClr w14:val="tx1"/>
                  </w14:solidFill>
                </w14:textFill>
              </w:rPr>
              <w:t>（1）</w:t>
            </w:r>
          </w:p>
        </w:tc>
        <w:tc>
          <w:tcPr>
            <w:tcW w:w="1896" w:type="dxa"/>
            <w:vMerge w:val="continue"/>
            <w:vAlign w:val="center"/>
          </w:tcPr>
          <w:p w14:paraId="732CCE5F">
            <w:pPr>
              <w:jc w:val="center"/>
              <w:rPr>
                <w:rFonts w:ascii="宋体" w:hAnsi="宋体" w:eastAsia="宋体"/>
                <w:color w:val="000000" w:themeColor="text1"/>
                <w:sz w:val="18"/>
                <w:szCs w:val="18"/>
                <w14:textFill>
                  <w14:solidFill>
                    <w14:schemeClr w14:val="tx1"/>
                  </w14:solidFill>
                </w14:textFill>
              </w:rPr>
            </w:pPr>
          </w:p>
        </w:tc>
      </w:tr>
      <w:tr w14:paraId="20F49C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0" w:type="dxa"/>
            <w:vAlign w:val="center"/>
          </w:tcPr>
          <w:p w14:paraId="25BB1B9B">
            <w:pPr>
              <w:jc w:val="center"/>
              <w:rPr>
                <w:rFonts w:ascii="宋体" w:hAnsi="宋体" w:eastAsia="宋体"/>
                <w:color w:val="000000" w:themeColor="text1"/>
                <w:sz w:val="18"/>
                <w:szCs w:val="18"/>
                <w14:textFill>
                  <w14:solidFill>
                    <w14:schemeClr w14:val="tx1"/>
                  </w14:solidFill>
                </w14:textFill>
              </w:rPr>
            </w:pPr>
            <w:r>
              <w:rPr>
                <w:rFonts w:hint="eastAsia" w:ascii="宋体" w:hAnsi="宋体" w:eastAsia="宋体"/>
                <w:color w:val="000000" w:themeColor="text1"/>
                <w:sz w:val="18"/>
                <w:szCs w:val="18"/>
                <w14:textFill>
                  <w14:solidFill>
                    <w14:schemeClr w14:val="tx1"/>
                  </w14:solidFill>
                </w14:textFill>
              </w:rPr>
              <w:t>W</w:t>
            </w:r>
            <w:r>
              <w:rPr>
                <w:rFonts w:hint="eastAsia" w:ascii="宋体" w:hAnsi="宋体" w:eastAsia="宋体"/>
                <w:color w:val="000000" w:themeColor="text1"/>
                <w:sz w:val="18"/>
                <w:szCs w:val="18"/>
                <w:vertAlign w:val="subscript"/>
                <w14:textFill>
                  <w14:solidFill>
                    <w14:schemeClr w14:val="tx1"/>
                  </w14:solidFill>
                </w14:textFill>
              </w:rPr>
              <w:t>1</w:t>
            </w:r>
          </w:p>
        </w:tc>
        <w:tc>
          <w:tcPr>
            <w:tcW w:w="808" w:type="dxa"/>
            <w:vAlign w:val="center"/>
          </w:tcPr>
          <w:p w14:paraId="79F7EF73">
            <w:pPr>
              <w:jc w:val="center"/>
              <w:rPr>
                <w:rFonts w:ascii="宋体" w:hAnsi="宋体" w:eastAsia="宋体"/>
                <w:color w:val="000000" w:themeColor="text1"/>
                <w:sz w:val="18"/>
                <w:szCs w:val="18"/>
                <w14:textFill>
                  <w14:solidFill>
                    <w14:schemeClr w14:val="tx1"/>
                  </w14:solidFill>
                </w14:textFill>
              </w:rPr>
            </w:pPr>
          </w:p>
        </w:tc>
        <w:tc>
          <w:tcPr>
            <w:tcW w:w="960" w:type="dxa"/>
            <w:vAlign w:val="center"/>
          </w:tcPr>
          <w:p w14:paraId="2B64869E">
            <w:pPr>
              <w:jc w:val="center"/>
              <w:rPr>
                <w:rFonts w:ascii="宋体" w:hAnsi="宋体" w:eastAsia="宋体"/>
                <w:color w:val="000000" w:themeColor="text1"/>
                <w:sz w:val="18"/>
                <w:szCs w:val="18"/>
                <w14:textFill>
                  <w14:solidFill>
                    <w14:schemeClr w14:val="tx1"/>
                  </w14:solidFill>
                </w14:textFill>
              </w:rPr>
            </w:pPr>
          </w:p>
        </w:tc>
        <w:tc>
          <w:tcPr>
            <w:tcW w:w="1064" w:type="dxa"/>
            <w:vAlign w:val="center"/>
          </w:tcPr>
          <w:p w14:paraId="4569882B">
            <w:pPr>
              <w:jc w:val="center"/>
              <w:rPr>
                <w:rFonts w:ascii="宋体" w:hAnsi="宋体" w:eastAsia="宋体"/>
                <w:color w:val="000000" w:themeColor="text1"/>
                <w:sz w:val="18"/>
                <w:szCs w:val="18"/>
                <w14:textFill>
                  <w14:solidFill>
                    <w14:schemeClr w14:val="tx1"/>
                  </w14:solidFill>
                </w14:textFill>
              </w:rPr>
            </w:pPr>
          </w:p>
        </w:tc>
        <w:tc>
          <w:tcPr>
            <w:tcW w:w="952" w:type="dxa"/>
            <w:vAlign w:val="center"/>
          </w:tcPr>
          <w:p w14:paraId="1A09DB1D">
            <w:pPr>
              <w:jc w:val="center"/>
              <w:rPr>
                <w:rFonts w:ascii="宋体" w:hAnsi="宋体" w:eastAsia="宋体"/>
                <w:color w:val="000000" w:themeColor="text1"/>
                <w:sz w:val="18"/>
                <w:szCs w:val="18"/>
                <w14:textFill>
                  <w14:solidFill>
                    <w14:schemeClr w14:val="tx1"/>
                  </w14:solidFill>
                </w14:textFill>
              </w:rPr>
            </w:pPr>
          </w:p>
        </w:tc>
        <w:tc>
          <w:tcPr>
            <w:tcW w:w="979" w:type="dxa"/>
            <w:vAlign w:val="center"/>
          </w:tcPr>
          <w:p w14:paraId="193C275D">
            <w:pPr>
              <w:jc w:val="center"/>
              <w:rPr>
                <w:rFonts w:ascii="宋体" w:hAnsi="宋体" w:eastAsia="宋体"/>
                <w:color w:val="000000" w:themeColor="text1"/>
                <w:sz w:val="18"/>
                <w:szCs w:val="18"/>
                <w14:textFill>
                  <w14:solidFill>
                    <w14:schemeClr w14:val="tx1"/>
                  </w14:solidFill>
                </w14:textFill>
              </w:rPr>
            </w:pPr>
          </w:p>
        </w:tc>
        <w:tc>
          <w:tcPr>
            <w:tcW w:w="654" w:type="dxa"/>
            <w:vAlign w:val="center"/>
          </w:tcPr>
          <w:p w14:paraId="1F863D8F">
            <w:pPr>
              <w:jc w:val="center"/>
              <w:rPr>
                <w:rFonts w:ascii="宋体" w:hAnsi="宋体" w:eastAsia="宋体"/>
                <w:color w:val="000000" w:themeColor="text1"/>
                <w:sz w:val="18"/>
                <w:szCs w:val="18"/>
                <w14:textFill>
                  <w14:solidFill>
                    <w14:schemeClr w14:val="tx1"/>
                  </w14:solidFill>
                </w14:textFill>
              </w:rPr>
            </w:pPr>
          </w:p>
        </w:tc>
        <w:tc>
          <w:tcPr>
            <w:tcW w:w="1896" w:type="dxa"/>
            <w:vAlign w:val="center"/>
          </w:tcPr>
          <w:p w14:paraId="2C24CC75">
            <w:pPr>
              <w:jc w:val="center"/>
              <w:rPr>
                <w:rFonts w:ascii="宋体" w:hAnsi="宋体" w:eastAsia="宋体"/>
                <w:color w:val="000000" w:themeColor="text1"/>
                <w:sz w:val="18"/>
                <w:szCs w:val="18"/>
                <w14:textFill>
                  <w14:solidFill>
                    <w14:schemeClr w14:val="tx1"/>
                  </w14:solidFill>
                </w14:textFill>
              </w:rPr>
            </w:pPr>
          </w:p>
        </w:tc>
      </w:tr>
      <w:tr w14:paraId="7A1B16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0" w:type="dxa"/>
            <w:vAlign w:val="center"/>
          </w:tcPr>
          <w:p w14:paraId="093A3A95">
            <w:pPr>
              <w:jc w:val="center"/>
              <w:rPr>
                <w:rFonts w:ascii="宋体" w:hAnsi="宋体" w:eastAsia="宋体"/>
                <w:color w:val="000000" w:themeColor="text1"/>
                <w:sz w:val="18"/>
                <w:szCs w:val="18"/>
                <w14:textFill>
                  <w14:solidFill>
                    <w14:schemeClr w14:val="tx1"/>
                  </w14:solidFill>
                </w14:textFill>
              </w:rPr>
            </w:pPr>
            <w:r>
              <w:rPr>
                <w:rFonts w:hint="eastAsia" w:ascii="宋体" w:hAnsi="宋体" w:eastAsia="宋体"/>
                <w:color w:val="000000" w:themeColor="text1"/>
                <w:sz w:val="18"/>
                <w:szCs w:val="18"/>
                <w14:textFill>
                  <w14:solidFill>
                    <w14:schemeClr w14:val="tx1"/>
                  </w14:solidFill>
                </w14:textFill>
              </w:rPr>
              <w:t>W</w:t>
            </w:r>
            <w:r>
              <w:rPr>
                <w:rFonts w:hint="eastAsia" w:ascii="宋体" w:hAnsi="宋体" w:eastAsia="宋体"/>
                <w:color w:val="000000" w:themeColor="text1"/>
                <w:sz w:val="18"/>
                <w:szCs w:val="18"/>
                <w:vertAlign w:val="subscript"/>
                <w14:textFill>
                  <w14:solidFill>
                    <w14:schemeClr w14:val="tx1"/>
                  </w14:solidFill>
                </w14:textFill>
              </w:rPr>
              <w:t>2</w:t>
            </w:r>
          </w:p>
        </w:tc>
        <w:tc>
          <w:tcPr>
            <w:tcW w:w="808" w:type="dxa"/>
            <w:vAlign w:val="center"/>
          </w:tcPr>
          <w:p w14:paraId="501B3DA5">
            <w:pPr>
              <w:jc w:val="center"/>
              <w:rPr>
                <w:rFonts w:ascii="宋体" w:hAnsi="宋体" w:eastAsia="宋体"/>
                <w:color w:val="000000" w:themeColor="text1"/>
                <w:sz w:val="18"/>
                <w:szCs w:val="18"/>
                <w14:textFill>
                  <w14:solidFill>
                    <w14:schemeClr w14:val="tx1"/>
                  </w14:solidFill>
                </w14:textFill>
              </w:rPr>
            </w:pPr>
          </w:p>
        </w:tc>
        <w:tc>
          <w:tcPr>
            <w:tcW w:w="960" w:type="dxa"/>
            <w:vAlign w:val="center"/>
          </w:tcPr>
          <w:p w14:paraId="488CFDA2">
            <w:pPr>
              <w:jc w:val="center"/>
              <w:rPr>
                <w:rFonts w:ascii="宋体" w:hAnsi="宋体" w:eastAsia="宋体"/>
                <w:color w:val="000000" w:themeColor="text1"/>
                <w:sz w:val="18"/>
                <w:szCs w:val="18"/>
                <w14:textFill>
                  <w14:solidFill>
                    <w14:schemeClr w14:val="tx1"/>
                  </w14:solidFill>
                </w14:textFill>
              </w:rPr>
            </w:pPr>
          </w:p>
        </w:tc>
        <w:tc>
          <w:tcPr>
            <w:tcW w:w="1064" w:type="dxa"/>
            <w:vAlign w:val="center"/>
          </w:tcPr>
          <w:p w14:paraId="463E695F">
            <w:pPr>
              <w:jc w:val="center"/>
              <w:rPr>
                <w:rFonts w:ascii="宋体" w:hAnsi="宋体" w:eastAsia="宋体"/>
                <w:color w:val="000000" w:themeColor="text1"/>
                <w:sz w:val="18"/>
                <w:szCs w:val="18"/>
                <w14:textFill>
                  <w14:solidFill>
                    <w14:schemeClr w14:val="tx1"/>
                  </w14:solidFill>
                </w14:textFill>
              </w:rPr>
            </w:pPr>
          </w:p>
        </w:tc>
        <w:tc>
          <w:tcPr>
            <w:tcW w:w="952" w:type="dxa"/>
            <w:vAlign w:val="center"/>
          </w:tcPr>
          <w:p w14:paraId="4A05A1FF">
            <w:pPr>
              <w:jc w:val="center"/>
              <w:rPr>
                <w:rFonts w:ascii="宋体" w:hAnsi="宋体" w:eastAsia="宋体"/>
                <w:color w:val="000000" w:themeColor="text1"/>
                <w:sz w:val="18"/>
                <w:szCs w:val="18"/>
                <w14:textFill>
                  <w14:solidFill>
                    <w14:schemeClr w14:val="tx1"/>
                  </w14:solidFill>
                </w14:textFill>
              </w:rPr>
            </w:pPr>
          </w:p>
        </w:tc>
        <w:tc>
          <w:tcPr>
            <w:tcW w:w="979" w:type="dxa"/>
            <w:vAlign w:val="center"/>
          </w:tcPr>
          <w:p w14:paraId="03D15494">
            <w:pPr>
              <w:jc w:val="center"/>
              <w:rPr>
                <w:rFonts w:ascii="宋体" w:hAnsi="宋体" w:eastAsia="宋体"/>
                <w:color w:val="000000" w:themeColor="text1"/>
                <w:sz w:val="18"/>
                <w:szCs w:val="18"/>
                <w14:textFill>
                  <w14:solidFill>
                    <w14:schemeClr w14:val="tx1"/>
                  </w14:solidFill>
                </w14:textFill>
              </w:rPr>
            </w:pPr>
          </w:p>
        </w:tc>
        <w:tc>
          <w:tcPr>
            <w:tcW w:w="654" w:type="dxa"/>
            <w:vAlign w:val="center"/>
          </w:tcPr>
          <w:p w14:paraId="6C2787F8">
            <w:pPr>
              <w:jc w:val="center"/>
              <w:rPr>
                <w:rFonts w:ascii="宋体" w:hAnsi="宋体" w:eastAsia="宋体"/>
                <w:color w:val="000000" w:themeColor="text1"/>
                <w:sz w:val="18"/>
                <w:szCs w:val="18"/>
                <w14:textFill>
                  <w14:solidFill>
                    <w14:schemeClr w14:val="tx1"/>
                  </w14:solidFill>
                </w14:textFill>
              </w:rPr>
            </w:pPr>
          </w:p>
        </w:tc>
        <w:tc>
          <w:tcPr>
            <w:tcW w:w="1896" w:type="dxa"/>
            <w:vAlign w:val="center"/>
          </w:tcPr>
          <w:p w14:paraId="3590E5B1">
            <w:pPr>
              <w:jc w:val="center"/>
              <w:rPr>
                <w:rFonts w:ascii="宋体" w:hAnsi="宋体" w:eastAsia="宋体"/>
                <w:color w:val="000000" w:themeColor="text1"/>
                <w:sz w:val="18"/>
                <w:szCs w:val="18"/>
                <w14:textFill>
                  <w14:solidFill>
                    <w14:schemeClr w14:val="tx1"/>
                  </w14:solidFill>
                </w14:textFill>
              </w:rPr>
            </w:pPr>
          </w:p>
        </w:tc>
      </w:tr>
      <w:tr w14:paraId="1EE611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0" w:type="dxa"/>
            <w:vAlign w:val="center"/>
          </w:tcPr>
          <w:p w14:paraId="16F3CCDC">
            <w:pPr>
              <w:jc w:val="center"/>
              <w:rPr>
                <w:rFonts w:ascii="宋体" w:hAnsi="宋体" w:eastAsia="宋体"/>
                <w:color w:val="000000" w:themeColor="text1"/>
                <w:sz w:val="18"/>
                <w:szCs w:val="18"/>
                <w14:textFill>
                  <w14:solidFill>
                    <w14:schemeClr w14:val="tx1"/>
                  </w14:solidFill>
                </w14:textFill>
              </w:rPr>
            </w:pPr>
            <w:r>
              <w:rPr>
                <w:rFonts w:hint="eastAsia" w:ascii="宋体" w:hAnsi="宋体" w:eastAsia="宋体"/>
                <w:color w:val="000000" w:themeColor="text1"/>
                <w:sz w:val="18"/>
                <w:szCs w:val="18"/>
                <w14:textFill>
                  <w14:solidFill>
                    <w14:schemeClr w14:val="tx1"/>
                  </w14:solidFill>
                </w14:textFill>
              </w:rPr>
              <w:t>……</w:t>
            </w:r>
          </w:p>
        </w:tc>
        <w:tc>
          <w:tcPr>
            <w:tcW w:w="808" w:type="dxa"/>
            <w:vAlign w:val="center"/>
          </w:tcPr>
          <w:p w14:paraId="741D2649">
            <w:pPr>
              <w:jc w:val="center"/>
              <w:rPr>
                <w:rFonts w:ascii="宋体" w:hAnsi="宋体" w:eastAsia="宋体"/>
                <w:color w:val="000000" w:themeColor="text1"/>
                <w:sz w:val="18"/>
                <w:szCs w:val="18"/>
                <w14:textFill>
                  <w14:solidFill>
                    <w14:schemeClr w14:val="tx1"/>
                  </w14:solidFill>
                </w14:textFill>
              </w:rPr>
            </w:pPr>
          </w:p>
        </w:tc>
        <w:tc>
          <w:tcPr>
            <w:tcW w:w="960" w:type="dxa"/>
            <w:vAlign w:val="center"/>
          </w:tcPr>
          <w:p w14:paraId="19FAF2F6">
            <w:pPr>
              <w:jc w:val="center"/>
              <w:rPr>
                <w:rFonts w:ascii="宋体" w:hAnsi="宋体" w:eastAsia="宋体"/>
                <w:color w:val="000000" w:themeColor="text1"/>
                <w:sz w:val="18"/>
                <w:szCs w:val="18"/>
                <w14:textFill>
                  <w14:solidFill>
                    <w14:schemeClr w14:val="tx1"/>
                  </w14:solidFill>
                </w14:textFill>
              </w:rPr>
            </w:pPr>
          </w:p>
        </w:tc>
        <w:tc>
          <w:tcPr>
            <w:tcW w:w="1064" w:type="dxa"/>
            <w:vAlign w:val="center"/>
          </w:tcPr>
          <w:p w14:paraId="652AAFCC">
            <w:pPr>
              <w:jc w:val="center"/>
              <w:rPr>
                <w:rFonts w:ascii="宋体" w:hAnsi="宋体" w:eastAsia="宋体"/>
                <w:color w:val="000000" w:themeColor="text1"/>
                <w:sz w:val="18"/>
                <w:szCs w:val="18"/>
                <w14:textFill>
                  <w14:solidFill>
                    <w14:schemeClr w14:val="tx1"/>
                  </w14:solidFill>
                </w14:textFill>
              </w:rPr>
            </w:pPr>
          </w:p>
        </w:tc>
        <w:tc>
          <w:tcPr>
            <w:tcW w:w="952" w:type="dxa"/>
            <w:vAlign w:val="center"/>
          </w:tcPr>
          <w:p w14:paraId="7B1269C0">
            <w:pPr>
              <w:jc w:val="center"/>
              <w:rPr>
                <w:rFonts w:ascii="宋体" w:hAnsi="宋体" w:eastAsia="宋体"/>
                <w:color w:val="000000" w:themeColor="text1"/>
                <w:sz w:val="18"/>
                <w:szCs w:val="18"/>
                <w14:textFill>
                  <w14:solidFill>
                    <w14:schemeClr w14:val="tx1"/>
                  </w14:solidFill>
                </w14:textFill>
              </w:rPr>
            </w:pPr>
          </w:p>
        </w:tc>
        <w:tc>
          <w:tcPr>
            <w:tcW w:w="979" w:type="dxa"/>
            <w:vAlign w:val="center"/>
          </w:tcPr>
          <w:p w14:paraId="65FE61A8">
            <w:pPr>
              <w:jc w:val="center"/>
              <w:rPr>
                <w:rFonts w:ascii="宋体" w:hAnsi="宋体" w:eastAsia="宋体"/>
                <w:color w:val="000000" w:themeColor="text1"/>
                <w:sz w:val="18"/>
                <w:szCs w:val="18"/>
                <w14:textFill>
                  <w14:solidFill>
                    <w14:schemeClr w14:val="tx1"/>
                  </w14:solidFill>
                </w14:textFill>
              </w:rPr>
            </w:pPr>
          </w:p>
        </w:tc>
        <w:tc>
          <w:tcPr>
            <w:tcW w:w="654" w:type="dxa"/>
            <w:vAlign w:val="center"/>
          </w:tcPr>
          <w:p w14:paraId="7DEC3F93">
            <w:pPr>
              <w:jc w:val="center"/>
              <w:rPr>
                <w:rFonts w:ascii="宋体" w:hAnsi="宋体" w:eastAsia="宋体"/>
                <w:color w:val="000000" w:themeColor="text1"/>
                <w:sz w:val="18"/>
                <w:szCs w:val="18"/>
                <w14:textFill>
                  <w14:solidFill>
                    <w14:schemeClr w14:val="tx1"/>
                  </w14:solidFill>
                </w14:textFill>
              </w:rPr>
            </w:pPr>
          </w:p>
        </w:tc>
        <w:tc>
          <w:tcPr>
            <w:tcW w:w="1896" w:type="dxa"/>
            <w:vAlign w:val="center"/>
          </w:tcPr>
          <w:p w14:paraId="1416557F">
            <w:pPr>
              <w:jc w:val="center"/>
              <w:rPr>
                <w:rFonts w:ascii="宋体" w:hAnsi="宋体" w:eastAsia="宋体"/>
                <w:color w:val="000000" w:themeColor="text1"/>
                <w:sz w:val="18"/>
                <w:szCs w:val="18"/>
                <w14:textFill>
                  <w14:solidFill>
                    <w14:schemeClr w14:val="tx1"/>
                  </w14:solidFill>
                </w14:textFill>
              </w:rPr>
            </w:pPr>
          </w:p>
        </w:tc>
      </w:tr>
      <w:tr w14:paraId="5C0888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7" w:type="dxa"/>
            <w:gridSpan w:val="7"/>
            <w:vAlign w:val="center"/>
          </w:tcPr>
          <w:p w14:paraId="335A6D61">
            <w:pPr>
              <w:jc w:val="center"/>
              <w:rPr>
                <w:rFonts w:ascii="宋体" w:hAnsi="宋体" w:eastAsia="宋体"/>
                <w:color w:val="000000" w:themeColor="text1"/>
                <w:sz w:val="18"/>
                <w:szCs w:val="18"/>
                <w14:textFill>
                  <w14:solidFill>
                    <w14:schemeClr w14:val="tx1"/>
                  </w14:solidFill>
                </w14:textFill>
              </w:rPr>
            </w:pPr>
            <w:r>
              <w:rPr>
                <w:rFonts w:hint="eastAsia" w:ascii="宋体" w:hAnsi="宋体" w:eastAsia="宋体"/>
                <w:color w:val="000000" w:themeColor="text1"/>
                <w:sz w:val="18"/>
                <w:szCs w:val="18"/>
                <w14:textFill>
                  <w14:solidFill>
                    <w14:schemeClr w14:val="tx1"/>
                  </w14:solidFill>
                </w14:textFill>
              </w:rPr>
              <w:t>W=∑R</w:t>
            </w:r>
            <w:r>
              <w:rPr>
                <w:rFonts w:hint="eastAsia" w:ascii="宋体" w:hAnsi="宋体" w:eastAsia="宋体"/>
                <w:color w:val="000000" w:themeColor="text1"/>
                <w:sz w:val="18"/>
                <w:szCs w:val="18"/>
                <w:vertAlign w:val="subscript"/>
                <w14:textFill>
                  <w14:solidFill>
                    <w14:schemeClr w14:val="tx1"/>
                  </w14:solidFill>
                </w14:textFill>
              </w:rPr>
              <w:t>n</w:t>
            </w:r>
            <w:r>
              <w:rPr>
                <w:rFonts w:hint="eastAsia" w:ascii="宋体" w:hAnsi="宋体" w:eastAsia="宋体"/>
                <w:color w:val="000000" w:themeColor="text1"/>
                <w:sz w:val="18"/>
                <w:szCs w:val="18"/>
                <w14:textFill>
                  <w14:solidFill>
                    <w14:schemeClr w14:val="tx1"/>
                  </w14:solidFill>
                </w14:textFill>
              </w:rPr>
              <w:t xml:space="preserve"> ×I</w:t>
            </w:r>
            <w:r>
              <w:rPr>
                <w:rFonts w:hint="eastAsia" w:ascii="宋体" w:hAnsi="宋体" w:eastAsia="宋体"/>
                <w:color w:val="000000" w:themeColor="text1"/>
                <w:sz w:val="18"/>
                <w:szCs w:val="18"/>
                <w:vertAlign w:val="subscript"/>
                <w14:textFill>
                  <w14:solidFill>
                    <w14:schemeClr w14:val="tx1"/>
                  </w14:solidFill>
                </w14:textFill>
              </w:rPr>
              <w:t>n</w:t>
            </w:r>
          </w:p>
        </w:tc>
        <w:tc>
          <w:tcPr>
            <w:tcW w:w="1896" w:type="dxa"/>
            <w:vAlign w:val="center"/>
          </w:tcPr>
          <w:p w14:paraId="6977D36B">
            <w:pPr>
              <w:jc w:val="center"/>
              <w:rPr>
                <w:rFonts w:ascii="宋体" w:hAnsi="宋体" w:eastAsia="宋体"/>
                <w:color w:val="000000" w:themeColor="text1"/>
                <w:sz w:val="18"/>
                <w:szCs w:val="18"/>
                <w14:textFill>
                  <w14:solidFill>
                    <w14:schemeClr w14:val="tx1"/>
                  </w14:solidFill>
                </w14:textFill>
              </w:rPr>
            </w:pPr>
          </w:p>
        </w:tc>
      </w:tr>
    </w:tbl>
    <w:p w14:paraId="15115971">
      <w:pPr>
        <w:pStyle w:val="44"/>
        <w:bidi w:val="0"/>
      </w:pPr>
      <w:r>
        <w:rPr>
          <w:rFonts w:hint="eastAsia"/>
        </w:rPr>
        <w:t>根据综合风险指数（W），最终确定决策事项风险指数，若</w:t>
      </w:r>
      <w:r>
        <w:t>W ≥70</w:t>
      </w:r>
      <w:r>
        <w:rPr>
          <w:rFonts w:hint="eastAsia"/>
        </w:rPr>
        <w:t>，为高风险；若</w:t>
      </w:r>
      <w:r>
        <w:t>40</w:t>
      </w:r>
      <w:r>
        <w:rPr>
          <w:rFonts w:hint="eastAsia"/>
        </w:rPr>
        <w:t>＜</w:t>
      </w:r>
      <w:r>
        <w:t>W</w:t>
      </w:r>
      <w:r>
        <w:rPr>
          <w:rFonts w:hint="eastAsia"/>
        </w:rPr>
        <w:t>＜</w:t>
      </w:r>
      <w:r>
        <w:t>70</w:t>
      </w:r>
      <w:r>
        <w:rPr>
          <w:rFonts w:hint="eastAsia"/>
        </w:rPr>
        <w:t>，为中风险；若</w:t>
      </w:r>
      <w:r>
        <w:t>W≤40</w:t>
      </w:r>
      <w:r>
        <w:rPr>
          <w:rFonts w:hint="eastAsia"/>
        </w:rPr>
        <w:t>，为低风险。</w:t>
      </w:r>
    </w:p>
    <w:p w14:paraId="7BA15B0D">
      <w:pPr>
        <w:rPr>
          <w:rFonts w:hint="eastAsia" w:ascii="黑体" w:hAnsi="Times New Roman" w:eastAsia="黑体" w:cs="黑体"/>
          <w:kern w:val="0"/>
          <w:sz w:val="21"/>
          <w:szCs w:val="20"/>
          <w:lang w:val="en-US" w:eastAsia="zh-CN"/>
        </w:rPr>
      </w:pPr>
      <w:r>
        <w:rPr>
          <w:rFonts w:hint="eastAsia" w:ascii="黑体" w:hAnsi="Times New Roman" w:eastAsia="黑体" w:cs="黑体"/>
          <w:kern w:val="0"/>
          <w:sz w:val="21"/>
          <w:szCs w:val="20"/>
          <w:lang w:val="en-US" w:eastAsia="zh-CN"/>
        </w:rPr>
        <w:t>F.2.3　风险等级综合评判</w:t>
      </w:r>
    </w:p>
    <w:p w14:paraId="7BC7564A">
      <w:pPr>
        <w:pStyle w:val="44"/>
        <w:bidi w:val="0"/>
      </w:pPr>
      <w:r>
        <w:rPr>
          <w:rFonts w:hint="eastAsia"/>
        </w:rPr>
        <w:t>综合分析评估项目可能引发的风险事件、参与的人数、产生的负面影响程度，以及单因素风险程度、群众支持度情况和综合风险指数，评判确定决策事项的最终风险等级。风险等级综合评判标准参见表F</w:t>
      </w:r>
      <w:r>
        <w:rPr>
          <w:rFonts w:hint="eastAsia"/>
          <w:lang w:val="en-US" w:eastAsia="zh-CN"/>
        </w:rPr>
        <w:t>.</w:t>
      </w:r>
      <w:r>
        <w:rPr>
          <w:rFonts w:hint="eastAsia"/>
        </w:rPr>
        <w:t>7。</w:t>
      </w:r>
    </w:p>
    <w:p w14:paraId="6370A592">
      <w:pPr>
        <w:ind w:firstLine="540"/>
        <w:jc w:val="center"/>
        <w:rPr>
          <w:rFonts w:ascii="宋体" w:hAnsi="宋体" w:eastAsia="宋体"/>
          <w:color w:val="000000" w:themeColor="text1"/>
          <w:sz w:val="28"/>
          <w:szCs w:val="28"/>
          <w14:textFill>
            <w14:solidFill>
              <w14:schemeClr w14:val="tx1"/>
            </w14:solidFill>
          </w14:textFill>
        </w:rPr>
      </w:pPr>
      <w:r>
        <w:rPr>
          <w:rFonts w:hint="eastAsia" w:ascii="黑体" w:hAnsi="黑体" w:eastAsia="黑体" w:cs="黑体"/>
          <w:kern w:val="0"/>
          <w:sz w:val="21"/>
          <w:szCs w:val="20"/>
        </w:rPr>
        <w:t>表F</w:t>
      </w:r>
      <w:r>
        <w:rPr>
          <w:rFonts w:hint="eastAsia" w:ascii="黑体" w:hAnsi="黑体" w:eastAsia="黑体" w:cs="黑体"/>
          <w:kern w:val="0"/>
          <w:sz w:val="21"/>
          <w:szCs w:val="20"/>
          <w:lang w:val="en-US" w:eastAsia="zh-CN"/>
        </w:rPr>
        <w:t xml:space="preserve">.7 </w:t>
      </w:r>
      <w:r>
        <w:rPr>
          <w:rFonts w:hint="eastAsia" w:ascii="黑体" w:hAnsi="黑体" w:eastAsia="黑体" w:cs="黑体"/>
          <w:kern w:val="0"/>
          <w:sz w:val="21"/>
          <w:szCs w:val="20"/>
        </w:rPr>
        <w:t xml:space="preserve"> 风险等级综合评判标准表</w:t>
      </w:r>
    </w:p>
    <w:tbl>
      <w:tblPr>
        <w:tblStyle w:val="26"/>
        <w:tblW w:w="86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16"/>
        <w:gridCol w:w="2274"/>
        <w:gridCol w:w="2547"/>
        <w:gridCol w:w="2279"/>
      </w:tblGrid>
      <w:tr w14:paraId="125C4C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6" w:type="dxa"/>
            <w:vMerge w:val="restart"/>
            <w:vAlign w:val="center"/>
          </w:tcPr>
          <w:p w14:paraId="129830B4">
            <w:pPr>
              <w:jc w:val="center"/>
              <w:rPr>
                <w:rFonts w:hint="eastAsia" w:ascii="宋体" w:hAnsi="宋体" w:eastAsia="宋体"/>
                <w:color w:val="000000" w:themeColor="text1"/>
                <w:sz w:val="18"/>
                <w:szCs w:val="18"/>
                <w14:textFill>
                  <w14:solidFill>
                    <w14:schemeClr w14:val="tx1"/>
                  </w14:solidFill>
                </w14:textFill>
              </w:rPr>
            </w:pPr>
            <w:r>
              <w:rPr>
                <w:rFonts w:hint="eastAsia" w:hAnsi="宋体"/>
                <w:b/>
                <w:color w:val="000000"/>
                <w:sz w:val="18"/>
                <w:szCs w:val="18"/>
              </w:rPr>
              <w:t>评判标准</w:t>
            </w:r>
          </w:p>
        </w:tc>
        <w:tc>
          <w:tcPr>
            <w:tcW w:w="7100" w:type="dxa"/>
            <w:gridSpan w:val="3"/>
            <w:vAlign w:val="center"/>
          </w:tcPr>
          <w:p w14:paraId="1B820F2B">
            <w:pPr>
              <w:jc w:val="center"/>
              <w:rPr>
                <w:rFonts w:hint="eastAsia" w:ascii="宋体" w:hAnsi="宋体" w:eastAsia="宋体"/>
                <w:color w:val="000000" w:themeColor="text1"/>
                <w:sz w:val="18"/>
                <w:szCs w:val="18"/>
                <w14:textFill>
                  <w14:solidFill>
                    <w14:schemeClr w14:val="tx1"/>
                  </w14:solidFill>
                </w14:textFill>
              </w:rPr>
            </w:pPr>
            <w:r>
              <w:rPr>
                <w:rFonts w:hint="eastAsia" w:hAnsi="宋体"/>
                <w:b/>
                <w:color w:val="000000"/>
                <w:sz w:val="18"/>
                <w:szCs w:val="18"/>
              </w:rPr>
              <w:t>风险等级</w:t>
            </w:r>
          </w:p>
        </w:tc>
      </w:tr>
      <w:tr w14:paraId="124611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6" w:type="dxa"/>
            <w:vMerge w:val="continue"/>
            <w:vAlign w:val="center"/>
          </w:tcPr>
          <w:p w14:paraId="3934CA89">
            <w:pPr>
              <w:jc w:val="center"/>
              <w:rPr>
                <w:rFonts w:hint="eastAsia" w:ascii="宋体" w:hAnsi="宋体" w:eastAsia="宋体"/>
                <w:color w:val="000000" w:themeColor="text1"/>
                <w:sz w:val="18"/>
                <w:szCs w:val="18"/>
                <w14:textFill>
                  <w14:solidFill>
                    <w14:schemeClr w14:val="tx1"/>
                  </w14:solidFill>
                </w14:textFill>
              </w:rPr>
            </w:pPr>
          </w:p>
        </w:tc>
        <w:tc>
          <w:tcPr>
            <w:tcW w:w="2274" w:type="dxa"/>
            <w:vAlign w:val="center"/>
          </w:tcPr>
          <w:p w14:paraId="154EAC83">
            <w:pPr>
              <w:spacing w:beforeLines="0" w:afterLines="0"/>
              <w:jc w:val="center"/>
              <w:rPr>
                <w:rFonts w:hint="eastAsia" w:ascii="宋体" w:hAnsi="宋体" w:eastAsia="宋体"/>
                <w:color w:val="000000" w:themeColor="text1"/>
                <w:sz w:val="18"/>
                <w:szCs w:val="18"/>
                <w14:textFill>
                  <w14:solidFill>
                    <w14:schemeClr w14:val="tx1"/>
                  </w14:solidFill>
                </w14:textFill>
              </w:rPr>
            </w:pPr>
            <w:r>
              <w:rPr>
                <w:rFonts w:hint="eastAsia" w:hAnsi="宋体"/>
                <w:b/>
                <w:color w:val="000000"/>
                <w:sz w:val="18"/>
                <w:szCs w:val="18"/>
              </w:rPr>
              <w:t>高风险</w:t>
            </w:r>
          </w:p>
        </w:tc>
        <w:tc>
          <w:tcPr>
            <w:tcW w:w="2547" w:type="dxa"/>
            <w:vAlign w:val="center"/>
          </w:tcPr>
          <w:p w14:paraId="21183858">
            <w:pPr>
              <w:spacing w:beforeLines="0" w:afterLines="0"/>
              <w:jc w:val="center"/>
              <w:rPr>
                <w:rFonts w:hint="eastAsia" w:ascii="宋体" w:hAnsi="宋体" w:eastAsia="宋体"/>
                <w:color w:val="000000" w:themeColor="text1"/>
                <w:sz w:val="18"/>
                <w:szCs w:val="18"/>
                <w14:textFill>
                  <w14:solidFill>
                    <w14:schemeClr w14:val="tx1"/>
                  </w14:solidFill>
                </w14:textFill>
              </w:rPr>
            </w:pPr>
            <w:r>
              <w:rPr>
                <w:rFonts w:hint="eastAsia" w:hAnsi="宋体"/>
                <w:b/>
                <w:color w:val="000000"/>
                <w:sz w:val="18"/>
                <w:szCs w:val="18"/>
              </w:rPr>
              <w:t>中风险</w:t>
            </w:r>
          </w:p>
        </w:tc>
        <w:tc>
          <w:tcPr>
            <w:tcW w:w="2279" w:type="dxa"/>
            <w:vAlign w:val="center"/>
          </w:tcPr>
          <w:p w14:paraId="2B294847">
            <w:pPr>
              <w:spacing w:beforeLines="0" w:afterLines="0"/>
              <w:jc w:val="center"/>
              <w:rPr>
                <w:rFonts w:hint="eastAsia" w:ascii="宋体" w:hAnsi="宋体" w:eastAsia="宋体"/>
                <w:color w:val="000000" w:themeColor="text1"/>
                <w:sz w:val="18"/>
                <w:szCs w:val="18"/>
                <w14:textFill>
                  <w14:solidFill>
                    <w14:schemeClr w14:val="tx1"/>
                  </w14:solidFill>
                </w14:textFill>
              </w:rPr>
            </w:pPr>
            <w:r>
              <w:rPr>
                <w:rFonts w:hint="eastAsia" w:hAnsi="宋体"/>
                <w:b/>
                <w:color w:val="000000"/>
                <w:sz w:val="18"/>
                <w:szCs w:val="18"/>
              </w:rPr>
              <w:t>低风险</w:t>
            </w:r>
          </w:p>
        </w:tc>
      </w:tr>
      <w:tr w14:paraId="4E2598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6" w:type="dxa"/>
            <w:vAlign w:val="center"/>
          </w:tcPr>
          <w:p w14:paraId="23DF5E9D">
            <w:pPr>
              <w:jc w:val="center"/>
              <w:rPr>
                <w:rFonts w:ascii="宋体" w:hAnsi="宋体" w:eastAsia="宋体"/>
                <w:color w:val="000000" w:themeColor="text1"/>
                <w:sz w:val="18"/>
                <w:szCs w:val="18"/>
                <w14:textFill>
                  <w14:solidFill>
                    <w14:schemeClr w14:val="tx1"/>
                  </w14:solidFill>
                </w14:textFill>
              </w:rPr>
            </w:pPr>
            <w:r>
              <w:rPr>
                <w:rFonts w:hint="eastAsia" w:ascii="宋体" w:hAnsi="宋体" w:eastAsia="宋体"/>
                <w:color w:val="000000" w:themeColor="text1"/>
                <w:sz w:val="18"/>
                <w:szCs w:val="18"/>
                <w14:textFill>
                  <w14:solidFill>
                    <w14:schemeClr w14:val="tx1"/>
                  </w14:solidFill>
                </w14:textFill>
              </w:rPr>
              <w:t>总体评判标准</w:t>
            </w:r>
          </w:p>
        </w:tc>
        <w:tc>
          <w:tcPr>
            <w:tcW w:w="2274" w:type="dxa"/>
            <w:vAlign w:val="center"/>
          </w:tcPr>
          <w:p w14:paraId="31EF8918">
            <w:pPr>
              <w:jc w:val="left"/>
              <w:rPr>
                <w:rFonts w:ascii="宋体" w:hAnsi="宋体" w:eastAsia="宋体"/>
                <w:color w:val="000000" w:themeColor="text1"/>
                <w:sz w:val="18"/>
                <w:szCs w:val="18"/>
                <w14:textFill>
                  <w14:solidFill>
                    <w14:schemeClr w14:val="tx1"/>
                  </w14:solidFill>
                </w14:textFill>
              </w:rPr>
            </w:pPr>
            <w:r>
              <w:rPr>
                <w:rFonts w:hint="eastAsia" w:ascii="宋体" w:hAnsi="宋体" w:eastAsia="宋体"/>
                <w:color w:val="000000" w:themeColor="text1"/>
                <w:sz w:val="18"/>
                <w:szCs w:val="18"/>
                <w14:textFill>
                  <w14:solidFill>
                    <w14:schemeClr w14:val="tx1"/>
                  </w14:solidFill>
                </w14:textFill>
              </w:rPr>
              <w:t>大部分群众有意见，反映特别强烈，或者决策实施主体对多数群众的主要诉求无力解决，风险防控能力严重不足，可能引发重大负面舆情、规模性聚集甚至大规模群体性事件</w:t>
            </w:r>
          </w:p>
        </w:tc>
        <w:tc>
          <w:tcPr>
            <w:tcW w:w="2547" w:type="dxa"/>
            <w:vAlign w:val="center"/>
          </w:tcPr>
          <w:p w14:paraId="28640C15">
            <w:pPr>
              <w:jc w:val="left"/>
              <w:rPr>
                <w:rFonts w:ascii="宋体" w:hAnsi="宋体" w:eastAsia="宋体"/>
                <w:color w:val="000000" w:themeColor="text1"/>
                <w:sz w:val="18"/>
                <w:szCs w:val="18"/>
                <w14:textFill>
                  <w14:solidFill>
                    <w14:schemeClr w14:val="tx1"/>
                  </w14:solidFill>
                </w14:textFill>
              </w:rPr>
            </w:pPr>
            <w:r>
              <w:rPr>
                <w:rFonts w:hint="eastAsia" w:ascii="宋体" w:hAnsi="宋体" w:eastAsia="宋体"/>
                <w:color w:val="000000" w:themeColor="text1"/>
                <w:sz w:val="18"/>
                <w:szCs w:val="18"/>
                <w14:textFill>
                  <w14:solidFill>
                    <w14:schemeClr w14:val="tx1"/>
                  </w14:solidFill>
                </w14:textFill>
              </w:rPr>
              <w:t>部分群众有意见，反应较为强烈，但不会造成矛盾对立、问题激化、引发较大规模性聚集和重大负面舆情，或者参与评估的部门、单位和专业机构对重大风险处理意见存在较大分歧，可能引发较大矛盾冲突</w:t>
            </w:r>
          </w:p>
        </w:tc>
        <w:tc>
          <w:tcPr>
            <w:tcW w:w="2279" w:type="dxa"/>
            <w:vAlign w:val="center"/>
          </w:tcPr>
          <w:p w14:paraId="33FE2171">
            <w:pPr>
              <w:jc w:val="left"/>
              <w:rPr>
                <w:rFonts w:ascii="宋体" w:hAnsi="宋体" w:eastAsia="宋体"/>
                <w:color w:val="000000" w:themeColor="text1"/>
                <w:sz w:val="18"/>
                <w:szCs w:val="18"/>
                <w14:textFill>
                  <w14:solidFill>
                    <w14:schemeClr w14:val="tx1"/>
                  </w14:solidFill>
                </w14:textFill>
              </w:rPr>
            </w:pPr>
            <w:r>
              <w:rPr>
                <w:rFonts w:hint="eastAsia" w:ascii="宋体" w:hAnsi="宋体" w:eastAsia="宋体"/>
                <w:color w:val="000000" w:themeColor="text1"/>
                <w:sz w:val="18"/>
                <w:szCs w:val="18"/>
                <w14:textFill>
                  <w14:solidFill>
                    <w14:schemeClr w14:val="tx1"/>
                  </w14:solidFill>
                </w14:textFill>
              </w:rPr>
              <w:t>绝大多数群众理解支持，少部分群众有意见，且能够全部得到有效防范化解，不存在重大风险因素</w:t>
            </w:r>
          </w:p>
        </w:tc>
      </w:tr>
      <w:tr w14:paraId="29C91E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6" w:type="dxa"/>
            <w:vAlign w:val="center"/>
          </w:tcPr>
          <w:p w14:paraId="7FCA9A4E">
            <w:pPr>
              <w:jc w:val="center"/>
              <w:rPr>
                <w:rFonts w:ascii="宋体" w:hAnsi="宋体" w:eastAsia="宋体"/>
                <w:color w:val="000000" w:themeColor="text1"/>
                <w:sz w:val="18"/>
                <w:szCs w:val="18"/>
                <w14:textFill>
                  <w14:solidFill>
                    <w14:schemeClr w14:val="tx1"/>
                  </w14:solidFill>
                </w14:textFill>
              </w:rPr>
            </w:pPr>
            <w:r>
              <w:rPr>
                <w:rFonts w:hint="eastAsia" w:ascii="宋体" w:hAnsi="宋体" w:eastAsia="宋体"/>
                <w:color w:val="000000" w:themeColor="text1"/>
                <w:sz w:val="18"/>
                <w:szCs w:val="18"/>
                <w14:textFill>
                  <w14:solidFill>
                    <w14:schemeClr w14:val="tx1"/>
                  </w14:solidFill>
                </w14:textFill>
              </w:rPr>
              <w:t>可能引发风险事件评判标准</w:t>
            </w:r>
          </w:p>
        </w:tc>
        <w:tc>
          <w:tcPr>
            <w:tcW w:w="2274" w:type="dxa"/>
            <w:vAlign w:val="center"/>
          </w:tcPr>
          <w:p w14:paraId="15EEDA5C">
            <w:pPr>
              <w:jc w:val="left"/>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fldChar w:fldCharType="begin"/>
            </w:r>
            <w:r>
              <w:rPr>
                <w:color w:val="000000" w:themeColor="text1"/>
                <w:sz w:val="18"/>
                <w:szCs w:val="18"/>
                <w14:textFill>
                  <w14:solidFill>
                    <w14:schemeClr w14:val="tx1"/>
                  </w14:solidFill>
                </w14:textFill>
              </w:rPr>
              <w:instrText xml:space="preserve"> </w:instrText>
            </w:r>
            <w:r>
              <w:rPr>
                <w:rFonts w:hint="eastAsia"/>
                <w:color w:val="000000" w:themeColor="text1"/>
                <w:sz w:val="18"/>
                <w:szCs w:val="18"/>
                <w14:textFill>
                  <w14:solidFill>
                    <w14:schemeClr w14:val="tx1"/>
                  </w14:solidFill>
                </w14:textFill>
              </w:rPr>
              <w:instrText xml:space="preserve">= 1 \* GB3</w:instrText>
            </w:r>
            <w:r>
              <w:rPr>
                <w:color w:val="000000" w:themeColor="text1"/>
                <w:sz w:val="18"/>
                <w:szCs w:val="18"/>
                <w14:textFill>
                  <w14:solidFill>
                    <w14:schemeClr w14:val="tx1"/>
                  </w14:solidFill>
                </w14:textFill>
              </w:rPr>
              <w:instrText xml:space="preserve"> </w:instrText>
            </w:r>
            <w:r>
              <w:rPr>
                <w:color w:val="000000" w:themeColor="text1"/>
                <w:sz w:val="18"/>
                <w:szCs w:val="18"/>
                <w14:textFill>
                  <w14:solidFill>
                    <w14:schemeClr w14:val="tx1"/>
                  </w14:solidFill>
                </w14:textFill>
              </w:rPr>
              <w:fldChar w:fldCharType="separate"/>
            </w:r>
            <w:r>
              <w:rPr>
                <w:rFonts w:hint="eastAsia"/>
                <w:color w:val="000000" w:themeColor="text1"/>
                <w:sz w:val="18"/>
                <w:szCs w:val="18"/>
                <w14:textFill>
                  <w14:solidFill>
                    <w14:schemeClr w14:val="tx1"/>
                  </w14:solidFill>
                </w14:textFill>
              </w:rPr>
              <w:t>①</w:t>
            </w:r>
            <w:r>
              <w:rPr>
                <w:color w:val="000000" w:themeColor="text1"/>
                <w:sz w:val="18"/>
                <w:szCs w:val="18"/>
                <w14:textFill>
                  <w14:solidFill>
                    <w14:schemeClr w14:val="tx1"/>
                  </w14:solidFill>
                </w14:textFill>
              </w:rPr>
              <w:fldChar w:fldCharType="end"/>
            </w:r>
            <w:r>
              <w:rPr>
                <w:rFonts w:hint="eastAsia"/>
                <w:color w:val="000000" w:themeColor="text1"/>
                <w:sz w:val="18"/>
                <w:szCs w:val="18"/>
                <w14:textFill>
                  <w14:solidFill>
                    <w14:schemeClr w14:val="tx1"/>
                  </w14:solidFill>
                </w14:textFill>
              </w:rPr>
              <w:t>可能发生</w:t>
            </w:r>
            <w:r>
              <w:rPr>
                <w:color w:val="000000" w:themeColor="text1"/>
                <w:sz w:val="18"/>
                <w:szCs w:val="18"/>
                <w14:textFill>
                  <w14:solidFill>
                    <w14:schemeClr w14:val="tx1"/>
                  </w14:solidFill>
                </w14:textFill>
              </w:rPr>
              <w:t>Ⅲ</w:t>
            </w:r>
            <w:r>
              <w:rPr>
                <w:rFonts w:hint="eastAsia"/>
                <w:color w:val="000000" w:themeColor="text1"/>
                <w:sz w:val="18"/>
                <w:szCs w:val="18"/>
                <w14:textFill>
                  <w14:solidFill>
                    <w14:schemeClr w14:val="tx1"/>
                  </w14:solidFill>
                </w14:textFill>
              </w:rPr>
              <w:t>级以上群体性事件；</w:t>
            </w:r>
          </w:p>
          <w:p w14:paraId="2DAC89F7">
            <w:pPr>
              <w:jc w:val="left"/>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fldChar w:fldCharType="begin"/>
            </w:r>
            <w:r>
              <w:rPr>
                <w:color w:val="000000" w:themeColor="text1"/>
                <w:sz w:val="18"/>
                <w:szCs w:val="18"/>
                <w14:textFill>
                  <w14:solidFill>
                    <w14:schemeClr w14:val="tx1"/>
                  </w14:solidFill>
                </w14:textFill>
              </w:rPr>
              <w:instrText xml:space="preserve"> </w:instrText>
            </w:r>
            <w:r>
              <w:rPr>
                <w:rFonts w:hint="eastAsia"/>
                <w:color w:val="000000" w:themeColor="text1"/>
                <w:sz w:val="18"/>
                <w:szCs w:val="18"/>
                <w14:textFill>
                  <w14:solidFill>
                    <w14:schemeClr w14:val="tx1"/>
                  </w14:solidFill>
                </w14:textFill>
              </w:rPr>
              <w:instrText xml:space="preserve">= 2 \* GB3</w:instrText>
            </w:r>
            <w:r>
              <w:rPr>
                <w:color w:val="000000" w:themeColor="text1"/>
                <w:sz w:val="18"/>
                <w:szCs w:val="18"/>
                <w14:textFill>
                  <w14:solidFill>
                    <w14:schemeClr w14:val="tx1"/>
                  </w14:solidFill>
                </w14:textFill>
              </w:rPr>
              <w:instrText xml:space="preserve"> </w:instrText>
            </w:r>
            <w:r>
              <w:rPr>
                <w:color w:val="000000" w:themeColor="text1"/>
                <w:sz w:val="18"/>
                <w:szCs w:val="18"/>
                <w14:textFill>
                  <w14:solidFill>
                    <w14:schemeClr w14:val="tx1"/>
                  </w14:solidFill>
                </w14:textFill>
              </w:rPr>
              <w:fldChar w:fldCharType="separate"/>
            </w:r>
            <w:r>
              <w:rPr>
                <w:rFonts w:hint="eastAsia"/>
                <w:color w:val="000000" w:themeColor="text1"/>
                <w:sz w:val="18"/>
                <w:szCs w:val="18"/>
                <w14:textFill>
                  <w14:solidFill>
                    <w14:schemeClr w14:val="tx1"/>
                  </w14:solidFill>
                </w14:textFill>
              </w:rPr>
              <w:t>②</w:t>
            </w:r>
            <w:r>
              <w:rPr>
                <w:color w:val="000000" w:themeColor="text1"/>
                <w:sz w:val="18"/>
                <w:szCs w:val="18"/>
                <w14:textFill>
                  <w14:solidFill>
                    <w14:schemeClr w14:val="tx1"/>
                  </w14:solidFill>
                </w14:textFill>
              </w:rPr>
              <w:fldChar w:fldCharType="end"/>
            </w:r>
            <w:r>
              <w:rPr>
                <w:rFonts w:hint="eastAsia"/>
                <w:color w:val="000000" w:themeColor="text1"/>
                <w:sz w:val="18"/>
                <w:szCs w:val="18"/>
                <w14:textFill>
                  <w14:solidFill>
                    <w14:schemeClr w14:val="tx1"/>
                  </w14:solidFill>
                </w14:textFill>
              </w:rPr>
              <w:t>可能发生200人以上规模聚集事件；</w:t>
            </w:r>
          </w:p>
          <w:p w14:paraId="40A0F988">
            <w:pPr>
              <w:jc w:val="left"/>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fldChar w:fldCharType="begin"/>
            </w:r>
            <w:r>
              <w:rPr>
                <w:color w:val="000000" w:themeColor="text1"/>
                <w:sz w:val="18"/>
                <w:szCs w:val="18"/>
                <w14:textFill>
                  <w14:solidFill>
                    <w14:schemeClr w14:val="tx1"/>
                  </w14:solidFill>
                </w14:textFill>
              </w:rPr>
              <w:instrText xml:space="preserve"> </w:instrText>
            </w:r>
            <w:r>
              <w:rPr>
                <w:rFonts w:hint="eastAsia"/>
                <w:color w:val="000000" w:themeColor="text1"/>
                <w:sz w:val="18"/>
                <w:szCs w:val="18"/>
                <w14:textFill>
                  <w14:solidFill>
                    <w14:schemeClr w14:val="tx1"/>
                  </w14:solidFill>
                </w14:textFill>
              </w:rPr>
              <w:instrText xml:space="preserve">= 3 \* GB3</w:instrText>
            </w:r>
            <w:r>
              <w:rPr>
                <w:color w:val="000000" w:themeColor="text1"/>
                <w:sz w:val="18"/>
                <w:szCs w:val="18"/>
                <w14:textFill>
                  <w14:solidFill>
                    <w14:schemeClr w14:val="tx1"/>
                  </w14:solidFill>
                </w14:textFill>
              </w:rPr>
              <w:instrText xml:space="preserve"> </w:instrText>
            </w:r>
            <w:r>
              <w:rPr>
                <w:color w:val="000000" w:themeColor="text1"/>
                <w:sz w:val="18"/>
                <w:szCs w:val="18"/>
                <w14:textFill>
                  <w14:solidFill>
                    <w14:schemeClr w14:val="tx1"/>
                  </w14:solidFill>
                </w14:textFill>
              </w:rPr>
              <w:fldChar w:fldCharType="separate"/>
            </w:r>
            <w:r>
              <w:rPr>
                <w:rFonts w:hint="eastAsia"/>
                <w:color w:val="000000" w:themeColor="text1"/>
                <w:sz w:val="18"/>
                <w:szCs w:val="18"/>
                <w14:textFill>
                  <w14:solidFill>
                    <w14:schemeClr w14:val="tx1"/>
                  </w14:solidFill>
                </w14:textFill>
              </w:rPr>
              <w:t>③</w:t>
            </w:r>
            <w:r>
              <w:rPr>
                <w:color w:val="000000" w:themeColor="text1"/>
                <w:sz w:val="18"/>
                <w:szCs w:val="18"/>
                <w14:textFill>
                  <w14:solidFill>
                    <w14:schemeClr w14:val="tx1"/>
                  </w14:solidFill>
                </w14:textFill>
              </w:rPr>
              <w:fldChar w:fldCharType="end"/>
            </w:r>
            <w:r>
              <w:rPr>
                <w:rFonts w:hint="eastAsia"/>
                <w:color w:val="000000" w:themeColor="text1"/>
                <w:sz w:val="18"/>
                <w:szCs w:val="18"/>
                <w14:textFill>
                  <w14:solidFill>
                    <w14:schemeClr w14:val="tx1"/>
                  </w14:solidFill>
                </w14:textFill>
              </w:rPr>
              <w:t>可能发生重大负面舆情事件。</w:t>
            </w:r>
          </w:p>
        </w:tc>
        <w:tc>
          <w:tcPr>
            <w:tcW w:w="2547" w:type="dxa"/>
            <w:vAlign w:val="center"/>
          </w:tcPr>
          <w:p w14:paraId="5B2E5206">
            <w:pPr>
              <w:jc w:val="left"/>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fldChar w:fldCharType="begin"/>
            </w:r>
            <w:r>
              <w:rPr>
                <w:color w:val="000000" w:themeColor="text1"/>
                <w:sz w:val="18"/>
                <w:szCs w:val="18"/>
                <w14:textFill>
                  <w14:solidFill>
                    <w14:schemeClr w14:val="tx1"/>
                  </w14:solidFill>
                </w14:textFill>
              </w:rPr>
              <w:instrText xml:space="preserve"> </w:instrText>
            </w:r>
            <w:r>
              <w:rPr>
                <w:rFonts w:hint="eastAsia"/>
                <w:color w:val="000000" w:themeColor="text1"/>
                <w:sz w:val="18"/>
                <w:szCs w:val="18"/>
                <w14:textFill>
                  <w14:solidFill>
                    <w14:schemeClr w14:val="tx1"/>
                  </w14:solidFill>
                </w14:textFill>
              </w:rPr>
              <w:instrText xml:space="preserve">= 1 \* GB3</w:instrText>
            </w:r>
            <w:r>
              <w:rPr>
                <w:color w:val="000000" w:themeColor="text1"/>
                <w:sz w:val="18"/>
                <w:szCs w:val="18"/>
                <w14:textFill>
                  <w14:solidFill>
                    <w14:schemeClr w14:val="tx1"/>
                  </w14:solidFill>
                </w14:textFill>
              </w:rPr>
              <w:instrText xml:space="preserve"> </w:instrText>
            </w:r>
            <w:r>
              <w:rPr>
                <w:color w:val="000000" w:themeColor="text1"/>
                <w:sz w:val="18"/>
                <w:szCs w:val="18"/>
                <w14:textFill>
                  <w14:solidFill>
                    <w14:schemeClr w14:val="tx1"/>
                  </w14:solidFill>
                </w14:textFill>
              </w:rPr>
              <w:fldChar w:fldCharType="separate"/>
            </w:r>
            <w:r>
              <w:rPr>
                <w:rFonts w:hint="eastAsia"/>
                <w:color w:val="000000" w:themeColor="text1"/>
                <w:sz w:val="18"/>
                <w:szCs w:val="18"/>
                <w14:textFill>
                  <w14:solidFill>
                    <w14:schemeClr w14:val="tx1"/>
                  </w14:solidFill>
                </w14:textFill>
              </w:rPr>
              <w:t>①</w:t>
            </w:r>
            <w:r>
              <w:rPr>
                <w:color w:val="000000" w:themeColor="text1"/>
                <w:sz w:val="18"/>
                <w:szCs w:val="18"/>
                <w14:textFill>
                  <w14:solidFill>
                    <w14:schemeClr w14:val="tx1"/>
                  </w14:solidFill>
                </w14:textFill>
              </w:rPr>
              <w:fldChar w:fldCharType="end"/>
            </w:r>
            <w:r>
              <w:rPr>
                <w:rFonts w:hint="eastAsia"/>
                <w:color w:val="000000" w:themeColor="text1"/>
                <w:sz w:val="18"/>
                <w:szCs w:val="18"/>
                <w14:textFill>
                  <w14:solidFill>
                    <w14:schemeClr w14:val="tx1"/>
                  </w14:solidFill>
                </w14:textFill>
              </w:rPr>
              <w:t>可能发生一般性群体性事件；</w:t>
            </w:r>
          </w:p>
          <w:p w14:paraId="5B85AC07">
            <w:pPr>
              <w:jc w:val="left"/>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fldChar w:fldCharType="begin"/>
            </w:r>
            <w:r>
              <w:rPr>
                <w:color w:val="000000" w:themeColor="text1"/>
                <w:sz w:val="18"/>
                <w:szCs w:val="18"/>
                <w14:textFill>
                  <w14:solidFill>
                    <w14:schemeClr w14:val="tx1"/>
                  </w14:solidFill>
                </w14:textFill>
              </w:rPr>
              <w:instrText xml:space="preserve"> </w:instrText>
            </w:r>
            <w:r>
              <w:rPr>
                <w:rFonts w:hint="eastAsia"/>
                <w:color w:val="000000" w:themeColor="text1"/>
                <w:sz w:val="18"/>
                <w:szCs w:val="18"/>
                <w14:textFill>
                  <w14:solidFill>
                    <w14:schemeClr w14:val="tx1"/>
                  </w14:solidFill>
                </w14:textFill>
              </w:rPr>
              <w:instrText xml:space="preserve">= 2 \* GB3</w:instrText>
            </w:r>
            <w:r>
              <w:rPr>
                <w:color w:val="000000" w:themeColor="text1"/>
                <w:sz w:val="18"/>
                <w:szCs w:val="18"/>
                <w14:textFill>
                  <w14:solidFill>
                    <w14:schemeClr w14:val="tx1"/>
                  </w14:solidFill>
                </w14:textFill>
              </w:rPr>
              <w:instrText xml:space="preserve"> </w:instrText>
            </w:r>
            <w:r>
              <w:rPr>
                <w:color w:val="000000" w:themeColor="text1"/>
                <w:sz w:val="18"/>
                <w:szCs w:val="18"/>
                <w14:textFill>
                  <w14:solidFill>
                    <w14:schemeClr w14:val="tx1"/>
                  </w14:solidFill>
                </w14:textFill>
              </w:rPr>
              <w:fldChar w:fldCharType="separate"/>
            </w:r>
            <w:r>
              <w:rPr>
                <w:rFonts w:hint="eastAsia"/>
                <w:color w:val="000000" w:themeColor="text1"/>
                <w:sz w:val="18"/>
                <w:szCs w:val="18"/>
                <w14:textFill>
                  <w14:solidFill>
                    <w14:schemeClr w14:val="tx1"/>
                  </w14:solidFill>
                </w14:textFill>
              </w:rPr>
              <w:t>②</w:t>
            </w:r>
            <w:r>
              <w:rPr>
                <w:color w:val="000000" w:themeColor="text1"/>
                <w:sz w:val="18"/>
                <w:szCs w:val="18"/>
                <w14:textFill>
                  <w14:solidFill>
                    <w14:schemeClr w14:val="tx1"/>
                  </w14:solidFill>
                </w14:textFill>
              </w:rPr>
              <w:fldChar w:fldCharType="end"/>
            </w:r>
            <w:r>
              <w:rPr>
                <w:rFonts w:hint="eastAsia"/>
                <w:color w:val="000000" w:themeColor="text1"/>
                <w:sz w:val="18"/>
                <w:szCs w:val="18"/>
                <w14:textFill>
                  <w14:solidFill>
                    <w14:schemeClr w14:val="tx1"/>
                  </w14:solidFill>
                </w14:textFill>
              </w:rPr>
              <w:t>可能发生50人以上规模聚集事件；</w:t>
            </w:r>
          </w:p>
          <w:p w14:paraId="157EBB16">
            <w:pPr>
              <w:jc w:val="left"/>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fldChar w:fldCharType="begin"/>
            </w:r>
            <w:r>
              <w:rPr>
                <w:color w:val="000000" w:themeColor="text1"/>
                <w:sz w:val="18"/>
                <w:szCs w:val="18"/>
                <w14:textFill>
                  <w14:solidFill>
                    <w14:schemeClr w14:val="tx1"/>
                  </w14:solidFill>
                </w14:textFill>
              </w:rPr>
              <w:instrText xml:space="preserve"> </w:instrText>
            </w:r>
            <w:r>
              <w:rPr>
                <w:rFonts w:hint="eastAsia"/>
                <w:color w:val="000000" w:themeColor="text1"/>
                <w:sz w:val="18"/>
                <w:szCs w:val="18"/>
                <w14:textFill>
                  <w14:solidFill>
                    <w14:schemeClr w14:val="tx1"/>
                  </w14:solidFill>
                </w14:textFill>
              </w:rPr>
              <w:instrText xml:space="preserve">= 3 \* GB3</w:instrText>
            </w:r>
            <w:r>
              <w:rPr>
                <w:color w:val="000000" w:themeColor="text1"/>
                <w:sz w:val="18"/>
                <w:szCs w:val="18"/>
                <w14:textFill>
                  <w14:solidFill>
                    <w14:schemeClr w14:val="tx1"/>
                  </w14:solidFill>
                </w14:textFill>
              </w:rPr>
              <w:instrText xml:space="preserve"> </w:instrText>
            </w:r>
            <w:r>
              <w:rPr>
                <w:color w:val="000000" w:themeColor="text1"/>
                <w:sz w:val="18"/>
                <w:szCs w:val="18"/>
                <w14:textFill>
                  <w14:solidFill>
                    <w14:schemeClr w14:val="tx1"/>
                  </w14:solidFill>
                </w14:textFill>
              </w:rPr>
              <w:fldChar w:fldCharType="separate"/>
            </w:r>
            <w:r>
              <w:rPr>
                <w:rFonts w:hint="eastAsia"/>
                <w:color w:val="000000" w:themeColor="text1"/>
                <w:sz w:val="18"/>
                <w:szCs w:val="18"/>
                <w14:textFill>
                  <w14:solidFill>
                    <w14:schemeClr w14:val="tx1"/>
                  </w14:solidFill>
                </w14:textFill>
              </w:rPr>
              <w:t>③</w:t>
            </w:r>
            <w:r>
              <w:rPr>
                <w:color w:val="000000" w:themeColor="text1"/>
                <w:sz w:val="18"/>
                <w:szCs w:val="18"/>
                <w14:textFill>
                  <w14:solidFill>
                    <w14:schemeClr w14:val="tx1"/>
                  </w14:solidFill>
                </w14:textFill>
              </w:rPr>
              <w:fldChar w:fldCharType="end"/>
            </w:r>
            <w:r>
              <w:rPr>
                <w:rFonts w:hint="eastAsia"/>
                <w:color w:val="000000" w:themeColor="text1"/>
                <w:sz w:val="18"/>
                <w:szCs w:val="18"/>
                <w14:textFill>
                  <w14:solidFill>
                    <w14:schemeClr w14:val="tx1"/>
                  </w14:solidFill>
                </w14:textFill>
              </w:rPr>
              <w:t>可能发生较大负面舆情事件；</w:t>
            </w:r>
          </w:p>
          <w:p w14:paraId="4434F3EF">
            <w:pPr>
              <w:jc w:val="left"/>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fldChar w:fldCharType="begin"/>
            </w:r>
            <w:r>
              <w:rPr>
                <w:color w:val="000000" w:themeColor="text1"/>
                <w:sz w:val="18"/>
                <w:szCs w:val="18"/>
                <w14:textFill>
                  <w14:solidFill>
                    <w14:schemeClr w14:val="tx1"/>
                  </w14:solidFill>
                </w14:textFill>
              </w:rPr>
              <w:instrText xml:space="preserve"> </w:instrText>
            </w:r>
            <w:r>
              <w:rPr>
                <w:rFonts w:hint="eastAsia"/>
                <w:color w:val="000000" w:themeColor="text1"/>
                <w:sz w:val="18"/>
                <w:szCs w:val="18"/>
                <w14:textFill>
                  <w14:solidFill>
                    <w14:schemeClr w14:val="tx1"/>
                  </w14:solidFill>
                </w14:textFill>
              </w:rPr>
              <w:instrText xml:space="preserve">= 4 \* GB3</w:instrText>
            </w:r>
            <w:r>
              <w:rPr>
                <w:color w:val="000000" w:themeColor="text1"/>
                <w:sz w:val="18"/>
                <w:szCs w:val="18"/>
                <w14:textFill>
                  <w14:solidFill>
                    <w14:schemeClr w14:val="tx1"/>
                  </w14:solidFill>
                </w14:textFill>
              </w:rPr>
              <w:instrText xml:space="preserve"> </w:instrText>
            </w:r>
            <w:r>
              <w:rPr>
                <w:color w:val="000000" w:themeColor="text1"/>
                <w:sz w:val="18"/>
                <w:szCs w:val="18"/>
                <w14:textFill>
                  <w14:solidFill>
                    <w14:schemeClr w14:val="tx1"/>
                  </w14:solidFill>
                </w14:textFill>
              </w:rPr>
              <w:fldChar w:fldCharType="separate"/>
            </w:r>
            <w:r>
              <w:rPr>
                <w:rFonts w:hint="eastAsia"/>
                <w:color w:val="000000" w:themeColor="text1"/>
                <w:sz w:val="18"/>
                <w:szCs w:val="18"/>
                <w14:textFill>
                  <w14:solidFill>
                    <w14:schemeClr w14:val="tx1"/>
                  </w14:solidFill>
                </w14:textFill>
              </w:rPr>
              <w:t>④</w:t>
            </w:r>
            <w:r>
              <w:rPr>
                <w:color w:val="000000" w:themeColor="text1"/>
                <w:sz w:val="18"/>
                <w:szCs w:val="18"/>
                <w14:textFill>
                  <w14:solidFill>
                    <w14:schemeClr w14:val="tx1"/>
                  </w14:solidFill>
                </w14:textFill>
              </w:rPr>
              <w:fldChar w:fldCharType="end"/>
            </w:r>
            <w:r>
              <w:rPr>
                <w:rFonts w:hint="eastAsia"/>
                <w:color w:val="000000" w:themeColor="text1"/>
                <w:sz w:val="18"/>
                <w:szCs w:val="18"/>
                <w14:textFill>
                  <w14:solidFill>
                    <w14:schemeClr w14:val="tx1"/>
                  </w14:solidFill>
                </w14:textFill>
              </w:rPr>
              <w:t>可能发生10人以上50人以下但造成较大负面影响的规模聚集事件。</w:t>
            </w:r>
          </w:p>
        </w:tc>
        <w:tc>
          <w:tcPr>
            <w:tcW w:w="2279" w:type="dxa"/>
            <w:vAlign w:val="center"/>
          </w:tcPr>
          <w:p w14:paraId="6E7B8A43">
            <w:pPr>
              <w:jc w:val="left"/>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fldChar w:fldCharType="begin"/>
            </w:r>
            <w:r>
              <w:rPr>
                <w:color w:val="000000" w:themeColor="text1"/>
                <w:sz w:val="18"/>
                <w:szCs w:val="18"/>
                <w14:textFill>
                  <w14:solidFill>
                    <w14:schemeClr w14:val="tx1"/>
                  </w14:solidFill>
                </w14:textFill>
              </w:rPr>
              <w:instrText xml:space="preserve"> </w:instrText>
            </w:r>
            <w:r>
              <w:rPr>
                <w:rFonts w:hint="eastAsia"/>
                <w:color w:val="000000" w:themeColor="text1"/>
                <w:sz w:val="18"/>
                <w:szCs w:val="18"/>
                <w14:textFill>
                  <w14:solidFill>
                    <w14:schemeClr w14:val="tx1"/>
                  </w14:solidFill>
                </w14:textFill>
              </w:rPr>
              <w:instrText xml:space="preserve">= 1 \* GB3</w:instrText>
            </w:r>
            <w:r>
              <w:rPr>
                <w:color w:val="000000" w:themeColor="text1"/>
                <w:sz w:val="18"/>
                <w:szCs w:val="18"/>
                <w14:textFill>
                  <w14:solidFill>
                    <w14:schemeClr w14:val="tx1"/>
                  </w14:solidFill>
                </w14:textFill>
              </w:rPr>
              <w:instrText xml:space="preserve"> </w:instrText>
            </w:r>
            <w:r>
              <w:rPr>
                <w:color w:val="000000" w:themeColor="text1"/>
                <w:sz w:val="18"/>
                <w:szCs w:val="18"/>
                <w14:textFill>
                  <w14:solidFill>
                    <w14:schemeClr w14:val="tx1"/>
                  </w14:solidFill>
                </w14:textFill>
              </w:rPr>
              <w:fldChar w:fldCharType="separate"/>
            </w:r>
            <w:r>
              <w:rPr>
                <w:rFonts w:hint="eastAsia"/>
                <w:color w:val="000000" w:themeColor="text1"/>
                <w:sz w:val="18"/>
                <w:szCs w:val="18"/>
                <w14:textFill>
                  <w14:solidFill>
                    <w14:schemeClr w14:val="tx1"/>
                  </w14:solidFill>
                </w14:textFill>
              </w:rPr>
              <w:t>①</w:t>
            </w:r>
            <w:r>
              <w:rPr>
                <w:color w:val="000000" w:themeColor="text1"/>
                <w:sz w:val="18"/>
                <w:szCs w:val="18"/>
                <w14:textFill>
                  <w14:solidFill>
                    <w14:schemeClr w14:val="tx1"/>
                  </w14:solidFill>
                </w14:textFill>
              </w:rPr>
              <w:fldChar w:fldCharType="end"/>
            </w:r>
            <w:r>
              <w:rPr>
                <w:rFonts w:hint="eastAsia"/>
                <w:color w:val="000000" w:themeColor="text1"/>
                <w:sz w:val="18"/>
                <w:szCs w:val="18"/>
                <w14:textFill>
                  <w14:solidFill>
                    <w14:schemeClr w14:val="tx1"/>
                  </w14:solidFill>
                </w14:textFill>
              </w:rPr>
              <w:t>可能发生小规模集体上访；</w:t>
            </w:r>
          </w:p>
          <w:p w14:paraId="50E37956">
            <w:pPr>
              <w:jc w:val="left"/>
              <w:rPr>
                <w:rFonts w:ascii="宋体" w:hAnsi="宋体" w:eastAsia="宋体"/>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fldChar w:fldCharType="begin"/>
            </w:r>
            <w:r>
              <w:rPr>
                <w:color w:val="000000" w:themeColor="text1"/>
                <w:sz w:val="18"/>
                <w:szCs w:val="18"/>
                <w14:textFill>
                  <w14:solidFill>
                    <w14:schemeClr w14:val="tx1"/>
                  </w14:solidFill>
                </w14:textFill>
              </w:rPr>
              <w:instrText xml:space="preserve"> </w:instrText>
            </w:r>
            <w:r>
              <w:rPr>
                <w:rFonts w:hint="eastAsia"/>
                <w:color w:val="000000" w:themeColor="text1"/>
                <w:sz w:val="18"/>
                <w:szCs w:val="18"/>
                <w14:textFill>
                  <w14:solidFill>
                    <w14:schemeClr w14:val="tx1"/>
                  </w14:solidFill>
                </w14:textFill>
              </w:rPr>
              <w:instrText xml:space="preserve">= 2 \* GB3</w:instrText>
            </w:r>
            <w:r>
              <w:rPr>
                <w:color w:val="000000" w:themeColor="text1"/>
                <w:sz w:val="18"/>
                <w:szCs w:val="18"/>
                <w14:textFill>
                  <w14:solidFill>
                    <w14:schemeClr w14:val="tx1"/>
                  </w14:solidFill>
                </w14:textFill>
              </w:rPr>
              <w:instrText xml:space="preserve"> </w:instrText>
            </w:r>
            <w:r>
              <w:rPr>
                <w:color w:val="000000" w:themeColor="text1"/>
                <w:sz w:val="18"/>
                <w:szCs w:val="18"/>
                <w14:textFill>
                  <w14:solidFill>
                    <w14:schemeClr w14:val="tx1"/>
                  </w14:solidFill>
                </w14:textFill>
              </w:rPr>
              <w:fldChar w:fldCharType="separate"/>
            </w:r>
            <w:r>
              <w:rPr>
                <w:rFonts w:hint="eastAsia"/>
                <w:color w:val="000000" w:themeColor="text1"/>
                <w:sz w:val="18"/>
                <w:szCs w:val="18"/>
                <w14:textFill>
                  <w14:solidFill>
                    <w14:schemeClr w14:val="tx1"/>
                  </w14:solidFill>
                </w14:textFill>
              </w:rPr>
              <w:t>②</w:t>
            </w:r>
            <w:r>
              <w:rPr>
                <w:color w:val="000000" w:themeColor="text1"/>
                <w:sz w:val="18"/>
                <w:szCs w:val="18"/>
                <w14:textFill>
                  <w14:solidFill>
                    <w14:schemeClr w14:val="tx1"/>
                  </w14:solidFill>
                </w14:textFill>
              </w:rPr>
              <w:fldChar w:fldCharType="end"/>
            </w:r>
            <w:r>
              <w:rPr>
                <w:rFonts w:hint="eastAsia"/>
                <w:color w:val="000000" w:themeColor="text1"/>
                <w:sz w:val="18"/>
                <w:szCs w:val="18"/>
                <w14:textFill>
                  <w14:solidFill>
                    <w14:schemeClr w14:val="tx1"/>
                  </w14:solidFill>
                </w14:textFill>
              </w:rPr>
              <w:t>可能发生个体非正常上访。</w:t>
            </w:r>
          </w:p>
        </w:tc>
      </w:tr>
      <w:tr w14:paraId="5FCF8D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6" w:type="dxa"/>
            <w:vAlign w:val="center"/>
          </w:tcPr>
          <w:p w14:paraId="1E86577E">
            <w:pPr>
              <w:jc w:val="center"/>
              <w:rPr>
                <w:rFonts w:ascii="宋体" w:hAnsi="宋体" w:eastAsia="宋体"/>
                <w:color w:val="000000" w:themeColor="text1"/>
                <w:sz w:val="18"/>
                <w:szCs w:val="18"/>
                <w14:textFill>
                  <w14:solidFill>
                    <w14:schemeClr w14:val="tx1"/>
                  </w14:solidFill>
                </w14:textFill>
              </w:rPr>
            </w:pPr>
            <w:r>
              <w:rPr>
                <w:rFonts w:hint="eastAsia" w:ascii="宋体" w:hAnsi="宋体" w:eastAsia="宋体"/>
                <w:color w:val="000000" w:themeColor="text1"/>
                <w:sz w:val="18"/>
                <w:szCs w:val="18"/>
                <w14:textFill>
                  <w14:solidFill>
                    <w14:schemeClr w14:val="tx1"/>
                  </w14:solidFill>
                </w14:textFill>
              </w:rPr>
              <w:t>单因素风险程度评判标准</w:t>
            </w:r>
          </w:p>
        </w:tc>
        <w:tc>
          <w:tcPr>
            <w:tcW w:w="2274" w:type="dxa"/>
          </w:tcPr>
          <w:p w14:paraId="0E104136">
            <w:pPr>
              <w:rPr>
                <w:rFonts w:ascii="宋体" w:hAnsi="宋体" w:eastAsia="宋体"/>
                <w:color w:val="000000" w:themeColor="text1"/>
                <w:sz w:val="18"/>
                <w:szCs w:val="18"/>
                <w14:textFill>
                  <w14:solidFill>
                    <w14:schemeClr w14:val="tx1"/>
                  </w14:solidFill>
                </w14:textFill>
              </w:rPr>
            </w:pPr>
            <w:r>
              <w:rPr>
                <w:rFonts w:hint="eastAsia" w:ascii="宋体" w:hAnsi="宋体" w:eastAsia="宋体"/>
                <w:color w:val="000000" w:themeColor="text1"/>
                <w:sz w:val="18"/>
                <w:szCs w:val="18"/>
                <w14:textFill>
                  <w14:solidFill>
                    <w14:schemeClr w14:val="tx1"/>
                  </w14:solidFill>
                </w14:textFill>
              </w:rPr>
              <w:t>2个及以上重大或5个及以上较大单因素风险</w:t>
            </w:r>
          </w:p>
        </w:tc>
        <w:tc>
          <w:tcPr>
            <w:tcW w:w="2547" w:type="dxa"/>
          </w:tcPr>
          <w:p w14:paraId="128A3AD6">
            <w:pPr>
              <w:rPr>
                <w:rFonts w:ascii="宋体" w:hAnsi="宋体" w:eastAsia="宋体"/>
                <w:color w:val="000000" w:themeColor="text1"/>
                <w:sz w:val="18"/>
                <w:szCs w:val="18"/>
                <w14:textFill>
                  <w14:solidFill>
                    <w14:schemeClr w14:val="tx1"/>
                  </w14:solidFill>
                </w14:textFill>
              </w:rPr>
            </w:pPr>
            <w:r>
              <w:rPr>
                <w:rFonts w:hint="eastAsia" w:ascii="宋体" w:hAnsi="宋体" w:eastAsia="宋体"/>
                <w:color w:val="000000" w:themeColor="text1"/>
                <w:sz w:val="18"/>
                <w:szCs w:val="18"/>
                <w14:textFill>
                  <w14:solidFill>
                    <w14:schemeClr w14:val="tx1"/>
                  </w14:solidFill>
                </w14:textFill>
              </w:rPr>
              <w:t>1个重大或2到4个较大单因素风险</w:t>
            </w:r>
          </w:p>
        </w:tc>
        <w:tc>
          <w:tcPr>
            <w:tcW w:w="2279" w:type="dxa"/>
          </w:tcPr>
          <w:p w14:paraId="241FB0F0">
            <w:pPr>
              <w:rPr>
                <w:rFonts w:ascii="宋体" w:hAnsi="宋体" w:eastAsia="宋体"/>
                <w:color w:val="000000" w:themeColor="text1"/>
                <w:sz w:val="18"/>
                <w:szCs w:val="18"/>
                <w14:textFill>
                  <w14:solidFill>
                    <w14:schemeClr w14:val="tx1"/>
                  </w14:solidFill>
                </w14:textFill>
              </w:rPr>
            </w:pPr>
            <w:r>
              <w:rPr>
                <w:rFonts w:hint="eastAsia" w:ascii="宋体" w:hAnsi="宋体" w:eastAsia="宋体"/>
                <w:color w:val="000000" w:themeColor="text1"/>
                <w:sz w:val="18"/>
                <w:szCs w:val="18"/>
                <w14:textFill>
                  <w14:solidFill>
                    <w14:schemeClr w14:val="tx1"/>
                  </w14:solidFill>
                </w14:textFill>
              </w:rPr>
              <w:t>1个较大或1到4个一般单因素风险，或全部较小单因素风险</w:t>
            </w:r>
          </w:p>
        </w:tc>
      </w:tr>
      <w:tr w14:paraId="07AFFB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6" w:type="dxa"/>
            <w:vAlign w:val="center"/>
          </w:tcPr>
          <w:p w14:paraId="3D1DB779">
            <w:pPr>
              <w:jc w:val="center"/>
              <w:rPr>
                <w:rFonts w:ascii="宋体" w:hAnsi="宋体" w:eastAsia="宋体"/>
                <w:color w:val="000000" w:themeColor="text1"/>
                <w:sz w:val="18"/>
                <w:szCs w:val="18"/>
                <w14:textFill>
                  <w14:solidFill>
                    <w14:schemeClr w14:val="tx1"/>
                  </w14:solidFill>
                </w14:textFill>
              </w:rPr>
            </w:pPr>
            <w:r>
              <w:rPr>
                <w:rFonts w:hint="eastAsia" w:ascii="宋体" w:hAnsi="宋体" w:eastAsia="宋体"/>
                <w:color w:val="000000" w:themeColor="text1"/>
                <w:sz w:val="18"/>
                <w:szCs w:val="18"/>
                <w14:textFill>
                  <w14:solidFill>
                    <w14:schemeClr w14:val="tx1"/>
                  </w14:solidFill>
                </w14:textFill>
              </w:rPr>
              <w:t>群众支持率</w:t>
            </w:r>
          </w:p>
          <w:p w14:paraId="0579E808">
            <w:pPr>
              <w:jc w:val="center"/>
              <w:rPr>
                <w:rFonts w:ascii="宋体" w:hAnsi="宋体" w:eastAsia="宋体"/>
                <w:color w:val="000000" w:themeColor="text1"/>
                <w:sz w:val="18"/>
                <w:szCs w:val="18"/>
                <w14:textFill>
                  <w14:solidFill>
                    <w14:schemeClr w14:val="tx1"/>
                  </w14:solidFill>
                </w14:textFill>
              </w:rPr>
            </w:pPr>
            <w:r>
              <w:rPr>
                <w:rFonts w:hint="eastAsia" w:ascii="宋体" w:hAnsi="宋体" w:eastAsia="宋体"/>
                <w:color w:val="000000" w:themeColor="text1"/>
                <w:sz w:val="18"/>
                <w:szCs w:val="18"/>
                <w14:textFill>
                  <w14:solidFill>
                    <w14:schemeClr w14:val="tx1"/>
                  </w14:solidFill>
                </w14:textFill>
              </w:rPr>
              <w:t>评判标准</w:t>
            </w:r>
          </w:p>
        </w:tc>
        <w:tc>
          <w:tcPr>
            <w:tcW w:w="2274" w:type="dxa"/>
          </w:tcPr>
          <w:p w14:paraId="64C38FF8">
            <w:pPr>
              <w:rPr>
                <w:rFonts w:ascii="宋体" w:hAnsi="宋体" w:eastAsia="宋体"/>
                <w:color w:val="000000" w:themeColor="text1"/>
                <w:sz w:val="18"/>
                <w:szCs w:val="18"/>
                <w14:textFill>
                  <w14:solidFill>
                    <w14:schemeClr w14:val="tx1"/>
                  </w14:solidFill>
                </w14:textFill>
              </w:rPr>
            </w:pPr>
            <w:r>
              <w:rPr>
                <w:rFonts w:hint="eastAsia" w:ascii="宋体" w:hAnsi="宋体" w:eastAsia="宋体"/>
                <w:color w:val="000000" w:themeColor="text1"/>
                <w:sz w:val="18"/>
                <w:szCs w:val="18"/>
                <w14:textFill>
                  <w14:solidFill>
                    <w14:schemeClr w14:val="tx1"/>
                  </w14:solidFill>
                </w14:textFill>
              </w:rPr>
              <w:t>征求意见结果，明确反对者超过 33%</w:t>
            </w:r>
          </w:p>
        </w:tc>
        <w:tc>
          <w:tcPr>
            <w:tcW w:w="2547" w:type="dxa"/>
          </w:tcPr>
          <w:p w14:paraId="6B07EDDA">
            <w:pPr>
              <w:rPr>
                <w:rFonts w:ascii="宋体" w:hAnsi="宋体" w:eastAsia="宋体"/>
                <w:color w:val="000000" w:themeColor="text1"/>
                <w:sz w:val="18"/>
                <w:szCs w:val="18"/>
                <w14:textFill>
                  <w14:solidFill>
                    <w14:schemeClr w14:val="tx1"/>
                  </w14:solidFill>
                </w14:textFill>
              </w:rPr>
            </w:pPr>
            <w:r>
              <w:rPr>
                <w:rFonts w:hint="eastAsia" w:ascii="宋体" w:hAnsi="宋体" w:eastAsia="宋体"/>
                <w:color w:val="000000" w:themeColor="text1"/>
                <w:sz w:val="18"/>
                <w:szCs w:val="18"/>
                <w14:textFill>
                  <w14:solidFill>
                    <w14:schemeClr w14:val="tx1"/>
                  </w14:solidFill>
                </w14:textFill>
              </w:rPr>
              <w:t>征求意见结果，明确反对者占10%到 33%</w:t>
            </w:r>
          </w:p>
        </w:tc>
        <w:tc>
          <w:tcPr>
            <w:tcW w:w="2279" w:type="dxa"/>
          </w:tcPr>
          <w:p w14:paraId="33BEB998">
            <w:pPr>
              <w:rPr>
                <w:rFonts w:ascii="宋体" w:hAnsi="宋体" w:eastAsia="宋体"/>
                <w:color w:val="000000" w:themeColor="text1"/>
                <w:sz w:val="18"/>
                <w:szCs w:val="18"/>
                <w14:textFill>
                  <w14:solidFill>
                    <w14:schemeClr w14:val="tx1"/>
                  </w14:solidFill>
                </w14:textFill>
              </w:rPr>
            </w:pPr>
            <w:r>
              <w:rPr>
                <w:rFonts w:hint="eastAsia" w:ascii="宋体" w:hAnsi="宋体" w:eastAsia="宋体"/>
                <w:color w:val="000000" w:themeColor="text1"/>
                <w:sz w:val="18"/>
                <w:szCs w:val="18"/>
                <w14:textFill>
                  <w14:solidFill>
                    <w14:schemeClr w14:val="tx1"/>
                  </w14:solidFill>
                </w14:textFill>
              </w:rPr>
              <w:t>征求意见结果，明确反对者低于</w:t>
            </w:r>
            <w:r>
              <w:rPr>
                <w:rFonts w:ascii="宋体" w:hAnsi="宋体" w:eastAsia="宋体"/>
                <w:color w:val="000000" w:themeColor="text1"/>
                <w:sz w:val="18"/>
                <w:szCs w:val="18"/>
                <w14:textFill>
                  <w14:solidFill>
                    <w14:schemeClr w14:val="tx1"/>
                  </w14:solidFill>
                </w14:textFill>
              </w:rPr>
              <w:t>10%</w:t>
            </w:r>
          </w:p>
        </w:tc>
      </w:tr>
      <w:tr w14:paraId="24F8E5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6" w:type="dxa"/>
            <w:vAlign w:val="center"/>
          </w:tcPr>
          <w:p w14:paraId="004CB2C8">
            <w:pPr>
              <w:jc w:val="center"/>
              <w:rPr>
                <w:rFonts w:ascii="宋体" w:hAnsi="宋体" w:eastAsia="宋体"/>
                <w:color w:val="000000" w:themeColor="text1"/>
                <w:sz w:val="18"/>
                <w:szCs w:val="18"/>
                <w14:textFill>
                  <w14:solidFill>
                    <w14:schemeClr w14:val="tx1"/>
                  </w14:solidFill>
                </w14:textFill>
              </w:rPr>
            </w:pPr>
            <w:r>
              <w:rPr>
                <w:rFonts w:hint="eastAsia" w:ascii="宋体" w:hAnsi="宋体" w:eastAsia="宋体"/>
                <w:color w:val="000000" w:themeColor="text1"/>
                <w:sz w:val="18"/>
                <w:szCs w:val="18"/>
                <w14:textFill>
                  <w14:solidFill>
                    <w14:schemeClr w14:val="tx1"/>
                  </w14:solidFill>
                </w14:textFill>
              </w:rPr>
              <w:t>综合风险指数评判标准</w:t>
            </w:r>
          </w:p>
        </w:tc>
        <w:tc>
          <w:tcPr>
            <w:tcW w:w="2274" w:type="dxa"/>
            <w:vAlign w:val="center"/>
          </w:tcPr>
          <w:p w14:paraId="11032A75">
            <w:pPr>
              <w:jc w:val="center"/>
              <w:rPr>
                <w:rFonts w:ascii="宋体" w:hAnsi="宋体" w:eastAsia="宋体"/>
                <w:color w:val="000000" w:themeColor="text1"/>
                <w:sz w:val="18"/>
                <w:szCs w:val="18"/>
                <w14:textFill>
                  <w14:solidFill>
                    <w14:schemeClr w14:val="tx1"/>
                  </w14:solidFill>
                </w14:textFill>
              </w:rPr>
            </w:pPr>
            <w:r>
              <w:rPr>
                <w:rFonts w:ascii="宋体" w:hAnsi="宋体" w:eastAsia="宋体"/>
                <w:color w:val="000000" w:themeColor="text1"/>
                <w:sz w:val="18"/>
                <w:szCs w:val="18"/>
                <w14:textFill>
                  <w14:solidFill>
                    <w14:schemeClr w14:val="tx1"/>
                  </w14:solidFill>
                </w14:textFill>
              </w:rPr>
              <w:t>W ≥70</w:t>
            </w:r>
          </w:p>
        </w:tc>
        <w:tc>
          <w:tcPr>
            <w:tcW w:w="2547" w:type="dxa"/>
            <w:vAlign w:val="center"/>
          </w:tcPr>
          <w:p w14:paraId="3AD1D72A">
            <w:pPr>
              <w:jc w:val="center"/>
              <w:rPr>
                <w:rFonts w:ascii="宋体" w:hAnsi="宋体" w:eastAsia="宋体"/>
                <w:color w:val="000000" w:themeColor="text1"/>
                <w:sz w:val="18"/>
                <w:szCs w:val="18"/>
                <w14:textFill>
                  <w14:solidFill>
                    <w14:schemeClr w14:val="tx1"/>
                  </w14:solidFill>
                </w14:textFill>
              </w:rPr>
            </w:pPr>
            <w:r>
              <w:rPr>
                <w:rFonts w:ascii="宋体" w:hAnsi="宋体" w:eastAsia="宋体"/>
                <w:color w:val="000000" w:themeColor="text1"/>
                <w:sz w:val="18"/>
                <w:szCs w:val="18"/>
                <w14:textFill>
                  <w14:solidFill>
                    <w14:schemeClr w14:val="tx1"/>
                  </w14:solidFill>
                </w14:textFill>
              </w:rPr>
              <w:t>40</w:t>
            </w:r>
            <w:r>
              <w:rPr>
                <w:rFonts w:hint="eastAsia" w:ascii="宋体" w:hAnsi="宋体" w:eastAsia="宋体"/>
                <w:color w:val="000000" w:themeColor="text1"/>
                <w:sz w:val="18"/>
                <w:szCs w:val="18"/>
                <w14:textFill>
                  <w14:solidFill>
                    <w14:schemeClr w14:val="tx1"/>
                  </w14:solidFill>
                </w14:textFill>
              </w:rPr>
              <w:t>＜</w:t>
            </w:r>
            <w:r>
              <w:rPr>
                <w:rFonts w:ascii="宋体" w:hAnsi="宋体" w:eastAsia="宋体"/>
                <w:color w:val="000000" w:themeColor="text1"/>
                <w:sz w:val="18"/>
                <w:szCs w:val="18"/>
                <w14:textFill>
                  <w14:solidFill>
                    <w14:schemeClr w14:val="tx1"/>
                  </w14:solidFill>
                </w14:textFill>
              </w:rPr>
              <w:t>W</w:t>
            </w:r>
            <w:r>
              <w:rPr>
                <w:rFonts w:hint="eastAsia" w:ascii="宋体" w:hAnsi="宋体" w:eastAsia="宋体"/>
                <w:color w:val="000000" w:themeColor="text1"/>
                <w:sz w:val="18"/>
                <w:szCs w:val="18"/>
                <w14:textFill>
                  <w14:solidFill>
                    <w14:schemeClr w14:val="tx1"/>
                  </w14:solidFill>
                </w14:textFill>
              </w:rPr>
              <w:t>＜</w:t>
            </w:r>
            <w:r>
              <w:rPr>
                <w:rFonts w:ascii="宋体" w:hAnsi="宋体" w:eastAsia="宋体"/>
                <w:color w:val="000000" w:themeColor="text1"/>
                <w:sz w:val="18"/>
                <w:szCs w:val="18"/>
                <w14:textFill>
                  <w14:solidFill>
                    <w14:schemeClr w14:val="tx1"/>
                  </w14:solidFill>
                </w14:textFill>
              </w:rPr>
              <w:t>70</w:t>
            </w:r>
          </w:p>
        </w:tc>
        <w:tc>
          <w:tcPr>
            <w:tcW w:w="2279" w:type="dxa"/>
            <w:vAlign w:val="center"/>
          </w:tcPr>
          <w:p w14:paraId="69087221">
            <w:pPr>
              <w:jc w:val="center"/>
              <w:rPr>
                <w:rFonts w:ascii="宋体" w:hAnsi="宋体" w:eastAsia="宋体"/>
                <w:color w:val="000000" w:themeColor="text1"/>
                <w:sz w:val="18"/>
                <w:szCs w:val="18"/>
                <w14:textFill>
                  <w14:solidFill>
                    <w14:schemeClr w14:val="tx1"/>
                  </w14:solidFill>
                </w14:textFill>
              </w:rPr>
            </w:pPr>
            <w:r>
              <w:rPr>
                <w:rFonts w:ascii="宋体" w:hAnsi="宋体" w:eastAsia="宋体"/>
                <w:color w:val="000000" w:themeColor="text1"/>
                <w:sz w:val="18"/>
                <w:szCs w:val="18"/>
                <w14:textFill>
                  <w14:solidFill>
                    <w14:schemeClr w14:val="tx1"/>
                  </w14:solidFill>
                </w14:textFill>
              </w:rPr>
              <w:t>W≤40</w:t>
            </w:r>
          </w:p>
        </w:tc>
      </w:tr>
      <w:tr w14:paraId="3968C9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616" w:type="dxa"/>
            <w:gridSpan w:val="4"/>
          </w:tcPr>
          <w:p w14:paraId="76583B71">
            <w:pPr>
              <w:rPr>
                <w:rFonts w:ascii="宋体" w:hAnsi="宋体" w:eastAsia="宋体"/>
                <w:color w:val="000000" w:themeColor="text1"/>
                <w:sz w:val="18"/>
                <w:szCs w:val="18"/>
                <w14:textFill>
                  <w14:solidFill>
                    <w14:schemeClr w14:val="tx1"/>
                  </w14:solidFill>
                </w14:textFill>
              </w:rPr>
            </w:pPr>
            <w:r>
              <w:rPr>
                <w:rFonts w:hint="eastAsia" w:ascii="宋体" w:hAnsi="宋体" w:eastAsia="宋体"/>
                <w:b/>
                <w:color w:val="000000" w:themeColor="text1"/>
                <w:sz w:val="18"/>
                <w:szCs w:val="18"/>
                <w14:textFill>
                  <w14:solidFill>
                    <w14:schemeClr w14:val="tx1"/>
                  </w14:solidFill>
                </w14:textFill>
              </w:rPr>
              <w:t>注：</w:t>
            </w:r>
            <w:r>
              <w:rPr>
                <w:rFonts w:hint="eastAsia" w:ascii="宋体" w:hAnsi="宋体" w:eastAsia="宋体"/>
                <w:color w:val="000000" w:themeColor="text1"/>
                <w:sz w:val="18"/>
                <w:szCs w:val="18"/>
                <w14:textFill>
                  <w14:solidFill>
                    <w14:schemeClr w14:val="tx1"/>
                  </w14:solidFill>
                </w14:textFill>
              </w:rPr>
              <w:t>综合考虑上述条件后确定风险等级，一般只要满足其中的一项就判定相应的风险等级（等级就高判定）。</w:t>
            </w:r>
          </w:p>
        </w:tc>
      </w:tr>
    </w:tbl>
    <w:p w14:paraId="3C685F0B">
      <w:pPr>
        <w:widowControl/>
        <w:jc w:val="left"/>
        <w:rPr>
          <w:rFonts w:ascii="宋体" w:hAnsi="宋体" w:eastAsia="宋体"/>
          <w:b/>
          <w:bCs/>
          <w:color w:val="000000" w:themeColor="text1"/>
          <w:kern w:val="44"/>
          <w:sz w:val="28"/>
          <w:szCs w:val="28"/>
          <w14:textFill>
            <w14:solidFill>
              <w14:schemeClr w14:val="tx1"/>
            </w14:solidFill>
          </w14:textFill>
        </w:rPr>
      </w:pPr>
      <w:r>
        <w:rPr>
          <w:rFonts w:ascii="宋体" w:hAnsi="宋体" w:eastAsia="宋体"/>
          <w:color w:val="000000" w:themeColor="text1"/>
          <w:sz w:val="28"/>
          <w:szCs w:val="28"/>
          <w14:textFill>
            <w14:solidFill>
              <w14:schemeClr w14:val="tx1"/>
            </w14:solidFill>
          </w14:textFill>
        </w:rPr>
        <w:br w:type="page"/>
      </w:r>
    </w:p>
    <w:p w14:paraId="4217104E">
      <w:pPr>
        <w:pStyle w:val="107"/>
        <w:bidi w:val="0"/>
        <w:ind w:left="0" w:leftChars="0" w:firstLine="0" w:firstLineChars="0"/>
        <w:rPr>
          <w:rFonts w:hint="eastAsia"/>
          <w:lang w:eastAsia="zh-CN"/>
        </w:rPr>
      </w:pPr>
      <w:bookmarkStart w:id="63" w:name="_Toc177670779"/>
      <w:r>
        <w:rPr>
          <w:rFonts w:hint="eastAsia"/>
          <w:lang w:eastAsia="zh-CN"/>
        </w:rPr>
        <w:br w:type="textWrapping"/>
      </w:r>
      <w:r>
        <w:rPr>
          <w:rFonts w:hint="eastAsia"/>
          <w:lang w:eastAsia="zh-CN"/>
        </w:rPr>
        <w:t>（</w:t>
      </w:r>
      <w:r>
        <w:rPr>
          <w:rFonts w:hint="eastAsia"/>
          <w:lang w:val="en-US" w:eastAsia="zh-CN"/>
        </w:rPr>
        <w:t>资料性</w:t>
      </w:r>
      <w:r>
        <w:rPr>
          <w:rFonts w:hint="eastAsia"/>
          <w:lang w:eastAsia="zh-CN"/>
        </w:rPr>
        <w:t>）</w:t>
      </w:r>
      <w:r>
        <w:rPr>
          <w:rFonts w:hint="eastAsia"/>
          <w:lang w:eastAsia="zh-CN"/>
        </w:rPr>
        <w:br w:type="textWrapping"/>
      </w:r>
      <w:r>
        <w:rPr>
          <w:rFonts w:hint="eastAsia"/>
          <w:lang w:eastAsia="zh-CN"/>
        </w:rPr>
        <w:t>风险防范和化解措施汇总表</w:t>
      </w:r>
    </w:p>
    <w:bookmarkEnd w:id="63"/>
    <w:p w14:paraId="5631A443">
      <w:pPr>
        <w:pStyle w:val="44"/>
        <w:bidi w:val="0"/>
      </w:pPr>
      <w:r>
        <w:rPr>
          <w:rFonts w:hint="eastAsia"/>
        </w:rPr>
        <w:t>表G</w:t>
      </w:r>
      <w:r>
        <w:rPr>
          <w:rFonts w:hint="eastAsia"/>
          <w:lang w:val="en-US" w:eastAsia="zh-CN"/>
        </w:rPr>
        <w:t>.</w:t>
      </w:r>
      <w:r>
        <w:t>1</w:t>
      </w:r>
      <w:r>
        <w:rPr>
          <w:rFonts w:hint="eastAsia"/>
        </w:rPr>
        <w:t>给出了风险防范和化解措施汇总表。</w:t>
      </w:r>
    </w:p>
    <w:p w14:paraId="0B483DFF">
      <w:pPr>
        <w:pStyle w:val="132"/>
        <w:numPr>
          <w:ilvl w:val="0"/>
          <w:numId w:val="0"/>
        </w:numPr>
        <w:bidi w:val="0"/>
        <w:ind w:left="0" w:leftChars="0" w:firstLine="0" w:firstLineChars="0"/>
        <w:rPr>
          <w:rFonts w:hint="eastAsia" w:ascii="黑体" w:hAnsi="黑体" w:eastAsia="黑体" w:cs="黑体"/>
          <w:kern w:val="0"/>
          <w:sz w:val="21"/>
          <w:szCs w:val="20"/>
          <w:lang w:val="en-US" w:eastAsia="zh-CN" w:bidi="ar-SA"/>
        </w:rPr>
      </w:pPr>
      <w:r>
        <w:rPr>
          <w:rFonts w:hint="eastAsia" w:ascii="黑体" w:hAnsi="黑体" w:eastAsia="黑体" w:cs="黑体"/>
          <w:kern w:val="0"/>
          <w:sz w:val="21"/>
          <w:szCs w:val="20"/>
          <w:lang w:val="en-US" w:eastAsia="zh-CN" w:bidi="ar-SA"/>
        </w:rPr>
        <w:t>表G.1  风险防范和化解措施汇总表</w:t>
      </w:r>
    </w:p>
    <w:tbl>
      <w:tblPr>
        <w:tblStyle w:val="26"/>
        <w:tblW w:w="906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56"/>
        <w:gridCol w:w="944"/>
        <w:gridCol w:w="1320"/>
        <w:gridCol w:w="1764"/>
        <w:gridCol w:w="1116"/>
        <w:gridCol w:w="1134"/>
        <w:gridCol w:w="997"/>
        <w:gridCol w:w="1036"/>
      </w:tblGrid>
      <w:tr w14:paraId="669656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6" w:type="dxa"/>
          </w:tcPr>
          <w:p w14:paraId="5D7A9795">
            <w:pPr>
              <w:jc w:val="center"/>
              <w:rPr>
                <w:rFonts w:ascii="宋体" w:hAnsi="宋体" w:eastAsia="宋体"/>
                <w:color w:val="000000" w:themeColor="text1"/>
                <w:sz w:val="18"/>
                <w:szCs w:val="18"/>
                <w14:textFill>
                  <w14:solidFill>
                    <w14:schemeClr w14:val="tx1"/>
                  </w14:solidFill>
                </w14:textFill>
              </w:rPr>
            </w:pPr>
            <w:r>
              <w:rPr>
                <w:rFonts w:hint="eastAsia" w:ascii="宋体" w:hAnsi="宋体" w:eastAsia="宋体"/>
                <w:color w:val="000000" w:themeColor="text1"/>
                <w:sz w:val="18"/>
                <w:szCs w:val="18"/>
                <w14:textFill>
                  <w14:solidFill>
                    <w14:schemeClr w14:val="tx1"/>
                  </w14:solidFill>
                </w14:textFill>
              </w:rPr>
              <w:t>序号</w:t>
            </w:r>
          </w:p>
        </w:tc>
        <w:tc>
          <w:tcPr>
            <w:tcW w:w="944" w:type="dxa"/>
          </w:tcPr>
          <w:p w14:paraId="151E8A2C">
            <w:pPr>
              <w:rPr>
                <w:rFonts w:ascii="宋体" w:hAnsi="宋体" w:eastAsia="宋体"/>
                <w:color w:val="000000" w:themeColor="text1"/>
                <w:sz w:val="18"/>
                <w:szCs w:val="18"/>
                <w14:textFill>
                  <w14:solidFill>
                    <w14:schemeClr w14:val="tx1"/>
                  </w14:solidFill>
                </w14:textFill>
              </w:rPr>
            </w:pPr>
            <w:r>
              <w:rPr>
                <w:rFonts w:hint="eastAsia" w:ascii="宋体" w:hAnsi="宋体" w:eastAsia="宋体"/>
                <w:color w:val="000000" w:themeColor="text1"/>
                <w:sz w:val="18"/>
                <w:szCs w:val="18"/>
                <w14:textFill>
                  <w14:solidFill>
                    <w14:schemeClr w14:val="tx1"/>
                  </w14:solidFill>
                </w14:textFill>
              </w:rPr>
              <w:t>风险因素</w:t>
            </w:r>
          </w:p>
        </w:tc>
        <w:tc>
          <w:tcPr>
            <w:tcW w:w="1320" w:type="dxa"/>
          </w:tcPr>
          <w:p w14:paraId="203B3257">
            <w:pPr>
              <w:rPr>
                <w:rFonts w:ascii="宋体" w:hAnsi="宋体" w:eastAsia="宋体"/>
                <w:color w:val="000000" w:themeColor="text1"/>
                <w:sz w:val="18"/>
                <w:szCs w:val="18"/>
                <w14:textFill>
                  <w14:solidFill>
                    <w14:schemeClr w14:val="tx1"/>
                  </w14:solidFill>
                </w14:textFill>
              </w:rPr>
            </w:pPr>
            <w:r>
              <w:rPr>
                <w:rFonts w:hint="eastAsia" w:ascii="宋体" w:hAnsi="宋体" w:eastAsia="宋体"/>
                <w:color w:val="000000" w:themeColor="text1"/>
                <w:sz w:val="18"/>
                <w:szCs w:val="18"/>
                <w14:textFill>
                  <w14:solidFill>
                    <w14:schemeClr w14:val="tx1"/>
                  </w14:solidFill>
                </w14:textFill>
              </w:rPr>
              <w:t>风险发生阶段</w:t>
            </w:r>
          </w:p>
        </w:tc>
        <w:tc>
          <w:tcPr>
            <w:tcW w:w="1764" w:type="dxa"/>
          </w:tcPr>
          <w:p w14:paraId="22811BE3">
            <w:pPr>
              <w:rPr>
                <w:rFonts w:ascii="宋体" w:hAnsi="宋体" w:eastAsia="宋体"/>
                <w:color w:val="000000" w:themeColor="text1"/>
                <w:sz w:val="18"/>
                <w:szCs w:val="18"/>
                <w14:textFill>
                  <w14:solidFill>
                    <w14:schemeClr w14:val="tx1"/>
                  </w14:solidFill>
                </w14:textFill>
              </w:rPr>
            </w:pPr>
            <w:r>
              <w:rPr>
                <w:rFonts w:hint="eastAsia" w:ascii="宋体" w:hAnsi="宋体" w:eastAsia="宋体"/>
                <w:color w:val="000000" w:themeColor="text1"/>
                <w:sz w:val="18"/>
                <w:szCs w:val="18"/>
                <w14:textFill>
                  <w14:solidFill>
                    <w14:schemeClr w14:val="tx1"/>
                  </w14:solidFill>
                </w14:textFill>
              </w:rPr>
              <w:t>主要防范化解措施</w:t>
            </w:r>
          </w:p>
        </w:tc>
        <w:tc>
          <w:tcPr>
            <w:tcW w:w="1116" w:type="dxa"/>
          </w:tcPr>
          <w:p w14:paraId="582D7FF1">
            <w:pPr>
              <w:rPr>
                <w:rFonts w:ascii="宋体" w:hAnsi="宋体" w:eastAsia="宋体"/>
                <w:color w:val="000000" w:themeColor="text1"/>
                <w:sz w:val="18"/>
                <w:szCs w:val="18"/>
                <w14:textFill>
                  <w14:solidFill>
                    <w14:schemeClr w14:val="tx1"/>
                  </w14:solidFill>
                </w14:textFill>
              </w:rPr>
            </w:pPr>
            <w:r>
              <w:rPr>
                <w:rFonts w:hint="eastAsia" w:ascii="宋体" w:hAnsi="宋体" w:eastAsia="宋体"/>
                <w:color w:val="000000" w:themeColor="text1"/>
                <w:sz w:val="18"/>
                <w:szCs w:val="18"/>
                <w14:textFill>
                  <w14:solidFill>
                    <w14:schemeClr w14:val="tx1"/>
                  </w14:solidFill>
                </w14:textFill>
              </w:rPr>
              <w:t>责任主体</w:t>
            </w:r>
          </w:p>
        </w:tc>
        <w:tc>
          <w:tcPr>
            <w:tcW w:w="1134" w:type="dxa"/>
          </w:tcPr>
          <w:p w14:paraId="6BC31340">
            <w:pPr>
              <w:rPr>
                <w:rFonts w:ascii="宋体" w:hAnsi="宋体" w:eastAsia="宋体"/>
                <w:color w:val="000000" w:themeColor="text1"/>
                <w:sz w:val="18"/>
                <w:szCs w:val="18"/>
                <w14:textFill>
                  <w14:solidFill>
                    <w14:schemeClr w14:val="tx1"/>
                  </w14:solidFill>
                </w14:textFill>
              </w:rPr>
            </w:pPr>
            <w:r>
              <w:rPr>
                <w:rFonts w:hint="eastAsia" w:ascii="宋体" w:hAnsi="宋体" w:eastAsia="宋体"/>
                <w:color w:val="000000" w:themeColor="text1"/>
                <w:sz w:val="18"/>
                <w:szCs w:val="18"/>
                <w14:textFill>
                  <w14:solidFill>
                    <w14:schemeClr w14:val="tx1"/>
                  </w14:solidFill>
                </w14:textFill>
              </w:rPr>
              <w:t>牵头责任人</w:t>
            </w:r>
          </w:p>
        </w:tc>
        <w:tc>
          <w:tcPr>
            <w:tcW w:w="997" w:type="dxa"/>
          </w:tcPr>
          <w:p w14:paraId="5696ABE3">
            <w:pPr>
              <w:rPr>
                <w:rFonts w:ascii="宋体" w:hAnsi="宋体" w:eastAsia="宋体"/>
                <w:color w:val="000000" w:themeColor="text1"/>
                <w:sz w:val="18"/>
                <w:szCs w:val="18"/>
                <w14:textFill>
                  <w14:solidFill>
                    <w14:schemeClr w14:val="tx1"/>
                  </w14:solidFill>
                </w14:textFill>
              </w:rPr>
            </w:pPr>
            <w:r>
              <w:rPr>
                <w:rFonts w:hint="eastAsia" w:ascii="宋体" w:hAnsi="宋体" w:eastAsia="宋体"/>
                <w:color w:val="000000" w:themeColor="text1"/>
                <w:sz w:val="18"/>
                <w:szCs w:val="18"/>
                <w14:textFill>
                  <w14:solidFill>
                    <w14:schemeClr w14:val="tx1"/>
                  </w14:solidFill>
                </w14:textFill>
              </w:rPr>
              <w:t>协助单位</w:t>
            </w:r>
          </w:p>
        </w:tc>
        <w:tc>
          <w:tcPr>
            <w:tcW w:w="1036" w:type="dxa"/>
          </w:tcPr>
          <w:p w14:paraId="28C4861E">
            <w:pPr>
              <w:rPr>
                <w:rFonts w:ascii="宋体" w:hAnsi="宋体" w:eastAsia="宋体"/>
                <w:color w:val="000000" w:themeColor="text1"/>
                <w:sz w:val="18"/>
                <w:szCs w:val="18"/>
                <w14:textFill>
                  <w14:solidFill>
                    <w14:schemeClr w14:val="tx1"/>
                  </w14:solidFill>
                </w14:textFill>
              </w:rPr>
            </w:pPr>
            <w:r>
              <w:rPr>
                <w:rFonts w:hint="eastAsia" w:ascii="宋体" w:hAnsi="宋体" w:eastAsia="宋体"/>
                <w:color w:val="000000" w:themeColor="text1"/>
                <w:sz w:val="18"/>
                <w:szCs w:val="18"/>
                <w14:textFill>
                  <w14:solidFill>
                    <w14:schemeClr w14:val="tx1"/>
                  </w14:solidFill>
                </w14:textFill>
              </w:rPr>
              <w:t>完成时限</w:t>
            </w:r>
          </w:p>
        </w:tc>
      </w:tr>
      <w:tr w14:paraId="7664DB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6" w:type="dxa"/>
          </w:tcPr>
          <w:p w14:paraId="3B108A0B">
            <w:pPr>
              <w:jc w:val="center"/>
              <w:rPr>
                <w:rFonts w:ascii="宋体" w:hAnsi="宋体" w:eastAsia="宋体"/>
                <w:color w:val="000000" w:themeColor="text1"/>
                <w:sz w:val="18"/>
                <w:szCs w:val="18"/>
                <w14:textFill>
                  <w14:solidFill>
                    <w14:schemeClr w14:val="tx1"/>
                  </w14:solidFill>
                </w14:textFill>
              </w:rPr>
            </w:pPr>
            <w:r>
              <w:rPr>
                <w:rFonts w:hint="eastAsia" w:ascii="宋体" w:hAnsi="宋体" w:eastAsia="宋体"/>
                <w:color w:val="000000" w:themeColor="text1"/>
                <w:sz w:val="18"/>
                <w:szCs w:val="18"/>
                <w14:textFill>
                  <w14:solidFill>
                    <w14:schemeClr w14:val="tx1"/>
                  </w14:solidFill>
                </w14:textFill>
              </w:rPr>
              <w:t>1</w:t>
            </w:r>
          </w:p>
        </w:tc>
        <w:tc>
          <w:tcPr>
            <w:tcW w:w="944" w:type="dxa"/>
          </w:tcPr>
          <w:p w14:paraId="2269A686">
            <w:pPr>
              <w:rPr>
                <w:rFonts w:ascii="宋体" w:hAnsi="宋体" w:eastAsia="宋体"/>
                <w:color w:val="000000" w:themeColor="text1"/>
                <w:sz w:val="18"/>
                <w:szCs w:val="18"/>
                <w14:textFill>
                  <w14:solidFill>
                    <w14:schemeClr w14:val="tx1"/>
                  </w14:solidFill>
                </w14:textFill>
              </w:rPr>
            </w:pPr>
          </w:p>
        </w:tc>
        <w:tc>
          <w:tcPr>
            <w:tcW w:w="1320" w:type="dxa"/>
          </w:tcPr>
          <w:p w14:paraId="60ADE413">
            <w:pPr>
              <w:rPr>
                <w:rFonts w:ascii="宋体" w:hAnsi="宋体" w:eastAsia="宋体"/>
                <w:color w:val="000000" w:themeColor="text1"/>
                <w:sz w:val="18"/>
                <w:szCs w:val="18"/>
                <w14:textFill>
                  <w14:solidFill>
                    <w14:schemeClr w14:val="tx1"/>
                  </w14:solidFill>
                </w14:textFill>
              </w:rPr>
            </w:pPr>
          </w:p>
        </w:tc>
        <w:tc>
          <w:tcPr>
            <w:tcW w:w="1764" w:type="dxa"/>
          </w:tcPr>
          <w:p w14:paraId="0260F4C4">
            <w:pPr>
              <w:rPr>
                <w:rFonts w:ascii="宋体" w:hAnsi="宋体" w:eastAsia="宋体"/>
                <w:color w:val="000000" w:themeColor="text1"/>
                <w:sz w:val="18"/>
                <w:szCs w:val="18"/>
                <w14:textFill>
                  <w14:solidFill>
                    <w14:schemeClr w14:val="tx1"/>
                  </w14:solidFill>
                </w14:textFill>
              </w:rPr>
            </w:pPr>
          </w:p>
        </w:tc>
        <w:tc>
          <w:tcPr>
            <w:tcW w:w="1116" w:type="dxa"/>
          </w:tcPr>
          <w:p w14:paraId="2E98BE10">
            <w:pPr>
              <w:rPr>
                <w:rFonts w:ascii="宋体" w:hAnsi="宋体" w:eastAsia="宋体"/>
                <w:color w:val="000000" w:themeColor="text1"/>
                <w:sz w:val="18"/>
                <w:szCs w:val="18"/>
                <w14:textFill>
                  <w14:solidFill>
                    <w14:schemeClr w14:val="tx1"/>
                  </w14:solidFill>
                </w14:textFill>
              </w:rPr>
            </w:pPr>
          </w:p>
        </w:tc>
        <w:tc>
          <w:tcPr>
            <w:tcW w:w="1134" w:type="dxa"/>
          </w:tcPr>
          <w:p w14:paraId="7B6EF2A5">
            <w:pPr>
              <w:rPr>
                <w:rFonts w:ascii="宋体" w:hAnsi="宋体" w:eastAsia="宋体"/>
                <w:color w:val="000000" w:themeColor="text1"/>
                <w:sz w:val="18"/>
                <w:szCs w:val="18"/>
                <w14:textFill>
                  <w14:solidFill>
                    <w14:schemeClr w14:val="tx1"/>
                  </w14:solidFill>
                </w14:textFill>
              </w:rPr>
            </w:pPr>
          </w:p>
        </w:tc>
        <w:tc>
          <w:tcPr>
            <w:tcW w:w="997" w:type="dxa"/>
          </w:tcPr>
          <w:p w14:paraId="78D3FCC3">
            <w:pPr>
              <w:rPr>
                <w:rFonts w:ascii="宋体" w:hAnsi="宋体" w:eastAsia="宋体"/>
                <w:color w:val="000000" w:themeColor="text1"/>
                <w:sz w:val="18"/>
                <w:szCs w:val="18"/>
                <w14:textFill>
                  <w14:solidFill>
                    <w14:schemeClr w14:val="tx1"/>
                  </w14:solidFill>
                </w14:textFill>
              </w:rPr>
            </w:pPr>
          </w:p>
        </w:tc>
        <w:tc>
          <w:tcPr>
            <w:tcW w:w="1036" w:type="dxa"/>
          </w:tcPr>
          <w:p w14:paraId="5EDAE85F">
            <w:pPr>
              <w:rPr>
                <w:rFonts w:ascii="宋体" w:hAnsi="宋体" w:eastAsia="宋体"/>
                <w:color w:val="000000" w:themeColor="text1"/>
                <w:sz w:val="18"/>
                <w:szCs w:val="18"/>
                <w14:textFill>
                  <w14:solidFill>
                    <w14:schemeClr w14:val="tx1"/>
                  </w14:solidFill>
                </w14:textFill>
              </w:rPr>
            </w:pPr>
          </w:p>
        </w:tc>
      </w:tr>
      <w:tr w14:paraId="7947C5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6" w:type="dxa"/>
          </w:tcPr>
          <w:p w14:paraId="4227997A">
            <w:pPr>
              <w:jc w:val="center"/>
              <w:rPr>
                <w:rFonts w:ascii="宋体" w:hAnsi="宋体" w:eastAsia="宋体"/>
                <w:color w:val="000000" w:themeColor="text1"/>
                <w:sz w:val="18"/>
                <w:szCs w:val="18"/>
                <w14:textFill>
                  <w14:solidFill>
                    <w14:schemeClr w14:val="tx1"/>
                  </w14:solidFill>
                </w14:textFill>
              </w:rPr>
            </w:pPr>
            <w:r>
              <w:rPr>
                <w:rFonts w:hint="eastAsia" w:ascii="宋体" w:hAnsi="宋体" w:eastAsia="宋体"/>
                <w:color w:val="000000" w:themeColor="text1"/>
                <w:sz w:val="18"/>
                <w:szCs w:val="18"/>
                <w14:textFill>
                  <w14:solidFill>
                    <w14:schemeClr w14:val="tx1"/>
                  </w14:solidFill>
                </w14:textFill>
              </w:rPr>
              <w:t>2</w:t>
            </w:r>
          </w:p>
        </w:tc>
        <w:tc>
          <w:tcPr>
            <w:tcW w:w="944" w:type="dxa"/>
          </w:tcPr>
          <w:p w14:paraId="78AA4312">
            <w:pPr>
              <w:rPr>
                <w:rFonts w:ascii="宋体" w:hAnsi="宋体" w:eastAsia="宋体"/>
                <w:color w:val="000000" w:themeColor="text1"/>
                <w:sz w:val="18"/>
                <w:szCs w:val="18"/>
                <w14:textFill>
                  <w14:solidFill>
                    <w14:schemeClr w14:val="tx1"/>
                  </w14:solidFill>
                </w14:textFill>
              </w:rPr>
            </w:pPr>
          </w:p>
        </w:tc>
        <w:tc>
          <w:tcPr>
            <w:tcW w:w="1320" w:type="dxa"/>
          </w:tcPr>
          <w:p w14:paraId="69500645">
            <w:pPr>
              <w:rPr>
                <w:rFonts w:ascii="宋体" w:hAnsi="宋体" w:eastAsia="宋体"/>
                <w:color w:val="000000" w:themeColor="text1"/>
                <w:sz w:val="18"/>
                <w:szCs w:val="18"/>
                <w14:textFill>
                  <w14:solidFill>
                    <w14:schemeClr w14:val="tx1"/>
                  </w14:solidFill>
                </w14:textFill>
              </w:rPr>
            </w:pPr>
          </w:p>
        </w:tc>
        <w:tc>
          <w:tcPr>
            <w:tcW w:w="1764" w:type="dxa"/>
          </w:tcPr>
          <w:p w14:paraId="096EABA4">
            <w:pPr>
              <w:rPr>
                <w:rFonts w:ascii="宋体" w:hAnsi="宋体" w:eastAsia="宋体"/>
                <w:color w:val="000000" w:themeColor="text1"/>
                <w:sz w:val="18"/>
                <w:szCs w:val="18"/>
                <w14:textFill>
                  <w14:solidFill>
                    <w14:schemeClr w14:val="tx1"/>
                  </w14:solidFill>
                </w14:textFill>
              </w:rPr>
            </w:pPr>
          </w:p>
        </w:tc>
        <w:tc>
          <w:tcPr>
            <w:tcW w:w="1116" w:type="dxa"/>
          </w:tcPr>
          <w:p w14:paraId="75CE2539">
            <w:pPr>
              <w:rPr>
                <w:rFonts w:ascii="宋体" w:hAnsi="宋体" w:eastAsia="宋体"/>
                <w:color w:val="000000" w:themeColor="text1"/>
                <w:sz w:val="18"/>
                <w:szCs w:val="18"/>
                <w14:textFill>
                  <w14:solidFill>
                    <w14:schemeClr w14:val="tx1"/>
                  </w14:solidFill>
                </w14:textFill>
              </w:rPr>
            </w:pPr>
          </w:p>
        </w:tc>
        <w:tc>
          <w:tcPr>
            <w:tcW w:w="1134" w:type="dxa"/>
          </w:tcPr>
          <w:p w14:paraId="39A39A85">
            <w:pPr>
              <w:rPr>
                <w:rFonts w:ascii="宋体" w:hAnsi="宋体" w:eastAsia="宋体"/>
                <w:color w:val="000000" w:themeColor="text1"/>
                <w:sz w:val="18"/>
                <w:szCs w:val="18"/>
                <w14:textFill>
                  <w14:solidFill>
                    <w14:schemeClr w14:val="tx1"/>
                  </w14:solidFill>
                </w14:textFill>
              </w:rPr>
            </w:pPr>
          </w:p>
        </w:tc>
        <w:tc>
          <w:tcPr>
            <w:tcW w:w="997" w:type="dxa"/>
          </w:tcPr>
          <w:p w14:paraId="16AE61E0">
            <w:pPr>
              <w:rPr>
                <w:rFonts w:ascii="宋体" w:hAnsi="宋体" w:eastAsia="宋体"/>
                <w:color w:val="000000" w:themeColor="text1"/>
                <w:sz w:val="18"/>
                <w:szCs w:val="18"/>
                <w14:textFill>
                  <w14:solidFill>
                    <w14:schemeClr w14:val="tx1"/>
                  </w14:solidFill>
                </w14:textFill>
              </w:rPr>
            </w:pPr>
          </w:p>
        </w:tc>
        <w:tc>
          <w:tcPr>
            <w:tcW w:w="1036" w:type="dxa"/>
          </w:tcPr>
          <w:p w14:paraId="3B0EAAED">
            <w:pPr>
              <w:rPr>
                <w:rFonts w:ascii="宋体" w:hAnsi="宋体" w:eastAsia="宋体"/>
                <w:color w:val="000000" w:themeColor="text1"/>
                <w:sz w:val="18"/>
                <w:szCs w:val="18"/>
                <w14:textFill>
                  <w14:solidFill>
                    <w14:schemeClr w14:val="tx1"/>
                  </w14:solidFill>
                </w14:textFill>
              </w:rPr>
            </w:pPr>
          </w:p>
        </w:tc>
      </w:tr>
      <w:tr w14:paraId="3FF282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6" w:type="dxa"/>
          </w:tcPr>
          <w:p w14:paraId="7C90128D">
            <w:pPr>
              <w:jc w:val="center"/>
              <w:rPr>
                <w:rFonts w:ascii="宋体" w:hAnsi="宋体" w:eastAsia="宋体"/>
                <w:color w:val="000000" w:themeColor="text1"/>
                <w:sz w:val="18"/>
                <w:szCs w:val="18"/>
                <w14:textFill>
                  <w14:solidFill>
                    <w14:schemeClr w14:val="tx1"/>
                  </w14:solidFill>
                </w14:textFill>
              </w:rPr>
            </w:pPr>
            <w:r>
              <w:rPr>
                <w:rFonts w:hint="eastAsia" w:ascii="宋体" w:hAnsi="宋体" w:eastAsia="宋体"/>
                <w:color w:val="000000" w:themeColor="text1"/>
                <w:sz w:val="18"/>
                <w:szCs w:val="18"/>
                <w14:textFill>
                  <w14:solidFill>
                    <w14:schemeClr w14:val="tx1"/>
                  </w14:solidFill>
                </w14:textFill>
              </w:rPr>
              <w:t>3</w:t>
            </w:r>
          </w:p>
        </w:tc>
        <w:tc>
          <w:tcPr>
            <w:tcW w:w="944" w:type="dxa"/>
          </w:tcPr>
          <w:p w14:paraId="38228993">
            <w:pPr>
              <w:rPr>
                <w:rFonts w:ascii="宋体" w:hAnsi="宋体" w:eastAsia="宋体"/>
                <w:color w:val="000000" w:themeColor="text1"/>
                <w:sz w:val="18"/>
                <w:szCs w:val="18"/>
                <w14:textFill>
                  <w14:solidFill>
                    <w14:schemeClr w14:val="tx1"/>
                  </w14:solidFill>
                </w14:textFill>
              </w:rPr>
            </w:pPr>
          </w:p>
        </w:tc>
        <w:tc>
          <w:tcPr>
            <w:tcW w:w="1320" w:type="dxa"/>
          </w:tcPr>
          <w:p w14:paraId="1893D29E">
            <w:pPr>
              <w:rPr>
                <w:rFonts w:ascii="宋体" w:hAnsi="宋体" w:eastAsia="宋体"/>
                <w:color w:val="000000" w:themeColor="text1"/>
                <w:sz w:val="18"/>
                <w:szCs w:val="18"/>
                <w14:textFill>
                  <w14:solidFill>
                    <w14:schemeClr w14:val="tx1"/>
                  </w14:solidFill>
                </w14:textFill>
              </w:rPr>
            </w:pPr>
          </w:p>
        </w:tc>
        <w:tc>
          <w:tcPr>
            <w:tcW w:w="1764" w:type="dxa"/>
          </w:tcPr>
          <w:p w14:paraId="1AF5D8A5">
            <w:pPr>
              <w:rPr>
                <w:rFonts w:ascii="宋体" w:hAnsi="宋体" w:eastAsia="宋体"/>
                <w:color w:val="000000" w:themeColor="text1"/>
                <w:sz w:val="18"/>
                <w:szCs w:val="18"/>
                <w14:textFill>
                  <w14:solidFill>
                    <w14:schemeClr w14:val="tx1"/>
                  </w14:solidFill>
                </w14:textFill>
              </w:rPr>
            </w:pPr>
          </w:p>
        </w:tc>
        <w:tc>
          <w:tcPr>
            <w:tcW w:w="1116" w:type="dxa"/>
          </w:tcPr>
          <w:p w14:paraId="28206FA7">
            <w:pPr>
              <w:rPr>
                <w:rFonts w:ascii="宋体" w:hAnsi="宋体" w:eastAsia="宋体"/>
                <w:color w:val="000000" w:themeColor="text1"/>
                <w:sz w:val="18"/>
                <w:szCs w:val="18"/>
                <w14:textFill>
                  <w14:solidFill>
                    <w14:schemeClr w14:val="tx1"/>
                  </w14:solidFill>
                </w14:textFill>
              </w:rPr>
            </w:pPr>
          </w:p>
        </w:tc>
        <w:tc>
          <w:tcPr>
            <w:tcW w:w="1134" w:type="dxa"/>
          </w:tcPr>
          <w:p w14:paraId="09BE7EB9">
            <w:pPr>
              <w:rPr>
                <w:rFonts w:ascii="宋体" w:hAnsi="宋体" w:eastAsia="宋体"/>
                <w:color w:val="000000" w:themeColor="text1"/>
                <w:sz w:val="18"/>
                <w:szCs w:val="18"/>
                <w14:textFill>
                  <w14:solidFill>
                    <w14:schemeClr w14:val="tx1"/>
                  </w14:solidFill>
                </w14:textFill>
              </w:rPr>
            </w:pPr>
          </w:p>
        </w:tc>
        <w:tc>
          <w:tcPr>
            <w:tcW w:w="997" w:type="dxa"/>
          </w:tcPr>
          <w:p w14:paraId="561D840E">
            <w:pPr>
              <w:rPr>
                <w:rFonts w:ascii="宋体" w:hAnsi="宋体" w:eastAsia="宋体"/>
                <w:color w:val="000000" w:themeColor="text1"/>
                <w:sz w:val="18"/>
                <w:szCs w:val="18"/>
                <w14:textFill>
                  <w14:solidFill>
                    <w14:schemeClr w14:val="tx1"/>
                  </w14:solidFill>
                </w14:textFill>
              </w:rPr>
            </w:pPr>
          </w:p>
        </w:tc>
        <w:tc>
          <w:tcPr>
            <w:tcW w:w="1036" w:type="dxa"/>
          </w:tcPr>
          <w:p w14:paraId="7F787FA3">
            <w:pPr>
              <w:rPr>
                <w:rFonts w:ascii="宋体" w:hAnsi="宋体" w:eastAsia="宋体"/>
                <w:color w:val="000000" w:themeColor="text1"/>
                <w:sz w:val="18"/>
                <w:szCs w:val="18"/>
                <w14:textFill>
                  <w14:solidFill>
                    <w14:schemeClr w14:val="tx1"/>
                  </w14:solidFill>
                </w14:textFill>
              </w:rPr>
            </w:pPr>
          </w:p>
        </w:tc>
      </w:tr>
      <w:tr w14:paraId="3072EA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6" w:type="dxa"/>
          </w:tcPr>
          <w:p w14:paraId="4E0BE523">
            <w:pPr>
              <w:jc w:val="center"/>
              <w:rPr>
                <w:rFonts w:ascii="宋体" w:hAnsi="宋体" w:eastAsia="宋体"/>
                <w:color w:val="000000" w:themeColor="text1"/>
                <w:sz w:val="18"/>
                <w:szCs w:val="18"/>
                <w14:textFill>
                  <w14:solidFill>
                    <w14:schemeClr w14:val="tx1"/>
                  </w14:solidFill>
                </w14:textFill>
              </w:rPr>
            </w:pPr>
            <w:r>
              <w:rPr>
                <w:rFonts w:hint="eastAsia" w:ascii="宋体" w:hAnsi="宋体" w:eastAsia="宋体"/>
                <w:color w:val="000000" w:themeColor="text1"/>
                <w:sz w:val="18"/>
                <w:szCs w:val="18"/>
                <w14:textFill>
                  <w14:solidFill>
                    <w14:schemeClr w14:val="tx1"/>
                  </w14:solidFill>
                </w14:textFill>
              </w:rPr>
              <w:t>4</w:t>
            </w:r>
          </w:p>
        </w:tc>
        <w:tc>
          <w:tcPr>
            <w:tcW w:w="944" w:type="dxa"/>
          </w:tcPr>
          <w:p w14:paraId="161448BC">
            <w:pPr>
              <w:rPr>
                <w:rFonts w:ascii="宋体" w:hAnsi="宋体" w:eastAsia="宋体"/>
                <w:color w:val="000000" w:themeColor="text1"/>
                <w:sz w:val="18"/>
                <w:szCs w:val="18"/>
                <w14:textFill>
                  <w14:solidFill>
                    <w14:schemeClr w14:val="tx1"/>
                  </w14:solidFill>
                </w14:textFill>
              </w:rPr>
            </w:pPr>
          </w:p>
        </w:tc>
        <w:tc>
          <w:tcPr>
            <w:tcW w:w="1320" w:type="dxa"/>
          </w:tcPr>
          <w:p w14:paraId="5FEFDBE9">
            <w:pPr>
              <w:rPr>
                <w:rFonts w:ascii="宋体" w:hAnsi="宋体" w:eastAsia="宋体"/>
                <w:color w:val="000000" w:themeColor="text1"/>
                <w:sz w:val="18"/>
                <w:szCs w:val="18"/>
                <w14:textFill>
                  <w14:solidFill>
                    <w14:schemeClr w14:val="tx1"/>
                  </w14:solidFill>
                </w14:textFill>
              </w:rPr>
            </w:pPr>
          </w:p>
        </w:tc>
        <w:tc>
          <w:tcPr>
            <w:tcW w:w="1764" w:type="dxa"/>
          </w:tcPr>
          <w:p w14:paraId="7A957CDE">
            <w:pPr>
              <w:rPr>
                <w:rFonts w:ascii="宋体" w:hAnsi="宋体" w:eastAsia="宋体"/>
                <w:color w:val="000000" w:themeColor="text1"/>
                <w:sz w:val="18"/>
                <w:szCs w:val="18"/>
                <w14:textFill>
                  <w14:solidFill>
                    <w14:schemeClr w14:val="tx1"/>
                  </w14:solidFill>
                </w14:textFill>
              </w:rPr>
            </w:pPr>
          </w:p>
        </w:tc>
        <w:tc>
          <w:tcPr>
            <w:tcW w:w="1116" w:type="dxa"/>
          </w:tcPr>
          <w:p w14:paraId="0CFC845E">
            <w:pPr>
              <w:rPr>
                <w:rFonts w:ascii="宋体" w:hAnsi="宋体" w:eastAsia="宋体"/>
                <w:color w:val="000000" w:themeColor="text1"/>
                <w:sz w:val="18"/>
                <w:szCs w:val="18"/>
                <w14:textFill>
                  <w14:solidFill>
                    <w14:schemeClr w14:val="tx1"/>
                  </w14:solidFill>
                </w14:textFill>
              </w:rPr>
            </w:pPr>
          </w:p>
        </w:tc>
        <w:tc>
          <w:tcPr>
            <w:tcW w:w="1134" w:type="dxa"/>
          </w:tcPr>
          <w:p w14:paraId="1691D632">
            <w:pPr>
              <w:rPr>
                <w:rFonts w:ascii="宋体" w:hAnsi="宋体" w:eastAsia="宋体"/>
                <w:color w:val="000000" w:themeColor="text1"/>
                <w:sz w:val="18"/>
                <w:szCs w:val="18"/>
                <w14:textFill>
                  <w14:solidFill>
                    <w14:schemeClr w14:val="tx1"/>
                  </w14:solidFill>
                </w14:textFill>
              </w:rPr>
            </w:pPr>
          </w:p>
        </w:tc>
        <w:tc>
          <w:tcPr>
            <w:tcW w:w="997" w:type="dxa"/>
          </w:tcPr>
          <w:p w14:paraId="7D5DC5B5">
            <w:pPr>
              <w:rPr>
                <w:rFonts w:ascii="宋体" w:hAnsi="宋体" w:eastAsia="宋体"/>
                <w:color w:val="000000" w:themeColor="text1"/>
                <w:sz w:val="18"/>
                <w:szCs w:val="18"/>
                <w14:textFill>
                  <w14:solidFill>
                    <w14:schemeClr w14:val="tx1"/>
                  </w14:solidFill>
                </w14:textFill>
              </w:rPr>
            </w:pPr>
          </w:p>
        </w:tc>
        <w:tc>
          <w:tcPr>
            <w:tcW w:w="1036" w:type="dxa"/>
          </w:tcPr>
          <w:p w14:paraId="778E7F7C">
            <w:pPr>
              <w:rPr>
                <w:rFonts w:ascii="宋体" w:hAnsi="宋体" w:eastAsia="宋体"/>
                <w:color w:val="000000" w:themeColor="text1"/>
                <w:sz w:val="18"/>
                <w:szCs w:val="18"/>
                <w14:textFill>
                  <w14:solidFill>
                    <w14:schemeClr w14:val="tx1"/>
                  </w14:solidFill>
                </w14:textFill>
              </w:rPr>
            </w:pPr>
          </w:p>
        </w:tc>
      </w:tr>
      <w:tr w14:paraId="538842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6" w:type="dxa"/>
          </w:tcPr>
          <w:p w14:paraId="5BB5A537">
            <w:pPr>
              <w:jc w:val="center"/>
              <w:rPr>
                <w:rFonts w:ascii="宋体" w:hAnsi="宋体" w:eastAsia="宋体"/>
                <w:color w:val="000000" w:themeColor="text1"/>
                <w:sz w:val="18"/>
                <w:szCs w:val="18"/>
                <w14:textFill>
                  <w14:solidFill>
                    <w14:schemeClr w14:val="tx1"/>
                  </w14:solidFill>
                </w14:textFill>
              </w:rPr>
            </w:pPr>
            <w:r>
              <w:rPr>
                <w:rFonts w:hint="eastAsia" w:ascii="宋体" w:hAnsi="宋体" w:eastAsia="宋体"/>
                <w:color w:val="000000" w:themeColor="text1"/>
                <w:sz w:val="18"/>
                <w:szCs w:val="18"/>
                <w14:textFill>
                  <w14:solidFill>
                    <w14:schemeClr w14:val="tx1"/>
                  </w14:solidFill>
                </w14:textFill>
              </w:rPr>
              <w:t>5</w:t>
            </w:r>
          </w:p>
        </w:tc>
        <w:tc>
          <w:tcPr>
            <w:tcW w:w="944" w:type="dxa"/>
          </w:tcPr>
          <w:p w14:paraId="3AE6A510">
            <w:pPr>
              <w:rPr>
                <w:rFonts w:ascii="宋体" w:hAnsi="宋体" w:eastAsia="宋体"/>
                <w:color w:val="000000" w:themeColor="text1"/>
                <w:sz w:val="18"/>
                <w:szCs w:val="18"/>
                <w14:textFill>
                  <w14:solidFill>
                    <w14:schemeClr w14:val="tx1"/>
                  </w14:solidFill>
                </w14:textFill>
              </w:rPr>
            </w:pPr>
          </w:p>
        </w:tc>
        <w:tc>
          <w:tcPr>
            <w:tcW w:w="1320" w:type="dxa"/>
          </w:tcPr>
          <w:p w14:paraId="4E3FABF0">
            <w:pPr>
              <w:rPr>
                <w:rFonts w:ascii="宋体" w:hAnsi="宋体" w:eastAsia="宋体"/>
                <w:color w:val="000000" w:themeColor="text1"/>
                <w:sz w:val="18"/>
                <w:szCs w:val="18"/>
                <w14:textFill>
                  <w14:solidFill>
                    <w14:schemeClr w14:val="tx1"/>
                  </w14:solidFill>
                </w14:textFill>
              </w:rPr>
            </w:pPr>
          </w:p>
        </w:tc>
        <w:tc>
          <w:tcPr>
            <w:tcW w:w="1764" w:type="dxa"/>
          </w:tcPr>
          <w:p w14:paraId="23DD8313">
            <w:pPr>
              <w:rPr>
                <w:rFonts w:ascii="宋体" w:hAnsi="宋体" w:eastAsia="宋体"/>
                <w:color w:val="000000" w:themeColor="text1"/>
                <w:sz w:val="18"/>
                <w:szCs w:val="18"/>
                <w14:textFill>
                  <w14:solidFill>
                    <w14:schemeClr w14:val="tx1"/>
                  </w14:solidFill>
                </w14:textFill>
              </w:rPr>
            </w:pPr>
          </w:p>
        </w:tc>
        <w:tc>
          <w:tcPr>
            <w:tcW w:w="1116" w:type="dxa"/>
          </w:tcPr>
          <w:p w14:paraId="7D3DCE6A">
            <w:pPr>
              <w:rPr>
                <w:rFonts w:ascii="宋体" w:hAnsi="宋体" w:eastAsia="宋体"/>
                <w:color w:val="000000" w:themeColor="text1"/>
                <w:sz w:val="18"/>
                <w:szCs w:val="18"/>
                <w14:textFill>
                  <w14:solidFill>
                    <w14:schemeClr w14:val="tx1"/>
                  </w14:solidFill>
                </w14:textFill>
              </w:rPr>
            </w:pPr>
          </w:p>
        </w:tc>
        <w:tc>
          <w:tcPr>
            <w:tcW w:w="1134" w:type="dxa"/>
          </w:tcPr>
          <w:p w14:paraId="3D0A4A2D">
            <w:pPr>
              <w:rPr>
                <w:rFonts w:ascii="宋体" w:hAnsi="宋体" w:eastAsia="宋体"/>
                <w:color w:val="000000" w:themeColor="text1"/>
                <w:sz w:val="18"/>
                <w:szCs w:val="18"/>
                <w14:textFill>
                  <w14:solidFill>
                    <w14:schemeClr w14:val="tx1"/>
                  </w14:solidFill>
                </w14:textFill>
              </w:rPr>
            </w:pPr>
          </w:p>
        </w:tc>
        <w:tc>
          <w:tcPr>
            <w:tcW w:w="997" w:type="dxa"/>
          </w:tcPr>
          <w:p w14:paraId="66FC01D2">
            <w:pPr>
              <w:rPr>
                <w:rFonts w:ascii="宋体" w:hAnsi="宋体" w:eastAsia="宋体"/>
                <w:color w:val="000000" w:themeColor="text1"/>
                <w:sz w:val="18"/>
                <w:szCs w:val="18"/>
                <w14:textFill>
                  <w14:solidFill>
                    <w14:schemeClr w14:val="tx1"/>
                  </w14:solidFill>
                </w14:textFill>
              </w:rPr>
            </w:pPr>
          </w:p>
        </w:tc>
        <w:tc>
          <w:tcPr>
            <w:tcW w:w="1036" w:type="dxa"/>
          </w:tcPr>
          <w:p w14:paraId="1987A267">
            <w:pPr>
              <w:rPr>
                <w:rFonts w:ascii="宋体" w:hAnsi="宋体" w:eastAsia="宋体"/>
                <w:color w:val="000000" w:themeColor="text1"/>
                <w:sz w:val="18"/>
                <w:szCs w:val="18"/>
                <w14:textFill>
                  <w14:solidFill>
                    <w14:schemeClr w14:val="tx1"/>
                  </w14:solidFill>
                </w14:textFill>
              </w:rPr>
            </w:pPr>
          </w:p>
        </w:tc>
      </w:tr>
      <w:tr w14:paraId="60ABD9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6" w:type="dxa"/>
          </w:tcPr>
          <w:p w14:paraId="672A58F2">
            <w:pPr>
              <w:jc w:val="center"/>
              <w:rPr>
                <w:rFonts w:ascii="宋体" w:hAnsi="宋体" w:eastAsia="宋体"/>
                <w:color w:val="000000" w:themeColor="text1"/>
                <w:sz w:val="18"/>
                <w:szCs w:val="18"/>
                <w14:textFill>
                  <w14:solidFill>
                    <w14:schemeClr w14:val="tx1"/>
                  </w14:solidFill>
                </w14:textFill>
              </w:rPr>
            </w:pPr>
            <w:r>
              <w:rPr>
                <w:rFonts w:hint="eastAsia" w:ascii="宋体" w:hAnsi="宋体" w:eastAsia="宋体"/>
                <w:color w:val="000000" w:themeColor="text1"/>
                <w:sz w:val="18"/>
                <w:szCs w:val="18"/>
                <w14:textFill>
                  <w14:solidFill>
                    <w14:schemeClr w14:val="tx1"/>
                  </w14:solidFill>
                </w14:textFill>
              </w:rPr>
              <w:t>6</w:t>
            </w:r>
          </w:p>
        </w:tc>
        <w:tc>
          <w:tcPr>
            <w:tcW w:w="944" w:type="dxa"/>
          </w:tcPr>
          <w:p w14:paraId="6D926DCE">
            <w:pPr>
              <w:rPr>
                <w:rFonts w:ascii="宋体" w:hAnsi="宋体" w:eastAsia="宋体"/>
                <w:color w:val="000000" w:themeColor="text1"/>
                <w:sz w:val="18"/>
                <w:szCs w:val="18"/>
                <w14:textFill>
                  <w14:solidFill>
                    <w14:schemeClr w14:val="tx1"/>
                  </w14:solidFill>
                </w14:textFill>
              </w:rPr>
            </w:pPr>
          </w:p>
        </w:tc>
        <w:tc>
          <w:tcPr>
            <w:tcW w:w="1320" w:type="dxa"/>
          </w:tcPr>
          <w:p w14:paraId="359E5FEB">
            <w:pPr>
              <w:rPr>
                <w:rFonts w:ascii="宋体" w:hAnsi="宋体" w:eastAsia="宋体"/>
                <w:color w:val="000000" w:themeColor="text1"/>
                <w:sz w:val="18"/>
                <w:szCs w:val="18"/>
                <w14:textFill>
                  <w14:solidFill>
                    <w14:schemeClr w14:val="tx1"/>
                  </w14:solidFill>
                </w14:textFill>
              </w:rPr>
            </w:pPr>
          </w:p>
        </w:tc>
        <w:tc>
          <w:tcPr>
            <w:tcW w:w="1764" w:type="dxa"/>
          </w:tcPr>
          <w:p w14:paraId="729BEEB0">
            <w:pPr>
              <w:rPr>
                <w:rFonts w:ascii="宋体" w:hAnsi="宋体" w:eastAsia="宋体"/>
                <w:color w:val="000000" w:themeColor="text1"/>
                <w:sz w:val="18"/>
                <w:szCs w:val="18"/>
                <w14:textFill>
                  <w14:solidFill>
                    <w14:schemeClr w14:val="tx1"/>
                  </w14:solidFill>
                </w14:textFill>
              </w:rPr>
            </w:pPr>
          </w:p>
        </w:tc>
        <w:tc>
          <w:tcPr>
            <w:tcW w:w="1116" w:type="dxa"/>
          </w:tcPr>
          <w:p w14:paraId="3317C3AC">
            <w:pPr>
              <w:rPr>
                <w:rFonts w:ascii="宋体" w:hAnsi="宋体" w:eastAsia="宋体"/>
                <w:color w:val="000000" w:themeColor="text1"/>
                <w:sz w:val="18"/>
                <w:szCs w:val="18"/>
                <w14:textFill>
                  <w14:solidFill>
                    <w14:schemeClr w14:val="tx1"/>
                  </w14:solidFill>
                </w14:textFill>
              </w:rPr>
            </w:pPr>
          </w:p>
        </w:tc>
        <w:tc>
          <w:tcPr>
            <w:tcW w:w="1134" w:type="dxa"/>
          </w:tcPr>
          <w:p w14:paraId="7CE1C458">
            <w:pPr>
              <w:rPr>
                <w:rFonts w:ascii="宋体" w:hAnsi="宋体" w:eastAsia="宋体"/>
                <w:color w:val="000000" w:themeColor="text1"/>
                <w:sz w:val="18"/>
                <w:szCs w:val="18"/>
                <w14:textFill>
                  <w14:solidFill>
                    <w14:schemeClr w14:val="tx1"/>
                  </w14:solidFill>
                </w14:textFill>
              </w:rPr>
            </w:pPr>
          </w:p>
        </w:tc>
        <w:tc>
          <w:tcPr>
            <w:tcW w:w="997" w:type="dxa"/>
          </w:tcPr>
          <w:p w14:paraId="6F90E4CE">
            <w:pPr>
              <w:rPr>
                <w:rFonts w:ascii="宋体" w:hAnsi="宋体" w:eastAsia="宋体"/>
                <w:color w:val="000000" w:themeColor="text1"/>
                <w:sz w:val="18"/>
                <w:szCs w:val="18"/>
                <w14:textFill>
                  <w14:solidFill>
                    <w14:schemeClr w14:val="tx1"/>
                  </w14:solidFill>
                </w14:textFill>
              </w:rPr>
            </w:pPr>
          </w:p>
        </w:tc>
        <w:tc>
          <w:tcPr>
            <w:tcW w:w="1036" w:type="dxa"/>
          </w:tcPr>
          <w:p w14:paraId="1BF6252C">
            <w:pPr>
              <w:rPr>
                <w:rFonts w:ascii="宋体" w:hAnsi="宋体" w:eastAsia="宋体"/>
                <w:color w:val="000000" w:themeColor="text1"/>
                <w:sz w:val="18"/>
                <w:szCs w:val="18"/>
                <w14:textFill>
                  <w14:solidFill>
                    <w14:schemeClr w14:val="tx1"/>
                  </w14:solidFill>
                </w14:textFill>
              </w:rPr>
            </w:pPr>
          </w:p>
        </w:tc>
      </w:tr>
      <w:tr w14:paraId="40D7C8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6" w:type="dxa"/>
          </w:tcPr>
          <w:p w14:paraId="184966C8">
            <w:pPr>
              <w:jc w:val="center"/>
              <w:rPr>
                <w:rFonts w:ascii="宋体" w:hAnsi="宋体" w:eastAsia="宋体"/>
                <w:color w:val="000000" w:themeColor="text1"/>
                <w:sz w:val="18"/>
                <w:szCs w:val="18"/>
                <w14:textFill>
                  <w14:solidFill>
                    <w14:schemeClr w14:val="tx1"/>
                  </w14:solidFill>
                </w14:textFill>
              </w:rPr>
            </w:pPr>
            <w:r>
              <w:rPr>
                <w:rFonts w:hint="eastAsia" w:ascii="宋体" w:hAnsi="宋体" w:eastAsia="宋体"/>
                <w:color w:val="000000" w:themeColor="text1"/>
                <w:sz w:val="18"/>
                <w:szCs w:val="18"/>
                <w14:textFill>
                  <w14:solidFill>
                    <w14:schemeClr w14:val="tx1"/>
                  </w14:solidFill>
                </w14:textFill>
              </w:rPr>
              <w:t>7</w:t>
            </w:r>
          </w:p>
        </w:tc>
        <w:tc>
          <w:tcPr>
            <w:tcW w:w="944" w:type="dxa"/>
          </w:tcPr>
          <w:p w14:paraId="45ACD408">
            <w:pPr>
              <w:rPr>
                <w:rFonts w:ascii="宋体" w:hAnsi="宋体" w:eastAsia="宋体"/>
                <w:color w:val="000000" w:themeColor="text1"/>
                <w:sz w:val="18"/>
                <w:szCs w:val="18"/>
                <w14:textFill>
                  <w14:solidFill>
                    <w14:schemeClr w14:val="tx1"/>
                  </w14:solidFill>
                </w14:textFill>
              </w:rPr>
            </w:pPr>
          </w:p>
        </w:tc>
        <w:tc>
          <w:tcPr>
            <w:tcW w:w="1320" w:type="dxa"/>
          </w:tcPr>
          <w:p w14:paraId="097EDA25">
            <w:pPr>
              <w:rPr>
                <w:rFonts w:ascii="宋体" w:hAnsi="宋体" w:eastAsia="宋体"/>
                <w:color w:val="000000" w:themeColor="text1"/>
                <w:sz w:val="18"/>
                <w:szCs w:val="18"/>
                <w14:textFill>
                  <w14:solidFill>
                    <w14:schemeClr w14:val="tx1"/>
                  </w14:solidFill>
                </w14:textFill>
              </w:rPr>
            </w:pPr>
          </w:p>
        </w:tc>
        <w:tc>
          <w:tcPr>
            <w:tcW w:w="1764" w:type="dxa"/>
          </w:tcPr>
          <w:p w14:paraId="0D665455">
            <w:pPr>
              <w:rPr>
                <w:rFonts w:ascii="宋体" w:hAnsi="宋体" w:eastAsia="宋体"/>
                <w:color w:val="000000" w:themeColor="text1"/>
                <w:sz w:val="18"/>
                <w:szCs w:val="18"/>
                <w14:textFill>
                  <w14:solidFill>
                    <w14:schemeClr w14:val="tx1"/>
                  </w14:solidFill>
                </w14:textFill>
              </w:rPr>
            </w:pPr>
          </w:p>
        </w:tc>
        <w:tc>
          <w:tcPr>
            <w:tcW w:w="1116" w:type="dxa"/>
          </w:tcPr>
          <w:p w14:paraId="59031F90">
            <w:pPr>
              <w:rPr>
                <w:rFonts w:ascii="宋体" w:hAnsi="宋体" w:eastAsia="宋体"/>
                <w:color w:val="000000" w:themeColor="text1"/>
                <w:sz w:val="18"/>
                <w:szCs w:val="18"/>
                <w14:textFill>
                  <w14:solidFill>
                    <w14:schemeClr w14:val="tx1"/>
                  </w14:solidFill>
                </w14:textFill>
              </w:rPr>
            </w:pPr>
          </w:p>
        </w:tc>
        <w:tc>
          <w:tcPr>
            <w:tcW w:w="1134" w:type="dxa"/>
          </w:tcPr>
          <w:p w14:paraId="4BE77C15">
            <w:pPr>
              <w:rPr>
                <w:rFonts w:ascii="宋体" w:hAnsi="宋体" w:eastAsia="宋体"/>
                <w:color w:val="000000" w:themeColor="text1"/>
                <w:sz w:val="18"/>
                <w:szCs w:val="18"/>
                <w14:textFill>
                  <w14:solidFill>
                    <w14:schemeClr w14:val="tx1"/>
                  </w14:solidFill>
                </w14:textFill>
              </w:rPr>
            </w:pPr>
          </w:p>
        </w:tc>
        <w:tc>
          <w:tcPr>
            <w:tcW w:w="997" w:type="dxa"/>
          </w:tcPr>
          <w:p w14:paraId="1A89035A">
            <w:pPr>
              <w:rPr>
                <w:rFonts w:ascii="宋体" w:hAnsi="宋体" w:eastAsia="宋体"/>
                <w:color w:val="000000" w:themeColor="text1"/>
                <w:sz w:val="18"/>
                <w:szCs w:val="18"/>
                <w14:textFill>
                  <w14:solidFill>
                    <w14:schemeClr w14:val="tx1"/>
                  </w14:solidFill>
                </w14:textFill>
              </w:rPr>
            </w:pPr>
          </w:p>
        </w:tc>
        <w:tc>
          <w:tcPr>
            <w:tcW w:w="1036" w:type="dxa"/>
          </w:tcPr>
          <w:p w14:paraId="4FC1552B">
            <w:pPr>
              <w:rPr>
                <w:rFonts w:ascii="宋体" w:hAnsi="宋体" w:eastAsia="宋体"/>
                <w:color w:val="000000" w:themeColor="text1"/>
                <w:sz w:val="18"/>
                <w:szCs w:val="18"/>
                <w14:textFill>
                  <w14:solidFill>
                    <w14:schemeClr w14:val="tx1"/>
                  </w14:solidFill>
                </w14:textFill>
              </w:rPr>
            </w:pPr>
          </w:p>
        </w:tc>
      </w:tr>
      <w:tr w14:paraId="7B4137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6" w:type="dxa"/>
          </w:tcPr>
          <w:p w14:paraId="174FE4DB">
            <w:pPr>
              <w:jc w:val="center"/>
              <w:rPr>
                <w:rFonts w:ascii="宋体" w:hAnsi="宋体" w:eastAsia="宋体"/>
                <w:color w:val="000000" w:themeColor="text1"/>
                <w:sz w:val="18"/>
                <w:szCs w:val="18"/>
                <w14:textFill>
                  <w14:solidFill>
                    <w14:schemeClr w14:val="tx1"/>
                  </w14:solidFill>
                </w14:textFill>
              </w:rPr>
            </w:pPr>
            <w:r>
              <w:rPr>
                <w:rFonts w:hint="eastAsia" w:ascii="宋体" w:hAnsi="宋体" w:eastAsia="宋体"/>
                <w:color w:val="000000" w:themeColor="text1"/>
                <w:sz w:val="18"/>
                <w:szCs w:val="18"/>
                <w14:textFill>
                  <w14:solidFill>
                    <w14:schemeClr w14:val="tx1"/>
                  </w14:solidFill>
                </w14:textFill>
              </w:rPr>
              <w:t>8</w:t>
            </w:r>
          </w:p>
        </w:tc>
        <w:tc>
          <w:tcPr>
            <w:tcW w:w="944" w:type="dxa"/>
          </w:tcPr>
          <w:p w14:paraId="6EBDE10F">
            <w:pPr>
              <w:rPr>
                <w:rFonts w:ascii="宋体" w:hAnsi="宋体" w:eastAsia="宋体"/>
                <w:color w:val="000000" w:themeColor="text1"/>
                <w:sz w:val="18"/>
                <w:szCs w:val="18"/>
                <w14:textFill>
                  <w14:solidFill>
                    <w14:schemeClr w14:val="tx1"/>
                  </w14:solidFill>
                </w14:textFill>
              </w:rPr>
            </w:pPr>
          </w:p>
        </w:tc>
        <w:tc>
          <w:tcPr>
            <w:tcW w:w="1320" w:type="dxa"/>
          </w:tcPr>
          <w:p w14:paraId="6770D800">
            <w:pPr>
              <w:rPr>
                <w:rFonts w:ascii="宋体" w:hAnsi="宋体" w:eastAsia="宋体"/>
                <w:color w:val="000000" w:themeColor="text1"/>
                <w:sz w:val="18"/>
                <w:szCs w:val="18"/>
                <w14:textFill>
                  <w14:solidFill>
                    <w14:schemeClr w14:val="tx1"/>
                  </w14:solidFill>
                </w14:textFill>
              </w:rPr>
            </w:pPr>
          </w:p>
        </w:tc>
        <w:tc>
          <w:tcPr>
            <w:tcW w:w="1764" w:type="dxa"/>
          </w:tcPr>
          <w:p w14:paraId="28CFD367">
            <w:pPr>
              <w:rPr>
                <w:rFonts w:ascii="宋体" w:hAnsi="宋体" w:eastAsia="宋体"/>
                <w:color w:val="000000" w:themeColor="text1"/>
                <w:sz w:val="18"/>
                <w:szCs w:val="18"/>
                <w14:textFill>
                  <w14:solidFill>
                    <w14:schemeClr w14:val="tx1"/>
                  </w14:solidFill>
                </w14:textFill>
              </w:rPr>
            </w:pPr>
          </w:p>
        </w:tc>
        <w:tc>
          <w:tcPr>
            <w:tcW w:w="1116" w:type="dxa"/>
          </w:tcPr>
          <w:p w14:paraId="54196695">
            <w:pPr>
              <w:rPr>
                <w:rFonts w:ascii="宋体" w:hAnsi="宋体" w:eastAsia="宋体"/>
                <w:color w:val="000000" w:themeColor="text1"/>
                <w:sz w:val="18"/>
                <w:szCs w:val="18"/>
                <w14:textFill>
                  <w14:solidFill>
                    <w14:schemeClr w14:val="tx1"/>
                  </w14:solidFill>
                </w14:textFill>
              </w:rPr>
            </w:pPr>
          </w:p>
        </w:tc>
        <w:tc>
          <w:tcPr>
            <w:tcW w:w="1134" w:type="dxa"/>
          </w:tcPr>
          <w:p w14:paraId="7232BE9C">
            <w:pPr>
              <w:rPr>
                <w:rFonts w:ascii="宋体" w:hAnsi="宋体" w:eastAsia="宋体"/>
                <w:color w:val="000000" w:themeColor="text1"/>
                <w:sz w:val="18"/>
                <w:szCs w:val="18"/>
                <w14:textFill>
                  <w14:solidFill>
                    <w14:schemeClr w14:val="tx1"/>
                  </w14:solidFill>
                </w14:textFill>
              </w:rPr>
            </w:pPr>
          </w:p>
        </w:tc>
        <w:tc>
          <w:tcPr>
            <w:tcW w:w="997" w:type="dxa"/>
          </w:tcPr>
          <w:p w14:paraId="656D52F6">
            <w:pPr>
              <w:rPr>
                <w:rFonts w:ascii="宋体" w:hAnsi="宋体" w:eastAsia="宋体"/>
                <w:color w:val="000000" w:themeColor="text1"/>
                <w:sz w:val="18"/>
                <w:szCs w:val="18"/>
                <w14:textFill>
                  <w14:solidFill>
                    <w14:schemeClr w14:val="tx1"/>
                  </w14:solidFill>
                </w14:textFill>
              </w:rPr>
            </w:pPr>
          </w:p>
        </w:tc>
        <w:tc>
          <w:tcPr>
            <w:tcW w:w="1036" w:type="dxa"/>
          </w:tcPr>
          <w:p w14:paraId="0A89872A">
            <w:pPr>
              <w:rPr>
                <w:rFonts w:ascii="宋体" w:hAnsi="宋体" w:eastAsia="宋体"/>
                <w:color w:val="000000" w:themeColor="text1"/>
                <w:sz w:val="18"/>
                <w:szCs w:val="18"/>
                <w14:textFill>
                  <w14:solidFill>
                    <w14:schemeClr w14:val="tx1"/>
                  </w14:solidFill>
                </w14:textFill>
              </w:rPr>
            </w:pPr>
          </w:p>
        </w:tc>
      </w:tr>
      <w:tr w14:paraId="5E2755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6" w:type="dxa"/>
          </w:tcPr>
          <w:p w14:paraId="37D20851">
            <w:pPr>
              <w:jc w:val="center"/>
              <w:rPr>
                <w:rFonts w:ascii="宋体" w:hAnsi="宋体" w:eastAsia="宋体"/>
                <w:color w:val="000000" w:themeColor="text1"/>
                <w:sz w:val="18"/>
                <w:szCs w:val="18"/>
                <w14:textFill>
                  <w14:solidFill>
                    <w14:schemeClr w14:val="tx1"/>
                  </w14:solidFill>
                </w14:textFill>
              </w:rPr>
            </w:pPr>
            <w:r>
              <w:rPr>
                <w:rFonts w:hint="eastAsia" w:ascii="宋体" w:hAnsi="宋体" w:eastAsia="宋体"/>
                <w:color w:val="000000" w:themeColor="text1"/>
                <w:sz w:val="18"/>
                <w:szCs w:val="18"/>
                <w14:textFill>
                  <w14:solidFill>
                    <w14:schemeClr w14:val="tx1"/>
                  </w14:solidFill>
                </w14:textFill>
              </w:rPr>
              <w:t>9</w:t>
            </w:r>
          </w:p>
        </w:tc>
        <w:tc>
          <w:tcPr>
            <w:tcW w:w="944" w:type="dxa"/>
          </w:tcPr>
          <w:p w14:paraId="1A5F71A1">
            <w:pPr>
              <w:rPr>
                <w:rFonts w:ascii="宋体" w:hAnsi="宋体" w:eastAsia="宋体"/>
                <w:color w:val="000000" w:themeColor="text1"/>
                <w:sz w:val="18"/>
                <w:szCs w:val="18"/>
                <w14:textFill>
                  <w14:solidFill>
                    <w14:schemeClr w14:val="tx1"/>
                  </w14:solidFill>
                </w14:textFill>
              </w:rPr>
            </w:pPr>
          </w:p>
        </w:tc>
        <w:tc>
          <w:tcPr>
            <w:tcW w:w="1320" w:type="dxa"/>
          </w:tcPr>
          <w:p w14:paraId="63E166B6">
            <w:pPr>
              <w:rPr>
                <w:rFonts w:ascii="宋体" w:hAnsi="宋体" w:eastAsia="宋体"/>
                <w:color w:val="000000" w:themeColor="text1"/>
                <w:sz w:val="18"/>
                <w:szCs w:val="18"/>
                <w14:textFill>
                  <w14:solidFill>
                    <w14:schemeClr w14:val="tx1"/>
                  </w14:solidFill>
                </w14:textFill>
              </w:rPr>
            </w:pPr>
          </w:p>
        </w:tc>
        <w:tc>
          <w:tcPr>
            <w:tcW w:w="1764" w:type="dxa"/>
          </w:tcPr>
          <w:p w14:paraId="583B1113">
            <w:pPr>
              <w:rPr>
                <w:rFonts w:ascii="宋体" w:hAnsi="宋体" w:eastAsia="宋体"/>
                <w:color w:val="000000" w:themeColor="text1"/>
                <w:sz w:val="18"/>
                <w:szCs w:val="18"/>
                <w14:textFill>
                  <w14:solidFill>
                    <w14:schemeClr w14:val="tx1"/>
                  </w14:solidFill>
                </w14:textFill>
              </w:rPr>
            </w:pPr>
          </w:p>
        </w:tc>
        <w:tc>
          <w:tcPr>
            <w:tcW w:w="1116" w:type="dxa"/>
          </w:tcPr>
          <w:p w14:paraId="4FF0A2F0">
            <w:pPr>
              <w:rPr>
                <w:rFonts w:ascii="宋体" w:hAnsi="宋体" w:eastAsia="宋体"/>
                <w:color w:val="000000" w:themeColor="text1"/>
                <w:sz w:val="18"/>
                <w:szCs w:val="18"/>
                <w14:textFill>
                  <w14:solidFill>
                    <w14:schemeClr w14:val="tx1"/>
                  </w14:solidFill>
                </w14:textFill>
              </w:rPr>
            </w:pPr>
          </w:p>
        </w:tc>
        <w:tc>
          <w:tcPr>
            <w:tcW w:w="1134" w:type="dxa"/>
          </w:tcPr>
          <w:p w14:paraId="0730A17A">
            <w:pPr>
              <w:rPr>
                <w:rFonts w:ascii="宋体" w:hAnsi="宋体" w:eastAsia="宋体"/>
                <w:color w:val="000000" w:themeColor="text1"/>
                <w:sz w:val="18"/>
                <w:szCs w:val="18"/>
                <w14:textFill>
                  <w14:solidFill>
                    <w14:schemeClr w14:val="tx1"/>
                  </w14:solidFill>
                </w14:textFill>
              </w:rPr>
            </w:pPr>
          </w:p>
        </w:tc>
        <w:tc>
          <w:tcPr>
            <w:tcW w:w="997" w:type="dxa"/>
          </w:tcPr>
          <w:p w14:paraId="72ED9CF9">
            <w:pPr>
              <w:rPr>
                <w:rFonts w:ascii="宋体" w:hAnsi="宋体" w:eastAsia="宋体"/>
                <w:color w:val="000000" w:themeColor="text1"/>
                <w:sz w:val="18"/>
                <w:szCs w:val="18"/>
                <w14:textFill>
                  <w14:solidFill>
                    <w14:schemeClr w14:val="tx1"/>
                  </w14:solidFill>
                </w14:textFill>
              </w:rPr>
            </w:pPr>
          </w:p>
        </w:tc>
        <w:tc>
          <w:tcPr>
            <w:tcW w:w="1036" w:type="dxa"/>
          </w:tcPr>
          <w:p w14:paraId="37A7E501">
            <w:pPr>
              <w:rPr>
                <w:rFonts w:ascii="宋体" w:hAnsi="宋体" w:eastAsia="宋体"/>
                <w:color w:val="000000" w:themeColor="text1"/>
                <w:sz w:val="18"/>
                <w:szCs w:val="18"/>
                <w14:textFill>
                  <w14:solidFill>
                    <w14:schemeClr w14:val="tx1"/>
                  </w14:solidFill>
                </w14:textFill>
              </w:rPr>
            </w:pPr>
          </w:p>
        </w:tc>
      </w:tr>
      <w:tr w14:paraId="69AAA4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6" w:type="dxa"/>
          </w:tcPr>
          <w:p w14:paraId="4B9E86D8">
            <w:pPr>
              <w:jc w:val="center"/>
              <w:rPr>
                <w:rFonts w:ascii="宋体" w:hAnsi="宋体" w:eastAsia="宋体"/>
                <w:color w:val="000000" w:themeColor="text1"/>
                <w:sz w:val="18"/>
                <w:szCs w:val="18"/>
                <w14:textFill>
                  <w14:solidFill>
                    <w14:schemeClr w14:val="tx1"/>
                  </w14:solidFill>
                </w14:textFill>
              </w:rPr>
            </w:pPr>
            <w:r>
              <w:rPr>
                <w:rFonts w:hint="eastAsia" w:ascii="宋体" w:hAnsi="宋体" w:eastAsia="宋体"/>
                <w:color w:val="000000" w:themeColor="text1"/>
                <w:sz w:val="18"/>
                <w:szCs w:val="18"/>
                <w14:textFill>
                  <w14:solidFill>
                    <w14:schemeClr w14:val="tx1"/>
                  </w14:solidFill>
                </w14:textFill>
              </w:rPr>
              <w:t>……</w:t>
            </w:r>
          </w:p>
        </w:tc>
        <w:tc>
          <w:tcPr>
            <w:tcW w:w="944" w:type="dxa"/>
          </w:tcPr>
          <w:p w14:paraId="75D5C444">
            <w:pPr>
              <w:rPr>
                <w:rFonts w:ascii="宋体" w:hAnsi="宋体" w:eastAsia="宋体"/>
                <w:color w:val="000000" w:themeColor="text1"/>
                <w:sz w:val="18"/>
                <w:szCs w:val="18"/>
                <w14:textFill>
                  <w14:solidFill>
                    <w14:schemeClr w14:val="tx1"/>
                  </w14:solidFill>
                </w14:textFill>
              </w:rPr>
            </w:pPr>
          </w:p>
        </w:tc>
        <w:tc>
          <w:tcPr>
            <w:tcW w:w="1320" w:type="dxa"/>
          </w:tcPr>
          <w:p w14:paraId="3969CED0">
            <w:pPr>
              <w:rPr>
                <w:rFonts w:ascii="宋体" w:hAnsi="宋体" w:eastAsia="宋体"/>
                <w:color w:val="000000" w:themeColor="text1"/>
                <w:sz w:val="18"/>
                <w:szCs w:val="18"/>
                <w14:textFill>
                  <w14:solidFill>
                    <w14:schemeClr w14:val="tx1"/>
                  </w14:solidFill>
                </w14:textFill>
              </w:rPr>
            </w:pPr>
          </w:p>
        </w:tc>
        <w:tc>
          <w:tcPr>
            <w:tcW w:w="1764" w:type="dxa"/>
          </w:tcPr>
          <w:p w14:paraId="04F61C89">
            <w:pPr>
              <w:rPr>
                <w:rFonts w:ascii="宋体" w:hAnsi="宋体" w:eastAsia="宋体"/>
                <w:color w:val="000000" w:themeColor="text1"/>
                <w:sz w:val="18"/>
                <w:szCs w:val="18"/>
                <w14:textFill>
                  <w14:solidFill>
                    <w14:schemeClr w14:val="tx1"/>
                  </w14:solidFill>
                </w14:textFill>
              </w:rPr>
            </w:pPr>
          </w:p>
        </w:tc>
        <w:tc>
          <w:tcPr>
            <w:tcW w:w="1116" w:type="dxa"/>
          </w:tcPr>
          <w:p w14:paraId="1542DF79">
            <w:pPr>
              <w:rPr>
                <w:rFonts w:ascii="宋体" w:hAnsi="宋体" w:eastAsia="宋体"/>
                <w:color w:val="000000" w:themeColor="text1"/>
                <w:sz w:val="18"/>
                <w:szCs w:val="18"/>
                <w14:textFill>
                  <w14:solidFill>
                    <w14:schemeClr w14:val="tx1"/>
                  </w14:solidFill>
                </w14:textFill>
              </w:rPr>
            </w:pPr>
          </w:p>
        </w:tc>
        <w:tc>
          <w:tcPr>
            <w:tcW w:w="1134" w:type="dxa"/>
          </w:tcPr>
          <w:p w14:paraId="61207031">
            <w:pPr>
              <w:rPr>
                <w:rFonts w:ascii="宋体" w:hAnsi="宋体" w:eastAsia="宋体"/>
                <w:color w:val="000000" w:themeColor="text1"/>
                <w:sz w:val="18"/>
                <w:szCs w:val="18"/>
                <w14:textFill>
                  <w14:solidFill>
                    <w14:schemeClr w14:val="tx1"/>
                  </w14:solidFill>
                </w14:textFill>
              </w:rPr>
            </w:pPr>
          </w:p>
        </w:tc>
        <w:tc>
          <w:tcPr>
            <w:tcW w:w="997" w:type="dxa"/>
          </w:tcPr>
          <w:p w14:paraId="77E3EEB6">
            <w:pPr>
              <w:rPr>
                <w:rFonts w:ascii="宋体" w:hAnsi="宋体" w:eastAsia="宋体"/>
                <w:color w:val="000000" w:themeColor="text1"/>
                <w:sz w:val="18"/>
                <w:szCs w:val="18"/>
                <w14:textFill>
                  <w14:solidFill>
                    <w14:schemeClr w14:val="tx1"/>
                  </w14:solidFill>
                </w14:textFill>
              </w:rPr>
            </w:pPr>
          </w:p>
        </w:tc>
        <w:tc>
          <w:tcPr>
            <w:tcW w:w="1036" w:type="dxa"/>
          </w:tcPr>
          <w:p w14:paraId="5DBB7B35">
            <w:pPr>
              <w:rPr>
                <w:rFonts w:ascii="宋体" w:hAnsi="宋体" w:eastAsia="宋体"/>
                <w:color w:val="000000" w:themeColor="text1"/>
                <w:sz w:val="18"/>
                <w:szCs w:val="18"/>
                <w14:textFill>
                  <w14:solidFill>
                    <w14:schemeClr w14:val="tx1"/>
                  </w14:solidFill>
                </w14:textFill>
              </w:rPr>
            </w:pPr>
          </w:p>
        </w:tc>
      </w:tr>
    </w:tbl>
    <w:p w14:paraId="7D1FB8B9">
      <w:pPr>
        <w:ind w:firstLine="540"/>
        <w:rPr>
          <w:rFonts w:ascii="宋体" w:hAnsi="宋体" w:eastAsia="宋体"/>
          <w:color w:val="000000" w:themeColor="text1"/>
          <w:sz w:val="28"/>
          <w:szCs w:val="28"/>
          <w14:textFill>
            <w14:solidFill>
              <w14:schemeClr w14:val="tx1"/>
            </w14:solidFill>
          </w14:textFill>
        </w:rPr>
      </w:pPr>
    </w:p>
    <w:p w14:paraId="52E954FC">
      <w:pPr>
        <w:ind w:firstLine="540"/>
        <w:rPr>
          <w:rFonts w:ascii="宋体" w:hAnsi="宋体" w:eastAsia="宋体"/>
          <w:color w:val="000000" w:themeColor="text1"/>
          <w:sz w:val="28"/>
          <w:szCs w:val="28"/>
          <w14:textFill>
            <w14:solidFill>
              <w14:schemeClr w14:val="tx1"/>
            </w14:solidFill>
          </w14:textFill>
        </w:rPr>
      </w:pPr>
    </w:p>
    <w:p w14:paraId="538DAFA3">
      <w:pPr>
        <w:widowControl/>
        <w:jc w:val="left"/>
        <w:rPr>
          <w:rFonts w:ascii="宋体" w:hAnsi="宋体" w:eastAsia="宋体"/>
          <w:color w:val="000000" w:themeColor="text1"/>
          <w:sz w:val="28"/>
          <w:szCs w:val="28"/>
          <w14:textFill>
            <w14:solidFill>
              <w14:schemeClr w14:val="tx1"/>
            </w14:solidFill>
          </w14:textFill>
        </w:rPr>
      </w:pPr>
      <w:r>
        <w:rPr>
          <w:rFonts w:ascii="宋体" w:hAnsi="宋体" w:eastAsia="宋体"/>
          <w:color w:val="000000" w:themeColor="text1"/>
          <w:sz w:val="28"/>
          <w:szCs w:val="28"/>
          <w14:textFill>
            <w14:solidFill>
              <w14:schemeClr w14:val="tx1"/>
            </w14:solidFill>
          </w14:textFill>
        </w:rPr>
        <w:br w:type="page"/>
      </w:r>
    </w:p>
    <w:p w14:paraId="410179CF">
      <w:pPr>
        <w:pStyle w:val="107"/>
        <w:bidi w:val="0"/>
        <w:ind w:left="0" w:leftChars="0" w:firstLine="0" w:firstLineChars="0"/>
        <w:rPr>
          <w:rFonts w:hint="eastAsia"/>
          <w:lang w:eastAsia="zh-CN"/>
        </w:rPr>
      </w:pPr>
      <w:r>
        <w:rPr>
          <w:rFonts w:hint="eastAsia"/>
          <w:lang w:eastAsia="zh-CN"/>
        </w:rPr>
        <w:br w:type="textWrapping"/>
      </w:r>
      <w:r>
        <w:rPr>
          <w:rFonts w:hint="eastAsia"/>
          <w:lang w:eastAsia="zh-CN"/>
        </w:rPr>
        <w:t>（</w:t>
      </w:r>
      <w:r>
        <w:rPr>
          <w:rFonts w:hint="eastAsia"/>
          <w:lang w:val="en-US" w:eastAsia="zh-CN"/>
        </w:rPr>
        <w:t>规范性</w:t>
      </w:r>
      <w:r>
        <w:rPr>
          <w:rFonts w:hint="eastAsia"/>
          <w:lang w:eastAsia="zh-CN"/>
        </w:rPr>
        <w:t>）</w:t>
      </w:r>
      <w:r>
        <w:rPr>
          <w:rFonts w:hint="eastAsia"/>
          <w:lang w:eastAsia="zh-CN"/>
        </w:rPr>
        <w:br w:type="textWrapping"/>
      </w:r>
      <w:r>
        <w:rPr>
          <w:rFonts w:hint="eastAsia"/>
          <w:lang w:eastAsia="zh-CN"/>
        </w:rPr>
        <w:t>社会稳定风险评估报告编制大纲</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0"/>
      </w:tblGrid>
      <w:tr w14:paraId="6D4A22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0" w:type="dxa"/>
          </w:tcPr>
          <w:p w14:paraId="6792646A">
            <w:pPr>
              <w:widowControl/>
              <w:spacing w:beforeLines="0" w:afterLines="0"/>
              <w:ind w:firstLine="700" w:firstLineChars="250"/>
              <w:jc w:val="left"/>
              <w:rPr>
                <w:rFonts w:hint="eastAsia" w:hAnsi="宋体"/>
                <w:color w:val="000000"/>
                <w:sz w:val="28"/>
                <w:szCs w:val="28"/>
              </w:rPr>
            </w:pPr>
            <w:r>
              <w:rPr>
                <w:rFonts w:hint="eastAsia" w:hAnsi="宋体"/>
                <w:color w:val="000000"/>
                <w:sz w:val="28"/>
                <w:szCs w:val="28"/>
              </w:rPr>
              <w:t xml:space="preserve">【封面】 </w:t>
            </w:r>
          </w:p>
          <w:p w14:paraId="08C8F0FB">
            <w:pPr>
              <w:widowControl/>
              <w:spacing w:beforeLines="0" w:afterLines="0"/>
              <w:ind w:firstLine="700" w:firstLineChars="250"/>
              <w:jc w:val="left"/>
              <w:rPr>
                <w:rFonts w:hint="eastAsia" w:hAnsi="宋体"/>
                <w:color w:val="000000"/>
                <w:sz w:val="28"/>
                <w:szCs w:val="28"/>
              </w:rPr>
            </w:pPr>
            <w:r>
              <w:rPr>
                <w:rFonts w:hint="eastAsia" w:hAnsi="宋体"/>
                <w:color w:val="000000"/>
                <w:sz w:val="28"/>
                <w:szCs w:val="28"/>
              </w:rPr>
              <w:t>封面内容包括标题、评估事项名称、评估主体、评估主体负责人、编制单位、填表日期。</w:t>
            </w:r>
          </w:p>
          <w:p w14:paraId="298BB1C2">
            <w:pPr>
              <w:widowControl/>
              <w:spacing w:beforeLines="0" w:afterLines="0"/>
              <w:ind w:firstLine="700" w:firstLineChars="250"/>
              <w:jc w:val="left"/>
              <w:rPr>
                <w:rFonts w:hint="eastAsia" w:hAnsi="宋体"/>
                <w:color w:val="000000"/>
                <w:sz w:val="28"/>
                <w:szCs w:val="28"/>
              </w:rPr>
            </w:pPr>
            <w:r>
              <w:rPr>
                <w:rFonts w:hint="eastAsia" w:hAnsi="宋体"/>
                <w:color w:val="000000"/>
                <w:sz w:val="28"/>
                <w:szCs w:val="28"/>
              </w:rPr>
              <w:t>【大纲】</w:t>
            </w:r>
          </w:p>
          <w:p w14:paraId="106DC737">
            <w:pPr>
              <w:widowControl/>
              <w:spacing w:beforeLines="0" w:afterLines="0"/>
              <w:ind w:firstLine="700" w:firstLineChars="250"/>
              <w:jc w:val="left"/>
              <w:rPr>
                <w:rFonts w:hint="eastAsia" w:hAnsi="宋体"/>
                <w:color w:val="000000"/>
                <w:sz w:val="28"/>
                <w:szCs w:val="28"/>
              </w:rPr>
            </w:pPr>
            <w:r>
              <w:rPr>
                <w:rFonts w:hint="eastAsia" w:hAnsi="宋体"/>
                <w:color w:val="000000"/>
                <w:sz w:val="28"/>
                <w:szCs w:val="28"/>
              </w:rPr>
              <w:t>引言（概述该评估主体采用哪种评估方式和程序，在哪个起止时间对评估事项开展稳评）</w:t>
            </w:r>
          </w:p>
          <w:p w14:paraId="016FD491">
            <w:pPr>
              <w:widowControl/>
              <w:spacing w:beforeLines="0" w:afterLines="0"/>
              <w:ind w:firstLine="700" w:firstLineChars="250"/>
              <w:jc w:val="left"/>
              <w:rPr>
                <w:rFonts w:hint="eastAsia" w:hAnsi="宋体"/>
                <w:color w:val="000000"/>
                <w:sz w:val="28"/>
                <w:szCs w:val="28"/>
              </w:rPr>
            </w:pPr>
            <w:r>
              <w:rPr>
                <w:rFonts w:hint="eastAsia" w:hAnsi="宋体"/>
                <w:color w:val="000000"/>
                <w:sz w:val="28"/>
                <w:szCs w:val="28"/>
              </w:rPr>
              <w:t>第一章  决策事项概况</w:t>
            </w:r>
          </w:p>
          <w:p w14:paraId="0666A6B1">
            <w:pPr>
              <w:widowControl/>
              <w:spacing w:beforeLines="0" w:afterLines="0"/>
              <w:ind w:firstLine="980" w:firstLineChars="350"/>
              <w:jc w:val="left"/>
              <w:rPr>
                <w:rFonts w:hint="eastAsia" w:hAnsi="宋体"/>
                <w:color w:val="000000"/>
                <w:sz w:val="28"/>
                <w:szCs w:val="28"/>
              </w:rPr>
            </w:pPr>
            <w:r>
              <w:rPr>
                <w:rFonts w:hint="eastAsia" w:hAnsi="宋体"/>
                <w:color w:val="000000"/>
                <w:sz w:val="28"/>
                <w:szCs w:val="28"/>
              </w:rPr>
              <w:t>第一节 决策事项名称</w:t>
            </w:r>
          </w:p>
          <w:p w14:paraId="134A4C59">
            <w:pPr>
              <w:widowControl/>
              <w:spacing w:beforeLines="0" w:afterLines="0"/>
              <w:ind w:firstLine="980" w:firstLineChars="350"/>
              <w:jc w:val="left"/>
              <w:rPr>
                <w:rFonts w:hint="eastAsia" w:hAnsi="宋体"/>
                <w:color w:val="000000"/>
                <w:sz w:val="28"/>
                <w:szCs w:val="28"/>
              </w:rPr>
            </w:pPr>
            <w:r>
              <w:rPr>
                <w:rFonts w:hint="eastAsia" w:hAnsi="宋体"/>
                <w:color w:val="000000"/>
                <w:sz w:val="28"/>
                <w:szCs w:val="28"/>
              </w:rPr>
              <w:t>第二节 评估主体情况</w:t>
            </w:r>
          </w:p>
          <w:p w14:paraId="6BC27B4F">
            <w:pPr>
              <w:widowControl/>
              <w:spacing w:beforeLines="0" w:afterLines="0"/>
              <w:ind w:firstLine="980" w:firstLineChars="350"/>
              <w:jc w:val="left"/>
              <w:rPr>
                <w:rFonts w:hint="eastAsia" w:hAnsi="宋体"/>
                <w:color w:val="000000"/>
                <w:sz w:val="28"/>
                <w:szCs w:val="28"/>
              </w:rPr>
            </w:pPr>
            <w:r>
              <w:rPr>
                <w:rFonts w:hint="eastAsia" w:hAnsi="宋体"/>
                <w:color w:val="000000"/>
                <w:sz w:val="28"/>
                <w:szCs w:val="28"/>
              </w:rPr>
              <w:t>第三节 决策背景及原因</w:t>
            </w:r>
          </w:p>
          <w:p w14:paraId="0243ECD6">
            <w:pPr>
              <w:widowControl/>
              <w:spacing w:beforeLines="0" w:afterLines="0"/>
              <w:ind w:firstLine="980" w:firstLineChars="350"/>
              <w:jc w:val="left"/>
              <w:rPr>
                <w:rFonts w:hint="eastAsia" w:hAnsi="宋体"/>
                <w:color w:val="000000"/>
                <w:sz w:val="28"/>
                <w:szCs w:val="28"/>
              </w:rPr>
            </w:pPr>
            <w:r>
              <w:rPr>
                <w:rFonts w:hint="eastAsia" w:hAnsi="宋体"/>
                <w:color w:val="000000"/>
                <w:sz w:val="28"/>
                <w:szCs w:val="28"/>
              </w:rPr>
              <w:t>第四节 决策事项内容</w:t>
            </w:r>
          </w:p>
          <w:p w14:paraId="46911EEA">
            <w:pPr>
              <w:widowControl/>
              <w:spacing w:beforeLines="0" w:afterLines="0"/>
              <w:ind w:firstLine="980" w:firstLineChars="350"/>
              <w:jc w:val="left"/>
              <w:rPr>
                <w:rFonts w:hint="eastAsia" w:hAnsi="宋体"/>
                <w:color w:val="000000"/>
                <w:sz w:val="28"/>
                <w:szCs w:val="28"/>
              </w:rPr>
            </w:pPr>
            <w:r>
              <w:rPr>
                <w:rFonts w:hint="eastAsia" w:hAnsi="宋体"/>
                <w:color w:val="000000"/>
                <w:sz w:val="28"/>
                <w:szCs w:val="28"/>
              </w:rPr>
              <w:t>第五节 决策依据</w:t>
            </w:r>
          </w:p>
          <w:p w14:paraId="01DF6BDA">
            <w:pPr>
              <w:widowControl/>
              <w:spacing w:beforeLines="0" w:afterLines="0"/>
              <w:ind w:firstLine="570"/>
              <w:jc w:val="left"/>
              <w:rPr>
                <w:rFonts w:hint="eastAsia" w:hAnsi="宋体"/>
                <w:color w:val="000000"/>
                <w:sz w:val="28"/>
                <w:szCs w:val="28"/>
              </w:rPr>
            </w:pPr>
            <w:r>
              <w:rPr>
                <w:rFonts w:hint="eastAsia" w:hAnsi="宋体"/>
                <w:color w:val="000000"/>
                <w:sz w:val="28"/>
                <w:szCs w:val="28"/>
              </w:rPr>
              <w:t>第二章  评估工作情况</w:t>
            </w:r>
          </w:p>
          <w:p w14:paraId="3A02C70E">
            <w:pPr>
              <w:widowControl/>
              <w:spacing w:beforeLines="0" w:afterLines="0"/>
              <w:ind w:firstLine="570"/>
              <w:jc w:val="left"/>
              <w:rPr>
                <w:rFonts w:hint="eastAsia" w:hAnsi="宋体"/>
                <w:color w:val="000000"/>
                <w:sz w:val="28"/>
                <w:szCs w:val="28"/>
              </w:rPr>
            </w:pPr>
            <w:r>
              <w:rPr>
                <w:rFonts w:hint="eastAsia" w:hAnsi="宋体"/>
                <w:color w:val="000000"/>
                <w:sz w:val="28"/>
                <w:szCs w:val="28"/>
              </w:rPr>
              <w:t xml:space="preserve">   第一节  评估依据</w:t>
            </w:r>
          </w:p>
          <w:p w14:paraId="45CFBEC0">
            <w:pPr>
              <w:widowControl/>
              <w:spacing w:beforeLines="0" w:afterLines="0"/>
              <w:ind w:firstLine="570"/>
              <w:jc w:val="left"/>
              <w:rPr>
                <w:rFonts w:hint="eastAsia" w:hAnsi="宋体"/>
                <w:color w:val="000000"/>
                <w:sz w:val="28"/>
                <w:szCs w:val="28"/>
              </w:rPr>
            </w:pPr>
            <w:r>
              <w:rPr>
                <w:rFonts w:hint="eastAsia" w:hAnsi="宋体"/>
                <w:color w:val="000000"/>
                <w:sz w:val="28"/>
                <w:szCs w:val="28"/>
              </w:rPr>
              <w:t xml:space="preserve">   第二节  评估方案</w:t>
            </w:r>
          </w:p>
          <w:p w14:paraId="24D6AC14">
            <w:pPr>
              <w:widowControl/>
              <w:spacing w:beforeLines="0" w:afterLines="0"/>
              <w:ind w:firstLine="570"/>
              <w:jc w:val="left"/>
              <w:rPr>
                <w:rFonts w:hint="eastAsia" w:hAnsi="宋体"/>
                <w:color w:val="000000"/>
                <w:sz w:val="28"/>
                <w:szCs w:val="28"/>
              </w:rPr>
            </w:pPr>
            <w:r>
              <w:rPr>
                <w:rFonts w:hint="eastAsia" w:hAnsi="宋体"/>
                <w:color w:val="000000"/>
                <w:sz w:val="28"/>
                <w:szCs w:val="28"/>
              </w:rPr>
              <w:t xml:space="preserve">   第三节  评估流程</w:t>
            </w:r>
          </w:p>
          <w:p w14:paraId="23E6478A">
            <w:pPr>
              <w:widowControl/>
              <w:spacing w:beforeLines="0" w:afterLines="0"/>
              <w:ind w:firstLine="570"/>
              <w:jc w:val="left"/>
              <w:rPr>
                <w:rFonts w:hint="eastAsia" w:hAnsi="宋体"/>
                <w:color w:val="000000"/>
                <w:sz w:val="28"/>
                <w:szCs w:val="28"/>
              </w:rPr>
            </w:pPr>
            <w:r>
              <w:rPr>
                <w:rFonts w:hint="eastAsia" w:hAnsi="宋体"/>
                <w:color w:val="000000"/>
                <w:sz w:val="28"/>
                <w:szCs w:val="28"/>
              </w:rPr>
              <w:t>第三章  风险调查</w:t>
            </w:r>
          </w:p>
          <w:p w14:paraId="427C86A8">
            <w:pPr>
              <w:widowControl/>
              <w:spacing w:beforeLines="0" w:afterLines="0"/>
              <w:ind w:firstLine="570"/>
              <w:jc w:val="left"/>
              <w:rPr>
                <w:rFonts w:hint="eastAsia" w:hAnsi="宋体"/>
                <w:color w:val="000000"/>
                <w:sz w:val="28"/>
                <w:szCs w:val="28"/>
              </w:rPr>
            </w:pPr>
            <w:r>
              <w:rPr>
                <w:rFonts w:hint="eastAsia" w:hAnsi="宋体"/>
                <w:color w:val="000000"/>
                <w:sz w:val="28"/>
                <w:szCs w:val="28"/>
              </w:rPr>
              <w:t xml:space="preserve">   第一节  调查内容与方法</w:t>
            </w:r>
          </w:p>
          <w:p w14:paraId="79540DE7">
            <w:pPr>
              <w:widowControl/>
              <w:spacing w:beforeLines="0" w:afterLines="0"/>
              <w:ind w:firstLine="570"/>
              <w:jc w:val="left"/>
              <w:rPr>
                <w:rFonts w:hint="eastAsia" w:hAnsi="宋体"/>
                <w:color w:val="000000"/>
                <w:sz w:val="28"/>
                <w:szCs w:val="28"/>
              </w:rPr>
            </w:pPr>
            <w:r>
              <w:rPr>
                <w:rFonts w:hint="eastAsia" w:hAnsi="宋体"/>
                <w:color w:val="000000"/>
                <w:sz w:val="28"/>
                <w:szCs w:val="28"/>
              </w:rPr>
              <w:t xml:space="preserve">   第二节  调查范围与对象</w:t>
            </w:r>
          </w:p>
          <w:p w14:paraId="49B9A3B4">
            <w:pPr>
              <w:widowControl/>
              <w:spacing w:beforeLines="0" w:afterLines="0"/>
              <w:ind w:firstLine="570"/>
              <w:jc w:val="left"/>
              <w:rPr>
                <w:rFonts w:hint="eastAsia" w:hAnsi="宋体"/>
                <w:color w:val="000000"/>
                <w:sz w:val="28"/>
                <w:szCs w:val="28"/>
              </w:rPr>
            </w:pPr>
            <w:r>
              <w:rPr>
                <w:rFonts w:hint="eastAsia" w:hAnsi="宋体"/>
                <w:color w:val="000000"/>
                <w:sz w:val="28"/>
                <w:szCs w:val="28"/>
              </w:rPr>
              <w:t xml:space="preserve">   第三节  调查过程</w:t>
            </w:r>
          </w:p>
          <w:p w14:paraId="468996A5">
            <w:pPr>
              <w:widowControl/>
              <w:spacing w:beforeLines="0" w:afterLines="0"/>
              <w:ind w:firstLine="570"/>
              <w:jc w:val="left"/>
              <w:rPr>
                <w:rFonts w:hint="eastAsia" w:hAnsi="宋体"/>
                <w:color w:val="000000"/>
                <w:sz w:val="28"/>
                <w:szCs w:val="28"/>
              </w:rPr>
            </w:pPr>
            <w:r>
              <w:rPr>
                <w:rFonts w:hint="eastAsia" w:hAnsi="宋体"/>
                <w:color w:val="000000"/>
                <w:sz w:val="28"/>
                <w:szCs w:val="28"/>
              </w:rPr>
              <w:t xml:space="preserve">   第四节  调查结果分析</w:t>
            </w:r>
          </w:p>
          <w:p w14:paraId="4E4CF44C">
            <w:pPr>
              <w:widowControl/>
              <w:spacing w:beforeLines="0" w:afterLines="0"/>
              <w:ind w:firstLine="570"/>
              <w:jc w:val="left"/>
              <w:rPr>
                <w:rFonts w:hint="eastAsia" w:hAnsi="宋体"/>
                <w:color w:val="000000"/>
                <w:sz w:val="28"/>
                <w:szCs w:val="28"/>
              </w:rPr>
            </w:pPr>
            <w:r>
              <w:rPr>
                <w:rFonts w:hint="eastAsia" w:hAnsi="宋体"/>
                <w:color w:val="000000"/>
                <w:sz w:val="28"/>
                <w:szCs w:val="28"/>
              </w:rPr>
              <w:t>第四章  风险识别</w:t>
            </w:r>
          </w:p>
          <w:p w14:paraId="642C67C0">
            <w:pPr>
              <w:widowControl/>
              <w:spacing w:beforeLines="0" w:afterLines="0"/>
              <w:ind w:firstLine="570"/>
              <w:jc w:val="left"/>
              <w:rPr>
                <w:rFonts w:hint="eastAsia" w:hAnsi="宋体"/>
                <w:color w:val="000000"/>
                <w:sz w:val="28"/>
                <w:szCs w:val="28"/>
              </w:rPr>
            </w:pPr>
            <w:r>
              <w:rPr>
                <w:rFonts w:hint="eastAsia" w:hAnsi="宋体"/>
                <w:color w:val="000000"/>
                <w:sz w:val="28"/>
                <w:szCs w:val="28"/>
              </w:rPr>
              <w:t xml:space="preserve">   第一节  风险识别方法</w:t>
            </w:r>
          </w:p>
          <w:p w14:paraId="796689EB">
            <w:pPr>
              <w:widowControl/>
              <w:spacing w:beforeLines="0" w:afterLines="0"/>
              <w:ind w:firstLine="570"/>
              <w:jc w:val="left"/>
              <w:rPr>
                <w:rFonts w:hint="eastAsia" w:hAnsi="宋体"/>
                <w:color w:val="000000"/>
                <w:sz w:val="28"/>
                <w:szCs w:val="28"/>
              </w:rPr>
            </w:pPr>
            <w:r>
              <w:rPr>
                <w:rFonts w:hint="eastAsia" w:hAnsi="宋体"/>
                <w:color w:val="000000"/>
                <w:sz w:val="28"/>
                <w:szCs w:val="28"/>
              </w:rPr>
              <w:t xml:space="preserve">   第二节  风险类型划分</w:t>
            </w:r>
          </w:p>
          <w:p w14:paraId="7613DF12">
            <w:pPr>
              <w:widowControl/>
              <w:spacing w:beforeLines="0" w:afterLines="0"/>
              <w:ind w:firstLine="570"/>
              <w:jc w:val="left"/>
              <w:rPr>
                <w:rFonts w:hint="eastAsia" w:hAnsi="宋体"/>
                <w:color w:val="000000"/>
                <w:sz w:val="28"/>
                <w:szCs w:val="28"/>
              </w:rPr>
            </w:pPr>
            <w:r>
              <w:rPr>
                <w:rFonts w:hint="eastAsia" w:hAnsi="宋体"/>
                <w:color w:val="000000"/>
                <w:sz w:val="28"/>
                <w:szCs w:val="28"/>
              </w:rPr>
              <w:t xml:space="preserve">   第三节  风险识别结果</w:t>
            </w:r>
          </w:p>
          <w:p w14:paraId="525AB815">
            <w:pPr>
              <w:widowControl/>
              <w:spacing w:beforeLines="0" w:afterLines="0"/>
              <w:ind w:firstLine="570"/>
              <w:jc w:val="left"/>
              <w:rPr>
                <w:rFonts w:hint="eastAsia" w:hAnsi="宋体"/>
                <w:color w:val="000000"/>
                <w:sz w:val="28"/>
                <w:szCs w:val="28"/>
              </w:rPr>
            </w:pPr>
            <w:r>
              <w:rPr>
                <w:rFonts w:hint="eastAsia" w:hAnsi="宋体"/>
                <w:color w:val="000000"/>
                <w:sz w:val="28"/>
                <w:szCs w:val="28"/>
              </w:rPr>
              <w:t>第五章  风险分析</w:t>
            </w:r>
          </w:p>
          <w:p w14:paraId="0E183E62">
            <w:pPr>
              <w:widowControl/>
              <w:spacing w:beforeLines="0" w:afterLines="0"/>
              <w:ind w:firstLine="570"/>
              <w:jc w:val="left"/>
              <w:rPr>
                <w:rFonts w:hint="eastAsia" w:hAnsi="宋体"/>
                <w:color w:val="000000"/>
                <w:sz w:val="28"/>
                <w:szCs w:val="28"/>
              </w:rPr>
            </w:pPr>
            <w:r>
              <w:rPr>
                <w:rFonts w:hint="eastAsia" w:hAnsi="宋体"/>
                <w:color w:val="000000"/>
                <w:sz w:val="28"/>
                <w:szCs w:val="28"/>
              </w:rPr>
              <w:t xml:space="preserve">   第一节  风险分析方法</w:t>
            </w:r>
          </w:p>
          <w:p w14:paraId="165131DF">
            <w:pPr>
              <w:widowControl/>
              <w:spacing w:beforeLines="0" w:afterLines="0"/>
              <w:ind w:firstLine="570"/>
              <w:jc w:val="left"/>
              <w:rPr>
                <w:rFonts w:hint="eastAsia" w:hAnsi="宋体"/>
                <w:color w:val="000000"/>
                <w:sz w:val="28"/>
                <w:szCs w:val="28"/>
              </w:rPr>
            </w:pPr>
            <w:r>
              <w:rPr>
                <w:rFonts w:hint="eastAsia" w:hAnsi="宋体"/>
                <w:color w:val="000000"/>
                <w:sz w:val="28"/>
                <w:szCs w:val="28"/>
              </w:rPr>
              <w:t xml:space="preserve">   第二节  风险分析内容</w:t>
            </w:r>
          </w:p>
          <w:p w14:paraId="0A649E72">
            <w:pPr>
              <w:widowControl/>
              <w:spacing w:beforeLines="0" w:afterLines="0"/>
              <w:ind w:firstLine="570"/>
              <w:jc w:val="left"/>
              <w:rPr>
                <w:rFonts w:hint="eastAsia" w:hAnsi="宋体"/>
                <w:color w:val="000000"/>
                <w:sz w:val="28"/>
                <w:szCs w:val="28"/>
              </w:rPr>
            </w:pPr>
            <w:r>
              <w:rPr>
                <w:rFonts w:hint="eastAsia" w:hAnsi="宋体"/>
                <w:color w:val="000000"/>
                <w:sz w:val="28"/>
                <w:szCs w:val="28"/>
              </w:rPr>
              <w:t xml:space="preserve">   第三节  风险汇总分析</w:t>
            </w:r>
          </w:p>
          <w:p w14:paraId="3432DBCF">
            <w:pPr>
              <w:widowControl/>
              <w:spacing w:beforeLines="0" w:afterLines="0"/>
              <w:ind w:firstLine="570"/>
              <w:jc w:val="left"/>
              <w:rPr>
                <w:rFonts w:hint="eastAsia" w:hAnsi="宋体"/>
                <w:color w:val="000000"/>
                <w:sz w:val="28"/>
                <w:szCs w:val="28"/>
              </w:rPr>
            </w:pPr>
            <w:r>
              <w:rPr>
                <w:rFonts w:hint="eastAsia" w:hAnsi="宋体"/>
                <w:color w:val="000000"/>
                <w:sz w:val="28"/>
                <w:szCs w:val="28"/>
              </w:rPr>
              <w:t>第六章  风险等级确定</w:t>
            </w:r>
          </w:p>
          <w:p w14:paraId="44C7AC8D">
            <w:pPr>
              <w:widowControl/>
              <w:spacing w:beforeLines="0" w:afterLines="0"/>
              <w:ind w:firstLine="570"/>
              <w:jc w:val="left"/>
              <w:rPr>
                <w:rFonts w:hint="eastAsia" w:hAnsi="宋体"/>
                <w:color w:val="000000"/>
                <w:sz w:val="28"/>
                <w:szCs w:val="28"/>
              </w:rPr>
            </w:pPr>
            <w:r>
              <w:rPr>
                <w:rFonts w:hint="eastAsia" w:hAnsi="宋体"/>
                <w:color w:val="000000"/>
                <w:sz w:val="28"/>
                <w:szCs w:val="28"/>
              </w:rPr>
              <w:t xml:space="preserve">    第一节  基本流程</w:t>
            </w:r>
          </w:p>
          <w:p w14:paraId="4CE37F13">
            <w:pPr>
              <w:widowControl/>
              <w:spacing w:beforeLines="0" w:afterLines="0"/>
              <w:ind w:firstLine="570"/>
              <w:jc w:val="left"/>
              <w:rPr>
                <w:rFonts w:hint="eastAsia" w:hAnsi="宋体"/>
                <w:color w:val="000000"/>
                <w:sz w:val="28"/>
                <w:szCs w:val="28"/>
              </w:rPr>
            </w:pPr>
            <w:r>
              <w:rPr>
                <w:rFonts w:hint="eastAsia" w:hAnsi="宋体"/>
                <w:color w:val="000000"/>
                <w:sz w:val="28"/>
                <w:szCs w:val="28"/>
              </w:rPr>
              <w:t xml:space="preserve">    第二节  主要方法</w:t>
            </w:r>
          </w:p>
          <w:p w14:paraId="2A27ED88">
            <w:pPr>
              <w:widowControl/>
              <w:spacing w:beforeLines="0" w:afterLines="0"/>
              <w:ind w:firstLine="570"/>
              <w:jc w:val="left"/>
              <w:rPr>
                <w:rFonts w:hint="eastAsia" w:hAnsi="宋体"/>
                <w:color w:val="000000"/>
                <w:sz w:val="28"/>
                <w:szCs w:val="28"/>
              </w:rPr>
            </w:pPr>
            <w:r>
              <w:rPr>
                <w:rFonts w:hint="eastAsia" w:hAnsi="宋体"/>
                <w:color w:val="000000"/>
                <w:sz w:val="28"/>
                <w:szCs w:val="28"/>
              </w:rPr>
              <w:t xml:space="preserve">    第三节  四性分析及风险点描述</w:t>
            </w:r>
          </w:p>
          <w:p w14:paraId="06401FE4">
            <w:pPr>
              <w:widowControl/>
              <w:spacing w:beforeLines="0" w:afterLines="0"/>
              <w:ind w:firstLine="570"/>
              <w:jc w:val="left"/>
              <w:rPr>
                <w:rFonts w:hint="eastAsia" w:hAnsi="宋体"/>
                <w:color w:val="000000"/>
                <w:sz w:val="28"/>
                <w:szCs w:val="28"/>
              </w:rPr>
            </w:pPr>
            <w:r>
              <w:rPr>
                <w:rFonts w:hint="eastAsia" w:hAnsi="宋体"/>
                <w:color w:val="000000"/>
                <w:sz w:val="28"/>
                <w:szCs w:val="28"/>
              </w:rPr>
              <w:t xml:space="preserve">    第四节  风险等级确定的结论</w:t>
            </w:r>
          </w:p>
          <w:p w14:paraId="5E5DC638">
            <w:pPr>
              <w:widowControl/>
              <w:spacing w:beforeLines="0" w:afterLines="0"/>
              <w:ind w:firstLine="570"/>
              <w:jc w:val="left"/>
              <w:rPr>
                <w:rFonts w:hint="eastAsia" w:hAnsi="宋体"/>
                <w:color w:val="000000"/>
                <w:sz w:val="28"/>
                <w:szCs w:val="28"/>
              </w:rPr>
            </w:pPr>
            <w:r>
              <w:rPr>
                <w:rFonts w:hint="eastAsia" w:hAnsi="宋体"/>
                <w:color w:val="000000"/>
                <w:sz w:val="28"/>
                <w:szCs w:val="28"/>
              </w:rPr>
              <w:t>第七章  风险防范和化解措施</w:t>
            </w:r>
          </w:p>
          <w:p w14:paraId="588CECA9">
            <w:pPr>
              <w:widowControl/>
              <w:spacing w:beforeLines="0" w:afterLines="0"/>
              <w:ind w:firstLine="570"/>
              <w:jc w:val="left"/>
              <w:rPr>
                <w:rFonts w:hint="eastAsia" w:hAnsi="宋体"/>
                <w:color w:val="000000"/>
                <w:sz w:val="28"/>
                <w:szCs w:val="28"/>
              </w:rPr>
            </w:pPr>
            <w:r>
              <w:rPr>
                <w:rFonts w:hint="eastAsia" w:hAnsi="宋体"/>
                <w:color w:val="000000"/>
                <w:sz w:val="28"/>
                <w:szCs w:val="28"/>
              </w:rPr>
              <w:t xml:space="preserve">   第一节  风险防范思路</w:t>
            </w:r>
          </w:p>
          <w:p w14:paraId="4F3C707A">
            <w:pPr>
              <w:widowControl/>
              <w:spacing w:beforeLines="0" w:afterLines="0"/>
              <w:ind w:firstLine="570"/>
              <w:jc w:val="left"/>
              <w:rPr>
                <w:rFonts w:hint="eastAsia" w:hAnsi="宋体"/>
                <w:color w:val="000000"/>
                <w:sz w:val="28"/>
                <w:szCs w:val="28"/>
              </w:rPr>
            </w:pPr>
            <w:r>
              <w:rPr>
                <w:rFonts w:hint="eastAsia" w:hAnsi="宋体"/>
                <w:color w:val="000000"/>
                <w:sz w:val="28"/>
                <w:szCs w:val="28"/>
              </w:rPr>
              <w:t xml:space="preserve">   第二节  防范化解措施</w:t>
            </w:r>
          </w:p>
          <w:p w14:paraId="63F91170">
            <w:pPr>
              <w:widowControl/>
              <w:spacing w:beforeLines="0" w:afterLines="0"/>
              <w:ind w:firstLine="570"/>
              <w:jc w:val="left"/>
              <w:rPr>
                <w:rFonts w:hint="eastAsia" w:hAnsi="宋体"/>
                <w:color w:val="000000"/>
                <w:sz w:val="28"/>
                <w:szCs w:val="28"/>
              </w:rPr>
            </w:pPr>
            <w:r>
              <w:rPr>
                <w:rFonts w:hint="eastAsia" w:hAnsi="宋体"/>
                <w:color w:val="000000"/>
                <w:sz w:val="28"/>
                <w:szCs w:val="28"/>
              </w:rPr>
              <w:t xml:space="preserve">   第三节  风险应急预案</w:t>
            </w:r>
          </w:p>
          <w:p w14:paraId="6EBD86B2">
            <w:pPr>
              <w:widowControl/>
              <w:spacing w:beforeLines="0" w:afterLines="0"/>
              <w:ind w:firstLine="570"/>
              <w:jc w:val="left"/>
              <w:rPr>
                <w:rFonts w:hint="eastAsia" w:hAnsi="宋体"/>
                <w:color w:val="000000"/>
                <w:sz w:val="28"/>
                <w:szCs w:val="28"/>
              </w:rPr>
            </w:pPr>
            <w:r>
              <w:rPr>
                <w:rFonts w:hint="eastAsia" w:hAnsi="宋体"/>
                <w:color w:val="000000"/>
                <w:sz w:val="28"/>
                <w:szCs w:val="28"/>
              </w:rPr>
              <w:t>第八章  专家评审</w:t>
            </w:r>
          </w:p>
          <w:p w14:paraId="325FE2C2">
            <w:pPr>
              <w:widowControl/>
              <w:spacing w:beforeLines="0" w:afterLines="0"/>
              <w:ind w:firstLine="570"/>
              <w:jc w:val="left"/>
              <w:rPr>
                <w:rFonts w:hint="eastAsia" w:hAnsi="宋体"/>
                <w:color w:val="000000"/>
                <w:sz w:val="28"/>
                <w:szCs w:val="28"/>
              </w:rPr>
            </w:pPr>
            <w:r>
              <w:rPr>
                <w:rFonts w:hint="eastAsia" w:hAnsi="宋体"/>
                <w:color w:val="000000"/>
                <w:sz w:val="28"/>
                <w:szCs w:val="28"/>
              </w:rPr>
              <w:t xml:space="preserve">    第一节  专家个人情况</w:t>
            </w:r>
          </w:p>
          <w:p w14:paraId="5257151C">
            <w:pPr>
              <w:widowControl/>
              <w:spacing w:beforeLines="0" w:afterLines="0"/>
              <w:ind w:firstLine="570"/>
              <w:jc w:val="left"/>
              <w:rPr>
                <w:rFonts w:hint="eastAsia" w:hAnsi="宋体"/>
                <w:color w:val="000000"/>
                <w:sz w:val="28"/>
                <w:szCs w:val="28"/>
              </w:rPr>
            </w:pPr>
            <w:r>
              <w:rPr>
                <w:rFonts w:hint="eastAsia" w:hAnsi="宋体"/>
                <w:color w:val="000000"/>
                <w:sz w:val="28"/>
                <w:szCs w:val="28"/>
              </w:rPr>
              <w:t xml:space="preserve">    第二节  专家意见</w:t>
            </w:r>
          </w:p>
          <w:p w14:paraId="25A870CC">
            <w:pPr>
              <w:widowControl/>
              <w:spacing w:beforeLines="0" w:afterLines="0"/>
              <w:ind w:firstLine="570"/>
              <w:jc w:val="left"/>
              <w:rPr>
                <w:rFonts w:hint="eastAsia" w:hAnsi="宋体"/>
                <w:color w:val="000000"/>
                <w:sz w:val="28"/>
                <w:szCs w:val="28"/>
              </w:rPr>
            </w:pPr>
            <w:r>
              <w:rPr>
                <w:rFonts w:hint="eastAsia" w:hAnsi="宋体"/>
                <w:color w:val="000000"/>
                <w:sz w:val="28"/>
                <w:szCs w:val="28"/>
              </w:rPr>
              <w:t xml:space="preserve">    第三节  评审会结论</w:t>
            </w:r>
          </w:p>
          <w:p w14:paraId="0C54A82A">
            <w:pPr>
              <w:widowControl/>
              <w:spacing w:beforeLines="0" w:afterLines="0"/>
              <w:ind w:firstLine="570"/>
              <w:jc w:val="left"/>
              <w:rPr>
                <w:rFonts w:hint="eastAsia" w:hAnsi="宋体"/>
                <w:color w:val="000000"/>
                <w:sz w:val="28"/>
                <w:szCs w:val="28"/>
              </w:rPr>
            </w:pPr>
            <w:r>
              <w:rPr>
                <w:rFonts w:hint="eastAsia" w:hAnsi="宋体"/>
                <w:i/>
                <w:color w:val="000000"/>
                <w:sz w:val="28"/>
                <w:szCs w:val="28"/>
              </w:rPr>
              <w:t xml:space="preserve">    </w:t>
            </w:r>
            <w:r>
              <w:rPr>
                <w:rFonts w:hint="eastAsia" w:hAnsi="宋体"/>
                <w:color w:val="000000"/>
                <w:sz w:val="28"/>
                <w:szCs w:val="28"/>
              </w:rPr>
              <w:t>第四节  对评估报告的修改完善</w:t>
            </w:r>
          </w:p>
          <w:p w14:paraId="6FC75508">
            <w:pPr>
              <w:widowControl/>
              <w:spacing w:beforeLines="0" w:afterLines="0"/>
              <w:ind w:firstLine="570"/>
              <w:jc w:val="left"/>
              <w:rPr>
                <w:rFonts w:hint="eastAsia" w:hAnsi="宋体"/>
                <w:color w:val="000000"/>
                <w:sz w:val="28"/>
                <w:szCs w:val="28"/>
              </w:rPr>
            </w:pPr>
            <w:r>
              <w:rPr>
                <w:rFonts w:hint="eastAsia" w:hAnsi="宋体"/>
                <w:color w:val="000000"/>
                <w:sz w:val="28"/>
                <w:szCs w:val="28"/>
              </w:rPr>
              <w:t>第九章  评估结论与建议</w:t>
            </w:r>
          </w:p>
          <w:p w14:paraId="185770D7">
            <w:pPr>
              <w:widowControl/>
              <w:spacing w:beforeLines="0" w:afterLines="0"/>
              <w:ind w:firstLine="985" w:firstLineChars="352"/>
              <w:jc w:val="left"/>
              <w:rPr>
                <w:rFonts w:hint="eastAsia" w:hAnsi="宋体"/>
                <w:color w:val="000000"/>
                <w:sz w:val="28"/>
                <w:szCs w:val="28"/>
              </w:rPr>
            </w:pPr>
            <w:r>
              <w:rPr>
                <w:rFonts w:hint="eastAsia" w:hAnsi="宋体"/>
                <w:color w:val="000000"/>
                <w:sz w:val="28"/>
                <w:szCs w:val="28"/>
              </w:rPr>
              <w:t>第一节  评估结论（主要风险点与及其防范化解措施、四性分析、最终风险等级）</w:t>
            </w:r>
          </w:p>
          <w:p w14:paraId="555C0F8F">
            <w:pPr>
              <w:widowControl/>
              <w:spacing w:beforeLines="0" w:afterLines="0"/>
              <w:ind w:firstLine="570"/>
              <w:jc w:val="left"/>
              <w:rPr>
                <w:rFonts w:hint="eastAsia" w:hAnsi="宋体"/>
                <w:color w:val="000000"/>
                <w:sz w:val="28"/>
                <w:szCs w:val="28"/>
              </w:rPr>
            </w:pPr>
            <w:r>
              <w:rPr>
                <w:rFonts w:hint="eastAsia" w:hAnsi="宋体"/>
                <w:color w:val="000000"/>
                <w:sz w:val="28"/>
                <w:szCs w:val="28"/>
              </w:rPr>
              <w:t xml:space="preserve">   第二节  下步建议</w:t>
            </w:r>
          </w:p>
          <w:p w14:paraId="4286C68F">
            <w:pPr>
              <w:widowControl/>
              <w:spacing w:beforeLines="0" w:afterLines="0"/>
              <w:ind w:firstLine="570"/>
              <w:jc w:val="left"/>
              <w:rPr>
                <w:rFonts w:hint="eastAsia" w:ascii="宋体" w:hAnsi="宋体" w:eastAsia="宋体"/>
                <w:color w:val="000000" w:themeColor="text1"/>
                <w:sz w:val="28"/>
                <w:szCs w:val="28"/>
                <w:vertAlign w:val="baseline"/>
                <w14:textFill>
                  <w14:solidFill>
                    <w14:schemeClr w14:val="tx1"/>
                  </w14:solidFill>
                </w14:textFill>
              </w:rPr>
            </w:pPr>
            <w:r>
              <w:rPr>
                <w:rFonts w:hint="eastAsia" w:hAnsi="宋体"/>
                <w:color w:val="000000"/>
                <w:sz w:val="28"/>
                <w:szCs w:val="28"/>
              </w:rPr>
              <w:t xml:space="preserve">   附件（内容包括项目前置性文件；评估事项的公示公告；风险调查问卷样表及记录；征求公众意见的问卷调查样表及记录；参与座谈会、听证会、专家论证会等人员名单、会议记录、照片资料等）</w:t>
            </w:r>
          </w:p>
        </w:tc>
      </w:tr>
    </w:tbl>
    <w:p w14:paraId="3824BD8A">
      <w:pPr>
        <w:pStyle w:val="2"/>
        <w:rPr>
          <w:rFonts w:ascii="宋体" w:hAnsi="宋体" w:eastAsia="宋体"/>
          <w:color w:val="000000" w:themeColor="text1"/>
          <w:sz w:val="28"/>
          <w:szCs w:val="28"/>
          <w14:textFill>
            <w14:solidFill>
              <w14:schemeClr w14:val="tx1"/>
            </w14:solidFill>
          </w14:textFill>
        </w:rPr>
      </w:pPr>
      <w:r>
        <w:rPr>
          <w:rFonts w:ascii="宋体" w:hAnsi="宋体" w:eastAsia="宋体"/>
          <w:color w:val="000000" w:themeColor="text1"/>
          <w:sz w:val="28"/>
          <w:szCs w:val="28"/>
          <w14:textFill>
            <w14:solidFill>
              <w14:schemeClr w14:val="tx1"/>
            </w14:solidFill>
          </w14:textFill>
        </w:rPr>
        <w:br w:type="page"/>
      </w:r>
      <w:bookmarkStart w:id="64" w:name="_Toc177670781"/>
    </w:p>
    <w:p w14:paraId="5A12B82C">
      <w:pPr>
        <w:pStyle w:val="107"/>
        <w:bidi w:val="0"/>
        <w:ind w:left="0" w:leftChars="0" w:firstLine="0" w:firstLineChars="0"/>
        <w:rPr>
          <w:rFonts w:hint="eastAsia"/>
          <w:lang w:eastAsia="zh-CN"/>
        </w:rPr>
      </w:pPr>
      <w:r>
        <w:rPr>
          <w:rFonts w:hint="eastAsia"/>
          <w:lang w:eastAsia="zh-CN"/>
        </w:rPr>
        <w:br w:type="textWrapping"/>
      </w:r>
      <w:r>
        <w:rPr>
          <w:rFonts w:hint="eastAsia"/>
          <w:lang w:eastAsia="zh-CN"/>
        </w:rPr>
        <w:t>（</w:t>
      </w:r>
      <w:r>
        <w:rPr>
          <w:rFonts w:hint="eastAsia"/>
          <w:lang w:val="en-US" w:eastAsia="zh-CN"/>
        </w:rPr>
        <w:t>规范性</w:t>
      </w:r>
      <w:r>
        <w:rPr>
          <w:rFonts w:hint="eastAsia"/>
          <w:lang w:eastAsia="zh-CN"/>
        </w:rPr>
        <w:t>）</w:t>
      </w:r>
      <w:r>
        <w:rPr>
          <w:rFonts w:hint="eastAsia"/>
          <w:lang w:eastAsia="zh-CN"/>
        </w:rPr>
        <w:br w:type="textWrapping"/>
      </w:r>
      <w:r>
        <w:rPr>
          <w:rFonts w:hint="eastAsia"/>
          <w:lang w:eastAsia="zh-CN"/>
        </w:rPr>
        <w:t>专家评审意见表</w:t>
      </w:r>
    </w:p>
    <w:bookmarkEnd w:id="64"/>
    <w:p w14:paraId="3F1F8B37">
      <w:pPr>
        <w:pStyle w:val="44"/>
        <w:bidi w:val="0"/>
      </w:pPr>
      <w:r>
        <w:rPr>
          <w:rFonts w:hint="eastAsia"/>
        </w:rPr>
        <w:t>表I</w:t>
      </w:r>
      <w:r>
        <w:rPr>
          <w:rFonts w:hint="eastAsia"/>
          <w:lang w:val="en-US" w:eastAsia="zh-CN"/>
        </w:rPr>
        <w:t>.</w:t>
      </w:r>
      <w:r>
        <w:rPr>
          <w:rFonts w:hint="eastAsia"/>
        </w:rPr>
        <w:t>1和I</w:t>
      </w:r>
      <w:r>
        <w:rPr>
          <w:rFonts w:hint="eastAsia"/>
          <w:lang w:val="en-US" w:eastAsia="zh-CN"/>
        </w:rPr>
        <w:t>.</w:t>
      </w:r>
      <w:r>
        <w:rPr>
          <w:rFonts w:hint="eastAsia"/>
        </w:rPr>
        <w:t>2给出了专家评审意见表和专家会议评审意见汇总表。</w:t>
      </w:r>
    </w:p>
    <w:p w14:paraId="776FA812">
      <w:pPr>
        <w:pStyle w:val="132"/>
        <w:numPr>
          <w:ilvl w:val="0"/>
          <w:numId w:val="0"/>
        </w:numPr>
        <w:bidi w:val="0"/>
        <w:ind w:left="0" w:leftChars="0" w:firstLine="0" w:firstLineChars="0"/>
      </w:pPr>
      <w:r>
        <w:rPr>
          <w:rFonts w:hint="eastAsia"/>
        </w:rPr>
        <w:t>表I</w:t>
      </w:r>
      <w:r>
        <w:rPr>
          <w:rFonts w:hint="eastAsia"/>
          <w:lang w:val="en-US" w:eastAsia="zh-CN"/>
        </w:rPr>
        <w:t>.</w:t>
      </w:r>
      <w:r>
        <w:rPr>
          <w:rFonts w:hint="eastAsia"/>
        </w:rPr>
        <w:t>1  专家评审意见表</w:t>
      </w:r>
    </w:p>
    <w:tbl>
      <w:tblPr>
        <w:tblStyle w:val="25"/>
        <w:tblW w:w="88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26"/>
        <w:gridCol w:w="3281"/>
        <w:gridCol w:w="1352"/>
        <w:gridCol w:w="2691"/>
      </w:tblGrid>
      <w:tr w14:paraId="1B178C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526" w:type="dxa"/>
            <w:vAlign w:val="center"/>
          </w:tcPr>
          <w:p w14:paraId="197B8F8F">
            <w:pPr>
              <w:spacing w:line="440" w:lineRule="exact"/>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决策事项名称</w:t>
            </w:r>
          </w:p>
        </w:tc>
        <w:tc>
          <w:tcPr>
            <w:tcW w:w="7324" w:type="dxa"/>
            <w:gridSpan w:val="3"/>
            <w:vAlign w:val="center"/>
          </w:tcPr>
          <w:p w14:paraId="0C7A19D1">
            <w:pPr>
              <w:spacing w:line="440" w:lineRule="exact"/>
              <w:jc w:val="center"/>
              <w:rPr>
                <w:color w:val="000000" w:themeColor="text1"/>
                <w:szCs w:val="21"/>
                <w14:textFill>
                  <w14:solidFill>
                    <w14:schemeClr w14:val="tx1"/>
                  </w14:solidFill>
                </w14:textFill>
              </w:rPr>
            </w:pPr>
          </w:p>
        </w:tc>
      </w:tr>
      <w:tr w14:paraId="69D27E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526" w:type="dxa"/>
            <w:vAlign w:val="center"/>
          </w:tcPr>
          <w:p w14:paraId="430A1046">
            <w:pPr>
              <w:spacing w:line="440" w:lineRule="exact"/>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评估主体</w:t>
            </w:r>
          </w:p>
        </w:tc>
        <w:tc>
          <w:tcPr>
            <w:tcW w:w="7324" w:type="dxa"/>
            <w:gridSpan w:val="3"/>
            <w:vAlign w:val="center"/>
          </w:tcPr>
          <w:p w14:paraId="14A296CB">
            <w:pPr>
              <w:spacing w:line="440" w:lineRule="exact"/>
              <w:jc w:val="center"/>
              <w:rPr>
                <w:color w:val="000000" w:themeColor="text1"/>
                <w:szCs w:val="21"/>
                <w14:textFill>
                  <w14:solidFill>
                    <w14:schemeClr w14:val="tx1"/>
                  </w14:solidFill>
                </w14:textFill>
              </w:rPr>
            </w:pPr>
          </w:p>
        </w:tc>
      </w:tr>
      <w:tr w14:paraId="04193A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526" w:type="dxa"/>
            <w:vAlign w:val="center"/>
          </w:tcPr>
          <w:p w14:paraId="09CF913F">
            <w:pPr>
              <w:spacing w:line="440" w:lineRule="exact"/>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评估实施单位</w:t>
            </w:r>
          </w:p>
        </w:tc>
        <w:tc>
          <w:tcPr>
            <w:tcW w:w="7324" w:type="dxa"/>
            <w:gridSpan w:val="3"/>
            <w:vAlign w:val="center"/>
          </w:tcPr>
          <w:p w14:paraId="50CB78E3">
            <w:pPr>
              <w:spacing w:line="440" w:lineRule="exact"/>
              <w:jc w:val="center"/>
              <w:rPr>
                <w:color w:val="000000" w:themeColor="text1"/>
                <w:szCs w:val="21"/>
                <w14:textFill>
                  <w14:solidFill>
                    <w14:schemeClr w14:val="tx1"/>
                  </w14:solidFill>
                </w14:textFill>
              </w:rPr>
            </w:pPr>
          </w:p>
        </w:tc>
      </w:tr>
      <w:tr w14:paraId="4ABB77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6" w:hRule="atLeast"/>
        </w:trPr>
        <w:tc>
          <w:tcPr>
            <w:tcW w:w="8850" w:type="dxa"/>
            <w:gridSpan w:val="4"/>
          </w:tcPr>
          <w:p w14:paraId="4330FCF6">
            <w:pPr>
              <w:pStyle w:val="36"/>
              <w:rPr>
                <w:b/>
                <w:color w:val="000000" w:themeColor="text1"/>
                <w14:textFill>
                  <w14:solidFill>
                    <w14:schemeClr w14:val="tx1"/>
                  </w14:solidFill>
                </w14:textFill>
              </w:rPr>
            </w:pPr>
            <w:r>
              <w:rPr>
                <w:rFonts w:hint="eastAsia"/>
                <w:b/>
                <w:color w:val="000000" w:themeColor="text1"/>
                <w14:textFill>
                  <w14:solidFill>
                    <w14:schemeClr w14:val="tx1"/>
                  </w14:solidFill>
                </w14:textFill>
              </w:rPr>
              <w:t>专家意见：</w:t>
            </w:r>
          </w:p>
          <w:p w14:paraId="096F1A34">
            <w:pPr>
              <w:pStyle w:val="36"/>
              <w:rPr>
                <w:color w:val="000000" w:themeColor="text1"/>
                <w14:textFill>
                  <w14:solidFill>
                    <w14:schemeClr w14:val="tx1"/>
                  </w14:solidFill>
                </w14:textFill>
              </w:rPr>
            </w:pPr>
          </w:p>
          <w:p w14:paraId="1FAA1049">
            <w:pPr>
              <w:pStyle w:val="36"/>
              <w:ind w:firstLine="482" w:firstLineChars="200"/>
              <w:rPr>
                <w:b/>
                <w:color w:val="000000" w:themeColor="text1"/>
                <w14:textFill>
                  <w14:solidFill>
                    <w14:schemeClr w14:val="tx1"/>
                  </w14:solidFill>
                </w14:textFill>
              </w:rPr>
            </w:pPr>
            <w:r>
              <w:rPr>
                <w:rFonts w:hint="eastAsia"/>
                <w:b/>
                <w:color w:val="000000" w:themeColor="text1"/>
                <w14:textFill>
                  <w14:solidFill>
                    <w14:schemeClr w14:val="tx1"/>
                  </w14:solidFill>
                </w14:textFill>
              </w:rPr>
              <w:t>一、总体评价</w:t>
            </w:r>
          </w:p>
          <w:p w14:paraId="6BBED948">
            <w:pPr>
              <w:pStyle w:val="36"/>
              <w:ind w:firstLine="48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评估工作评价；</w:t>
            </w:r>
          </w:p>
          <w:p w14:paraId="2CD093BF">
            <w:pPr>
              <w:pStyle w:val="36"/>
              <w:ind w:firstLine="48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评估报告评价；</w:t>
            </w:r>
          </w:p>
          <w:p w14:paraId="7218ABFF">
            <w:pPr>
              <w:pStyle w:val="36"/>
              <w:ind w:firstLine="48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决策事项的主要风险点；</w:t>
            </w:r>
          </w:p>
          <w:p w14:paraId="54BD5CBB">
            <w:pPr>
              <w:pStyle w:val="36"/>
              <w:ind w:firstLine="48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风险等级结论评价。</w:t>
            </w:r>
          </w:p>
          <w:p w14:paraId="7A2B0277">
            <w:pPr>
              <w:pStyle w:val="36"/>
              <w:ind w:firstLine="482" w:firstLineChars="200"/>
              <w:rPr>
                <w:color w:val="000000" w:themeColor="text1"/>
                <w:sz w:val="28"/>
                <w:szCs w:val="28"/>
                <w14:textFill>
                  <w14:solidFill>
                    <w14:schemeClr w14:val="tx1"/>
                  </w14:solidFill>
                </w14:textFill>
              </w:rPr>
            </w:pPr>
            <w:r>
              <w:rPr>
                <w:rFonts w:hint="eastAsia"/>
                <w:b/>
                <w:color w:val="000000" w:themeColor="text1"/>
                <w14:textFill>
                  <w14:solidFill>
                    <w14:schemeClr w14:val="tx1"/>
                  </w14:solidFill>
                </w14:textFill>
              </w:rPr>
              <w:t>二、意见和建议</w:t>
            </w:r>
          </w:p>
        </w:tc>
      </w:tr>
      <w:tr w14:paraId="4C3D4E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526" w:type="dxa"/>
            <w:vAlign w:val="center"/>
          </w:tcPr>
          <w:p w14:paraId="5D38490C">
            <w:pPr>
              <w:spacing w:line="440" w:lineRule="exact"/>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评审结论</w:t>
            </w:r>
          </w:p>
        </w:tc>
        <w:tc>
          <w:tcPr>
            <w:tcW w:w="7324" w:type="dxa"/>
            <w:gridSpan w:val="3"/>
            <w:vAlign w:val="center"/>
          </w:tcPr>
          <w:p w14:paraId="54F9DC8C">
            <w:pPr>
              <w:spacing w:line="440" w:lineRule="exact"/>
              <w:ind w:firstLine="525" w:firstLineChars="25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sym w:font="Wingdings" w:char="F0A8"/>
            </w:r>
            <w:r>
              <w:rPr>
                <w:rFonts w:hint="eastAsia"/>
                <w:color w:val="000000" w:themeColor="text1"/>
                <w:szCs w:val="21"/>
                <w14:textFill>
                  <w14:solidFill>
                    <w14:schemeClr w14:val="tx1"/>
                  </w14:solidFill>
                </w14:textFill>
              </w:rPr>
              <w:t xml:space="preserve">高风险    </w:t>
            </w:r>
            <w:r>
              <w:rPr>
                <w:rFonts w:hint="eastAsia"/>
                <w:color w:val="000000" w:themeColor="text1"/>
                <w:szCs w:val="21"/>
                <w14:textFill>
                  <w14:solidFill>
                    <w14:schemeClr w14:val="tx1"/>
                  </w14:solidFill>
                </w14:textFill>
              </w:rPr>
              <w:sym w:font="Wingdings" w:char="F0A8"/>
            </w:r>
            <w:r>
              <w:rPr>
                <w:rFonts w:hint="eastAsia"/>
                <w:color w:val="000000" w:themeColor="text1"/>
                <w:szCs w:val="21"/>
                <w14:textFill>
                  <w14:solidFill>
                    <w14:schemeClr w14:val="tx1"/>
                  </w14:solidFill>
                </w14:textFill>
              </w:rPr>
              <w:t xml:space="preserve">中风险   </w:t>
            </w:r>
            <w:r>
              <w:rPr>
                <w:rFonts w:hint="eastAsia"/>
                <w:color w:val="000000" w:themeColor="text1"/>
                <w:szCs w:val="21"/>
                <w14:textFill>
                  <w14:solidFill>
                    <w14:schemeClr w14:val="tx1"/>
                  </w14:solidFill>
                </w14:textFill>
              </w:rPr>
              <w:sym w:font="Wingdings" w:char="F0A8"/>
            </w:r>
            <w:r>
              <w:rPr>
                <w:rFonts w:hint="eastAsia"/>
                <w:color w:val="000000" w:themeColor="text1"/>
                <w:szCs w:val="21"/>
                <w14:textFill>
                  <w14:solidFill>
                    <w14:schemeClr w14:val="tx1"/>
                  </w14:solidFill>
                </w14:textFill>
              </w:rPr>
              <w:t>低风险</w:t>
            </w:r>
          </w:p>
        </w:tc>
      </w:tr>
      <w:tr w14:paraId="537CE5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526" w:type="dxa"/>
            <w:vAlign w:val="center"/>
          </w:tcPr>
          <w:p w14:paraId="74606641">
            <w:pPr>
              <w:spacing w:line="440" w:lineRule="exact"/>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专家签名</w:t>
            </w:r>
          </w:p>
        </w:tc>
        <w:tc>
          <w:tcPr>
            <w:tcW w:w="3281" w:type="dxa"/>
            <w:vAlign w:val="center"/>
          </w:tcPr>
          <w:p w14:paraId="1BC0FED7">
            <w:pPr>
              <w:spacing w:line="440" w:lineRule="exact"/>
              <w:jc w:val="center"/>
              <w:rPr>
                <w:color w:val="000000" w:themeColor="text1"/>
                <w:szCs w:val="21"/>
                <w14:textFill>
                  <w14:solidFill>
                    <w14:schemeClr w14:val="tx1"/>
                  </w14:solidFill>
                </w14:textFill>
              </w:rPr>
            </w:pPr>
          </w:p>
        </w:tc>
        <w:tc>
          <w:tcPr>
            <w:tcW w:w="1352" w:type="dxa"/>
            <w:vAlign w:val="center"/>
          </w:tcPr>
          <w:p w14:paraId="33B9222B">
            <w:pPr>
              <w:spacing w:line="440" w:lineRule="exact"/>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日期</w:t>
            </w:r>
          </w:p>
        </w:tc>
        <w:tc>
          <w:tcPr>
            <w:tcW w:w="2691" w:type="dxa"/>
            <w:vAlign w:val="center"/>
          </w:tcPr>
          <w:p w14:paraId="307645FD">
            <w:pPr>
              <w:spacing w:line="440" w:lineRule="exact"/>
              <w:jc w:val="center"/>
              <w:rPr>
                <w:color w:val="000000" w:themeColor="text1"/>
                <w:szCs w:val="21"/>
                <w14:textFill>
                  <w14:solidFill>
                    <w14:schemeClr w14:val="tx1"/>
                  </w14:solidFill>
                </w14:textFill>
              </w:rPr>
            </w:pPr>
          </w:p>
        </w:tc>
      </w:tr>
    </w:tbl>
    <w:p w14:paraId="27E58C2C">
      <w:pPr>
        <w:jc w:val="center"/>
        <w:rPr>
          <w:rFonts w:hint="eastAsia" w:ascii="黑体" w:hAnsi="黑体" w:eastAsia="黑体" w:cs="黑体"/>
          <w:kern w:val="0"/>
          <w:sz w:val="21"/>
          <w:szCs w:val="20"/>
        </w:rPr>
      </w:pPr>
    </w:p>
    <w:p w14:paraId="20F7DF71">
      <w:pPr>
        <w:jc w:val="center"/>
        <w:rPr>
          <w:rFonts w:hint="eastAsia" w:ascii="黑体" w:hAnsi="黑体" w:eastAsia="黑体" w:cs="黑体"/>
          <w:kern w:val="0"/>
          <w:sz w:val="21"/>
          <w:szCs w:val="20"/>
        </w:rPr>
      </w:pPr>
    </w:p>
    <w:p w14:paraId="460A215B">
      <w:pPr>
        <w:jc w:val="center"/>
        <w:rPr>
          <w:rFonts w:hint="eastAsia" w:ascii="黑体" w:hAnsi="黑体" w:eastAsia="黑体" w:cs="黑体"/>
          <w:kern w:val="0"/>
          <w:sz w:val="21"/>
          <w:szCs w:val="20"/>
        </w:rPr>
      </w:pPr>
    </w:p>
    <w:p w14:paraId="0CFAC999">
      <w:pPr>
        <w:jc w:val="center"/>
        <w:rPr>
          <w:rFonts w:hint="eastAsia" w:ascii="黑体" w:hAnsi="黑体" w:eastAsia="黑体" w:cs="黑体"/>
          <w:kern w:val="0"/>
          <w:sz w:val="21"/>
          <w:szCs w:val="20"/>
        </w:rPr>
      </w:pPr>
    </w:p>
    <w:p w14:paraId="209E8E91">
      <w:pPr>
        <w:jc w:val="center"/>
        <w:rPr>
          <w:rFonts w:hint="eastAsia" w:ascii="黑体" w:hAnsi="黑体" w:eastAsia="黑体" w:cs="黑体"/>
          <w:kern w:val="0"/>
          <w:sz w:val="21"/>
          <w:szCs w:val="20"/>
        </w:rPr>
      </w:pPr>
      <w:r>
        <w:rPr>
          <w:rFonts w:hint="eastAsia" w:ascii="黑体" w:hAnsi="黑体" w:eastAsia="黑体" w:cs="黑体"/>
          <w:kern w:val="0"/>
          <w:sz w:val="21"/>
          <w:szCs w:val="20"/>
        </w:rPr>
        <w:t>表I</w:t>
      </w:r>
      <w:r>
        <w:rPr>
          <w:rFonts w:hint="eastAsia" w:ascii="黑体" w:hAnsi="黑体" w:eastAsia="黑体" w:cs="黑体"/>
          <w:kern w:val="0"/>
          <w:sz w:val="21"/>
          <w:szCs w:val="20"/>
          <w:lang w:val="en-US" w:eastAsia="zh-CN"/>
        </w:rPr>
        <w:t>.</w:t>
      </w:r>
      <w:r>
        <w:rPr>
          <w:rFonts w:hint="eastAsia" w:ascii="黑体" w:hAnsi="黑体" w:eastAsia="黑体" w:cs="黑体"/>
          <w:kern w:val="0"/>
          <w:sz w:val="21"/>
          <w:szCs w:val="20"/>
        </w:rPr>
        <w:t>2  专家会议评审意见汇总表</w:t>
      </w:r>
    </w:p>
    <w:tbl>
      <w:tblPr>
        <w:tblStyle w:val="25"/>
        <w:tblW w:w="88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26"/>
        <w:gridCol w:w="7324"/>
      </w:tblGrid>
      <w:tr w14:paraId="6E15AC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18" w:hRule="atLeast"/>
        </w:trPr>
        <w:tc>
          <w:tcPr>
            <w:tcW w:w="1526" w:type="dxa"/>
            <w:vAlign w:val="center"/>
          </w:tcPr>
          <w:p w14:paraId="61A8A69C">
            <w:pPr>
              <w:spacing w:line="440" w:lineRule="exact"/>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决策事项名称</w:t>
            </w:r>
          </w:p>
        </w:tc>
        <w:tc>
          <w:tcPr>
            <w:tcW w:w="7324" w:type="dxa"/>
            <w:vAlign w:val="center"/>
          </w:tcPr>
          <w:p w14:paraId="75936A26">
            <w:pPr>
              <w:spacing w:line="440" w:lineRule="exact"/>
              <w:jc w:val="center"/>
              <w:rPr>
                <w:color w:val="000000" w:themeColor="text1"/>
                <w:szCs w:val="21"/>
                <w14:textFill>
                  <w14:solidFill>
                    <w14:schemeClr w14:val="tx1"/>
                  </w14:solidFill>
                </w14:textFill>
              </w:rPr>
            </w:pPr>
          </w:p>
        </w:tc>
      </w:tr>
      <w:tr w14:paraId="30F5BC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526" w:type="dxa"/>
            <w:vAlign w:val="center"/>
          </w:tcPr>
          <w:p w14:paraId="744CF9BB">
            <w:pPr>
              <w:spacing w:line="440" w:lineRule="exact"/>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评估主体</w:t>
            </w:r>
          </w:p>
        </w:tc>
        <w:tc>
          <w:tcPr>
            <w:tcW w:w="7324" w:type="dxa"/>
            <w:vAlign w:val="center"/>
          </w:tcPr>
          <w:p w14:paraId="509BDE44">
            <w:pPr>
              <w:spacing w:line="440" w:lineRule="exact"/>
              <w:jc w:val="center"/>
              <w:rPr>
                <w:color w:val="000000" w:themeColor="text1"/>
                <w:szCs w:val="21"/>
                <w14:textFill>
                  <w14:solidFill>
                    <w14:schemeClr w14:val="tx1"/>
                  </w14:solidFill>
                </w14:textFill>
              </w:rPr>
            </w:pPr>
          </w:p>
        </w:tc>
      </w:tr>
      <w:tr w14:paraId="7CF3EB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526" w:type="dxa"/>
            <w:vAlign w:val="center"/>
          </w:tcPr>
          <w:p w14:paraId="10939930">
            <w:pPr>
              <w:spacing w:line="440" w:lineRule="exact"/>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评估实施单位</w:t>
            </w:r>
          </w:p>
        </w:tc>
        <w:tc>
          <w:tcPr>
            <w:tcW w:w="7324" w:type="dxa"/>
            <w:vAlign w:val="center"/>
          </w:tcPr>
          <w:p w14:paraId="6D6F9222">
            <w:pPr>
              <w:spacing w:line="440" w:lineRule="exact"/>
              <w:jc w:val="center"/>
              <w:rPr>
                <w:color w:val="000000" w:themeColor="text1"/>
                <w:szCs w:val="21"/>
                <w14:textFill>
                  <w14:solidFill>
                    <w14:schemeClr w14:val="tx1"/>
                  </w14:solidFill>
                </w14:textFill>
              </w:rPr>
            </w:pPr>
          </w:p>
        </w:tc>
      </w:tr>
      <w:tr w14:paraId="3C1E25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4" w:hRule="atLeast"/>
        </w:trPr>
        <w:tc>
          <w:tcPr>
            <w:tcW w:w="8850" w:type="dxa"/>
            <w:gridSpan w:val="2"/>
          </w:tcPr>
          <w:p w14:paraId="0ED7DBAB">
            <w:pPr>
              <w:pStyle w:val="36"/>
              <w:ind w:firstLine="48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_____年_____月_____日，__________(评估主体)在_________（会议地点）组织召开了《__________（决策事项）社会稳定风险评估报告》专家评审会。本次会议由_____名专家组成专家组，以及__________（参会单位）代表参加本次会议，共计_____人。专家组听取了评估主体关于决策事项的介绍，以及评估实施单位关于社会稳定风险评估工作开展情况的汇报，审阅了案卷资料，并就该事项的社会稳定风险评估工作进行了询问和评审。</w:t>
            </w:r>
          </w:p>
          <w:p w14:paraId="3B5CBEB2">
            <w:pPr>
              <w:pStyle w:val="36"/>
              <w:ind w:firstLine="482" w:firstLineChars="200"/>
              <w:rPr>
                <w:b/>
                <w:color w:val="000000" w:themeColor="text1"/>
                <w14:textFill>
                  <w14:solidFill>
                    <w14:schemeClr w14:val="tx1"/>
                  </w14:solidFill>
                </w14:textFill>
              </w:rPr>
            </w:pPr>
            <w:r>
              <w:rPr>
                <w:rFonts w:hint="eastAsia"/>
                <w:b/>
                <w:color w:val="000000" w:themeColor="text1"/>
                <w14:textFill>
                  <w14:solidFill>
                    <w14:schemeClr w14:val="tx1"/>
                  </w14:solidFill>
                </w14:textFill>
              </w:rPr>
              <w:t>一、总体评价</w:t>
            </w:r>
          </w:p>
          <w:p w14:paraId="6812EF1B">
            <w:pPr>
              <w:pStyle w:val="36"/>
              <w:ind w:firstLine="48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评估工作评价；</w:t>
            </w:r>
          </w:p>
          <w:p w14:paraId="5D1C94AF">
            <w:pPr>
              <w:pStyle w:val="36"/>
              <w:ind w:firstLine="48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评估报告评价；</w:t>
            </w:r>
          </w:p>
          <w:p w14:paraId="1CA8F165">
            <w:pPr>
              <w:pStyle w:val="36"/>
              <w:ind w:firstLine="48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决策事项的主要风险点。</w:t>
            </w:r>
          </w:p>
          <w:p w14:paraId="76FBEE09">
            <w:pPr>
              <w:pStyle w:val="36"/>
              <w:ind w:firstLine="482" w:firstLineChars="200"/>
              <w:rPr>
                <w:b/>
                <w:color w:val="000000" w:themeColor="text1"/>
                <w14:textFill>
                  <w14:solidFill>
                    <w14:schemeClr w14:val="tx1"/>
                  </w14:solidFill>
                </w14:textFill>
              </w:rPr>
            </w:pPr>
            <w:r>
              <w:rPr>
                <w:rFonts w:hint="eastAsia"/>
                <w:b/>
                <w:color w:val="000000" w:themeColor="text1"/>
                <w14:textFill>
                  <w14:solidFill>
                    <w14:schemeClr w14:val="tx1"/>
                  </w14:solidFill>
                </w14:textFill>
              </w:rPr>
              <w:t>二、意见和建议</w:t>
            </w:r>
          </w:p>
          <w:p w14:paraId="7B1987B1">
            <w:pPr>
              <w:pStyle w:val="36"/>
              <w:ind w:firstLine="480" w:firstLineChars="200"/>
              <w:rPr>
                <w:color w:val="000000" w:themeColor="text1"/>
                <w14:textFill>
                  <w14:solidFill>
                    <w14:schemeClr w14:val="tx1"/>
                  </w14:solidFill>
                </w14:textFill>
              </w:rPr>
            </w:pPr>
          </w:p>
          <w:p w14:paraId="44BA6963">
            <w:pPr>
              <w:pStyle w:val="36"/>
              <w:ind w:firstLine="480" w:firstLineChars="200"/>
              <w:rPr>
                <w:color w:val="000000" w:themeColor="text1"/>
                <w14:textFill>
                  <w14:solidFill>
                    <w14:schemeClr w14:val="tx1"/>
                  </w14:solidFill>
                </w14:textFill>
              </w:rPr>
            </w:pPr>
          </w:p>
          <w:p w14:paraId="63F037EF">
            <w:pPr>
              <w:pStyle w:val="36"/>
              <w:ind w:firstLine="480" w:firstLineChars="200"/>
              <w:rPr>
                <w:color w:val="000000" w:themeColor="text1"/>
                <w14:textFill>
                  <w14:solidFill>
                    <w14:schemeClr w14:val="tx1"/>
                  </w14:solidFill>
                </w14:textFill>
              </w:rPr>
            </w:pPr>
          </w:p>
          <w:p w14:paraId="10029E76">
            <w:pPr>
              <w:pStyle w:val="36"/>
              <w:ind w:firstLine="480" w:firstLineChars="200"/>
              <w:rPr>
                <w:color w:val="000000" w:themeColor="text1"/>
                <w14:textFill>
                  <w14:solidFill>
                    <w14:schemeClr w14:val="tx1"/>
                  </w14:solidFill>
                </w14:textFill>
              </w:rPr>
            </w:pPr>
          </w:p>
          <w:p w14:paraId="6F961774">
            <w:pPr>
              <w:pStyle w:val="36"/>
              <w:ind w:firstLine="480" w:firstLineChars="200"/>
              <w:rPr>
                <w:color w:val="000000" w:themeColor="text1"/>
                <w14:textFill>
                  <w14:solidFill>
                    <w14:schemeClr w14:val="tx1"/>
                  </w14:solidFill>
                </w14:textFill>
              </w:rPr>
            </w:pPr>
          </w:p>
          <w:p w14:paraId="58112F45">
            <w:pPr>
              <w:pStyle w:val="36"/>
              <w:ind w:firstLine="480" w:firstLineChars="200"/>
              <w:rPr>
                <w:color w:val="000000" w:themeColor="text1"/>
                <w14:textFill>
                  <w14:solidFill>
                    <w14:schemeClr w14:val="tx1"/>
                  </w14:solidFill>
                </w14:textFill>
              </w:rPr>
            </w:pPr>
          </w:p>
          <w:p w14:paraId="2D10A2B5">
            <w:pPr>
              <w:pStyle w:val="36"/>
              <w:ind w:firstLine="480" w:firstLineChars="200"/>
              <w:rPr>
                <w:color w:val="000000" w:themeColor="text1"/>
                <w14:textFill>
                  <w14:solidFill>
                    <w14:schemeClr w14:val="tx1"/>
                  </w14:solidFill>
                </w14:textFill>
              </w:rPr>
            </w:pPr>
          </w:p>
          <w:p w14:paraId="3C685457">
            <w:pPr>
              <w:pStyle w:val="36"/>
              <w:ind w:firstLine="480" w:firstLineChars="200"/>
              <w:rPr>
                <w:color w:val="000000" w:themeColor="text1"/>
                <w14:textFill>
                  <w14:solidFill>
                    <w14:schemeClr w14:val="tx1"/>
                  </w14:solidFill>
                </w14:textFill>
              </w:rPr>
            </w:pPr>
          </w:p>
          <w:p w14:paraId="016F8BBB">
            <w:pPr>
              <w:pStyle w:val="36"/>
              <w:ind w:firstLine="480" w:firstLineChars="200"/>
              <w:rPr>
                <w:color w:val="000000" w:themeColor="text1"/>
                <w14:textFill>
                  <w14:solidFill>
                    <w14:schemeClr w14:val="tx1"/>
                  </w14:solidFill>
                </w14:textFill>
              </w:rPr>
            </w:pPr>
          </w:p>
          <w:p w14:paraId="67D7ABB4">
            <w:pPr>
              <w:pStyle w:val="36"/>
              <w:ind w:firstLine="480" w:firstLineChars="200"/>
              <w:rPr>
                <w:color w:val="000000" w:themeColor="text1"/>
                <w14:textFill>
                  <w14:solidFill>
                    <w14:schemeClr w14:val="tx1"/>
                  </w14:solidFill>
                </w14:textFill>
              </w:rPr>
            </w:pPr>
          </w:p>
          <w:p w14:paraId="2AF3D8CA">
            <w:pPr>
              <w:pStyle w:val="36"/>
              <w:ind w:firstLine="480" w:firstLineChars="200"/>
              <w:rPr>
                <w:color w:val="000000" w:themeColor="text1"/>
                <w14:textFill>
                  <w14:solidFill>
                    <w14:schemeClr w14:val="tx1"/>
                  </w14:solidFill>
                </w14:textFill>
              </w:rPr>
            </w:pPr>
          </w:p>
          <w:p w14:paraId="498239FD">
            <w:pPr>
              <w:pStyle w:val="36"/>
              <w:ind w:firstLine="48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经专家组会商，对评估实施单位的社会稳定风险评估工作和评估结论进行总体评价，_____名成员认可，_____名成员不认可，根据投票规则，专家组（同意、不同意）该事项的社会稳定风险评估结论。</w:t>
            </w:r>
          </w:p>
          <w:p w14:paraId="27F87944">
            <w:pPr>
              <w:pStyle w:val="36"/>
              <w:ind w:firstLine="480" w:firstLineChars="200"/>
              <w:rPr>
                <w:color w:val="000000" w:themeColor="text1"/>
                <w14:textFill>
                  <w14:solidFill>
                    <w14:schemeClr w14:val="tx1"/>
                  </w14:solidFill>
                </w14:textFill>
              </w:rPr>
            </w:pPr>
          </w:p>
          <w:p w14:paraId="250C948C">
            <w:pPr>
              <w:pStyle w:val="36"/>
              <w:ind w:firstLine="48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专家组组长签名：_____________</w:t>
            </w:r>
          </w:p>
          <w:p w14:paraId="383BE59B">
            <w:pPr>
              <w:pStyle w:val="36"/>
              <w:ind w:firstLine="480" w:firstLineChars="200"/>
              <w:rPr>
                <w:color w:val="000000" w:themeColor="text1"/>
                <w14:textFill>
                  <w14:solidFill>
                    <w14:schemeClr w14:val="tx1"/>
                  </w14:solidFill>
                </w14:textFill>
              </w:rPr>
            </w:pPr>
          </w:p>
          <w:p w14:paraId="446EE298">
            <w:pPr>
              <w:pStyle w:val="36"/>
              <w:ind w:firstLine="48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专家组成员签名：_______________________________________________</w:t>
            </w:r>
          </w:p>
          <w:p w14:paraId="01D6F876">
            <w:pPr>
              <w:pStyle w:val="36"/>
              <w:ind w:firstLine="480" w:firstLineChars="200"/>
              <w:rPr>
                <w:color w:val="000000" w:themeColor="text1"/>
                <w14:textFill>
                  <w14:solidFill>
                    <w14:schemeClr w14:val="tx1"/>
                  </w14:solidFill>
                </w14:textFill>
              </w:rPr>
            </w:pPr>
          </w:p>
          <w:p w14:paraId="166E28DC">
            <w:pPr>
              <w:pStyle w:val="36"/>
              <w:ind w:firstLine="48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日期：_____年_____月_____日</w:t>
            </w:r>
          </w:p>
          <w:p w14:paraId="4AA3E1FA">
            <w:pPr>
              <w:pStyle w:val="36"/>
              <w:ind w:firstLine="560" w:firstLineChars="200"/>
              <w:rPr>
                <w:color w:val="000000" w:themeColor="text1"/>
                <w:sz w:val="28"/>
                <w:szCs w:val="28"/>
                <w14:textFill>
                  <w14:solidFill>
                    <w14:schemeClr w14:val="tx1"/>
                  </w14:solidFill>
                </w14:textFill>
              </w:rPr>
            </w:pPr>
          </w:p>
        </w:tc>
      </w:tr>
    </w:tbl>
    <w:p w14:paraId="14EB57BB">
      <w:pPr>
        <w:pStyle w:val="107"/>
        <w:bidi w:val="0"/>
        <w:ind w:left="0" w:leftChars="0" w:firstLine="0" w:firstLineChars="0"/>
        <w:rPr>
          <w:rFonts w:hint="eastAsia"/>
          <w:lang w:eastAsia="zh-CN"/>
        </w:rPr>
      </w:pPr>
      <w:r>
        <w:rPr>
          <w:rFonts w:hint="eastAsia"/>
          <w:lang w:eastAsia="zh-CN"/>
        </w:rPr>
        <w:br w:type="textWrapping"/>
      </w:r>
      <w:r>
        <w:rPr>
          <w:rFonts w:hint="eastAsia"/>
          <w:lang w:eastAsia="zh-CN"/>
        </w:rPr>
        <w:t>（</w:t>
      </w:r>
      <w:r>
        <w:rPr>
          <w:rFonts w:hint="eastAsia"/>
          <w:lang w:val="en-US" w:eastAsia="zh-CN"/>
        </w:rPr>
        <w:t>规范性</w:t>
      </w:r>
      <w:r>
        <w:rPr>
          <w:rFonts w:hint="eastAsia"/>
          <w:lang w:eastAsia="zh-CN"/>
        </w:rPr>
        <w:t>）</w:t>
      </w:r>
      <w:r>
        <w:rPr>
          <w:rFonts w:hint="eastAsia"/>
          <w:lang w:eastAsia="zh-CN"/>
        </w:rPr>
        <w:br w:type="textWrapping"/>
      </w:r>
      <w:r>
        <w:rPr>
          <w:rFonts w:hint="eastAsia"/>
          <w:lang w:eastAsia="zh-CN"/>
        </w:rPr>
        <w:t>江西省重大决策社会稳定风险评估备案表</w:t>
      </w:r>
    </w:p>
    <w:p w14:paraId="4505D817">
      <w:pPr>
        <w:pStyle w:val="44"/>
        <w:bidi w:val="0"/>
      </w:pPr>
      <w:r>
        <w:rPr>
          <w:rFonts w:hint="eastAsia"/>
        </w:rPr>
        <w:t>附录J</w:t>
      </w:r>
      <w:r>
        <w:rPr>
          <w:rFonts w:hint="eastAsia"/>
          <w:lang w:val="en-US" w:eastAsia="zh-CN"/>
        </w:rPr>
        <w:t>.</w:t>
      </w:r>
      <w:r>
        <w:rPr>
          <w:rFonts w:hint="eastAsia"/>
        </w:rPr>
        <w:t>1和J</w:t>
      </w:r>
      <w:r>
        <w:rPr>
          <w:rFonts w:hint="eastAsia"/>
          <w:lang w:val="en-US" w:eastAsia="zh-CN"/>
        </w:rPr>
        <w:t>.</w:t>
      </w:r>
      <w:r>
        <w:rPr>
          <w:rFonts w:hint="eastAsia"/>
        </w:rPr>
        <w:t>2分别给出了江西省重大决策社会稳定风险评估的普通程序备案表和简易程序备案表。</w:t>
      </w:r>
    </w:p>
    <w:p w14:paraId="42BF0BCC">
      <w:pPr>
        <w:pStyle w:val="132"/>
        <w:numPr>
          <w:ilvl w:val="0"/>
          <w:numId w:val="0"/>
        </w:numPr>
        <w:bidi w:val="0"/>
        <w:ind w:left="0" w:leftChars="0" w:firstLine="0" w:firstLineChars="0"/>
        <w:rPr>
          <w:rFonts w:hint="eastAsia"/>
        </w:rPr>
      </w:pPr>
      <w:r>
        <w:rPr>
          <w:rFonts w:hint="eastAsia" w:ascii="黑体" w:hAnsi="黑体" w:eastAsia="黑体" w:cs="黑体"/>
          <w:sz w:val="21"/>
          <w:vertAlign w:val="baseline"/>
        </w:rPr>
        <w:t>表</w:t>
      </w:r>
      <w:r>
        <w:rPr>
          <w:rFonts w:hint="eastAsia" w:cs="黑体"/>
          <w:sz w:val="21"/>
          <w:vertAlign w:val="baseline"/>
          <w:lang w:val="en-US" w:eastAsia="zh-CN"/>
        </w:rPr>
        <w:t>J.</w:t>
      </w:r>
      <w:r>
        <w:rPr>
          <w:rFonts w:hint="eastAsia" w:ascii="黑体" w:hAnsi="黑体" w:eastAsia="黑体" w:cs="黑体"/>
          <w:sz w:val="21"/>
          <w:vertAlign w:val="baseline"/>
        </w:rPr>
        <w:t xml:space="preserve">1  </w:t>
      </w:r>
      <w:r>
        <w:rPr>
          <w:rFonts w:hint="eastAsia"/>
        </w:rPr>
        <w:t>江西省重大决策社会稳定风险评估普通程序备案表</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0"/>
      </w:tblGrid>
      <w:tr w14:paraId="040AB7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0" w:type="dxa"/>
          </w:tcPr>
          <w:p w14:paraId="7CB8B413">
            <w:pPr>
              <w:spacing w:beforeLines="0" w:afterLines="0"/>
              <w:rPr>
                <w:rFonts w:hint="eastAsia" w:hAnsi="宋体"/>
                <w:color w:val="000000"/>
                <w:sz w:val="32"/>
                <w:szCs w:val="32"/>
              </w:rPr>
            </w:pPr>
          </w:p>
          <w:p w14:paraId="114EE3C4">
            <w:pPr>
              <w:spacing w:beforeLines="0" w:afterLines="0"/>
              <w:rPr>
                <w:rFonts w:hint="eastAsia" w:hAnsi="宋体"/>
                <w:color w:val="000000"/>
                <w:sz w:val="32"/>
                <w:szCs w:val="32"/>
              </w:rPr>
            </w:pPr>
          </w:p>
          <w:p w14:paraId="0CAF1798">
            <w:pPr>
              <w:spacing w:beforeLines="0" w:afterLines="0"/>
              <w:rPr>
                <w:rFonts w:hint="eastAsia" w:hAnsi="宋体"/>
                <w:color w:val="000000"/>
                <w:sz w:val="32"/>
                <w:szCs w:val="32"/>
              </w:rPr>
            </w:pPr>
            <w:r>
              <w:rPr>
                <w:rFonts w:hint="eastAsia" w:hAnsi="宋体"/>
                <w:color w:val="000000"/>
                <w:sz w:val="32"/>
                <w:szCs w:val="32"/>
              </w:rPr>
              <w:t>评估事项：___________________________________</w:t>
            </w:r>
          </w:p>
          <w:p w14:paraId="68185950">
            <w:pPr>
              <w:spacing w:beforeLines="0" w:afterLines="0"/>
              <w:rPr>
                <w:rFonts w:hint="eastAsia" w:hAnsi="宋体"/>
                <w:color w:val="000000"/>
                <w:sz w:val="32"/>
                <w:szCs w:val="32"/>
              </w:rPr>
            </w:pPr>
          </w:p>
          <w:p w14:paraId="0B2CCF8D">
            <w:pPr>
              <w:spacing w:beforeLines="0" w:afterLines="0"/>
              <w:rPr>
                <w:rFonts w:hint="eastAsia" w:hAnsi="宋体"/>
                <w:color w:val="000000"/>
                <w:sz w:val="32"/>
                <w:szCs w:val="32"/>
              </w:rPr>
            </w:pPr>
            <w:r>
              <w:rPr>
                <w:rFonts w:hint="eastAsia" w:hAnsi="宋体"/>
                <w:color w:val="000000"/>
                <w:sz w:val="32"/>
                <w:szCs w:val="32"/>
              </w:rPr>
              <w:t>评估主体：___________________________________</w:t>
            </w:r>
          </w:p>
          <w:p w14:paraId="3E402EB0">
            <w:pPr>
              <w:spacing w:beforeLines="0" w:afterLines="0"/>
              <w:rPr>
                <w:rFonts w:hint="eastAsia" w:hAnsi="宋体"/>
                <w:color w:val="000000"/>
                <w:sz w:val="32"/>
                <w:szCs w:val="32"/>
              </w:rPr>
            </w:pPr>
          </w:p>
          <w:p w14:paraId="219D5D32">
            <w:pPr>
              <w:spacing w:beforeLines="0" w:afterLines="0"/>
              <w:rPr>
                <w:rFonts w:hint="eastAsia" w:hAnsi="宋体"/>
                <w:color w:val="000000"/>
                <w:sz w:val="32"/>
                <w:szCs w:val="32"/>
                <w:u w:val="single"/>
              </w:rPr>
            </w:pPr>
            <w:r>
              <w:rPr>
                <w:rFonts w:hint="eastAsia" w:hAnsi="宋体"/>
                <w:color w:val="000000"/>
                <w:sz w:val="32"/>
                <w:szCs w:val="32"/>
              </w:rPr>
              <w:t>填表日期：</w:t>
            </w:r>
            <w:r>
              <w:rPr>
                <w:rFonts w:hint="eastAsia" w:hAnsi="宋体"/>
                <w:color w:val="000000"/>
                <w:sz w:val="32"/>
                <w:szCs w:val="32"/>
                <w:u w:val="single"/>
              </w:rPr>
              <w:t>________</w:t>
            </w:r>
            <w:r>
              <w:rPr>
                <w:rFonts w:hint="eastAsia" w:hAnsi="宋体"/>
                <w:color w:val="000000"/>
                <w:sz w:val="32"/>
                <w:szCs w:val="32"/>
              </w:rPr>
              <w:t>年</w:t>
            </w:r>
            <w:r>
              <w:rPr>
                <w:rFonts w:hint="eastAsia" w:hAnsi="宋体"/>
                <w:color w:val="000000"/>
                <w:sz w:val="32"/>
                <w:szCs w:val="32"/>
                <w:u w:val="single"/>
              </w:rPr>
              <w:t>___ ___</w:t>
            </w:r>
            <w:r>
              <w:rPr>
                <w:rFonts w:hint="eastAsia" w:hAnsi="宋体"/>
                <w:color w:val="000000"/>
                <w:sz w:val="32"/>
                <w:szCs w:val="32"/>
              </w:rPr>
              <w:t>月</w:t>
            </w:r>
            <w:r>
              <w:rPr>
                <w:rFonts w:hint="eastAsia" w:hAnsi="宋体"/>
                <w:color w:val="000000"/>
                <w:sz w:val="32"/>
                <w:szCs w:val="32"/>
                <w:u w:val="single"/>
              </w:rPr>
              <w:t>_______</w:t>
            </w:r>
            <w:r>
              <w:rPr>
                <w:rFonts w:hint="eastAsia" w:hAnsi="宋体"/>
                <w:color w:val="000000"/>
                <w:sz w:val="32"/>
                <w:szCs w:val="32"/>
              </w:rPr>
              <w:t>日</w:t>
            </w:r>
            <w:r>
              <w:rPr>
                <w:rFonts w:hint="eastAsia" w:hAnsi="宋体"/>
                <w:color w:val="000000"/>
                <w:sz w:val="32"/>
                <w:szCs w:val="32"/>
                <w:u w:val="single"/>
              </w:rPr>
              <w:t>_______</w:t>
            </w:r>
          </w:p>
          <w:p w14:paraId="5BB0C88A">
            <w:pPr>
              <w:spacing w:beforeLines="0" w:afterLines="0"/>
              <w:rPr>
                <w:rFonts w:hint="eastAsia" w:hAnsi="宋体"/>
                <w:color w:val="000000"/>
                <w:sz w:val="32"/>
                <w:szCs w:val="32"/>
                <w:u w:val="single"/>
              </w:rPr>
            </w:pPr>
          </w:p>
          <w:p w14:paraId="640C21CE">
            <w:pPr>
              <w:spacing w:beforeLines="0" w:afterLines="0"/>
              <w:rPr>
                <w:rFonts w:hint="eastAsia" w:hAnsi="宋体"/>
                <w:color w:val="000000"/>
                <w:sz w:val="32"/>
                <w:szCs w:val="32"/>
                <w:u w:val="single"/>
              </w:rPr>
            </w:pPr>
          </w:p>
          <w:p w14:paraId="0D338A87">
            <w:pPr>
              <w:spacing w:beforeLines="0" w:afterLines="0"/>
              <w:rPr>
                <w:rFonts w:hint="eastAsia" w:hAnsi="宋体"/>
                <w:color w:val="000000"/>
                <w:sz w:val="32"/>
                <w:szCs w:val="32"/>
                <w:u w:val="single"/>
              </w:rPr>
            </w:pPr>
          </w:p>
          <w:p w14:paraId="72FF3330">
            <w:pPr>
              <w:spacing w:beforeLines="0" w:afterLines="0"/>
              <w:rPr>
                <w:rFonts w:hint="eastAsia" w:hAnsi="宋体"/>
                <w:color w:val="000000"/>
                <w:sz w:val="32"/>
                <w:szCs w:val="32"/>
                <w:u w:val="single"/>
              </w:rPr>
            </w:pPr>
          </w:p>
          <w:p w14:paraId="452FC05A">
            <w:pPr>
              <w:spacing w:beforeLines="0" w:afterLines="0"/>
              <w:jc w:val="center"/>
              <w:rPr>
                <w:rFonts w:hint="eastAsia" w:hAnsi="宋体"/>
                <w:color w:val="000000"/>
                <w:sz w:val="32"/>
                <w:szCs w:val="32"/>
              </w:rPr>
            </w:pPr>
            <w:r>
              <w:rPr>
                <w:rFonts w:hint="eastAsia" w:hAnsi="宋体"/>
                <w:color w:val="000000"/>
                <w:sz w:val="32"/>
                <w:szCs w:val="32"/>
              </w:rPr>
              <w:t>中共江西省委政法委员会制</w:t>
            </w:r>
          </w:p>
          <w:p w14:paraId="468297AE">
            <w:pPr>
              <w:spacing w:beforeLines="0" w:afterLines="0"/>
              <w:rPr>
                <w:rFonts w:hint="eastAsia" w:hAnsi="宋体"/>
                <w:color w:val="000000"/>
                <w:sz w:val="32"/>
                <w:szCs w:val="32"/>
                <w:u w:val="single"/>
              </w:rPr>
            </w:pPr>
          </w:p>
          <w:p w14:paraId="757160D4">
            <w:pPr>
              <w:pStyle w:val="44"/>
              <w:rPr>
                <w:vertAlign w:val="baseline"/>
              </w:rPr>
            </w:pPr>
          </w:p>
        </w:tc>
      </w:tr>
    </w:tbl>
    <w:p w14:paraId="0D6F48AC">
      <w:pPr>
        <w:pStyle w:val="44"/>
      </w:pPr>
    </w:p>
    <w:p w14:paraId="48EFF729">
      <w:pPr>
        <w:rPr>
          <w:rFonts w:ascii="宋体" w:hAnsi="宋体" w:eastAsia="宋体"/>
          <w:color w:val="000000" w:themeColor="text1"/>
          <w:sz w:val="32"/>
          <w:szCs w:val="32"/>
          <w:u w:val="single"/>
          <w14:textFill>
            <w14:solidFill>
              <w14:schemeClr w14:val="tx1"/>
            </w14:solidFill>
          </w14:textFill>
        </w:rPr>
      </w:pPr>
    </w:p>
    <w:p w14:paraId="4271AED3">
      <w:pPr>
        <w:pStyle w:val="24"/>
        <w:ind w:left="420"/>
      </w:pPr>
    </w:p>
    <w:p w14:paraId="4601F0FA">
      <w:pPr>
        <w:pStyle w:val="24"/>
        <w:ind w:left="420"/>
      </w:pP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83"/>
        <w:gridCol w:w="278"/>
        <w:gridCol w:w="689"/>
        <w:gridCol w:w="1346"/>
        <w:gridCol w:w="764"/>
        <w:gridCol w:w="1014"/>
        <w:gridCol w:w="404"/>
        <w:gridCol w:w="1163"/>
        <w:gridCol w:w="1681"/>
      </w:tblGrid>
      <w:tr w14:paraId="21A216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3" w:type="dxa"/>
            <w:vAlign w:val="center"/>
          </w:tcPr>
          <w:p w14:paraId="78FFC9F6">
            <w:pPr>
              <w:jc w:val="center"/>
              <w:rPr>
                <w:rFonts w:ascii="宋体" w:hAnsi="宋体" w:eastAsia="宋体"/>
                <w:b/>
                <w:color w:val="000000" w:themeColor="text1"/>
                <w:sz w:val="32"/>
                <w:szCs w:val="32"/>
                <w14:textFill>
                  <w14:solidFill>
                    <w14:schemeClr w14:val="tx1"/>
                  </w14:solidFill>
                </w14:textFill>
              </w:rPr>
            </w:pPr>
            <w:r>
              <w:rPr>
                <w:rFonts w:hint="eastAsia" w:ascii="宋体" w:hAnsi="宋体" w:eastAsia="宋体"/>
                <w:b/>
                <w:color w:val="000000" w:themeColor="text1"/>
                <w:sz w:val="32"/>
                <w:szCs w:val="32"/>
                <w14:textFill>
                  <w14:solidFill>
                    <w14:schemeClr w14:val="tx1"/>
                  </w14:solidFill>
                </w14:textFill>
              </w:rPr>
              <w:t>评估</w:t>
            </w:r>
          </w:p>
          <w:p w14:paraId="46ADA523">
            <w:pPr>
              <w:jc w:val="center"/>
              <w:rPr>
                <w:rFonts w:ascii="宋体" w:hAnsi="宋体" w:eastAsia="宋体"/>
                <w:b/>
                <w:color w:val="000000" w:themeColor="text1"/>
                <w:sz w:val="32"/>
                <w:szCs w:val="32"/>
                <w14:textFill>
                  <w14:solidFill>
                    <w14:schemeClr w14:val="tx1"/>
                  </w14:solidFill>
                </w14:textFill>
              </w:rPr>
            </w:pPr>
            <w:r>
              <w:rPr>
                <w:rFonts w:hint="eastAsia" w:ascii="宋体" w:hAnsi="宋体" w:eastAsia="宋体"/>
                <w:b/>
                <w:color w:val="000000" w:themeColor="text1"/>
                <w:sz w:val="32"/>
                <w:szCs w:val="32"/>
                <w14:textFill>
                  <w14:solidFill>
                    <w14:schemeClr w14:val="tx1"/>
                  </w14:solidFill>
                </w14:textFill>
              </w:rPr>
              <w:t>名称</w:t>
            </w:r>
          </w:p>
        </w:tc>
        <w:tc>
          <w:tcPr>
            <w:tcW w:w="7339" w:type="dxa"/>
            <w:gridSpan w:val="8"/>
            <w:vAlign w:val="center"/>
          </w:tcPr>
          <w:p w14:paraId="0D5FFB93">
            <w:pPr>
              <w:jc w:val="center"/>
              <w:rPr>
                <w:rFonts w:ascii="宋体" w:hAnsi="宋体" w:eastAsia="宋体"/>
                <w:color w:val="000000" w:themeColor="text1"/>
                <w:sz w:val="32"/>
                <w:szCs w:val="32"/>
                <w14:textFill>
                  <w14:solidFill>
                    <w14:schemeClr w14:val="tx1"/>
                  </w14:solidFill>
                </w14:textFill>
              </w:rPr>
            </w:pPr>
          </w:p>
        </w:tc>
      </w:tr>
      <w:tr w14:paraId="2A57E7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3" w:type="dxa"/>
            <w:vMerge w:val="restart"/>
            <w:vAlign w:val="center"/>
          </w:tcPr>
          <w:p w14:paraId="7A9FE8B5">
            <w:pPr>
              <w:jc w:val="center"/>
              <w:rPr>
                <w:rFonts w:ascii="宋体" w:hAnsi="宋体" w:eastAsia="宋体"/>
                <w:b/>
                <w:color w:val="000000" w:themeColor="text1"/>
                <w:sz w:val="32"/>
                <w:szCs w:val="32"/>
                <w14:textFill>
                  <w14:solidFill>
                    <w14:schemeClr w14:val="tx1"/>
                  </w14:solidFill>
                </w14:textFill>
              </w:rPr>
            </w:pPr>
            <w:r>
              <w:rPr>
                <w:rFonts w:hint="eastAsia" w:ascii="宋体" w:hAnsi="宋体" w:eastAsia="宋体"/>
                <w:b/>
                <w:color w:val="000000" w:themeColor="text1"/>
                <w:sz w:val="32"/>
                <w:szCs w:val="32"/>
                <w14:textFill>
                  <w14:solidFill>
                    <w14:schemeClr w14:val="tx1"/>
                  </w14:solidFill>
                </w14:textFill>
              </w:rPr>
              <w:t>评估</w:t>
            </w:r>
          </w:p>
          <w:p w14:paraId="1D9B1DF0">
            <w:pPr>
              <w:jc w:val="center"/>
              <w:rPr>
                <w:rFonts w:ascii="宋体" w:hAnsi="宋体" w:eastAsia="宋体"/>
                <w:b/>
                <w:color w:val="000000" w:themeColor="text1"/>
                <w:sz w:val="32"/>
                <w:szCs w:val="32"/>
                <w14:textFill>
                  <w14:solidFill>
                    <w14:schemeClr w14:val="tx1"/>
                  </w14:solidFill>
                </w14:textFill>
              </w:rPr>
            </w:pPr>
            <w:r>
              <w:rPr>
                <w:rFonts w:hint="eastAsia" w:ascii="宋体" w:hAnsi="宋体" w:eastAsia="宋体"/>
                <w:b/>
                <w:color w:val="000000" w:themeColor="text1"/>
                <w:sz w:val="32"/>
                <w:szCs w:val="32"/>
                <w14:textFill>
                  <w14:solidFill>
                    <w14:schemeClr w14:val="tx1"/>
                  </w14:solidFill>
                </w14:textFill>
              </w:rPr>
              <w:t>主体</w:t>
            </w:r>
          </w:p>
        </w:tc>
        <w:tc>
          <w:tcPr>
            <w:tcW w:w="2313" w:type="dxa"/>
            <w:gridSpan w:val="3"/>
            <w:vAlign w:val="center"/>
          </w:tcPr>
          <w:p w14:paraId="6C892E7E">
            <w:pPr>
              <w:jc w:val="center"/>
              <w:rPr>
                <w:rFonts w:ascii="宋体" w:hAnsi="宋体" w:eastAsia="宋体"/>
                <w:color w:val="000000" w:themeColor="text1"/>
                <w:sz w:val="32"/>
                <w:szCs w:val="32"/>
                <w14:textFill>
                  <w14:solidFill>
                    <w14:schemeClr w14:val="tx1"/>
                  </w14:solidFill>
                </w14:textFill>
              </w:rPr>
            </w:pPr>
            <w:r>
              <w:rPr>
                <w:rFonts w:hint="eastAsia" w:ascii="宋体" w:hAnsi="宋体" w:eastAsia="宋体"/>
                <w:color w:val="000000" w:themeColor="text1"/>
                <w:sz w:val="32"/>
                <w:szCs w:val="32"/>
                <w14:textFill>
                  <w14:solidFill>
                    <w14:schemeClr w14:val="tx1"/>
                  </w14:solidFill>
                </w14:textFill>
              </w:rPr>
              <w:t>单位名称</w:t>
            </w:r>
          </w:p>
        </w:tc>
        <w:tc>
          <w:tcPr>
            <w:tcW w:w="5026" w:type="dxa"/>
            <w:gridSpan w:val="5"/>
            <w:vAlign w:val="center"/>
          </w:tcPr>
          <w:p w14:paraId="67EB481A">
            <w:pPr>
              <w:jc w:val="center"/>
              <w:rPr>
                <w:rFonts w:ascii="宋体" w:hAnsi="宋体" w:eastAsia="宋体"/>
                <w:color w:val="000000" w:themeColor="text1"/>
                <w:sz w:val="32"/>
                <w:szCs w:val="32"/>
                <w14:textFill>
                  <w14:solidFill>
                    <w14:schemeClr w14:val="tx1"/>
                  </w14:solidFill>
                </w14:textFill>
              </w:rPr>
            </w:pPr>
          </w:p>
        </w:tc>
      </w:tr>
      <w:tr w14:paraId="4791E5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3" w:type="dxa"/>
            <w:vMerge w:val="continue"/>
            <w:vAlign w:val="center"/>
          </w:tcPr>
          <w:p w14:paraId="4BF37D92">
            <w:pPr>
              <w:jc w:val="center"/>
              <w:rPr>
                <w:rFonts w:ascii="宋体" w:hAnsi="宋体" w:eastAsia="宋体"/>
                <w:color w:val="000000" w:themeColor="text1"/>
                <w:sz w:val="32"/>
                <w:szCs w:val="32"/>
                <w14:textFill>
                  <w14:solidFill>
                    <w14:schemeClr w14:val="tx1"/>
                  </w14:solidFill>
                </w14:textFill>
              </w:rPr>
            </w:pPr>
          </w:p>
        </w:tc>
        <w:tc>
          <w:tcPr>
            <w:tcW w:w="2313" w:type="dxa"/>
            <w:gridSpan w:val="3"/>
            <w:vAlign w:val="center"/>
          </w:tcPr>
          <w:p w14:paraId="10E25F7D">
            <w:pPr>
              <w:jc w:val="center"/>
              <w:rPr>
                <w:rFonts w:ascii="宋体" w:hAnsi="宋体" w:eastAsia="宋体"/>
                <w:color w:val="000000" w:themeColor="text1"/>
                <w:sz w:val="32"/>
                <w:szCs w:val="32"/>
                <w14:textFill>
                  <w14:solidFill>
                    <w14:schemeClr w14:val="tx1"/>
                  </w14:solidFill>
                </w14:textFill>
              </w:rPr>
            </w:pPr>
            <w:r>
              <w:rPr>
                <w:rFonts w:hint="eastAsia" w:ascii="宋体" w:hAnsi="宋体" w:eastAsia="宋体"/>
                <w:color w:val="000000" w:themeColor="text1"/>
                <w:sz w:val="32"/>
                <w:szCs w:val="32"/>
                <w14:textFill>
                  <w14:solidFill>
                    <w14:schemeClr w14:val="tx1"/>
                  </w14:solidFill>
                </w14:textFill>
              </w:rPr>
              <w:t>负责人</w:t>
            </w:r>
          </w:p>
        </w:tc>
        <w:tc>
          <w:tcPr>
            <w:tcW w:w="1778" w:type="dxa"/>
            <w:gridSpan w:val="2"/>
            <w:vAlign w:val="center"/>
          </w:tcPr>
          <w:p w14:paraId="476D0D6C">
            <w:pPr>
              <w:jc w:val="center"/>
              <w:rPr>
                <w:rFonts w:ascii="宋体" w:hAnsi="宋体" w:eastAsia="宋体"/>
                <w:color w:val="000000" w:themeColor="text1"/>
                <w:sz w:val="32"/>
                <w:szCs w:val="32"/>
                <w14:textFill>
                  <w14:solidFill>
                    <w14:schemeClr w14:val="tx1"/>
                  </w14:solidFill>
                </w14:textFill>
              </w:rPr>
            </w:pPr>
          </w:p>
        </w:tc>
        <w:tc>
          <w:tcPr>
            <w:tcW w:w="1567" w:type="dxa"/>
            <w:gridSpan w:val="2"/>
            <w:vAlign w:val="center"/>
          </w:tcPr>
          <w:p w14:paraId="1563DDFA">
            <w:pPr>
              <w:jc w:val="center"/>
              <w:rPr>
                <w:rFonts w:ascii="宋体" w:hAnsi="宋体" w:eastAsia="宋体"/>
                <w:color w:val="000000" w:themeColor="text1"/>
                <w:sz w:val="32"/>
                <w:szCs w:val="32"/>
                <w14:textFill>
                  <w14:solidFill>
                    <w14:schemeClr w14:val="tx1"/>
                  </w14:solidFill>
                </w14:textFill>
              </w:rPr>
            </w:pPr>
            <w:r>
              <w:rPr>
                <w:rFonts w:hint="eastAsia" w:ascii="宋体" w:hAnsi="宋体" w:eastAsia="宋体"/>
                <w:color w:val="000000" w:themeColor="text1"/>
                <w:sz w:val="32"/>
                <w:szCs w:val="32"/>
                <w14:textFill>
                  <w14:solidFill>
                    <w14:schemeClr w14:val="tx1"/>
                  </w14:solidFill>
                </w14:textFill>
              </w:rPr>
              <w:t>职务</w:t>
            </w:r>
          </w:p>
        </w:tc>
        <w:tc>
          <w:tcPr>
            <w:tcW w:w="1681" w:type="dxa"/>
            <w:vAlign w:val="center"/>
          </w:tcPr>
          <w:p w14:paraId="65648DED">
            <w:pPr>
              <w:jc w:val="center"/>
              <w:rPr>
                <w:rFonts w:ascii="宋体" w:hAnsi="宋体" w:eastAsia="宋体"/>
                <w:color w:val="000000" w:themeColor="text1"/>
                <w:sz w:val="32"/>
                <w:szCs w:val="32"/>
                <w14:textFill>
                  <w14:solidFill>
                    <w14:schemeClr w14:val="tx1"/>
                  </w14:solidFill>
                </w14:textFill>
              </w:rPr>
            </w:pPr>
          </w:p>
        </w:tc>
      </w:tr>
      <w:tr w14:paraId="45C775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3" w:type="dxa"/>
            <w:vMerge w:val="continue"/>
            <w:vAlign w:val="center"/>
          </w:tcPr>
          <w:p w14:paraId="2A29A5B5">
            <w:pPr>
              <w:jc w:val="center"/>
              <w:rPr>
                <w:rFonts w:ascii="宋体" w:hAnsi="宋体" w:eastAsia="宋体"/>
                <w:color w:val="000000" w:themeColor="text1"/>
                <w:sz w:val="32"/>
                <w:szCs w:val="32"/>
                <w14:textFill>
                  <w14:solidFill>
                    <w14:schemeClr w14:val="tx1"/>
                  </w14:solidFill>
                </w14:textFill>
              </w:rPr>
            </w:pPr>
          </w:p>
        </w:tc>
        <w:tc>
          <w:tcPr>
            <w:tcW w:w="2313" w:type="dxa"/>
            <w:gridSpan w:val="3"/>
            <w:vAlign w:val="center"/>
          </w:tcPr>
          <w:p w14:paraId="39FBEB38">
            <w:pPr>
              <w:jc w:val="center"/>
              <w:rPr>
                <w:rFonts w:ascii="宋体" w:hAnsi="宋体" w:eastAsia="宋体"/>
                <w:color w:val="000000" w:themeColor="text1"/>
                <w:sz w:val="32"/>
                <w:szCs w:val="32"/>
                <w14:textFill>
                  <w14:solidFill>
                    <w14:schemeClr w14:val="tx1"/>
                  </w14:solidFill>
                </w14:textFill>
              </w:rPr>
            </w:pPr>
            <w:r>
              <w:rPr>
                <w:rFonts w:hint="eastAsia" w:ascii="宋体" w:hAnsi="宋体" w:eastAsia="宋体"/>
                <w:color w:val="000000" w:themeColor="text1"/>
                <w:sz w:val="32"/>
                <w:szCs w:val="32"/>
                <w14:textFill>
                  <w14:solidFill>
                    <w14:schemeClr w14:val="tx1"/>
                  </w14:solidFill>
                </w14:textFill>
              </w:rPr>
              <w:t>联系人</w:t>
            </w:r>
          </w:p>
        </w:tc>
        <w:tc>
          <w:tcPr>
            <w:tcW w:w="1778" w:type="dxa"/>
            <w:gridSpan w:val="2"/>
            <w:vAlign w:val="center"/>
          </w:tcPr>
          <w:p w14:paraId="2F58F846">
            <w:pPr>
              <w:jc w:val="center"/>
              <w:rPr>
                <w:rFonts w:ascii="宋体" w:hAnsi="宋体" w:eastAsia="宋体"/>
                <w:color w:val="000000" w:themeColor="text1"/>
                <w:sz w:val="32"/>
                <w:szCs w:val="32"/>
                <w14:textFill>
                  <w14:solidFill>
                    <w14:schemeClr w14:val="tx1"/>
                  </w14:solidFill>
                </w14:textFill>
              </w:rPr>
            </w:pPr>
          </w:p>
        </w:tc>
        <w:tc>
          <w:tcPr>
            <w:tcW w:w="1567" w:type="dxa"/>
            <w:gridSpan w:val="2"/>
            <w:vAlign w:val="center"/>
          </w:tcPr>
          <w:p w14:paraId="00BBF0EB">
            <w:pPr>
              <w:jc w:val="center"/>
              <w:rPr>
                <w:rFonts w:ascii="宋体" w:hAnsi="宋体" w:eastAsia="宋体"/>
                <w:color w:val="000000" w:themeColor="text1"/>
                <w:sz w:val="32"/>
                <w:szCs w:val="32"/>
                <w14:textFill>
                  <w14:solidFill>
                    <w14:schemeClr w14:val="tx1"/>
                  </w14:solidFill>
                </w14:textFill>
              </w:rPr>
            </w:pPr>
            <w:r>
              <w:rPr>
                <w:rFonts w:hint="eastAsia" w:ascii="宋体" w:hAnsi="宋体" w:eastAsia="宋体"/>
                <w:color w:val="000000" w:themeColor="text1"/>
                <w:sz w:val="32"/>
                <w:szCs w:val="32"/>
                <w14:textFill>
                  <w14:solidFill>
                    <w14:schemeClr w14:val="tx1"/>
                  </w14:solidFill>
                </w14:textFill>
              </w:rPr>
              <w:t>联系方式</w:t>
            </w:r>
          </w:p>
        </w:tc>
        <w:tc>
          <w:tcPr>
            <w:tcW w:w="1681" w:type="dxa"/>
            <w:vAlign w:val="center"/>
          </w:tcPr>
          <w:p w14:paraId="3B152665">
            <w:pPr>
              <w:jc w:val="center"/>
              <w:rPr>
                <w:rFonts w:ascii="宋体" w:hAnsi="宋体" w:eastAsia="宋体"/>
                <w:color w:val="000000" w:themeColor="text1"/>
                <w:sz w:val="32"/>
                <w:szCs w:val="32"/>
                <w14:textFill>
                  <w14:solidFill>
                    <w14:schemeClr w14:val="tx1"/>
                  </w14:solidFill>
                </w14:textFill>
              </w:rPr>
            </w:pPr>
          </w:p>
        </w:tc>
      </w:tr>
      <w:tr w14:paraId="2DFDBB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1" w:hRule="atLeast"/>
        </w:trPr>
        <w:tc>
          <w:tcPr>
            <w:tcW w:w="1183" w:type="dxa"/>
            <w:vMerge w:val="restart"/>
            <w:vAlign w:val="center"/>
          </w:tcPr>
          <w:p w14:paraId="2B489ADE">
            <w:pPr>
              <w:jc w:val="center"/>
              <w:rPr>
                <w:rFonts w:ascii="宋体" w:hAnsi="宋体" w:eastAsia="宋体"/>
                <w:b/>
                <w:color w:val="000000" w:themeColor="text1"/>
                <w:sz w:val="32"/>
                <w:szCs w:val="32"/>
                <w14:textFill>
                  <w14:solidFill>
                    <w14:schemeClr w14:val="tx1"/>
                  </w14:solidFill>
                </w14:textFill>
              </w:rPr>
            </w:pPr>
            <w:r>
              <w:rPr>
                <w:rFonts w:hint="eastAsia" w:ascii="宋体" w:hAnsi="宋体" w:eastAsia="宋体"/>
                <w:b/>
                <w:color w:val="000000" w:themeColor="text1"/>
                <w:sz w:val="32"/>
                <w:szCs w:val="32"/>
                <w14:textFill>
                  <w14:solidFill>
                    <w14:schemeClr w14:val="tx1"/>
                  </w14:solidFill>
                </w14:textFill>
              </w:rPr>
              <w:t>受托评估机构</w:t>
            </w:r>
          </w:p>
        </w:tc>
        <w:tc>
          <w:tcPr>
            <w:tcW w:w="2313" w:type="dxa"/>
            <w:gridSpan w:val="3"/>
            <w:vAlign w:val="center"/>
          </w:tcPr>
          <w:p w14:paraId="22B4334D">
            <w:pPr>
              <w:jc w:val="center"/>
              <w:rPr>
                <w:rFonts w:ascii="宋体" w:hAnsi="宋体" w:eastAsia="宋体"/>
                <w:color w:val="000000" w:themeColor="text1"/>
                <w:sz w:val="32"/>
                <w:szCs w:val="32"/>
                <w14:textFill>
                  <w14:solidFill>
                    <w14:schemeClr w14:val="tx1"/>
                  </w14:solidFill>
                </w14:textFill>
              </w:rPr>
            </w:pPr>
            <w:r>
              <w:rPr>
                <w:rFonts w:hint="eastAsia" w:ascii="宋体" w:hAnsi="宋体" w:eastAsia="宋体"/>
                <w:color w:val="000000" w:themeColor="text1"/>
                <w:sz w:val="32"/>
                <w:szCs w:val="32"/>
                <w14:textFill>
                  <w14:solidFill>
                    <w14:schemeClr w14:val="tx1"/>
                  </w14:solidFill>
                </w14:textFill>
              </w:rPr>
              <w:t>机构名称</w:t>
            </w:r>
          </w:p>
        </w:tc>
        <w:tc>
          <w:tcPr>
            <w:tcW w:w="5026" w:type="dxa"/>
            <w:gridSpan w:val="5"/>
            <w:vAlign w:val="center"/>
          </w:tcPr>
          <w:p w14:paraId="52404E77">
            <w:pPr>
              <w:jc w:val="center"/>
              <w:rPr>
                <w:rFonts w:ascii="宋体" w:hAnsi="宋体" w:eastAsia="宋体"/>
                <w:color w:val="000000" w:themeColor="text1"/>
                <w:sz w:val="32"/>
                <w:szCs w:val="32"/>
                <w14:textFill>
                  <w14:solidFill>
                    <w14:schemeClr w14:val="tx1"/>
                  </w14:solidFill>
                </w14:textFill>
              </w:rPr>
            </w:pPr>
          </w:p>
        </w:tc>
      </w:tr>
      <w:tr w14:paraId="48B81E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3" w:type="dxa"/>
            <w:vMerge w:val="continue"/>
            <w:vAlign w:val="center"/>
          </w:tcPr>
          <w:p w14:paraId="3CA9FD30">
            <w:pPr>
              <w:jc w:val="center"/>
              <w:rPr>
                <w:rFonts w:ascii="宋体" w:hAnsi="宋体" w:eastAsia="宋体"/>
                <w:b/>
                <w:color w:val="000000" w:themeColor="text1"/>
                <w:sz w:val="32"/>
                <w:szCs w:val="32"/>
                <w14:textFill>
                  <w14:solidFill>
                    <w14:schemeClr w14:val="tx1"/>
                  </w14:solidFill>
                </w14:textFill>
              </w:rPr>
            </w:pPr>
          </w:p>
        </w:tc>
        <w:tc>
          <w:tcPr>
            <w:tcW w:w="2313" w:type="dxa"/>
            <w:gridSpan w:val="3"/>
            <w:vAlign w:val="center"/>
          </w:tcPr>
          <w:p w14:paraId="0FF63197">
            <w:pPr>
              <w:jc w:val="center"/>
              <w:rPr>
                <w:rFonts w:ascii="宋体" w:hAnsi="宋体" w:eastAsia="宋体"/>
                <w:color w:val="000000" w:themeColor="text1"/>
                <w:sz w:val="32"/>
                <w:szCs w:val="32"/>
                <w14:textFill>
                  <w14:solidFill>
                    <w14:schemeClr w14:val="tx1"/>
                  </w14:solidFill>
                </w14:textFill>
              </w:rPr>
            </w:pPr>
            <w:r>
              <w:rPr>
                <w:rFonts w:hint="eastAsia" w:ascii="宋体" w:hAnsi="宋体" w:eastAsia="宋体"/>
                <w:color w:val="000000" w:themeColor="text1"/>
                <w:sz w:val="32"/>
                <w:szCs w:val="32"/>
                <w14:textFill>
                  <w14:solidFill>
                    <w14:schemeClr w14:val="tx1"/>
                  </w14:solidFill>
                </w14:textFill>
              </w:rPr>
              <w:t>联系人</w:t>
            </w:r>
          </w:p>
        </w:tc>
        <w:tc>
          <w:tcPr>
            <w:tcW w:w="1778" w:type="dxa"/>
            <w:gridSpan w:val="2"/>
            <w:vAlign w:val="center"/>
          </w:tcPr>
          <w:p w14:paraId="602BB144">
            <w:pPr>
              <w:jc w:val="center"/>
              <w:rPr>
                <w:rFonts w:ascii="宋体" w:hAnsi="宋体" w:eastAsia="宋体"/>
                <w:color w:val="000000" w:themeColor="text1"/>
                <w:sz w:val="32"/>
                <w:szCs w:val="32"/>
                <w14:textFill>
                  <w14:solidFill>
                    <w14:schemeClr w14:val="tx1"/>
                  </w14:solidFill>
                </w14:textFill>
              </w:rPr>
            </w:pPr>
          </w:p>
        </w:tc>
        <w:tc>
          <w:tcPr>
            <w:tcW w:w="1567" w:type="dxa"/>
            <w:gridSpan w:val="2"/>
            <w:vAlign w:val="center"/>
          </w:tcPr>
          <w:p w14:paraId="6E842D32">
            <w:pPr>
              <w:jc w:val="center"/>
              <w:rPr>
                <w:rFonts w:ascii="宋体" w:hAnsi="宋体" w:eastAsia="宋体"/>
                <w:color w:val="000000" w:themeColor="text1"/>
                <w:sz w:val="32"/>
                <w:szCs w:val="32"/>
                <w14:textFill>
                  <w14:solidFill>
                    <w14:schemeClr w14:val="tx1"/>
                  </w14:solidFill>
                </w14:textFill>
              </w:rPr>
            </w:pPr>
            <w:r>
              <w:rPr>
                <w:rFonts w:hint="eastAsia" w:ascii="宋体" w:hAnsi="宋体" w:eastAsia="宋体"/>
                <w:color w:val="000000" w:themeColor="text1"/>
                <w:sz w:val="32"/>
                <w:szCs w:val="32"/>
                <w14:textFill>
                  <w14:solidFill>
                    <w14:schemeClr w14:val="tx1"/>
                  </w14:solidFill>
                </w14:textFill>
              </w:rPr>
              <w:t>联系方式</w:t>
            </w:r>
          </w:p>
        </w:tc>
        <w:tc>
          <w:tcPr>
            <w:tcW w:w="1681" w:type="dxa"/>
            <w:vAlign w:val="center"/>
          </w:tcPr>
          <w:p w14:paraId="044A78BF">
            <w:pPr>
              <w:jc w:val="center"/>
              <w:rPr>
                <w:rFonts w:ascii="宋体" w:hAnsi="宋体" w:eastAsia="宋体"/>
                <w:color w:val="000000" w:themeColor="text1"/>
                <w:sz w:val="32"/>
                <w:szCs w:val="32"/>
                <w14:textFill>
                  <w14:solidFill>
                    <w14:schemeClr w14:val="tx1"/>
                  </w14:solidFill>
                </w14:textFill>
              </w:rPr>
            </w:pPr>
          </w:p>
        </w:tc>
      </w:tr>
      <w:tr w14:paraId="03A7D5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1" w:hRule="atLeast"/>
        </w:trPr>
        <w:tc>
          <w:tcPr>
            <w:tcW w:w="1183" w:type="dxa"/>
          </w:tcPr>
          <w:p w14:paraId="000876EE">
            <w:pPr>
              <w:jc w:val="center"/>
              <w:rPr>
                <w:rFonts w:ascii="宋体" w:hAnsi="宋体" w:eastAsia="宋体"/>
                <w:b/>
                <w:color w:val="000000" w:themeColor="text1"/>
                <w:sz w:val="32"/>
                <w:szCs w:val="32"/>
                <w14:textFill>
                  <w14:solidFill>
                    <w14:schemeClr w14:val="tx1"/>
                  </w14:solidFill>
                </w14:textFill>
              </w:rPr>
            </w:pPr>
          </w:p>
          <w:p w14:paraId="2ED54B95">
            <w:pPr>
              <w:jc w:val="center"/>
              <w:rPr>
                <w:rFonts w:ascii="宋体" w:hAnsi="宋体" w:eastAsia="宋体"/>
                <w:b/>
                <w:color w:val="000000" w:themeColor="text1"/>
                <w:sz w:val="32"/>
                <w:szCs w:val="32"/>
                <w14:textFill>
                  <w14:solidFill>
                    <w14:schemeClr w14:val="tx1"/>
                  </w14:solidFill>
                </w14:textFill>
              </w:rPr>
            </w:pPr>
            <w:r>
              <w:rPr>
                <w:rFonts w:hint="eastAsia" w:ascii="宋体" w:hAnsi="宋体" w:eastAsia="宋体"/>
                <w:b/>
                <w:color w:val="000000" w:themeColor="text1"/>
                <w:sz w:val="32"/>
                <w:szCs w:val="32"/>
                <w14:textFill>
                  <w14:solidFill>
                    <w14:schemeClr w14:val="tx1"/>
                  </w14:solidFill>
                </w14:textFill>
              </w:rPr>
              <w:t>评估</w:t>
            </w:r>
          </w:p>
          <w:p w14:paraId="7CE5A9C4">
            <w:pPr>
              <w:jc w:val="center"/>
              <w:rPr>
                <w:rFonts w:ascii="宋体" w:hAnsi="宋体" w:eastAsia="宋体"/>
                <w:b/>
                <w:color w:val="000000" w:themeColor="text1"/>
                <w:sz w:val="32"/>
                <w:szCs w:val="32"/>
                <w14:textFill>
                  <w14:solidFill>
                    <w14:schemeClr w14:val="tx1"/>
                  </w14:solidFill>
                </w14:textFill>
              </w:rPr>
            </w:pPr>
            <w:r>
              <w:rPr>
                <w:rFonts w:hint="eastAsia" w:ascii="宋体" w:hAnsi="宋体" w:eastAsia="宋体"/>
                <w:b/>
                <w:color w:val="000000" w:themeColor="text1"/>
                <w:sz w:val="32"/>
                <w:szCs w:val="32"/>
                <w14:textFill>
                  <w14:solidFill>
                    <w14:schemeClr w14:val="tx1"/>
                  </w14:solidFill>
                </w14:textFill>
              </w:rPr>
              <w:t>事项</w:t>
            </w:r>
          </w:p>
          <w:p w14:paraId="580AD307">
            <w:pPr>
              <w:jc w:val="center"/>
              <w:rPr>
                <w:rFonts w:ascii="宋体" w:hAnsi="宋体" w:eastAsia="宋体"/>
                <w:b/>
                <w:color w:val="000000" w:themeColor="text1"/>
                <w:sz w:val="32"/>
                <w:szCs w:val="32"/>
                <w14:textFill>
                  <w14:solidFill>
                    <w14:schemeClr w14:val="tx1"/>
                  </w14:solidFill>
                </w14:textFill>
              </w:rPr>
            </w:pPr>
            <w:r>
              <w:rPr>
                <w:rFonts w:hint="eastAsia" w:ascii="宋体" w:hAnsi="宋体" w:eastAsia="宋体"/>
                <w:b/>
                <w:color w:val="000000" w:themeColor="text1"/>
                <w:sz w:val="32"/>
                <w:szCs w:val="32"/>
                <w14:textFill>
                  <w14:solidFill>
                    <w14:schemeClr w14:val="tx1"/>
                  </w14:solidFill>
                </w14:textFill>
              </w:rPr>
              <w:t>概况</w:t>
            </w:r>
          </w:p>
          <w:p w14:paraId="790CBB9A">
            <w:pPr>
              <w:jc w:val="center"/>
              <w:rPr>
                <w:rFonts w:ascii="宋体" w:hAnsi="宋体" w:eastAsia="宋体"/>
                <w:b/>
                <w:color w:val="000000" w:themeColor="text1"/>
                <w:sz w:val="32"/>
                <w:szCs w:val="32"/>
                <w14:textFill>
                  <w14:solidFill>
                    <w14:schemeClr w14:val="tx1"/>
                  </w14:solidFill>
                </w14:textFill>
              </w:rPr>
            </w:pPr>
            <w:r>
              <w:rPr>
                <w:rFonts w:hint="eastAsia" w:ascii="宋体" w:hAnsi="宋体" w:eastAsia="宋体"/>
                <w:b/>
                <w:color w:val="000000" w:themeColor="text1"/>
                <w:sz w:val="32"/>
                <w:szCs w:val="32"/>
                <w14:textFill>
                  <w14:solidFill>
                    <w14:schemeClr w14:val="tx1"/>
                  </w14:solidFill>
                </w14:textFill>
              </w:rPr>
              <w:t>及工</w:t>
            </w:r>
          </w:p>
          <w:p w14:paraId="54CE8F0A">
            <w:pPr>
              <w:jc w:val="center"/>
              <w:rPr>
                <w:rFonts w:ascii="宋体" w:hAnsi="宋体" w:eastAsia="宋体"/>
                <w:b/>
                <w:color w:val="000000" w:themeColor="text1"/>
                <w:sz w:val="32"/>
                <w:szCs w:val="32"/>
                <w14:textFill>
                  <w14:solidFill>
                    <w14:schemeClr w14:val="tx1"/>
                  </w14:solidFill>
                </w14:textFill>
              </w:rPr>
            </w:pPr>
            <w:r>
              <w:rPr>
                <w:rFonts w:hint="eastAsia" w:ascii="宋体" w:hAnsi="宋体" w:eastAsia="宋体"/>
                <w:b/>
                <w:color w:val="000000" w:themeColor="text1"/>
                <w:sz w:val="32"/>
                <w:szCs w:val="32"/>
                <w14:textFill>
                  <w14:solidFill>
                    <w14:schemeClr w14:val="tx1"/>
                  </w14:solidFill>
                </w14:textFill>
              </w:rPr>
              <w:t>作概</w:t>
            </w:r>
          </w:p>
          <w:p w14:paraId="469B1E56">
            <w:pPr>
              <w:jc w:val="center"/>
              <w:rPr>
                <w:rFonts w:ascii="宋体" w:hAnsi="宋体" w:eastAsia="宋体"/>
                <w:b/>
                <w:color w:val="000000" w:themeColor="text1"/>
                <w:sz w:val="32"/>
                <w:szCs w:val="32"/>
                <w14:textFill>
                  <w14:solidFill>
                    <w14:schemeClr w14:val="tx1"/>
                  </w14:solidFill>
                </w14:textFill>
              </w:rPr>
            </w:pPr>
            <w:r>
              <w:rPr>
                <w:rFonts w:hint="eastAsia" w:ascii="宋体" w:hAnsi="宋体" w:eastAsia="宋体"/>
                <w:b/>
                <w:color w:val="000000" w:themeColor="text1"/>
                <w:sz w:val="32"/>
                <w:szCs w:val="32"/>
                <w14:textFill>
                  <w14:solidFill>
                    <w14:schemeClr w14:val="tx1"/>
                  </w14:solidFill>
                </w14:textFill>
              </w:rPr>
              <w:t>述</w:t>
            </w:r>
          </w:p>
        </w:tc>
        <w:tc>
          <w:tcPr>
            <w:tcW w:w="7339" w:type="dxa"/>
            <w:gridSpan w:val="8"/>
          </w:tcPr>
          <w:p w14:paraId="1D373D7D">
            <w:pPr>
              <w:jc w:val="left"/>
              <w:rPr>
                <w:rFonts w:ascii="宋体" w:hAnsi="宋体" w:eastAsia="宋体"/>
                <w:color w:val="000000" w:themeColor="text1"/>
                <w:sz w:val="32"/>
                <w:szCs w:val="32"/>
                <w14:textFill>
                  <w14:solidFill>
                    <w14:schemeClr w14:val="tx1"/>
                  </w14:solidFill>
                </w14:textFill>
              </w:rPr>
            </w:pPr>
          </w:p>
          <w:p w14:paraId="30AA8D69">
            <w:pPr>
              <w:jc w:val="left"/>
              <w:rPr>
                <w:rFonts w:ascii="宋体" w:hAnsi="宋体" w:eastAsia="宋体"/>
                <w:color w:val="000000" w:themeColor="text1"/>
                <w:sz w:val="32"/>
                <w:szCs w:val="32"/>
                <w14:textFill>
                  <w14:solidFill>
                    <w14:schemeClr w14:val="tx1"/>
                  </w14:solidFill>
                </w14:textFill>
              </w:rPr>
            </w:pPr>
          </w:p>
          <w:p w14:paraId="699B8D11">
            <w:pPr>
              <w:jc w:val="left"/>
              <w:rPr>
                <w:rFonts w:ascii="宋体" w:hAnsi="宋体" w:eastAsia="宋体"/>
                <w:color w:val="000000" w:themeColor="text1"/>
                <w:sz w:val="32"/>
                <w:szCs w:val="32"/>
                <w14:textFill>
                  <w14:solidFill>
                    <w14:schemeClr w14:val="tx1"/>
                  </w14:solidFill>
                </w14:textFill>
              </w:rPr>
            </w:pPr>
          </w:p>
          <w:p w14:paraId="610FDF8D">
            <w:pPr>
              <w:jc w:val="left"/>
              <w:rPr>
                <w:rFonts w:ascii="宋体" w:hAnsi="宋体" w:eastAsia="宋体"/>
                <w:color w:val="000000" w:themeColor="text1"/>
                <w:sz w:val="32"/>
                <w:szCs w:val="32"/>
                <w14:textFill>
                  <w14:solidFill>
                    <w14:schemeClr w14:val="tx1"/>
                  </w14:solidFill>
                </w14:textFill>
              </w:rPr>
            </w:pPr>
          </w:p>
          <w:p w14:paraId="22CD9EBF">
            <w:pPr>
              <w:jc w:val="left"/>
              <w:rPr>
                <w:rFonts w:ascii="宋体" w:hAnsi="宋体" w:eastAsia="宋体"/>
                <w:color w:val="000000" w:themeColor="text1"/>
                <w:sz w:val="32"/>
                <w:szCs w:val="32"/>
                <w14:textFill>
                  <w14:solidFill>
                    <w14:schemeClr w14:val="tx1"/>
                  </w14:solidFill>
                </w14:textFill>
              </w:rPr>
            </w:pPr>
          </w:p>
          <w:p w14:paraId="3C5DC372">
            <w:pPr>
              <w:jc w:val="left"/>
              <w:rPr>
                <w:rFonts w:ascii="宋体" w:hAnsi="宋体" w:eastAsia="宋体"/>
                <w:color w:val="000000" w:themeColor="text1"/>
                <w:sz w:val="32"/>
                <w:szCs w:val="32"/>
                <w14:textFill>
                  <w14:solidFill>
                    <w14:schemeClr w14:val="tx1"/>
                  </w14:solidFill>
                </w14:textFill>
              </w:rPr>
            </w:pPr>
          </w:p>
          <w:p w14:paraId="3E2C8CDF">
            <w:pPr>
              <w:jc w:val="left"/>
              <w:rPr>
                <w:rFonts w:ascii="宋体" w:hAnsi="宋体" w:eastAsia="宋体"/>
                <w:color w:val="000000" w:themeColor="text1"/>
                <w:sz w:val="32"/>
                <w:szCs w:val="32"/>
                <w14:textFill>
                  <w14:solidFill>
                    <w14:schemeClr w14:val="tx1"/>
                  </w14:solidFill>
                </w14:textFill>
              </w:rPr>
            </w:pPr>
          </w:p>
        </w:tc>
      </w:tr>
      <w:tr w14:paraId="2712CA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3" w:hRule="atLeast"/>
        </w:trPr>
        <w:tc>
          <w:tcPr>
            <w:tcW w:w="1183" w:type="dxa"/>
          </w:tcPr>
          <w:p w14:paraId="1AB9416F">
            <w:pPr>
              <w:jc w:val="center"/>
              <w:rPr>
                <w:rFonts w:ascii="宋体" w:hAnsi="宋体" w:eastAsia="宋体"/>
                <w:b/>
                <w:color w:val="000000" w:themeColor="text1"/>
                <w:sz w:val="32"/>
                <w:szCs w:val="32"/>
                <w14:textFill>
                  <w14:solidFill>
                    <w14:schemeClr w14:val="tx1"/>
                  </w14:solidFill>
                </w14:textFill>
              </w:rPr>
            </w:pPr>
            <w:r>
              <w:rPr>
                <w:rFonts w:hint="eastAsia" w:ascii="宋体" w:hAnsi="宋体" w:eastAsia="宋体"/>
                <w:b/>
                <w:color w:val="000000" w:themeColor="text1"/>
                <w:sz w:val="32"/>
                <w:szCs w:val="32"/>
                <w14:textFill>
                  <w14:solidFill>
                    <w14:schemeClr w14:val="tx1"/>
                  </w14:solidFill>
                </w14:textFill>
              </w:rPr>
              <w:t>利</w:t>
            </w:r>
          </w:p>
          <w:p w14:paraId="026A0B46">
            <w:pPr>
              <w:jc w:val="center"/>
              <w:rPr>
                <w:rFonts w:ascii="宋体" w:hAnsi="宋体" w:eastAsia="宋体"/>
                <w:b/>
                <w:color w:val="000000" w:themeColor="text1"/>
                <w:sz w:val="32"/>
                <w:szCs w:val="32"/>
                <w14:textFill>
                  <w14:solidFill>
                    <w14:schemeClr w14:val="tx1"/>
                  </w14:solidFill>
                </w14:textFill>
              </w:rPr>
            </w:pPr>
            <w:r>
              <w:rPr>
                <w:rFonts w:hint="eastAsia" w:ascii="宋体" w:hAnsi="宋体" w:eastAsia="宋体"/>
                <w:b/>
                <w:color w:val="000000" w:themeColor="text1"/>
                <w:sz w:val="32"/>
                <w:szCs w:val="32"/>
                <w14:textFill>
                  <w14:solidFill>
                    <w14:schemeClr w14:val="tx1"/>
                  </w14:solidFill>
                </w14:textFill>
              </w:rPr>
              <w:t>益</w:t>
            </w:r>
          </w:p>
          <w:p w14:paraId="655D9A61">
            <w:pPr>
              <w:jc w:val="center"/>
              <w:rPr>
                <w:rFonts w:ascii="宋体" w:hAnsi="宋体" w:eastAsia="宋体"/>
                <w:b/>
                <w:color w:val="000000" w:themeColor="text1"/>
                <w:sz w:val="32"/>
                <w:szCs w:val="32"/>
                <w14:textFill>
                  <w14:solidFill>
                    <w14:schemeClr w14:val="tx1"/>
                  </w14:solidFill>
                </w14:textFill>
              </w:rPr>
            </w:pPr>
            <w:r>
              <w:rPr>
                <w:rFonts w:hint="eastAsia" w:ascii="宋体" w:hAnsi="宋体" w:eastAsia="宋体"/>
                <w:b/>
                <w:color w:val="000000" w:themeColor="text1"/>
                <w:sz w:val="32"/>
                <w:szCs w:val="32"/>
                <w14:textFill>
                  <w14:solidFill>
                    <w14:schemeClr w14:val="tx1"/>
                  </w14:solidFill>
                </w14:textFill>
              </w:rPr>
              <w:t>相</w:t>
            </w:r>
          </w:p>
          <w:p w14:paraId="5D2CBB83">
            <w:pPr>
              <w:jc w:val="center"/>
              <w:rPr>
                <w:rFonts w:ascii="宋体" w:hAnsi="宋体" w:eastAsia="宋体"/>
                <w:b/>
                <w:color w:val="000000" w:themeColor="text1"/>
                <w:sz w:val="32"/>
                <w:szCs w:val="32"/>
                <w14:textFill>
                  <w14:solidFill>
                    <w14:schemeClr w14:val="tx1"/>
                  </w14:solidFill>
                </w14:textFill>
              </w:rPr>
            </w:pPr>
            <w:r>
              <w:rPr>
                <w:rFonts w:hint="eastAsia" w:ascii="宋体" w:hAnsi="宋体" w:eastAsia="宋体"/>
                <w:b/>
                <w:color w:val="000000" w:themeColor="text1"/>
                <w:sz w:val="32"/>
                <w:szCs w:val="32"/>
                <w14:textFill>
                  <w14:solidFill>
                    <w14:schemeClr w14:val="tx1"/>
                  </w14:solidFill>
                </w14:textFill>
              </w:rPr>
              <w:t>关</w:t>
            </w:r>
          </w:p>
          <w:p w14:paraId="713DFF98">
            <w:pPr>
              <w:jc w:val="center"/>
              <w:rPr>
                <w:rFonts w:ascii="宋体" w:hAnsi="宋体" w:eastAsia="宋体"/>
                <w:b/>
                <w:color w:val="000000" w:themeColor="text1"/>
                <w:sz w:val="32"/>
                <w:szCs w:val="32"/>
                <w14:textFill>
                  <w14:solidFill>
                    <w14:schemeClr w14:val="tx1"/>
                  </w14:solidFill>
                </w14:textFill>
              </w:rPr>
            </w:pPr>
            <w:r>
              <w:rPr>
                <w:rFonts w:hint="eastAsia" w:ascii="宋体" w:hAnsi="宋体" w:eastAsia="宋体"/>
                <w:b/>
                <w:color w:val="000000" w:themeColor="text1"/>
                <w:sz w:val="32"/>
                <w:szCs w:val="32"/>
                <w14:textFill>
                  <w14:solidFill>
                    <w14:schemeClr w14:val="tx1"/>
                  </w14:solidFill>
                </w14:textFill>
              </w:rPr>
              <w:t>者</w:t>
            </w:r>
          </w:p>
          <w:p w14:paraId="1FDDA6E1">
            <w:pPr>
              <w:jc w:val="center"/>
              <w:rPr>
                <w:rFonts w:ascii="宋体" w:hAnsi="宋体" w:eastAsia="宋体"/>
                <w:b/>
                <w:color w:val="000000" w:themeColor="text1"/>
                <w:sz w:val="32"/>
                <w:szCs w:val="32"/>
                <w14:textFill>
                  <w14:solidFill>
                    <w14:schemeClr w14:val="tx1"/>
                  </w14:solidFill>
                </w14:textFill>
              </w:rPr>
            </w:pPr>
            <w:r>
              <w:rPr>
                <w:rFonts w:hint="eastAsia" w:ascii="宋体" w:hAnsi="宋体" w:eastAsia="宋体"/>
                <w:b/>
                <w:color w:val="000000" w:themeColor="text1"/>
                <w:sz w:val="32"/>
                <w:szCs w:val="32"/>
                <w14:textFill>
                  <w14:solidFill>
                    <w14:schemeClr w14:val="tx1"/>
                  </w14:solidFill>
                </w14:textFill>
              </w:rPr>
              <w:t>情</w:t>
            </w:r>
          </w:p>
          <w:p w14:paraId="3A7150B4">
            <w:pPr>
              <w:jc w:val="center"/>
              <w:rPr>
                <w:rFonts w:ascii="宋体" w:hAnsi="宋体" w:eastAsia="宋体"/>
                <w:b/>
                <w:color w:val="000000" w:themeColor="text1"/>
                <w:sz w:val="32"/>
                <w:szCs w:val="32"/>
                <w14:textFill>
                  <w14:solidFill>
                    <w14:schemeClr w14:val="tx1"/>
                  </w14:solidFill>
                </w14:textFill>
              </w:rPr>
            </w:pPr>
            <w:r>
              <w:rPr>
                <w:rFonts w:hint="eastAsia" w:ascii="宋体" w:hAnsi="宋体" w:eastAsia="宋体"/>
                <w:b/>
                <w:color w:val="000000" w:themeColor="text1"/>
                <w:sz w:val="32"/>
                <w:szCs w:val="32"/>
                <w14:textFill>
                  <w14:solidFill>
                    <w14:schemeClr w14:val="tx1"/>
                  </w14:solidFill>
                </w14:textFill>
              </w:rPr>
              <w:t>况</w:t>
            </w:r>
          </w:p>
          <w:p w14:paraId="12D298D9">
            <w:pPr>
              <w:jc w:val="center"/>
              <w:rPr>
                <w:rFonts w:ascii="宋体" w:hAnsi="宋体" w:eastAsia="宋体"/>
                <w:b/>
                <w:color w:val="000000" w:themeColor="text1"/>
                <w:sz w:val="32"/>
                <w:szCs w:val="32"/>
                <w14:textFill>
                  <w14:solidFill>
                    <w14:schemeClr w14:val="tx1"/>
                  </w14:solidFill>
                </w14:textFill>
              </w:rPr>
            </w:pPr>
          </w:p>
        </w:tc>
        <w:tc>
          <w:tcPr>
            <w:tcW w:w="7339" w:type="dxa"/>
            <w:gridSpan w:val="8"/>
          </w:tcPr>
          <w:p w14:paraId="4ED0C25B">
            <w:pPr>
              <w:jc w:val="left"/>
              <w:rPr>
                <w:rFonts w:ascii="宋体" w:hAnsi="宋体" w:eastAsia="宋体"/>
                <w:color w:val="000000" w:themeColor="text1"/>
                <w:sz w:val="32"/>
                <w:szCs w:val="32"/>
                <w14:textFill>
                  <w14:solidFill>
                    <w14:schemeClr w14:val="tx1"/>
                  </w14:solidFill>
                </w14:textFill>
              </w:rPr>
            </w:pPr>
          </w:p>
        </w:tc>
      </w:tr>
      <w:tr w14:paraId="359C8A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3" w:hRule="atLeast"/>
        </w:trPr>
        <w:tc>
          <w:tcPr>
            <w:tcW w:w="1183" w:type="dxa"/>
            <w:vMerge w:val="restart"/>
          </w:tcPr>
          <w:p w14:paraId="25BC9976">
            <w:pPr>
              <w:jc w:val="center"/>
              <w:rPr>
                <w:rFonts w:ascii="宋体" w:hAnsi="宋体" w:eastAsia="宋体"/>
                <w:b/>
                <w:color w:val="000000" w:themeColor="text1"/>
                <w:sz w:val="32"/>
                <w:szCs w:val="32"/>
                <w14:textFill>
                  <w14:solidFill>
                    <w14:schemeClr w14:val="tx1"/>
                  </w14:solidFill>
                </w14:textFill>
              </w:rPr>
            </w:pPr>
          </w:p>
          <w:p w14:paraId="018AF9ED">
            <w:pPr>
              <w:jc w:val="center"/>
              <w:rPr>
                <w:rFonts w:ascii="宋体" w:hAnsi="宋体" w:eastAsia="宋体"/>
                <w:b/>
                <w:color w:val="000000" w:themeColor="text1"/>
                <w:sz w:val="32"/>
                <w:szCs w:val="32"/>
                <w14:textFill>
                  <w14:solidFill>
                    <w14:schemeClr w14:val="tx1"/>
                  </w14:solidFill>
                </w14:textFill>
              </w:rPr>
            </w:pPr>
          </w:p>
          <w:p w14:paraId="4571C4AE">
            <w:pPr>
              <w:jc w:val="center"/>
              <w:rPr>
                <w:rFonts w:ascii="宋体" w:hAnsi="宋体" w:eastAsia="宋体"/>
                <w:b/>
                <w:color w:val="000000" w:themeColor="text1"/>
                <w:sz w:val="32"/>
                <w:szCs w:val="32"/>
                <w14:textFill>
                  <w14:solidFill>
                    <w14:schemeClr w14:val="tx1"/>
                  </w14:solidFill>
                </w14:textFill>
              </w:rPr>
            </w:pPr>
          </w:p>
          <w:p w14:paraId="32E93BBF">
            <w:pPr>
              <w:jc w:val="center"/>
              <w:rPr>
                <w:rFonts w:ascii="宋体" w:hAnsi="宋体" w:eastAsia="宋体"/>
                <w:b/>
                <w:color w:val="000000" w:themeColor="text1"/>
                <w:sz w:val="32"/>
                <w:szCs w:val="32"/>
                <w14:textFill>
                  <w14:solidFill>
                    <w14:schemeClr w14:val="tx1"/>
                  </w14:solidFill>
                </w14:textFill>
              </w:rPr>
            </w:pPr>
          </w:p>
          <w:p w14:paraId="578AFE27">
            <w:pPr>
              <w:jc w:val="center"/>
              <w:rPr>
                <w:rFonts w:ascii="宋体" w:hAnsi="宋体" w:eastAsia="宋体"/>
                <w:b/>
                <w:color w:val="000000" w:themeColor="text1"/>
                <w:sz w:val="32"/>
                <w:szCs w:val="32"/>
                <w14:textFill>
                  <w14:solidFill>
                    <w14:schemeClr w14:val="tx1"/>
                  </w14:solidFill>
                </w14:textFill>
              </w:rPr>
            </w:pPr>
          </w:p>
          <w:p w14:paraId="6AE4689B">
            <w:pPr>
              <w:jc w:val="center"/>
              <w:rPr>
                <w:rFonts w:ascii="宋体" w:hAnsi="宋体" w:eastAsia="宋体"/>
                <w:b/>
                <w:color w:val="000000" w:themeColor="text1"/>
                <w:sz w:val="32"/>
                <w:szCs w:val="32"/>
                <w14:textFill>
                  <w14:solidFill>
                    <w14:schemeClr w14:val="tx1"/>
                  </w14:solidFill>
                </w14:textFill>
              </w:rPr>
            </w:pPr>
          </w:p>
          <w:p w14:paraId="550A5C29">
            <w:pPr>
              <w:jc w:val="center"/>
              <w:rPr>
                <w:rFonts w:ascii="宋体" w:hAnsi="宋体" w:eastAsia="宋体"/>
                <w:b/>
                <w:color w:val="000000" w:themeColor="text1"/>
                <w:sz w:val="32"/>
                <w:szCs w:val="32"/>
                <w14:textFill>
                  <w14:solidFill>
                    <w14:schemeClr w14:val="tx1"/>
                  </w14:solidFill>
                </w14:textFill>
              </w:rPr>
            </w:pPr>
          </w:p>
          <w:p w14:paraId="02FA7E3F">
            <w:pPr>
              <w:jc w:val="center"/>
              <w:rPr>
                <w:rFonts w:ascii="宋体" w:hAnsi="宋体" w:eastAsia="宋体"/>
                <w:b/>
                <w:color w:val="000000" w:themeColor="text1"/>
                <w:sz w:val="32"/>
                <w:szCs w:val="32"/>
                <w14:textFill>
                  <w14:solidFill>
                    <w14:schemeClr w14:val="tx1"/>
                  </w14:solidFill>
                </w14:textFill>
              </w:rPr>
            </w:pPr>
          </w:p>
          <w:p w14:paraId="7274F79E">
            <w:pPr>
              <w:jc w:val="center"/>
              <w:rPr>
                <w:rFonts w:ascii="宋体" w:hAnsi="宋体" w:eastAsia="宋体"/>
                <w:b/>
                <w:color w:val="000000" w:themeColor="text1"/>
                <w:sz w:val="32"/>
                <w:szCs w:val="32"/>
                <w14:textFill>
                  <w14:solidFill>
                    <w14:schemeClr w14:val="tx1"/>
                  </w14:solidFill>
                </w14:textFill>
              </w:rPr>
            </w:pPr>
            <w:r>
              <w:rPr>
                <w:rFonts w:hint="eastAsia" w:ascii="宋体" w:hAnsi="宋体" w:eastAsia="宋体"/>
                <w:b/>
                <w:color w:val="000000" w:themeColor="text1"/>
                <w:sz w:val="32"/>
                <w:szCs w:val="32"/>
                <w14:textFill>
                  <w14:solidFill>
                    <w14:schemeClr w14:val="tx1"/>
                  </w14:solidFill>
                </w14:textFill>
              </w:rPr>
              <w:t>各</w:t>
            </w:r>
          </w:p>
          <w:p w14:paraId="5B10300C">
            <w:pPr>
              <w:jc w:val="center"/>
              <w:rPr>
                <w:rFonts w:ascii="宋体" w:hAnsi="宋体" w:eastAsia="宋体"/>
                <w:b/>
                <w:color w:val="000000" w:themeColor="text1"/>
                <w:sz w:val="32"/>
                <w:szCs w:val="32"/>
                <w14:textFill>
                  <w14:solidFill>
                    <w14:schemeClr w14:val="tx1"/>
                  </w14:solidFill>
                </w14:textFill>
              </w:rPr>
            </w:pPr>
            <w:r>
              <w:rPr>
                <w:rFonts w:hint="eastAsia" w:ascii="宋体" w:hAnsi="宋体" w:eastAsia="宋体"/>
                <w:b/>
                <w:color w:val="000000" w:themeColor="text1"/>
                <w:sz w:val="32"/>
                <w:szCs w:val="32"/>
                <w14:textFill>
                  <w14:solidFill>
                    <w14:schemeClr w14:val="tx1"/>
                  </w14:solidFill>
                </w14:textFill>
              </w:rPr>
              <w:t>方</w:t>
            </w:r>
          </w:p>
          <w:p w14:paraId="56050ADD">
            <w:pPr>
              <w:jc w:val="center"/>
              <w:rPr>
                <w:rFonts w:ascii="宋体" w:hAnsi="宋体" w:eastAsia="宋体"/>
                <w:b/>
                <w:color w:val="000000" w:themeColor="text1"/>
                <w:sz w:val="32"/>
                <w:szCs w:val="32"/>
                <w14:textFill>
                  <w14:solidFill>
                    <w14:schemeClr w14:val="tx1"/>
                  </w14:solidFill>
                </w14:textFill>
              </w:rPr>
            </w:pPr>
            <w:r>
              <w:rPr>
                <w:rFonts w:hint="eastAsia" w:ascii="宋体" w:hAnsi="宋体" w:eastAsia="宋体"/>
                <w:b/>
                <w:color w:val="000000" w:themeColor="text1"/>
                <w:sz w:val="32"/>
                <w:szCs w:val="32"/>
                <w14:textFill>
                  <w14:solidFill>
                    <w14:schemeClr w14:val="tx1"/>
                  </w14:solidFill>
                </w14:textFill>
              </w:rPr>
              <w:t>意</w:t>
            </w:r>
          </w:p>
          <w:p w14:paraId="4F596346">
            <w:pPr>
              <w:jc w:val="center"/>
              <w:rPr>
                <w:rFonts w:ascii="宋体" w:hAnsi="宋体" w:eastAsia="宋体"/>
                <w:b/>
                <w:color w:val="000000" w:themeColor="text1"/>
                <w:sz w:val="32"/>
                <w:szCs w:val="32"/>
                <w14:textFill>
                  <w14:solidFill>
                    <w14:schemeClr w14:val="tx1"/>
                  </w14:solidFill>
                </w14:textFill>
              </w:rPr>
            </w:pPr>
            <w:r>
              <w:rPr>
                <w:rFonts w:hint="eastAsia" w:ascii="宋体" w:hAnsi="宋体" w:eastAsia="宋体"/>
                <w:b/>
                <w:color w:val="000000" w:themeColor="text1"/>
                <w:sz w:val="32"/>
                <w:szCs w:val="32"/>
                <w14:textFill>
                  <w14:solidFill>
                    <w14:schemeClr w14:val="tx1"/>
                  </w14:solidFill>
                </w14:textFill>
              </w:rPr>
              <w:t>见</w:t>
            </w:r>
          </w:p>
          <w:p w14:paraId="1C7B1DC0">
            <w:pPr>
              <w:jc w:val="center"/>
              <w:rPr>
                <w:rFonts w:ascii="宋体" w:hAnsi="宋体" w:eastAsia="宋体"/>
                <w:b/>
                <w:color w:val="000000" w:themeColor="text1"/>
                <w:sz w:val="32"/>
                <w:szCs w:val="32"/>
                <w14:textFill>
                  <w14:solidFill>
                    <w14:schemeClr w14:val="tx1"/>
                  </w14:solidFill>
                </w14:textFill>
              </w:rPr>
            </w:pPr>
          </w:p>
          <w:p w14:paraId="594B047B">
            <w:pPr>
              <w:jc w:val="center"/>
              <w:rPr>
                <w:rFonts w:ascii="宋体" w:hAnsi="宋体" w:eastAsia="宋体"/>
                <w:b/>
                <w:color w:val="000000" w:themeColor="text1"/>
                <w:sz w:val="32"/>
                <w:szCs w:val="32"/>
                <w14:textFill>
                  <w14:solidFill>
                    <w14:schemeClr w14:val="tx1"/>
                  </w14:solidFill>
                </w14:textFill>
              </w:rPr>
            </w:pPr>
          </w:p>
          <w:p w14:paraId="6F78E781">
            <w:pPr>
              <w:jc w:val="center"/>
              <w:rPr>
                <w:rFonts w:ascii="宋体" w:hAnsi="宋体" w:eastAsia="宋体"/>
                <w:b/>
                <w:color w:val="000000" w:themeColor="text1"/>
                <w:sz w:val="32"/>
                <w:szCs w:val="32"/>
                <w14:textFill>
                  <w14:solidFill>
                    <w14:schemeClr w14:val="tx1"/>
                  </w14:solidFill>
                </w14:textFill>
              </w:rPr>
            </w:pPr>
          </w:p>
          <w:p w14:paraId="62A1AE6F">
            <w:pPr>
              <w:jc w:val="center"/>
              <w:rPr>
                <w:rFonts w:ascii="宋体" w:hAnsi="宋体" w:eastAsia="宋体"/>
                <w:b/>
                <w:color w:val="000000" w:themeColor="text1"/>
                <w:sz w:val="32"/>
                <w:szCs w:val="32"/>
                <w14:textFill>
                  <w14:solidFill>
                    <w14:schemeClr w14:val="tx1"/>
                  </w14:solidFill>
                </w14:textFill>
              </w:rPr>
            </w:pPr>
          </w:p>
          <w:p w14:paraId="415FD5F3">
            <w:pPr>
              <w:jc w:val="center"/>
              <w:rPr>
                <w:rFonts w:ascii="宋体" w:hAnsi="宋体" w:eastAsia="宋体"/>
                <w:b/>
                <w:color w:val="000000" w:themeColor="text1"/>
                <w:sz w:val="32"/>
                <w:szCs w:val="32"/>
                <w14:textFill>
                  <w14:solidFill>
                    <w14:schemeClr w14:val="tx1"/>
                  </w14:solidFill>
                </w14:textFill>
              </w:rPr>
            </w:pPr>
          </w:p>
          <w:p w14:paraId="4F0E3092">
            <w:pPr>
              <w:jc w:val="center"/>
              <w:rPr>
                <w:rFonts w:ascii="宋体" w:hAnsi="宋体" w:eastAsia="宋体"/>
                <w:b/>
                <w:color w:val="000000" w:themeColor="text1"/>
                <w:sz w:val="32"/>
                <w:szCs w:val="32"/>
                <w14:textFill>
                  <w14:solidFill>
                    <w14:schemeClr w14:val="tx1"/>
                  </w14:solidFill>
                </w14:textFill>
              </w:rPr>
            </w:pPr>
          </w:p>
        </w:tc>
        <w:tc>
          <w:tcPr>
            <w:tcW w:w="967" w:type="dxa"/>
            <w:gridSpan w:val="2"/>
          </w:tcPr>
          <w:p w14:paraId="28749984">
            <w:pPr>
              <w:jc w:val="center"/>
              <w:rPr>
                <w:rFonts w:ascii="宋体" w:hAnsi="宋体" w:eastAsia="宋体"/>
                <w:color w:val="000000" w:themeColor="text1"/>
                <w:sz w:val="32"/>
                <w:szCs w:val="32"/>
                <w14:textFill>
                  <w14:solidFill>
                    <w14:schemeClr w14:val="tx1"/>
                  </w14:solidFill>
                </w14:textFill>
              </w:rPr>
            </w:pPr>
          </w:p>
          <w:p w14:paraId="411ECCF9">
            <w:pPr>
              <w:jc w:val="center"/>
              <w:rPr>
                <w:rFonts w:ascii="宋体" w:hAnsi="宋体" w:eastAsia="宋体"/>
                <w:color w:val="000000" w:themeColor="text1"/>
                <w:sz w:val="32"/>
                <w:szCs w:val="32"/>
                <w14:textFill>
                  <w14:solidFill>
                    <w14:schemeClr w14:val="tx1"/>
                  </w14:solidFill>
                </w14:textFill>
              </w:rPr>
            </w:pPr>
            <w:r>
              <w:rPr>
                <w:rFonts w:hint="eastAsia" w:ascii="宋体" w:hAnsi="宋体" w:eastAsia="宋体"/>
                <w:color w:val="000000" w:themeColor="text1"/>
                <w:sz w:val="32"/>
                <w:szCs w:val="32"/>
                <w14:textFill>
                  <w14:solidFill>
                    <w14:schemeClr w14:val="tx1"/>
                  </w14:solidFill>
                </w14:textFill>
              </w:rPr>
              <w:t>利</w:t>
            </w:r>
          </w:p>
          <w:p w14:paraId="64CF06F0">
            <w:pPr>
              <w:jc w:val="center"/>
              <w:rPr>
                <w:rFonts w:ascii="宋体" w:hAnsi="宋体" w:eastAsia="宋体"/>
                <w:color w:val="000000" w:themeColor="text1"/>
                <w:sz w:val="32"/>
                <w:szCs w:val="32"/>
                <w14:textFill>
                  <w14:solidFill>
                    <w14:schemeClr w14:val="tx1"/>
                  </w14:solidFill>
                </w14:textFill>
              </w:rPr>
            </w:pPr>
            <w:r>
              <w:rPr>
                <w:rFonts w:hint="eastAsia" w:ascii="宋体" w:hAnsi="宋体" w:eastAsia="宋体"/>
                <w:color w:val="000000" w:themeColor="text1"/>
                <w:sz w:val="32"/>
                <w:szCs w:val="32"/>
                <w14:textFill>
                  <w14:solidFill>
                    <w14:schemeClr w14:val="tx1"/>
                  </w14:solidFill>
                </w14:textFill>
              </w:rPr>
              <w:t>益</w:t>
            </w:r>
          </w:p>
          <w:p w14:paraId="1C9AB66C">
            <w:pPr>
              <w:jc w:val="center"/>
              <w:rPr>
                <w:rFonts w:ascii="宋体" w:hAnsi="宋体" w:eastAsia="宋体"/>
                <w:color w:val="000000" w:themeColor="text1"/>
                <w:sz w:val="32"/>
                <w:szCs w:val="32"/>
                <w14:textFill>
                  <w14:solidFill>
                    <w14:schemeClr w14:val="tx1"/>
                  </w14:solidFill>
                </w14:textFill>
              </w:rPr>
            </w:pPr>
            <w:r>
              <w:rPr>
                <w:rFonts w:hint="eastAsia" w:ascii="宋体" w:hAnsi="宋体" w:eastAsia="宋体"/>
                <w:color w:val="000000" w:themeColor="text1"/>
                <w:sz w:val="32"/>
                <w:szCs w:val="32"/>
                <w14:textFill>
                  <w14:solidFill>
                    <w14:schemeClr w14:val="tx1"/>
                  </w14:solidFill>
                </w14:textFill>
              </w:rPr>
              <w:t>相</w:t>
            </w:r>
          </w:p>
          <w:p w14:paraId="6EF13548">
            <w:pPr>
              <w:jc w:val="center"/>
              <w:rPr>
                <w:rFonts w:ascii="宋体" w:hAnsi="宋体" w:eastAsia="宋体"/>
                <w:color w:val="000000" w:themeColor="text1"/>
                <w:sz w:val="32"/>
                <w:szCs w:val="32"/>
                <w14:textFill>
                  <w14:solidFill>
                    <w14:schemeClr w14:val="tx1"/>
                  </w14:solidFill>
                </w14:textFill>
              </w:rPr>
            </w:pPr>
            <w:r>
              <w:rPr>
                <w:rFonts w:hint="eastAsia" w:ascii="宋体" w:hAnsi="宋体" w:eastAsia="宋体"/>
                <w:color w:val="000000" w:themeColor="text1"/>
                <w:sz w:val="32"/>
                <w:szCs w:val="32"/>
                <w14:textFill>
                  <w14:solidFill>
                    <w14:schemeClr w14:val="tx1"/>
                  </w14:solidFill>
                </w14:textFill>
              </w:rPr>
              <w:t>关</w:t>
            </w:r>
          </w:p>
          <w:p w14:paraId="7BBD5A52">
            <w:pPr>
              <w:jc w:val="center"/>
              <w:rPr>
                <w:rFonts w:ascii="宋体" w:hAnsi="宋体" w:eastAsia="宋体"/>
                <w:color w:val="000000" w:themeColor="text1"/>
                <w:sz w:val="32"/>
                <w:szCs w:val="32"/>
                <w14:textFill>
                  <w14:solidFill>
                    <w14:schemeClr w14:val="tx1"/>
                  </w14:solidFill>
                </w14:textFill>
              </w:rPr>
            </w:pPr>
            <w:r>
              <w:rPr>
                <w:rFonts w:hint="eastAsia" w:ascii="宋体" w:hAnsi="宋体" w:eastAsia="宋体"/>
                <w:color w:val="000000" w:themeColor="text1"/>
                <w:sz w:val="32"/>
                <w:szCs w:val="32"/>
                <w14:textFill>
                  <w14:solidFill>
                    <w14:schemeClr w14:val="tx1"/>
                  </w14:solidFill>
                </w14:textFill>
              </w:rPr>
              <w:t>方</w:t>
            </w:r>
          </w:p>
          <w:p w14:paraId="57EEC0F0">
            <w:pPr>
              <w:jc w:val="center"/>
              <w:rPr>
                <w:rFonts w:ascii="宋体" w:hAnsi="宋体" w:eastAsia="宋体"/>
                <w:color w:val="000000" w:themeColor="text1"/>
                <w:sz w:val="32"/>
                <w:szCs w:val="32"/>
                <w14:textFill>
                  <w14:solidFill>
                    <w14:schemeClr w14:val="tx1"/>
                  </w14:solidFill>
                </w14:textFill>
              </w:rPr>
            </w:pPr>
            <w:r>
              <w:rPr>
                <w:rFonts w:hint="eastAsia" w:ascii="宋体" w:hAnsi="宋体" w:eastAsia="宋体"/>
                <w:color w:val="000000" w:themeColor="text1"/>
                <w:sz w:val="32"/>
                <w:szCs w:val="32"/>
                <w14:textFill>
                  <w14:solidFill>
                    <w14:schemeClr w14:val="tx1"/>
                  </w14:solidFill>
                </w14:textFill>
              </w:rPr>
              <w:t>诉</w:t>
            </w:r>
          </w:p>
          <w:p w14:paraId="02D2FC25">
            <w:pPr>
              <w:jc w:val="center"/>
              <w:rPr>
                <w:rFonts w:ascii="宋体" w:hAnsi="宋体" w:eastAsia="宋体"/>
                <w:color w:val="000000" w:themeColor="text1"/>
                <w:sz w:val="32"/>
                <w:szCs w:val="32"/>
                <w14:textFill>
                  <w14:solidFill>
                    <w14:schemeClr w14:val="tx1"/>
                  </w14:solidFill>
                </w14:textFill>
              </w:rPr>
            </w:pPr>
            <w:r>
              <w:rPr>
                <w:rFonts w:hint="eastAsia" w:ascii="宋体" w:hAnsi="宋体" w:eastAsia="宋体"/>
                <w:color w:val="000000" w:themeColor="text1"/>
                <w:sz w:val="32"/>
                <w:szCs w:val="32"/>
                <w14:textFill>
                  <w14:solidFill>
                    <w14:schemeClr w14:val="tx1"/>
                  </w14:solidFill>
                </w14:textFill>
              </w:rPr>
              <w:t>求</w:t>
            </w:r>
          </w:p>
        </w:tc>
        <w:tc>
          <w:tcPr>
            <w:tcW w:w="6372" w:type="dxa"/>
            <w:gridSpan w:val="6"/>
          </w:tcPr>
          <w:p w14:paraId="23F1722E">
            <w:pPr>
              <w:jc w:val="left"/>
            </w:pPr>
          </w:p>
          <w:p w14:paraId="6EA62255">
            <w:pPr>
              <w:pStyle w:val="24"/>
              <w:ind w:left="420" w:firstLine="640"/>
              <w:rPr>
                <w:rFonts w:ascii="宋体" w:hAnsi="宋体" w:eastAsia="宋体"/>
                <w:color w:val="000000" w:themeColor="text1"/>
                <w:sz w:val="32"/>
                <w:szCs w:val="32"/>
                <w14:textFill>
                  <w14:solidFill>
                    <w14:schemeClr w14:val="tx1"/>
                  </w14:solidFill>
                </w14:textFill>
              </w:rPr>
            </w:pPr>
          </w:p>
          <w:p w14:paraId="55D91EF7">
            <w:pPr>
              <w:pStyle w:val="24"/>
              <w:ind w:left="420" w:firstLine="640"/>
              <w:rPr>
                <w:rFonts w:ascii="宋体" w:hAnsi="宋体" w:eastAsia="宋体"/>
                <w:color w:val="000000" w:themeColor="text1"/>
                <w:sz w:val="32"/>
                <w:szCs w:val="32"/>
                <w14:textFill>
                  <w14:solidFill>
                    <w14:schemeClr w14:val="tx1"/>
                  </w14:solidFill>
                </w14:textFill>
              </w:rPr>
            </w:pPr>
          </w:p>
          <w:p w14:paraId="6458139F">
            <w:pPr>
              <w:pStyle w:val="24"/>
              <w:ind w:left="420" w:firstLine="640"/>
              <w:rPr>
                <w:rFonts w:ascii="宋体" w:hAnsi="宋体" w:eastAsia="宋体"/>
                <w:color w:val="000000" w:themeColor="text1"/>
                <w:sz w:val="32"/>
                <w:szCs w:val="32"/>
                <w14:textFill>
                  <w14:solidFill>
                    <w14:schemeClr w14:val="tx1"/>
                  </w14:solidFill>
                </w14:textFill>
              </w:rPr>
            </w:pPr>
          </w:p>
          <w:p w14:paraId="236F76DB">
            <w:pPr>
              <w:pStyle w:val="24"/>
              <w:ind w:left="420" w:firstLine="640"/>
              <w:rPr>
                <w:rFonts w:ascii="宋体" w:hAnsi="宋体" w:eastAsia="宋体"/>
                <w:color w:val="000000" w:themeColor="text1"/>
                <w:sz w:val="32"/>
                <w:szCs w:val="32"/>
                <w14:textFill>
                  <w14:solidFill>
                    <w14:schemeClr w14:val="tx1"/>
                  </w14:solidFill>
                </w14:textFill>
              </w:rPr>
            </w:pPr>
          </w:p>
          <w:p w14:paraId="20E03ABA">
            <w:pPr>
              <w:pStyle w:val="24"/>
              <w:ind w:left="420" w:firstLine="640"/>
              <w:rPr>
                <w:rFonts w:ascii="宋体" w:hAnsi="宋体" w:eastAsia="宋体"/>
                <w:color w:val="000000" w:themeColor="text1"/>
                <w:sz w:val="32"/>
                <w:szCs w:val="32"/>
                <w14:textFill>
                  <w14:solidFill>
                    <w14:schemeClr w14:val="tx1"/>
                  </w14:solidFill>
                </w14:textFill>
              </w:rPr>
            </w:pPr>
          </w:p>
          <w:p w14:paraId="08A52621">
            <w:pPr>
              <w:pStyle w:val="24"/>
              <w:ind w:left="420" w:firstLine="640"/>
              <w:rPr>
                <w:rFonts w:ascii="宋体" w:hAnsi="宋体" w:eastAsia="宋体"/>
                <w:color w:val="000000" w:themeColor="text1"/>
                <w:sz w:val="32"/>
                <w:szCs w:val="32"/>
                <w14:textFill>
                  <w14:solidFill>
                    <w14:schemeClr w14:val="tx1"/>
                  </w14:solidFill>
                </w14:textFill>
              </w:rPr>
            </w:pPr>
          </w:p>
          <w:p w14:paraId="2FAB0B8C">
            <w:pPr>
              <w:pStyle w:val="24"/>
              <w:ind w:left="420" w:firstLine="640"/>
              <w:rPr>
                <w:rFonts w:ascii="宋体" w:hAnsi="宋体" w:eastAsia="宋体"/>
                <w:color w:val="000000" w:themeColor="text1"/>
                <w:sz w:val="32"/>
                <w:szCs w:val="32"/>
                <w14:textFill>
                  <w14:solidFill>
                    <w14:schemeClr w14:val="tx1"/>
                  </w14:solidFill>
                </w14:textFill>
              </w:rPr>
            </w:pPr>
          </w:p>
          <w:p w14:paraId="216C65A6">
            <w:pPr>
              <w:pStyle w:val="24"/>
              <w:ind w:left="420" w:firstLine="640"/>
              <w:rPr>
                <w:rFonts w:ascii="宋体" w:hAnsi="宋体" w:eastAsia="宋体"/>
                <w:color w:val="000000" w:themeColor="text1"/>
                <w:sz w:val="32"/>
                <w:szCs w:val="32"/>
                <w14:textFill>
                  <w14:solidFill>
                    <w14:schemeClr w14:val="tx1"/>
                  </w14:solidFill>
                </w14:textFill>
              </w:rPr>
            </w:pPr>
          </w:p>
        </w:tc>
      </w:tr>
      <w:tr w14:paraId="1B0FF1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53" w:hRule="atLeast"/>
        </w:trPr>
        <w:tc>
          <w:tcPr>
            <w:tcW w:w="1183" w:type="dxa"/>
            <w:vMerge w:val="continue"/>
          </w:tcPr>
          <w:p w14:paraId="219D0D54">
            <w:pPr>
              <w:jc w:val="center"/>
              <w:rPr>
                <w:rFonts w:ascii="宋体" w:hAnsi="宋体" w:eastAsia="宋体"/>
                <w:b/>
                <w:color w:val="000000" w:themeColor="text1"/>
                <w:sz w:val="32"/>
                <w:szCs w:val="32"/>
                <w14:textFill>
                  <w14:solidFill>
                    <w14:schemeClr w14:val="tx1"/>
                  </w14:solidFill>
                </w14:textFill>
              </w:rPr>
            </w:pPr>
          </w:p>
        </w:tc>
        <w:tc>
          <w:tcPr>
            <w:tcW w:w="967" w:type="dxa"/>
            <w:gridSpan w:val="2"/>
          </w:tcPr>
          <w:p w14:paraId="508CEA11">
            <w:pPr>
              <w:jc w:val="center"/>
              <w:rPr>
                <w:rFonts w:ascii="宋体" w:hAnsi="宋体" w:eastAsia="宋体"/>
                <w:color w:val="000000" w:themeColor="text1"/>
                <w:sz w:val="32"/>
                <w:szCs w:val="32"/>
                <w14:textFill>
                  <w14:solidFill>
                    <w14:schemeClr w14:val="tx1"/>
                  </w14:solidFill>
                </w14:textFill>
              </w:rPr>
            </w:pPr>
          </w:p>
          <w:p w14:paraId="4595845A">
            <w:pPr>
              <w:jc w:val="center"/>
              <w:rPr>
                <w:rFonts w:ascii="宋体" w:hAnsi="宋体" w:eastAsia="宋体"/>
                <w:color w:val="000000" w:themeColor="text1"/>
                <w:sz w:val="32"/>
                <w:szCs w:val="32"/>
                <w14:textFill>
                  <w14:solidFill>
                    <w14:schemeClr w14:val="tx1"/>
                  </w14:solidFill>
                </w14:textFill>
              </w:rPr>
            </w:pPr>
            <w:r>
              <w:rPr>
                <w:rFonts w:hint="eastAsia" w:ascii="宋体" w:hAnsi="宋体" w:eastAsia="宋体"/>
                <w:color w:val="000000" w:themeColor="text1"/>
                <w:sz w:val="32"/>
                <w:szCs w:val="32"/>
                <w14:textFill>
                  <w14:solidFill>
                    <w14:schemeClr w14:val="tx1"/>
                  </w14:solidFill>
                </w14:textFill>
              </w:rPr>
              <w:t>基</w:t>
            </w:r>
          </w:p>
          <w:p w14:paraId="591068A4">
            <w:pPr>
              <w:jc w:val="center"/>
              <w:rPr>
                <w:rFonts w:ascii="宋体" w:hAnsi="宋体" w:eastAsia="宋体"/>
                <w:color w:val="000000" w:themeColor="text1"/>
                <w:sz w:val="32"/>
                <w:szCs w:val="32"/>
                <w14:textFill>
                  <w14:solidFill>
                    <w14:schemeClr w14:val="tx1"/>
                  </w14:solidFill>
                </w14:textFill>
              </w:rPr>
            </w:pPr>
            <w:r>
              <w:rPr>
                <w:rFonts w:hint="eastAsia" w:ascii="宋体" w:hAnsi="宋体" w:eastAsia="宋体"/>
                <w:color w:val="000000" w:themeColor="text1"/>
                <w:sz w:val="32"/>
                <w:szCs w:val="32"/>
                <w14:textFill>
                  <w14:solidFill>
                    <w14:schemeClr w14:val="tx1"/>
                  </w14:solidFill>
                </w14:textFill>
              </w:rPr>
              <w:t>层</w:t>
            </w:r>
          </w:p>
          <w:p w14:paraId="00E2361B">
            <w:pPr>
              <w:jc w:val="center"/>
              <w:rPr>
                <w:rFonts w:ascii="宋体" w:hAnsi="宋体" w:eastAsia="宋体"/>
                <w:color w:val="000000" w:themeColor="text1"/>
                <w:sz w:val="32"/>
                <w:szCs w:val="32"/>
                <w14:textFill>
                  <w14:solidFill>
                    <w14:schemeClr w14:val="tx1"/>
                  </w14:solidFill>
                </w14:textFill>
              </w:rPr>
            </w:pPr>
            <w:r>
              <w:rPr>
                <w:rFonts w:hint="eastAsia" w:ascii="宋体" w:hAnsi="宋体" w:eastAsia="宋体"/>
                <w:color w:val="000000" w:themeColor="text1"/>
                <w:sz w:val="32"/>
                <w:szCs w:val="32"/>
                <w14:textFill>
                  <w14:solidFill>
                    <w14:schemeClr w14:val="tx1"/>
                  </w14:solidFill>
                </w14:textFill>
              </w:rPr>
              <w:t>组</w:t>
            </w:r>
          </w:p>
          <w:p w14:paraId="1C6E3EBB">
            <w:pPr>
              <w:jc w:val="center"/>
              <w:rPr>
                <w:rFonts w:ascii="宋体" w:hAnsi="宋体" w:eastAsia="宋体"/>
                <w:color w:val="000000" w:themeColor="text1"/>
                <w:sz w:val="32"/>
                <w:szCs w:val="32"/>
                <w14:textFill>
                  <w14:solidFill>
                    <w14:schemeClr w14:val="tx1"/>
                  </w14:solidFill>
                </w14:textFill>
              </w:rPr>
            </w:pPr>
            <w:r>
              <w:rPr>
                <w:rFonts w:hint="eastAsia" w:ascii="宋体" w:hAnsi="宋体" w:eastAsia="宋体"/>
                <w:color w:val="000000" w:themeColor="text1"/>
                <w:sz w:val="32"/>
                <w:szCs w:val="32"/>
                <w14:textFill>
                  <w14:solidFill>
                    <w14:schemeClr w14:val="tx1"/>
                  </w14:solidFill>
                </w14:textFill>
              </w:rPr>
              <w:t>织</w:t>
            </w:r>
          </w:p>
          <w:p w14:paraId="771D1BA2">
            <w:pPr>
              <w:jc w:val="center"/>
              <w:rPr>
                <w:rFonts w:ascii="宋体" w:hAnsi="宋体" w:eastAsia="宋体"/>
                <w:color w:val="000000" w:themeColor="text1"/>
                <w:sz w:val="32"/>
                <w:szCs w:val="32"/>
                <w14:textFill>
                  <w14:solidFill>
                    <w14:schemeClr w14:val="tx1"/>
                  </w14:solidFill>
                </w14:textFill>
              </w:rPr>
            </w:pPr>
            <w:r>
              <w:rPr>
                <w:rFonts w:hint="eastAsia" w:ascii="宋体" w:hAnsi="宋体" w:eastAsia="宋体"/>
                <w:color w:val="000000" w:themeColor="text1"/>
                <w:sz w:val="32"/>
                <w:szCs w:val="32"/>
                <w14:textFill>
                  <w14:solidFill>
                    <w14:schemeClr w14:val="tx1"/>
                  </w14:solidFill>
                </w14:textFill>
              </w:rPr>
              <w:t>意</w:t>
            </w:r>
          </w:p>
          <w:p w14:paraId="251E4FEB">
            <w:pPr>
              <w:jc w:val="center"/>
              <w:rPr>
                <w:rFonts w:ascii="宋体" w:hAnsi="宋体" w:eastAsia="宋体"/>
                <w:color w:val="000000" w:themeColor="text1"/>
                <w:sz w:val="32"/>
                <w:szCs w:val="32"/>
                <w14:textFill>
                  <w14:solidFill>
                    <w14:schemeClr w14:val="tx1"/>
                  </w14:solidFill>
                </w14:textFill>
              </w:rPr>
            </w:pPr>
            <w:r>
              <w:rPr>
                <w:rFonts w:hint="eastAsia" w:ascii="宋体" w:hAnsi="宋体" w:eastAsia="宋体"/>
                <w:color w:val="000000" w:themeColor="text1"/>
                <w:sz w:val="32"/>
                <w:szCs w:val="32"/>
                <w14:textFill>
                  <w14:solidFill>
                    <w14:schemeClr w14:val="tx1"/>
                  </w14:solidFill>
                </w14:textFill>
              </w:rPr>
              <w:t>见</w:t>
            </w:r>
          </w:p>
        </w:tc>
        <w:tc>
          <w:tcPr>
            <w:tcW w:w="6372" w:type="dxa"/>
            <w:gridSpan w:val="6"/>
          </w:tcPr>
          <w:p w14:paraId="585D382D">
            <w:pPr>
              <w:jc w:val="left"/>
            </w:pPr>
          </w:p>
          <w:p w14:paraId="17838654">
            <w:pPr>
              <w:pStyle w:val="24"/>
              <w:ind w:left="420" w:firstLine="640"/>
              <w:rPr>
                <w:rFonts w:ascii="宋体" w:hAnsi="宋体" w:eastAsia="宋体"/>
                <w:color w:val="000000" w:themeColor="text1"/>
                <w:sz w:val="32"/>
                <w:szCs w:val="32"/>
                <w14:textFill>
                  <w14:solidFill>
                    <w14:schemeClr w14:val="tx1"/>
                  </w14:solidFill>
                </w14:textFill>
              </w:rPr>
            </w:pPr>
          </w:p>
          <w:p w14:paraId="4502891B">
            <w:pPr>
              <w:pStyle w:val="24"/>
              <w:ind w:left="420" w:firstLine="640"/>
              <w:rPr>
                <w:rFonts w:ascii="宋体" w:hAnsi="宋体" w:eastAsia="宋体"/>
                <w:color w:val="000000" w:themeColor="text1"/>
                <w:sz w:val="32"/>
                <w:szCs w:val="32"/>
                <w14:textFill>
                  <w14:solidFill>
                    <w14:schemeClr w14:val="tx1"/>
                  </w14:solidFill>
                </w14:textFill>
              </w:rPr>
            </w:pPr>
          </w:p>
          <w:p w14:paraId="1DAD7918">
            <w:pPr>
              <w:pStyle w:val="24"/>
              <w:ind w:left="420" w:firstLine="640"/>
              <w:rPr>
                <w:rFonts w:ascii="宋体" w:hAnsi="宋体" w:eastAsia="宋体"/>
                <w:color w:val="000000" w:themeColor="text1"/>
                <w:sz w:val="32"/>
                <w:szCs w:val="32"/>
                <w14:textFill>
                  <w14:solidFill>
                    <w14:schemeClr w14:val="tx1"/>
                  </w14:solidFill>
                </w14:textFill>
              </w:rPr>
            </w:pPr>
          </w:p>
          <w:p w14:paraId="2E3D74FD">
            <w:pPr>
              <w:pStyle w:val="24"/>
              <w:ind w:left="420" w:firstLine="640"/>
              <w:rPr>
                <w:rFonts w:ascii="宋体" w:hAnsi="宋体" w:eastAsia="宋体"/>
                <w:color w:val="000000" w:themeColor="text1"/>
                <w:sz w:val="32"/>
                <w:szCs w:val="32"/>
                <w14:textFill>
                  <w14:solidFill>
                    <w14:schemeClr w14:val="tx1"/>
                  </w14:solidFill>
                </w14:textFill>
              </w:rPr>
            </w:pPr>
          </w:p>
          <w:p w14:paraId="1E591C2A">
            <w:pPr>
              <w:pStyle w:val="24"/>
              <w:ind w:left="420" w:firstLine="640"/>
              <w:rPr>
                <w:rFonts w:ascii="宋体" w:hAnsi="宋体" w:eastAsia="宋体"/>
                <w:color w:val="000000" w:themeColor="text1"/>
                <w:sz w:val="32"/>
                <w:szCs w:val="32"/>
                <w14:textFill>
                  <w14:solidFill>
                    <w14:schemeClr w14:val="tx1"/>
                  </w14:solidFill>
                </w14:textFill>
              </w:rPr>
            </w:pPr>
          </w:p>
          <w:p w14:paraId="549D1001">
            <w:pPr>
              <w:pStyle w:val="24"/>
              <w:ind w:left="420" w:firstLine="640"/>
              <w:rPr>
                <w:rFonts w:ascii="宋体" w:hAnsi="宋体" w:eastAsia="宋体"/>
                <w:color w:val="000000" w:themeColor="text1"/>
                <w:sz w:val="32"/>
                <w:szCs w:val="32"/>
                <w14:textFill>
                  <w14:solidFill>
                    <w14:schemeClr w14:val="tx1"/>
                  </w14:solidFill>
                </w14:textFill>
              </w:rPr>
            </w:pPr>
          </w:p>
          <w:p w14:paraId="74C0D107">
            <w:pPr>
              <w:pStyle w:val="24"/>
              <w:ind w:left="420" w:firstLine="640"/>
              <w:rPr>
                <w:rFonts w:ascii="宋体" w:hAnsi="宋体" w:eastAsia="宋体"/>
                <w:color w:val="000000" w:themeColor="text1"/>
                <w:sz w:val="32"/>
                <w:szCs w:val="32"/>
                <w14:textFill>
                  <w14:solidFill>
                    <w14:schemeClr w14:val="tx1"/>
                  </w14:solidFill>
                </w14:textFill>
              </w:rPr>
            </w:pPr>
          </w:p>
          <w:p w14:paraId="62A352D5">
            <w:pPr>
              <w:pStyle w:val="24"/>
              <w:ind w:left="420" w:firstLine="640"/>
              <w:rPr>
                <w:rFonts w:ascii="宋体" w:hAnsi="宋体" w:eastAsia="宋体"/>
                <w:color w:val="000000" w:themeColor="text1"/>
                <w:sz w:val="32"/>
                <w:szCs w:val="32"/>
                <w14:textFill>
                  <w14:solidFill>
                    <w14:schemeClr w14:val="tx1"/>
                  </w14:solidFill>
                </w14:textFill>
              </w:rPr>
            </w:pPr>
          </w:p>
          <w:p w14:paraId="2910238B">
            <w:pPr>
              <w:pStyle w:val="24"/>
              <w:ind w:left="420" w:firstLine="640"/>
              <w:rPr>
                <w:rFonts w:ascii="宋体" w:hAnsi="宋体" w:eastAsia="宋体"/>
                <w:color w:val="000000" w:themeColor="text1"/>
                <w:sz w:val="32"/>
                <w:szCs w:val="32"/>
                <w14:textFill>
                  <w14:solidFill>
                    <w14:schemeClr w14:val="tx1"/>
                  </w14:solidFill>
                </w14:textFill>
              </w:rPr>
            </w:pPr>
          </w:p>
        </w:tc>
      </w:tr>
      <w:tr w14:paraId="0C1597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43" w:hRule="atLeast"/>
        </w:trPr>
        <w:tc>
          <w:tcPr>
            <w:tcW w:w="1183" w:type="dxa"/>
            <w:vMerge w:val="restart"/>
          </w:tcPr>
          <w:p w14:paraId="664F6135">
            <w:pPr>
              <w:jc w:val="center"/>
              <w:rPr>
                <w:rFonts w:ascii="宋体" w:hAnsi="宋体" w:eastAsia="宋体"/>
                <w:b/>
                <w:color w:val="000000" w:themeColor="text1"/>
                <w:sz w:val="32"/>
                <w:szCs w:val="32"/>
                <w14:textFill>
                  <w14:solidFill>
                    <w14:schemeClr w14:val="tx1"/>
                  </w14:solidFill>
                </w14:textFill>
              </w:rPr>
            </w:pPr>
          </w:p>
          <w:p w14:paraId="4B7DFDE2">
            <w:pPr>
              <w:jc w:val="center"/>
              <w:rPr>
                <w:rFonts w:ascii="宋体" w:hAnsi="宋体" w:eastAsia="宋体"/>
                <w:b/>
                <w:color w:val="000000" w:themeColor="text1"/>
                <w:sz w:val="32"/>
                <w:szCs w:val="32"/>
                <w14:textFill>
                  <w14:solidFill>
                    <w14:schemeClr w14:val="tx1"/>
                  </w14:solidFill>
                </w14:textFill>
              </w:rPr>
            </w:pPr>
          </w:p>
          <w:p w14:paraId="349EAAE5">
            <w:pPr>
              <w:jc w:val="center"/>
              <w:rPr>
                <w:rFonts w:ascii="宋体" w:hAnsi="宋体" w:eastAsia="宋体"/>
                <w:b/>
                <w:color w:val="000000" w:themeColor="text1"/>
                <w:sz w:val="32"/>
                <w:szCs w:val="32"/>
                <w14:textFill>
                  <w14:solidFill>
                    <w14:schemeClr w14:val="tx1"/>
                  </w14:solidFill>
                </w14:textFill>
              </w:rPr>
            </w:pPr>
          </w:p>
          <w:p w14:paraId="64103586">
            <w:pPr>
              <w:jc w:val="center"/>
              <w:rPr>
                <w:rFonts w:ascii="宋体" w:hAnsi="宋体" w:eastAsia="宋体"/>
                <w:b/>
                <w:color w:val="000000" w:themeColor="text1"/>
                <w:sz w:val="32"/>
                <w:szCs w:val="32"/>
                <w14:textFill>
                  <w14:solidFill>
                    <w14:schemeClr w14:val="tx1"/>
                  </w14:solidFill>
                </w14:textFill>
              </w:rPr>
            </w:pPr>
          </w:p>
          <w:p w14:paraId="4CE291B9">
            <w:pPr>
              <w:jc w:val="center"/>
              <w:rPr>
                <w:rFonts w:ascii="宋体" w:hAnsi="宋体" w:eastAsia="宋体"/>
                <w:b/>
                <w:color w:val="000000" w:themeColor="text1"/>
                <w:sz w:val="32"/>
                <w:szCs w:val="32"/>
                <w14:textFill>
                  <w14:solidFill>
                    <w14:schemeClr w14:val="tx1"/>
                  </w14:solidFill>
                </w14:textFill>
              </w:rPr>
            </w:pPr>
          </w:p>
          <w:p w14:paraId="7F4F5899">
            <w:pPr>
              <w:jc w:val="center"/>
              <w:rPr>
                <w:rFonts w:ascii="宋体" w:hAnsi="宋体" w:eastAsia="宋体"/>
                <w:b/>
                <w:color w:val="000000" w:themeColor="text1"/>
                <w:sz w:val="32"/>
                <w:szCs w:val="32"/>
                <w14:textFill>
                  <w14:solidFill>
                    <w14:schemeClr w14:val="tx1"/>
                  </w14:solidFill>
                </w14:textFill>
              </w:rPr>
            </w:pPr>
          </w:p>
          <w:p w14:paraId="55EEF5BA">
            <w:pPr>
              <w:jc w:val="center"/>
              <w:rPr>
                <w:rFonts w:ascii="宋体" w:hAnsi="宋体" w:eastAsia="宋体"/>
                <w:b/>
                <w:color w:val="000000" w:themeColor="text1"/>
                <w:sz w:val="32"/>
                <w:szCs w:val="32"/>
                <w14:textFill>
                  <w14:solidFill>
                    <w14:schemeClr w14:val="tx1"/>
                  </w14:solidFill>
                </w14:textFill>
              </w:rPr>
            </w:pPr>
          </w:p>
          <w:p w14:paraId="6E89BB17">
            <w:pPr>
              <w:jc w:val="center"/>
              <w:rPr>
                <w:rFonts w:ascii="宋体" w:hAnsi="宋体" w:eastAsia="宋体"/>
                <w:b/>
                <w:color w:val="000000" w:themeColor="text1"/>
                <w:sz w:val="32"/>
                <w:szCs w:val="32"/>
                <w14:textFill>
                  <w14:solidFill>
                    <w14:schemeClr w14:val="tx1"/>
                  </w14:solidFill>
                </w14:textFill>
              </w:rPr>
            </w:pPr>
          </w:p>
          <w:p w14:paraId="589C8C01">
            <w:pPr>
              <w:jc w:val="center"/>
              <w:rPr>
                <w:rFonts w:ascii="宋体" w:hAnsi="宋体" w:eastAsia="宋体"/>
                <w:b/>
                <w:color w:val="000000" w:themeColor="text1"/>
                <w:sz w:val="32"/>
                <w:szCs w:val="32"/>
                <w14:textFill>
                  <w14:solidFill>
                    <w14:schemeClr w14:val="tx1"/>
                  </w14:solidFill>
                </w14:textFill>
              </w:rPr>
            </w:pPr>
            <w:r>
              <w:rPr>
                <w:rFonts w:hint="eastAsia" w:ascii="宋体" w:hAnsi="宋体" w:eastAsia="宋体"/>
                <w:b/>
                <w:color w:val="000000" w:themeColor="text1"/>
                <w:sz w:val="32"/>
                <w:szCs w:val="32"/>
                <w14:textFill>
                  <w14:solidFill>
                    <w14:schemeClr w14:val="tx1"/>
                  </w14:solidFill>
                </w14:textFill>
              </w:rPr>
              <w:t>各</w:t>
            </w:r>
          </w:p>
          <w:p w14:paraId="66D27278">
            <w:pPr>
              <w:jc w:val="center"/>
              <w:rPr>
                <w:rFonts w:ascii="宋体" w:hAnsi="宋体" w:eastAsia="宋体"/>
                <w:b/>
                <w:color w:val="000000" w:themeColor="text1"/>
                <w:sz w:val="32"/>
                <w:szCs w:val="32"/>
                <w14:textFill>
                  <w14:solidFill>
                    <w14:schemeClr w14:val="tx1"/>
                  </w14:solidFill>
                </w14:textFill>
              </w:rPr>
            </w:pPr>
            <w:r>
              <w:rPr>
                <w:rFonts w:hint="eastAsia" w:ascii="宋体" w:hAnsi="宋体" w:eastAsia="宋体"/>
                <w:b/>
                <w:color w:val="000000" w:themeColor="text1"/>
                <w:sz w:val="32"/>
                <w:szCs w:val="32"/>
                <w14:textFill>
                  <w14:solidFill>
                    <w14:schemeClr w14:val="tx1"/>
                  </w14:solidFill>
                </w14:textFill>
              </w:rPr>
              <w:t>方</w:t>
            </w:r>
          </w:p>
          <w:p w14:paraId="5DEDFCF9">
            <w:pPr>
              <w:jc w:val="center"/>
              <w:rPr>
                <w:rFonts w:ascii="宋体" w:hAnsi="宋体" w:eastAsia="宋体"/>
                <w:b/>
                <w:color w:val="000000" w:themeColor="text1"/>
                <w:sz w:val="32"/>
                <w:szCs w:val="32"/>
                <w14:textFill>
                  <w14:solidFill>
                    <w14:schemeClr w14:val="tx1"/>
                  </w14:solidFill>
                </w14:textFill>
              </w:rPr>
            </w:pPr>
            <w:r>
              <w:rPr>
                <w:rFonts w:hint="eastAsia" w:ascii="宋体" w:hAnsi="宋体" w:eastAsia="宋体"/>
                <w:b/>
                <w:color w:val="000000" w:themeColor="text1"/>
                <w:sz w:val="32"/>
                <w:szCs w:val="32"/>
                <w14:textFill>
                  <w14:solidFill>
                    <w14:schemeClr w14:val="tx1"/>
                  </w14:solidFill>
                </w14:textFill>
              </w:rPr>
              <w:t>意</w:t>
            </w:r>
          </w:p>
          <w:p w14:paraId="23DDBBF4">
            <w:pPr>
              <w:jc w:val="center"/>
              <w:rPr>
                <w:rFonts w:ascii="宋体" w:hAnsi="宋体" w:eastAsia="宋体"/>
                <w:b/>
                <w:color w:val="000000" w:themeColor="text1"/>
                <w:sz w:val="32"/>
                <w:szCs w:val="32"/>
                <w14:textFill>
                  <w14:solidFill>
                    <w14:schemeClr w14:val="tx1"/>
                  </w14:solidFill>
                </w14:textFill>
              </w:rPr>
            </w:pPr>
            <w:r>
              <w:rPr>
                <w:rFonts w:hint="eastAsia" w:ascii="宋体" w:hAnsi="宋体" w:eastAsia="宋体"/>
                <w:b/>
                <w:color w:val="000000" w:themeColor="text1"/>
                <w:sz w:val="32"/>
                <w:szCs w:val="32"/>
                <w14:textFill>
                  <w14:solidFill>
                    <w14:schemeClr w14:val="tx1"/>
                  </w14:solidFill>
                </w14:textFill>
              </w:rPr>
              <w:t>见</w:t>
            </w:r>
          </w:p>
          <w:p w14:paraId="3A874A89">
            <w:pPr>
              <w:jc w:val="center"/>
              <w:rPr>
                <w:rFonts w:ascii="宋体" w:hAnsi="宋体" w:eastAsia="宋体"/>
                <w:b/>
                <w:color w:val="000000" w:themeColor="text1"/>
                <w:sz w:val="32"/>
                <w:szCs w:val="32"/>
                <w14:textFill>
                  <w14:solidFill>
                    <w14:schemeClr w14:val="tx1"/>
                  </w14:solidFill>
                </w14:textFill>
              </w:rPr>
            </w:pPr>
          </w:p>
          <w:p w14:paraId="732DD360">
            <w:pPr>
              <w:jc w:val="center"/>
              <w:rPr>
                <w:rFonts w:ascii="宋体" w:hAnsi="宋体" w:eastAsia="宋体"/>
                <w:b/>
                <w:color w:val="000000" w:themeColor="text1"/>
                <w:sz w:val="32"/>
                <w:szCs w:val="32"/>
                <w14:textFill>
                  <w14:solidFill>
                    <w14:schemeClr w14:val="tx1"/>
                  </w14:solidFill>
                </w14:textFill>
              </w:rPr>
            </w:pPr>
          </w:p>
          <w:p w14:paraId="35A10334">
            <w:pPr>
              <w:jc w:val="center"/>
              <w:rPr>
                <w:rFonts w:ascii="宋体" w:hAnsi="宋体" w:eastAsia="宋体"/>
                <w:b/>
                <w:color w:val="000000" w:themeColor="text1"/>
                <w:sz w:val="32"/>
                <w:szCs w:val="32"/>
                <w14:textFill>
                  <w14:solidFill>
                    <w14:schemeClr w14:val="tx1"/>
                  </w14:solidFill>
                </w14:textFill>
              </w:rPr>
            </w:pPr>
          </w:p>
          <w:p w14:paraId="26552FD7">
            <w:pPr>
              <w:jc w:val="center"/>
              <w:rPr>
                <w:rFonts w:ascii="宋体" w:hAnsi="宋体" w:eastAsia="宋体"/>
                <w:b/>
                <w:color w:val="000000" w:themeColor="text1"/>
                <w:sz w:val="32"/>
                <w:szCs w:val="32"/>
                <w14:textFill>
                  <w14:solidFill>
                    <w14:schemeClr w14:val="tx1"/>
                  </w14:solidFill>
                </w14:textFill>
              </w:rPr>
            </w:pPr>
          </w:p>
          <w:p w14:paraId="4B155287">
            <w:pPr>
              <w:jc w:val="center"/>
              <w:rPr>
                <w:rFonts w:ascii="宋体" w:hAnsi="宋体" w:eastAsia="宋体"/>
                <w:b/>
                <w:color w:val="000000" w:themeColor="text1"/>
                <w:sz w:val="32"/>
                <w:szCs w:val="32"/>
                <w14:textFill>
                  <w14:solidFill>
                    <w14:schemeClr w14:val="tx1"/>
                  </w14:solidFill>
                </w14:textFill>
              </w:rPr>
            </w:pPr>
          </w:p>
          <w:p w14:paraId="4C658459">
            <w:pPr>
              <w:jc w:val="center"/>
              <w:rPr>
                <w:rFonts w:ascii="宋体" w:hAnsi="宋体" w:eastAsia="宋体"/>
                <w:b/>
                <w:color w:val="000000" w:themeColor="text1"/>
                <w:sz w:val="32"/>
                <w:szCs w:val="32"/>
                <w14:textFill>
                  <w14:solidFill>
                    <w14:schemeClr w14:val="tx1"/>
                  </w14:solidFill>
                </w14:textFill>
              </w:rPr>
            </w:pPr>
          </w:p>
        </w:tc>
        <w:tc>
          <w:tcPr>
            <w:tcW w:w="967" w:type="dxa"/>
            <w:gridSpan w:val="2"/>
          </w:tcPr>
          <w:p w14:paraId="31696BDD">
            <w:pPr>
              <w:jc w:val="center"/>
              <w:rPr>
                <w:rFonts w:ascii="宋体" w:hAnsi="宋体" w:eastAsia="宋体"/>
                <w:color w:val="000000" w:themeColor="text1"/>
                <w:sz w:val="32"/>
                <w:szCs w:val="32"/>
                <w14:textFill>
                  <w14:solidFill>
                    <w14:schemeClr w14:val="tx1"/>
                  </w14:solidFill>
                </w14:textFill>
              </w:rPr>
            </w:pPr>
          </w:p>
          <w:p w14:paraId="445BBE77">
            <w:pPr>
              <w:jc w:val="center"/>
              <w:rPr>
                <w:rFonts w:ascii="宋体" w:hAnsi="宋体" w:eastAsia="宋体"/>
                <w:color w:val="000000" w:themeColor="text1"/>
                <w:sz w:val="32"/>
                <w:szCs w:val="32"/>
                <w14:textFill>
                  <w14:solidFill>
                    <w14:schemeClr w14:val="tx1"/>
                  </w14:solidFill>
                </w14:textFill>
              </w:rPr>
            </w:pPr>
            <w:r>
              <w:rPr>
                <w:rFonts w:hint="eastAsia" w:ascii="宋体" w:hAnsi="宋体" w:eastAsia="宋体"/>
                <w:color w:val="000000" w:themeColor="text1"/>
                <w:sz w:val="32"/>
                <w:szCs w:val="32"/>
                <w14:textFill>
                  <w14:solidFill>
                    <w14:schemeClr w14:val="tx1"/>
                  </w14:solidFill>
                </w14:textFill>
              </w:rPr>
              <w:t>人大代表政协委员社团组织等意见</w:t>
            </w:r>
          </w:p>
        </w:tc>
        <w:tc>
          <w:tcPr>
            <w:tcW w:w="6372" w:type="dxa"/>
            <w:gridSpan w:val="6"/>
          </w:tcPr>
          <w:p w14:paraId="66AFA550">
            <w:pPr>
              <w:jc w:val="left"/>
              <w:rPr>
                <w:rFonts w:ascii="宋体" w:hAnsi="宋体" w:eastAsia="宋体"/>
                <w:color w:val="000000" w:themeColor="text1"/>
                <w:sz w:val="28"/>
                <w:szCs w:val="28"/>
                <w14:textFill>
                  <w14:solidFill>
                    <w14:schemeClr w14:val="tx1"/>
                  </w14:solidFill>
                </w14:textFill>
              </w:rPr>
            </w:pPr>
            <w:r>
              <w:rPr>
                <w:rFonts w:hint="eastAsia" w:ascii="宋体" w:hAnsi="宋体" w:eastAsia="宋体"/>
                <w:color w:val="000000" w:themeColor="text1"/>
                <w:sz w:val="28"/>
                <w:szCs w:val="28"/>
                <w14:textFill>
                  <w14:solidFill>
                    <w14:schemeClr w14:val="tx1"/>
                  </w14:solidFill>
                </w14:textFill>
              </w:rPr>
              <w:t>（如不涉及可不填）</w:t>
            </w:r>
          </w:p>
          <w:p w14:paraId="58D0D75C">
            <w:pPr>
              <w:jc w:val="left"/>
              <w:rPr>
                <w:rFonts w:ascii="宋体" w:hAnsi="宋体" w:eastAsia="宋体"/>
                <w:color w:val="000000" w:themeColor="text1"/>
                <w:sz w:val="32"/>
                <w:szCs w:val="32"/>
                <w14:textFill>
                  <w14:solidFill>
                    <w14:schemeClr w14:val="tx1"/>
                  </w14:solidFill>
                </w14:textFill>
              </w:rPr>
            </w:pPr>
          </w:p>
          <w:p w14:paraId="399D363F">
            <w:pPr>
              <w:jc w:val="left"/>
              <w:rPr>
                <w:rFonts w:ascii="宋体" w:hAnsi="宋体" w:eastAsia="宋体"/>
                <w:color w:val="000000" w:themeColor="text1"/>
                <w:sz w:val="32"/>
                <w:szCs w:val="32"/>
                <w14:textFill>
                  <w14:solidFill>
                    <w14:schemeClr w14:val="tx1"/>
                  </w14:solidFill>
                </w14:textFill>
              </w:rPr>
            </w:pPr>
          </w:p>
          <w:p w14:paraId="50C6B5CF">
            <w:pPr>
              <w:jc w:val="left"/>
              <w:rPr>
                <w:rFonts w:ascii="宋体" w:hAnsi="宋体" w:eastAsia="宋体"/>
                <w:color w:val="000000" w:themeColor="text1"/>
                <w:sz w:val="32"/>
                <w:szCs w:val="32"/>
                <w14:textFill>
                  <w14:solidFill>
                    <w14:schemeClr w14:val="tx1"/>
                  </w14:solidFill>
                </w14:textFill>
              </w:rPr>
            </w:pPr>
          </w:p>
          <w:p w14:paraId="4921A946">
            <w:pPr>
              <w:jc w:val="left"/>
              <w:rPr>
                <w:rFonts w:ascii="宋体" w:hAnsi="宋体" w:eastAsia="宋体"/>
                <w:color w:val="000000" w:themeColor="text1"/>
                <w:sz w:val="32"/>
                <w:szCs w:val="32"/>
                <w14:textFill>
                  <w14:solidFill>
                    <w14:schemeClr w14:val="tx1"/>
                  </w14:solidFill>
                </w14:textFill>
              </w:rPr>
            </w:pPr>
          </w:p>
        </w:tc>
      </w:tr>
      <w:tr w14:paraId="675AFB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183" w:type="dxa"/>
            <w:vMerge w:val="continue"/>
          </w:tcPr>
          <w:p w14:paraId="082A9FC4">
            <w:pPr>
              <w:jc w:val="center"/>
              <w:rPr>
                <w:rFonts w:ascii="宋体" w:hAnsi="宋体" w:eastAsia="宋体"/>
                <w:b/>
                <w:color w:val="000000" w:themeColor="text1"/>
                <w:sz w:val="32"/>
                <w:szCs w:val="32"/>
                <w14:textFill>
                  <w14:solidFill>
                    <w14:schemeClr w14:val="tx1"/>
                  </w14:solidFill>
                </w14:textFill>
              </w:rPr>
            </w:pPr>
          </w:p>
        </w:tc>
        <w:tc>
          <w:tcPr>
            <w:tcW w:w="967" w:type="dxa"/>
            <w:gridSpan w:val="2"/>
          </w:tcPr>
          <w:p w14:paraId="51B3F11E">
            <w:pPr>
              <w:jc w:val="center"/>
              <w:rPr>
                <w:rFonts w:ascii="宋体" w:hAnsi="宋体" w:eastAsia="宋体"/>
                <w:color w:val="000000" w:themeColor="text1"/>
                <w:sz w:val="32"/>
                <w:szCs w:val="32"/>
                <w14:textFill>
                  <w14:solidFill>
                    <w14:schemeClr w14:val="tx1"/>
                  </w14:solidFill>
                </w14:textFill>
              </w:rPr>
            </w:pPr>
          </w:p>
          <w:p w14:paraId="66F3C54C">
            <w:pPr>
              <w:jc w:val="center"/>
              <w:rPr>
                <w:rFonts w:ascii="宋体" w:hAnsi="宋体" w:eastAsia="宋体"/>
                <w:color w:val="000000" w:themeColor="text1"/>
                <w:sz w:val="32"/>
                <w:szCs w:val="32"/>
                <w14:textFill>
                  <w14:solidFill>
                    <w14:schemeClr w14:val="tx1"/>
                  </w14:solidFill>
                </w14:textFill>
              </w:rPr>
            </w:pPr>
            <w:r>
              <w:rPr>
                <w:rFonts w:hint="eastAsia" w:ascii="宋体" w:hAnsi="宋体" w:eastAsia="宋体"/>
                <w:color w:val="000000" w:themeColor="text1"/>
                <w:sz w:val="32"/>
                <w:szCs w:val="32"/>
                <w14:textFill>
                  <w14:solidFill>
                    <w14:schemeClr w14:val="tx1"/>
                  </w14:solidFill>
                </w14:textFill>
              </w:rPr>
              <w:t>相</w:t>
            </w:r>
          </w:p>
          <w:p w14:paraId="375A7B70">
            <w:pPr>
              <w:jc w:val="center"/>
              <w:rPr>
                <w:rFonts w:ascii="宋体" w:hAnsi="宋体" w:eastAsia="宋体"/>
                <w:color w:val="000000" w:themeColor="text1"/>
                <w:sz w:val="32"/>
                <w:szCs w:val="32"/>
                <w14:textFill>
                  <w14:solidFill>
                    <w14:schemeClr w14:val="tx1"/>
                  </w14:solidFill>
                </w14:textFill>
              </w:rPr>
            </w:pPr>
            <w:r>
              <w:rPr>
                <w:rFonts w:hint="eastAsia" w:ascii="宋体" w:hAnsi="宋体" w:eastAsia="宋体"/>
                <w:color w:val="000000" w:themeColor="text1"/>
                <w:sz w:val="32"/>
                <w:szCs w:val="32"/>
                <w14:textFill>
                  <w14:solidFill>
                    <w14:schemeClr w14:val="tx1"/>
                  </w14:solidFill>
                </w14:textFill>
              </w:rPr>
              <w:t>关</w:t>
            </w:r>
          </w:p>
          <w:p w14:paraId="49B3F21C">
            <w:pPr>
              <w:jc w:val="center"/>
              <w:rPr>
                <w:rFonts w:ascii="宋体" w:hAnsi="宋体" w:eastAsia="宋体"/>
                <w:color w:val="000000" w:themeColor="text1"/>
                <w:sz w:val="32"/>
                <w:szCs w:val="32"/>
                <w14:textFill>
                  <w14:solidFill>
                    <w14:schemeClr w14:val="tx1"/>
                  </w14:solidFill>
                </w14:textFill>
              </w:rPr>
            </w:pPr>
            <w:r>
              <w:rPr>
                <w:rFonts w:hint="eastAsia" w:ascii="宋体" w:hAnsi="宋体" w:eastAsia="宋体"/>
                <w:color w:val="000000" w:themeColor="text1"/>
                <w:sz w:val="32"/>
                <w:szCs w:val="32"/>
                <w14:textFill>
                  <w14:solidFill>
                    <w14:schemeClr w14:val="tx1"/>
                  </w14:solidFill>
                </w14:textFill>
              </w:rPr>
              <w:t>专</w:t>
            </w:r>
          </w:p>
          <w:p w14:paraId="2C74A28B">
            <w:pPr>
              <w:jc w:val="center"/>
              <w:rPr>
                <w:rFonts w:ascii="宋体" w:hAnsi="宋体" w:eastAsia="宋体"/>
                <w:color w:val="000000" w:themeColor="text1"/>
                <w:sz w:val="32"/>
                <w:szCs w:val="32"/>
                <w14:textFill>
                  <w14:solidFill>
                    <w14:schemeClr w14:val="tx1"/>
                  </w14:solidFill>
                </w14:textFill>
              </w:rPr>
            </w:pPr>
            <w:r>
              <w:rPr>
                <w:rFonts w:hint="eastAsia" w:ascii="宋体" w:hAnsi="宋体" w:eastAsia="宋体"/>
                <w:color w:val="000000" w:themeColor="text1"/>
                <w:sz w:val="32"/>
                <w:szCs w:val="32"/>
                <w14:textFill>
                  <w14:solidFill>
                    <w14:schemeClr w14:val="tx1"/>
                  </w14:solidFill>
                </w14:textFill>
              </w:rPr>
              <w:t>家</w:t>
            </w:r>
          </w:p>
          <w:p w14:paraId="42087223">
            <w:pPr>
              <w:jc w:val="center"/>
              <w:rPr>
                <w:rFonts w:ascii="宋体" w:hAnsi="宋体" w:eastAsia="宋体"/>
                <w:color w:val="000000" w:themeColor="text1"/>
                <w:sz w:val="32"/>
                <w:szCs w:val="32"/>
                <w14:textFill>
                  <w14:solidFill>
                    <w14:schemeClr w14:val="tx1"/>
                  </w14:solidFill>
                </w14:textFill>
              </w:rPr>
            </w:pPr>
            <w:r>
              <w:rPr>
                <w:rFonts w:hint="eastAsia" w:ascii="宋体" w:hAnsi="宋体" w:eastAsia="宋体"/>
                <w:color w:val="000000" w:themeColor="text1"/>
                <w:sz w:val="32"/>
                <w:szCs w:val="32"/>
                <w14:textFill>
                  <w14:solidFill>
                    <w14:schemeClr w14:val="tx1"/>
                  </w14:solidFill>
                </w14:textFill>
              </w:rPr>
              <w:t>意</w:t>
            </w:r>
          </w:p>
          <w:p w14:paraId="7A197CBD">
            <w:pPr>
              <w:jc w:val="center"/>
              <w:rPr>
                <w:rFonts w:ascii="宋体" w:hAnsi="宋体" w:eastAsia="宋体"/>
                <w:color w:val="000000" w:themeColor="text1"/>
                <w:sz w:val="32"/>
                <w:szCs w:val="32"/>
                <w14:textFill>
                  <w14:solidFill>
                    <w14:schemeClr w14:val="tx1"/>
                  </w14:solidFill>
                </w14:textFill>
              </w:rPr>
            </w:pPr>
            <w:r>
              <w:rPr>
                <w:rFonts w:hint="eastAsia" w:ascii="宋体" w:hAnsi="宋体" w:eastAsia="宋体"/>
                <w:color w:val="000000" w:themeColor="text1"/>
                <w:sz w:val="32"/>
                <w:szCs w:val="32"/>
                <w14:textFill>
                  <w14:solidFill>
                    <w14:schemeClr w14:val="tx1"/>
                  </w14:solidFill>
                </w14:textFill>
              </w:rPr>
              <w:t>见</w:t>
            </w:r>
          </w:p>
        </w:tc>
        <w:tc>
          <w:tcPr>
            <w:tcW w:w="6372" w:type="dxa"/>
            <w:gridSpan w:val="6"/>
          </w:tcPr>
          <w:p w14:paraId="07A2B811">
            <w:pPr>
              <w:jc w:val="left"/>
              <w:rPr>
                <w:rFonts w:ascii="宋体" w:hAnsi="宋体" w:eastAsia="宋体"/>
                <w:color w:val="000000" w:themeColor="text1"/>
                <w:sz w:val="32"/>
                <w:szCs w:val="32"/>
                <w14:textFill>
                  <w14:solidFill>
                    <w14:schemeClr w14:val="tx1"/>
                  </w14:solidFill>
                </w14:textFill>
              </w:rPr>
            </w:pPr>
          </w:p>
          <w:p w14:paraId="102151C1">
            <w:pPr>
              <w:jc w:val="left"/>
              <w:rPr>
                <w:rFonts w:ascii="宋体" w:hAnsi="宋体" w:eastAsia="宋体"/>
                <w:color w:val="000000" w:themeColor="text1"/>
                <w:sz w:val="32"/>
                <w:szCs w:val="32"/>
                <w14:textFill>
                  <w14:solidFill>
                    <w14:schemeClr w14:val="tx1"/>
                  </w14:solidFill>
                </w14:textFill>
              </w:rPr>
            </w:pPr>
          </w:p>
          <w:p w14:paraId="6A16B2B6">
            <w:pPr>
              <w:jc w:val="left"/>
              <w:rPr>
                <w:rFonts w:ascii="宋体" w:hAnsi="宋体" w:eastAsia="宋体"/>
                <w:color w:val="000000" w:themeColor="text1"/>
                <w:sz w:val="32"/>
                <w:szCs w:val="32"/>
                <w14:textFill>
                  <w14:solidFill>
                    <w14:schemeClr w14:val="tx1"/>
                  </w14:solidFill>
                </w14:textFill>
              </w:rPr>
            </w:pPr>
          </w:p>
          <w:p w14:paraId="464B7E7E">
            <w:pPr>
              <w:jc w:val="left"/>
              <w:rPr>
                <w:rFonts w:ascii="宋体" w:hAnsi="宋体" w:eastAsia="宋体"/>
                <w:color w:val="000000" w:themeColor="text1"/>
                <w:sz w:val="32"/>
                <w:szCs w:val="32"/>
                <w14:textFill>
                  <w14:solidFill>
                    <w14:schemeClr w14:val="tx1"/>
                  </w14:solidFill>
                </w14:textFill>
              </w:rPr>
            </w:pPr>
          </w:p>
          <w:p w14:paraId="0880AC7D">
            <w:pPr>
              <w:jc w:val="left"/>
              <w:rPr>
                <w:rFonts w:ascii="宋体" w:hAnsi="宋体" w:eastAsia="宋体"/>
                <w:color w:val="000000" w:themeColor="text1"/>
                <w:sz w:val="32"/>
                <w:szCs w:val="32"/>
                <w14:textFill>
                  <w14:solidFill>
                    <w14:schemeClr w14:val="tx1"/>
                  </w14:solidFill>
                </w14:textFill>
              </w:rPr>
            </w:pPr>
          </w:p>
          <w:p w14:paraId="3BE9B6A3">
            <w:pPr>
              <w:jc w:val="left"/>
              <w:rPr>
                <w:rFonts w:ascii="宋体" w:hAnsi="宋体" w:eastAsia="宋体"/>
                <w:color w:val="000000" w:themeColor="text1"/>
                <w:sz w:val="32"/>
                <w:szCs w:val="32"/>
                <w14:textFill>
                  <w14:solidFill>
                    <w14:schemeClr w14:val="tx1"/>
                  </w14:solidFill>
                </w14:textFill>
              </w:rPr>
            </w:pPr>
          </w:p>
          <w:p w14:paraId="59D2E834">
            <w:pPr>
              <w:jc w:val="left"/>
              <w:rPr>
                <w:rFonts w:ascii="宋体" w:hAnsi="宋体" w:eastAsia="宋体"/>
                <w:color w:val="000000" w:themeColor="text1"/>
                <w:sz w:val="32"/>
                <w:szCs w:val="32"/>
                <w14:textFill>
                  <w14:solidFill>
                    <w14:schemeClr w14:val="tx1"/>
                  </w14:solidFill>
                </w14:textFill>
              </w:rPr>
            </w:pPr>
          </w:p>
        </w:tc>
      </w:tr>
      <w:tr w14:paraId="2F0C90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8" w:hRule="atLeast"/>
        </w:trPr>
        <w:tc>
          <w:tcPr>
            <w:tcW w:w="1183" w:type="dxa"/>
            <w:vMerge w:val="continue"/>
          </w:tcPr>
          <w:p w14:paraId="4BB5AB10">
            <w:pPr>
              <w:jc w:val="center"/>
              <w:rPr>
                <w:rFonts w:ascii="宋体" w:hAnsi="宋体" w:eastAsia="宋体"/>
                <w:b/>
                <w:color w:val="000000" w:themeColor="text1"/>
                <w:sz w:val="32"/>
                <w:szCs w:val="32"/>
                <w14:textFill>
                  <w14:solidFill>
                    <w14:schemeClr w14:val="tx1"/>
                  </w14:solidFill>
                </w14:textFill>
              </w:rPr>
            </w:pPr>
          </w:p>
        </w:tc>
        <w:tc>
          <w:tcPr>
            <w:tcW w:w="967" w:type="dxa"/>
            <w:gridSpan w:val="2"/>
          </w:tcPr>
          <w:p w14:paraId="4E8C17DF">
            <w:pPr>
              <w:jc w:val="center"/>
              <w:rPr>
                <w:rFonts w:ascii="宋体" w:hAnsi="宋体" w:eastAsia="宋体"/>
                <w:color w:val="000000" w:themeColor="text1"/>
                <w:sz w:val="32"/>
                <w:szCs w:val="32"/>
                <w14:textFill>
                  <w14:solidFill>
                    <w14:schemeClr w14:val="tx1"/>
                  </w14:solidFill>
                </w14:textFill>
              </w:rPr>
            </w:pPr>
            <w:r>
              <w:rPr>
                <w:rFonts w:hint="eastAsia" w:ascii="宋体" w:hAnsi="宋体" w:eastAsia="宋体"/>
                <w:color w:val="000000" w:themeColor="text1"/>
                <w:sz w:val="32"/>
                <w:szCs w:val="32"/>
                <w14:textFill>
                  <w14:solidFill>
                    <w14:schemeClr w14:val="tx1"/>
                  </w14:solidFill>
                </w14:textFill>
              </w:rPr>
              <w:t xml:space="preserve">党委政府及相关部门意见 </w:t>
            </w:r>
          </w:p>
        </w:tc>
        <w:tc>
          <w:tcPr>
            <w:tcW w:w="6372" w:type="dxa"/>
            <w:gridSpan w:val="6"/>
          </w:tcPr>
          <w:p w14:paraId="4C7A0D7D">
            <w:pPr>
              <w:jc w:val="left"/>
              <w:rPr>
                <w:rFonts w:ascii="宋体" w:hAnsi="宋体" w:eastAsia="宋体"/>
                <w:color w:val="000000" w:themeColor="text1"/>
                <w:sz w:val="32"/>
                <w:szCs w:val="32"/>
                <w14:textFill>
                  <w14:solidFill>
                    <w14:schemeClr w14:val="tx1"/>
                  </w14:solidFill>
                </w14:textFill>
              </w:rPr>
            </w:pPr>
          </w:p>
          <w:p w14:paraId="687CAC04">
            <w:pPr>
              <w:jc w:val="left"/>
              <w:rPr>
                <w:rFonts w:ascii="宋体" w:hAnsi="宋体" w:eastAsia="宋体"/>
                <w:color w:val="000000" w:themeColor="text1"/>
                <w:sz w:val="32"/>
                <w:szCs w:val="32"/>
                <w14:textFill>
                  <w14:solidFill>
                    <w14:schemeClr w14:val="tx1"/>
                  </w14:solidFill>
                </w14:textFill>
              </w:rPr>
            </w:pPr>
          </w:p>
          <w:p w14:paraId="0B3CD9E9">
            <w:pPr>
              <w:jc w:val="left"/>
              <w:rPr>
                <w:rFonts w:ascii="宋体" w:hAnsi="宋体" w:eastAsia="宋体"/>
                <w:color w:val="000000" w:themeColor="text1"/>
                <w:sz w:val="32"/>
                <w:szCs w:val="32"/>
                <w14:textFill>
                  <w14:solidFill>
                    <w14:schemeClr w14:val="tx1"/>
                  </w14:solidFill>
                </w14:textFill>
              </w:rPr>
            </w:pPr>
          </w:p>
          <w:p w14:paraId="14948AF3">
            <w:pPr>
              <w:jc w:val="left"/>
              <w:rPr>
                <w:rFonts w:ascii="宋体" w:hAnsi="宋体" w:eastAsia="宋体"/>
                <w:color w:val="000000" w:themeColor="text1"/>
                <w:sz w:val="32"/>
                <w:szCs w:val="32"/>
                <w14:textFill>
                  <w14:solidFill>
                    <w14:schemeClr w14:val="tx1"/>
                  </w14:solidFill>
                </w14:textFill>
              </w:rPr>
            </w:pPr>
          </w:p>
          <w:p w14:paraId="43EA1ABB">
            <w:pPr>
              <w:jc w:val="left"/>
              <w:rPr>
                <w:rFonts w:ascii="宋体" w:hAnsi="宋体" w:eastAsia="宋体"/>
                <w:color w:val="000000" w:themeColor="text1"/>
                <w:sz w:val="32"/>
                <w:szCs w:val="32"/>
                <w14:textFill>
                  <w14:solidFill>
                    <w14:schemeClr w14:val="tx1"/>
                  </w14:solidFill>
                </w14:textFill>
              </w:rPr>
            </w:pPr>
          </w:p>
          <w:p w14:paraId="070C7395">
            <w:pPr>
              <w:jc w:val="left"/>
              <w:rPr>
                <w:rFonts w:ascii="宋体" w:hAnsi="宋体" w:eastAsia="宋体"/>
                <w:color w:val="000000" w:themeColor="text1"/>
                <w:sz w:val="32"/>
                <w:szCs w:val="32"/>
                <w14:textFill>
                  <w14:solidFill>
                    <w14:schemeClr w14:val="tx1"/>
                  </w14:solidFill>
                </w14:textFill>
              </w:rPr>
            </w:pPr>
          </w:p>
        </w:tc>
      </w:tr>
      <w:tr w14:paraId="3262C1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9" w:hRule="atLeast"/>
        </w:trPr>
        <w:tc>
          <w:tcPr>
            <w:tcW w:w="1183" w:type="dxa"/>
          </w:tcPr>
          <w:p w14:paraId="4B1E229A">
            <w:pPr>
              <w:rPr>
                <w:rFonts w:ascii="宋体" w:hAnsi="宋体" w:eastAsia="宋体"/>
                <w:b/>
                <w:color w:val="000000" w:themeColor="text1"/>
                <w:sz w:val="32"/>
                <w:szCs w:val="32"/>
                <w14:textFill>
                  <w14:solidFill>
                    <w14:schemeClr w14:val="tx1"/>
                  </w14:solidFill>
                </w14:textFill>
              </w:rPr>
            </w:pPr>
          </w:p>
          <w:p w14:paraId="165F4052">
            <w:pPr>
              <w:jc w:val="center"/>
              <w:rPr>
                <w:rFonts w:ascii="宋体" w:hAnsi="宋体" w:eastAsia="宋体"/>
                <w:b/>
                <w:color w:val="000000" w:themeColor="text1"/>
                <w:sz w:val="32"/>
                <w:szCs w:val="32"/>
                <w14:textFill>
                  <w14:solidFill>
                    <w14:schemeClr w14:val="tx1"/>
                  </w14:solidFill>
                </w14:textFill>
              </w:rPr>
            </w:pPr>
            <w:r>
              <w:rPr>
                <w:rFonts w:hint="eastAsia" w:ascii="宋体" w:hAnsi="宋体" w:eastAsia="宋体"/>
                <w:b/>
                <w:color w:val="000000" w:themeColor="text1"/>
                <w:sz w:val="32"/>
                <w:szCs w:val="32"/>
                <w14:textFill>
                  <w14:solidFill>
                    <w14:schemeClr w14:val="tx1"/>
                  </w14:solidFill>
                </w14:textFill>
              </w:rPr>
              <w:t>决</w:t>
            </w:r>
          </w:p>
          <w:p w14:paraId="2D83BAFB">
            <w:pPr>
              <w:jc w:val="center"/>
              <w:rPr>
                <w:rFonts w:ascii="宋体" w:hAnsi="宋体" w:eastAsia="宋体"/>
                <w:b/>
                <w:color w:val="000000" w:themeColor="text1"/>
                <w:sz w:val="32"/>
                <w:szCs w:val="32"/>
                <w14:textFill>
                  <w14:solidFill>
                    <w14:schemeClr w14:val="tx1"/>
                  </w14:solidFill>
                </w14:textFill>
              </w:rPr>
            </w:pPr>
            <w:r>
              <w:rPr>
                <w:rFonts w:hint="eastAsia" w:ascii="宋体" w:hAnsi="宋体" w:eastAsia="宋体"/>
                <w:b/>
                <w:color w:val="000000" w:themeColor="text1"/>
                <w:sz w:val="32"/>
                <w:szCs w:val="32"/>
                <w14:textFill>
                  <w14:solidFill>
                    <w14:schemeClr w14:val="tx1"/>
                  </w14:solidFill>
                </w14:textFill>
              </w:rPr>
              <w:t>策</w:t>
            </w:r>
          </w:p>
          <w:p w14:paraId="7BB3B2B5">
            <w:pPr>
              <w:jc w:val="center"/>
              <w:rPr>
                <w:rFonts w:ascii="宋体" w:hAnsi="宋体" w:eastAsia="宋体"/>
                <w:b/>
                <w:color w:val="000000" w:themeColor="text1"/>
                <w:sz w:val="32"/>
                <w:szCs w:val="32"/>
                <w14:textFill>
                  <w14:solidFill>
                    <w14:schemeClr w14:val="tx1"/>
                  </w14:solidFill>
                </w14:textFill>
              </w:rPr>
            </w:pPr>
            <w:r>
              <w:rPr>
                <w:rFonts w:hint="eastAsia" w:ascii="宋体" w:hAnsi="宋体" w:eastAsia="宋体"/>
                <w:b/>
                <w:color w:val="000000" w:themeColor="text1"/>
                <w:sz w:val="32"/>
                <w:szCs w:val="32"/>
                <w14:textFill>
                  <w14:solidFill>
                    <w14:schemeClr w14:val="tx1"/>
                  </w14:solidFill>
                </w14:textFill>
              </w:rPr>
              <w:t>合</w:t>
            </w:r>
          </w:p>
          <w:p w14:paraId="5EF90F1E">
            <w:pPr>
              <w:jc w:val="center"/>
              <w:rPr>
                <w:rFonts w:ascii="宋体" w:hAnsi="宋体" w:eastAsia="宋体"/>
                <w:b/>
                <w:color w:val="000000" w:themeColor="text1"/>
                <w:sz w:val="32"/>
                <w:szCs w:val="32"/>
                <w14:textFill>
                  <w14:solidFill>
                    <w14:schemeClr w14:val="tx1"/>
                  </w14:solidFill>
                </w14:textFill>
              </w:rPr>
            </w:pPr>
            <w:r>
              <w:rPr>
                <w:rFonts w:hint="eastAsia" w:ascii="宋体" w:hAnsi="宋体" w:eastAsia="宋体"/>
                <w:b/>
                <w:color w:val="000000" w:themeColor="text1"/>
                <w:sz w:val="32"/>
                <w:szCs w:val="32"/>
                <w14:textFill>
                  <w14:solidFill>
                    <w14:schemeClr w14:val="tx1"/>
                  </w14:solidFill>
                </w14:textFill>
              </w:rPr>
              <w:t>法</w:t>
            </w:r>
          </w:p>
          <w:p w14:paraId="33624613">
            <w:pPr>
              <w:jc w:val="center"/>
              <w:rPr>
                <w:rFonts w:ascii="宋体" w:hAnsi="宋体" w:eastAsia="宋体"/>
                <w:b/>
                <w:color w:val="000000" w:themeColor="text1"/>
                <w:sz w:val="32"/>
                <w:szCs w:val="32"/>
                <w14:textFill>
                  <w14:solidFill>
                    <w14:schemeClr w14:val="tx1"/>
                  </w14:solidFill>
                </w14:textFill>
              </w:rPr>
            </w:pPr>
            <w:r>
              <w:rPr>
                <w:rFonts w:hint="eastAsia" w:ascii="宋体" w:hAnsi="宋体" w:eastAsia="宋体"/>
                <w:b/>
                <w:color w:val="000000" w:themeColor="text1"/>
                <w:sz w:val="32"/>
                <w:szCs w:val="32"/>
                <w14:textFill>
                  <w14:solidFill>
                    <w14:schemeClr w14:val="tx1"/>
                  </w14:solidFill>
                </w14:textFill>
              </w:rPr>
              <w:t>性</w:t>
            </w:r>
          </w:p>
          <w:p w14:paraId="6430EF6E">
            <w:pPr>
              <w:jc w:val="center"/>
              <w:rPr>
                <w:rFonts w:ascii="宋体" w:hAnsi="宋体" w:eastAsia="宋体"/>
                <w:b/>
                <w:color w:val="000000" w:themeColor="text1"/>
                <w:sz w:val="32"/>
                <w:szCs w:val="32"/>
                <w14:textFill>
                  <w14:solidFill>
                    <w14:schemeClr w14:val="tx1"/>
                  </w14:solidFill>
                </w14:textFill>
              </w:rPr>
            </w:pPr>
            <w:r>
              <w:rPr>
                <w:rFonts w:hint="eastAsia" w:ascii="宋体" w:hAnsi="宋体" w:eastAsia="宋体"/>
                <w:b/>
                <w:color w:val="000000" w:themeColor="text1"/>
                <w:sz w:val="32"/>
                <w:szCs w:val="32"/>
                <w14:textFill>
                  <w14:solidFill>
                    <w14:schemeClr w14:val="tx1"/>
                  </w14:solidFill>
                </w14:textFill>
              </w:rPr>
              <w:t>合</w:t>
            </w:r>
          </w:p>
          <w:p w14:paraId="7F8B1DBD">
            <w:pPr>
              <w:jc w:val="center"/>
              <w:rPr>
                <w:rFonts w:ascii="宋体" w:hAnsi="宋体" w:eastAsia="宋体"/>
                <w:b/>
                <w:color w:val="000000" w:themeColor="text1"/>
                <w:sz w:val="32"/>
                <w:szCs w:val="32"/>
                <w14:textFill>
                  <w14:solidFill>
                    <w14:schemeClr w14:val="tx1"/>
                  </w14:solidFill>
                </w14:textFill>
              </w:rPr>
            </w:pPr>
            <w:r>
              <w:rPr>
                <w:rFonts w:hint="eastAsia" w:ascii="宋体" w:hAnsi="宋体" w:eastAsia="宋体"/>
                <w:b/>
                <w:color w:val="000000" w:themeColor="text1"/>
                <w:sz w:val="32"/>
                <w:szCs w:val="32"/>
                <w14:textFill>
                  <w14:solidFill>
                    <w14:schemeClr w14:val="tx1"/>
                  </w14:solidFill>
                </w14:textFill>
              </w:rPr>
              <w:t>理</w:t>
            </w:r>
          </w:p>
          <w:p w14:paraId="39302C67">
            <w:pPr>
              <w:jc w:val="center"/>
              <w:rPr>
                <w:rFonts w:ascii="宋体" w:hAnsi="宋体" w:eastAsia="宋体"/>
                <w:b/>
                <w:color w:val="000000" w:themeColor="text1"/>
                <w:sz w:val="32"/>
                <w:szCs w:val="32"/>
                <w14:textFill>
                  <w14:solidFill>
                    <w14:schemeClr w14:val="tx1"/>
                  </w14:solidFill>
                </w14:textFill>
              </w:rPr>
            </w:pPr>
            <w:r>
              <w:rPr>
                <w:rFonts w:hint="eastAsia" w:ascii="宋体" w:hAnsi="宋体" w:eastAsia="宋体"/>
                <w:b/>
                <w:color w:val="000000" w:themeColor="text1"/>
                <w:sz w:val="32"/>
                <w:szCs w:val="32"/>
                <w14:textFill>
                  <w14:solidFill>
                    <w14:schemeClr w14:val="tx1"/>
                  </w14:solidFill>
                </w14:textFill>
              </w:rPr>
              <w:t>性</w:t>
            </w:r>
          </w:p>
          <w:p w14:paraId="712F7E22">
            <w:pPr>
              <w:jc w:val="center"/>
              <w:rPr>
                <w:rFonts w:ascii="宋体" w:hAnsi="宋体" w:eastAsia="宋体"/>
                <w:b/>
                <w:color w:val="000000" w:themeColor="text1"/>
                <w:sz w:val="32"/>
                <w:szCs w:val="32"/>
                <w14:textFill>
                  <w14:solidFill>
                    <w14:schemeClr w14:val="tx1"/>
                  </w14:solidFill>
                </w14:textFill>
              </w:rPr>
            </w:pPr>
            <w:r>
              <w:rPr>
                <w:rFonts w:hint="eastAsia" w:ascii="宋体" w:hAnsi="宋体" w:eastAsia="宋体"/>
                <w:b/>
                <w:color w:val="000000" w:themeColor="text1"/>
                <w:sz w:val="32"/>
                <w:szCs w:val="32"/>
                <w14:textFill>
                  <w14:solidFill>
                    <w14:schemeClr w14:val="tx1"/>
                  </w14:solidFill>
                </w14:textFill>
              </w:rPr>
              <w:t>可</w:t>
            </w:r>
          </w:p>
          <w:p w14:paraId="241099B8">
            <w:pPr>
              <w:jc w:val="center"/>
              <w:rPr>
                <w:rFonts w:ascii="宋体" w:hAnsi="宋体" w:eastAsia="宋体"/>
                <w:b/>
                <w:color w:val="000000" w:themeColor="text1"/>
                <w:sz w:val="32"/>
                <w:szCs w:val="32"/>
                <w14:textFill>
                  <w14:solidFill>
                    <w14:schemeClr w14:val="tx1"/>
                  </w14:solidFill>
                </w14:textFill>
              </w:rPr>
            </w:pPr>
            <w:r>
              <w:rPr>
                <w:rFonts w:hint="eastAsia" w:ascii="宋体" w:hAnsi="宋体" w:eastAsia="宋体"/>
                <w:b/>
                <w:color w:val="000000" w:themeColor="text1"/>
                <w:sz w:val="32"/>
                <w:szCs w:val="32"/>
                <w14:textFill>
                  <w14:solidFill>
                    <w14:schemeClr w14:val="tx1"/>
                  </w14:solidFill>
                </w14:textFill>
              </w:rPr>
              <w:t>行</w:t>
            </w:r>
          </w:p>
          <w:p w14:paraId="728C1E67">
            <w:pPr>
              <w:jc w:val="center"/>
              <w:rPr>
                <w:rFonts w:ascii="宋体" w:hAnsi="宋体" w:eastAsia="宋体"/>
                <w:b/>
                <w:color w:val="000000" w:themeColor="text1"/>
                <w:sz w:val="32"/>
                <w:szCs w:val="32"/>
                <w14:textFill>
                  <w14:solidFill>
                    <w14:schemeClr w14:val="tx1"/>
                  </w14:solidFill>
                </w14:textFill>
              </w:rPr>
            </w:pPr>
            <w:r>
              <w:rPr>
                <w:rFonts w:hint="eastAsia" w:ascii="宋体" w:hAnsi="宋体" w:eastAsia="宋体"/>
                <w:b/>
                <w:color w:val="000000" w:themeColor="text1"/>
                <w:sz w:val="32"/>
                <w:szCs w:val="32"/>
                <w14:textFill>
                  <w14:solidFill>
                    <w14:schemeClr w14:val="tx1"/>
                  </w14:solidFill>
                </w14:textFill>
              </w:rPr>
              <w:t>性</w:t>
            </w:r>
          </w:p>
          <w:p w14:paraId="736CDD2C">
            <w:pPr>
              <w:jc w:val="center"/>
              <w:rPr>
                <w:rFonts w:ascii="宋体" w:hAnsi="宋体" w:eastAsia="宋体"/>
                <w:b/>
                <w:color w:val="000000" w:themeColor="text1"/>
                <w:sz w:val="32"/>
                <w:szCs w:val="32"/>
                <w14:textFill>
                  <w14:solidFill>
                    <w14:schemeClr w14:val="tx1"/>
                  </w14:solidFill>
                </w14:textFill>
              </w:rPr>
            </w:pPr>
            <w:r>
              <w:rPr>
                <w:rFonts w:hint="eastAsia" w:ascii="宋体" w:hAnsi="宋体" w:eastAsia="宋体"/>
                <w:b/>
                <w:color w:val="000000" w:themeColor="text1"/>
                <w:sz w:val="32"/>
                <w:szCs w:val="32"/>
                <w14:textFill>
                  <w14:solidFill>
                    <w14:schemeClr w14:val="tx1"/>
                  </w14:solidFill>
                </w14:textFill>
              </w:rPr>
              <w:t>可</w:t>
            </w:r>
          </w:p>
          <w:p w14:paraId="434DE554">
            <w:pPr>
              <w:jc w:val="center"/>
              <w:rPr>
                <w:rFonts w:ascii="宋体" w:hAnsi="宋体" w:eastAsia="宋体"/>
                <w:b/>
                <w:color w:val="000000" w:themeColor="text1"/>
                <w:sz w:val="32"/>
                <w:szCs w:val="32"/>
                <w14:textFill>
                  <w14:solidFill>
                    <w14:schemeClr w14:val="tx1"/>
                  </w14:solidFill>
                </w14:textFill>
              </w:rPr>
            </w:pPr>
            <w:r>
              <w:rPr>
                <w:rFonts w:hint="eastAsia" w:ascii="宋体" w:hAnsi="宋体" w:eastAsia="宋体"/>
                <w:b/>
                <w:color w:val="000000" w:themeColor="text1"/>
                <w:sz w:val="32"/>
                <w:szCs w:val="32"/>
                <w14:textFill>
                  <w14:solidFill>
                    <w14:schemeClr w14:val="tx1"/>
                  </w14:solidFill>
                </w14:textFill>
              </w:rPr>
              <w:t>控</w:t>
            </w:r>
          </w:p>
          <w:p w14:paraId="687723AE">
            <w:pPr>
              <w:jc w:val="center"/>
              <w:rPr>
                <w:rFonts w:ascii="宋体" w:hAnsi="宋体" w:eastAsia="宋体"/>
                <w:b/>
                <w:color w:val="000000" w:themeColor="text1"/>
                <w:sz w:val="32"/>
                <w:szCs w:val="32"/>
                <w14:textFill>
                  <w14:solidFill>
                    <w14:schemeClr w14:val="tx1"/>
                  </w14:solidFill>
                </w14:textFill>
              </w:rPr>
            </w:pPr>
            <w:r>
              <w:rPr>
                <w:rFonts w:hint="eastAsia" w:ascii="宋体" w:hAnsi="宋体" w:eastAsia="宋体"/>
                <w:b/>
                <w:color w:val="000000" w:themeColor="text1"/>
                <w:sz w:val="32"/>
                <w:szCs w:val="32"/>
                <w14:textFill>
                  <w14:solidFill>
                    <w14:schemeClr w14:val="tx1"/>
                  </w14:solidFill>
                </w14:textFill>
              </w:rPr>
              <w:t>性</w:t>
            </w:r>
          </w:p>
          <w:p w14:paraId="32A45DFF">
            <w:pPr>
              <w:jc w:val="center"/>
              <w:rPr>
                <w:rFonts w:ascii="宋体" w:hAnsi="宋体" w:eastAsia="宋体"/>
                <w:b/>
                <w:color w:val="000000" w:themeColor="text1"/>
                <w:sz w:val="32"/>
                <w:szCs w:val="32"/>
                <w14:textFill>
                  <w14:solidFill>
                    <w14:schemeClr w14:val="tx1"/>
                  </w14:solidFill>
                </w14:textFill>
              </w:rPr>
            </w:pPr>
            <w:r>
              <w:rPr>
                <w:rFonts w:hint="eastAsia" w:ascii="宋体" w:hAnsi="宋体" w:eastAsia="宋体"/>
                <w:b/>
                <w:color w:val="000000" w:themeColor="text1"/>
                <w:sz w:val="32"/>
                <w:szCs w:val="32"/>
                <w14:textFill>
                  <w14:solidFill>
                    <w14:schemeClr w14:val="tx1"/>
                  </w14:solidFill>
                </w14:textFill>
              </w:rPr>
              <w:t>分</w:t>
            </w:r>
          </w:p>
          <w:p w14:paraId="3F3A05FB">
            <w:pPr>
              <w:jc w:val="center"/>
              <w:rPr>
                <w:rFonts w:ascii="宋体" w:hAnsi="宋体" w:eastAsia="宋体"/>
                <w:b/>
                <w:color w:val="000000" w:themeColor="text1"/>
                <w:sz w:val="32"/>
                <w:szCs w:val="32"/>
                <w14:textFill>
                  <w14:solidFill>
                    <w14:schemeClr w14:val="tx1"/>
                  </w14:solidFill>
                </w14:textFill>
              </w:rPr>
            </w:pPr>
            <w:r>
              <w:rPr>
                <w:rFonts w:hint="eastAsia" w:ascii="宋体" w:hAnsi="宋体" w:eastAsia="宋体"/>
                <w:b/>
                <w:color w:val="000000" w:themeColor="text1"/>
                <w:sz w:val="32"/>
                <w:szCs w:val="32"/>
                <w14:textFill>
                  <w14:solidFill>
                    <w14:schemeClr w14:val="tx1"/>
                  </w14:solidFill>
                </w14:textFill>
              </w:rPr>
              <w:t>析</w:t>
            </w:r>
          </w:p>
          <w:p w14:paraId="0AFF6DF5">
            <w:pPr>
              <w:jc w:val="center"/>
              <w:rPr>
                <w:rFonts w:ascii="宋体" w:hAnsi="宋体" w:eastAsia="宋体"/>
                <w:b/>
                <w:color w:val="000000" w:themeColor="text1"/>
                <w:sz w:val="32"/>
                <w:szCs w:val="32"/>
                <w14:textFill>
                  <w14:solidFill>
                    <w14:schemeClr w14:val="tx1"/>
                  </w14:solidFill>
                </w14:textFill>
              </w:rPr>
            </w:pPr>
          </w:p>
        </w:tc>
        <w:tc>
          <w:tcPr>
            <w:tcW w:w="7339" w:type="dxa"/>
            <w:gridSpan w:val="8"/>
          </w:tcPr>
          <w:p w14:paraId="12F17A6C">
            <w:pPr>
              <w:jc w:val="left"/>
            </w:pPr>
          </w:p>
          <w:p w14:paraId="4BE8D70D">
            <w:pPr>
              <w:pStyle w:val="24"/>
              <w:ind w:left="420" w:firstLine="640"/>
              <w:rPr>
                <w:rFonts w:ascii="宋体" w:hAnsi="宋体" w:eastAsia="宋体"/>
                <w:color w:val="000000" w:themeColor="text1"/>
                <w:sz w:val="32"/>
                <w:szCs w:val="32"/>
                <w14:textFill>
                  <w14:solidFill>
                    <w14:schemeClr w14:val="tx1"/>
                  </w14:solidFill>
                </w14:textFill>
              </w:rPr>
            </w:pPr>
          </w:p>
          <w:p w14:paraId="3C9779EF">
            <w:pPr>
              <w:pStyle w:val="24"/>
              <w:ind w:left="420" w:firstLine="640"/>
              <w:rPr>
                <w:rFonts w:ascii="宋体" w:hAnsi="宋体" w:eastAsia="宋体"/>
                <w:color w:val="000000" w:themeColor="text1"/>
                <w:sz w:val="32"/>
                <w:szCs w:val="32"/>
                <w14:textFill>
                  <w14:solidFill>
                    <w14:schemeClr w14:val="tx1"/>
                  </w14:solidFill>
                </w14:textFill>
              </w:rPr>
            </w:pPr>
          </w:p>
          <w:p w14:paraId="7C23A05A">
            <w:pPr>
              <w:pStyle w:val="24"/>
              <w:ind w:left="420" w:firstLine="640"/>
              <w:rPr>
                <w:rFonts w:ascii="宋体" w:hAnsi="宋体" w:eastAsia="宋体"/>
                <w:color w:val="000000" w:themeColor="text1"/>
                <w:sz w:val="32"/>
                <w:szCs w:val="32"/>
                <w14:textFill>
                  <w14:solidFill>
                    <w14:schemeClr w14:val="tx1"/>
                  </w14:solidFill>
                </w14:textFill>
              </w:rPr>
            </w:pPr>
          </w:p>
          <w:p w14:paraId="7CA04F76">
            <w:pPr>
              <w:pStyle w:val="24"/>
              <w:ind w:left="420" w:firstLine="640"/>
              <w:rPr>
                <w:rFonts w:ascii="宋体" w:hAnsi="宋体" w:eastAsia="宋体"/>
                <w:color w:val="000000" w:themeColor="text1"/>
                <w:sz w:val="32"/>
                <w:szCs w:val="32"/>
                <w14:textFill>
                  <w14:solidFill>
                    <w14:schemeClr w14:val="tx1"/>
                  </w14:solidFill>
                </w14:textFill>
              </w:rPr>
            </w:pPr>
          </w:p>
          <w:p w14:paraId="5218E692">
            <w:pPr>
              <w:pStyle w:val="24"/>
              <w:ind w:left="420" w:firstLine="640"/>
              <w:rPr>
                <w:rFonts w:ascii="宋体" w:hAnsi="宋体" w:eastAsia="宋体"/>
                <w:color w:val="000000" w:themeColor="text1"/>
                <w:sz w:val="32"/>
                <w:szCs w:val="32"/>
                <w14:textFill>
                  <w14:solidFill>
                    <w14:schemeClr w14:val="tx1"/>
                  </w14:solidFill>
                </w14:textFill>
              </w:rPr>
            </w:pPr>
          </w:p>
          <w:p w14:paraId="20ECF0C2">
            <w:pPr>
              <w:pStyle w:val="24"/>
              <w:ind w:left="420" w:firstLine="640"/>
              <w:rPr>
                <w:rFonts w:ascii="宋体" w:hAnsi="宋体" w:eastAsia="宋体"/>
                <w:color w:val="000000" w:themeColor="text1"/>
                <w:sz w:val="32"/>
                <w:szCs w:val="32"/>
                <w14:textFill>
                  <w14:solidFill>
                    <w14:schemeClr w14:val="tx1"/>
                  </w14:solidFill>
                </w14:textFill>
              </w:rPr>
            </w:pPr>
          </w:p>
          <w:p w14:paraId="3FCD74FB">
            <w:pPr>
              <w:pStyle w:val="24"/>
              <w:ind w:left="420" w:firstLine="640"/>
              <w:rPr>
                <w:rFonts w:ascii="宋体" w:hAnsi="宋体" w:eastAsia="宋体"/>
                <w:color w:val="000000" w:themeColor="text1"/>
                <w:sz w:val="32"/>
                <w:szCs w:val="32"/>
                <w14:textFill>
                  <w14:solidFill>
                    <w14:schemeClr w14:val="tx1"/>
                  </w14:solidFill>
                </w14:textFill>
              </w:rPr>
            </w:pPr>
          </w:p>
          <w:p w14:paraId="4BB7C25A">
            <w:pPr>
              <w:pStyle w:val="24"/>
              <w:ind w:left="420" w:firstLine="640"/>
              <w:rPr>
                <w:rFonts w:ascii="宋体" w:hAnsi="宋体" w:eastAsia="宋体"/>
                <w:color w:val="000000" w:themeColor="text1"/>
                <w:sz w:val="32"/>
                <w:szCs w:val="32"/>
                <w14:textFill>
                  <w14:solidFill>
                    <w14:schemeClr w14:val="tx1"/>
                  </w14:solidFill>
                </w14:textFill>
              </w:rPr>
            </w:pPr>
          </w:p>
          <w:p w14:paraId="722A7082">
            <w:pPr>
              <w:pStyle w:val="24"/>
              <w:ind w:left="420" w:firstLine="640"/>
              <w:rPr>
                <w:rFonts w:ascii="宋体" w:hAnsi="宋体" w:eastAsia="宋体"/>
                <w:color w:val="000000" w:themeColor="text1"/>
                <w:sz w:val="32"/>
                <w:szCs w:val="32"/>
                <w14:textFill>
                  <w14:solidFill>
                    <w14:schemeClr w14:val="tx1"/>
                  </w14:solidFill>
                </w14:textFill>
              </w:rPr>
            </w:pPr>
          </w:p>
          <w:p w14:paraId="1B2C36BD">
            <w:pPr>
              <w:pStyle w:val="24"/>
              <w:ind w:left="420" w:firstLine="640"/>
              <w:rPr>
                <w:rFonts w:ascii="宋体" w:hAnsi="宋体" w:eastAsia="宋体"/>
                <w:color w:val="000000" w:themeColor="text1"/>
                <w:sz w:val="32"/>
                <w:szCs w:val="32"/>
                <w14:textFill>
                  <w14:solidFill>
                    <w14:schemeClr w14:val="tx1"/>
                  </w14:solidFill>
                </w14:textFill>
              </w:rPr>
            </w:pPr>
          </w:p>
          <w:p w14:paraId="2F7BE902">
            <w:pPr>
              <w:pStyle w:val="24"/>
              <w:ind w:left="420" w:firstLine="640"/>
              <w:rPr>
                <w:rFonts w:ascii="宋体" w:hAnsi="宋体" w:eastAsia="宋体"/>
                <w:color w:val="000000" w:themeColor="text1"/>
                <w:sz w:val="32"/>
                <w:szCs w:val="32"/>
                <w14:textFill>
                  <w14:solidFill>
                    <w14:schemeClr w14:val="tx1"/>
                  </w14:solidFill>
                </w14:textFill>
              </w:rPr>
            </w:pPr>
          </w:p>
          <w:p w14:paraId="0B1ECA93">
            <w:pPr>
              <w:pStyle w:val="24"/>
              <w:ind w:left="420" w:firstLine="640"/>
              <w:rPr>
                <w:rFonts w:ascii="宋体" w:hAnsi="宋体" w:eastAsia="宋体"/>
                <w:color w:val="000000" w:themeColor="text1"/>
                <w:sz w:val="32"/>
                <w:szCs w:val="32"/>
                <w14:textFill>
                  <w14:solidFill>
                    <w14:schemeClr w14:val="tx1"/>
                  </w14:solidFill>
                </w14:textFill>
              </w:rPr>
            </w:pPr>
          </w:p>
          <w:p w14:paraId="3147F65B">
            <w:pPr>
              <w:pStyle w:val="24"/>
              <w:ind w:left="420" w:firstLine="640"/>
              <w:rPr>
                <w:rFonts w:ascii="宋体" w:hAnsi="宋体" w:eastAsia="宋体"/>
                <w:color w:val="000000" w:themeColor="text1"/>
                <w:sz w:val="32"/>
                <w:szCs w:val="32"/>
                <w14:textFill>
                  <w14:solidFill>
                    <w14:schemeClr w14:val="tx1"/>
                  </w14:solidFill>
                </w14:textFill>
              </w:rPr>
            </w:pPr>
          </w:p>
          <w:p w14:paraId="66630703">
            <w:pPr>
              <w:pStyle w:val="24"/>
              <w:ind w:left="420" w:firstLine="640"/>
              <w:rPr>
                <w:rFonts w:ascii="宋体" w:hAnsi="宋体" w:eastAsia="宋体"/>
                <w:color w:val="000000" w:themeColor="text1"/>
                <w:sz w:val="32"/>
                <w:szCs w:val="32"/>
                <w14:textFill>
                  <w14:solidFill>
                    <w14:schemeClr w14:val="tx1"/>
                  </w14:solidFill>
                </w14:textFill>
              </w:rPr>
            </w:pPr>
          </w:p>
          <w:p w14:paraId="7B288CF6">
            <w:pPr>
              <w:pStyle w:val="24"/>
              <w:ind w:left="420" w:firstLine="640"/>
              <w:rPr>
                <w:rFonts w:ascii="宋体" w:hAnsi="宋体" w:eastAsia="宋体"/>
                <w:color w:val="000000" w:themeColor="text1"/>
                <w:sz w:val="32"/>
                <w:szCs w:val="32"/>
                <w14:textFill>
                  <w14:solidFill>
                    <w14:schemeClr w14:val="tx1"/>
                  </w14:solidFill>
                </w14:textFill>
              </w:rPr>
            </w:pPr>
          </w:p>
          <w:p w14:paraId="1D0E6B32">
            <w:pPr>
              <w:pStyle w:val="24"/>
              <w:ind w:left="420" w:firstLine="640"/>
              <w:rPr>
                <w:rFonts w:ascii="宋体" w:hAnsi="宋体" w:eastAsia="宋体"/>
                <w:color w:val="000000" w:themeColor="text1"/>
                <w:sz w:val="32"/>
                <w:szCs w:val="32"/>
                <w14:textFill>
                  <w14:solidFill>
                    <w14:schemeClr w14:val="tx1"/>
                  </w14:solidFill>
                </w14:textFill>
              </w:rPr>
            </w:pPr>
          </w:p>
          <w:p w14:paraId="478A7062">
            <w:pPr>
              <w:pStyle w:val="24"/>
              <w:ind w:left="420" w:firstLine="640"/>
              <w:rPr>
                <w:rFonts w:ascii="宋体" w:hAnsi="宋体" w:eastAsia="宋体"/>
                <w:color w:val="000000" w:themeColor="text1"/>
                <w:sz w:val="32"/>
                <w:szCs w:val="32"/>
                <w14:textFill>
                  <w14:solidFill>
                    <w14:schemeClr w14:val="tx1"/>
                  </w14:solidFill>
                </w14:textFill>
              </w:rPr>
            </w:pPr>
          </w:p>
          <w:p w14:paraId="57EAE423">
            <w:pPr>
              <w:pStyle w:val="24"/>
              <w:ind w:left="420" w:firstLine="640"/>
              <w:rPr>
                <w:rFonts w:ascii="宋体" w:hAnsi="宋体" w:eastAsia="宋体"/>
                <w:color w:val="000000" w:themeColor="text1"/>
                <w:sz w:val="32"/>
                <w:szCs w:val="32"/>
                <w14:textFill>
                  <w14:solidFill>
                    <w14:schemeClr w14:val="tx1"/>
                  </w14:solidFill>
                </w14:textFill>
              </w:rPr>
            </w:pPr>
          </w:p>
        </w:tc>
      </w:tr>
      <w:tr w14:paraId="7EFDA6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4" w:hRule="atLeast"/>
        </w:trPr>
        <w:tc>
          <w:tcPr>
            <w:tcW w:w="1183" w:type="dxa"/>
          </w:tcPr>
          <w:p w14:paraId="57020258">
            <w:pPr>
              <w:jc w:val="center"/>
              <w:rPr>
                <w:rFonts w:ascii="宋体" w:hAnsi="宋体" w:eastAsia="宋体"/>
                <w:b/>
                <w:color w:val="000000" w:themeColor="text1"/>
                <w:sz w:val="32"/>
                <w:szCs w:val="32"/>
                <w14:textFill>
                  <w14:solidFill>
                    <w14:schemeClr w14:val="tx1"/>
                  </w14:solidFill>
                </w14:textFill>
              </w:rPr>
            </w:pPr>
          </w:p>
          <w:p w14:paraId="3BC40E14">
            <w:pPr>
              <w:jc w:val="center"/>
              <w:rPr>
                <w:rFonts w:ascii="宋体" w:hAnsi="宋体" w:eastAsia="宋体"/>
                <w:b/>
                <w:color w:val="000000" w:themeColor="text1"/>
                <w:sz w:val="32"/>
                <w:szCs w:val="32"/>
                <w14:textFill>
                  <w14:solidFill>
                    <w14:schemeClr w14:val="tx1"/>
                  </w14:solidFill>
                </w14:textFill>
              </w:rPr>
            </w:pPr>
          </w:p>
          <w:p w14:paraId="029C06B3">
            <w:pPr>
              <w:jc w:val="center"/>
              <w:rPr>
                <w:rFonts w:ascii="宋体" w:hAnsi="宋体" w:eastAsia="宋体"/>
                <w:b/>
                <w:color w:val="000000" w:themeColor="text1"/>
                <w:sz w:val="32"/>
                <w:szCs w:val="32"/>
                <w14:textFill>
                  <w14:solidFill>
                    <w14:schemeClr w14:val="tx1"/>
                  </w14:solidFill>
                </w14:textFill>
              </w:rPr>
            </w:pPr>
            <w:r>
              <w:rPr>
                <w:rFonts w:hint="eastAsia" w:ascii="宋体" w:hAnsi="宋体" w:eastAsia="宋体"/>
                <w:b/>
                <w:color w:val="000000" w:themeColor="text1"/>
                <w:sz w:val="32"/>
                <w:szCs w:val="32"/>
                <w14:textFill>
                  <w14:solidFill>
                    <w14:schemeClr w14:val="tx1"/>
                  </w14:solidFill>
                </w14:textFill>
              </w:rPr>
              <w:t>主</w:t>
            </w:r>
          </w:p>
          <w:p w14:paraId="1D05552A">
            <w:pPr>
              <w:jc w:val="center"/>
              <w:rPr>
                <w:rFonts w:ascii="宋体" w:hAnsi="宋体" w:eastAsia="宋体"/>
                <w:b/>
                <w:color w:val="000000" w:themeColor="text1"/>
                <w:sz w:val="32"/>
                <w:szCs w:val="32"/>
                <w14:textFill>
                  <w14:solidFill>
                    <w14:schemeClr w14:val="tx1"/>
                  </w14:solidFill>
                </w14:textFill>
              </w:rPr>
            </w:pPr>
            <w:r>
              <w:rPr>
                <w:rFonts w:hint="eastAsia" w:ascii="宋体" w:hAnsi="宋体" w:eastAsia="宋体"/>
                <w:b/>
                <w:color w:val="000000" w:themeColor="text1"/>
                <w:sz w:val="32"/>
                <w:szCs w:val="32"/>
                <w14:textFill>
                  <w14:solidFill>
                    <w14:schemeClr w14:val="tx1"/>
                  </w14:solidFill>
                </w14:textFill>
              </w:rPr>
              <w:t>要</w:t>
            </w:r>
          </w:p>
          <w:p w14:paraId="02C8EB68">
            <w:pPr>
              <w:jc w:val="center"/>
              <w:rPr>
                <w:rFonts w:ascii="宋体" w:hAnsi="宋体" w:eastAsia="宋体"/>
                <w:b/>
                <w:color w:val="000000" w:themeColor="text1"/>
                <w:sz w:val="32"/>
                <w:szCs w:val="32"/>
                <w14:textFill>
                  <w14:solidFill>
                    <w14:schemeClr w14:val="tx1"/>
                  </w14:solidFill>
                </w14:textFill>
              </w:rPr>
            </w:pPr>
            <w:r>
              <w:rPr>
                <w:rFonts w:hint="eastAsia" w:ascii="宋体" w:hAnsi="宋体" w:eastAsia="宋体"/>
                <w:b/>
                <w:color w:val="000000" w:themeColor="text1"/>
                <w:sz w:val="32"/>
                <w:szCs w:val="32"/>
                <w14:textFill>
                  <w14:solidFill>
                    <w14:schemeClr w14:val="tx1"/>
                  </w14:solidFill>
                </w14:textFill>
              </w:rPr>
              <w:t>风</w:t>
            </w:r>
          </w:p>
          <w:p w14:paraId="3BF22DF4">
            <w:pPr>
              <w:jc w:val="center"/>
              <w:rPr>
                <w:rFonts w:ascii="宋体" w:hAnsi="宋体" w:eastAsia="宋体"/>
                <w:b/>
                <w:color w:val="000000" w:themeColor="text1"/>
                <w:sz w:val="32"/>
                <w:szCs w:val="32"/>
                <w14:textFill>
                  <w14:solidFill>
                    <w14:schemeClr w14:val="tx1"/>
                  </w14:solidFill>
                </w14:textFill>
              </w:rPr>
            </w:pPr>
            <w:r>
              <w:rPr>
                <w:rFonts w:hint="eastAsia" w:ascii="宋体" w:hAnsi="宋体" w:eastAsia="宋体"/>
                <w:b/>
                <w:color w:val="000000" w:themeColor="text1"/>
                <w:sz w:val="32"/>
                <w:szCs w:val="32"/>
                <w14:textFill>
                  <w14:solidFill>
                    <w14:schemeClr w14:val="tx1"/>
                  </w14:solidFill>
                </w14:textFill>
              </w:rPr>
              <w:t>险</w:t>
            </w:r>
          </w:p>
          <w:p w14:paraId="3F000137">
            <w:pPr>
              <w:jc w:val="center"/>
              <w:rPr>
                <w:rFonts w:ascii="宋体" w:hAnsi="宋体" w:eastAsia="宋体"/>
                <w:b/>
                <w:color w:val="000000" w:themeColor="text1"/>
                <w:sz w:val="32"/>
                <w:szCs w:val="32"/>
                <w14:textFill>
                  <w14:solidFill>
                    <w14:schemeClr w14:val="tx1"/>
                  </w14:solidFill>
                </w14:textFill>
              </w:rPr>
            </w:pPr>
            <w:r>
              <w:rPr>
                <w:rFonts w:hint="eastAsia" w:ascii="宋体" w:hAnsi="宋体" w:eastAsia="宋体"/>
                <w:b/>
                <w:color w:val="000000" w:themeColor="text1"/>
                <w:sz w:val="32"/>
                <w:szCs w:val="32"/>
                <w14:textFill>
                  <w14:solidFill>
                    <w14:schemeClr w14:val="tx1"/>
                  </w14:solidFill>
                </w14:textFill>
              </w:rPr>
              <w:t>因</w:t>
            </w:r>
          </w:p>
          <w:p w14:paraId="5476A589">
            <w:pPr>
              <w:jc w:val="center"/>
              <w:rPr>
                <w:rFonts w:ascii="宋体" w:hAnsi="宋体" w:eastAsia="宋体"/>
                <w:b/>
                <w:color w:val="000000" w:themeColor="text1"/>
                <w:sz w:val="32"/>
                <w:szCs w:val="32"/>
                <w14:textFill>
                  <w14:solidFill>
                    <w14:schemeClr w14:val="tx1"/>
                  </w14:solidFill>
                </w14:textFill>
              </w:rPr>
            </w:pPr>
            <w:r>
              <w:rPr>
                <w:rFonts w:hint="eastAsia" w:ascii="宋体" w:hAnsi="宋体" w:eastAsia="宋体"/>
                <w:b/>
                <w:color w:val="000000" w:themeColor="text1"/>
                <w:sz w:val="32"/>
                <w:szCs w:val="32"/>
                <w14:textFill>
                  <w14:solidFill>
                    <w14:schemeClr w14:val="tx1"/>
                  </w14:solidFill>
                </w14:textFill>
              </w:rPr>
              <w:t>素</w:t>
            </w:r>
          </w:p>
          <w:p w14:paraId="03E5A276">
            <w:pPr>
              <w:jc w:val="center"/>
              <w:rPr>
                <w:rFonts w:ascii="宋体" w:hAnsi="宋体" w:eastAsia="宋体"/>
                <w:b/>
                <w:color w:val="000000" w:themeColor="text1"/>
                <w:sz w:val="32"/>
                <w:szCs w:val="32"/>
                <w14:textFill>
                  <w14:solidFill>
                    <w14:schemeClr w14:val="tx1"/>
                  </w14:solidFill>
                </w14:textFill>
              </w:rPr>
            </w:pPr>
          </w:p>
        </w:tc>
        <w:tc>
          <w:tcPr>
            <w:tcW w:w="7339" w:type="dxa"/>
            <w:gridSpan w:val="8"/>
          </w:tcPr>
          <w:p w14:paraId="41090FE6">
            <w:pPr>
              <w:jc w:val="left"/>
              <w:rPr>
                <w:rFonts w:ascii="宋体" w:hAnsi="宋体" w:eastAsia="宋体"/>
                <w:color w:val="000000" w:themeColor="text1"/>
                <w:sz w:val="32"/>
                <w:szCs w:val="32"/>
                <w14:textFill>
                  <w14:solidFill>
                    <w14:schemeClr w14:val="tx1"/>
                  </w14:solidFill>
                </w14:textFill>
              </w:rPr>
            </w:pPr>
          </w:p>
        </w:tc>
      </w:tr>
      <w:tr w14:paraId="2FBA0B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38" w:hRule="atLeast"/>
        </w:trPr>
        <w:tc>
          <w:tcPr>
            <w:tcW w:w="1183" w:type="dxa"/>
          </w:tcPr>
          <w:p w14:paraId="7163840D">
            <w:pPr>
              <w:jc w:val="center"/>
              <w:rPr>
                <w:rFonts w:ascii="宋体" w:hAnsi="宋体" w:eastAsia="宋体"/>
                <w:b/>
                <w:color w:val="000000" w:themeColor="text1"/>
                <w:sz w:val="32"/>
                <w:szCs w:val="32"/>
                <w14:textFill>
                  <w14:solidFill>
                    <w14:schemeClr w14:val="tx1"/>
                  </w14:solidFill>
                </w14:textFill>
              </w:rPr>
            </w:pPr>
          </w:p>
          <w:p w14:paraId="28223343">
            <w:pPr>
              <w:jc w:val="center"/>
              <w:rPr>
                <w:rFonts w:ascii="宋体" w:hAnsi="宋体" w:eastAsia="宋体"/>
                <w:b/>
                <w:color w:val="000000" w:themeColor="text1"/>
                <w:sz w:val="32"/>
                <w:szCs w:val="32"/>
                <w14:textFill>
                  <w14:solidFill>
                    <w14:schemeClr w14:val="tx1"/>
                  </w14:solidFill>
                </w14:textFill>
              </w:rPr>
            </w:pPr>
            <w:r>
              <w:rPr>
                <w:rFonts w:hint="eastAsia" w:ascii="宋体" w:hAnsi="宋体" w:eastAsia="宋体"/>
                <w:b/>
                <w:color w:val="000000" w:themeColor="text1"/>
                <w:sz w:val="32"/>
                <w:szCs w:val="32"/>
                <w14:textFill>
                  <w14:solidFill>
                    <w14:schemeClr w14:val="tx1"/>
                  </w14:solidFill>
                </w14:textFill>
              </w:rPr>
              <w:t>防</w:t>
            </w:r>
          </w:p>
          <w:p w14:paraId="343CAD29">
            <w:pPr>
              <w:jc w:val="center"/>
              <w:rPr>
                <w:rFonts w:ascii="宋体" w:hAnsi="宋体" w:eastAsia="宋体"/>
                <w:b/>
                <w:color w:val="000000" w:themeColor="text1"/>
                <w:sz w:val="32"/>
                <w:szCs w:val="32"/>
                <w14:textFill>
                  <w14:solidFill>
                    <w14:schemeClr w14:val="tx1"/>
                  </w14:solidFill>
                </w14:textFill>
              </w:rPr>
            </w:pPr>
            <w:r>
              <w:rPr>
                <w:rFonts w:hint="eastAsia" w:ascii="宋体" w:hAnsi="宋体" w:eastAsia="宋体"/>
                <w:b/>
                <w:color w:val="000000" w:themeColor="text1"/>
                <w:sz w:val="32"/>
                <w:szCs w:val="32"/>
                <w14:textFill>
                  <w14:solidFill>
                    <w14:schemeClr w14:val="tx1"/>
                  </w14:solidFill>
                </w14:textFill>
              </w:rPr>
              <w:t>范</w:t>
            </w:r>
          </w:p>
          <w:p w14:paraId="380387E4">
            <w:pPr>
              <w:jc w:val="center"/>
              <w:rPr>
                <w:rFonts w:ascii="宋体" w:hAnsi="宋体" w:eastAsia="宋体"/>
                <w:b/>
                <w:color w:val="000000" w:themeColor="text1"/>
                <w:sz w:val="32"/>
                <w:szCs w:val="32"/>
                <w14:textFill>
                  <w14:solidFill>
                    <w14:schemeClr w14:val="tx1"/>
                  </w14:solidFill>
                </w14:textFill>
              </w:rPr>
            </w:pPr>
            <w:r>
              <w:rPr>
                <w:rFonts w:hint="eastAsia" w:ascii="宋体" w:hAnsi="宋体" w:eastAsia="宋体"/>
                <w:b/>
                <w:color w:val="000000" w:themeColor="text1"/>
                <w:sz w:val="32"/>
                <w:szCs w:val="32"/>
                <w14:textFill>
                  <w14:solidFill>
                    <w14:schemeClr w14:val="tx1"/>
                  </w14:solidFill>
                </w14:textFill>
              </w:rPr>
              <w:t>和</w:t>
            </w:r>
          </w:p>
          <w:p w14:paraId="411A2A23">
            <w:pPr>
              <w:jc w:val="center"/>
              <w:rPr>
                <w:rFonts w:ascii="宋体" w:hAnsi="宋体" w:eastAsia="宋体"/>
                <w:b/>
                <w:color w:val="000000" w:themeColor="text1"/>
                <w:sz w:val="32"/>
                <w:szCs w:val="32"/>
                <w14:textFill>
                  <w14:solidFill>
                    <w14:schemeClr w14:val="tx1"/>
                  </w14:solidFill>
                </w14:textFill>
              </w:rPr>
            </w:pPr>
            <w:r>
              <w:rPr>
                <w:rFonts w:hint="eastAsia" w:ascii="宋体" w:hAnsi="宋体" w:eastAsia="宋体"/>
                <w:b/>
                <w:color w:val="000000" w:themeColor="text1"/>
                <w:sz w:val="32"/>
                <w:szCs w:val="32"/>
                <w14:textFill>
                  <w14:solidFill>
                    <w14:schemeClr w14:val="tx1"/>
                  </w14:solidFill>
                </w14:textFill>
              </w:rPr>
              <w:t>化</w:t>
            </w:r>
          </w:p>
          <w:p w14:paraId="4A648FDA">
            <w:pPr>
              <w:jc w:val="center"/>
              <w:rPr>
                <w:rFonts w:ascii="宋体" w:hAnsi="宋体" w:eastAsia="宋体"/>
                <w:b/>
                <w:color w:val="000000" w:themeColor="text1"/>
                <w:sz w:val="32"/>
                <w:szCs w:val="32"/>
                <w14:textFill>
                  <w14:solidFill>
                    <w14:schemeClr w14:val="tx1"/>
                  </w14:solidFill>
                </w14:textFill>
              </w:rPr>
            </w:pPr>
            <w:r>
              <w:rPr>
                <w:rFonts w:hint="eastAsia" w:ascii="宋体" w:hAnsi="宋体" w:eastAsia="宋体"/>
                <w:b/>
                <w:color w:val="000000" w:themeColor="text1"/>
                <w:sz w:val="32"/>
                <w:szCs w:val="32"/>
                <w14:textFill>
                  <w14:solidFill>
                    <w14:schemeClr w14:val="tx1"/>
                  </w14:solidFill>
                </w14:textFill>
              </w:rPr>
              <w:t>解</w:t>
            </w:r>
          </w:p>
          <w:p w14:paraId="353D5F7D">
            <w:pPr>
              <w:jc w:val="center"/>
              <w:rPr>
                <w:rFonts w:ascii="宋体" w:hAnsi="宋体" w:eastAsia="宋体"/>
                <w:b/>
                <w:color w:val="000000" w:themeColor="text1"/>
                <w:sz w:val="32"/>
                <w:szCs w:val="32"/>
                <w14:textFill>
                  <w14:solidFill>
                    <w14:schemeClr w14:val="tx1"/>
                  </w14:solidFill>
                </w14:textFill>
              </w:rPr>
            </w:pPr>
            <w:r>
              <w:rPr>
                <w:rFonts w:hint="eastAsia" w:ascii="宋体" w:hAnsi="宋体" w:eastAsia="宋体"/>
                <w:b/>
                <w:color w:val="000000" w:themeColor="text1"/>
                <w:sz w:val="32"/>
                <w:szCs w:val="32"/>
                <w14:textFill>
                  <w14:solidFill>
                    <w14:schemeClr w14:val="tx1"/>
                  </w14:solidFill>
                </w14:textFill>
              </w:rPr>
              <w:t>风</w:t>
            </w:r>
          </w:p>
          <w:p w14:paraId="60AF5A7A">
            <w:pPr>
              <w:jc w:val="center"/>
              <w:rPr>
                <w:rFonts w:ascii="宋体" w:hAnsi="宋体" w:eastAsia="宋体"/>
                <w:b/>
                <w:color w:val="000000" w:themeColor="text1"/>
                <w:sz w:val="32"/>
                <w:szCs w:val="32"/>
                <w14:textFill>
                  <w14:solidFill>
                    <w14:schemeClr w14:val="tx1"/>
                  </w14:solidFill>
                </w14:textFill>
              </w:rPr>
            </w:pPr>
            <w:r>
              <w:rPr>
                <w:rFonts w:hint="eastAsia" w:ascii="宋体" w:hAnsi="宋体" w:eastAsia="宋体"/>
                <w:b/>
                <w:color w:val="000000" w:themeColor="text1"/>
                <w:sz w:val="32"/>
                <w:szCs w:val="32"/>
                <w14:textFill>
                  <w14:solidFill>
                    <w14:schemeClr w14:val="tx1"/>
                  </w14:solidFill>
                </w14:textFill>
              </w:rPr>
              <w:t>险</w:t>
            </w:r>
          </w:p>
          <w:p w14:paraId="79388C3B">
            <w:pPr>
              <w:jc w:val="center"/>
              <w:rPr>
                <w:rFonts w:ascii="宋体" w:hAnsi="宋体" w:eastAsia="宋体"/>
                <w:b/>
                <w:color w:val="000000" w:themeColor="text1"/>
                <w:sz w:val="32"/>
                <w:szCs w:val="32"/>
                <w14:textFill>
                  <w14:solidFill>
                    <w14:schemeClr w14:val="tx1"/>
                  </w14:solidFill>
                </w14:textFill>
              </w:rPr>
            </w:pPr>
            <w:r>
              <w:rPr>
                <w:rFonts w:hint="eastAsia" w:ascii="宋体" w:hAnsi="宋体" w:eastAsia="宋体"/>
                <w:b/>
                <w:color w:val="000000" w:themeColor="text1"/>
                <w:sz w:val="32"/>
                <w:szCs w:val="32"/>
                <w14:textFill>
                  <w14:solidFill>
                    <w14:schemeClr w14:val="tx1"/>
                  </w14:solidFill>
                </w14:textFill>
              </w:rPr>
              <w:t>措</w:t>
            </w:r>
          </w:p>
          <w:p w14:paraId="4B66F574">
            <w:pPr>
              <w:jc w:val="center"/>
              <w:rPr>
                <w:rFonts w:ascii="宋体" w:hAnsi="宋体" w:eastAsia="宋体"/>
                <w:b/>
                <w:color w:val="000000" w:themeColor="text1"/>
                <w:sz w:val="32"/>
                <w:szCs w:val="32"/>
                <w14:textFill>
                  <w14:solidFill>
                    <w14:schemeClr w14:val="tx1"/>
                  </w14:solidFill>
                </w14:textFill>
              </w:rPr>
            </w:pPr>
            <w:r>
              <w:rPr>
                <w:rFonts w:hint="eastAsia" w:ascii="宋体" w:hAnsi="宋体" w:eastAsia="宋体"/>
                <w:b/>
                <w:color w:val="000000" w:themeColor="text1"/>
                <w:sz w:val="32"/>
                <w:szCs w:val="32"/>
                <w14:textFill>
                  <w14:solidFill>
                    <w14:schemeClr w14:val="tx1"/>
                  </w14:solidFill>
                </w14:textFill>
              </w:rPr>
              <w:t>施</w:t>
            </w:r>
          </w:p>
        </w:tc>
        <w:tc>
          <w:tcPr>
            <w:tcW w:w="7339" w:type="dxa"/>
            <w:gridSpan w:val="8"/>
          </w:tcPr>
          <w:p w14:paraId="7BA5DA78">
            <w:pPr>
              <w:jc w:val="left"/>
            </w:pPr>
          </w:p>
          <w:p w14:paraId="0E4A6A9B">
            <w:pPr>
              <w:pStyle w:val="24"/>
              <w:ind w:left="420" w:firstLine="640"/>
              <w:rPr>
                <w:rFonts w:ascii="宋体" w:hAnsi="宋体" w:eastAsia="宋体"/>
                <w:color w:val="000000" w:themeColor="text1"/>
                <w:sz w:val="32"/>
                <w:szCs w:val="32"/>
                <w14:textFill>
                  <w14:solidFill>
                    <w14:schemeClr w14:val="tx1"/>
                  </w14:solidFill>
                </w14:textFill>
              </w:rPr>
            </w:pPr>
          </w:p>
          <w:p w14:paraId="2A3E6506">
            <w:pPr>
              <w:pStyle w:val="24"/>
              <w:ind w:left="420" w:firstLine="640"/>
              <w:rPr>
                <w:rFonts w:ascii="宋体" w:hAnsi="宋体" w:eastAsia="宋体"/>
                <w:color w:val="000000" w:themeColor="text1"/>
                <w:sz w:val="32"/>
                <w:szCs w:val="32"/>
                <w14:textFill>
                  <w14:solidFill>
                    <w14:schemeClr w14:val="tx1"/>
                  </w14:solidFill>
                </w14:textFill>
              </w:rPr>
            </w:pPr>
          </w:p>
          <w:p w14:paraId="6F540798">
            <w:pPr>
              <w:pStyle w:val="24"/>
              <w:ind w:left="420" w:firstLine="640"/>
              <w:rPr>
                <w:rFonts w:ascii="宋体" w:hAnsi="宋体" w:eastAsia="宋体"/>
                <w:color w:val="000000" w:themeColor="text1"/>
                <w:sz w:val="32"/>
                <w:szCs w:val="32"/>
                <w14:textFill>
                  <w14:solidFill>
                    <w14:schemeClr w14:val="tx1"/>
                  </w14:solidFill>
                </w14:textFill>
              </w:rPr>
            </w:pPr>
          </w:p>
          <w:p w14:paraId="686A4D75">
            <w:pPr>
              <w:pStyle w:val="24"/>
              <w:ind w:left="420" w:firstLine="640"/>
              <w:rPr>
                <w:rFonts w:ascii="宋体" w:hAnsi="宋体" w:eastAsia="宋体"/>
                <w:color w:val="000000" w:themeColor="text1"/>
                <w:sz w:val="32"/>
                <w:szCs w:val="32"/>
                <w14:textFill>
                  <w14:solidFill>
                    <w14:schemeClr w14:val="tx1"/>
                  </w14:solidFill>
                </w14:textFill>
              </w:rPr>
            </w:pPr>
          </w:p>
          <w:p w14:paraId="660B6278">
            <w:pPr>
              <w:pStyle w:val="24"/>
              <w:ind w:left="420" w:firstLine="640"/>
              <w:rPr>
                <w:rFonts w:ascii="宋体" w:hAnsi="宋体" w:eastAsia="宋体"/>
                <w:color w:val="000000" w:themeColor="text1"/>
                <w:sz w:val="32"/>
                <w:szCs w:val="32"/>
                <w14:textFill>
                  <w14:solidFill>
                    <w14:schemeClr w14:val="tx1"/>
                  </w14:solidFill>
                </w14:textFill>
              </w:rPr>
            </w:pPr>
          </w:p>
          <w:p w14:paraId="7E614501">
            <w:pPr>
              <w:pStyle w:val="24"/>
              <w:ind w:left="420" w:firstLine="640"/>
              <w:rPr>
                <w:rFonts w:ascii="宋体" w:hAnsi="宋体" w:eastAsia="宋体"/>
                <w:color w:val="000000" w:themeColor="text1"/>
                <w:sz w:val="32"/>
                <w:szCs w:val="32"/>
                <w14:textFill>
                  <w14:solidFill>
                    <w14:schemeClr w14:val="tx1"/>
                  </w14:solidFill>
                </w14:textFill>
              </w:rPr>
            </w:pPr>
          </w:p>
          <w:p w14:paraId="2146D494">
            <w:pPr>
              <w:pStyle w:val="24"/>
              <w:ind w:left="420" w:firstLine="640"/>
              <w:rPr>
                <w:rFonts w:ascii="宋体" w:hAnsi="宋体" w:eastAsia="宋体"/>
                <w:color w:val="000000" w:themeColor="text1"/>
                <w:sz w:val="32"/>
                <w:szCs w:val="32"/>
                <w14:textFill>
                  <w14:solidFill>
                    <w14:schemeClr w14:val="tx1"/>
                  </w14:solidFill>
                </w14:textFill>
              </w:rPr>
            </w:pPr>
          </w:p>
          <w:p w14:paraId="705D0E63">
            <w:pPr>
              <w:pStyle w:val="24"/>
              <w:ind w:left="420" w:firstLine="640"/>
              <w:rPr>
                <w:rFonts w:ascii="宋体" w:hAnsi="宋体" w:eastAsia="宋体"/>
                <w:color w:val="000000" w:themeColor="text1"/>
                <w:sz w:val="32"/>
                <w:szCs w:val="32"/>
                <w14:textFill>
                  <w14:solidFill>
                    <w14:schemeClr w14:val="tx1"/>
                  </w14:solidFill>
                </w14:textFill>
              </w:rPr>
            </w:pPr>
          </w:p>
          <w:p w14:paraId="6E2DD2FD">
            <w:pPr>
              <w:pStyle w:val="24"/>
              <w:ind w:left="420" w:firstLine="640"/>
              <w:rPr>
                <w:rFonts w:ascii="宋体" w:hAnsi="宋体" w:eastAsia="宋体"/>
                <w:color w:val="000000" w:themeColor="text1"/>
                <w:sz w:val="32"/>
                <w:szCs w:val="32"/>
                <w14:textFill>
                  <w14:solidFill>
                    <w14:schemeClr w14:val="tx1"/>
                  </w14:solidFill>
                </w14:textFill>
              </w:rPr>
            </w:pPr>
          </w:p>
          <w:p w14:paraId="4254E40E">
            <w:pPr>
              <w:pStyle w:val="24"/>
              <w:ind w:left="420" w:firstLine="640"/>
              <w:rPr>
                <w:rFonts w:ascii="宋体" w:hAnsi="宋体" w:eastAsia="宋体"/>
                <w:color w:val="000000" w:themeColor="text1"/>
                <w:sz w:val="32"/>
                <w:szCs w:val="32"/>
                <w14:textFill>
                  <w14:solidFill>
                    <w14:schemeClr w14:val="tx1"/>
                  </w14:solidFill>
                </w14:textFill>
              </w:rPr>
            </w:pPr>
          </w:p>
        </w:tc>
      </w:tr>
      <w:tr w14:paraId="3F20E1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41" w:hRule="atLeast"/>
        </w:trPr>
        <w:tc>
          <w:tcPr>
            <w:tcW w:w="1183" w:type="dxa"/>
          </w:tcPr>
          <w:p w14:paraId="62E45BBD">
            <w:pPr>
              <w:jc w:val="center"/>
              <w:rPr>
                <w:rFonts w:ascii="宋体" w:hAnsi="宋体" w:eastAsia="宋体"/>
                <w:b/>
                <w:color w:val="000000" w:themeColor="text1"/>
                <w:sz w:val="32"/>
                <w:szCs w:val="32"/>
                <w14:textFill>
                  <w14:solidFill>
                    <w14:schemeClr w14:val="tx1"/>
                  </w14:solidFill>
                </w14:textFill>
              </w:rPr>
            </w:pPr>
          </w:p>
          <w:p w14:paraId="12B0957E">
            <w:pPr>
              <w:jc w:val="center"/>
              <w:rPr>
                <w:rFonts w:ascii="宋体" w:hAnsi="宋体" w:eastAsia="宋体"/>
                <w:b/>
                <w:color w:val="000000" w:themeColor="text1"/>
                <w:sz w:val="32"/>
                <w:szCs w:val="32"/>
                <w14:textFill>
                  <w14:solidFill>
                    <w14:schemeClr w14:val="tx1"/>
                  </w14:solidFill>
                </w14:textFill>
              </w:rPr>
            </w:pPr>
          </w:p>
          <w:p w14:paraId="615E107D">
            <w:pPr>
              <w:jc w:val="center"/>
              <w:rPr>
                <w:rFonts w:ascii="宋体" w:hAnsi="宋体" w:eastAsia="宋体"/>
                <w:b/>
                <w:color w:val="000000" w:themeColor="text1"/>
                <w:sz w:val="32"/>
                <w:szCs w:val="32"/>
                <w14:textFill>
                  <w14:solidFill>
                    <w14:schemeClr w14:val="tx1"/>
                  </w14:solidFill>
                </w14:textFill>
              </w:rPr>
            </w:pPr>
          </w:p>
          <w:p w14:paraId="132BCB50">
            <w:pPr>
              <w:jc w:val="center"/>
              <w:rPr>
                <w:rFonts w:ascii="宋体" w:hAnsi="宋体" w:eastAsia="宋体"/>
                <w:b/>
                <w:color w:val="000000" w:themeColor="text1"/>
                <w:sz w:val="32"/>
                <w:szCs w:val="32"/>
                <w14:textFill>
                  <w14:solidFill>
                    <w14:schemeClr w14:val="tx1"/>
                  </w14:solidFill>
                </w14:textFill>
              </w:rPr>
            </w:pPr>
          </w:p>
          <w:p w14:paraId="29279D23">
            <w:pPr>
              <w:jc w:val="center"/>
              <w:rPr>
                <w:rFonts w:ascii="宋体" w:hAnsi="宋体" w:eastAsia="宋体"/>
                <w:b/>
                <w:color w:val="000000" w:themeColor="text1"/>
                <w:sz w:val="32"/>
                <w:szCs w:val="32"/>
                <w14:textFill>
                  <w14:solidFill>
                    <w14:schemeClr w14:val="tx1"/>
                  </w14:solidFill>
                </w14:textFill>
              </w:rPr>
            </w:pPr>
          </w:p>
          <w:p w14:paraId="72184A63">
            <w:pPr>
              <w:jc w:val="center"/>
              <w:rPr>
                <w:rFonts w:ascii="宋体" w:hAnsi="宋体" w:eastAsia="宋体"/>
                <w:b/>
                <w:color w:val="000000" w:themeColor="text1"/>
                <w:sz w:val="32"/>
                <w:szCs w:val="32"/>
                <w14:textFill>
                  <w14:solidFill>
                    <w14:schemeClr w14:val="tx1"/>
                  </w14:solidFill>
                </w14:textFill>
              </w:rPr>
            </w:pPr>
            <w:r>
              <w:rPr>
                <w:rFonts w:hint="eastAsia" w:ascii="宋体" w:hAnsi="宋体" w:eastAsia="宋体"/>
                <w:b/>
                <w:color w:val="000000" w:themeColor="text1"/>
                <w:sz w:val="32"/>
                <w:szCs w:val="32"/>
                <w14:textFill>
                  <w14:solidFill>
                    <w14:schemeClr w14:val="tx1"/>
                  </w14:solidFill>
                </w14:textFill>
              </w:rPr>
              <w:t>稳</w:t>
            </w:r>
          </w:p>
          <w:p w14:paraId="56A10E6D">
            <w:pPr>
              <w:jc w:val="center"/>
              <w:rPr>
                <w:rFonts w:ascii="宋体" w:hAnsi="宋体" w:eastAsia="宋体"/>
                <w:b/>
                <w:color w:val="000000" w:themeColor="text1"/>
                <w:sz w:val="32"/>
                <w:szCs w:val="32"/>
                <w14:textFill>
                  <w14:solidFill>
                    <w14:schemeClr w14:val="tx1"/>
                  </w14:solidFill>
                </w14:textFill>
              </w:rPr>
            </w:pPr>
            <w:r>
              <w:rPr>
                <w:rFonts w:hint="eastAsia" w:ascii="宋体" w:hAnsi="宋体" w:eastAsia="宋体"/>
                <w:b/>
                <w:color w:val="000000" w:themeColor="text1"/>
                <w:sz w:val="32"/>
                <w:szCs w:val="32"/>
                <w14:textFill>
                  <w14:solidFill>
                    <w14:schemeClr w14:val="tx1"/>
                  </w14:solidFill>
                </w14:textFill>
              </w:rPr>
              <w:t>评</w:t>
            </w:r>
          </w:p>
          <w:p w14:paraId="1030F2EA">
            <w:pPr>
              <w:jc w:val="center"/>
              <w:rPr>
                <w:rFonts w:ascii="宋体" w:hAnsi="宋体" w:eastAsia="宋体"/>
                <w:b/>
                <w:color w:val="000000" w:themeColor="text1"/>
                <w:sz w:val="32"/>
                <w:szCs w:val="32"/>
                <w14:textFill>
                  <w14:solidFill>
                    <w14:schemeClr w14:val="tx1"/>
                  </w14:solidFill>
                </w14:textFill>
              </w:rPr>
            </w:pPr>
            <w:r>
              <w:rPr>
                <w:rFonts w:hint="eastAsia" w:ascii="宋体" w:hAnsi="宋体" w:eastAsia="宋体"/>
                <w:b/>
                <w:color w:val="000000" w:themeColor="text1"/>
                <w:sz w:val="32"/>
                <w:szCs w:val="32"/>
                <w14:textFill>
                  <w14:solidFill>
                    <w14:schemeClr w14:val="tx1"/>
                  </w14:solidFill>
                </w14:textFill>
              </w:rPr>
              <w:t>结</w:t>
            </w:r>
          </w:p>
          <w:p w14:paraId="4A636FA7">
            <w:pPr>
              <w:jc w:val="center"/>
              <w:rPr>
                <w:rFonts w:ascii="宋体" w:hAnsi="宋体" w:eastAsia="宋体"/>
                <w:b/>
                <w:color w:val="000000" w:themeColor="text1"/>
                <w:sz w:val="32"/>
                <w:szCs w:val="32"/>
                <w14:textFill>
                  <w14:solidFill>
                    <w14:schemeClr w14:val="tx1"/>
                  </w14:solidFill>
                </w14:textFill>
              </w:rPr>
            </w:pPr>
            <w:r>
              <w:rPr>
                <w:rFonts w:hint="eastAsia" w:ascii="宋体" w:hAnsi="宋体" w:eastAsia="宋体"/>
                <w:b/>
                <w:color w:val="000000" w:themeColor="text1"/>
                <w:sz w:val="32"/>
                <w:szCs w:val="32"/>
                <w14:textFill>
                  <w14:solidFill>
                    <w14:schemeClr w14:val="tx1"/>
                  </w14:solidFill>
                </w14:textFill>
              </w:rPr>
              <w:t>论</w:t>
            </w:r>
          </w:p>
        </w:tc>
        <w:tc>
          <w:tcPr>
            <w:tcW w:w="7339" w:type="dxa"/>
            <w:gridSpan w:val="8"/>
          </w:tcPr>
          <w:p w14:paraId="03953571">
            <w:pPr>
              <w:jc w:val="left"/>
              <w:rPr>
                <w:rFonts w:ascii="宋体" w:hAnsi="宋体" w:eastAsia="宋体"/>
                <w:color w:val="000000" w:themeColor="text1"/>
                <w:sz w:val="32"/>
                <w:szCs w:val="32"/>
                <w14:textFill>
                  <w14:solidFill>
                    <w14:schemeClr w14:val="tx1"/>
                  </w14:solidFill>
                </w14:textFill>
              </w:rPr>
            </w:pPr>
          </w:p>
          <w:p w14:paraId="172C59E1">
            <w:pPr>
              <w:jc w:val="left"/>
              <w:rPr>
                <w:rFonts w:ascii="宋体" w:hAnsi="宋体" w:eastAsia="宋体"/>
                <w:color w:val="000000" w:themeColor="text1"/>
                <w:sz w:val="32"/>
                <w:szCs w:val="32"/>
                <w14:textFill>
                  <w14:solidFill>
                    <w14:schemeClr w14:val="tx1"/>
                  </w14:solidFill>
                </w14:textFill>
              </w:rPr>
            </w:pPr>
          </w:p>
          <w:p w14:paraId="7AB84F59">
            <w:pPr>
              <w:jc w:val="left"/>
              <w:rPr>
                <w:rFonts w:ascii="宋体" w:hAnsi="宋体" w:eastAsia="宋体"/>
                <w:color w:val="000000" w:themeColor="text1"/>
                <w:sz w:val="32"/>
                <w:szCs w:val="32"/>
                <w14:textFill>
                  <w14:solidFill>
                    <w14:schemeClr w14:val="tx1"/>
                  </w14:solidFill>
                </w14:textFill>
              </w:rPr>
            </w:pPr>
          </w:p>
          <w:p w14:paraId="7E94E196">
            <w:pPr>
              <w:jc w:val="left"/>
              <w:rPr>
                <w:rFonts w:ascii="宋体" w:hAnsi="宋体" w:eastAsia="宋体"/>
                <w:color w:val="000000" w:themeColor="text1"/>
                <w:sz w:val="32"/>
                <w:szCs w:val="32"/>
                <w14:textFill>
                  <w14:solidFill>
                    <w14:schemeClr w14:val="tx1"/>
                  </w14:solidFill>
                </w14:textFill>
              </w:rPr>
            </w:pPr>
          </w:p>
          <w:p w14:paraId="639712CD">
            <w:pPr>
              <w:jc w:val="left"/>
              <w:rPr>
                <w:rFonts w:ascii="宋体" w:hAnsi="宋体" w:eastAsia="宋体"/>
                <w:color w:val="000000" w:themeColor="text1"/>
                <w:sz w:val="32"/>
                <w:szCs w:val="32"/>
                <w14:textFill>
                  <w14:solidFill>
                    <w14:schemeClr w14:val="tx1"/>
                  </w14:solidFill>
                </w14:textFill>
              </w:rPr>
            </w:pPr>
          </w:p>
          <w:p w14:paraId="0ABF8CE1">
            <w:pPr>
              <w:jc w:val="left"/>
              <w:rPr>
                <w:rFonts w:ascii="宋体" w:hAnsi="宋体" w:eastAsia="宋体"/>
                <w:color w:val="000000" w:themeColor="text1"/>
                <w:sz w:val="32"/>
                <w:szCs w:val="32"/>
                <w14:textFill>
                  <w14:solidFill>
                    <w14:schemeClr w14:val="tx1"/>
                  </w14:solidFill>
                </w14:textFill>
              </w:rPr>
            </w:pPr>
          </w:p>
          <w:p w14:paraId="4DD6D4A6">
            <w:pPr>
              <w:jc w:val="left"/>
              <w:rPr>
                <w:rFonts w:ascii="宋体" w:hAnsi="宋体" w:eastAsia="宋体"/>
                <w:color w:val="000000" w:themeColor="text1"/>
                <w:sz w:val="32"/>
                <w:szCs w:val="32"/>
                <w14:textFill>
                  <w14:solidFill>
                    <w14:schemeClr w14:val="tx1"/>
                  </w14:solidFill>
                </w14:textFill>
              </w:rPr>
            </w:pPr>
          </w:p>
          <w:p w14:paraId="5E9FF438">
            <w:pPr>
              <w:jc w:val="left"/>
              <w:rPr>
                <w:rFonts w:ascii="宋体" w:hAnsi="宋体" w:eastAsia="宋体"/>
                <w:color w:val="000000" w:themeColor="text1"/>
                <w:sz w:val="32"/>
                <w:szCs w:val="32"/>
                <w14:textFill>
                  <w14:solidFill>
                    <w14:schemeClr w14:val="tx1"/>
                  </w14:solidFill>
                </w14:textFill>
              </w:rPr>
            </w:pPr>
          </w:p>
          <w:p w14:paraId="67203AAE">
            <w:pPr>
              <w:jc w:val="left"/>
              <w:rPr>
                <w:rFonts w:ascii="宋体" w:hAnsi="宋体" w:eastAsia="宋体"/>
                <w:color w:val="000000" w:themeColor="text1"/>
                <w:sz w:val="32"/>
                <w:szCs w:val="32"/>
                <w14:textFill>
                  <w14:solidFill>
                    <w14:schemeClr w14:val="tx1"/>
                  </w14:solidFill>
                </w14:textFill>
              </w:rPr>
            </w:pPr>
          </w:p>
          <w:p w14:paraId="1A981190">
            <w:pPr>
              <w:jc w:val="left"/>
              <w:rPr>
                <w:rFonts w:ascii="宋体" w:hAnsi="宋体" w:eastAsia="宋体"/>
                <w:color w:val="000000" w:themeColor="text1"/>
                <w:sz w:val="32"/>
                <w:szCs w:val="32"/>
                <w14:textFill>
                  <w14:solidFill>
                    <w14:schemeClr w14:val="tx1"/>
                  </w14:solidFill>
                </w14:textFill>
              </w:rPr>
            </w:pPr>
          </w:p>
          <w:p w14:paraId="2C036276">
            <w:pPr>
              <w:jc w:val="left"/>
              <w:rPr>
                <w:rFonts w:ascii="宋体" w:hAnsi="宋体" w:eastAsia="宋体"/>
                <w:color w:val="000000" w:themeColor="text1"/>
                <w:sz w:val="32"/>
                <w:szCs w:val="32"/>
                <w14:textFill>
                  <w14:solidFill>
                    <w14:schemeClr w14:val="tx1"/>
                  </w14:solidFill>
                </w14:textFill>
              </w:rPr>
            </w:pPr>
          </w:p>
          <w:p w14:paraId="5FAC38AF">
            <w:pPr>
              <w:jc w:val="left"/>
              <w:rPr>
                <w:rFonts w:ascii="宋体" w:hAnsi="宋体" w:eastAsia="宋体"/>
                <w:color w:val="000000" w:themeColor="text1"/>
                <w:sz w:val="32"/>
                <w:szCs w:val="32"/>
                <w14:textFill>
                  <w14:solidFill>
                    <w14:schemeClr w14:val="tx1"/>
                  </w14:solidFill>
                </w14:textFill>
              </w:rPr>
            </w:pPr>
          </w:p>
          <w:p w14:paraId="103E4AEF">
            <w:pPr>
              <w:jc w:val="left"/>
              <w:rPr>
                <w:rFonts w:ascii="宋体" w:hAnsi="宋体" w:eastAsia="宋体"/>
                <w:color w:val="000000" w:themeColor="text1"/>
                <w:sz w:val="32"/>
                <w:szCs w:val="32"/>
                <w14:textFill>
                  <w14:solidFill>
                    <w14:schemeClr w14:val="tx1"/>
                  </w14:solidFill>
                </w14:textFill>
              </w:rPr>
            </w:pPr>
          </w:p>
          <w:p w14:paraId="586C35CD">
            <w:pPr>
              <w:jc w:val="left"/>
              <w:rPr>
                <w:rFonts w:ascii="宋体" w:hAnsi="宋体" w:eastAsia="宋体"/>
                <w:color w:val="000000" w:themeColor="text1"/>
                <w:sz w:val="32"/>
                <w:szCs w:val="32"/>
                <w14:textFill>
                  <w14:solidFill>
                    <w14:schemeClr w14:val="tx1"/>
                  </w14:solidFill>
                </w14:textFill>
              </w:rPr>
            </w:pPr>
          </w:p>
          <w:p w14:paraId="7B61C0CD">
            <w:pPr>
              <w:jc w:val="left"/>
              <w:rPr>
                <w:rFonts w:ascii="宋体" w:hAnsi="宋体" w:eastAsia="宋体"/>
                <w:color w:val="000000" w:themeColor="text1"/>
                <w:sz w:val="32"/>
                <w:szCs w:val="32"/>
                <w14:textFill>
                  <w14:solidFill>
                    <w14:schemeClr w14:val="tx1"/>
                  </w14:solidFill>
                </w14:textFill>
              </w:rPr>
            </w:pPr>
          </w:p>
          <w:p w14:paraId="76F97BEA">
            <w:pPr>
              <w:jc w:val="left"/>
              <w:rPr>
                <w:rFonts w:ascii="宋体" w:hAnsi="宋体" w:eastAsia="宋体"/>
                <w:color w:val="000000" w:themeColor="text1"/>
                <w:sz w:val="32"/>
                <w:szCs w:val="32"/>
                <w14:textFill>
                  <w14:solidFill>
                    <w14:schemeClr w14:val="tx1"/>
                  </w14:solidFill>
                </w14:textFill>
              </w:rPr>
            </w:pPr>
          </w:p>
        </w:tc>
      </w:tr>
      <w:tr w14:paraId="719D9E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6" w:hRule="atLeast"/>
        </w:trPr>
        <w:tc>
          <w:tcPr>
            <w:tcW w:w="1461" w:type="dxa"/>
            <w:gridSpan w:val="2"/>
            <w:vAlign w:val="center"/>
          </w:tcPr>
          <w:p w14:paraId="302A7A76">
            <w:pPr>
              <w:jc w:val="center"/>
              <w:rPr>
                <w:rFonts w:ascii="宋体" w:hAnsi="宋体" w:eastAsia="宋体"/>
                <w:color w:val="000000" w:themeColor="text1"/>
                <w:sz w:val="30"/>
                <w:szCs w:val="30"/>
                <w14:textFill>
                  <w14:solidFill>
                    <w14:schemeClr w14:val="tx1"/>
                  </w14:solidFill>
                </w14:textFill>
              </w:rPr>
            </w:pPr>
            <w:r>
              <w:rPr>
                <w:rFonts w:hint="eastAsia" w:ascii="宋体" w:hAnsi="宋体" w:eastAsia="宋体"/>
                <w:color w:val="000000" w:themeColor="text1"/>
                <w:sz w:val="30"/>
                <w:szCs w:val="30"/>
                <w14:textFill>
                  <w14:solidFill>
                    <w14:schemeClr w14:val="tx1"/>
                  </w14:solidFill>
                </w14:textFill>
              </w:rPr>
              <w:t>评估主体</w:t>
            </w:r>
          </w:p>
          <w:p w14:paraId="2BFEAB55">
            <w:pPr>
              <w:jc w:val="center"/>
              <w:rPr>
                <w:rFonts w:ascii="宋体" w:hAnsi="宋体" w:eastAsia="宋体"/>
                <w:color w:val="000000" w:themeColor="text1"/>
                <w:sz w:val="32"/>
                <w:szCs w:val="32"/>
                <w14:textFill>
                  <w14:solidFill>
                    <w14:schemeClr w14:val="tx1"/>
                  </w14:solidFill>
                </w14:textFill>
              </w:rPr>
            </w:pPr>
            <w:r>
              <w:rPr>
                <w:rFonts w:hint="eastAsia" w:ascii="宋体" w:hAnsi="宋体" w:eastAsia="宋体"/>
                <w:color w:val="000000" w:themeColor="text1"/>
                <w:sz w:val="30"/>
                <w:szCs w:val="30"/>
                <w14:textFill>
                  <w14:solidFill>
                    <w14:schemeClr w14:val="tx1"/>
                  </w14:solidFill>
                </w14:textFill>
              </w:rPr>
              <w:t>意见</w:t>
            </w:r>
          </w:p>
        </w:tc>
        <w:tc>
          <w:tcPr>
            <w:tcW w:w="2799" w:type="dxa"/>
            <w:gridSpan w:val="3"/>
            <w:vAlign w:val="center"/>
          </w:tcPr>
          <w:p w14:paraId="02B0E395">
            <w:pPr>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（主要负责人签字）</w:t>
            </w:r>
          </w:p>
          <w:p w14:paraId="3BE70701">
            <w:pPr>
              <w:ind w:firstLine="960" w:firstLineChars="300"/>
              <w:rPr>
                <w:rFonts w:ascii="宋体" w:hAnsi="宋体" w:eastAsia="宋体"/>
                <w:color w:val="000000" w:themeColor="text1"/>
                <w:sz w:val="32"/>
                <w:szCs w:val="32"/>
                <w14:textFill>
                  <w14:solidFill>
                    <w14:schemeClr w14:val="tx1"/>
                  </w14:solidFill>
                </w14:textFill>
              </w:rPr>
            </w:pPr>
          </w:p>
          <w:p w14:paraId="2C27307F">
            <w:pPr>
              <w:jc w:val="center"/>
              <w:rPr>
                <w:rFonts w:ascii="宋体" w:hAnsi="宋体" w:eastAsia="宋体"/>
                <w:color w:val="000000" w:themeColor="text1"/>
                <w:sz w:val="32"/>
                <w:szCs w:val="32"/>
                <w14:textFill>
                  <w14:solidFill>
                    <w14:schemeClr w14:val="tx1"/>
                  </w14:solidFill>
                </w14:textFill>
              </w:rPr>
            </w:pPr>
            <w:r>
              <w:rPr>
                <w:rFonts w:hint="eastAsia" w:ascii="宋体" w:hAnsi="宋体" w:eastAsia="宋体"/>
                <w:color w:val="000000" w:themeColor="text1"/>
                <w:sz w:val="32"/>
                <w:szCs w:val="32"/>
                <w14:textFill>
                  <w14:solidFill>
                    <w14:schemeClr w14:val="tx1"/>
                  </w14:solidFill>
                </w14:textFill>
              </w:rPr>
              <w:t>（盖章）</w:t>
            </w:r>
          </w:p>
          <w:p w14:paraId="1B757CB9">
            <w:pPr>
              <w:jc w:val="center"/>
              <w:rPr>
                <w:rFonts w:ascii="宋体" w:hAnsi="宋体" w:eastAsia="宋体"/>
                <w:color w:val="000000" w:themeColor="text1"/>
                <w:sz w:val="32"/>
                <w:szCs w:val="32"/>
                <w14:textFill>
                  <w14:solidFill>
                    <w14:schemeClr w14:val="tx1"/>
                  </w14:solidFill>
                </w14:textFill>
              </w:rPr>
            </w:pPr>
            <w:r>
              <w:rPr>
                <w:rFonts w:hint="eastAsia" w:ascii="宋体" w:hAnsi="宋体" w:eastAsia="宋体"/>
                <w:color w:val="000000" w:themeColor="text1"/>
                <w:sz w:val="32"/>
                <w:szCs w:val="32"/>
                <w14:textFill>
                  <w14:solidFill>
                    <w14:schemeClr w14:val="tx1"/>
                  </w14:solidFill>
                </w14:textFill>
              </w:rPr>
              <w:t>年  月 日</w:t>
            </w:r>
          </w:p>
        </w:tc>
        <w:tc>
          <w:tcPr>
            <w:tcW w:w="1418" w:type="dxa"/>
            <w:gridSpan w:val="2"/>
            <w:vAlign w:val="center"/>
          </w:tcPr>
          <w:p w14:paraId="66700144">
            <w:pPr>
              <w:jc w:val="center"/>
              <w:rPr>
                <w:rFonts w:ascii="宋体" w:hAnsi="宋体" w:eastAsia="宋体"/>
                <w:color w:val="000000" w:themeColor="text1"/>
                <w:sz w:val="32"/>
                <w:szCs w:val="32"/>
                <w14:textFill>
                  <w14:solidFill>
                    <w14:schemeClr w14:val="tx1"/>
                  </w14:solidFill>
                </w14:textFill>
              </w:rPr>
            </w:pPr>
            <w:r>
              <w:rPr>
                <w:rFonts w:hint="eastAsia" w:ascii="宋体" w:hAnsi="宋体" w:eastAsia="宋体"/>
                <w:color w:val="000000" w:themeColor="text1"/>
                <w:sz w:val="30"/>
                <w:szCs w:val="30"/>
                <w14:textFill>
                  <w14:solidFill>
                    <w14:schemeClr w14:val="tx1"/>
                  </w14:solidFill>
                </w14:textFill>
              </w:rPr>
              <w:t>党委政法委意见</w:t>
            </w:r>
          </w:p>
        </w:tc>
        <w:tc>
          <w:tcPr>
            <w:tcW w:w="2844" w:type="dxa"/>
            <w:gridSpan w:val="2"/>
            <w:vAlign w:val="center"/>
          </w:tcPr>
          <w:p w14:paraId="0A4F2BDF">
            <w:pPr>
              <w:jc w:val="center"/>
              <w:rPr>
                <w:rFonts w:ascii="宋体" w:hAnsi="宋体" w:eastAsia="宋体"/>
                <w:color w:val="000000" w:themeColor="text1"/>
                <w:sz w:val="32"/>
                <w:szCs w:val="32"/>
                <w14:textFill>
                  <w14:solidFill>
                    <w14:schemeClr w14:val="tx1"/>
                  </w14:solidFill>
                </w14:textFill>
              </w:rPr>
            </w:pPr>
          </w:p>
          <w:p w14:paraId="2D64F0DD">
            <w:pPr>
              <w:jc w:val="center"/>
              <w:rPr>
                <w:rFonts w:ascii="宋体" w:hAnsi="宋体" w:eastAsia="宋体"/>
                <w:color w:val="000000" w:themeColor="text1"/>
                <w:sz w:val="32"/>
                <w:szCs w:val="32"/>
                <w14:textFill>
                  <w14:solidFill>
                    <w14:schemeClr w14:val="tx1"/>
                  </w14:solidFill>
                </w14:textFill>
              </w:rPr>
            </w:pPr>
          </w:p>
          <w:p w14:paraId="1A2E0853">
            <w:pPr>
              <w:jc w:val="center"/>
              <w:rPr>
                <w:rFonts w:ascii="宋体" w:hAnsi="宋体" w:eastAsia="宋体"/>
                <w:color w:val="000000" w:themeColor="text1"/>
                <w:sz w:val="32"/>
                <w:szCs w:val="32"/>
                <w14:textFill>
                  <w14:solidFill>
                    <w14:schemeClr w14:val="tx1"/>
                  </w14:solidFill>
                </w14:textFill>
              </w:rPr>
            </w:pPr>
            <w:r>
              <w:rPr>
                <w:rFonts w:hint="eastAsia" w:ascii="宋体" w:hAnsi="宋体" w:eastAsia="宋体"/>
                <w:color w:val="000000" w:themeColor="text1"/>
                <w:sz w:val="32"/>
                <w:szCs w:val="32"/>
                <w14:textFill>
                  <w14:solidFill>
                    <w14:schemeClr w14:val="tx1"/>
                  </w14:solidFill>
                </w14:textFill>
              </w:rPr>
              <w:t>（盖章）</w:t>
            </w:r>
          </w:p>
          <w:p w14:paraId="7EBEC099">
            <w:pPr>
              <w:jc w:val="center"/>
              <w:rPr>
                <w:rFonts w:ascii="宋体" w:hAnsi="宋体" w:eastAsia="宋体"/>
                <w:color w:val="000000" w:themeColor="text1"/>
                <w:sz w:val="32"/>
                <w:szCs w:val="32"/>
                <w14:textFill>
                  <w14:solidFill>
                    <w14:schemeClr w14:val="tx1"/>
                  </w14:solidFill>
                </w14:textFill>
              </w:rPr>
            </w:pPr>
            <w:r>
              <w:rPr>
                <w:rFonts w:hint="eastAsia" w:ascii="宋体" w:hAnsi="宋体" w:eastAsia="宋体"/>
                <w:color w:val="000000" w:themeColor="text1"/>
                <w:sz w:val="32"/>
                <w:szCs w:val="32"/>
                <w14:textFill>
                  <w14:solidFill>
                    <w14:schemeClr w14:val="tx1"/>
                  </w14:solidFill>
                </w14:textFill>
              </w:rPr>
              <w:t>年 月 日</w:t>
            </w:r>
          </w:p>
        </w:tc>
      </w:tr>
      <w:tr w14:paraId="033B8B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8522" w:type="dxa"/>
            <w:gridSpan w:val="9"/>
          </w:tcPr>
          <w:p w14:paraId="374A30E2">
            <w:pPr>
              <w:jc w:val="left"/>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备注：1、稳评结论要评定风险等级，风险等级分为高风险、中风险、低风险；</w:t>
            </w:r>
          </w:p>
          <w:p w14:paraId="7CE54583">
            <w:pPr>
              <w:jc w:val="left"/>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 xml:space="preserve">      2、本备案一式两份，评估主体和同级党委政法委各执一份。</w:t>
            </w:r>
          </w:p>
        </w:tc>
      </w:tr>
    </w:tbl>
    <w:p w14:paraId="19CB679E">
      <w:pPr>
        <w:jc w:val="center"/>
        <w:rPr>
          <w:rFonts w:ascii="宋体" w:hAnsi="宋体" w:eastAsia="宋体"/>
          <w:b/>
          <w:color w:val="000000" w:themeColor="text1"/>
          <w:sz w:val="32"/>
          <w:szCs w:val="32"/>
          <w14:textFill>
            <w14:solidFill>
              <w14:schemeClr w14:val="tx1"/>
            </w14:solidFill>
          </w14:textFill>
        </w:rPr>
      </w:pPr>
    </w:p>
    <w:p w14:paraId="526E72B1">
      <w:pPr>
        <w:pStyle w:val="132"/>
        <w:numPr>
          <w:ilvl w:val="0"/>
          <w:numId w:val="0"/>
        </w:numPr>
        <w:bidi w:val="0"/>
        <w:ind w:left="0" w:leftChars="0" w:firstLine="0" w:firstLineChars="0"/>
      </w:pPr>
      <w:r>
        <w:rPr>
          <w:rFonts w:hint="eastAsia" w:ascii="黑体" w:hAnsi="黑体" w:eastAsia="黑体" w:cs="黑体"/>
          <w:sz w:val="21"/>
          <w:vertAlign w:val="baseline"/>
        </w:rPr>
        <w:t>表</w:t>
      </w:r>
      <w:r>
        <w:rPr>
          <w:rFonts w:hint="eastAsia" w:cs="黑体"/>
          <w:sz w:val="21"/>
          <w:vertAlign w:val="baseline"/>
          <w:lang w:val="en-US" w:eastAsia="zh-CN"/>
        </w:rPr>
        <w:t>J.2</w:t>
      </w:r>
      <w:r>
        <w:rPr>
          <w:rFonts w:hint="eastAsia" w:ascii="黑体" w:hAnsi="黑体" w:eastAsia="黑体" w:cs="黑体"/>
          <w:sz w:val="21"/>
          <w:vertAlign w:val="baseline"/>
        </w:rPr>
        <w:t xml:space="preserve">  </w:t>
      </w:r>
      <w:r>
        <w:rPr>
          <w:rFonts w:hint="eastAsia"/>
        </w:rPr>
        <w:t>江西省重大决策社会稳定风险评估简易程序备案表</w:t>
      </w:r>
    </w:p>
    <w:tbl>
      <w:tblPr>
        <w:tblStyle w:val="26"/>
        <w:tblW w:w="8801"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508"/>
        <w:gridCol w:w="575"/>
        <w:gridCol w:w="2914"/>
        <w:gridCol w:w="1875"/>
        <w:gridCol w:w="1260"/>
        <w:gridCol w:w="1669"/>
      </w:tblGrid>
      <w:tr w14:paraId="18CF91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29" w:hRule="atLeast"/>
        </w:trPr>
        <w:tc>
          <w:tcPr>
            <w:tcW w:w="1083" w:type="dxa"/>
            <w:gridSpan w:val="2"/>
            <w:vAlign w:val="center"/>
          </w:tcPr>
          <w:p w14:paraId="68347606">
            <w:pPr>
              <w:spacing w:line="0" w:lineRule="atLeast"/>
              <w:jc w:val="center"/>
              <w:rPr>
                <w:rFonts w:asciiTheme="minorEastAsia" w:hAnsiTheme="minorEastAsia" w:cstheme="minorEastAsia"/>
                <w:sz w:val="24"/>
                <w:szCs w:val="24"/>
              </w:rPr>
            </w:pPr>
            <w:r>
              <w:rPr>
                <w:rFonts w:hint="eastAsia" w:asciiTheme="minorEastAsia" w:hAnsiTheme="minorEastAsia" w:cstheme="minorEastAsia"/>
                <w:sz w:val="24"/>
                <w:szCs w:val="24"/>
              </w:rPr>
              <w:t>评估事项名 称</w:t>
            </w:r>
          </w:p>
        </w:tc>
        <w:tc>
          <w:tcPr>
            <w:tcW w:w="7718" w:type="dxa"/>
            <w:gridSpan w:val="4"/>
            <w:vAlign w:val="center"/>
          </w:tcPr>
          <w:p w14:paraId="08DF3DCA">
            <w:pPr>
              <w:spacing w:line="0" w:lineRule="atLeast"/>
              <w:rPr>
                <w:rFonts w:asciiTheme="minorEastAsia" w:hAnsiTheme="minorEastAsia" w:cstheme="minorEastAsia"/>
                <w:sz w:val="28"/>
              </w:rPr>
            </w:pPr>
          </w:p>
        </w:tc>
      </w:tr>
      <w:tr w14:paraId="3A313F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6" w:hRule="atLeast"/>
        </w:trPr>
        <w:tc>
          <w:tcPr>
            <w:tcW w:w="1083" w:type="dxa"/>
            <w:gridSpan w:val="2"/>
            <w:vAlign w:val="center"/>
          </w:tcPr>
          <w:p w14:paraId="46029713">
            <w:pPr>
              <w:spacing w:line="0" w:lineRule="atLeast"/>
              <w:jc w:val="center"/>
              <w:rPr>
                <w:rFonts w:asciiTheme="minorEastAsia" w:hAnsiTheme="minorEastAsia" w:cstheme="minorEastAsia"/>
                <w:sz w:val="24"/>
                <w:szCs w:val="24"/>
              </w:rPr>
            </w:pPr>
            <w:r>
              <w:rPr>
                <w:rFonts w:hint="eastAsia" w:asciiTheme="minorEastAsia" w:hAnsiTheme="minorEastAsia" w:cstheme="minorEastAsia"/>
                <w:sz w:val="24"/>
                <w:szCs w:val="24"/>
              </w:rPr>
              <w:t>风险等级</w:t>
            </w:r>
          </w:p>
        </w:tc>
        <w:tc>
          <w:tcPr>
            <w:tcW w:w="7718" w:type="dxa"/>
            <w:gridSpan w:val="4"/>
            <w:vAlign w:val="center"/>
          </w:tcPr>
          <w:p w14:paraId="4E172597">
            <w:pPr>
              <w:spacing w:line="0" w:lineRule="atLeast"/>
              <w:rPr>
                <w:rFonts w:asciiTheme="minorEastAsia" w:hAnsiTheme="minorEastAsia" w:cstheme="minorEastAsia"/>
              </w:rPr>
            </w:pPr>
          </w:p>
          <w:p w14:paraId="000C4E38">
            <w:pPr>
              <w:pStyle w:val="24"/>
              <w:ind w:left="420"/>
              <w:rPr>
                <w:rFonts w:asciiTheme="minorEastAsia" w:hAnsiTheme="minorEastAsia" w:cstheme="minorEastAsia"/>
              </w:rPr>
            </w:pPr>
          </w:p>
        </w:tc>
      </w:tr>
      <w:tr w14:paraId="53782E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6" w:hRule="atLeast"/>
        </w:trPr>
        <w:tc>
          <w:tcPr>
            <w:tcW w:w="1083" w:type="dxa"/>
            <w:gridSpan w:val="2"/>
            <w:vAlign w:val="center"/>
          </w:tcPr>
          <w:p w14:paraId="49EF2402">
            <w:pPr>
              <w:spacing w:line="0" w:lineRule="atLeast"/>
              <w:jc w:val="center"/>
              <w:rPr>
                <w:rFonts w:asciiTheme="minorEastAsia" w:hAnsiTheme="minorEastAsia" w:cstheme="minorEastAsia"/>
                <w:sz w:val="24"/>
                <w:szCs w:val="24"/>
              </w:rPr>
            </w:pPr>
            <w:r>
              <w:rPr>
                <w:rFonts w:hint="eastAsia" w:asciiTheme="minorEastAsia" w:hAnsiTheme="minorEastAsia" w:cstheme="minorEastAsia"/>
                <w:sz w:val="24"/>
                <w:szCs w:val="24"/>
              </w:rPr>
              <w:t>评估事项概 况</w:t>
            </w:r>
          </w:p>
        </w:tc>
        <w:tc>
          <w:tcPr>
            <w:tcW w:w="7718" w:type="dxa"/>
            <w:gridSpan w:val="4"/>
            <w:vAlign w:val="center"/>
          </w:tcPr>
          <w:p w14:paraId="2792BE7E">
            <w:pPr>
              <w:spacing w:line="0" w:lineRule="atLeast"/>
              <w:rPr>
                <w:rFonts w:asciiTheme="minorEastAsia" w:hAnsiTheme="minorEastAsia" w:cstheme="minorEastAsia"/>
                <w:sz w:val="28"/>
              </w:rPr>
            </w:pPr>
          </w:p>
        </w:tc>
      </w:tr>
      <w:tr w14:paraId="7A8BE2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75" w:hRule="atLeast"/>
        </w:trPr>
        <w:tc>
          <w:tcPr>
            <w:tcW w:w="1083" w:type="dxa"/>
            <w:gridSpan w:val="2"/>
            <w:vAlign w:val="center"/>
          </w:tcPr>
          <w:p w14:paraId="5B3BABD2">
            <w:pPr>
              <w:spacing w:line="0" w:lineRule="atLeast"/>
              <w:jc w:val="center"/>
              <w:rPr>
                <w:rFonts w:asciiTheme="minorEastAsia" w:hAnsiTheme="minorEastAsia" w:cstheme="minorEastAsia"/>
                <w:sz w:val="24"/>
                <w:szCs w:val="24"/>
              </w:rPr>
            </w:pPr>
            <w:r>
              <w:rPr>
                <w:rFonts w:hint="eastAsia" w:asciiTheme="minorEastAsia" w:hAnsiTheme="minorEastAsia" w:cstheme="minorEastAsia"/>
                <w:sz w:val="24"/>
                <w:szCs w:val="24"/>
              </w:rPr>
              <w:t>适用简易程序理由</w:t>
            </w:r>
          </w:p>
        </w:tc>
        <w:tc>
          <w:tcPr>
            <w:tcW w:w="7718" w:type="dxa"/>
            <w:gridSpan w:val="4"/>
            <w:vAlign w:val="center"/>
          </w:tcPr>
          <w:p w14:paraId="64D67587">
            <w:pPr>
              <w:spacing w:line="0" w:lineRule="atLeast"/>
              <w:rPr>
                <w:rFonts w:asciiTheme="minorEastAsia" w:hAnsiTheme="minorEastAsia" w:cstheme="minorEastAsia"/>
                <w:sz w:val="28"/>
              </w:rPr>
            </w:pPr>
          </w:p>
        </w:tc>
      </w:tr>
      <w:tr w14:paraId="1C1508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010" w:hRule="atLeast"/>
        </w:trPr>
        <w:tc>
          <w:tcPr>
            <w:tcW w:w="1083" w:type="dxa"/>
            <w:gridSpan w:val="2"/>
            <w:vAlign w:val="center"/>
          </w:tcPr>
          <w:p w14:paraId="57D8B51D">
            <w:pPr>
              <w:spacing w:line="0" w:lineRule="atLeast"/>
              <w:jc w:val="center"/>
              <w:rPr>
                <w:rFonts w:asciiTheme="minorEastAsia" w:hAnsiTheme="minorEastAsia" w:cstheme="minorEastAsia"/>
                <w:sz w:val="24"/>
                <w:szCs w:val="24"/>
              </w:rPr>
            </w:pPr>
            <w:r>
              <w:rPr>
                <w:rFonts w:hint="eastAsia" w:asciiTheme="minorEastAsia" w:hAnsiTheme="minorEastAsia" w:cstheme="minorEastAsia"/>
                <w:sz w:val="24"/>
                <w:szCs w:val="24"/>
              </w:rPr>
              <w:t>开展风险排查工作情况</w:t>
            </w:r>
          </w:p>
        </w:tc>
        <w:tc>
          <w:tcPr>
            <w:tcW w:w="7718" w:type="dxa"/>
            <w:gridSpan w:val="4"/>
            <w:vAlign w:val="center"/>
          </w:tcPr>
          <w:p w14:paraId="67ECE0A1">
            <w:pPr>
              <w:spacing w:line="0" w:lineRule="atLeast"/>
              <w:rPr>
                <w:rFonts w:asciiTheme="minorEastAsia" w:hAnsiTheme="minorEastAsia" w:cstheme="minorEastAsia"/>
                <w:sz w:val="28"/>
              </w:rPr>
            </w:pPr>
          </w:p>
        </w:tc>
      </w:tr>
      <w:tr w14:paraId="73366E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81" w:hRule="atLeast"/>
        </w:trPr>
        <w:tc>
          <w:tcPr>
            <w:tcW w:w="1083" w:type="dxa"/>
            <w:gridSpan w:val="2"/>
            <w:vAlign w:val="center"/>
          </w:tcPr>
          <w:p w14:paraId="775EAB66">
            <w:pPr>
              <w:spacing w:line="0" w:lineRule="atLeast"/>
              <w:jc w:val="center"/>
              <w:rPr>
                <w:rFonts w:asciiTheme="minorEastAsia" w:hAnsiTheme="minorEastAsia" w:cstheme="minorEastAsia"/>
                <w:sz w:val="24"/>
                <w:szCs w:val="24"/>
              </w:rPr>
            </w:pPr>
            <w:r>
              <w:rPr>
                <w:rFonts w:hint="eastAsia" w:asciiTheme="minorEastAsia" w:hAnsiTheme="minorEastAsia" w:cstheme="minorEastAsia"/>
                <w:sz w:val="24"/>
                <w:szCs w:val="24"/>
              </w:rPr>
              <w:t>开展分析论证工作情况</w:t>
            </w:r>
          </w:p>
        </w:tc>
        <w:tc>
          <w:tcPr>
            <w:tcW w:w="7718" w:type="dxa"/>
            <w:gridSpan w:val="4"/>
            <w:vAlign w:val="center"/>
          </w:tcPr>
          <w:p w14:paraId="659066FE">
            <w:pPr>
              <w:spacing w:line="0" w:lineRule="atLeast"/>
              <w:rPr>
                <w:rFonts w:asciiTheme="minorEastAsia" w:hAnsiTheme="minorEastAsia" w:cstheme="minorEastAsia"/>
                <w:sz w:val="28"/>
              </w:rPr>
            </w:pPr>
          </w:p>
        </w:tc>
      </w:tr>
      <w:tr w14:paraId="3465C0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66" w:hRule="atLeast"/>
        </w:trPr>
        <w:tc>
          <w:tcPr>
            <w:tcW w:w="508" w:type="dxa"/>
            <w:vMerge w:val="restart"/>
            <w:textDirection w:val="tbLrV"/>
            <w:vAlign w:val="center"/>
          </w:tcPr>
          <w:p w14:paraId="3A762417">
            <w:pPr>
              <w:spacing w:line="0" w:lineRule="atLeast"/>
              <w:ind w:left="113" w:right="113"/>
              <w:jc w:val="center"/>
              <w:rPr>
                <w:rFonts w:asciiTheme="minorEastAsia" w:hAnsiTheme="minorEastAsia" w:cstheme="minorEastAsia"/>
                <w:sz w:val="24"/>
                <w:szCs w:val="24"/>
              </w:rPr>
            </w:pPr>
            <w:r>
              <w:rPr>
                <w:rFonts w:hint="eastAsia" w:asciiTheme="minorEastAsia" w:hAnsiTheme="minorEastAsia" w:cstheme="minorEastAsia"/>
                <w:sz w:val="24"/>
                <w:szCs w:val="24"/>
              </w:rPr>
              <w:t>评估事项风险点</w:t>
            </w:r>
          </w:p>
        </w:tc>
        <w:tc>
          <w:tcPr>
            <w:tcW w:w="575" w:type="dxa"/>
            <w:vAlign w:val="center"/>
          </w:tcPr>
          <w:p w14:paraId="45D09A5D">
            <w:pPr>
              <w:spacing w:line="0" w:lineRule="atLeast"/>
              <w:jc w:val="center"/>
              <w:rPr>
                <w:rFonts w:asciiTheme="minorEastAsia" w:hAnsiTheme="minorEastAsia" w:cstheme="minorEastAsia"/>
                <w:sz w:val="24"/>
                <w:szCs w:val="24"/>
              </w:rPr>
            </w:pPr>
            <w:r>
              <w:rPr>
                <w:rFonts w:hint="eastAsia" w:asciiTheme="minorEastAsia" w:hAnsiTheme="minorEastAsia" w:cstheme="minorEastAsia"/>
                <w:sz w:val="24"/>
                <w:szCs w:val="24"/>
              </w:rPr>
              <w:t>序号</w:t>
            </w:r>
          </w:p>
        </w:tc>
        <w:tc>
          <w:tcPr>
            <w:tcW w:w="2914" w:type="dxa"/>
            <w:vAlign w:val="center"/>
          </w:tcPr>
          <w:p w14:paraId="2799D49C">
            <w:pPr>
              <w:spacing w:line="0" w:lineRule="atLeast"/>
              <w:jc w:val="center"/>
              <w:rPr>
                <w:rFonts w:asciiTheme="minorEastAsia" w:hAnsiTheme="minorEastAsia" w:cstheme="minorEastAsia"/>
                <w:sz w:val="24"/>
                <w:szCs w:val="24"/>
              </w:rPr>
            </w:pPr>
            <w:r>
              <w:rPr>
                <w:rFonts w:hint="eastAsia" w:asciiTheme="minorEastAsia" w:hAnsiTheme="minorEastAsia" w:cstheme="minorEastAsia"/>
                <w:sz w:val="24"/>
                <w:szCs w:val="24"/>
              </w:rPr>
              <w:t>风险点描述</w:t>
            </w:r>
          </w:p>
        </w:tc>
        <w:tc>
          <w:tcPr>
            <w:tcW w:w="3135" w:type="dxa"/>
            <w:gridSpan w:val="2"/>
            <w:vAlign w:val="center"/>
          </w:tcPr>
          <w:p w14:paraId="11379FE0">
            <w:pPr>
              <w:spacing w:line="0" w:lineRule="atLeast"/>
              <w:jc w:val="center"/>
              <w:rPr>
                <w:rFonts w:asciiTheme="minorEastAsia" w:hAnsiTheme="minorEastAsia" w:cstheme="minorEastAsia"/>
                <w:sz w:val="24"/>
                <w:szCs w:val="24"/>
              </w:rPr>
            </w:pPr>
            <w:r>
              <w:rPr>
                <w:rFonts w:hint="eastAsia" w:asciiTheme="minorEastAsia" w:hAnsiTheme="minorEastAsia" w:cstheme="minorEastAsia"/>
                <w:sz w:val="24"/>
                <w:szCs w:val="24"/>
              </w:rPr>
              <w:t>化解措施</w:t>
            </w:r>
          </w:p>
        </w:tc>
        <w:tc>
          <w:tcPr>
            <w:tcW w:w="1669" w:type="dxa"/>
            <w:vAlign w:val="center"/>
          </w:tcPr>
          <w:p w14:paraId="7800EA09">
            <w:pPr>
              <w:spacing w:line="0" w:lineRule="atLeast"/>
              <w:jc w:val="center"/>
              <w:rPr>
                <w:rFonts w:asciiTheme="minorEastAsia" w:hAnsiTheme="minorEastAsia" w:cstheme="minorEastAsia"/>
                <w:sz w:val="24"/>
                <w:szCs w:val="24"/>
              </w:rPr>
            </w:pPr>
            <w:r>
              <w:rPr>
                <w:rFonts w:hint="eastAsia" w:asciiTheme="minorEastAsia" w:hAnsiTheme="minorEastAsia" w:cstheme="minorEastAsia"/>
                <w:sz w:val="24"/>
                <w:szCs w:val="24"/>
              </w:rPr>
              <w:t>是否可控</w:t>
            </w:r>
          </w:p>
        </w:tc>
      </w:tr>
      <w:tr w14:paraId="1694EB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61" w:hRule="atLeast"/>
        </w:trPr>
        <w:tc>
          <w:tcPr>
            <w:tcW w:w="508" w:type="dxa"/>
            <w:vMerge w:val="continue"/>
            <w:textDirection w:val="tbLrV"/>
            <w:vAlign w:val="center"/>
          </w:tcPr>
          <w:p w14:paraId="0B438F0D">
            <w:pPr>
              <w:spacing w:line="0" w:lineRule="atLeast"/>
              <w:ind w:left="113" w:right="113"/>
              <w:jc w:val="center"/>
              <w:rPr>
                <w:rFonts w:asciiTheme="minorEastAsia" w:hAnsiTheme="minorEastAsia" w:cstheme="minorEastAsia"/>
                <w:sz w:val="24"/>
                <w:szCs w:val="24"/>
              </w:rPr>
            </w:pPr>
          </w:p>
        </w:tc>
        <w:tc>
          <w:tcPr>
            <w:tcW w:w="575" w:type="dxa"/>
            <w:vAlign w:val="center"/>
          </w:tcPr>
          <w:p w14:paraId="7E6D1078">
            <w:pPr>
              <w:spacing w:line="0" w:lineRule="atLeast"/>
              <w:jc w:val="center"/>
              <w:rPr>
                <w:rFonts w:asciiTheme="minorEastAsia" w:hAnsiTheme="minorEastAsia" w:cstheme="minorEastAsia"/>
                <w:sz w:val="24"/>
                <w:szCs w:val="24"/>
              </w:rPr>
            </w:pPr>
          </w:p>
        </w:tc>
        <w:tc>
          <w:tcPr>
            <w:tcW w:w="2914" w:type="dxa"/>
            <w:vAlign w:val="center"/>
          </w:tcPr>
          <w:p w14:paraId="104E1CD9">
            <w:pPr>
              <w:spacing w:line="0" w:lineRule="atLeast"/>
              <w:jc w:val="center"/>
              <w:rPr>
                <w:rFonts w:asciiTheme="minorEastAsia" w:hAnsiTheme="minorEastAsia" w:cstheme="minorEastAsia"/>
                <w:sz w:val="24"/>
                <w:szCs w:val="24"/>
              </w:rPr>
            </w:pPr>
          </w:p>
        </w:tc>
        <w:tc>
          <w:tcPr>
            <w:tcW w:w="3135" w:type="dxa"/>
            <w:gridSpan w:val="2"/>
            <w:vAlign w:val="center"/>
          </w:tcPr>
          <w:p w14:paraId="5CFAF8B7">
            <w:pPr>
              <w:spacing w:line="0" w:lineRule="atLeast"/>
              <w:jc w:val="center"/>
              <w:rPr>
                <w:rFonts w:asciiTheme="minorEastAsia" w:hAnsiTheme="minorEastAsia" w:cstheme="minorEastAsia"/>
                <w:sz w:val="24"/>
                <w:szCs w:val="24"/>
              </w:rPr>
            </w:pPr>
          </w:p>
        </w:tc>
        <w:tc>
          <w:tcPr>
            <w:tcW w:w="1669" w:type="dxa"/>
            <w:vAlign w:val="center"/>
          </w:tcPr>
          <w:p w14:paraId="5749E761">
            <w:pPr>
              <w:spacing w:line="0" w:lineRule="atLeast"/>
              <w:jc w:val="center"/>
              <w:rPr>
                <w:rFonts w:asciiTheme="minorEastAsia" w:hAnsiTheme="minorEastAsia" w:cstheme="minorEastAsia"/>
                <w:sz w:val="24"/>
                <w:szCs w:val="24"/>
              </w:rPr>
            </w:pPr>
          </w:p>
        </w:tc>
      </w:tr>
      <w:tr w14:paraId="008048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69" w:hRule="atLeast"/>
        </w:trPr>
        <w:tc>
          <w:tcPr>
            <w:tcW w:w="508" w:type="dxa"/>
            <w:vMerge w:val="continue"/>
            <w:textDirection w:val="tbLrV"/>
            <w:vAlign w:val="center"/>
          </w:tcPr>
          <w:p w14:paraId="5AC77049">
            <w:pPr>
              <w:spacing w:line="0" w:lineRule="atLeast"/>
              <w:jc w:val="center"/>
              <w:rPr>
                <w:rFonts w:asciiTheme="minorEastAsia" w:hAnsiTheme="minorEastAsia" w:cstheme="minorEastAsia"/>
                <w:sz w:val="24"/>
                <w:szCs w:val="24"/>
              </w:rPr>
            </w:pPr>
          </w:p>
        </w:tc>
        <w:tc>
          <w:tcPr>
            <w:tcW w:w="575" w:type="dxa"/>
            <w:vAlign w:val="center"/>
          </w:tcPr>
          <w:p w14:paraId="456F9E55">
            <w:pPr>
              <w:spacing w:line="0" w:lineRule="atLeast"/>
              <w:jc w:val="center"/>
              <w:rPr>
                <w:rFonts w:asciiTheme="minorEastAsia" w:hAnsiTheme="minorEastAsia" w:cstheme="minorEastAsia"/>
                <w:sz w:val="24"/>
                <w:szCs w:val="24"/>
              </w:rPr>
            </w:pPr>
          </w:p>
        </w:tc>
        <w:tc>
          <w:tcPr>
            <w:tcW w:w="2914" w:type="dxa"/>
            <w:vAlign w:val="center"/>
          </w:tcPr>
          <w:p w14:paraId="62D98143">
            <w:pPr>
              <w:spacing w:line="0" w:lineRule="atLeast"/>
              <w:jc w:val="center"/>
              <w:rPr>
                <w:rFonts w:asciiTheme="minorEastAsia" w:hAnsiTheme="minorEastAsia" w:cstheme="minorEastAsia"/>
                <w:sz w:val="24"/>
                <w:szCs w:val="24"/>
              </w:rPr>
            </w:pPr>
          </w:p>
        </w:tc>
        <w:tc>
          <w:tcPr>
            <w:tcW w:w="3135" w:type="dxa"/>
            <w:gridSpan w:val="2"/>
            <w:vAlign w:val="center"/>
          </w:tcPr>
          <w:p w14:paraId="06971E3E">
            <w:pPr>
              <w:spacing w:line="0" w:lineRule="atLeast"/>
              <w:jc w:val="center"/>
              <w:rPr>
                <w:rFonts w:asciiTheme="minorEastAsia" w:hAnsiTheme="minorEastAsia" w:cstheme="minorEastAsia"/>
                <w:sz w:val="24"/>
                <w:szCs w:val="24"/>
              </w:rPr>
            </w:pPr>
          </w:p>
        </w:tc>
        <w:tc>
          <w:tcPr>
            <w:tcW w:w="1669" w:type="dxa"/>
            <w:vAlign w:val="center"/>
          </w:tcPr>
          <w:p w14:paraId="13A2A6F5">
            <w:pPr>
              <w:spacing w:line="0" w:lineRule="atLeast"/>
              <w:jc w:val="center"/>
              <w:rPr>
                <w:rFonts w:asciiTheme="minorEastAsia" w:hAnsiTheme="minorEastAsia" w:cstheme="minorEastAsia"/>
                <w:sz w:val="24"/>
                <w:szCs w:val="24"/>
              </w:rPr>
            </w:pPr>
          </w:p>
        </w:tc>
      </w:tr>
      <w:tr w14:paraId="708C06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69" w:hRule="atLeast"/>
        </w:trPr>
        <w:tc>
          <w:tcPr>
            <w:tcW w:w="508" w:type="dxa"/>
            <w:vMerge w:val="continue"/>
            <w:textDirection w:val="tbLrV"/>
            <w:vAlign w:val="center"/>
          </w:tcPr>
          <w:p w14:paraId="0DAE577D">
            <w:pPr>
              <w:spacing w:line="0" w:lineRule="atLeast"/>
              <w:jc w:val="center"/>
              <w:rPr>
                <w:rFonts w:asciiTheme="minorEastAsia" w:hAnsiTheme="minorEastAsia" w:cstheme="minorEastAsia"/>
                <w:sz w:val="24"/>
                <w:szCs w:val="24"/>
              </w:rPr>
            </w:pPr>
          </w:p>
        </w:tc>
        <w:tc>
          <w:tcPr>
            <w:tcW w:w="575" w:type="dxa"/>
            <w:vAlign w:val="center"/>
          </w:tcPr>
          <w:p w14:paraId="34C6CDB4">
            <w:pPr>
              <w:spacing w:line="0" w:lineRule="atLeast"/>
              <w:jc w:val="center"/>
              <w:rPr>
                <w:rFonts w:asciiTheme="minorEastAsia" w:hAnsiTheme="minorEastAsia" w:cstheme="minorEastAsia"/>
                <w:sz w:val="24"/>
                <w:szCs w:val="24"/>
              </w:rPr>
            </w:pPr>
          </w:p>
        </w:tc>
        <w:tc>
          <w:tcPr>
            <w:tcW w:w="2914" w:type="dxa"/>
            <w:vAlign w:val="center"/>
          </w:tcPr>
          <w:p w14:paraId="5D6BAD57">
            <w:pPr>
              <w:spacing w:line="0" w:lineRule="atLeast"/>
              <w:jc w:val="center"/>
              <w:rPr>
                <w:rFonts w:asciiTheme="minorEastAsia" w:hAnsiTheme="minorEastAsia" w:cstheme="minorEastAsia"/>
                <w:sz w:val="24"/>
                <w:szCs w:val="24"/>
              </w:rPr>
            </w:pPr>
          </w:p>
        </w:tc>
        <w:tc>
          <w:tcPr>
            <w:tcW w:w="3135" w:type="dxa"/>
            <w:gridSpan w:val="2"/>
            <w:vAlign w:val="center"/>
          </w:tcPr>
          <w:p w14:paraId="22AFB039">
            <w:pPr>
              <w:spacing w:line="0" w:lineRule="atLeast"/>
              <w:jc w:val="center"/>
              <w:rPr>
                <w:rFonts w:asciiTheme="minorEastAsia" w:hAnsiTheme="minorEastAsia" w:cstheme="minorEastAsia"/>
                <w:sz w:val="24"/>
                <w:szCs w:val="24"/>
              </w:rPr>
            </w:pPr>
          </w:p>
        </w:tc>
        <w:tc>
          <w:tcPr>
            <w:tcW w:w="1669" w:type="dxa"/>
            <w:vAlign w:val="center"/>
          </w:tcPr>
          <w:p w14:paraId="01AC42C7">
            <w:pPr>
              <w:spacing w:line="0" w:lineRule="atLeast"/>
              <w:jc w:val="center"/>
              <w:rPr>
                <w:rFonts w:asciiTheme="minorEastAsia" w:hAnsiTheme="minorEastAsia" w:cstheme="minorEastAsia"/>
                <w:sz w:val="24"/>
                <w:szCs w:val="24"/>
              </w:rPr>
            </w:pPr>
          </w:p>
        </w:tc>
      </w:tr>
      <w:tr w14:paraId="01AC86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31" w:hRule="atLeast"/>
        </w:trPr>
        <w:tc>
          <w:tcPr>
            <w:tcW w:w="508" w:type="dxa"/>
            <w:vMerge w:val="continue"/>
            <w:vAlign w:val="center"/>
          </w:tcPr>
          <w:p w14:paraId="037EDB5B">
            <w:pPr>
              <w:spacing w:line="0" w:lineRule="atLeast"/>
              <w:jc w:val="center"/>
              <w:rPr>
                <w:rFonts w:asciiTheme="minorEastAsia" w:hAnsiTheme="minorEastAsia" w:cstheme="minorEastAsia"/>
                <w:sz w:val="24"/>
                <w:szCs w:val="24"/>
              </w:rPr>
            </w:pPr>
          </w:p>
        </w:tc>
        <w:tc>
          <w:tcPr>
            <w:tcW w:w="8293" w:type="dxa"/>
            <w:gridSpan w:val="5"/>
            <w:vAlign w:val="center"/>
          </w:tcPr>
          <w:p w14:paraId="39DCCB62">
            <w:pPr>
              <w:spacing w:line="0" w:lineRule="atLeast"/>
              <w:jc w:val="left"/>
              <w:rPr>
                <w:rFonts w:asciiTheme="minorEastAsia" w:hAnsiTheme="minorEastAsia" w:cstheme="minorEastAsia"/>
              </w:rPr>
            </w:pPr>
            <w:r>
              <w:rPr>
                <w:rFonts w:hint="eastAsia" w:asciiTheme="minorEastAsia" w:hAnsiTheme="minorEastAsia" w:cstheme="minorEastAsia"/>
                <w:sz w:val="24"/>
                <w:szCs w:val="24"/>
              </w:rPr>
              <w:t>（可另附页）</w:t>
            </w:r>
          </w:p>
        </w:tc>
      </w:tr>
      <w:tr w14:paraId="7A0CFA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005" w:hRule="atLeast"/>
        </w:trPr>
        <w:tc>
          <w:tcPr>
            <w:tcW w:w="1083" w:type="dxa"/>
            <w:gridSpan w:val="2"/>
            <w:vAlign w:val="center"/>
          </w:tcPr>
          <w:p w14:paraId="4873785B">
            <w:pPr>
              <w:spacing w:line="0" w:lineRule="atLeast"/>
              <w:jc w:val="center"/>
              <w:rPr>
                <w:rFonts w:asciiTheme="minorEastAsia" w:hAnsiTheme="minorEastAsia" w:cstheme="minorEastAsia"/>
                <w:sz w:val="24"/>
                <w:szCs w:val="24"/>
              </w:rPr>
            </w:pPr>
            <w:r>
              <w:rPr>
                <w:rFonts w:hint="eastAsia" w:asciiTheme="minorEastAsia" w:hAnsiTheme="minorEastAsia" w:cstheme="minorEastAsia"/>
                <w:sz w:val="24"/>
                <w:szCs w:val="24"/>
              </w:rPr>
              <w:t>评估主体意见</w:t>
            </w:r>
          </w:p>
        </w:tc>
        <w:tc>
          <w:tcPr>
            <w:tcW w:w="2914" w:type="dxa"/>
            <w:vAlign w:val="center"/>
          </w:tcPr>
          <w:p w14:paraId="0815B1AC">
            <w:pPr>
              <w:spacing w:line="0" w:lineRule="atLeast"/>
              <w:rPr>
                <w:rFonts w:asciiTheme="minorEastAsia" w:hAnsiTheme="minorEastAsia" w:cstheme="minorEastAsia"/>
                <w:sz w:val="24"/>
                <w:szCs w:val="24"/>
              </w:rPr>
            </w:pPr>
          </w:p>
          <w:p w14:paraId="3B3A4231">
            <w:pPr>
              <w:spacing w:line="0" w:lineRule="atLeast"/>
              <w:rPr>
                <w:rFonts w:asciiTheme="minorEastAsia" w:hAnsiTheme="minorEastAsia" w:cstheme="minorEastAsia"/>
                <w:sz w:val="24"/>
                <w:szCs w:val="24"/>
              </w:rPr>
            </w:pPr>
            <w:r>
              <w:rPr>
                <w:rFonts w:hint="eastAsia" w:asciiTheme="minorEastAsia" w:hAnsiTheme="minorEastAsia" w:cstheme="minorEastAsia"/>
                <w:sz w:val="24"/>
                <w:szCs w:val="24"/>
              </w:rPr>
              <w:t xml:space="preserve">    </w:t>
            </w:r>
          </w:p>
          <w:p w14:paraId="140E2AE2">
            <w:pPr>
              <w:spacing w:line="0" w:lineRule="atLeast"/>
              <w:rPr>
                <w:rFonts w:asciiTheme="minorEastAsia" w:hAnsiTheme="minorEastAsia" w:cstheme="minorEastAsia"/>
                <w:sz w:val="24"/>
                <w:szCs w:val="24"/>
              </w:rPr>
            </w:pPr>
            <w:r>
              <w:rPr>
                <w:rFonts w:hint="eastAsia" w:asciiTheme="minorEastAsia" w:hAnsiTheme="minorEastAsia" w:cstheme="minorEastAsia"/>
                <w:sz w:val="24"/>
                <w:szCs w:val="24"/>
              </w:rPr>
              <w:t xml:space="preserve">  主要负责人签字：</w:t>
            </w:r>
          </w:p>
          <w:p w14:paraId="6074F452">
            <w:pPr>
              <w:spacing w:line="0" w:lineRule="atLeast"/>
              <w:rPr>
                <w:rFonts w:asciiTheme="minorEastAsia" w:hAnsiTheme="minorEastAsia" w:cstheme="minorEastAsia"/>
                <w:sz w:val="24"/>
                <w:szCs w:val="24"/>
              </w:rPr>
            </w:pPr>
            <w:r>
              <w:rPr>
                <w:rFonts w:hint="eastAsia" w:asciiTheme="minorEastAsia" w:hAnsiTheme="minorEastAsia" w:cstheme="minorEastAsia"/>
                <w:sz w:val="24"/>
                <w:szCs w:val="24"/>
              </w:rPr>
              <w:t xml:space="preserve">               （盖章）</w:t>
            </w:r>
          </w:p>
          <w:p w14:paraId="1C8DFB63">
            <w:pPr>
              <w:spacing w:line="0" w:lineRule="atLeast"/>
              <w:jc w:val="right"/>
              <w:rPr>
                <w:rFonts w:asciiTheme="minorEastAsia" w:hAnsiTheme="minorEastAsia" w:cstheme="minorEastAsia"/>
                <w:sz w:val="24"/>
                <w:szCs w:val="24"/>
              </w:rPr>
            </w:pPr>
            <w:r>
              <w:rPr>
                <w:rFonts w:hint="eastAsia" w:asciiTheme="minorEastAsia" w:hAnsiTheme="minorEastAsia" w:cstheme="minorEastAsia"/>
                <w:sz w:val="24"/>
                <w:szCs w:val="24"/>
              </w:rPr>
              <w:t>年   月   日</w:t>
            </w:r>
          </w:p>
        </w:tc>
        <w:tc>
          <w:tcPr>
            <w:tcW w:w="1875" w:type="dxa"/>
            <w:vAlign w:val="center"/>
          </w:tcPr>
          <w:p w14:paraId="07936A6B">
            <w:pPr>
              <w:spacing w:line="0" w:lineRule="atLeast"/>
              <w:jc w:val="center"/>
              <w:rPr>
                <w:rFonts w:asciiTheme="minorEastAsia" w:hAnsiTheme="minorEastAsia" w:cstheme="minorEastAsia"/>
                <w:sz w:val="24"/>
                <w:szCs w:val="24"/>
              </w:rPr>
            </w:pPr>
          </w:p>
          <w:p w14:paraId="3AD14633">
            <w:pPr>
              <w:spacing w:line="0" w:lineRule="atLeast"/>
              <w:jc w:val="center"/>
              <w:rPr>
                <w:rFonts w:asciiTheme="minorEastAsia" w:hAnsiTheme="minorEastAsia" w:cstheme="minorEastAsia"/>
                <w:sz w:val="24"/>
                <w:szCs w:val="24"/>
              </w:rPr>
            </w:pPr>
            <w:r>
              <w:rPr>
                <w:rFonts w:hint="eastAsia" w:asciiTheme="minorEastAsia" w:hAnsiTheme="minorEastAsia" w:cstheme="minorEastAsia"/>
                <w:sz w:val="24"/>
                <w:szCs w:val="24"/>
              </w:rPr>
              <w:t>同级党委</w:t>
            </w:r>
          </w:p>
          <w:p w14:paraId="60924445">
            <w:pPr>
              <w:spacing w:line="0" w:lineRule="atLeast"/>
              <w:jc w:val="center"/>
              <w:rPr>
                <w:rFonts w:asciiTheme="minorEastAsia" w:hAnsiTheme="minorEastAsia" w:cstheme="minorEastAsia"/>
                <w:sz w:val="24"/>
                <w:szCs w:val="24"/>
              </w:rPr>
            </w:pPr>
            <w:r>
              <w:rPr>
                <w:rFonts w:hint="eastAsia" w:asciiTheme="minorEastAsia" w:hAnsiTheme="minorEastAsia" w:cstheme="minorEastAsia"/>
                <w:sz w:val="24"/>
                <w:szCs w:val="24"/>
              </w:rPr>
              <w:t>政法委意见</w:t>
            </w:r>
          </w:p>
          <w:p w14:paraId="4E804861">
            <w:pPr>
              <w:spacing w:line="0" w:lineRule="atLeast"/>
              <w:rPr>
                <w:rFonts w:asciiTheme="minorEastAsia" w:hAnsiTheme="minorEastAsia" w:cstheme="minorEastAsia"/>
                <w:sz w:val="24"/>
                <w:szCs w:val="24"/>
              </w:rPr>
            </w:pPr>
            <w:r>
              <w:rPr>
                <w:rFonts w:hint="eastAsia" w:asciiTheme="minorEastAsia" w:hAnsiTheme="minorEastAsia" w:cstheme="minorEastAsia"/>
                <w:sz w:val="24"/>
                <w:szCs w:val="24"/>
              </w:rPr>
              <w:t xml:space="preserve">       </w:t>
            </w:r>
          </w:p>
          <w:p w14:paraId="5F5E1C86">
            <w:pPr>
              <w:spacing w:line="0" w:lineRule="atLeast"/>
              <w:jc w:val="right"/>
              <w:rPr>
                <w:rFonts w:asciiTheme="minorEastAsia" w:hAnsiTheme="minorEastAsia" w:cstheme="minorEastAsia"/>
                <w:sz w:val="24"/>
                <w:szCs w:val="24"/>
              </w:rPr>
            </w:pPr>
            <w:r>
              <w:rPr>
                <w:rFonts w:hint="eastAsia" w:asciiTheme="minorEastAsia" w:hAnsiTheme="minorEastAsia" w:cstheme="minorEastAsia"/>
                <w:sz w:val="24"/>
                <w:szCs w:val="24"/>
              </w:rPr>
              <w:t xml:space="preserve">            </w:t>
            </w:r>
          </w:p>
        </w:tc>
        <w:tc>
          <w:tcPr>
            <w:tcW w:w="2929" w:type="dxa"/>
            <w:gridSpan w:val="2"/>
            <w:vAlign w:val="center"/>
          </w:tcPr>
          <w:p w14:paraId="24346610">
            <w:pPr>
              <w:spacing w:line="0" w:lineRule="atLeast"/>
              <w:rPr>
                <w:rFonts w:asciiTheme="minorEastAsia" w:hAnsiTheme="minorEastAsia" w:cstheme="minorEastAsia"/>
                <w:sz w:val="24"/>
                <w:szCs w:val="24"/>
              </w:rPr>
            </w:pPr>
            <w:r>
              <w:rPr>
                <w:rFonts w:hint="eastAsia" w:asciiTheme="minorEastAsia" w:hAnsiTheme="minorEastAsia" w:cstheme="minorEastAsia"/>
                <w:sz w:val="24"/>
                <w:szCs w:val="24"/>
              </w:rPr>
              <w:t xml:space="preserve">        </w:t>
            </w:r>
          </w:p>
          <w:p w14:paraId="437C82F1">
            <w:pPr>
              <w:pStyle w:val="24"/>
              <w:ind w:left="420"/>
              <w:rPr>
                <w:rFonts w:asciiTheme="minorEastAsia" w:hAnsiTheme="minorEastAsia" w:cstheme="minorEastAsia"/>
              </w:rPr>
            </w:pPr>
          </w:p>
          <w:p w14:paraId="31C0DA71">
            <w:pPr>
              <w:spacing w:line="0" w:lineRule="atLeast"/>
              <w:rPr>
                <w:rFonts w:asciiTheme="minorEastAsia" w:hAnsiTheme="minorEastAsia" w:cstheme="minorEastAsia"/>
                <w:sz w:val="24"/>
                <w:szCs w:val="24"/>
              </w:rPr>
            </w:pPr>
            <w:r>
              <w:rPr>
                <w:rFonts w:hint="eastAsia" w:asciiTheme="minorEastAsia" w:hAnsiTheme="minorEastAsia" w:cstheme="minorEastAsia"/>
                <w:sz w:val="24"/>
                <w:szCs w:val="24"/>
              </w:rPr>
              <w:t xml:space="preserve">               （盖章）</w:t>
            </w:r>
          </w:p>
          <w:p w14:paraId="0C68D214">
            <w:pPr>
              <w:spacing w:line="0" w:lineRule="atLeast"/>
              <w:jc w:val="right"/>
              <w:rPr>
                <w:rFonts w:asciiTheme="minorEastAsia" w:hAnsiTheme="minorEastAsia" w:cstheme="minorEastAsia"/>
                <w:sz w:val="24"/>
                <w:szCs w:val="24"/>
              </w:rPr>
            </w:pPr>
            <w:r>
              <w:rPr>
                <w:rFonts w:hint="eastAsia" w:asciiTheme="minorEastAsia" w:hAnsiTheme="minorEastAsia" w:cstheme="minorEastAsia"/>
                <w:sz w:val="24"/>
                <w:szCs w:val="24"/>
              </w:rPr>
              <w:t>年   月   日</w:t>
            </w:r>
          </w:p>
        </w:tc>
      </w:tr>
      <w:tr w14:paraId="5B3A4F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00" w:hRule="atLeast"/>
        </w:trPr>
        <w:tc>
          <w:tcPr>
            <w:tcW w:w="8801" w:type="dxa"/>
            <w:gridSpan w:val="6"/>
            <w:vAlign w:val="center"/>
          </w:tcPr>
          <w:p w14:paraId="74C3FB8C">
            <w:pPr>
              <w:spacing w:line="0" w:lineRule="atLeast"/>
              <w:rPr>
                <w:rFonts w:asciiTheme="minorEastAsia" w:hAnsiTheme="minorEastAsia" w:cstheme="minorEastAsia"/>
                <w:szCs w:val="21"/>
              </w:rPr>
            </w:pPr>
            <w:r>
              <w:rPr>
                <w:rFonts w:hint="eastAsia" w:asciiTheme="minorEastAsia" w:hAnsiTheme="minorEastAsia" w:cstheme="minorEastAsia"/>
                <w:szCs w:val="21"/>
              </w:rPr>
              <w:t>备注：1.评估主体适用简易程序开展评估工作的，直接填写本备案表，无需另行编制评估报告。</w:t>
            </w:r>
          </w:p>
          <w:p w14:paraId="037E8FC5">
            <w:pPr>
              <w:spacing w:line="0" w:lineRule="atLeast"/>
              <w:rPr>
                <w:rFonts w:asciiTheme="minorEastAsia" w:hAnsiTheme="minorEastAsia" w:cstheme="minorEastAsia"/>
                <w:szCs w:val="21"/>
              </w:rPr>
            </w:pPr>
            <w:r>
              <w:rPr>
                <w:rFonts w:hint="eastAsia" w:asciiTheme="minorEastAsia" w:hAnsiTheme="minorEastAsia" w:cstheme="minorEastAsia"/>
                <w:szCs w:val="21"/>
              </w:rPr>
              <w:t xml:space="preserve">      2.风险等级填写低风险、中风险或者高风险。3. 本备案表一式两份，评估主体和同级党</w:t>
            </w:r>
          </w:p>
          <w:p w14:paraId="24B61C3B">
            <w:pPr>
              <w:spacing w:line="0" w:lineRule="atLeast"/>
              <w:rPr>
                <w:rFonts w:asciiTheme="minorEastAsia" w:hAnsiTheme="minorEastAsia" w:cstheme="minorEastAsia"/>
                <w:sz w:val="24"/>
                <w:szCs w:val="24"/>
              </w:rPr>
            </w:pPr>
            <w:r>
              <w:rPr>
                <w:rFonts w:hint="eastAsia" w:asciiTheme="minorEastAsia" w:hAnsiTheme="minorEastAsia" w:cstheme="minorEastAsia"/>
                <w:szCs w:val="21"/>
              </w:rPr>
              <w:t xml:space="preserve">      委政法委各执一份。</w:t>
            </w:r>
          </w:p>
        </w:tc>
      </w:tr>
    </w:tbl>
    <w:p w14:paraId="1F3D68F2">
      <w:pPr>
        <w:ind w:firstLine="300" w:firstLineChars="100"/>
        <w:jc w:val="left"/>
        <w:rPr>
          <w:rFonts w:hint="eastAsia" w:asciiTheme="minorEastAsia" w:hAnsiTheme="minorEastAsia" w:cstheme="minorEastAsia"/>
          <w:color w:val="000000" w:themeColor="text1"/>
          <w:sz w:val="30"/>
          <w:szCs w:val="30"/>
          <w:lang w:eastAsia="zh-CN"/>
          <w14:textFill>
            <w14:solidFill>
              <w14:schemeClr w14:val="tx1"/>
            </w14:solidFill>
          </w14:textFill>
        </w:rPr>
      </w:pPr>
      <w:r>
        <w:rPr>
          <w:rFonts w:hint="eastAsia" w:asciiTheme="minorEastAsia" w:hAnsiTheme="minorEastAsia" w:cstheme="minorEastAsia"/>
          <w:color w:val="000000" w:themeColor="text1"/>
          <w:sz w:val="30"/>
          <w:szCs w:val="30"/>
          <w14:textFill>
            <w14:solidFill>
              <w14:schemeClr w14:val="tx1"/>
            </w14:solidFill>
          </w14:textFill>
        </w:rPr>
        <w:t>评估主体联系人：                  联系电话：</w:t>
      </w:r>
    </w:p>
    <w:sectPr>
      <w:footerReference r:id="rId5" w:type="default"/>
      <w:pgSz w:w="11906" w:h="16840"/>
      <w:pgMar w:top="2410" w:right="1134" w:bottom="1134" w:left="1134" w:header="1418" w:footer="1134" w:gutter="284"/>
      <w:lnNumType w:countBy="0" w:restart="continuou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西文正文">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77D4A4">
    <w:pPr>
      <w:pStyle w:val="50"/>
      <w:bidi w:val="0"/>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26974908"/>
    </w:sdtPr>
    <w:sdtContent>
      <w:p w14:paraId="3EA147F2">
        <w:pPr>
          <w:pStyle w:val="17"/>
          <w:jc w:val="center"/>
        </w:pPr>
        <w:r>
          <w:rPr>
            <w:rFonts w:hint="eastAsia"/>
          </w:rPr>
          <w:t>-</w:t>
        </w:r>
        <w:r>
          <w:fldChar w:fldCharType="begin"/>
        </w:r>
        <w:r>
          <w:instrText xml:space="preserve">PAGE   \* MERGEFORMAT</w:instrText>
        </w:r>
        <w:r>
          <w:fldChar w:fldCharType="separate"/>
        </w:r>
        <w:r>
          <w:rPr>
            <w:lang w:val="zh-CN"/>
          </w:rPr>
          <w:t>60</w:t>
        </w:r>
        <w:r>
          <w:fldChar w:fldCharType="end"/>
        </w:r>
        <w:r>
          <w:rPr>
            <w:rFonts w:hint="eastAsia"/>
          </w:rPr>
          <w:t>-</w:t>
        </w:r>
      </w:p>
    </w:sdtContent>
  </w:sdt>
  <w:p w14:paraId="7F01E067">
    <w:pPr>
      <w:pStyle w:val="17"/>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80ED25">
    <w:pPr>
      <w:pStyle w:val="51"/>
      <w:bidi w:val="0"/>
      <w:rPr>
        <w:rFonts w:hint="eastAsia" w:eastAsia="黑体"/>
        <w:lang w:eastAsia="zh-CN"/>
      </w:rPr>
    </w:pPr>
    <w:r>
      <w:rPr>
        <w:rFonts w:hint="eastAsia"/>
        <w:lang w:eastAsia="zh-CN"/>
      </w:rPr>
      <w:t>DBXX/T XXX—XXXX</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6179852"/>
    <w:multiLevelType w:val="multilevel"/>
    <w:tmpl w:val="86179852"/>
    <w:lvl w:ilvl="0" w:tentative="0">
      <w:start w:val="1"/>
      <w:numFmt w:val="lowerLetter"/>
      <w:pStyle w:val="127"/>
      <w:lvlText w:val="%1"/>
      <w:lvlJc w:val="left"/>
      <w:pPr>
        <w:tabs>
          <w:tab w:val="left" w:pos="539"/>
        </w:tabs>
        <w:ind w:left="539" w:leftChars="0" w:hanging="119" w:firstLineChars="0"/>
      </w:pPr>
      <w:rPr>
        <w:rFonts w:hint="eastAsia" w:ascii="宋体" w:hAnsi="宋体" w:eastAsia="宋体" w:cs="宋体"/>
        <w:sz w:val="15"/>
        <w:vertAlign w:val="superscript"/>
      </w:rPr>
    </w:lvl>
    <w:lvl w:ilvl="1" w:tentative="0">
      <w:start w:val="1"/>
      <w:numFmt w:val="chineseCounting"/>
      <w:suff w:val="nothing"/>
      <w:lvlText w:val="%2、"/>
      <w:lvlJc w:val="left"/>
      <w:pPr>
        <w:ind w:left="0" w:firstLine="402"/>
      </w:pPr>
      <w:rPr>
        <w:rFonts w:hint="eastAsia"/>
      </w:rPr>
    </w:lvl>
    <w:lvl w:ilvl="2" w:tentative="0">
      <w:start w:val="1"/>
      <w:numFmt w:val="decimal"/>
      <w:suff w:val="nothing"/>
      <w:lvlText w:val="%3．"/>
      <w:lvlJc w:val="left"/>
      <w:pPr>
        <w:ind w:left="0" w:firstLine="402"/>
      </w:pPr>
      <w:rPr>
        <w:rFonts w:hint="eastAsia"/>
      </w:rPr>
    </w:lvl>
    <w:lvl w:ilvl="3" w:tentative="0">
      <w:start w:val="1"/>
      <w:numFmt w:val="decimal"/>
      <w:suff w:val="nothing"/>
      <w:lvlText w:val="（%4）"/>
      <w:lvlJc w:val="left"/>
      <w:pPr>
        <w:ind w:left="0" w:firstLine="402"/>
      </w:pPr>
      <w:rPr>
        <w:rFonts w:hint="eastAsia"/>
      </w:rPr>
    </w:lvl>
    <w:lvl w:ilvl="4" w:tentative="0">
      <w:start w:val="1"/>
      <w:numFmt w:val="decimalEnclosedCircleChinese"/>
      <w:suff w:val="nothing"/>
      <w:lvlText w:val="%5 "/>
      <w:lvlJc w:val="left"/>
      <w:pPr>
        <w:ind w:left="0" w:firstLine="402"/>
      </w:pPr>
      <w:rPr>
        <w:rFonts w:hint="eastAsia"/>
      </w:rPr>
    </w:lvl>
    <w:lvl w:ilvl="5" w:tentative="0">
      <w:start w:val="1"/>
      <w:numFmt w:val="decimal"/>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
      <w:lvlJc w:val="left"/>
      <w:pPr>
        <w:ind w:left="0" w:firstLine="402"/>
      </w:pPr>
      <w:rPr>
        <w:rFonts w:hint="eastAsia"/>
      </w:rPr>
    </w:lvl>
  </w:abstractNum>
  <w:abstractNum w:abstractNumId="1">
    <w:nsid w:val="A8DBD35E"/>
    <w:multiLevelType w:val="multilevel"/>
    <w:tmpl w:val="A8DBD35E"/>
    <w:lvl w:ilvl="0" w:tentative="0">
      <w:start w:val="1"/>
      <w:numFmt w:val="lowerLetter"/>
      <w:lvlText w:val="%1)"/>
      <w:lvlJc w:val="left"/>
      <w:pPr>
        <w:tabs>
          <w:tab w:val="left" w:pos="851"/>
        </w:tabs>
        <w:ind w:left="851" w:leftChars="0" w:hanging="426" w:firstLineChars="0"/>
      </w:pPr>
      <w:rPr>
        <w:rFonts w:hint="default" w:ascii="宋体" w:hAnsi="宋体" w:eastAsia="宋体" w:cs="宋体"/>
        <w:sz w:val="20"/>
      </w:rPr>
    </w:lvl>
    <w:lvl w:ilvl="1" w:tentative="0">
      <w:start w:val="1"/>
      <w:numFmt w:val="decimal"/>
      <w:lvlText w:val="%2)"/>
      <w:lvlJc w:val="left"/>
      <w:pPr>
        <w:tabs>
          <w:tab w:val="left" w:pos="1276"/>
        </w:tabs>
        <w:ind w:left="1276" w:leftChars="0" w:hanging="425" w:firstLineChars="0"/>
      </w:pPr>
      <w:rPr>
        <w:rFonts w:hint="default" w:ascii="宋体" w:hAnsi="Times New Roman" w:eastAsia="宋体" w:cs="Times New Roman"/>
        <w:sz w:val="21"/>
      </w:rPr>
    </w:lvl>
    <w:lvl w:ilvl="2" w:tentative="0">
      <w:start w:val="1"/>
      <w:numFmt w:val="bullet"/>
      <w:lvlText w:val=""/>
      <w:lvlJc w:val="left"/>
      <w:pPr>
        <w:tabs>
          <w:tab w:val="left" w:pos="1678"/>
        </w:tabs>
        <w:ind w:left="1678" w:leftChars="0" w:hanging="414" w:firstLineChars="0"/>
      </w:pPr>
      <w:rPr>
        <w:rFonts w:hint="default" w:ascii="Symbol" w:hAnsi="Symbol" w:cs="Symbol"/>
      </w:rPr>
    </w:lvl>
    <w:lvl w:ilvl="3" w:tentative="0">
      <w:start w:val="1"/>
      <w:numFmt w:val="decimalEnclosedCircleChinese"/>
      <w:suff w:val="nothing"/>
      <w:lvlText w:val="%4 "/>
      <w:lvlJc w:val="left"/>
      <w:pPr>
        <w:ind w:left="0" w:firstLine="402"/>
      </w:pPr>
      <w:rPr>
        <w:rFonts w:hint="eastAsia"/>
      </w:rPr>
    </w:lvl>
    <w:lvl w:ilvl="4" w:tentative="0">
      <w:start w:val="1"/>
      <w:numFmt w:val="decimal"/>
      <w:suff w:val="nothing"/>
      <w:lvlText w:val="%5）"/>
      <w:lvlJc w:val="left"/>
      <w:pPr>
        <w:ind w:left="0" w:firstLine="402"/>
      </w:pPr>
      <w:rPr>
        <w:rFonts w:hint="eastAsia"/>
      </w:rPr>
    </w:lvl>
    <w:lvl w:ilvl="5" w:tentative="0">
      <w:start w:val="1"/>
      <w:numFmt w:val="upperLetter"/>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w:lvlJc w:val="left"/>
      <w:pPr>
        <w:ind w:left="0" w:firstLine="402"/>
      </w:pPr>
      <w:rPr>
        <w:rFonts w:hint="eastAsia"/>
      </w:rPr>
    </w:lvl>
  </w:abstractNum>
  <w:abstractNum w:abstractNumId="2">
    <w:nsid w:val="AB8DB69B"/>
    <w:multiLevelType w:val="multilevel"/>
    <w:tmpl w:val="AB8DB69B"/>
    <w:lvl w:ilvl="0" w:tentative="0">
      <w:start w:val="1"/>
      <w:numFmt w:val="lowerLetter"/>
      <w:lvlText w:val="%1)"/>
      <w:lvlJc w:val="left"/>
      <w:pPr>
        <w:tabs>
          <w:tab w:val="left" w:pos="851"/>
        </w:tabs>
        <w:ind w:left="851" w:leftChars="0" w:hanging="426" w:firstLineChars="0"/>
      </w:pPr>
      <w:rPr>
        <w:rFonts w:hint="default" w:ascii="宋体" w:hAnsi="宋体" w:eastAsia="宋体" w:cs="宋体"/>
        <w:sz w:val="20"/>
      </w:rPr>
    </w:lvl>
    <w:lvl w:ilvl="1" w:tentative="0">
      <w:start w:val="1"/>
      <w:numFmt w:val="decimal"/>
      <w:lvlText w:val="%2)"/>
      <w:lvlJc w:val="left"/>
      <w:pPr>
        <w:tabs>
          <w:tab w:val="left" w:pos="1276"/>
        </w:tabs>
        <w:ind w:left="1276" w:leftChars="0" w:hanging="425" w:firstLineChars="0"/>
      </w:pPr>
      <w:rPr>
        <w:rFonts w:hint="default" w:ascii="宋体" w:hAnsi="Times New Roman" w:eastAsia="宋体" w:cs="Times New Roman"/>
        <w:sz w:val="21"/>
      </w:rPr>
    </w:lvl>
    <w:lvl w:ilvl="2" w:tentative="0">
      <w:start w:val="1"/>
      <w:numFmt w:val="bullet"/>
      <w:lvlText w:val=""/>
      <w:lvlJc w:val="left"/>
      <w:pPr>
        <w:tabs>
          <w:tab w:val="left" w:pos="1678"/>
        </w:tabs>
        <w:ind w:left="1678" w:leftChars="0" w:hanging="414" w:firstLineChars="0"/>
      </w:pPr>
      <w:rPr>
        <w:rFonts w:hint="default" w:ascii="Symbol" w:hAnsi="Symbol" w:cs="Symbol"/>
      </w:rPr>
    </w:lvl>
    <w:lvl w:ilvl="3" w:tentative="0">
      <w:start w:val="1"/>
      <w:numFmt w:val="decimalEnclosedCircleChinese"/>
      <w:suff w:val="nothing"/>
      <w:lvlText w:val="%4 "/>
      <w:lvlJc w:val="left"/>
      <w:pPr>
        <w:ind w:left="0" w:firstLine="402"/>
      </w:pPr>
      <w:rPr>
        <w:rFonts w:hint="eastAsia"/>
      </w:rPr>
    </w:lvl>
    <w:lvl w:ilvl="4" w:tentative="0">
      <w:start w:val="1"/>
      <w:numFmt w:val="decimal"/>
      <w:suff w:val="nothing"/>
      <w:lvlText w:val="%5）"/>
      <w:lvlJc w:val="left"/>
      <w:pPr>
        <w:ind w:left="0" w:firstLine="402"/>
      </w:pPr>
      <w:rPr>
        <w:rFonts w:hint="eastAsia"/>
      </w:rPr>
    </w:lvl>
    <w:lvl w:ilvl="5" w:tentative="0">
      <w:start w:val="1"/>
      <w:numFmt w:val="upperLetter"/>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w:lvlJc w:val="left"/>
      <w:pPr>
        <w:ind w:left="0" w:firstLine="402"/>
      </w:pPr>
      <w:rPr>
        <w:rFonts w:hint="eastAsia"/>
      </w:rPr>
    </w:lvl>
  </w:abstractNum>
  <w:abstractNum w:abstractNumId="3">
    <w:nsid w:val="B2D30D87"/>
    <w:multiLevelType w:val="multilevel"/>
    <w:tmpl w:val="B2D30D87"/>
    <w:lvl w:ilvl="0" w:tentative="0">
      <w:start w:val="1"/>
      <w:numFmt w:val="decimal"/>
      <w:pStyle w:val="124"/>
      <w:suff w:val="nothing"/>
      <w:lvlText w:val="示例%1："/>
      <w:lvlJc w:val="left"/>
      <w:pPr>
        <w:tabs>
          <w:tab w:val="left" w:pos="539"/>
        </w:tabs>
        <w:ind w:left="0" w:leftChars="0" w:firstLine="363" w:firstLineChars="0"/>
      </w:pPr>
      <w:rPr>
        <w:rFonts w:hint="eastAsia" w:ascii="黑体" w:hAnsi="黑体" w:eastAsia="黑体" w:cs="黑体"/>
        <w:sz w:val="18"/>
        <w:vertAlign w:val="baseline"/>
      </w:rPr>
    </w:lvl>
    <w:lvl w:ilvl="1" w:tentative="0">
      <w:start w:val="1"/>
      <w:numFmt w:val="chineseCounting"/>
      <w:suff w:val="nothing"/>
      <w:lvlText w:val="%2、"/>
      <w:lvlJc w:val="left"/>
      <w:pPr>
        <w:ind w:left="0" w:firstLine="402"/>
      </w:pPr>
      <w:rPr>
        <w:rFonts w:hint="eastAsia"/>
      </w:rPr>
    </w:lvl>
    <w:lvl w:ilvl="2" w:tentative="0">
      <w:start w:val="1"/>
      <w:numFmt w:val="decimal"/>
      <w:suff w:val="nothing"/>
      <w:lvlText w:val="%3．"/>
      <w:lvlJc w:val="left"/>
      <w:pPr>
        <w:ind w:left="0" w:firstLine="402"/>
      </w:pPr>
      <w:rPr>
        <w:rFonts w:hint="eastAsia"/>
      </w:rPr>
    </w:lvl>
    <w:lvl w:ilvl="3" w:tentative="0">
      <w:start w:val="1"/>
      <w:numFmt w:val="decimal"/>
      <w:suff w:val="nothing"/>
      <w:lvlText w:val="（%4）"/>
      <w:lvlJc w:val="left"/>
      <w:pPr>
        <w:ind w:left="0" w:firstLine="402"/>
      </w:pPr>
      <w:rPr>
        <w:rFonts w:hint="eastAsia"/>
      </w:rPr>
    </w:lvl>
    <w:lvl w:ilvl="4" w:tentative="0">
      <w:start w:val="1"/>
      <w:numFmt w:val="decimalEnclosedCircleChinese"/>
      <w:suff w:val="nothing"/>
      <w:lvlText w:val="%5 "/>
      <w:lvlJc w:val="left"/>
      <w:pPr>
        <w:ind w:left="0" w:firstLine="402"/>
      </w:pPr>
      <w:rPr>
        <w:rFonts w:hint="eastAsia"/>
      </w:rPr>
    </w:lvl>
    <w:lvl w:ilvl="5" w:tentative="0">
      <w:start w:val="1"/>
      <w:numFmt w:val="decimal"/>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
      <w:lvlJc w:val="left"/>
      <w:pPr>
        <w:ind w:left="0" w:firstLine="402"/>
      </w:pPr>
      <w:rPr>
        <w:rFonts w:hint="eastAsia"/>
      </w:rPr>
    </w:lvl>
  </w:abstractNum>
  <w:abstractNum w:abstractNumId="4">
    <w:nsid w:val="B8457F14"/>
    <w:multiLevelType w:val="multilevel"/>
    <w:tmpl w:val="B8457F14"/>
    <w:lvl w:ilvl="0" w:tentative="0">
      <w:start w:val="1"/>
      <w:numFmt w:val="upperLetter"/>
      <w:pStyle w:val="107"/>
      <w:suff w:val="nothing"/>
      <w:lvlText w:val="附录%1"/>
      <w:lvlJc w:val="left"/>
      <w:pPr>
        <w:ind w:left="0" w:leftChars="0" w:firstLine="0" w:firstLineChars="0"/>
      </w:pPr>
      <w:rPr>
        <w:rFonts w:hint="default"/>
        <w:spacing w:val="102"/>
      </w:rPr>
    </w:lvl>
    <w:lvl w:ilvl="1" w:tentative="0">
      <w:start w:val="1"/>
      <w:numFmt w:val="decimal"/>
      <w:pStyle w:val="108"/>
      <w:suff w:val="nothing"/>
      <w:lvlText w:val="%1.%2　"/>
      <w:lvlJc w:val="left"/>
      <w:pPr>
        <w:ind w:left="0" w:leftChars="0" w:firstLine="0" w:firstLineChars="0"/>
      </w:pPr>
      <w:rPr>
        <w:rFonts w:hint="default" w:ascii="黑体" w:hAnsi="黑体" w:eastAsia="黑体" w:cs="黑体"/>
        <w:sz w:val="20"/>
      </w:rPr>
    </w:lvl>
    <w:lvl w:ilvl="2" w:tentative="0">
      <w:start w:val="1"/>
      <w:numFmt w:val="decimal"/>
      <w:pStyle w:val="109"/>
      <w:suff w:val="nothing"/>
      <w:lvlText w:val="%1.%2.%3　"/>
      <w:lvlJc w:val="left"/>
      <w:pPr>
        <w:ind w:left="0" w:leftChars="0" w:firstLine="0" w:firstLineChars="0"/>
      </w:pPr>
      <w:rPr>
        <w:rFonts w:hint="default" w:ascii="黑体" w:hAnsi="黑体" w:eastAsia="黑体" w:cs="黑体"/>
        <w:sz w:val="20"/>
      </w:rPr>
    </w:lvl>
    <w:lvl w:ilvl="3" w:tentative="0">
      <w:start w:val="1"/>
      <w:numFmt w:val="decimal"/>
      <w:pStyle w:val="110"/>
      <w:suff w:val="nothing"/>
      <w:lvlText w:val="%1.%2.%3.%4　"/>
      <w:lvlJc w:val="left"/>
      <w:pPr>
        <w:ind w:left="0" w:leftChars="0" w:firstLine="0" w:firstLineChars="0"/>
      </w:pPr>
      <w:rPr>
        <w:rFonts w:hint="default" w:ascii="黑体" w:hAnsi="黑体" w:eastAsia="黑体" w:cs="黑体"/>
        <w:sz w:val="20"/>
      </w:rPr>
    </w:lvl>
    <w:lvl w:ilvl="4" w:tentative="0">
      <w:start w:val="1"/>
      <w:numFmt w:val="decimal"/>
      <w:pStyle w:val="111"/>
      <w:suff w:val="nothing"/>
      <w:lvlText w:val="%1.%2.%3.%4.%5　"/>
      <w:lvlJc w:val="left"/>
      <w:pPr>
        <w:ind w:left="0" w:leftChars="0" w:firstLine="0" w:firstLineChars="0"/>
      </w:pPr>
      <w:rPr>
        <w:rFonts w:hint="default" w:ascii="黑体" w:hAnsi="黑体" w:eastAsia="黑体" w:cs="黑体"/>
        <w:sz w:val="20"/>
      </w:rPr>
    </w:lvl>
    <w:lvl w:ilvl="5" w:tentative="0">
      <w:start w:val="1"/>
      <w:numFmt w:val="decimal"/>
      <w:pStyle w:val="112"/>
      <w:suff w:val="nothing"/>
      <w:lvlText w:val="%1.%2.%3.%4.%5.%6　"/>
      <w:lvlJc w:val="left"/>
      <w:pPr>
        <w:ind w:left="0" w:leftChars="0" w:firstLine="0" w:firstLineChars="0"/>
      </w:pPr>
      <w:rPr>
        <w:rFonts w:hint="default" w:ascii="黑体" w:hAnsi="黑体" w:eastAsia="黑体" w:cs="黑体"/>
        <w:sz w:val="20"/>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5">
    <w:nsid w:val="DB14296F"/>
    <w:multiLevelType w:val="multilevel"/>
    <w:tmpl w:val="DB14296F"/>
    <w:lvl w:ilvl="0" w:tentative="0">
      <w:start w:val="1"/>
      <w:numFmt w:val="decimal"/>
      <w:pStyle w:val="91"/>
      <w:suff w:val="nothing"/>
      <w:lvlText w:val="%1　"/>
      <w:lvlJc w:val="left"/>
      <w:pPr>
        <w:ind w:left="0" w:leftChars="0" w:firstLine="0" w:firstLineChars="0"/>
      </w:pPr>
      <w:rPr>
        <w:rFonts w:hint="default" w:ascii="黑体" w:hAnsi="黑体" w:eastAsia="黑体" w:cs="黑体"/>
        <w:sz w:val="20"/>
      </w:rPr>
    </w:lvl>
    <w:lvl w:ilvl="1" w:tentative="0">
      <w:start w:val="1"/>
      <w:numFmt w:val="decimal"/>
      <w:pStyle w:val="92"/>
      <w:suff w:val="nothing"/>
      <w:lvlText w:val="%1.%2　"/>
      <w:lvlJc w:val="left"/>
      <w:pPr>
        <w:ind w:left="0" w:leftChars="0" w:firstLine="0" w:firstLineChars="0"/>
      </w:pPr>
      <w:rPr>
        <w:rFonts w:hint="default" w:ascii="黑体" w:hAnsi="黑体" w:eastAsia="黑体" w:cs="黑体"/>
        <w:sz w:val="20"/>
      </w:rPr>
    </w:lvl>
    <w:lvl w:ilvl="2" w:tentative="0">
      <w:start w:val="1"/>
      <w:numFmt w:val="decimal"/>
      <w:pStyle w:val="93"/>
      <w:suff w:val="nothing"/>
      <w:lvlText w:val="%1.%2.%3　"/>
      <w:lvlJc w:val="left"/>
      <w:pPr>
        <w:ind w:left="0" w:leftChars="0" w:firstLine="0" w:firstLineChars="0"/>
      </w:pPr>
      <w:rPr>
        <w:rFonts w:hint="default" w:ascii="黑体" w:hAnsi="黑体" w:eastAsia="黑体" w:cs="黑体"/>
        <w:sz w:val="20"/>
      </w:rPr>
    </w:lvl>
    <w:lvl w:ilvl="3" w:tentative="0">
      <w:start w:val="1"/>
      <w:numFmt w:val="decimal"/>
      <w:pStyle w:val="94"/>
      <w:suff w:val="nothing"/>
      <w:lvlText w:val="%1.%2.%3.%4　"/>
      <w:lvlJc w:val="left"/>
      <w:pPr>
        <w:ind w:left="0" w:leftChars="0" w:firstLine="0" w:firstLineChars="0"/>
      </w:pPr>
      <w:rPr>
        <w:rFonts w:hint="default" w:ascii="黑体" w:hAnsi="黑体" w:eastAsia="黑体" w:cs="黑体"/>
        <w:sz w:val="20"/>
      </w:rPr>
    </w:lvl>
    <w:lvl w:ilvl="4" w:tentative="0">
      <w:start w:val="1"/>
      <w:numFmt w:val="decimal"/>
      <w:pStyle w:val="95"/>
      <w:suff w:val="nothing"/>
      <w:lvlText w:val="%1.%2.%3.%4.%5　"/>
      <w:lvlJc w:val="left"/>
      <w:pPr>
        <w:ind w:left="0" w:leftChars="0" w:firstLine="0" w:firstLineChars="0"/>
      </w:pPr>
      <w:rPr>
        <w:rFonts w:hint="default" w:ascii="黑体" w:hAnsi="黑体" w:eastAsia="黑体" w:cs="黑体"/>
        <w:sz w:val="20"/>
      </w:rPr>
    </w:lvl>
    <w:lvl w:ilvl="5" w:tentative="0">
      <w:start w:val="1"/>
      <w:numFmt w:val="decimal"/>
      <w:pStyle w:val="96"/>
      <w:suff w:val="nothing"/>
      <w:lvlText w:val="%1.%2.%3.%4.%5.%6　"/>
      <w:lvlJc w:val="left"/>
      <w:pPr>
        <w:ind w:left="0" w:leftChars="0" w:firstLine="0" w:firstLineChars="0"/>
      </w:pPr>
      <w:rPr>
        <w:rFonts w:hint="default" w:ascii="黑体" w:hAnsi="黑体" w:eastAsia="黑体" w:cs="黑体"/>
        <w:sz w:val="20"/>
      </w:rPr>
    </w:lvl>
    <w:lvl w:ilvl="6" w:tentative="0">
      <w:start w:val="1"/>
      <w:numFmt w:val="lowerLetter"/>
      <w:suff w:val="nothing"/>
      <w:lvlText w:val="%7）"/>
      <w:lvlJc w:val="left"/>
      <w:pPr>
        <w:ind w:left="0" w:firstLine="402"/>
      </w:pPr>
      <w:rPr>
        <w:rFonts w:hint="eastAsia"/>
      </w:rPr>
    </w:lvl>
    <w:lvl w:ilvl="7" w:tentative="0">
      <w:start w:val="1"/>
      <w:numFmt w:val="lowerRoman"/>
      <w:suff w:val="nothing"/>
      <w:lvlText w:val="%8. "/>
      <w:lvlJc w:val="left"/>
      <w:pPr>
        <w:ind w:left="0" w:firstLine="402"/>
      </w:pPr>
      <w:rPr>
        <w:rFonts w:hint="eastAsia"/>
      </w:rPr>
    </w:lvl>
    <w:lvl w:ilvl="8" w:tentative="0">
      <w:start w:val="1"/>
      <w:numFmt w:val="lowerRoman"/>
      <w:suff w:val="nothing"/>
      <w:lvlText w:val="%9）"/>
      <w:lvlJc w:val="left"/>
      <w:pPr>
        <w:ind w:left="0" w:firstLine="402"/>
      </w:pPr>
      <w:rPr>
        <w:rFonts w:hint="eastAsia"/>
      </w:rPr>
    </w:lvl>
  </w:abstractNum>
  <w:abstractNum w:abstractNumId="6">
    <w:nsid w:val="DFF3433D"/>
    <w:multiLevelType w:val="multilevel"/>
    <w:tmpl w:val="DFF3433D"/>
    <w:lvl w:ilvl="0" w:tentative="0">
      <w:start w:val="1"/>
      <w:numFmt w:val="upperLetter"/>
      <w:lvlText w:val="%1"/>
      <w:lvlJc w:val="left"/>
      <w:pPr>
        <w:tabs>
          <w:tab w:val="left" w:pos="0"/>
        </w:tabs>
        <w:ind w:left="0" w:leftChars="0" w:firstLine="0" w:firstLineChars="0"/>
      </w:pPr>
      <w:rPr>
        <w:rFonts w:hint="default"/>
      </w:rPr>
    </w:lvl>
    <w:lvl w:ilvl="1" w:tentative="0">
      <w:start w:val="1"/>
      <w:numFmt w:val="decimal"/>
      <w:suff w:val="nothing"/>
      <w:lvlText w:val="图%1.%2　"/>
      <w:lvlJc w:val="left"/>
      <w:pPr>
        <w:ind w:left="0" w:leftChars="0" w:firstLine="0" w:firstLineChars="0"/>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864" w:hanging="864"/>
      </w:pPr>
      <w:rPr>
        <w:rFonts w:hint="default"/>
      </w:rPr>
    </w:lvl>
    <w:lvl w:ilvl="4" w:tentative="0">
      <w:start w:val="1"/>
      <w:numFmt w:val="decimal"/>
      <w:lvlText w:val="%1.%2.%3.%4.%5."/>
      <w:lvlJc w:val="left"/>
      <w:pPr>
        <w:ind w:left="1008" w:hanging="1008"/>
      </w:pPr>
      <w:rPr>
        <w:rFonts w:hint="default"/>
      </w:rPr>
    </w:lvl>
    <w:lvl w:ilvl="5" w:tentative="0">
      <w:start w:val="1"/>
      <w:numFmt w:val="decimal"/>
      <w:lvlText w:val="%1.%2.%3.%4.%5.%6."/>
      <w:lvlJc w:val="left"/>
      <w:pPr>
        <w:ind w:left="1151" w:hanging="1151"/>
      </w:pPr>
      <w:rPr>
        <w:rFonts w:hint="default"/>
      </w:rPr>
    </w:lvl>
    <w:lvl w:ilvl="6" w:tentative="0">
      <w:start w:val="1"/>
      <w:numFmt w:val="decimal"/>
      <w:lvlText w:val="%1.%2.%3.%4.%5.%6.%7."/>
      <w:lvlJc w:val="left"/>
      <w:pPr>
        <w:ind w:left="1296" w:hanging="1296"/>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583" w:hanging="1583"/>
      </w:pPr>
      <w:rPr>
        <w:rFonts w:hint="default"/>
      </w:rPr>
    </w:lvl>
  </w:abstractNum>
  <w:abstractNum w:abstractNumId="7">
    <w:nsid w:val="E33A7C9C"/>
    <w:multiLevelType w:val="multilevel"/>
    <w:tmpl w:val="E33A7C9C"/>
    <w:lvl w:ilvl="0" w:tentative="0">
      <w:start w:val="1"/>
      <w:numFmt w:val="decimal"/>
      <w:pStyle w:val="21"/>
      <w:lvlText w:val="%1)"/>
      <w:lvlJc w:val="left"/>
      <w:pPr>
        <w:tabs>
          <w:tab w:val="left" w:pos="0"/>
        </w:tabs>
        <w:ind w:left="720" w:leftChars="0" w:hanging="357" w:firstLineChars="0"/>
      </w:pPr>
      <w:rPr>
        <w:rFonts w:hint="eastAsia" w:ascii="宋体" w:hAnsi="宋体" w:eastAsia="宋体" w:cs="宋体"/>
        <w:sz w:val="15"/>
        <w:vertAlign w:val="baseline"/>
      </w:rPr>
    </w:lvl>
    <w:lvl w:ilvl="1" w:tentative="0">
      <w:start w:val="1"/>
      <w:numFmt w:val="chineseCounting"/>
      <w:suff w:val="nothing"/>
      <w:lvlText w:val="%2、"/>
      <w:lvlJc w:val="left"/>
      <w:pPr>
        <w:ind w:left="0" w:firstLine="402"/>
      </w:pPr>
      <w:rPr>
        <w:rFonts w:hint="eastAsia"/>
      </w:rPr>
    </w:lvl>
    <w:lvl w:ilvl="2" w:tentative="0">
      <w:start w:val="1"/>
      <w:numFmt w:val="decimal"/>
      <w:suff w:val="nothing"/>
      <w:lvlText w:val="%3．"/>
      <w:lvlJc w:val="left"/>
      <w:pPr>
        <w:ind w:left="0" w:firstLine="402"/>
      </w:pPr>
      <w:rPr>
        <w:rFonts w:hint="eastAsia"/>
      </w:rPr>
    </w:lvl>
    <w:lvl w:ilvl="3" w:tentative="0">
      <w:start w:val="1"/>
      <w:numFmt w:val="decimal"/>
      <w:suff w:val="nothing"/>
      <w:lvlText w:val="（%4）"/>
      <w:lvlJc w:val="left"/>
      <w:pPr>
        <w:ind w:left="0" w:firstLine="402"/>
      </w:pPr>
      <w:rPr>
        <w:rFonts w:hint="eastAsia"/>
      </w:rPr>
    </w:lvl>
    <w:lvl w:ilvl="4" w:tentative="0">
      <w:start w:val="1"/>
      <w:numFmt w:val="decimalEnclosedCircleChinese"/>
      <w:suff w:val="nothing"/>
      <w:lvlText w:val="%5 "/>
      <w:lvlJc w:val="left"/>
      <w:pPr>
        <w:ind w:left="0" w:firstLine="402"/>
      </w:pPr>
      <w:rPr>
        <w:rFonts w:hint="eastAsia"/>
      </w:rPr>
    </w:lvl>
    <w:lvl w:ilvl="5" w:tentative="0">
      <w:start w:val="1"/>
      <w:numFmt w:val="decimal"/>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
      <w:lvlJc w:val="left"/>
      <w:pPr>
        <w:ind w:left="0" w:firstLine="402"/>
      </w:pPr>
      <w:rPr>
        <w:rFonts w:hint="eastAsia"/>
      </w:rPr>
    </w:lvl>
  </w:abstractNum>
  <w:abstractNum w:abstractNumId="8">
    <w:nsid w:val="EA4AF36A"/>
    <w:multiLevelType w:val="multilevel"/>
    <w:tmpl w:val="EA4AF36A"/>
    <w:lvl w:ilvl="0" w:tentative="0">
      <w:start w:val="1"/>
      <w:numFmt w:val="none"/>
      <w:pStyle w:val="74"/>
      <w:suff w:val="nothing"/>
      <w:lvlText w:val="%1"/>
      <w:lvlJc w:val="left"/>
      <w:pPr>
        <w:ind w:left="425" w:leftChars="0" w:hanging="425" w:firstLineChars="0"/>
      </w:pPr>
      <w:rPr>
        <w:rFonts w:hint="default"/>
      </w:rPr>
    </w:lvl>
    <w:lvl w:ilvl="1" w:tentative="0">
      <w:start w:val="1"/>
      <w:numFmt w:val="decimal"/>
      <w:pStyle w:val="81"/>
      <w:suff w:val="nothing"/>
      <w:lvlText w:val="%10.%2 "/>
      <w:lvlJc w:val="left"/>
      <w:pPr>
        <w:ind w:left="0" w:leftChars="0" w:firstLine="0" w:firstLineChars="0"/>
      </w:pPr>
      <w:rPr>
        <w:rFonts w:hint="default" w:ascii="黑体" w:hAnsi="黑体" w:eastAsia="黑体" w:cs="黑体"/>
        <w:sz w:val="20"/>
      </w:rPr>
    </w:lvl>
    <w:lvl w:ilvl="2" w:tentative="0">
      <w:start w:val="1"/>
      <w:numFmt w:val="decimal"/>
      <w:pStyle w:val="82"/>
      <w:suff w:val="nothing"/>
      <w:lvlText w:val="%10.%2.%3 "/>
      <w:lvlJc w:val="left"/>
      <w:pPr>
        <w:ind w:left="0" w:leftChars="0" w:firstLine="0" w:firstLineChars="0"/>
      </w:pPr>
      <w:rPr>
        <w:rFonts w:hint="default" w:ascii="黑体" w:hAnsi="黑体" w:eastAsia="黑体" w:cs="黑体"/>
        <w:sz w:val="20"/>
      </w:rPr>
    </w:lvl>
    <w:lvl w:ilvl="3" w:tentative="0">
      <w:start w:val="1"/>
      <w:numFmt w:val="decimal"/>
      <w:pStyle w:val="83"/>
      <w:suff w:val="nothing"/>
      <w:lvlText w:val="%10.%2.%3.%4 "/>
      <w:lvlJc w:val="left"/>
      <w:pPr>
        <w:ind w:left="0" w:leftChars="0" w:firstLine="0" w:firstLineChars="0"/>
      </w:pPr>
      <w:rPr>
        <w:rFonts w:hint="default" w:ascii="黑体" w:hAnsi="黑体" w:eastAsia="黑体" w:cs="黑体"/>
        <w:sz w:val="20"/>
      </w:rPr>
    </w:lvl>
    <w:lvl w:ilvl="4" w:tentative="0">
      <w:start w:val="1"/>
      <w:numFmt w:val="decimal"/>
      <w:pStyle w:val="84"/>
      <w:suff w:val="nothing"/>
      <w:lvlText w:val="%10.%2.%3.%4.%5 "/>
      <w:lvlJc w:val="left"/>
      <w:pPr>
        <w:ind w:left="0" w:leftChars="0" w:firstLine="0" w:firstLineChars="0"/>
      </w:pPr>
      <w:rPr>
        <w:rFonts w:hint="default" w:ascii="黑体" w:hAnsi="黑体" w:eastAsia="黑体" w:cs="黑体"/>
        <w:sz w:val="20"/>
      </w:rPr>
    </w:lvl>
    <w:lvl w:ilvl="5" w:tentative="0">
      <w:start w:val="1"/>
      <w:numFmt w:val="decimal"/>
      <w:pStyle w:val="85"/>
      <w:suff w:val="nothing"/>
      <w:lvlText w:val="%10.%2.%3.%4.%5.%6 "/>
      <w:lvlJc w:val="left"/>
      <w:pPr>
        <w:ind w:left="0" w:leftChars="0" w:firstLine="0" w:firstLineChars="0"/>
      </w:pPr>
      <w:rPr>
        <w:rFonts w:hint="default" w:ascii="黑体" w:hAnsi="黑体" w:eastAsia="黑体" w:cs="黑体"/>
        <w:sz w:val="20"/>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
      <w:lvlJc w:val="left"/>
      <w:pPr>
        <w:ind w:left="0" w:firstLine="402"/>
      </w:pPr>
      <w:rPr>
        <w:rFonts w:hint="eastAsia"/>
      </w:rPr>
    </w:lvl>
  </w:abstractNum>
  <w:abstractNum w:abstractNumId="9">
    <w:nsid w:val="EA97BE2A"/>
    <w:multiLevelType w:val="multilevel"/>
    <w:tmpl w:val="EA97BE2A"/>
    <w:lvl w:ilvl="0" w:tentative="0">
      <w:start w:val="1"/>
      <w:numFmt w:val="upperLetter"/>
      <w:lvlText w:val="%1"/>
      <w:lvlJc w:val="left"/>
      <w:pPr>
        <w:tabs>
          <w:tab w:val="left" w:pos="0"/>
        </w:tabs>
        <w:ind w:left="0" w:leftChars="0" w:firstLine="0" w:firstLineChars="0"/>
      </w:pPr>
      <w:rPr>
        <w:rFonts w:hint="default"/>
      </w:rPr>
    </w:lvl>
    <w:lvl w:ilvl="1" w:tentative="0">
      <w:start w:val="1"/>
      <w:numFmt w:val="decimal"/>
      <w:suff w:val="nothing"/>
      <w:lvlText w:val="表%1.%2　"/>
      <w:lvlJc w:val="left"/>
      <w:pPr>
        <w:ind w:left="0" w:leftChars="0" w:firstLine="0" w:firstLineChars="0"/>
      </w:pPr>
      <w:rPr>
        <w:rFonts w:hint="default"/>
      </w:rPr>
    </w:lvl>
    <w:lvl w:ilvl="2" w:tentative="0">
      <w:start w:val="1"/>
      <w:numFmt w:val="decimal"/>
      <w:lvlText w:val="%1.%2.%3."/>
      <w:lvlJc w:val="left"/>
      <w:pPr>
        <w:ind w:left="1508" w:hanging="708"/>
      </w:pPr>
      <w:rPr>
        <w:rFonts w:hint="default"/>
      </w:rPr>
    </w:lvl>
    <w:lvl w:ilvl="3" w:tentative="0">
      <w:start w:val="1"/>
      <w:numFmt w:val="decimal"/>
      <w:lvlText w:val="%1.%2.%3.%4."/>
      <w:lvlJc w:val="left"/>
      <w:pPr>
        <w:ind w:left="2053" w:hanging="853"/>
      </w:pPr>
      <w:rPr>
        <w:rFonts w:hint="default"/>
      </w:rPr>
    </w:lvl>
    <w:lvl w:ilvl="4" w:tentative="0">
      <w:start w:val="1"/>
      <w:numFmt w:val="decimal"/>
      <w:lvlText w:val="%1.%2.%3.%4.%5."/>
      <w:lvlJc w:val="left"/>
      <w:pPr>
        <w:ind w:left="2495" w:hanging="895"/>
      </w:pPr>
      <w:rPr>
        <w:rFonts w:hint="default"/>
      </w:rPr>
    </w:lvl>
    <w:lvl w:ilvl="5" w:tentative="0">
      <w:start w:val="1"/>
      <w:numFmt w:val="decimal"/>
      <w:lvlText w:val="%1.%2.%3.%4.%5.%6."/>
      <w:lvlJc w:val="left"/>
      <w:pPr>
        <w:ind w:left="3136" w:hanging="1136"/>
      </w:pPr>
      <w:rPr>
        <w:rFonts w:hint="default"/>
      </w:rPr>
    </w:lvl>
    <w:lvl w:ilvl="6" w:tentative="0">
      <w:start w:val="1"/>
      <w:numFmt w:val="decimal"/>
      <w:lvlText w:val="%1.%2.%3.%4.%5.%6.%7."/>
      <w:lvlJc w:val="left"/>
      <w:pPr>
        <w:ind w:left="3673" w:hanging="1273"/>
      </w:pPr>
      <w:rPr>
        <w:rFonts w:hint="default"/>
      </w:rPr>
    </w:lvl>
    <w:lvl w:ilvl="7" w:tentative="0">
      <w:start w:val="1"/>
      <w:numFmt w:val="decimal"/>
      <w:lvlText w:val="%1.%2.%3.%4.%5.%6.%7.%8."/>
      <w:lvlJc w:val="left"/>
      <w:pPr>
        <w:ind w:left="4218" w:hanging="1418"/>
      </w:pPr>
      <w:rPr>
        <w:rFonts w:hint="default"/>
      </w:rPr>
    </w:lvl>
    <w:lvl w:ilvl="8" w:tentative="0">
      <w:start w:val="1"/>
      <w:numFmt w:val="decimal"/>
      <w:lvlText w:val="%1.%2.%3.%4.%5.%6.%7.%8.%9."/>
      <w:lvlJc w:val="left"/>
      <w:pPr>
        <w:ind w:left="4648" w:hanging="1448"/>
      </w:pPr>
      <w:rPr>
        <w:rFonts w:hint="default"/>
      </w:rPr>
    </w:lvl>
  </w:abstractNum>
  <w:abstractNum w:abstractNumId="10">
    <w:nsid w:val="F4616B97"/>
    <w:multiLevelType w:val="multilevel"/>
    <w:tmpl w:val="F4616B97"/>
    <w:lvl w:ilvl="0" w:tentative="0">
      <w:start w:val="1"/>
      <w:numFmt w:val="decimal"/>
      <w:pStyle w:val="126"/>
      <w:suff w:val="nothing"/>
      <w:lvlText w:val="注%1："/>
      <w:lvlJc w:val="left"/>
      <w:pPr>
        <w:tabs>
          <w:tab w:val="left" w:pos="539"/>
        </w:tabs>
        <w:ind w:left="811" w:leftChars="0" w:hanging="448" w:firstLineChars="0"/>
      </w:pPr>
      <w:rPr>
        <w:rFonts w:hint="eastAsia" w:ascii="黑体" w:hAnsi="黑体" w:eastAsia="黑体" w:cs="黑体"/>
        <w:sz w:val="18"/>
        <w:vertAlign w:val="baseline"/>
      </w:rPr>
    </w:lvl>
    <w:lvl w:ilvl="1" w:tentative="0">
      <w:start w:val="1"/>
      <w:numFmt w:val="chineseCounting"/>
      <w:suff w:val="nothing"/>
      <w:lvlText w:val="%2、"/>
      <w:lvlJc w:val="left"/>
      <w:pPr>
        <w:ind w:left="0" w:firstLine="402"/>
      </w:pPr>
      <w:rPr>
        <w:rFonts w:hint="eastAsia"/>
      </w:rPr>
    </w:lvl>
    <w:lvl w:ilvl="2" w:tentative="0">
      <w:start w:val="1"/>
      <w:numFmt w:val="decimal"/>
      <w:suff w:val="nothing"/>
      <w:lvlText w:val="%3．"/>
      <w:lvlJc w:val="left"/>
      <w:pPr>
        <w:ind w:left="0" w:firstLine="402"/>
      </w:pPr>
      <w:rPr>
        <w:rFonts w:hint="eastAsia"/>
      </w:rPr>
    </w:lvl>
    <w:lvl w:ilvl="3" w:tentative="0">
      <w:start w:val="1"/>
      <w:numFmt w:val="decimal"/>
      <w:suff w:val="nothing"/>
      <w:lvlText w:val="（%4）"/>
      <w:lvlJc w:val="left"/>
      <w:pPr>
        <w:ind w:left="0" w:firstLine="402"/>
      </w:pPr>
      <w:rPr>
        <w:rFonts w:hint="eastAsia"/>
      </w:rPr>
    </w:lvl>
    <w:lvl w:ilvl="4" w:tentative="0">
      <w:start w:val="1"/>
      <w:numFmt w:val="decimalEnclosedCircleChinese"/>
      <w:suff w:val="nothing"/>
      <w:lvlText w:val="%5 "/>
      <w:lvlJc w:val="left"/>
      <w:pPr>
        <w:ind w:left="0" w:firstLine="402"/>
      </w:pPr>
      <w:rPr>
        <w:rFonts w:hint="eastAsia"/>
      </w:rPr>
    </w:lvl>
    <w:lvl w:ilvl="5" w:tentative="0">
      <w:start w:val="1"/>
      <w:numFmt w:val="decimal"/>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
      <w:lvlJc w:val="left"/>
      <w:pPr>
        <w:ind w:left="0" w:firstLine="402"/>
      </w:pPr>
      <w:rPr>
        <w:rFonts w:hint="eastAsia"/>
      </w:rPr>
    </w:lvl>
  </w:abstractNum>
  <w:abstractNum w:abstractNumId="11">
    <w:nsid w:val="F8D7817C"/>
    <w:multiLevelType w:val="multilevel"/>
    <w:tmpl w:val="F8D7817C"/>
    <w:lvl w:ilvl="0" w:tentative="0">
      <w:start w:val="1"/>
      <w:numFmt w:val="decimal"/>
      <w:pStyle w:val="133"/>
      <w:suff w:val="nothing"/>
      <w:lvlText w:val="图%1  "/>
      <w:lvlJc w:val="left"/>
      <w:pPr>
        <w:tabs>
          <w:tab w:val="left" w:pos="539"/>
        </w:tabs>
        <w:ind w:left="0" w:leftChars="0" w:firstLine="0" w:firstLineChars="0"/>
      </w:pPr>
      <w:rPr>
        <w:rFonts w:hint="eastAsia" w:ascii="黑体" w:hAnsi="黑体" w:eastAsia="黑体" w:cs="黑体"/>
        <w:sz w:val="21"/>
        <w:vertAlign w:val="baseline"/>
      </w:rPr>
    </w:lvl>
    <w:lvl w:ilvl="1" w:tentative="0">
      <w:start w:val="1"/>
      <w:numFmt w:val="chineseCounting"/>
      <w:suff w:val="nothing"/>
      <w:lvlText w:val="%2、"/>
      <w:lvlJc w:val="left"/>
      <w:pPr>
        <w:ind w:left="0" w:firstLine="402"/>
      </w:pPr>
      <w:rPr>
        <w:rFonts w:hint="eastAsia"/>
      </w:rPr>
    </w:lvl>
    <w:lvl w:ilvl="2" w:tentative="0">
      <w:start w:val="1"/>
      <w:numFmt w:val="decimal"/>
      <w:suff w:val="nothing"/>
      <w:lvlText w:val="%3．"/>
      <w:lvlJc w:val="left"/>
      <w:pPr>
        <w:ind w:left="0" w:firstLine="402"/>
      </w:pPr>
      <w:rPr>
        <w:rFonts w:hint="eastAsia"/>
      </w:rPr>
    </w:lvl>
    <w:lvl w:ilvl="3" w:tentative="0">
      <w:start w:val="1"/>
      <w:numFmt w:val="decimal"/>
      <w:suff w:val="nothing"/>
      <w:lvlText w:val="（%4）"/>
      <w:lvlJc w:val="left"/>
      <w:pPr>
        <w:ind w:left="0" w:firstLine="402"/>
      </w:pPr>
      <w:rPr>
        <w:rFonts w:hint="eastAsia"/>
      </w:rPr>
    </w:lvl>
    <w:lvl w:ilvl="4" w:tentative="0">
      <w:start w:val="1"/>
      <w:numFmt w:val="decimalEnclosedCircleChinese"/>
      <w:suff w:val="nothing"/>
      <w:lvlText w:val="%5 "/>
      <w:lvlJc w:val="left"/>
      <w:pPr>
        <w:ind w:left="0" w:firstLine="402"/>
      </w:pPr>
      <w:rPr>
        <w:rFonts w:hint="eastAsia"/>
      </w:rPr>
    </w:lvl>
    <w:lvl w:ilvl="5" w:tentative="0">
      <w:start w:val="1"/>
      <w:numFmt w:val="decimal"/>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
      <w:lvlJc w:val="left"/>
      <w:pPr>
        <w:ind w:left="0" w:firstLine="402"/>
      </w:pPr>
      <w:rPr>
        <w:rFonts w:hint="eastAsia"/>
      </w:rPr>
    </w:lvl>
  </w:abstractNum>
  <w:abstractNum w:abstractNumId="12">
    <w:nsid w:val="FABBD15B"/>
    <w:multiLevelType w:val="multilevel"/>
    <w:tmpl w:val="FABBD15B"/>
    <w:lvl w:ilvl="0" w:tentative="0">
      <w:start w:val="1"/>
      <w:numFmt w:val="lowerLetter"/>
      <w:pStyle w:val="79"/>
      <w:lvlText w:val="%1)"/>
      <w:lvlJc w:val="left"/>
      <w:pPr>
        <w:tabs>
          <w:tab w:val="left" w:pos="851"/>
        </w:tabs>
        <w:ind w:left="851" w:leftChars="0" w:hanging="426" w:firstLineChars="0"/>
      </w:pPr>
      <w:rPr>
        <w:rFonts w:hint="default" w:ascii="宋体" w:hAnsi="宋体" w:eastAsia="宋体" w:cs="宋体"/>
        <w:sz w:val="20"/>
      </w:rPr>
    </w:lvl>
    <w:lvl w:ilvl="1" w:tentative="0">
      <w:start w:val="1"/>
      <w:numFmt w:val="decimal"/>
      <w:pStyle w:val="80"/>
      <w:lvlText w:val="%2)"/>
      <w:lvlJc w:val="left"/>
      <w:pPr>
        <w:tabs>
          <w:tab w:val="left" w:pos="1276"/>
        </w:tabs>
        <w:ind w:left="1276" w:leftChars="0" w:hanging="425" w:firstLineChars="0"/>
      </w:pPr>
      <w:rPr>
        <w:rFonts w:hint="default" w:ascii="宋体" w:hAnsi="Times New Roman" w:eastAsia="宋体" w:cs="Times New Roman"/>
        <w:sz w:val="21"/>
      </w:rPr>
    </w:lvl>
    <w:lvl w:ilvl="2" w:tentative="0">
      <w:start w:val="1"/>
      <w:numFmt w:val="bullet"/>
      <w:pStyle w:val="78"/>
      <w:lvlText w:val=""/>
      <w:lvlJc w:val="left"/>
      <w:pPr>
        <w:tabs>
          <w:tab w:val="left" w:pos="1678"/>
        </w:tabs>
        <w:ind w:left="1678" w:leftChars="0" w:hanging="414" w:firstLineChars="0"/>
      </w:pPr>
      <w:rPr>
        <w:rFonts w:hint="default" w:ascii="Symbol" w:hAnsi="Symbol" w:cs="Symbol"/>
      </w:rPr>
    </w:lvl>
    <w:lvl w:ilvl="3" w:tentative="0">
      <w:start w:val="1"/>
      <w:numFmt w:val="decimalEnclosedCircleChinese"/>
      <w:suff w:val="nothing"/>
      <w:lvlText w:val="%4 "/>
      <w:lvlJc w:val="left"/>
      <w:pPr>
        <w:ind w:left="0" w:firstLine="402"/>
      </w:pPr>
      <w:rPr>
        <w:rFonts w:hint="eastAsia"/>
      </w:rPr>
    </w:lvl>
    <w:lvl w:ilvl="4" w:tentative="0">
      <w:start w:val="1"/>
      <w:numFmt w:val="decimal"/>
      <w:suff w:val="nothing"/>
      <w:lvlText w:val="%5）"/>
      <w:lvlJc w:val="left"/>
      <w:pPr>
        <w:ind w:left="0" w:firstLine="402"/>
      </w:pPr>
      <w:rPr>
        <w:rFonts w:hint="eastAsia"/>
      </w:rPr>
    </w:lvl>
    <w:lvl w:ilvl="5" w:tentative="0">
      <w:start w:val="1"/>
      <w:numFmt w:val="upperLetter"/>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w:lvlJc w:val="left"/>
      <w:pPr>
        <w:ind w:left="0" w:firstLine="402"/>
      </w:pPr>
      <w:rPr>
        <w:rFonts w:hint="eastAsia"/>
      </w:rPr>
    </w:lvl>
  </w:abstractNum>
  <w:abstractNum w:abstractNumId="13">
    <w:nsid w:val="0419DF03"/>
    <w:multiLevelType w:val="multilevel"/>
    <w:tmpl w:val="0419DF03"/>
    <w:lvl w:ilvl="0" w:tentative="0">
      <w:start w:val="1"/>
      <w:numFmt w:val="none"/>
      <w:pStyle w:val="123"/>
      <w:suff w:val="nothing"/>
      <w:lvlText w:val="示例："/>
      <w:lvlJc w:val="left"/>
      <w:pPr>
        <w:tabs>
          <w:tab w:val="left" w:pos="539"/>
        </w:tabs>
        <w:ind w:left="0" w:leftChars="0" w:firstLine="363" w:firstLineChars="0"/>
      </w:pPr>
      <w:rPr>
        <w:rFonts w:hint="eastAsia" w:ascii="黑体" w:hAnsi="黑体" w:eastAsia="黑体" w:cs="黑体"/>
        <w:sz w:val="18"/>
        <w:vertAlign w:val="baseline"/>
      </w:rPr>
    </w:lvl>
    <w:lvl w:ilvl="1" w:tentative="0">
      <w:start w:val="1"/>
      <w:numFmt w:val="chineseCounting"/>
      <w:suff w:val="nothing"/>
      <w:lvlText w:val="%2、"/>
      <w:lvlJc w:val="left"/>
      <w:pPr>
        <w:ind w:left="0" w:firstLine="402"/>
      </w:pPr>
      <w:rPr>
        <w:rFonts w:hint="eastAsia"/>
      </w:rPr>
    </w:lvl>
    <w:lvl w:ilvl="2" w:tentative="0">
      <w:start w:val="1"/>
      <w:numFmt w:val="decimal"/>
      <w:suff w:val="nothing"/>
      <w:lvlText w:val="%3．"/>
      <w:lvlJc w:val="left"/>
      <w:pPr>
        <w:ind w:left="0" w:firstLine="402"/>
      </w:pPr>
      <w:rPr>
        <w:rFonts w:hint="eastAsia"/>
      </w:rPr>
    </w:lvl>
    <w:lvl w:ilvl="3" w:tentative="0">
      <w:start w:val="1"/>
      <w:numFmt w:val="decimal"/>
      <w:suff w:val="nothing"/>
      <w:lvlText w:val="（%4）"/>
      <w:lvlJc w:val="left"/>
      <w:pPr>
        <w:ind w:left="0" w:firstLine="402"/>
      </w:pPr>
      <w:rPr>
        <w:rFonts w:hint="eastAsia"/>
      </w:rPr>
    </w:lvl>
    <w:lvl w:ilvl="4" w:tentative="0">
      <w:start w:val="1"/>
      <w:numFmt w:val="decimalEnclosedCircleChinese"/>
      <w:suff w:val="nothing"/>
      <w:lvlText w:val="%5 "/>
      <w:lvlJc w:val="left"/>
      <w:pPr>
        <w:ind w:left="0" w:firstLine="402"/>
      </w:pPr>
      <w:rPr>
        <w:rFonts w:hint="eastAsia"/>
      </w:rPr>
    </w:lvl>
    <w:lvl w:ilvl="5" w:tentative="0">
      <w:start w:val="1"/>
      <w:numFmt w:val="decimal"/>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
      <w:lvlJc w:val="left"/>
      <w:pPr>
        <w:ind w:left="0" w:firstLine="402"/>
      </w:pPr>
      <w:rPr>
        <w:rFonts w:hint="eastAsia"/>
      </w:rPr>
    </w:lvl>
  </w:abstractNum>
  <w:abstractNum w:abstractNumId="14">
    <w:nsid w:val="07C7C0A5"/>
    <w:multiLevelType w:val="multilevel"/>
    <w:tmpl w:val="07C7C0A5"/>
    <w:lvl w:ilvl="0" w:tentative="0">
      <w:start w:val="1"/>
      <w:numFmt w:val="upperLetter"/>
      <w:lvlText w:val="%1"/>
      <w:lvlJc w:val="left"/>
      <w:pPr>
        <w:tabs>
          <w:tab w:val="left" w:pos="0"/>
        </w:tabs>
        <w:ind w:left="0" w:leftChars="0" w:firstLine="0" w:firstLineChars="0"/>
      </w:pPr>
      <w:rPr>
        <w:rFonts w:hint="default"/>
      </w:rPr>
    </w:lvl>
    <w:lvl w:ilvl="1" w:tentative="0">
      <w:start w:val="1"/>
      <w:numFmt w:val="decimal"/>
      <w:pStyle w:val="3"/>
      <w:lvlText w:val="%1.%2."/>
      <w:lvlJc w:val="left"/>
      <w:pPr>
        <w:ind w:left="575" w:hanging="575"/>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864" w:hanging="864"/>
      </w:pPr>
      <w:rPr>
        <w:rFonts w:hint="default"/>
      </w:rPr>
    </w:lvl>
    <w:lvl w:ilvl="4" w:tentative="0">
      <w:start w:val="1"/>
      <w:numFmt w:val="decimal"/>
      <w:lvlText w:val="%1.%2.%3.%4.%5."/>
      <w:lvlJc w:val="left"/>
      <w:pPr>
        <w:ind w:left="1008" w:hanging="1008"/>
      </w:pPr>
      <w:rPr>
        <w:rFonts w:hint="default"/>
      </w:rPr>
    </w:lvl>
    <w:lvl w:ilvl="5" w:tentative="0">
      <w:start w:val="1"/>
      <w:numFmt w:val="decimal"/>
      <w:lvlText w:val="%1.%2.%3.%4.%5.%6."/>
      <w:lvlJc w:val="left"/>
      <w:pPr>
        <w:ind w:left="1151" w:hanging="1151"/>
      </w:pPr>
      <w:rPr>
        <w:rFonts w:hint="default"/>
      </w:rPr>
    </w:lvl>
    <w:lvl w:ilvl="6" w:tentative="0">
      <w:start w:val="1"/>
      <w:numFmt w:val="decimal"/>
      <w:lvlText w:val="%1.%2.%3.%4.%5.%6.%7."/>
      <w:lvlJc w:val="left"/>
      <w:pPr>
        <w:ind w:left="1296" w:hanging="1296"/>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583" w:hanging="1583"/>
      </w:pPr>
      <w:rPr>
        <w:rFonts w:hint="default"/>
      </w:rPr>
    </w:lvl>
  </w:abstractNum>
  <w:abstractNum w:abstractNumId="15">
    <w:nsid w:val="16A3538C"/>
    <w:multiLevelType w:val="multilevel"/>
    <w:tmpl w:val="16A3538C"/>
    <w:lvl w:ilvl="0" w:tentative="0">
      <w:start w:val="1"/>
      <w:numFmt w:val="upperLetter"/>
      <w:pStyle w:val="118"/>
      <w:lvlText w:val="%1"/>
      <w:lvlJc w:val="left"/>
      <w:pPr>
        <w:tabs>
          <w:tab w:val="left" w:pos="0"/>
        </w:tabs>
        <w:ind w:left="0" w:leftChars="0" w:firstLine="0" w:firstLineChars="0"/>
      </w:pPr>
      <w:rPr>
        <w:rFonts w:hint="default"/>
      </w:rPr>
    </w:lvl>
    <w:lvl w:ilvl="1" w:tentative="0">
      <w:start w:val="1"/>
      <w:numFmt w:val="decimal"/>
      <w:pStyle w:val="119"/>
      <w:suff w:val="nothing"/>
      <w:lvlText w:val="图%1.%2　"/>
      <w:lvlJc w:val="left"/>
      <w:pPr>
        <w:ind w:left="0" w:leftChars="0" w:firstLine="0" w:firstLineChars="0"/>
      </w:pPr>
      <w:rPr>
        <w:rFonts w:hint="default"/>
      </w:rPr>
    </w:lvl>
    <w:lvl w:ilvl="2" w:tentative="0">
      <w:start w:val="1"/>
      <w:numFmt w:val="decimal"/>
      <w:pStyle w:val="4"/>
      <w:lvlText w:val="%1.%2.%3."/>
      <w:lvlJc w:val="left"/>
      <w:pPr>
        <w:ind w:left="720" w:hanging="720"/>
      </w:pPr>
      <w:rPr>
        <w:rFonts w:hint="default"/>
      </w:rPr>
    </w:lvl>
    <w:lvl w:ilvl="3" w:tentative="0">
      <w:start w:val="1"/>
      <w:numFmt w:val="decimal"/>
      <w:pStyle w:val="5"/>
      <w:lvlText w:val="%1.%2.%3.%4."/>
      <w:lvlJc w:val="left"/>
      <w:pPr>
        <w:ind w:left="864" w:hanging="864"/>
      </w:pPr>
      <w:rPr>
        <w:rFonts w:hint="default"/>
      </w:rPr>
    </w:lvl>
    <w:lvl w:ilvl="4" w:tentative="0">
      <w:start w:val="1"/>
      <w:numFmt w:val="decimal"/>
      <w:pStyle w:val="6"/>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3" w:hanging="1583"/>
      </w:pPr>
      <w:rPr>
        <w:rFonts w:hint="default"/>
      </w:rPr>
    </w:lvl>
  </w:abstractNum>
  <w:abstractNum w:abstractNumId="16">
    <w:nsid w:val="1864E77A"/>
    <w:multiLevelType w:val="multilevel"/>
    <w:tmpl w:val="1864E77A"/>
    <w:lvl w:ilvl="0" w:tentative="0">
      <w:start w:val="1"/>
      <w:numFmt w:val="upperLetter"/>
      <w:pStyle w:val="120"/>
      <w:lvlText w:val="%1"/>
      <w:lvlJc w:val="left"/>
      <w:pPr>
        <w:tabs>
          <w:tab w:val="left" w:pos="0"/>
        </w:tabs>
        <w:ind w:left="0" w:leftChars="0" w:firstLine="0" w:firstLineChars="0"/>
      </w:pPr>
      <w:rPr>
        <w:rFonts w:hint="default"/>
      </w:rPr>
    </w:lvl>
    <w:lvl w:ilvl="1" w:tentative="0">
      <w:start w:val="1"/>
      <w:numFmt w:val="decimal"/>
      <w:pStyle w:val="121"/>
      <w:suff w:val="nothing"/>
      <w:lvlText w:val="表%1.%2　"/>
      <w:lvlJc w:val="left"/>
      <w:pPr>
        <w:ind w:left="0" w:leftChars="0" w:firstLine="0" w:firstLineChars="0"/>
      </w:pPr>
      <w:rPr>
        <w:rFonts w:hint="default"/>
      </w:rPr>
    </w:lvl>
    <w:lvl w:ilvl="2" w:tentative="0">
      <w:start w:val="1"/>
      <w:numFmt w:val="decimal"/>
      <w:lvlText w:val="%1.%2.%3."/>
      <w:lvlJc w:val="left"/>
      <w:pPr>
        <w:ind w:left="1508" w:hanging="708"/>
      </w:pPr>
      <w:rPr>
        <w:rFonts w:hint="default"/>
      </w:rPr>
    </w:lvl>
    <w:lvl w:ilvl="3" w:tentative="0">
      <w:start w:val="1"/>
      <w:numFmt w:val="decimal"/>
      <w:lvlText w:val="%1.%2.%3.%4."/>
      <w:lvlJc w:val="left"/>
      <w:pPr>
        <w:ind w:left="2053" w:hanging="853"/>
      </w:pPr>
      <w:rPr>
        <w:rFonts w:hint="default"/>
      </w:rPr>
    </w:lvl>
    <w:lvl w:ilvl="4" w:tentative="0">
      <w:start w:val="1"/>
      <w:numFmt w:val="decimal"/>
      <w:lvlText w:val="%1.%2.%3.%4.%5."/>
      <w:lvlJc w:val="left"/>
      <w:pPr>
        <w:ind w:left="2495" w:hanging="895"/>
      </w:pPr>
      <w:rPr>
        <w:rFonts w:hint="default"/>
      </w:rPr>
    </w:lvl>
    <w:lvl w:ilvl="5" w:tentative="0">
      <w:start w:val="1"/>
      <w:numFmt w:val="decimal"/>
      <w:lvlText w:val="%1.%2.%3.%4.%5.%6."/>
      <w:lvlJc w:val="left"/>
      <w:pPr>
        <w:ind w:left="3136" w:hanging="1136"/>
      </w:pPr>
      <w:rPr>
        <w:rFonts w:hint="default"/>
      </w:rPr>
    </w:lvl>
    <w:lvl w:ilvl="6" w:tentative="0">
      <w:start w:val="1"/>
      <w:numFmt w:val="decimal"/>
      <w:lvlText w:val="%1.%2.%3.%4.%5.%6.%7."/>
      <w:lvlJc w:val="left"/>
      <w:pPr>
        <w:ind w:left="3673" w:hanging="1273"/>
      </w:pPr>
      <w:rPr>
        <w:rFonts w:hint="default"/>
      </w:rPr>
    </w:lvl>
    <w:lvl w:ilvl="7" w:tentative="0">
      <w:start w:val="1"/>
      <w:numFmt w:val="decimal"/>
      <w:lvlText w:val="%1.%2.%3.%4.%5.%6.%7.%8."/>
      <w:lvlJc w:val="left"/>
      <w:pPr>
        <w:ind w:left="4218" w:hanging="1418"/>
      </w:pPr>
      <w:rPr>
        <w:rFonts w:hint="default"/>
      </w:rPr>
    </w:lvl>
    <w:lvl w:ilvl="8" w:tentative="0">
      <w:start w:val="1"/>
      <w:numFmt w:val="decimal"/>
      <w:lvlText w:val="%1.%2.%3.%4.%5.%6.%7.%8.%9."/>
      <w:lvlJc w:val="left"/>
      <w:pPr>
        <w:ind w:left="4648" w:hanging="1448"/>
      </w:pPr>
      <w:rPr>
        <w:rFonts w:hint="default"/>
      </w:rPr>
    </w:lvl>
  </w:abstractNum>
  <w:abstractNum w:abstractNumId="17">
    <w:nsid w:val="1FE8625D"/>
    <w:multiLevelType w:val="multilevel"/>
    <w:tmpl w:val="1FE8625D"/>
    <w:lvl w:ilvl="0" w:tentative="0">
      <w:start w:val="1"/>
      <w:numFmt w:val="upperLetter"/>
      <w:lvlText w:val="%1"/>
      <w:lvlJc w:val="left"/>
      <w:pPr>
        <w:tabs>
          <w:tab w:val="left" w:pos="0"/>
        </w:tabs>
        <w:ind w:left="0" w:leftChars="0" w:firstLine="0" w:firstLineChars="0"/>
      </w:pPr>
      <w:rPr>
        <w:rFonts w:hint="default"/>
      </w:rPr>
    </w:lvl>
    <w:lvl w:ilvl="1" w:tentative="0">
      <w:start w:val="1"/>
      <w:numFmt w:val="decimal"/>
      <w:suff w:val="nothing"/>
      <w:lvlText w:val="图%1.%2　"/>
      <w:lvlJc w:val="left"/>
      <w:pPr>
        <w:ind w:left="0" w:leftChars="0" w:firstLine="0" w:firstLineChars="0"/>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864" w:hanging="864"/>
      </w:pPr>
      <w:rPr>
        <w:rFonts w:hint="default"/>
      </w:rPr>
    </w:lvl>
    <w:lvl w:ilvl="4" w:tentative="0">
      <w:start w:val="1"/>
      <w:numFmt w:val="decimal"/>
      <w:lvlText w:val="%1.%2.%3.%4.%5."/>
      <w:lvlJc w:val="left"/>
      <w:pPr>
        <w:ind w:left="1008" w:hanging="1008"/>
      </w:pPr>
      <w:rPr>
        <w:rFonts w:hint="default"/>
      </w:rPr>
    </w:lvl>
    <w:lvl w:ilvl="5" w:tentative="0">
      <w:start w:val="1"/>
      <w:numFmt w:val="decimal"/>
      <w:lvlText w:val="%1.%2.%3.%4.%5.%6."/>
      <w:lvlJc w:val="left"/>
      <w:pPr>
        <w:ind w:left="1151" w:hanging="1151"/>
      </w:pPr>
      <w:rPr>
        <w:rFonts w:hint="default"/>
      </w:rPr>
    </w:lvl>
    <w:lvl w:ilvl="6" w:tentative="0">
      <w:start w:val="1"/>
      <w:numFmt w:val="decimal"/>
      <w:lvlText w:val="%1.%2.%3.%4.%5.%6.%7."/>
      <w:lvlJc w:val="left"/>
      <w:pPr>
        <w:ind w:left="1296" w:hanging="1296"/>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583" w:hanging="1583"/>
      </w:pPr>
      <w:rPr>
        <w:rFonts w:hint="default"/>
      </w:rPr>
    </w:lvl>
  </w:abstractNum>
  <w:abstractNum w:abstractNumId="18">
    <w:nsid w:val="221ACF63"/>
    <w:multiLevelType w:val="multilevel"/>
    <w:tmpl w:val="221ACF63"/>
    <w:lvl w:ilvl="0" w:tentative="0">
      <w:start w:val="1"/>
      <w:numFmt w:val="none"/>
      <w:pStyle w:val="76"/>
      <w:lvlText w:val="%1——"/>
      <w:lvlJc w:val="left"/>
      <w:pPr>
        <w:tabs>
          <w:tab w:val="left" w:pos="851"/>
        </w:tabs>
        <w:ind w:left="851" w:leftChars="0" w:hanging="426" w:firstLineChars="0"/>
      </w:pPr>
      <w:rPr>
        <w:rFonts w:hint="default" w:ascii="Times New Roman" w:hAnsi="Times New Roman" w:eastAsia="宋体" w:cs="Times New Roman"/>
        <w:sz w:val="20"/>
      </w:rPr>
    </w:lvl>
    <w:lvl w:ilvl="1" w:tentative="0">
      <w:start w:val="1"/>
      <w:numFmt w:val="bullet"/>
      <w:pStyle w:val="77"/>
      <w:lvlText w:val=""/>
      <w:lvlJc w:val="left"/>
      <w:pPr>
        <w:tabs>
          <w:tab w:val="left" w:pos="851"/>
        </w:tabs>
        <w:ind w:left="1270" w:leftChars="0" w:hanging="419" w:firstLineChars="0"/>
      </w:pPr>
      <w:rPr>
        <w:rFonts w:hint="default" w:ascii="Symbol" w:hAnsi="Symbol" w:eastAsia="宋体" w:cs="Symbol"/>
        <w:sz w:val="21"/>
      </w:rPr>
    </w:lvl>
    <w:lvl w:ilvl="2" w:tentative="0">
      <w:start w:val="1"/>
      <w:numFmt w:val="bullet"/>
      <w:lvlText w:val=""/>
      <w:lvlJc w:val="left"/>
      <w:pPr>
        <w:tabs>
          <w:tab w:val="left" w:pos="1678"/>
        </w:tabs>
        <w:ind w:left="1678" w:leftChars="0" w:hanging="414" w:firstLineChars="0"/>
      </w:pPr>
      <w:rPr>
        <w:rFonts w:hint="default" w:ascii="Symbol" w:hAnsi="Symbol" w:cs="Symbol"/>
      </w:rPr>
    </w:lvl>
    <w:lvl w:ilvl="3" w:tentative="0">
      <w:start w:val="1"/>
      <w:numFmt w:val="decimalEnclosedCircleChinese"/>
      <w:suff w:val="nothing"/>
      <w:lvlText w:val="%4 "/>
      <w:lvlJc w:val="left"/>
      <w:pPr>
        <w:ind w:left="0" w:firstLine="402"/>
      </w:pPr>
      <w:rPr>
        <w:rFonts w:hint="eastAsia"/>
      </w:rPr>
    </w:lvl>
    <w:lvl w:ilvl="4" w:tentative="0">
      <w:start w:val="1"/>
      <w:numFmt w:val="decimal"/>
      <w:suff w:val="nothing"/>
      <w:lvlText w:val="%5）"/>
      <w:lvlJc w:val="left"/>
      <w:pPr>
        <w:ind w:left="0" w:firstLine="402"/>
      </w:pPr>
      <w:rPr>
        <w:rFonts w:hint="eastAsia"/>
      </w:rPr>
    </w:lvl>
    <w:lvl w:ilvl="5" w:tentative="0">
      <w:start w:val="1"/>
      <w:numFmt w:val="upperLetter"/>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w:lvlJc w:val="left"/>
      <w:pPr>
        <w:ind w:left="0" w:firstLine="402"/>
      </w:pPr>
      <w:rPr>
        <w:rFonts w:hint="eastAsia"/>
      </w:rPr>
    </w:lvl>
  </w:abstractNum>
  <w:abstractNum w:abstractNumId="19">
    <w:nsid w:val="40B5BFA0"/>
    <w:multiLevelType w:val="multilevel"/>
    <w:tmpl w:val="40B5BFA0"/>
    <w:lvl w:ilvl="0" w:tentative="0">
      <w:start w:val="1"/>
      <w:numFmt w:val="decimal"/>
      <w:pStyle w:val="132"/>
      <w:suff w:val="nothing"/>
      <w:lvlText w:val="表%1  "/>
      <w:lvlJc w:val="left"/>
      <w:pPr>
        <w:tabs>
          <w:tab w:val="left" w:pos="539"/>
        </w:tabs>
        <w:ind w:left="0" w:leftChars="0" w:firstLine="0" w:firstLineChars="0"/>
      </w:pPr>
      <w:rPr>
        <w:rFonts w:hint="eastAsia" w:ascii="黑体" w:hAnsi="黑体" w:eastAsia="黑体" w:cs="黑体"/>
        <w:sz w:val="21"/>
        <w:vertAlign w:val="baseline"/>
      </w:rPr>
    </w:lvl>
    <w:lvl w:ilvl="1" w:tentative="0">
      <w:start w:val="1"/>
      <w:numFmt w:val="chineseCounting"/>
      <w:suff w:val="nothing"/>
      <w:lvlText w:val="%2、"/>
      <w:lvlJc w:val="left"/>
      <w:pPr>
        <w:ind w:left="0" w:firstLine="402"/>
      </w:pPr>
      <w:rPr>
        <w:rFonts w:hint="eastAsia"/>
      </w:rPr>
    </w:lvl>
    <w:lvl w:ilvl="2" w:tentative="0">
      <w:start w:val="1"/>
      <w:numFmt w:val="decimal"/>
      <w:suff w:val="nothing"/>
      <w:lvlText w:val="%3．"/>
      <w:lvlJc w:val="left"/>
      <w:pPr>
        <w:ind w:left="0" w:firstLine="402"/>
      </w:pPr>
      <w:rPr>
        <w:rFonts w:hint="eastAsia"/>
      </w:rPr>
    </w:lvl>
    <w:lvl w:ilvl="3" w:tentative="0">
      <w:start w:val="1"/>
      <w:numFmt w:val="decimal"/>
      <w:suff w:val="nothing"/>
      <w:lvlText w:val="（%4）"/>
      <w:lvlJc w:val="left"/>
      <w:pPr>
        <w:ind w:left="0" w:firstLine="402"/>
      </w:pPr>
      <w:rPr>
        <w:rFonts w:hint="eastAsia"/>
      </w:rPr>
    </w:lvl>
    <w:lvl w:ilvl="4" w:tentative="0">
      <w:start w:val="1"/>
      <w:numFmt w:val="decimalEnclosedCircleChinese"/>
      <w:suff w:val="nothing"/>
      <w:lvlText w:val="%5 "/>
      <w:lvlJc w:val="left"/>
      <w:pPr>
        <w:ind w:left="0" w:firstLine="402"/>
      </w:pPr>
      <w:rPr>
        <w:rFonts w:hint="eastAsia"/>
      </w:rPr>
    </w:lvl>
    <w:lvl w:ilvl="5" w:tentative="0">
      <w:start w:val="1"/>
      <w:numFmt w:val="decimal"/>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
      <w:lvlJc w:val="left"/>
      <w:pPr>
        <w:ind w:left="0" w:firstLine="402"/>
      </w:pPr>
      <w:rPr>
        <w:rFonts w:hint="eastAsia"/>
      </w:rPr>
    </w:lvl>
  </w:abstractNum>
  <w:abstractNum w:abstractNumId="20">
    <w:nsid w:val="5185DE7C"/>
    <w:multiLevelType w:val="multilevel"/>
    <w:tmpl w:val="5185DE7C"/>
    <w:lvl w:ilvl="0" w:tentative="0">
      <w:start w:val="1"/>
      <w:numFmt w:val="upperLetter"/>
      <w:lvlText w:val="%1"/>
      <w:lvlJc w:val="left"/>
      <w:pPr>
        <w:tabs>
          <w:tab w:val="left" w:pos="0"/>
        </w:tabs>
        <w:ind w:left="0" w:leftChars="0" w:firstLine="0" w:firstLineChars="0"/>
      </w:pPr>
      <w:rPr>
        <w:rFonts w:hint="default"/>
      </w:rPr>
    </w:lvl>
    <w:lvl w:ilvl="1" w:tentative="0">
      <w:start w:val="1"/>
      <w:numFmt w:val="decimal"/>
      <w:suff w:val="nothing"/>
      <w:lvlText w:val="表%1.%2　"/>
      <w:lvlJc w:val="left"/>
      <w:pPr>
        <w:ind w:left="0" w:leftChars="0" w:firstLine="0" w:firstLineChars="0"/>
      </w:pPr>
      <w:rPr>
        <w:rFonts w:hint="default"/>
      </w:rPr>
    </w:lvl>
    <w:lvl w:ilvl="2" w:tentative="0">
      <w:start w:val="1"/>
      <w:numFmt w:val="decimal"/>
      <w:lvlText w:val="%1.%2.%3."/>
      <w:lvlJc w:val="left"/>
      <w:pPr>
        <w:ind w:left="1508" w:hanging="708"/>
      </w:pPr>
      <w:rPr>
        <w:rFonts w:hint="default"/>
      </w:rPr>
    </w:lvl>
    <w:lvl w:ilvl="3" w:tentative="0">
      <w:start w:val="1"/>
      <w:numFmt w:val="decimal"/>
      <w:lvlText w:val="%1.%2.%3.%4."/>
      <w:lvlJc w:val="left"/>
      <w:pPr>
        <w:ind w:left="2053" w:hanging="853"/>
      </w:pPr>
      <w:rPr>
        <w:rFonts w:hint="default"/>
      </w:rPr>
    </w:lvl>
    <w:lvl w:ilvl="4" w:tentative="0">
      <w:start w:val="1"/>
      <w:numFmt w:val="decimal"/>
      <w:lvlText w:val="%1.%2.%3.%4.%5."/>
      <w:lvlJc w:val="left"/>
      <w:pPr>
        <w:ind w:left="2495" w:hanging="895"/>
      </w:pPr>
      <w:rPr>
        <w:rFonts w:hint="default"/>
      </w:rPr>
    </w:lvl>
    <w:lvl w:ilvl="5" w:tentative="0">
      <w:start w:val="1"/>
      <w:numFmt w:val="decimal"/>
      <w:lvlText w:val="%1.%2.%3.%4.%5.%6."/>
      <w:lvlJc w:val="left"/>
      <w:pPr>
        <w:ind w:left="3136" w:hanging="1136"/>
      </w:pPr>
      <w:rPr>
        <w:rFonts w:hint="default"/>
      </w:rPr>
    </w:lvl>
    <w:lvl w:ilvl="6" w:tentative="0">
      <w:start w:val="1"/>
      <w:numFmt w:val="decimal"/>
      <w:lvlText w:val="%1.%2.%3.%4.%5.%6.%7."/>
      <w:lvlJc w:val="left"/>
      <w:pPr>
        <w:ind w:left="3673" w:hanging="1273"/>
      </w:pPr>
      <w:rPr>
        <w:rFonts w:hint="default"/>
      </w:rPr>
    </w:lvl>
    <w:lvl w:ilvl="7" w:tentative="0">
      <w:start w:val="1"/>
      <w:numFmt w:val="decimal"/>
      <w:lvlText w:val="%1.%2.%3.%4.%5.%6.%7.%8."/>
      <w:lvlJc w:val="left"/>
      <w:pPr>
        <w:ind w:left="4218" w:hanging="1418"/>
      </w:pPr>
      <w:rPr>
        <w:rFonts w:hint="default"/>
      </w:rPr>
    </w:lvl>
    <w:lvl w:ilvl="8" w:tentative="0">
      <w:start w:val="1"/>
      <w:numFmt w:val="decimal"/>
      <w:lvlText w:val="%1.%2.%3.%4.%5.%6.%7.%8.%9."/>
      <w:lvlJc w:val="left"/>
      <w:pPr>
        <w:ind w:left="4648" w:hanging="1448"/>
      </w:pPr>
      <w:rPr>
        <w:rFonts w:hint="default"/>
      </w:rPr>
    </w:lvl>
  </w:abstractNum>
  <w:abstractNum w:abstractNumId="21">
    <w:nsid w:val="573BA45F"/>
    <w:multiLevelType w:val="multilevel"/>
    <w:tmpl w:val="573BA45F"/>
    <w:lvl w:ilvl="0" w:tentative="0">
      <w:start w:val="1"/>
      <w:numFmt w:val="lowerLetter"/>
      <w:lvlText w:val="%1)"/>
      <w:lvlJc w:val="left"/>
      <w:pPr>
        <w:tabs>
          <w:tab w:val="left" w:pos="851"/>
        </w:tabs>
        <w:ind w:left="851" w:leftChars="0" w:hanging="426" w:firstLineChars="0"/>
      </w:pPr>
      <w:rPr>
        <w:rFonts w:hint="default" w:ascii="宋体" w:hAnsi="宋体" w:eastAsia="宋体" w:cs="宋体"/>
        <w:sz w:val="20"/>
      </w:rPr>
    </w:lvl>
    <w:lvl w:ilvl="1" w:tentative="0">
      <w:start w:val="1"/>
      <w:numFmt w:val="decimal"/>
      <w:lvlText w:val="%2)"/>
      <w:lvlJc w:val="left"/>
      <w:pPr>
        <w:tabs>
          <w:tab w:val="left" w:pos="1276"/>
        </w:tabs>
        <w:ind w:left="1276" w:leftChars="0" w:hanging="425" w:firstLineChars="0"/>
      </w:pPr>
      <w:rPr>
        <w:rFonts w:hint="default" w:ascii="宋体" w:hAnsi="Times New Roman" w:eastAsia="宋体" w:cs="Times New Roman"/>
        <w:sz w:val="21"/>
      </w:rPr>
    </w:lvl>
    <w:lvl w:ilvl="2" w:tentative="0">
      <w:start w:val="1"/>
      <w:numFmt w:val="bullet"/>
      <w:lvlText w:val=""/>
      <w:lvlJc w:val="left"/>
      <w:pPr>
        <w:tabs>
          <w:tab w:val="left" w:pos="1678"/>
        </w:tabs>
        <w:ind w:left="1678" w:leftChars="0" w:hanging="414" w:firstLineChars="0"/>
      </w:pPr>
      <w:rPr>
        <w:rFonts w:hint="default" w:ascii="Symbol" w:hAnsi="Symbol" w:cs="Symbol"/>
      </w:rPr>
    </w:lvl>
    <w:lvl w:ilvl="3" w:tentative="0">
      <w:start w:val="1"/>
      <w:numFmt w:val="decimalEnclosedCircleChinese"/>
      <w:suff w:val="nothing"/>
      <w:lvlText w:val="%4 "/>
      <w:lvlJc w:val="left"/>
      <w:pPr>
        <w:ind w:left="0" w:firstLine="402"/>
      </w:pPr>
      <w:rPr>
        <w:rFonts w:hint="eastAsia"/>
      </w:rPr>
    </w:lvl>
    <w:lvl w:ilvl="4" w:tentative="0">
      <w:start w:val="1"/>
      <w:numFmt w:val="decimal"/>
      <w:suff w:val="nothing"/>
      <w:lvlText w:val="%5）"/>
      <w:lvlJc w:val="left"/>
      <w:pPr>
        <w:ind w:left="0" w:firstLine="402"/>
      </w:pPr>
      <w:rPr>
        <w:rFonts w:hint="eastAsia"/>
      </w:rPr>
    </w:lvl>
    <w:lvl w:ilvl="5" w:tentative="0">
      <w:start w:val="1"/>
      <w:numFmt w:val="upperLetter"/>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w:lvlJc w:val="left"/>
      <w:pPr>
        <w:ind w:left="0" w:firstLine="402"/>
      </w:pPr>
      <w:rPr>
        <w:rFonts w:hint="eastAsia"/>
      </w:rPr>
    </w:lvl>
  </w:abstractNum>
  <w:abstractNum w:abstractNumId="22">
    <w:nsid w:val="5964C129"/>
    <w:multiLevelType w:val="multilevel"/>
    <w:tmpl w:val="5964C129"/>
    <w:lvl w:ilvl="0" w:tentative="0">
      <w:start w:val="1"/>
      <w:numFmt w:val="lowerLetter"/>
      <w:lvlText w:val="%1)"/>
      <w:lvlJc w:val="left"/>
      <w:pPr>
        <w:tabs>
          <w:tab w:val="left" w:pos="851"/>
        </w:tabs>
        <w:ind w:left="851" w:leftChars="0" w:hanging="426" w:firstLineChars="0"/>
      </w:pPr>
      <w:rPr>
        <w:rFonts w:hint="default" w:ascii="宋体" w:hAnsi="宋体" w:eastAsia="宋体" w:cs="宋体"/>
        <w:sz w:val="20"/>
      </w:rPr>
    </w:lvl>
    <w:lvl w:ilvl="1" w:tentative="0">
      <w:start w:val="1"/>
      <w:numFmt w:val="decimal"/>
      <w:lvlText w:val="%2)"/>
      <w:lvlJc w:val="left"/>
      <w:pPr>
        <w:tabs>
          <w:tab w:val="left" w:pos="1276"/>
        </w:tabs>
        <w:ind w:left="1276" w:leftChars="0" w:hanging="425" w:firstLineChars="0"/>
      </w:pPr>
      <w:rPr>
        <w:rFonts w:hint="default" w:ascii="宋体" w:hAnsi="Times New Roman" w:eastAsia="宋体" w:cs="Times New Roman"/>
        <w:sz w:val="21"/>
      </w:rPr>
    </w:lvl>
    <w:lvl w:ilvl="2" w:tentative="0">
      <w:start w:val="1"/>
      <w:numFmt w:val="bullet"/>
      <w:lvlText w:val=""/>
      <w:lvlJc w:val="left"/>
      <w:pPr>
        <w:tabs>
          <w:tab w:val="left" w:pos="1678"/>
        </w:tabs>
        <w:ind w:left="1678" w:leftChars="0" w:hanging="414" w:firstLineChars="0"/>
      </w:pPr>
      <w:rPr>
        <w:rFonts w:hint="default" w:ascii="Symbol" w:hAnsi="Symbol" w:cs="Symbol"/>
      </w:rPr>
    </w:lvl>
    <w:lvl w:ilvl="3" w:tentative="0">
      <w:start w:val="1"/>
      <w:numFmt w:val="decimalEnclosedCircleChinese"/>
      <w:suff w:val="nothing"/>
      <w:lvlText w:val="%4 "/>
      <w:lvlJc w:val="left"/>
      <w:pPr>
        <w:ind w:left="0" w:firstLine="402"/>
      </w:pPr>
      <w:rPr>
        <w:rFonts w:hint="eastAsia"/>
      </w:rPr>
    </w:lvl>
    <w:lvl w:ilvl="4" w:tentative="0">
      <w:start w:val="1"/>
      <w:numFmt w:val="decimal"/>
      <w:suff w:val="nothing"/>
      <w:lvlText w:val="%5）"/>
      <w:lvlJc w:val="left"/>
      <w:pPr>
        <w:ind w:left="0" w:firstLine="402"/>
      </w:pPr>
      <w:rPr>
        <w:rFonts w:hint="eastAsia"/>
      </w:rPr>
    </w:lvl>
    <w:lvl w:ilvl="5" w:tentative="0">
      <w:start w:val="1"/>
      <w:numFmt w:val="upperLetter"/>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w:lvlJc w:val="left"/>
      <w:pPr>
        <w:ind w:left="0" w:firstLine="402"/>
      </w:pPr>
      <w:rPr>
        <w:rFonts w:hint="eastAsia"/>
      </w:rPr>
    </w:lvl>
  </w:abstractNum>
  <w:abstractNum w:abstractNumId="23">
    <w:nsid w:val="61815F2C"/>
    <w:multiLevelType w:val="multilevel"/>
    <w:tmpl w:val="61815F2C"/>
    <w:lvl w:ilvl="0" w:tentative="0">
      <w:start w:val="1"/>
      <w:numFmt w:val="lowerLetter"/>
      <w:lvlText w:val="%1)"/>
      <w:lvlJc w:val="left"/>
      <w:pPr>
        <w:tabs>
          <w:tab w:val="left" w:pos="851"/>
        </w:tabs>
        <w:ind w:left="851" w:leftChars="0" w:hanging="426" w:firstLineChars="0"/>
      </w:pPr>
      <w:rPr>
        <w:rFonts w:hint="default" w:ascii="宋体" w:hAnsi="宋体" w:eastAsia="宋体" w:cs="宋体"/>
        <w:sz w:val="20"/>
      </w:rPr>
    </w:lvl>
    <w:lvl w:ilvl="1" w:tentative="0">
      <w:start w:val="1"/>
      <w:numFmt w:val="decimal"/>
      <w:lvlText w:val="%2)"/>
      <w:lvlJc w:val="left"/>
      <w:pPr>
        <w:tabs>
          <w:tab w:val="left" w:pos="1276"/>
        </w:tabs>
        <w:ind w:left="1276" w:leftChars="0" w:hanging="425" w:firstLineChars="0"/>
      </w:pPr>
      <w:rPr>
        <w:rFonts w:hint="default" w:ascii="宋体" w:hAnsi="Times New Roman" w:eastAsia="宋体" w:cs="Times New Roman"/>
        <w:sz w:val="21"/>
      </w:rPr>
    </w:lvl>
    <w:lvl w:ilvl="2" w:tentative="0">
      <w:start w:val="1"/>
      <w:numFmt w:val="bullet"/>
      <w:lvlText w:val=""/>
      <w:lvlJc w:val="left"/>
      <w:pPr>
        <w:tabs>
          <w:tab w:val="left" w:pos="1678"/>
        </w:tabs>
        <w:ind w:left="1678" w:leftChars="0" w:hanging="414" w:firstLineChars="0"/>
      </w:pPr>
      <w:rPr>
        <w:rFonts w:hint="default" w:ascii="Symbol" w:hAnsi="Symbol" w:cs="Symbol"/>
      </w:rPr>
    </w:lvl>
    <w:lvl w:ilvl="3" w:tentative="0">
      <w:start w:val="1"/>
      <w:numFmt w:val="decimalEnclosedCircleChinese"/>
      <w:suff w:val="nothing"/>
      <w:lvlText w:val="%4 "/>
      <w:lvlJc w:val="left"/>
      <w:pPr>
        <w:ind w:left="0" w:firstLine="402"/>
      </w:pPr>
      <w:rPr>
        <w:rFonts w:hint="eastAsia"/>
      </w:rPr>
    </w:lvl>
    <w:lvl w:ilvl="4" w:tentative="0">
      <w:start w:val="1"/>
      <w:numFmt w:val="decimal"/>
      <w:suff w:val="nothing"/>
      <w:lvlText w:val="%5）"/>
      <w:lvlJc w:val="left"/>
      <w:pPr>
        <w:ind w:left="0" w:firstLine="402"/>
      </w:pPr>
      <w:rPr>
        <w:rFonts w:hint="eastAsia"/>
      </w:rPr>
    </w:lvl>
    <w:lvl w:ilvl="5" w:tentative="0">
      <w:start w:val="1"/>
      <w:numFmt w:val="upperLetter"/>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w:lvlJc w:val="left"/>
      <w:pPr>
        <w:ind w:left="0" w:firstLine="402"/>
      </w:pPr>
      <w:rPr>
        <w:rFonts w:hint="eastAsia"/>
      </w:rPr>
    </w:lvl>
  </w:abstractNum>
  <w:abstractNum w:abstractNumId="24">
    <w:nsid w:val="72407571"/>
    <w:multiLevelType w:val="multilevel"/>
    <w:tmpl w:val="72407571"/>
    <w:lvl w:ilvl="0" w:tentative="0">
      <w:start w:val="1"/>
      <w:numFmt w:val="none"/>
      <w:pStyle w:val="125"/>
      <w:suff w:val="nothing"/>
      <w:lvlText w:val="注："/>
      <w:lvlJc w:val="left"/>
      <w:pPr>
        <w:tabs>
          <w:tab w:val="left" w:pos="539"/>
        </w:tabs>
        <w:ind w:left="737" w:leftChars="0" w:hanging="374" w:firstLineChars="0"/>
      </w:pPr>
      <w:rPr>
        <w:rFonts w:hint="eastAsia" w:ascii="黑体" w:hAnsi="黑体" w:eastAsia="黑体" w:cs="黑体"/>
        <w:sz w:val="18"/>
        <w:vertAlign w:val="baseline"/>
      </w:rPr>
    </w:lvl>
    <w:lvl w:ilvl="1" w:tentative="0">
      <w:start w:val="1"/>
      <w:numFmt w:val="chineseCounting"/>
      <w:suff w:val="nothing"/>
      <w:lvlText w:val="%2、"/>
      <w:lvlJc w:val="left"/>
      <w:pPr>
        <w:ind w:left="0" w:firstLine="402"/>
      </w:pPr>
      <w:rPr>
        <w:rFonts w:hint="eastAsia"/>
      </w:rPr>
    </w:lvl>
    <w:lvl w:ilvl="2" w:tentative="0">
      <w:start w:val="1"/>
      <w:numFmt w:val="decimal"/>
      <w:suff w:val="nothing"/>
      <w:lvlText w:val="%3．"/>
      <w:lvlJc w:val="left"/>
      <w:pPr>
        <w:ind w:left="0" w:firstLine="402"/>
      </w:pPr>
      <w:rPr>
        <w:rFonts w:hint="eastAsia"/>
      </w:rPr>
    </w:lvl>
    <w:lvl w:ilvl="3" w:tentative="0">
      <w:start w:val="1"/>
      <w:numFmt w:val="decimal"/>
      <w:suff w:val="nothing"/>
      <w:lvlText w:val="（%4）"/>
      <w:lvlJc w:val="left"/>
      <w:pPr>
        <w:ind w:left="0" w:firstLine="402"/>
      </w:pPr>
      <w:rPr>
        <w:rFonts w:hint="eastAsia"/>
      </w:rPr>
    </w:lvl>
    <w:lvl w:ilvl="4" w:tentative="0">
      <w:start w:val="1"/>
      <w:numFmt w:val="decimalEnclosedCircleChinese"/>
      <w:suff w:val="nothing"/>
      <w:lvlText w:val="%5 "/>
      <w:lvlJc w:val="left"/>
      <w:pPr>
        <w:ind w:left="0" w:firstLine="402"/>
      </w:pPr>
      <w:rPr>
        <w:rFonts w:hint="eastAsia"/>
      </w:rPr>
    </w:lvl>
    <w:lvl w:ilvl="5" w:tentative="0">
      <w:start w:val="1"/>
      <w:numFmt w:val="decimal"/>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
      <w:lvlJc w:val="left"/>
      <w:pPr>
        <w:ind w:left="0" w:firstLine="402"/>
      </w:pPr>
      <w:rPr>
        <w:rFonts w:hint="eastAsia"/>
      </w:rPr>
    </w:lvl>
  </w:abstractNum>
  <w:abstractNum w:abstractNumId="25">
    <w:nsid w:val="744F213D"/>
    <w:multiLevelType w:val="multilevel"/>
    <w:tmpl w:val="744F213D"/>
    <w:lvl w:ilvl="0" w:tentative="0">
      <w:start w:val="1"/>
      <w:numFmt w:val="decimal"/>
      <w:pStyle w:val="138"/>
      <w:suff w:val="nothing"/>
      <w:lvlText w:val="[%1]  "/>
      <w:lvlJc w:val="left"/>
      <w:pPr>
        <w:ind w:left="0" w:leftChars="0" w:firstLine="363" w:firstLineChars="0"/>
      </w:pPr>
      <w:rPr>
        <w:rFonts w:hint="eastAsia" w:ascii="黑体" w:hAnsi="黑体" w:eastAsia="黑体" w:cs="黑体"/>
        <w:sz w:val="18"/>
      </w:rPr>
    </w:lvl>
    <w:lvl w:ilvl="1" w:tentative="0">
      <w:start w:val="1"/>
      <w:numFmt w:val="chineseCounting"/>
      <w:suff w:val="nothing"/>
      <w:lvlText w:val="第%2节　"/>
      <w:lvlJc w:val="left"/>
      <w:pPr>
        <w:ind w:left="0" w:firstLine="402"/>
      </w:pPr>
      <w:rPr>
        <w:rFonts w:hint="eastAsia"/>
      </w:rPr>
    </w:lvl>
    <w:lvl w:ilvl="2" w:tentative="0">
      <w:start w:val="1"/>
      <w:numFmt w:val="chineseCounting"/>
      <w:suff w:val="nothing"/>
      <w:lvlText w:val="第%3条　"/>
      <w:lvlJc w:val="left"/>
      <w:pPr>
        <w:ind w:left="0" w:firstLine="402"/>
      </w:pPr>
      <w:rPr>
        <w:rFonts w:hint="eastAsia"/>
      </w:rPr>
    </w:lvl>
    <w:lvl w:ilvl="3" w:tentative="0">
      <w:start w:val="1"/>
      <w:numFmt w:val="chineseCounting"/>
      <w:suff w:val="nothing"/>
      <w:lvlText w:val="（%4）"/>
      <w:lvlJc w:val="left"/>
      <w:pPr>
        <w:ind w:left="0" w:firstLine="402"/>
      </w:pPr>
      <w:rPr>
        <w:rFonts w:hint="eastAsia"/>
      </w:rPr>
    </w:lvl>
    <w:lvl w:ilvl="4" w:tentative="0">
      <w:start w:val="1"/>
      <w:numFmt w:val="decimal"/>
      <w:suff w:val="nothing"/>
      <w:lvlText w:val="%5．"/>
      <w:lvlJc w:val="left"/>
      <w:pPr>
        <w:ind w:left="0" w:firstLine="402"/>
      </w:pPr>
      <w:rPr>
        <w:rFonts w:hint="eastAsia"/>
      </w:rPr>
    </w:lvl>
    <w:lvl w:ilvl="5" w:tentative="0">
      <w:start w:val="1"/>
      <w:numFmt w:val="decimal"/>
      <w:suff w:val="nothing"/>
      <w:lvlText w:val="（%6）"/>
      <w:lvlJc w:val="left"/>
      <w:pPr>
        <w:ind w:left="0" w:firstLine="402"/>
      </w:pPr>
      <w:rPr>
        <w:rFonts w:hint="eastAsia"/>
      </w:rPr>
    </w:lvl>
    <w:lvl w:ilvl="6" w:tentative="0">
      <w:start w:val="1"/>
      <w:numFmt w:val="decimalEnclosedCircleChinese"/>
      <w:suff w:val="nothing"/>
      <w:lvlText w:val="%7 "/>
      <w:lvlJc w:val="left"/>
      <w:pPr>
        <w:ind w:left="0" w:firstLine="402"/>
      </w:pPr>
      <w:rPr>
        <w:rFonts w:hint="eastAsia"/>
      </w:rPr>
    </w:lvl>
    <w:lvl w:ilvl="7" w:tentative="0">
      <w:start w:val="1"/>
      <w:numFmt w:val="decimal"/>
      <w:suff w:val="nothing"/>
      <w:lvlText w:val="%8）"/>
      <w:lvlJc w:val="left"/>
      <w:pPr>
        <w:ind w:left="0" w:firstLine="402"/>
      </w:pPr>
      <w:rPr>
        <w:rFonts w:hint="eastAsia"/>
      </w:rPr>
    </w:lvl>
    <w:lvl w:ilvl="8" w:tentative="0">
      <w:start w:val="1"/>
      <w:numFmt w:val="lowerLetter"/>
      <w:suff w:val="nothing"/>
      <w:lvlText w:val="%9．"/>
      <w:lvlJc w:val="left"/>
      <w:pPr>
        <w:ind w:left="0" w:firstLine="402"/>
      </w:pPr>
      <w:rPr>
        <w:rFonts w:hint="eastAsia"/>
      </w:rPr>
    </w:lvl>
  </w:abstractNum>
  <w:num w:numId="1">
    <w:abstractNumId w:val="14"/>
  </w:num>
  <w:num w:numId="2">
    <w:abstractNumId w:val="15"/>
  </w:num>
  <w:num w:numId="3">
    <w:abstractNumId w:val="7"/>
  </w:num>
  <w:num w:numId="4">
    <w:abstractNumId w:val="8"/>
  </w:num>
  <w:num w:numId="5">
    <w:abstractNumId w:val="18"/>
  </w:num>
  <w:num w:numId="6">
    <w:abstractNumId w:val="12"/>
  </w:num>
  <w:num w:numId="7">
    <w:abstractNumId w:val="5"/>
  </w:num>
  <w:num w:numId="8">
    <w:abstractNumId w:val="4"/>
  </w:num>
  <w:num w:numId="9">
    <w:abstractNumId w:val="16"/>
  </w:num>
  <w:num w:numId="10">
    <w:abstractNumId w:val="13"/>
  </w:num>
  <w:num w:numId="11">
    <w:abstractNumId w:val="3"/>
  </w:num>
  <w:num w:numId="12">
    <w:abstractNumId w:val="24"/>
  </w:num>
  <w:num w:numId="13">
    <w:abstractNumId w:val="10"/>
  </w:num>
  <w:num w:numId="14">
    <w:abstractNumId w:val="0"/>
  </w:num>
  <w:num w:numId="15">
    <w:abstractNumId w:val="19"/>
  </w:num>
  <w:num w:numId="16">
    <w:abstractNumId w:val="11"/>
  </w:num>
  <w:num w:numId="17">
    <w:abstractNumId w:val="25"/>
  </w:num>
  <w:num w:numId="1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num>
  <w:num w:numId="24">
    <w:abstractNumId w:val="9"/>
  </w:num>
  <w:num w:numId="25">
    <w:abstractNumId w:val="6"/>
  </w:num>
  <w:num w:numId="26">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hiMjFhNjIyYzE0ZWNjMWI5NjJlODEyYTM4NmRiY2EifQ=="/>
  </w:docVars>
  <w:rsids>
    <w:rsidRoot w:val="00172A27"/>
    <w:rsid w:val="00000163"/>
    <w:rsid w:val="00000231"/>
    <w:rsid w:val="00000C87"/>
    <w:rsid w:val="0000138C"/>
    <w:rsid w:val="0000279F"/>
    <w:rsid w:val="000034E1"/>
    <w:rsid w:val="00003B01"/>
    <w:rsid w:val="00003BFB"/>
    <w:rsid w:val="00004800"/>
    <w:rsid w:val="00004DD3"/>
    <w:rsid w:val="0000517D"/>
    <w:rsid w:val="000054BE"/>
    <w:rsid w:val="00006FF0"/>
    <w:rsid w:val="00007B66"/>
    <w:rsid w:val="000104A4"/>
    <w:rsid w:val="000120F6"/>
    <w:rsid w:val="00013ACE"/>
    <w:rsid w:val="00014770"/>
    <w:rsid w:val="000149D1"/>
    <w:rsid w:val="00015742"/>
    <w:rsid w:val="00015BDB"/>
    <w:rsid w:val="00015E47"/>
    <w:rsid w:val="00016CA5"/>
    <w:rsid w:val="00017680"/>
    <w:rsid w:val="00021750"/>
    <w:rsid w:val="00021AC5"/>
    <w:rsid w:val="00022C2C"/>
    <w:rsid w:val="00025E66"/>
    <w:rsid w:val="00030991"/>
    <w:rsid w:val="0003328E"/>
    <w:rsid w:val="00041ED0"/>
    <w:rsid w:val="00042AE5"/>
    <w:rsid w:val="0004529D"/>
    <w:rsid w:val="00045AAE"/>
    <w:rsid w:val="000463B3"/>
    <w:rsid w:val="00047141"/>
    <w:rsid w:val="00047624"/>
    <w:rsid w:val="00052775"/>
    <w:rsid w:val="00055E9C"/>
    <w:rsid w:val="00056C55"/>
    <w:rsid w:val="0005793D"/>
    <w:rsid w:val="00060372"/>
    <w:rsid w:val="000618D0"/>
    <w:rsid w:val="000627D6"/>
    <w:rsid w:val="00062B5F"/>
    <w:rsid w:val="00064753"/>
    <w:rsid w:val="0006591B"/>
    <w:rsid w:val="00066B77"/>
    <w:rsid w:val="00066E29"/>
    <w:rsid w:val="00067008"/>
    <w:rsid w:val="00070E65"/>
    <w:rsid w:val="000713DE"/>
    <w:rsid w:val="000718FB"/>
    <w:rsid w:val="0007412D"/>
    <w:rsid w:val="00076D30"/>
    <w:rsid w:val="00077457"/>
    <w:rsid w:val="00080108"/>
    <w:rsid w:val="000801FA"/>
    <w:rsid w:val="00083715"/>
    <w:rsid w:val="00083D04"/>
    <w:rsid w:val="00084C54"/>
    <w:rsid w:val="00084CA8"/>
    <w:rsid w:val="00085152"/>
    <w:rsid w:val="00086F90"/>
    <w:rsid w:val="00086FA6"/>
    <w:rsid w:val="00087B23"/>
    <w:rsid w:val="00090D15"/>
    <w:rsid w:val="000916A9"/>
    <w:rsid w:val="00092826"/>
    <w:rsid w:val="00094DA5"/>
    <w:rsid w:val="0009634F"/>
    <w:rsid w:val="00096841"/>
    <w:rsid w:val="000972D1"/>
    <w:rsid w:val="00097914"/>
    <w:rsid w:val="000A5150"/>
    <w:rsid w:val="000A6328"/>
    <w:rsid w:val="000A65D8"/>
    <w:rsid w:val="000A67CD"/>
    <w:rsid w:val="000A7257"/>
    <w:rsid w:val="000A7693"/>
    <w:rsid w:val="000A7FCF"/>
    <w:rsid w:val="000B09A4"/>
    <w:rsid w:val="000B151D"/>
    <w:rsid w:val="000B2AA1"/>
    <w:rsid w:val="000C2BA6"/>
    <w:rsid w:val="000C3862"/>
    <w:rsid w:val="000C49BE"/>
    <w:rsid w:val="000C5845"/>
    <w:rsid w:val="000C594D"/>
    <w:rsid w:val="000C5AD9"/>
    <w:rsid w:val="000C5C1F"/>
    <w:rsid w:val="000C61BA"/>
    <w:rsid w:val="000D26CA"/>
    <w:rsid w:val="000D440D"/>
    <w:rsid w:val="000E15E9"/>
    <w:rsid w:val="000E2BF5"/>
    <w:rsid w:val="000E30E4"/>
    <w:rsid w:val="000E412E"/>
    <w:rsid w:val="000E71DD"/>
    <w:rsid w:val="000E7EDC"/>
    <w:rsid w:val="000F257D"/>
    <w:rsid w:val="000F28B2"/>
    <w:rsid w:val="000F3830"/>
    <w:rsid w:val="000F3EF1"/>
    <w:rsid w:val="00101E25"/>
    <w:rsid w:val="0010520E"/>
    <w:rsid w:val="00105E2C"/>
    <w:rsid w:val="00106EFB"/>
    <w:rsid w:val="0010756F"/>
    <w:rsid w:val="0011093D"/>
    <w:rsid w:val="001110F9"/>
    <w:rsid w:val="00116980"/>
    <w:rsid w:val="0012058B"/>
    <w:rsid w:val="0012286F"/>
    <w:rsid w:val="001242D6"/>
    <w:rsid w:val="0012525D"/>
    <w:rsid w:val="00131295"/>
    <w:rsid w:val="00131E65"/>
    <w:rsid w:val="00133FD6"/>
    <w:rsid w:val="00134D25"/>
    <w:rsid w:val="00136E22"/>
    <w:rsid w:val="001374D1"/>
    <w:rsid w:val="00140849"/>
    <w:rsid w:val="001409AF"/>
    <w:rsid w:val="00141682"/>
    <w:rsid w:val="001425E6"/>
    <w:rsid w:val="00146728"/>
    <w:rsid w:val="00147752"/>
    <w:rsid w:val="00151255"/>
    <w:rsid w:val="00153BDC"/>
    <w:rsid w:val="00161101"/>
    <w:rsid w:val="00165803"/>
    <w:rsid w:val="0016586C"/>
    <w:rsid w:val="001659DD"/>
    <w:rsid w:val="00170FCC"/>
    <w:rsid w:val="001720AE"/>
    <w:rsid w:val="00177984"/>
    <w:rsid w:val="00180EA4"/>
    <w:rsid w:val="001812C5"/>
    <w:rsid w:val="00181D29"/>
    <w:rsid w:val="00182A72"/>
    <w:rsid w:val="00183DB2"/>
    <w:rsid w:val="0018478C"/>
    <w:rsid w:val="001851A4"/>
    <w:rsid w:val="001861C8"/>
    <w:rsid w:val="0019074A"/>
    <w:rsid w:val="00191646"/>
    <w:rsid w:val="001924C5"/>
    <w:rsid w:val="0019284F"/>
    <w:rsid w:val="00193789"/>
    <w:rsid w:val="00194520"/>
    <w:rsid w:val="00194C08"/>
    <w:rsid w:val="00194DCF"/>
    <w:rsid w:val="00195A82"/>
    <w:rsid w:val="001966B9"/>
    <w:rsid w:val="00197598"/>
    <w:rsid w:val="001A0AAB"/>
    <w:rsid w:val="001A459A"/>
    <w:rsid w:val="001A6566"/>
    <w:rsid w:val="001A7BC8"/>
    <w:rsid w:val="001B2B91"/>
    <w:rsid w:val="001B2D3A"/>
    <w:rsid w:val="001B3ABA"/>
    <w:rsid w:val="001B4D91"/>
    <w:rsid w:val="001B67CB"/>
    <w:rsid w:val="001C329C"/>
    <w:rsid w:val="001C3876"/>
    <w:rsid w:val="001C52C1"/>
    <w:rsid w:val="001D0614"/>
    <w:rsid w:val="001D3065"/>
    <w:rsid w:val="001D34B9"/>
    <w:rsid w:val="001D3E8B"/>
    <w:rsid w:val="001D4701"/>
    <w:rsid w:val="001D4DB9"/>
    <w:rsid w:val="001D5F20"/>
    <w:rsid w:val="001D7113"/>
    <w:rsid w:val="001D779B"/>
    <w:rsid w:val="001E02CB"/>
    <w:rsid w:val="001E0654"/>
    <w:rsid w:val="001E0BD5"/>
    <w:rsid w:val="001E1669"/>
    <w:rsid w:val="001E37CB"/>
    <w:rsid w:val="001E4380"/>
    <w:rsid w:val="001E44BE"/>
    <w:rsid w:val="001E464C"/>
    <w:rsid w:val="001E6BDC"/>
    <w:rsid w:val="001E7545"/>
    <w:rsid w:val="001F0404"/>
    <w:rsid w:val="001F08C7"/>
    <w:rsid w:val="001F0BF3"/>
    <w:rsid w:val="001F0C50"/>
    <w:rsid w:val="001F10DA"/>
    <w:rsid w:val="001F1E68"/>
    <w:rsid w:val="001F3ED1"/>
    <w:rsid w:val="001F4AB8"/>
    <w:rsid w:val="001F55F4"/>
    <w:rsid w:val="001F7273"/>
    <w:rsid w:val="00201D79"/>
    <w:rsid w:val="0020225D"/>
    <w:rsid w:val="00202BD9"/>
    <w:rsid w:val="00207BCD"/>
    <w:rsid w:val="0021041F"/>
    <w:rsid w:val="00211091"/>
    <w:rsid w:val="00211C6A"/>
    <w:rsid w:val="00213E13"/>
    <w:rsid w:val="00214CFB"/>
    <w:rsid w:val="00216651"/>
    <w:rsid w:val="0021723D"/>
    <w:rsid w:val="00223CC8"/>
    <w:rsid w:val="00227144"/>
    <w:rsid w:val="0023002B"/>
    <w:rsid w:val="002321C5"/>
    <w:rsid w:val="00232ECE"/>
    <w:rsid w:val="0023304A"/>
    <w:rsid w:val="002334C1"/>
    <w:rsid w:val="00233664"/>
    <w:rsid w:val="00234167"/>
    <w:rsid w:val="00235032"/>
    <w:rsid w:val="0023632E"/>
    <w:rsid w:val="00240CBD"/>
    <w:rsid w:val="00240FBF"/>
    <w:rsid w:val="00241068"/>
    <w:rsid w:val="00243190"/>
    <w:rsid w:val="002431DC"/>
    <w:rsid w:val="002434DD"/>
    <w:rsid w:val="00244696"/>
    <w:rsid w:val="00246004"/>
    <w:rsid w:val="0024712C"/>
    <w:rsid w:val="00247974"/>
    <w:rsid w:val="0025032F"/>
    <w:rsid w:val="00251F31"/>
    <w:rsid w:val="00252DCD"/>
    <w:rsid w:val="00252FCA"/>
    <w:rsid w:val="00255966"/>
    <w:rsid w:val="00257176"/>
    <w:rsid w:val="002573F2"/>
    <w:rsid w:val="0026100C"/>
    <w:rsid w:val="002619A2"/>
    <w:rsid w:val="00262052"/>
    <w:rsid w:val="00262A9D"/>
    <w:rsid w:val="0026339A"/>
    <w:rsid w:val="00270341"/>
    <w:rsid w:val="002709EE"/>
    <w:rsid w:val="00270E56"/>
    <w:rsid w:val="002721CD"/>
    <w:rsid w:val="00274ADA"/>
    <w:rsid w:val="002762D7"/>
    <w:rsid w:val="00277831"/>
    <w:rsid w:val="00277AD8"/>
    <w:rsid w:val="00277F46"/>
    <w:rsid w:val="00280BF2"/>
    <w:rsid w:val="00281554"/>
    <w:rsid w:val="00282207"/>
    <w:rsid w:val="0028455B"/>
    <w:rsid w:val="00284D61"/>
    <w:rsid w:val="002860BE"/>
    <w:rsid w:val="0029138D"/>
    <w:rsid w:val="00292BCE"/>
    <w:rsid w:val="00294649"/>
    <w:rsid w:val="002A254D"/>
    <w:rsid w:val="002A2A05"/>
    <w:rsid w:val="002A432E"/>
    <w:rsid w:val="002A6318"/>
    <w:rsid w:val="002A66DB"/>
    <w:rsid w:val="002A7B04"/>
    <w:rsid w:val="002B4408"/>
    <w:rsid w:val="002B4F75"/>
    <w:rsid w:val="002B5579"/>
    <w:rsid w:val="002B72EB"/>
    <w:rsid w:val="002B7ABB"/>
    <w:rsid w:val="002B7E53"/>
    <w:rsid w:val="002B7F05"/>
    <w:rsid w:val="002C059B"/>
    <w:rsid w:val="002C0D21"/>
    <w:rsid w:val="002C1E33"/>
    <w:rsid w:val="002C3273"/>
    <w:rsid w:val="002C36A5"/>
    <w:rsid w:val="002C6C22"/>
    <w:rsid w:val="002D04E8"/>
    <w:rsid w:val="002D0E37"/>
    <w:rsid w:val="002D1722"/>
    <w:rsid w:val="002D18C9"/>
    <w:rsid w:val="002D2CBA"/>
    <w:rsid w:val="002D4D58"/>
    <w:rsid w:val="002D6310"/>
    <w:rsid w:val="002D6A46"/>
    <w:rsid w:val="002D7ECB"/>
    <w:rsid w:val="002E0FF3"/>
    <w:rsid w:val="002E13B0"/>
    <w:rsid w:val="002E239F"/>
    <w:rsid w:val="002E29F8"/>
    <w:rsid w:val="002E2E3E"/>
    <w:rsid w:val="002E5ACE"/>
    <w:rsid w:val="002E70FB"/>
    <w:rsid w:val="002F0629"/>
    <w:rsid w:val="002F0B3C"/>
    <w:rsid w:val="002F11F8"/>
    <w:rsid w:val="002F394E"/>
    <w:rsid w:val="002F41CA"/>
    <w:rsid w:val="002F440D"/>
    <w:rsid w:val="002F50A9"/>
    <w:rsid w:val="002F53BD"/>
    <w:rsid w:val="002F5463"/>
    <w:rsid w:val="002F783F"/>
    <w:rsid w:val="003002A2"/>
    <w:rsid w:val="003018F5"/>
    <w:rsid w:val="003033B4"/>
    <w:rsid w:val="00303C2B"/>
    <w:rsid w:val="00303F0F"/>
    <w:rsid w:val="00306341"/>
    <w:rsid w:val="00306C2D"/>
    <w:rsid w:val="00307301"/>
    <w:rsid w:val="00311617"/>
    <w:rsid w:val="003129CE"/>
    <w:rsid w:val="00315361"/>
    <w:rsid w:val="003167F8"/>
    <w:rsid w:val="00316871"/>
    <w:rsid w:val="00320CFA"/>
    <w:rsid w:val="00321B6F"/>
    <w:rsid w:val="003223B1"/>
    <w:rsid w:val="00325E0E"/>
    <w:rsid w:val="0032681D"/>
    <w:rsid w:val="00326E88"/>
    <w:rsid w:val="00327A17"/>
    <w:rsid w:val="00330FA7"/>
    <w:rsid w:val="003329EB"/>
    <w:rsid w:val="00333247"/>
    <w:rsid w:val="00333596"/>
    <w:rsid w:val="00333C46"/>
    <w:rsid w:val="00334215"/>
    <w:rsid w:val="00334E50"/>
    <w:rsid w:val="00336D8A"/>
    <w:rsid w:val="00337CF4"/>
    <w:rsid w:val="00340CE4"/>
    <w:rsid w:val="003423C4"/>
    <w:rsid w:val="003438A1"/>
    <w:rsid w:val="003463A4"/>
    <w:rsid w:val="00346AF7"/>
    <w:rsid w:val="00347634"/>
    <w:rsid w:val="00351D1F"/>
    <w:rsid w:val="0035209F"/>
    <w:rsid w:val="00352B12"/>
    <w:rsid w:val="00352F1D"/>
    <w:rsid w:val="00355756"/>
    <w:rsid w:val="003558FA"/>
    <w:rsid w:val="0035615A"/>
    <w:rsid w:val="003567C6"/>
    <w:rsid w:val="00356F87"/>
    <w:rsid w:val="0035706F"/>
    <w:rsid w:val="00357263"/>
    <w:rsid w:val="00360AF1"/>
    <w:rsid w:val="00362494"/>
    <w:rsid w:val="00363E48"/>
    <w:rsid w:val="003660FD"/>
    <w:rsid w:val="003664DA"/>
    <w:rsid w:val="00366D8A"/>
    <w:rsid w:val="00366FEE"/>
    <w:rsid w:val="00370F26"/>
    <w:rsid w:val="00371641"/>
    <w:rsid w:val="003719AF"/>
    <w:rsid w:val="003721A8"/>
    <w:rsid w:val="003748C1"/>
    <w:rsid w:val="00380613"/>
    <w:rsid w:val="003808ED"/>
    <w:rsid w:val="00381282"/>
    <w:rsid w:val="00381661"/>
    <w:rsid w:val="003826F8"/>
    <w:rsid w:val="00383087"/>
    <w:rsid w:val="003850A4"/>
    <w:rsid w:val="0038535E"/>
    <w:rsid w:val="0038671D"/>
    <w:rsid w:val="003867B0"/>
    <w:rsid w:val="0039010B"/>
    <w:rsid w:val="00390436"/>
    <w:rsid w:val="0039428D"/>
    <w:rsid w:val="00395E1A"/>
    <w:rsid w:val="003A0618"/>
    <w:rsid w:val="003A1EBF"/>
    <w:rsid w:val="003A2EB8"/>
    <w:rsid w:val="003A3196"/>
    <w:rsid w:val="003A3313"/>
    <w:rsid w:val="003A4C12"/>
    <w:rsid w:val="003A4E6B"/>
    <w:rsid w:val="003A4E9E"/>
    <w:rsid w:val="003A7C08"/>
    <w:rsid w:val="003B0164"/>
    <w:rsid w:val="003B1FB3"/>
    <w:rsid w:val="003B2681"/>
    <w:rsid w:val="003B38C0"/>
    <w:rsid w:val="003B5465"/>
    <w:rsid w:val="003B5AAA"/>
    <w:rsid w:val="003B79C7"/>
    <w:rsid w:val="003C0F05"/>
    <w:rsid w:val="003C14D4"/>
    <w:rsid w:val="003C20E5"/>
    <w:rsid w:val="003C266D"/>
    <w:rsid w:val="003C2E30"/>
    <w:rsid w:val="003C34E3"/>
    <w:rsid w:val="003C3CBF"/>
    <w:rsid w:val="003C42FD"/>
    <w:rsid w:val="003C622A"/>
    <w:rsid w:val="003C7432"/>
    <w:rsid w:val="003C7E14"/>
    <w:rsid w:val="003D2749"/>
    <w:rsid w:val="003D3323"/>
    <w:rsid w:val="003D3819"/>
    <w:rsid w:val="003D3C4C"/>
    <w:rsid w:val="003D42CA"/>
    <w:rsid w:val="003D461D"/>
    <w:rsid w:val="003D6084"/>
    <w:rsid w:val="003D73C1"/>
    <w:rsid w:val="003E00A4"/>
    <w:rsid w:val="003E3082"/>
    <w:rsid w:val="003E3381"/>
    <w:rsid w:val="003E4114"/>
    <w:rsid w:val="003E455B"/>
    <w:rsid w:val="003E6362"/>
    <w:rsid w:val="003E70A3"/>
    <w:rsid w:val="003E74A3"/>
    <w:rsid w:val="003E7852"/>
    <w:rsid w:val="003F1853"/>
    <w:rsid w:val="003F2325"/>
    <w:rsid w:val="003F2A66"/>
    <w:rsid w:val="003F4485"/>
    <w:rsid w:val="00400AF6"/>
    <w:rsid w:val="00403399"/>
    <w:rsid w:val="0040342F"/>
    <w:rsid w:val="004067A5"/>
    <w:rsid w:val="004072BD"/>
    <w:rsid w:val="0041285C"/>
    <w:rsid w:val="00412DF4"/>
    <w:rsid w:val="004165BC"/>
    <w:rsid w:val="00416CF1"/>
    <w:rsid w:val="00417EE5"/>
    <w:rsid w:val="0042003A"/>
    <w:rsid w:val="004201F3"/>
    <w:rsid w:val="00421871"/>
    <w:rsid w:val="0042190D"/>
    <w:rsid w:val="00421B8D"/>
    <w:rsid w:val="00421FF3"/>
    <w:rsid w:val="00423574"/>
    <w:rsid w:val="004235E6"/>
    <w:rsid w:val="00423CD1"/>
    <w:rsid w:val="0042647D"/>
    <w:rsid w:val="00426C51"/>
    <w:rsid w:val="00430806"/>
    <w:rsid w:val="0043374C"/>
    <w:rsid w:val="004357B4"/>
    <w:rsid w:val="00437326"/>
    <w:rsid w:val="004414D5"/>
    <w:rsid w:val="004418FA"/>
    <w:rsid w:val="00442D97"/>
    <w:rsid w:val="004441EC"/>
    <w:rsid w:val="004443AF"/>
    <w:rsid w:val="00444636"/>
    <w:rsid w:val="004464D3"/>
    <w:rsid w:val="0044722D"/>
    <w:rsid w:val="00450312"/>
    <w:rsid w:val="0045062C"/>
    <w:rsid w:val="00452234"/>
    <w:rsid w:val="004535F2"/>
    <w:rsid w:val="00453D4F"/>
    <w:rsid w:val="00454193"/>
    <w:rsid w:val="00454E6D"/>
    <w:rsid w:val="00455607"/>
    <w:rsid w:val="00456FDF"/>
    <w:rsid w:val="00457286"/>
    <w:rsid w:val="00460270"/>
    <w:rsid w:val="00464678"/>
    <w:rsid w:val="0046514A"/>
    <w:rsid w:val="004662C3"/>
    <w:rsid w:val="00466E30"/>
    <w:rsid w:val="00471791"/>
    <w:rsid w:val="00472C82"/>
    <w:rsid w:val="0047409B"/>
    <w:rsid w:val="004745EC"/>
    <w:rsid w:val="00476DAB"/>
    <w:rsid w:val="00480EA5"/>
    <w:rsid w:val="00481D02"/>
    <w:rsid w:val="00482312"/>
    <w:rsid w:val="0048231A"/>
    <w:rsid w:val="00482828"/>
    <w:rsid w:val="00483CF3"/>
    <w:rsid w:val="0048419D"/>
    <w:rsid w:val="00484CE2"/>
    <w:rsid w:val="00485E3D"/>
    <w:rsid w:val="004874CB"/>
    <w:rsid w:val="00487C2C"/>
    <w:rsid w:val="004905A1"/>
    <w:rsid w:val="00491B92"/>
    <w:rsid w:val="004939C0"/>
    <w:rsid w:val="00493E01"/>
    <w:rsid w:val="00494A44"/>
    <w:rsid w:val="00494C9D"/>
    <w:rsid w:val="00496070"/>
    <w:rsid w:val="00496083"/>
    <w:rsid w:val="0049641F"/>
    <w:rsid w:val="00497B69"/>
    <w:rsid w:val="00497F94"/>
    <w:rsid w:val="004A05D6"/>
    <w:rsid w:val="004A1A41"/>
    <w:rsid w:val="004A1CAD"/>
    <w:rsid w:val="004A1EC2"/>
    <w:rsid w:val="004A25B1"/>
    <w:rsid w:val="004A3BDA"/>
    <w:rsid w:val="004A47D2"/>
    <w:rsid w:val="004A4A3C"/>
    <w:rsid w:val="004A5A1F"/>
    <w:rsid w:val="004A6491"/>
    <w:rsid w:val="004A7D0C"/>
    <w:rsid w:val="004B3907"/>
    <w:rsid w:val="004B3C3F"/>
    <w:rsid w:val="004B5D96"/>
    <w:rsid w:val="004B6DE7"/>
    <w:rsid w:val="004C13CF"/>
    <w:rsid w:val="004C1C79"/>
    <w:rsid w:val="004C2958"/>
    <w:rsid w:val="004C2B57"/>
    <w:rsid w:val="004C35D2"/>
    <w:rsid w:val="004C58E3"/>
    <w:rsid w:val="004C715A"/>
    <w:rsid w:val="004C72FC"/>
    <w:rsid w:val="004C7CBB"/>
    <w:rsid w:val="004D0831"/>
    <w:rsid w:val="004D3B49"/>
    <w:rsid w:val="004D4840"/>
    <w:rsid w:val="004D53ED"/>
    <w:rsid w:val="004D6932"/>
    <w:rsid w:val="004D7D38"/>
    <w:rsid w:val="004E0534"/>
    <w:rsid w:val="004E0A6A"/>
    <w:rsid w:val="004E17AB"/>
    <w:rsid w:val="004E54E3"/>
    <w:rsid w:val="004E7142"/>
    <w:rsid w:val="004F17A7"/>
    <w:rsid w:val="004F2F16"/>
    <w:rsid w:val="004F3C21"/>
    <w:rsid w:val="004F481D"/>
    <w:rsid w:val="004F50DD"/>
    <w:rsid w:val="004F60F2"/>
    <w:rsid w:val="004F6D7A"/>
    <w:rsid w:val="00500418"/>
    <w:rsid w:val="005006ED"/>
    <w:rsid w:val="00500AF0"/>
    <w:rsid w:val="00501943"/>
    <w:rsid w:val="00502485"/>
    <w:rsid w:val="00503B95"/>
    <w:rsid w:val="00503F22"/>
    <w:rsid w:val="005053C0"/>
    <w:rsid w:val="00505837"/>
    <w:rsid w:val="00506CD4"/>
    <w:rsid w:val="00506D6C"/>
    <w:rsid w:val="005108DB"/>
    <w:rsid w:val="00511778"/>
    <w:rsid w:val="00511F27"/>
    <w:rsid w:val="0051204A"/>
    <w:rsid w:val="0051375B"/>
    <w:rsid w:val="0051486C"/>
    <w:rsid w:val="00517F1D"/>
    <w:rsid w:val="00520961"/>
    <w:rsid w:val="005220AC"/>
    <w:rsid w:val="005244B1"/>
    <w:rsid w:val="00525325"/>
    <w:rsid w:val="005264A7"/>
    <w:rsid w:val="0052671A"/>
    <w:rsid w:val="005274C6"/>
    <w:rsid w:val="005311FA"/>
    <w:rsid w:val="005341C1"/>
    <w:rsid w:val="00535349"/>
    <w:rsid w:val="0053603B"/>
    <w:rsid w:val="00536524"/>
    <w:rsid w:val="0053786A"/>
    <w:rsid w:val="00540170"/>
    <w:rsid w:val="005403C9"/>
    <w:rsid w:val="00542115"/>
    <w:rsid w:val="0054484A"/>
    <w:rsid w:val="00546BCF"/>
    <w:rsid w:val="00550A66"/>
    <w:rsid w:val="00550D5D"/>
    <w:rsid w:val="0055325D"/>
    <w:rsid w:val="00553F2D"/>
    <w:rsid w:val="0055445D"/>
    <w:rsid w:val="005548A3"/>
    <w:rsid w:val="0055622E"/>
    <w:rsid w:val="005575BF"/>
    <w:rsid w:val="0055774C"/>
    <w:rsid w:val="00562E4C"/>
    <w:rsid w:val="0056344E"/>
    <w:rsid w:val="005659F7"/>
    <w:rsid w:val="00571BF0"/>
    <w:rsid w:val="00571C25"/>
    <w:rsid w:val="0057344A"/>
    <w:rsid w:val="00573FEA"/>
    <w:rsid w:val="00574236"/>
    <w:rsid w:val="00575DB8"/>
    <w:rsid w:val="00580BBF"/>
    <w:rsid w:val="0058170A"/>
    <w:rsid w:val="00581CC1"/>
    <w:rsid w:val="005826C5"/>
    <w:rsid w:val="00582DC8"/>
    <w:rsid w:val="00583F3D"/>
    <w:rsid w:val="0058472C"/>
    <w:rsid w:val="00584B1D"/>
    <w:rsid w:val="00585A0E"/>
    <w:rsid w:val="00586FB6"/>
    <w:rsid w:val="005913F9"/>
    <w:rsid w:val="00591B2A"/>
    <w:rsid w:val="00593B33"/>
    <w:rsid w:val="00593CB9"/>
    <w:rsid w:val="00595E0B"/>
    <w:rsid w:val="00596361"/>
    <w:rsid w:val="005A0794"/>
    <w:rsid w:val="005A11B4"/>
    <w:rsid w:val="005A34C1"/>
    <w:rsid w:val="005A3C0F"/>
    <w:rsid w:val="005A44A3"/>
    <w:rsid w:val="005A6FE2"/>
    <w:rsid w:val="005B0E10"/>
    <w:rsid w:val="005B1F65"/>
    <w:rsid w:val="005B257A"/>
    <w:rsid w:val="005B35AB"/>
    <w:rsid w:val="005B4152"/>
    <w:rsid w:val="005B4D9C"/>
    <w:rsid w:val="005B584B"/>
    <w:rsid w:val="005B71F0"/>
    <w:rsid w:val="005C01F5"/>
    <w:rsid w:val="005C12DC"/>
    <w:rsid w:val="005C1AF9"/>
    <w:rsid w:val="005C245B"/>
    <w:rsid w:val="005C3AB6"/>
    <w:rsid w:val="005C6843"/>
    <w:rsid w:val="005D0374"/>
    <w:rsid w:val="005D0D99"/>
    <w:rsid w:val="005D2B3C"/>
    <w:rsid w:val="005D5AE1"/>
    <w:rsid w:val="005E0A3A"/>
    <w:rsid w:val="005E1F86"/>
    <w:rsid w:val="005E206B"/>
    <w:rsid w:val="005E23A7"/>
    <w:rsid w:val="005E38B9"/>
    <w:rsid w:val="005E5461"/>
    <w:rsid w:val="005F001E"/>
    <w:rsid w:val="005F0ABB"/>
    <w:rsid w:val="005F40FC"/>
    <w:rsid w:val="005F4754"/>
    <w:rsid w:val="005F6550"/>
    <w:rsid w:val="005F669E"/>
    <w:rsid w:val="005F66E0"/>
    <w:rsid w:val="005F734C"/>
    <w:rsid w:val="00601602"/>
    <w:rsid w:val="0060177D"/>
    <w:rsid w:val="00601C53"/>
    <w:rsid w:val="00607BB3"/>
    <w:rsid w:val="00610B8F"/>
    <w:rsid w:val="006159B1"/>
    <w:rsid w:val="006174A1"/>
    <w:rsid w:val="0062079F"/>
    <w:rsid w:val="00620930"/>
    <w:rsid w:val="00620AD4"/>
    <w:rsid w:val="00620AEF"/>
    <w:rsid w:val="00621A37"/>
    <w:rsid w:val="006247C8"/>
    <w:rsid w:val="00624C09"/>
    <w:rsid w:val="00624F12"/>
    <w:rsid w:val="006279A8"/>
    <w:rsid w:val="00627FC5"/>
    <w:rsid w:val="00630E95"/>
    <w:rsid w:val="0063107D"/>
    <w:rsid w:val="00631493"/>
    <w:rsid w:val="00633524"/>
    <w:rsid w:val="0063440C"/>
    <w:rsid w:val="0063523A"/>
    <w:rsid w:val="00635784"/>
    <w:rsid w:val="00635CC9"/>
    <w:rsid w:val="00636D39"/>
    <w:rsid w:val="00637BC4"/>
    <w:rsid w:val="0064073A"/>
    <w:rsid w:val="00641AC1"/>
    <w:rsid w:val="00642044"/>
    <w:rsid w:val="0064204E"/>
    <w:rsid w:val="0064332F"/>
    <w:rsid w:val="0064525A"/>
    <w:rsid w:val="006457BA"/>
    <w:rsid w:val="00646363"/>
    <w:rsid w:val="00646D82"/>
    <w:rsid w:val="00650283"/>
    <w:rsid w:val="0065037B"/>
    <w:rsid w:val="00650A6F"/>
    <w:rsid w:val="00650F29"/>
    <w:rsid w:val="006530B9"/>
    <w:rsid w:val="00664204"/>
    <w:rsid w:val="00664A27"/>
    <w:rsid w:val="00666FB7"/>
    <w:rsid w:val="00670B9C"/>
    <w:rsid w:val="00672403"/>
    <w:rsid w:val="00674209"/>
    <w:rsid w:val="00677352"/>
    <w:rsid w:val="00680166"/>
    <w:rsid w:val="00680434"/>
    <w:rsid w:val="0068079B"/>
    <w:rsid w:val="00680FE1"/>
    <w:rsid w:val="00681F8F"/>
    <w:rsid w:val="00682419"/>
    <w:rsid w:val="00683828"/>
    <w:rsid w:val="006851C0"/>
    <w:rsid w:val="00686343"/>
    <w:rsid w:val="00686BAF"/>
    <w:rsid w:val="00686D8C"/>
    <w:rsid w:val="0068724D"/>
    <w:rsid w:val="00687909"/>
    <w:rsid w:val="00690BC7"/>
    <w:rsid w:val="00691323"/>
    <w:rsid w:val="00695C92"/>
    <w:rsid w:val="0069608A"/>
    <w:rsid w:val="006A0A0D"/>
    <w:rsid w:val="006A13F9"/>
    <w:rsid w:val="006A14A0"/>
    <w:rsid w:val="006A2832"/>
    <w:rsid w:val="006A4DAF"/>
    <w:rsid w:val="006A68BA"/>
    <w:rsid w:val="006A751F"/>
    <w:rsid w:val="006B0AFF"/>
    <w:rsid w:val="006B128E"/>
    <w:rsid w:val="006B1736"/>
    <w:rsid w:val="006B1F55"/>
    <w:rsid w:val="006B2A86"/>
    <w:rsid w:val="006B3DCE"/>
    <w:rsid w:val="006B4D06"/>
    <w:rsid w:val="006B4F34"/>
    <w:rsid w:val="006B5598"/>
    <w:rsid w:val="006B57B8"/>
    <w:rsid w:val="006B59EA"/>
    <w:rsid w:val="006B7546"/>
    <w:rsid w:val="006C0396"/>
    <w:rsid w:val="006C0844"/>
    <w:rsid w:val="006C1B05"/>
    <w:rsid w:val="006C1CAD"/>
    <w:rsid w:val="006C496F"/>
    <w:rsid w:val="006C5D4F"/>
    <w:rsid w:val="006C79B5"/>
    <w:rsid w:val="006C7FA1"/>
    <w:rsid w:val="006D2AEC"/>
    <w:rsid w:val="006D34A8"/>
    <w:rsid w:val="006D3586"/>
    <w:rsid w:val="006D35DA"/>
    <w:rsid w:val="006D398E"/>
    <w:rsid w:val="006D4500"/>
    <w:rsid w:val="006D69F4"/>
    <w:rsid w:val="006D6A10"/>
    <w:rsid w:val="006D6C88"/>
    <w:rsid w:val="006D6E7B"/>
    <w:rsid w:val="006D77D7"/>
    <w:rsid w:val="006E0B8D"/>
    <w:rsid w:val="006E0F81"/>
    <w:rsid w:val="006E100C"/>
    <w:rsid w:val="006E1E87"/>
    <w:rsid w:val="006E34FC"/>
    <w:rsid w:val="006E3792"/>
    <w:rsid w:val="006E5531"/>
    <w:rsid w:val="006E64AC"/>
    <w:rsid w:val="006F0BFB"/>
    <w:rsid w:val="006F0CC4"/>
    <w:rsid w:val="006F193A"/>
    <w:rsid w:val="006F25EB"/>
    <w:rsid w:val="006F3B4F"/>
    <w:rsid w:val="006F7469"/>
    <w:rsid w:val="006F7F43"/>
    <w:rsid w:val="007019AC"/>
    <w:rsid w:val="00702A8F"/>
    <w:rsid w:val="007047DF"/>
    <w:rsid w:val="00704C69"/>
    <w:rsid w:val="0070553F"/>
    <w:rsid w:val="007055D4"/>
    <w:rsid w:val="00705861"/>
    <w:rsid w:val="00706C64"/>
    <w:rsid w:val="00707650"/>
    <w:rsid w:val="00710098"/>
    <w:rsid w:val="0071435E"/>
    <w:rsid w:val="007155BC"/>
    <w:rsid w:val="00715D47"/>
    <w:rsid w:val="00717617"/>
    <w:rsid w:val="00720E66"/>
    <w:rsid w:val="00721A4C"/>
    <w:rsid w:val="007226E4"/>
    <w:rsid w:val="0072324C"/>
    <w:rsid w:val="00725F8D"/>
    <w:rsid w:val="00726955"/>
    <w:rsid w:val="007271C6"/>
    <w:rsid w:val="00727F71"/>
    <w:rsid w:val="00730769"/>
    <w:rsid w:val="00731E32"/>
    <w:rsid w:val="00733E3A"/>
    <w:rsid w:val="00740AC3"/>
    <w:rsid w:val="00741378"/>
    <w:rsid w:val="00742EAA"/>
    <w:rsid w:val="00743776"/>
    <w:rsid w:val="00744D16"/>
    <w:rsid w:val="00745E84"/>
    <w:rsid w:val="00746753"/>
    <w:rsid w:val="007468E2"/>
    <w:rsid w:val="00746AD8"/>
    <w:rsid w:val="0075136D"/>
    <w:rsid w:val="007521C1"/>
    <w:rsid w:val="0075260B"/>
    <w:rsid w:val="0075602E"/>
    <w:rsid w:val="00756490"/>
    <w:rsid w:val="00757982"/>
    <w:rsid w:val="00761473"/>
    <w:rsid w:val="00761856"/>
    <w:rsid w:val="00762440"/>
    <w:rsid w:val="00764546"/>
    <w:rsid w:val="0076497E"/>
    <w:rsid w:val="00765DC2"/>
    <w:rsid w:val="00766D59"/>
    <w:rsid w:val="00767455"/>
    <w:rsid w:val="007679AD"/>
    <w:rsid w:val="00767FAE"/>
    <w:rsid w:val="0077195D"/>
    <w:rsid w:val="0077431F"/>
    <w:rsid w:val="00774835"/>
    <w:rsid w:val="0077676C"/>
    <w:rsid w:val="00780102"/>
    <w:rsid w:val="00781B1C"/>
    <w:rsid w:val="00782740"/>
    <w:rsid w:val="00784D76"/>
    <w:rsid w:val="00785433"/>
    <w:rsid w:val="007868F4"/>
    <w:rsid w:val="00790730"/>
    <w:rsid w:val="00790B34"/>
    <w:rsid w:val="007911AB"/>
    <w:rsid w:val="00791B74"/>
    <w:rsid w:val="00796575"/>
    <w:rsid w:val="00796615"/>
    <w:rsid w:val="00797CD9"/>
    <w:rsid w:val="007A0691"/>
    <w:rsid w:val="007A31FB"/>
    <w:rsid w:val="007A6834"/>
    <w:rsid w:val="007A7105"/>
    <w:rsid w:val="007A7793"/>
    <w:rsid w:val="007A7BF3"/>
    <w:rsid w:val="007B09AA"/>
    <w:rsid w:val="007B283C"/>
    <w:rsid w:val="007B288A"/>
    <w:rsid w:val="007B328C"/>
    <w:rsid w:val="007B4541"/>
    <w:rsid w:val="007B49D6"/>
    <w:rsid w:val="007B4BF6"/>
    <w:rsid w:val="007B67F4"/>
    <w:rsid w:val="007C24E6"/>
    <w:rsid w:val="007C49EA"/>
    <w:rsid w:val="007C6D7A"/>
    <w:rsid w:val="007C77B4"/>
    <w:rsid w:val="007D42E5"/>
    <w:rsid w:val="007D4532"/>
    <w:rsid w:val="007D4718"/>
    <w:rsid w:val="007D53BE"/>
    <w:rsid w:val="007D66C4"/>
    <w:rsid w:val="007D6C43"/>
    <w:rsid w:val="007D7F03"/>
    <w:rsid w:val="007E134E"/>
    <w:rsid w:val="007E1891"/>
    <w:rsid w:val="007E20AD"/>
    <w:rsid w:val="007E48AE"/>
    <w:rsid w:val="007F15CA"/>
    <w:rsid w:val="007F1737"/>
    <w:rsid w:val="007F1A72"/>
    <w:rsid w:val="007F1FDA"/>
    <w:rsid w:val="007F3343"/>
    <w:rsid w:val="007F4F64"/>
    <w:rsid w:val="007F5005"/>
    <w:rsid w:val="0080042D"/>
    <w:rsid w:val="00800D14"/>
    <w:rsid w:val="0080233D"/>
    <w:rsid w:val="0080560F"/>
    <w:rsid w:val="00805937"/>
    <w:rsid w:val="00805B29"/>
    <w:rsid w:val="00811401"/>
    <w:rsid w:val="008127E2"/>
    <w:rsid w:val="008130DD"/>
    <w:rsid w:val="008146DF"/>
    <w:rsid w:val="00814789"/>
    <w:rsid w:val="00815E0B"/>
    <w:rsid w:val="00817BDE"/>
    <w:rsid w:val="0082105F"/>
    <w:rsid w:val="00822DB6"/>
    <w:rsid w:val="0082605D"/>
    <w:rsid w:val="0083083A"/>
    <w:rsid w:val="008312B7"/>
    <w:rsid w:val="00831E43"/>
    <w:rsid w:val="00832F30"/>
    <w:rsid w:val="00833941"/>
    <w:rsid w:val="0083445C"/>
    <w:rsid w:val="008346A7"/>
    <w:rsid w:val="0083738C"/>
    <w:rsid w:val="00837BD5"/>
    <w:rsid w:val="00837F1D"/>
    <w:rsid w:val="008408F8"/>
    <w:rsid w:val="008422D8"/>
    <w:rsid w:val="0084464B"/>
    <w:rsid w:val="00844F67"/>
    <w:rsid w:val="00846050"/>
    <w:rsid w:val="00846E5D"/>
    <w:rsid w:val="00847098"/>
    <w:rsid w:val="00847DF7"/>
    <w:rsid w:val="00851E9A"/>
    <w:rsid w:val="00851FE8"/>
    <w:rsid w:val="00853AFF"/>
    <w:rsid w:val="00856983"/>
    <w:rsid w:val="00856C09"/>
    <w:rsid w:val="00856F2B"/>
    <w:rsid w:val="00861328"/>
    <w:rsid w:val="008614A1"/>
    <w:rsid w:val="00861D2A"/>
    <w:rsid w:val="0086202C"/>
    <w:rsid w:val="00862A40"/>
    <w:rsid w:val="0086463C"/>
    <w:rsid w:val="00866E0E"/>
    <w:rsid w:val="0087117D"/>
    <w:rsid w:val="00871765"/>
    <w:rsid w:val="008717BC"/>
    <w:rsid w:val="00871F08"/>
    <w:rsid w:val="008720CE"/>
    <w:rsid w:val="00872249"/>
    <w:rsid w:val="00872292"/>
    <w:rsid w:val="008743BA"/>
    <w:rsid w:val="00874EE2"/>
    <w:rsid w:val="00875962"/>
    <w:rsid w:val="00876284"/>
    <w:rsid w:val="008771BA"/>
    <w:rsid w:val="0088159F"/>
    <w:rsid w:val="00882A92"/>
    <w:rsid w:val="00886317"/>
    <w:rsid w:val="0089076A"/>
    <w:rsid w:val="008907A5"/>
    <w:rsid w:val="00891D8E"/>
    <w:rsid w:val="0089300B"/>
    <w:rsid w:val="00893C08"/>
    <w:rsid w:val="00895ACB"/>
    <w:rsid w:val="00895DEC"/>
    <w:rsid w:val="00896A6B"/>
    <w:rsid w:val="008976A9"/>
    <w:rsid w:val="008A055D"/>
    <w:rsid w:val="008A05DE"/>
    <w:rsid w:val="008A3A2C"/>
    <w:rsid w:val="008A3AE2"/>
    <w:rsid w:val="008A445E"/>
    <w:rsid w:val="008A44C6"/>
    <w:rsid w:val="008A4947"/>
    <w:rsid w:val="008A7336"/>
    <w:rsid w:val="008B0550"/>
    <w:rsid w:val="008B25D8"/>
    <w:rsid w:val="008B4F79"/>
    <w:rsid w:val="008B506C"/>
    <w:rsid w:val="008B5346"/>
    <w:rsid w:val="008B5368"/>
    <w:rsid w:val="008B5EE4"/>
    <w:rsid w:val="008C07A0"/>
    <w:rsid w:val="008C090C"/>
    <w:rsid w:val="008C132E"/>
    <w:rsid w:val="008C1E79"/>
    <w:rsid w:val="008C27E2"/>
    <w:rsid w:val="008C48DA"/>
    <w:rsid w:val="008C582E"/>
    <w:rsid w:val="008C5D3B"/>
    <w:rsid w:val="008C609E"/>
    <w:rsid w:val="008C6372"/>
    <w:rsid w:val="008D517B"/>
    <w:rsid w:val="008D702D"/>
    <w:rsid w:val="008E13FD"/>
    <w:rsid w:val="008E140E"/>
    <w:rsid w:val="008E34F0"/>
    <w:rsid w:val="008E403B"/>
    <w:rsid w:val="008E5F5F"/>
    <w:rsid w:val="008E5FE1"/>
    <w:rsid w:val="008E6200"/>
    <w:rsid w:val="008E678D"/>
    <w:rsid w:val="008F05BB"/>
    <w:rsid w:val="008F264A"/>
    <w:rsid w:val="008F2AAA"/>
    <w:rsid w:val="008F30AD"/>
    <w:rsid w:val="008F6A96"/>
    <w:rsid w:val="00902962"/>
    <w:rsid w:val="00902C2A"/>
    <w:rsid w:val="00903D64"/>
    <w:rsid w:val="00905C9B"/>
    <w:rsid w:val="009062BF"/>
    <w:rsid w:val="0090688A"/>
    <w:rsid w:val="00906D3C"/>
    <w:rsid w:val="00907605"/>
    <w:rsid w:val="00910853"/>
    <w:rsid w:val="0091101B"/>
    <w:rsid w:val="0091128B"/>
    <w:rsid w:val="0091133A"/>
    <w:rsid w:val="00911802"/>
    <w:rsid w:val="00911C4B"/>
    <w:rsid w:val="00912FE8"/>
    <w:rsid w:val="00913B3D"/>
    <w:rsid w:val="00917290"/>
    <w:rsid w:val="00917C0C"/>
    <w:rsid w:val="009206BA"/>
    <w:rsid w:val="009211B4"/>
    <w:rsid w:val="0092129D"/>
    <w:rsid w:val="0092408C"/>
    <w:rsid w:val="00926A2E"/>
    <w:rsid w:val="00931298"/>
    <w:rsid w:val="009316D8"/>
    <w:rsid w:val="0093248A"/>
    <w:rsid w:val="00933BAB"/>
    <w:rsid w:val="00933DC1"/>
    <w:rsid w:val="00934FFE"/>
    <w:rsid w:val="00935C7D"/>
    <w:rsid w:val="0093619D"/>
    <w:rsid w:val="009362A1"/>
    <w:rsid w:val="009407C2"/>
    <w:rsid w:val="00942018"/>
    <w:rsid w:val="0094255F"/>
    <w:rsid w:val="0094266A"/>
    <w:rsid w:val="009434E5"/>
    <w:rsid w:val="009439D0"/>
    <w:rsid w:val="00945660"/>
    <w:rsid w:val="00950A73"/>
    <w:rsid w:val="00954500"/>
    <w:rsid w:val="00954A54"/>
    <w:rsid w:val="00955911"/>
    <w:rsid w:val="00956929"/>
    <w:rsid w:val="00956DCC"/>
    <w:rsid w:val="0096006C"/>
    <w:rsid w:val="00963C80"/>
    <w:rsid w:val="00970A6C"/>
    <w:rsid w:val="009714E7"/>
    <w:rsid w:val="00971D19"/>
    <w:rsid w:val="00973E94"/>
    <w:rsid w:val="00975440"/>
    <w:rsid w:val="00980D77"/>
    <w:rsid w:val="0098131F"/>
    <w:rsid w:val="009814BE"/>
    <w:rsid w:val="009830BB"/>
    <w:rsid w:val="00991A3A"/>
    <w:rsid w:val="00991D5E"/>
    <w:rsid w:val="00991FD8"/>
    <w:rsid w:val="00992B23"/>
    <w:rsid w:val="00992C0E"/>
    <w:rsid w:val="00993103"/>
    <w:rsid w:val="009934E6"/>
    <w:rsid w:val="009937B3"/>
    <w:rsid w:val="00996EF6"/>
    <w:rsid w:val="009A123E"/>
    <w:rsid w:val="009A2F39"/>
    <w:rsid w:val="009A3FB7"/>
    <w:rsid w:val="009B059F"/>
    <w:rsid w:val="009B24FD"/>
    <w:rsid w:val="009B274C"/>
    <w:rsid w:val="009B605F"/>
    <w:rsid w:val="009C0D04"/>
    <w:rsid w:val="009C156C"/>
    <w:rsid w:val="009C4203"/>
    <w:rsid w:val="009C50C2"/>
    <w:rsid w:val="009C545B"/>
    <w:rsid w:val="009D1EA7"/>
    <w:rsid w:val="009D1EB7"/>
    <w:rsid w:val="009D2F39"/>
    <w:rsid w:val="009D347E"/>
    <w:rsid w:val="009E0095"/>
    <w:rsid w:val="009E118F"/>
    <w:rsid w:val="009E14C1"/>
    <w:rsid w:val="009E1D1C"/>
    <w:rsid w:val="009E2C20"/>
    <w:rsid w:val="009E43C1"/>
    <w:rsid w:val="009F3A01"/>
    <w:rsid w:val="009F3D3D"/>
    <w:rsid w:val="009F436B"/>
    <w:rsid w:val="009F4FDF"/>
    <w:rsid w:val="009F57D1"/>
    <w:rsid w:val="00A00BC7"/>
    <w:rsid w:val="00A00F65"/>
    <w:rsid w:val="00A0147E"/>
    <w:rsid w:val="00A0255C"/>
    <w:rsid w:val="00A025D7"/>
    <w:rsid w:val="00A02CC5"/>
    <w:rsid w:val="00A044C9"/>
    <w:rsid w:val="00A045D1"/>
    <w:rsid w:val="00A05923"/>
    <w:rsid w:val="00A10058"/>
    <w:rsid w:val="00A10520"/>
    <w:rsid w:val="00A11C7A"/>
    <w:rsid w:val="00A12E23"/>
    <w:rsid w:val="00A13062"/>
    <w:rsid w:val="00A13A9E"/>
    <w:rsid w:val="00A158E7"/>
    <w:rsid w:val="00A16243"/>
    <w:rsid w:val="00A16FF4"/>
    <w:rsid w:val="00A2038F"/>
    <w:rsid w:val="00A20EEF"/>
    <w:rsid w:val="00A212A5"/>
    <w:rsid w:val="00A21BA0"/>
    <w:rsid w:val="00A22E95"/>
    <w:rsid w:val="00A23831"/>
    <w:rsid w:val="00A23B61"/>
    <w:rsid w:val="00A24C24"/>
    <w:rsid w:val="00A24EA2"/>
    <w:rsid w:val="00A2545A"/>
    <w:rsid w:val="00A26EA0"/>
    <w:rsid w:val="00A273E0"/>
    <w:rsid w:val="00A30076"/>
    <w:rsid w:val="00A3135B"/>
    <w:rsid w:val="00A31810"/>
    <w:rsid w:val="00A33347"/>
    <w:rsid w:val="00A3398F"/>
    <w:rsid w:val="00A3412E"/>
    <w:rsid w:val="00A41084"/>
    <w:rsid w:val="00A41350"/>
    <w:rsid w:val="00A41EA5"/>
    <w:rsid w:val="00A437D1"/>
    <w:rsid w:val="00A46353"/>
    <w:rsid w:val="00A46A41"/>
    <w:rsid w:val="00A4771F"/>
    <w:rsid w:val="00A50970"/>
    <w:rsid w:val="00A51744"/>
    <w:rsid w:val="00A51922"/>
    <w:rsid w:val="00A52D56"/>
    <w:rsid w:val="00A54AB6"/>
    <w:rsid w:val="00A55ABD"/>
    <w:rsid w:val="00A569F2"/>
    <w:rsid w:val="00A577AF"/>
    <w:rsid w:val="00A6044C"/>
    <w:rsid w:val="00A613DB"/>
    <w:rsid w:val="00A63B62"/>
    <w:rsid w:val="00A67156"/>
    <w:rsid w:val="00A67751"/>
    <w:rsid w:val="00A67E24"/>
    <w:rsid w:val="00A711B5"/>
    <w:rsid w:val="00A72614"/>
    <w:rsid w:val="00A73CD9"/>
    <w:rsid w:val="00A73F06"/>
    <w:rsid w:val="00A752CC"/>
    <w:rsid w:val="00A75E9E"/>
    <w:rsid w:val="00A76479"/>
    <w:rsid w:val="00A777A9"/>
    <w:rsid w:val="00A801D6"/>
    <w:rsid w:val="00A8037F"/>
    <w:rsid w:val="00A80EF9"/>
    <w:rsid w:val="00A817C0"/>
    <w:rsid w:val="00A821A6"/>
    <w:rsid w:val="00A82C9E"/>
    <w:rsid w:val="00A8389C"/>
    <w:rsid w:val="00A83A75"/>
    <w:rsid w:val="00A84C8C"/>
    <w:rsid w:val="00A915D0"/>
    <w:rsid w:val="00A91F94"/>
    <w:rsid w:val="00A93172"/>
    <w:rsid w:val="00A97A4E"/>
    <w:rsid w:val="00AA18A7"/>
    <w:rsid w:val="00AA307C"/>
    <w:rsid w:val="00AA4B88"/>
    <w:rsid w:val="00AA5497"/>
    <w:rsid w:val="00AA6664"/>
    <w:rsid w:val="00AA7537"/>
    <w:rsid w:val="00AA771E"/>
    <w:rsid w:val="00AA7ADF"/>
    <w:rsid w:val="00AB1DCA"/>
    <w:rsid w:val="00AB21E1"/>
    <w:rsid w:val="00AB2610"/>
    <w:rsid w:val="00AB28DC"/>
    <w:rsid w:val="00AB294A"/>
    <w:rsid w:val="00AB2B26"/>
    <w:rsid w:val="00AB32BD"/>
    <w:rsid w:val="00AB345F"/>
    <w:rsid w:val="00AB5908"/>
    <w:rsid w:val="00AB7B6D"/>
    <w:rsid w:val="00AC0632"/>
    <w:rsid w:val="00AC2367"/>
    <w:rsid w:val="00AC262D"/>
    <w:rsid w:val="00AC3032"/>
    <w:rsid w:val="00AC3985"/>
    <w:rsid w:val="00AC60D7"/>
    <w:rsid w:val="00AC6B1B"/>
    <w:rsid w:val="00AC7058"/>
    <w:rsid w:val="00AC7A59"/>
    <w:rsid w:val="00AD0E4B"/>
    <w:rsid w:val="00AD1455"/>
    <w:rsid w:val="00AD1559"/>
    <w:rsid w:val="00AD2DEC"/>
    <w:rsid w:val="00AD2E1E"/>
    <w:rsid w:val="00AD4619"/>
    <w:rsid w:val="00AD5649"/>
    <w:rsid w:val="00AD6969"/>
    <w:rsid w:val="00AD7293"/>
    <w:rsid w:val="00AD7F5D"/>
    <w:rsid w:val="00AE1A40"/>
    <w:rsid w:val="00AE493B"/>
    <w:rsid w:val="00AE565E"/>
    <w:rsid w:val="00AE6727"/>
    <w:rsid w:val="00AE726C"/>
    <w:rsid w:val="00AF11D8"/>
    <w:rsid w:val="00AF2908"/>
    <w:rsid w:val="00AF291E"/>
    <w:rsid w:val="00AF632B"/>
    <w:rsid w:val="00AF67FD"/>
    <w:rsid w:val="00AF6976"/>
    <w:rsid w:val="00B00DB8"/>
    <w:rsid w:val="00B03D72"/>
    <w:rsid w:val="00B06534"/>
    <w:rsid w:val="00B07988"/>
    <w:rsid w:val="00B1073C"/>
    <w:rsid w:val="00B1134C"/>
    <w:rsid w:val="00B11A64"/>
    <w:rsid w:val="00B13B36"/>
    <w:rsid w:val="00B15DF7"/>
    <w:rsid w:val="00B168B1"/>
    <w:rsid w:val="00B20CCF"/>
    <w:rsid w:val="00B20F75"/>
    <w:rsid w:val="00B2502F"/>
    <w:rsid w:val="00B26D75"/>
    <w:rsid w:val="00B26FBA"/>
    <w:rsid w:val="00B27539"/>
    <w:rsid w:val="00B2795C"/>
    <w:rsid w:val="00B307DB"/>
    <w:rsid w:val="00B30B26"/>
    <w:rsid w:val="00B33C55"/>
    <w:rsid w:val="00B34366"/>
    <w:rsid w:val="00B40B73"/>
    <w:rsid w:val="00B41D90"/>
    <w:rsid w:val="00B43436"/>
    <w:rsid w:val="00B44556"/>
    <w:rsid w:val="00B451E9"/>
    <w:rsid w:val="00B46135"/>
    <w:rsid w:val="00B4786A"/>
    <w:rsid w:val="00B5022E"/>
    <w:rsid w:val="00B5033B"/>
    <w:rsid w:val="00B50C4C"/>
    <w:rsid w:val="00B537EA"/>
    <w:rsid w:val="00B5475B"/>
    <w:rsid w:val="00B547AD"/>
    <w:rsid w:val="00B560B7"/>
    <w:rsid w:val="00B57392"/>
    <w:rsid w:val="00B57416"/>
    <w:rsid w:val="00B57A59"/>
    <w:rsid w:val="00B6021A"/>
    <w:rsid w:val="00B61F85"/>
    <w:rsid w:val="00B6242D"/>
    <w:rsid w:val="00B639E5"/>
    <w:rsid w:val="00B65079"/>
    <w:rsid w:val="00B6509D"/>
    <w:rsid w:val="00B65EE3"/>
    <w:rsid w:val="00B675F7"/>
    <w:rsid w:val="00B67631"/>
    <w:rsid w:val="00B70A0F"/>
    <w:rsid w:val="00B71613"/>
    <w:rsid w:val="00B736D7"/>
    <w:rsid w:val="00B73FC9"/>
    <w:rsid w:val="00B80C4B"/>
    <w:rsid w:val="00B827A8"/>
    <w:rsid w:val="00B83766"/>
    <w:rsid w:val="00B83808"/>
    <w:rsid w:val="00B84B03"/>
    <w:rsid w:val="00B91F42"/>
    <w:rsid w:val="00B93581"/>
    <w:rsid w:val="00B93966"/>
    <w:rsid w:val="00B951C3"/>
    <w:rsid w:val="00B95A76"/>
    <w:rsid w:val="00BA13BF"/>
    <w:rsid w:val="00BA170D"/>
    <w:rsid w:val="00BA207B"/>
    <w:rsid w:val="00BA50D8"/>
    <w:rsid w:val="00BA5EBC"/>
    <w:rsid w:val="00BA7B61"/>
    <w:rsid w:val="00BB1668"/>
    <w:rsid w:val="00BB1A71"/>
    <w:rsid w:val="00BB30E5"/>
    <w:rsid w:val="00BB3D01"/>
    <w:rsid w:val="00BB4EC1"/>
    <w:rsid w:val="00BB4FBD"/>
    <w:rsid w:val="00BB55E4"/>
    <w:rsid w:val="00BB6324"/>
    <w:rsid w:val="00BC60D9"/>
    <w:rsid w:val="00BC6477"/>
    <w:rsid w:val="00BD078B"/>
    <w:rsid w:val="00BD187C"/>
    <w:rsid w:val="00BD19AE"/>
    <w:rsid w:val="00BD2B0C"/>
    <w:rsid w:val="00BD5A70"/>
    <w:rsid w:val="00BD7F3C"/>
    <w:rsid w:val="00BE03E0"/>
    <w:rsid w:val="00BE250B"/>
    <w:rsid w:val="00BE2D17"/>
    <w:rsid w:val="00BE3D4B"/>
    <w:rsid w:val="00BE5491"/>
    <w:rsid w:val="00BE550C"/>
    <w:rsid w:val="00BE553C"/>
    <w:rsid w:val="00BE5C50"/>
    <w:rsid w:val="00BF31B1"/>
    <w:rsid w:val="00BF482B"/>
    <w:rsid w:val="00BF4F41"/>
    <w:rsid w:val="00BF7EB6"/>
    <w:rsid w:val="00C02729"/>
    <w:rsid w:val="00C03FA4"/>
    <w:rsid w:val="00C0578E"/>
    <w:rsid w:val="00C0598F"/>
    <w:rsid w:val="00C06310"/>
    <w:rsid w:val="00C07E5A"/>
    <w:rsid w:val="00C1072F"/>
    <w:rsid w:val="00C11645"/>
    <w:rsid w:val="00C208B9"/>
    <w:rsid w:val="00C20F58"/>
    <w:rsid w:val="00C2217C"/>
    <w:rsid w:val="00C232DA"/>
    <w:rsid w:val="00C2338C"/>
    <w:rsid w:val="00C2384F"/>
    <w:rsid w:val="00C23AF3"/>
    <w:rsid w:val="00C253FA"/>
    <w:rsid w:val="00C25DD8"/>
    <w:rsid w:val="00C26A7B"/>
    <w:rsid w:val="00C300B5"/>
    <w:rsid w:val="00C3028E"/>
    <w:rsid w:val="00C304F0"/>
    <w:rsid w:val="00C31286"/>
    <w:rsid w:val="00C3183A"/>
    <w:rsid w:val="00C32A02"/>
    <w:rsid w:val="00C32A3B"/>
    <w:rsid w:val="00C3498B"/>
    <w:rsid w:val="00C355ED"/>
    <w:rsid w:val="00C357A9"/>
    <w:rsid w:val="00C3655D"/>
    <w:rsid w:val="00C36EFB"/>
    <w:rsid w:val="00C37BF0"/>
    <w:rsid w:val="00C40287"/>
    <w:rsid w:val="00C40364"/>
    <w:rsid w:val="00C40C75"/>
    <w:rsid w:val="00C417AD"/>
    <w:rsid w:val="00C41900"/>
    <w:rsid w:val="00C42516"/>
    <w:rsid w:val="00C42A75"/>
    <w:rsid w:val="00C4557E"/>
    <w:rsid w:val="00C45B8E"/>
    <w:rsid w:val="00C45BA3"/>
    <w:rsid w:val="00C46222"/>
    <w:rsid w:val="00C4622B"/>
    <w:rsid w:val="00C4760C"/>
    <w:rsid w:val="00C5267B"/>
    <w:rsid w:val="00C53622"/>
    <w:rsid w:val="00C56BE8"/>
    <w:rsid w:val="00C56E97"/>
    <w:rsid w:val="00C57AE2"/>
    <w:rsid w:val="00C61BAC"/>
    <w:rsid w:val="00C61FB5"/>
    <w:rsid w:val="00C628D7"/>
    <w:rsid w:val="00C635F9"/>
    <w:rsid w:val="00C6395A"/>
    <w:rsid w:val="00C645B3"/>
    <w:rsid w:val="00C65B02"/>
    <w:rsid w:val="00C66205"/>
    <w:rsid w:val="00C66B05"/>
    <w:rsid w:val="00C67A29"/>
    <w:rsid w:val="00C72EFC"/>
    <w:rsid w:val="00C74FEF"/>
    <w:rsid w:val="00C80592"/>
    <w:rsid w:val="00C80FC5"/>
    <w:rsid w:val="00C81B79"/>
    <w:rsid w:val="00C81CD4"/>
    <w:rsid w:val="00C8411F"/>
    <w:rsid w:val="00C84929"/>
    <w:rsid w:val="00C86A4A"/>
    <w:rsid w:val="00C91DB1"/>
    <w:rsid w:val="00C9526B"/>
    <w:rsid w:val="00C9549D"/>
    <w:rsid w:val="00C95C98"/>
    <w:rsid w:val="00C96165"/>
    <w:rsid w:val="00C968CA"/>
    <w:rsid w:val="00C96CDE"/>
    <w:rsid w:val="00C977E5"/>
    <w:rsid w:val="00C979D5"/>
    <w:rsid w:val="00C97A12"/>
    <w:rsid w:val="00C97B96"/>
    <w:rsid w:val="00CA0CE9"/>
    <w:rsid w:val="00CA2BD0"/>
    <w:rsid w:val="00CA3B4D"/>
    <w:rsid w:val="00CA43E4"/>
    <w:rsid w:val="00CA609C"/>
    <w:rsid w:val="00CB0065"/>
    <w:rsid w:val="00CB09E8"/>
    <w:rsid w:val="00CB11CD"/>
    <w:rsid w:val="00CB4D31"/>
    <w:rsid w:val="00CB50F2"/>
    <w:rsid w:val="00CB6655"/>
    <w:rsid w:val="00CB745D"/>
    <w:rsid w:val="00CC0F68"/>
    <w:rsid w:val="00CC3AF5"/>
    <w:rsid w:val="00CC5FFD"/>
    <w:rsid w:val="00CC7134"/>
    <w:rsid w:val="00CD00E3"/>
    <w:rsid w:val="00CD05F2"/>
    <w:rsid w:val="00CD0C9C"/>
    <w:rsid w:val="00CD33A1"/>
    <w:rsid w:val="00CD34CE"/>
    <w:rsid w:val="00CD3E66"/>
    <w:rsid w:val="00CD44EB"/>
    <w:rsid w:val="00CD4631"/>
    <w:rsid w:val="00CD7BFA"/>
    <w:rsid w:val="00CD7C6D"/>
    <w:rsid w:val="00CE021F"/>
    <w:rsid w:val="00CE02DA"/>
    <w:rsid w:val="00CE0719"/>
    <w:rsid w:val="00CE2EE8"/>
    <w:rsid w:val="00CE36EB"/>
    <w:rsid w:val="00CE47A3"/>
    <w:rsid w:val="00CE47DD"/>
    <w:rsid w:val="00CE4DA6"/>
    <w:rsid w:val="00CE5F30"/>
    <w:rsid w:val="00CF3AD5"/>
    <w:rsid w:val="00CF5E38"/>
    <w:rsid w:val="00CF680C"/>
    <w:rsid w:val="00D01A4C"/>
    <w:rsid w:val="00D034CD"/>
    <w:rsid w:val="00D05F6F"/>
    <w:rsid w:val="00D07648"/>
    <w:rsid w:val="00D07CD8"/>
    <w:rsid w:val="00D101B9"/>
    <w:rsid w:val="00D10EDA"/>
    <w:rsid w:val="00D11F68"/>
    <w:rsid w:val="00D146ED"/>
    <w:rsid w:val="00D157FB"/>
    <w:rsid w:val="00D16B1B"/>
    <w:rsid w:val="00D17938"/>
    <w:rsid w:val="00D20123"/>
    <w:rsid w:val="00D2215B"/>
    <w:rsid w:val="00D243ED"/>
    <w:rsid w:val="00D24BB4"/>
    <w:rsid w:val="00D26C40"/>
    <w:rsid w:val="00D3094A"/>
    <w:rsid w:val="00D34179"/>
    <w:rsid w:val="00D35710"/>
    <w:rsid w:val="00D36578"/>
    <w:rsid w:val="00D37761"/>
    <w:rsid w:val="00D3776D"/>
    <w:rsid w:val="00D37A8F"/>
    <w:rsid w:val="00D40125"/>
    <w:rsid w:val="00D40DEB"/>
    <w:rsid w:val="00D413E6"/>
    <w:rsid w:val="00D46166"/>
    <w:rsid w:val="00D50927"/>
    <w:rsid w:val="00D54D9F"/>
    <w:rsid w:val="00D55956"/>
    <w:rsid w:val="00D55963"/>
    <w:rsid w:val="00D60316"/>
    <w:rsid w:val="00D61966"/>
    <w:rsid w:val="00D61D25"/>
    <w:rsid w:val="00D63355"/>
    <w:rsid w:val="00D635AF"/>
    <w:rsid w:val="00D63944"/>
    <w:rsid w:val="00D642B7"/>
    <w:rsid w:val="00D647AC"/>
    <w:rsid w:val="00D6662D"/>
    <w:rsid w:val="00D67339"/>
    <w:rsid w:val="00D70071"/>
    <w:rsid w:val="00D71455"/>
    <w:rsid w:val="00D718DD"/>
    <w:rsid w:val="00D71D7A"/>
    <w:rsid w:val="00D72C92"/>
    <w:rsid w:val="00D72DBA"/>
    <w:rsid w:val="00D74C1E"/>
    <w:rsid w:val="00D77922"/>
    <w:rsid w:val="00D80DE2"/>
    <w:rsid w:val="00D8189D"/>
    <w:rsid w:val="00D81A5A"/>
    <w:rsid w:val="00D8268E"/>
    <w:rsid w:val="00D826FB"/>
    <w:rsid w:val="00D8306E"/>
    <w:rsid w:val="00D84A62"/>
    <w:rsid w:val="00D85014"/>
    <w:rsid w:val="00D87BCC"/>
    <w:rsid w:val="00D90E5F"/>
    <w:rsid w:val="00D9170D"/>
    <w:rsid w:val="00D93B88"/>
    <w:rsid w:val="00D9408D"/>
    <w:rsid w:val="00D94432"/>
    <w:rsid w:val="00D94A48"/>
    <w:rsid w:val="00D967EB"/>
    <w:rsid w:val="00DA029A"/>
    <w:rsid w:val="00DA2110"/>
    <w:rsid w:val="00DA44C7"/>
    <w:rsid w:val="00DA5843"/>
    <w:rsid w:val="00DA7318"/>
    <w:rsid w:val="00DA7F78"/>
    <w:rsid w:val="00DB00B5"/>
    <w:rsid w:val="00DB02FA"/>
    <w:rsid w:val="00DB10FF"/>
    <w:rsid w:val="00DB290B"/>
    <w:rsid w:val="00DB37F4"/>
    <w:rsid w:val="00DB3B44"/>
    <w:rsid w:val="00DB41ED"/>
    <w:rsid w:val="00DB46E1"/>
    <w:rsid w:val="00DB5520"/>
    <w:rsid w:val="00DB5F3F"/>
    <w:rsid w:val="00DB6721"/>
    <w:rsid w:val="00DC0843"/>
    <w:rsid w:val="00DC090D"/>
    <w:rsid w:val="00DC3146"/>
    <w:rsid w:val="00DC42F8"/>
    <w:rsid w:val="00DC467D"/>
    <w:rsid w:val="00DC4768"/>
    <w:rsid w:val="00DC740D"/>
    <w:rsid w:val="00DC7575"/>
    <w:rsid w:val="00DC75FE"/>
    <w:rsid w:val="00DD08C8"/>
    <w:rsid w:val="00DD37EF"/>
    <w:rsid w:val="00DD48DF"/>
    <w:rsid w:val="00DD5F85"/>
    <w:rsid w:val="00DD68A0"/>
    <w:rsid w:val="00DD6927"/>
    <w:rsid w:val="00DD6E57"/>
    <w:rsid w:val="00DE13AB"/>
    <w:rsid w:val="00DE553C"/>
    <w:rsid w:val="00DE5D87"/>
    <w:rsid w:val="00DF042F"/>
    <w:rsid w:val="00DF1566"/>
    <w:rsid w:val="00DF2C53"/>
    <w:rsid w:val="00DF2D94"/>
    <w:rsid w:val="00DF39C2"/>
    <w:rsid w:val="00DF3E46"/>
    <w:rsid w:val="00E0337F"/>
    <w:rsid w:val="00E03BFF"/>
    <w:rsid w:val="00E04641"/>
    <w:rsid w:val="00E1064F"/>
    <w:rsid w:val="00E11B0D"/>
    <w:rsid w:val="00E128AA"/>
    <w:rsid w:val="00E138F7"/>
    <w:rsid w:val="00E14AD1"/>
    <w:rsid w:val="00E1686A"/>
    <w:rsid w:val="00E16F11"/>
    <w:rsid w:val="00E174BF"/>
    <w:rsid w:val="00E22D57"/>
    <w:rsid w:val="00E26616"/>
    <w:rsid w:val="00E27129"/>
    <w:rsid w:val="00E31C79"/>
    <w:rsid w:val="00E324B0"/>
    <w:rsid w:val="00E3395F"/>
    <w:rsid w:val="00E33ADA"/>
    <w:rsid w:val="00E34ABE"/>
    <w:rsid w:val="00E34DD9"/>
    <w:rsid w:val="00E371C7"/>
    <w:rsid w:val="00E404C2"/>
    <w:rsid w:val="00E42C06"/>
    <w:rsid w:val="00E43DE7"/>
    <w:rsid w:val="00E446CB"/>
    <w:rsid w:val="00E44D02"/>
    <w:rsid w:val="00E45779"/>
    <w:rsid w:val="00E45DAB"/>
    <w:rsid w:val="00E46797"/>
    <w:rsid w:val="00E4740E"/>
    <w:rsid w:val="00E506D4"/>
    <w:rsid w:val="00E510A3"/>
    <w:rsid w:val="00E52487"/>
    <w:rsid w:val="00E529FE"/>
    <w:rsid w:val="00E531DB"/>
    <w:rsid w:val="00E55238"/>
    <w:rsid w:val="00E55469"/>
    <w:rsid w:val="00E559CC"/>
    <w:rsid w:val="00E6236F"/>
    <w:rsid w:val="00E637D5"/>
    <w:rsid w:val="00E64D89"/>
    <w:rsid w:val="00E66776"/>
    <w:rsid w:val="00E66C5F"/>
    <w:rsid w:val="00E67B4F"/>
    <w:rsid w:val="00E67B78"/>
    <w:rsid w:val="00E67E7F"/>
    <w:rsid w:val="00E709AF"/>
    <w:rsid w:val="00E715CB"/>
    <w:rsid w:val="00E74A29"/>
    <w:rsid w:val="00E74A44"/>
    <w:rsid w:val="00E74B21"/>
    <w:rsid w:val="00E75371"/>
    <w:rsid w:val="00E75800"/>
    <w:rsid w:val="00E7679B"/>
    <w:rsid w:val="00E77191"/>
    <w:rsid w:val="00E81944"/>
    <w:rsid w:val="00E83062"/>
    <w:rsid w:val="00E83453"/>
    <w:rsid w:val="00E83BD3"/>
    <w:rsid w:val="00E83CE5"/>
    <w:rsid w:val="00E83F04"/>
    <w:rsid w:val="00E84CDA"/>
    <w:rsid w:val="00E9076E"/>
    <w:rsid w:val="00E91818"/>
    <w:rsid w:val="00E93A71"/>
    <w:rsid w:val="00E9423C"/>
    <w:rsid w:val="00E9533F"/>
    <w:rsid w:val="00E954BE"/>
    <w:rsid w:val="00E957C3"/>
    <w:rsid w:val="00E958DD"/>
    <w:rsid w:val="00EA1D0E"/>
    <w:rsid w:val="00EA2A3C"/>
    <w:rsid w:val="00EA3684"/>
    <w:rsid w:val="00EA464C"/>
    <w:rsid w:val="00EA473D"/>
    <w:rsid w:val="00EA6AD3"/>
    <w:rsid w:val="00EA71EB"/>
    <w:rsid w:val="00EB0681"/>
    <w:rsid w:val="00EB06BE"/>
    <w:rsid w:val="00EB26DE"/>
    <w:rsid w:val="00EB27C5"/>
    <w:rsid w:val="00EB4168"/>
    <w:rsid w:val="00EB678E"/>
    <w:rsid w:val="00EC0990"/>
    <w:rsid w:val="00EC19B1"/>
    <w:rsid w:val="00EC2A62"/>
    <w:rsid w:val="00EC4871"/>
    <w:rsid w:val="00EC4C3F"/>
    <w:rsid w:val="00EC5B52"/>
    <w:rsid w:val="00EC5E37"/>
    <w:rsid w:val="00EC664E"/>
    <w:rsid w:val="00EC7D39"/>
    <w:rsid w:val="00EC7D71"/>
    <w:rsid w:val="00ED0FC9"/>
    <w:rsid w:val="00ED1277"/>
    <w:rsid w:val="00ED49CA"/>
    <w:rsid w:val="00ED5B7C"/>
    <w:rsid w:val="00EE1665"/>
    <w:rsid w:val="00EE2249"/>
    <w:rsid w:val="00EE3901"/>
    <w:rsid w:val="00EE524D"/>
    <w:rsid w:val="00EE67F8"/>
    <w:rsid w:val="00EE71C9"/>
    <w:rsid w:val="00EF3075"/>
    <w:rsid w:val="00EF4324"/>
    <w:rsid w:val="00EF558E"/>
    <w:rsid w:val="00EF5B43"/>
    <w:rsid w:val="00EF5BB6"/>
    <w:rsid w:val="00EF68EC"/>
    <w:rsid w:val="00EF6D13"/>
    <w:rsid w:val="00EF78A6"/>
    <w:rsid w:val="00F0005A"/>
    <w:rsid w:val="00F008D6"/>
    <w:rsid w:val="00F01988"/>
    <w:rsid w:val="00F02125"/>
    <w:rsid w:val="00F0220F"/>
    <w:rsid w:val="00F04572"/>
    <w:rsid w:val="00F04632"/>
    <w:rsid w:val="00F05316"/>
    <w:rsid w:val="00F06C81"/>
    <w:rsid w:val="00F101E7"/>
    <w:rsid w:val="00F1203F"/>
    <w:rsid w:val="00F12727"/>
    <w:rsid w:val="00F12D76"/>
    <w:rsid w:val="00F13670"/>
    <w:rsid w:val="00F14B54"/>
    <w:rsid w:val="00F1590B"/>
    <w:rsid w:val="00F16635"/>
    <w:rsid w:val="00F20968"/>
    <w:rsid w:val="00F239B0"/>
    <w:rsid w:val="00F23FB3"/>
    <w:rsid w:val="00F25998"/>
    <w:rsid w:val="00F3137F"/>
    <w:rsid w:val="00F3205C"/>
    <w:rsid w:val="00F32240"/>
    <w:rsid w:val="00F33280"/>
    <w:rsid w:val="00F344F2"/>
    <w:rsid w:val="00F34532"/>
    <w:rsid w:val="00F35B13"/>
    <w:rsid w:val="00F35D32"/>
    <w:rsid w:val="00F36C18"/>
    <w:rsid w:val="00F3799E"/>
    <w:rsid w:val="00F37AE0"/>
    <w:rsid w:val="00F41344"/>
    <w:rsid w:val="00F42802"/>
    <w:rsid w:val="00F44076"/>
    <w:rsid w:val="00F44395"/>
    <w:rsid w:val="00F44F90"/>
    <w:rsid w:val="00F4581B"/>
    <w:rsid w:val="00F45B62"/>
    <w:rsid w:val="00F468A5"/>
    <w:rsid w:val="00F4692B"/>
    <w:rsid w:val="00F526BB"/>
    <w:rsid w:val="00F52CD4"/>
    <w:rsid w:val="00F55023"/>
    <w:rsid w:val="00F55844"/>
    <w:rsid w:val="00F5643C"/>
    <w:rsid w:val="00F57601"/>
    <w:rsid w:val="00F57BCE"/>
    <w:rsid w:val="00F6015C"/>
    <w:rsid w:val="00F607EA"/>
    <w:rsid w:val="00F612F0"/>
    <w:rsid w:val="00F613A8"/>
    <w:rsid w:val="00F614D7"/>
    <w:rsid w:val="00F61A2B"/>
    <w:rsid w:val="00F62EC6"/>
    <w:rsid w:val="00F76F65"/>
    <w:rsid w:val="00F802F8"/>
    <w:rsid w:val="00F810C7"/>
    <w:rsid w:val="00F82FF8"/>
    <w:rsid w:val="00F84188"/>
    <w:rsid w:val="00F853A9"/>
    <w:rsid w:val="00F8674C"/>
    <w:rsid w:val="00F8713D"/>
    <w:rsid w:val="00F87BE6"/>
    <w:rsid w:val="00F92E1F"/>
    <w:rsid w:val="00F94A85"/>
    <w:rsid w:val="00F94B8B"/>
    <w:rsid w:val="00F95289"/>
    <w:rsid w:val="00F96763"/>
    <w:rsid w:val="00F96AF5"/>
    <w:rsid w:val="00FA1879"/>
    <w:rsid w:val="00FA2AEB"/>
    <w:rsid w:val="00FA2DC1"/>
    <w:rsid w:val="00FA67E6"/>
    <w:rsid w:val="00FA6E8A"/>
    <w:rsid w:val="00FA6EF5"/>
    <w:rsid w:val="00FA7652"/>
    <w:rsid w:val="00FA7825"/>
    <w:rsid w:val="00FA7B0F"/>
    <w:rsid w:val="00FB005E"/>
    <w:rsid w:val="00FB0C2E"/>
    <w:rsid w:val="00FB29D6"/>
    <w:rsid w:val="00FB4DC6"/>
    <w:rsid w:val="00FC001C"/>
    <w:rsid w:val="00FC3851"/>
    <w:rsid w:val="00FC418A"/>
    <w:rsid w:val="00FC4353"/>
    <w:rsid w:val="00FC4E35"/>
    <w:rsid w:val="00FD03B7"/>
    <w:rsid w:val="00FD083F"/>
    <w:rsid w:val="00FD2979"/>
    <w:rsid w:val="00FD47B4"/>
    <w:rsid w:val="00FD47BB"/>
    <w:rsid w:val="00FD63FE"/>
    <w:rsid w:val="00FD7727"/>
    <w:rsid w:val="00FD7E2D"/>
    <w:rsid w:val="00FE0D91"/>
    <w:rsid w:val="00FE1A1E"/>
    <w:rsid w:val="00FE1FE4"/>
    <w:rsid w:val="00FE249B"/>
    <w:rsid w:val="00FE303E"/>
    <w:rsid w:val="00FE4794"/>
    <w:rsid w:val="00FE639D"/>
    <w:rsid w:val="00FE64B2"/>
    <w:rsid w:val="00FF39CB"/>
    <w:rsid w:val="00FF4D85"/>
    <w:rsid w:val="0373A637"/>
    <w:rsid w:val="0ABD7B66"/>
    <w:rsid w:val="0BEB5B5D"/>
    <w:rsid w:val="0EF9E4FE"/>
    <w:rsid w:val="0F5F1AAB"/>
    <w:rsid w:val="0FEB2672"/>
    <w:rsid w:val="0FFD3C2B"/>
    <w:rsid w:val="11D9481C"/>
    <w:rsid w:val="14BE587D"/>
    <w:rsid w:val="177CD973"/>
    <w:rsid w:val="190B6E73"/>
    <w:rsid w:val="1AA43390"/>
    <w:rsid w:val="1ABF393F"/>
    <w:rsid w:val="1B9F23B3"/>
    <w:rsid w:val="1BDE15B7"/>
    <w:rsid w:val="1BDF0037"/>
    <w:rsid w:val="1BFFD2CF"/>
    <w:rsid w:val="1CED4437"/>
    <w:rsid w:val="1D982DF6"/>
    <w:rsid w:val="1EFA969E"/>
    <w:rsid w:val="1EFB3AA7"/>
    <w:rsid w:val="1F7308F4"/>
    <w:rsid w:val="1FBF5A24"/>
    <w:rsid w:val="1FD772FE"/>
    <w:rsid w:val="1FFF3B0F"/>
    <w:rsid w:val="1FFFA386"/>
    <w:rsid w:val="21F1015A"/>
    <w:rsid w:val="23FD603B"/>
    <w:rsid w:val="24FD50F0"/>
    <w:rsid w:val="26BD2F82"/>
    <w:rsid w:val="27A1E92A"/>
    <w:rsid w:val="27AF2F4D"/>
    <w:rsid w:val="27B542A6"/>
    <w:rsid w:val="27BE1F6E"/>
    <w:rsid w:val="27DFCE8A"/>
    <w:rsid w:val="27FF657C"/>
    <w:rsid w:val="2A7FD066"/>
    <w:rsid w:val="2ADB3BD8"/>
    <w:rsid w:val="2AFD920E"/>
    <w:rsid w:val="2B7F1F15"/>
    <w:rsid w:val="2B8214E1"/>
    <w:rsid w:val="2B9E01FD"/>
    <w:rsid w:val="2BBFAFB3"/>
    <w:rsid w:val="2C7FF55D"/>
    <w:rsid w:val="2CFFFD48"/>
    <w:rsid w:val="2D471D52"/>
    <w:rsid w:val="2D4B4DA0"/>
    <w:rsid w:val="2D7B0320"/>
    <w:rsid w:val="2DFF1832"/>
    <w:rsid w:val="2EBD1E9D"/>
    <w:rsid w:val="2EDF32F9"/>
    <w:rsid w:val="2EEBE0BC"/>
    <w:rsid w:val="2EF7C22E"/>
    <w:rsid w:val="2F5BD948"/>
    <w:rsid w:val="2F7FD87C"/>
    <w:rsid w:val="2FC8F4BB"/>
    <w:rsid w:val="2FEFA1BC"/>
    <w:rsid w:val="2FF70AB4"/>
    <w:rsid w:val="2FF7DC70"/>
    <w:rsid w:val="2FFB0D3E"/>
    <w:rsid w:val="30D8DF4C"/>
    <w:rsid w:val="31BD6938"/>
    <w:rsid w:val="33BF48B7"/>
    <w:rsid w:val="3415553A"/>
    <w:rsid w:val="354F534B"/>
    <w:rsid w:val="36776D40"/>
    <w:rsid w:val="369FFAEE"/>
    <w:rsid w:val="36AB872E"/>
    <w:rsid w:val="36FB5BBE"/>
    <w:rsid w:val="374F6D8C"/>
    <w:rsid w:val="37EC8A64"/>
    <w:rsid w:val="39DF5A15"/>
    <w:rsid w:val="39F70CA6"/>
    <w:rsid w:val="3A764B67"/>
    <w:rsid w:val="3AFF1F8D"/>
    <w:rsid w:val="3B2B7490"/>
    <w:rsid w:val="3B3BB821"/>
    <w:rsid w:val="3B6B34F0"/>
    <w:rsid w:val="3B7251DC"/>
    <w:rsid w:val="3B7B086A"/>
    <w:rsid w:val="3B9E6BED"/>
    <w:rsid w:val="3BAB7AE8"/>
    <w:rsid w:val="3BCB4721"/>
    <w:rsid w:val="3BDD300C"/>
    <w:rsid w:val="3BFB216F"/>
    <w:rsid w:val="3C5F4D1B"/>
    <w:rsid w:val="3CA778BD"/>
    <w:rsid w:val="3D64CED2"/>
    <w:rsid w:val="3D736037"/>
    <w:rsid w:val="3DB5AB6B"/>
    <w:rsid w:val="3DDFEE8D"/>
    <w:rsid w:val="3DFB4726"/>
    <w:rsid w:val="3DFF6E27"/>
    <w:rsid w:val="3DFFA6C2"/>
    <w:rsid w:val="3DFFB006"/>
    <w:rsid w:val="3E3F2DA2"/>
    <w:rsid w:val="3EBF69DC"/>
    <w:rsid w:val="3EBFD9F0"/>
    <w:rsid w:val="3ECFA745"/>
    <w:rsid w:val="3EE7B427"/>
    <w:rsid w:val="3EEF134A"/>
    <w:rsid w:val="3EFE4F6E"/>
    <w:rsid w:val="3EFFB79B"/>
    <w:rsid w:val="3F51A6AD"/>
    <w:rsid w:val="3F6787C8"/>
    <w:rsid w:val="3F7B3A24"/>
    <w:rsid w:val="3F7DBFE7"/>
    <w:rsid w:val="3F7F0098"/>
    <w:rsid w:val="3F7F3A7B"/>
    <w:rsid w:val="3F7F5479"/>
    <w:rsid w:val="3F968DB2"/>
    <w:rsid w:val="3FDFBB50"/>
    <w:rsid w:val="3FDFC510"/>
    <w:rsid w:val="3FED628E"/>
    <w:rsid w:val="3FEED224"/>
    <w:rsid w:val="3FEF8E6E"/>
    <w:rsid w:val="3FFAD64D"/>
    <w:rsid w:val="3FFD15E5"/>
    <w:rsid w:val="3FFD2560"/>
    <w:rsid w:val="3FFDA995"/>
    <w:rsid w:val="3FFF7428"/>
    <w:rsid w:val="41DD4AD3"/>
    <w:rsid w:val="4377C81E"/>
    <w:rsid w:val="44EEE818"/>
    <w:rsid w:val="456977F3"/>
    <w:rsid w:val="477F4485"/>
    <w:rsid w:val="47FB20E1"/>
    <w:rsid w:val="49365C9D"/>
    <w:rsid w:val="49FDF64A"/>
    <w:rsid w:val="4B3FB67D"/>
    <w:rsid w:val="4B51DCBC"/>
    <w:rsid w:val="4B7AFC44"/>
    <w:rsid w:val="4BEBAE2A"/>
    <w:rsid w:val="4D7E5735"/>
    <w:rsid w:val="4DF96B7C"/>
    <w:rsid w:val="4DFFBEF0"/>
    <w:rsid w:val="4E7D491E"/>
    <w:rsid w:val="4E7EA0CE"/>
    <w:rsid w:val="4EFBE59D"/>
    <w:rsid w:val="4EFC6F5A"/>
    <w:rsid w:val="4EFC8A11"/>
    <w:rsid w:val="4EFE0E3C"/>
    <w:rsid w:val="4F3EF04B"/>
    <w:rsid w:val="4FB724EB"/>
    <w:rsid w:val="4FBA5A3B"/>
    <w:rsid w:val="4FD7CB4F"/>
    <w:rsid w:val="4FDF4A1F"/>
    <w:rsid w:val="4FFCEA81"/>
    <w:rsid w:val="527E8B6B"/>
    <w:rsid w:val="53E93016"/>
    <w:rsid w:val="53FEDCC9"/>
    <w:rsid w:val="544A5039"/>
    <w:rsid w:val="54ECEBBB"/>
    <w:rsid w:val="54F63D16"/>
    <w:rsid w:val="54F796CB"/>
    <w:rsid w:val="55BACD77"/>
    <w:rsid w:val="55EB74B8"/>
    <w:rsid w:val="55FF9327"/>
    <w:rsid w:val="56F5B4FF"/>
    <w:rsid w:val="576321EF"/>
    <w:rsid w:val="577F19F8"/>
    <w:rsid w:val="57A97324"/>
    <w:rsid w:val="57B9C5AB"/>
    <w:rsid w:val="57CBACBA"/>
    <w:rsid w:val="57CEA561"/>
    <w:rsid w:val="57E94E57"/>
    <w:rsid w:val="586D804D"/>
    <w:rsid w:val="591C42FE"/>
    <w:rsid w:val="59311C10"/>
    <w:rsid w:val="5AF33DA1"/>
    <w:rsid w:val="5B517B99"/>
    <w:rsid w:val="5B5EEFBB"/>
    <w:rsid w:val="5B7543B1"/>
    <w:rsid w:val="5B77738A"/>
    <w:rsid w:val="5B7AEDC3"/>
    <w:rsid w:val="5B7E61E1"/>
    <w:rsid w:val="5B9F4967"/>
    <w:rsid w:val="5BBAD11C"/>
    <w:rsid w:val="5BD76F5E"/>
    <w:rsid w:val="5BEFDFCE"/>
    <w:rsid w:val="5D3E8BB3"/>
    <w:rsid w:val="5D5EB97F"/>
    <w:rsid w:val="5D69E245"/>
    <w:rsid w:val="5D7BC863"/>
    <w:rsid w:val="5DDF6579"/>
    <w:rsid w:val="5DDF7C58"/>
    <w:rsid w:val="5DDFE265"/>
    <w:rsid w:val="5DFF1B59"/>
    <w:rsid w:val="5DFF3375"/>
    <w:rsid w:val="5DFFFE9F"/>
    <w:rsid w:val="5E6D42A6"/>
    <w:rsid w:val="5E7F2159"/>
    <w:rsid w:val="5E7FA056"/>
    <w:rsid w:val="5EAF7EE0"/>
    <w:rsid w:val="5EBD7DEA"/>
    <w:rsid w:val="5EFB738A"/>
    <w:rsid w:val="5EFF36EE"/>
    <w:rsid w:val="5EFF3B2D"/>
    <w:rsid w:val="5F3F326B"/>
    <w:rsid w:val="5F7C2233"/>
    <w:rsid w:val="5F9F8D54"/>
    <w:rsid w:val="5FB5197B"/>
    <w:rsid w:val="5FBF30F0"/>
    <w:rsid w:val="5FCB3485"/>
    <w:rsid w:val="5FCF0653"/>
    <w:rsid w:val="5FDF9275"/>
    <w:rsid w:val="5FE7D9BF"/>
    <w:rsid w:val="5FECCA14"/>
    <w:rsid w:val="5FECE665"/>
    <w:rsid w:val="5FED6E66"/>
    <w:rsid w:val="5FF8C629"/>
    <w:rsid w:val="5FFBBEC6"/>
    <w:rsid w:val="5FFE9700"/>
    <w:rsid w:val="5FFF73C2"/>
    <w:rsid w:val="5FFFA468"/>
    <w:rsid w:val="61AC70D0"/>
    <w:rsid w:val="61AFD0C9"/>
    <w:rsid w:val="638E6C8C"/>
    <w:rsid w:val="63FF6AD2"/>
    <w:rsid w:val="65D5CB37"/>
    <w:rsid w:val="65F7C89A"/>
    <w:rsid w:val="67AF8406"/>
    <w:rsid w:val="67BB00EB"/>
    <w:rsid w:val="67CF4B99"/>
    <w:rsid w:val="67F7991B"/>
    <w:rsid w:val="67FDF80F"/>
    <w:rsid w:val="67FE1D89"/>
    <w:rsid w:val="694FDF76"/>
    <w:rsid w:val="69BD62DB"/>
    <w:rsid w:val="69E6BF56"/>
    <w:rsid w:val="69EB62F0"/>
    <w:rsid w:val="69EF563B"/>
    <w:rsid w:val="6AFE0D32"/>
    <w:rsid w:val="6BAC5803"/>
    <w:rsid w:val="6BBD1D24"/>
    <w:rsid w:val="6BBDCC2A"/>
    <w:rsid w:val="6BCDA1AA"/>
    <w:rsid w:val="6BDBCA08"/>
    <w:rsid w:val="6BF1E31E"/>
    <w:rsid w:val="6CBD4268"/>
    <w:rsid w:val="6CDBC4AC"/>
    <w:rsid w:val="6CFB2CBD"/>
    <w:rsid w:val="6DEEA5AD"/>
    <w:rsid w:val="6DF74480"/>
    <w:rsid w:val="6DFCF5A2"/>
    <w:rsid w:val="6E7BF941"/>
    <w:rsid w:val="6E7F0C1B"/>
    <w:rsid w:val="6E8DF05A"/>
    <w:rsid w:val="6EDF7090"/>
    <w:rsid w:val="6EEF4624"/>
    <w:rsid w:val="6EF65954"/>
    <w:rsid w:val="6EF7BF2E"/>
    <w:rsid w:val="6EFB6E1A"/>
    <w:rsid w:val="6EFF2599"/>
    <w:rsid w:val="6F0C6903"/>
    <w:rsid w:val="6F4E2108"/>
    <w:rsid w:val="6F4F6B4C"/>
    <w:rsid w:val="6F74C68E"/>
    <w:rsid w:val="6F7509E2"/>
    <w:rsid w:val="6F931A53"/>
    <w:rsid w:val="6F97AB38"/>
    <w:rsid w:val="6F9FC4A7"/>
    <w:rsid w:val="6FB02AC2"/>
    <w:rsid w:val="6FB72DB0"/>
    <w:rsid w:val="6FB7D6CA"/>
    <w:rsid w:val="6FBD61F8"/>
    <w:rsid w:val="6FEEFDFE"/>
    <w:rsid w:val="6FEF93A7"/>
    <w:rsid w:val="6FFA24CC"/>
    <w:rsid w:val="6FFB5900"/>
    <w:rsid w:val="6FFF924D"/>
    <w:rsid w:val="70BF2652"/>
    <w:rsid w:val="71377DC1"/>
    <w:rsid w:val="737F08AD"/>
    <w:rsid w:val="73DE724A"/>
    <w:rsid w:val="73DF9EDE"/>
    <w:rsid w:val="73FCE08F"/>
    <w:rsid w:val="73FDB242"/>
    <w:rsid w:val="73FF5456"/>
    <w:rsid w:val="74CEBF9B"/>
    <w:rsid w:val="75675166"/>
    <w:rsid w:val="757875D5"/>
    <w:rsid w:val="75BFB49F"/>
    <w:rsid w:val="75DD8BD4"/>
    <w:rsid w:val="75F3CCF7"/>
    <w:rsid w:val="75F6DD92"/>
    <w:rsid w:val="75F7C67C"/>
    <w:rsid w:val="75FE4A03"/>
    <w:rsid w:val="75FF5223"/>
    <w:rsid w:val="75FF95A6"/>
    <w:rsid w:val="7676343C"/>
    <w:rsid w:val="76784E8E"/>
    <w:rsid w:val="767DD173"/>
    <w:rsid w:val="768ABEA6"/>
    <w:rsid w:val="76D46C5C"/>
    <w:rsid w:val="76DB7563"/>
    <w:rsid w:val="76F3DF2D"/>
    <w:rsid w:val="76F714BD"/>
    <w:rsid w:val="774FA2AD"/>
    <w:rsid w:val="7777DC17"/>
    <w:rsid w:val="777DE3D8"/>
    <w:rsid w:val="777EC66E"/>
    <w:rsid w:val="777F1B61"/>
    <w:rsid w:val="777F81D0"/>
    <w:rsid w:val="77973DFE"/>
    <w:rsid w:val="779F49A3"/>
    <w:rsid w:val="77D76783"/>
    <w:rsid w:val="77DBA632"/>
    <w:rsid w:val="77EB740D"/>
    <w:rsid w:val="77EFC07A"/>
    <w:rsid w:val="77EFF753"/>
    <w:rsid w:val="77FC738F"/>
    <w:rsid w:val="77FD69C0"/>
    <w:rsid w:val="77FD984E"/>
    <w:rsid w:val="77FE6D67"/>
    <w:rsid w:val="77FE6FD2"/>
    <w:rsid w:val="77FED967"/>
    <w:rsid w:val="77FF87F3"/>
    <w:rsid w:val="787A0116"/>
    <w:rsid w:val="787B39B2"/>
    <w:rsid w:val="78F39B98"/>
    <w:rsid w:val="78FBADB8"/>
    <w:rsid w:val="793FEB07"/>
    <w:rsid w:val="79BE3DC5"/>
    <w:rsid w:val="79BFCFBC"/>
    <w:rsid w:val="79D706BA"/>
    <w:rsid w:val="79E9C650"/>
    <w:rsid w:val="79EDF413"/>
    <w:rsid w:val="79EE2D74"/>
    <w:rsid w:val="79F75296"/>
    <w:rsid w:val="79FBA490"/>
    <w:rsid w:val="79FF9745"/>
    <w:rsid w:val="7A8762F6"/>
    <w:rsid w:val="7ABAB497"/>
    <w:rsid w:val="7ABEF748"/>
    <w:rsid w:val="7ACF7FBE"/>
    <w:rsid w:val="7ADD76F6"/>
    <w:rsid w:val="7ADF4C42"/>
    <w:rsid w:val="7AE7D07C"/>
    <w:rsid w:val="7AEF3C93"/>
    <w:rsid w:val="7AFB5813"/>
    <w:rsid w:val="7AFF2DB0"/>
    <w:rsid w:val="7B0D5A71"/>
    <w:rsid w:val="7B3EB653"/>
    <w:rsid w:val="7B6FECB2"/>
    <w:rsid w:val="7B7A6C8F"/>
    <w:rsid w:val="7B7E5B21"/>
    <w:rsid w:val="7B979FCF"/>
    <w:rsid w:val="7B9D34EF"/>
    <w:rsid w:val="7BAD6E21"/>
    <w:rsid w:val="7BAF1BF5"/>
    <w:rsid w:val="7BAF88B0"/>
    <w:rsid w:val="7BBBC9FD"/>
    <w:rsid w:val="7BBBEB10"/>
    <w:rsid w:val="7BBD2EF6"/>
    <w:rsid w:val="7BBFA622"/>
    <w:rsid w:val="7BCF4B1C"/>
    <w:rsid w:val="7BDE259B"/>
    <w:rsid w:val="7BE9B411"/>
    <w:rsid w:val="7BED4E96"/>
    <w:rsid w:val="7BEF4ADB"/>
    <w:rsid w:val="7BF3C117"/>
    <w:rsid w:val="7BF62514"/>
    <w:rsid w:val="7BF64BBC"/>
    <w:rsid w:val="7BF7A8C1"/>
    <w:rsid w:val="7BF7D0BF"/>
    <w:rsid w:val="7BF972E9"/>
    <w:rsid w:val="7BFB3FD5"/>
    <w:rsid w:val="7BFBF96C"/>
    <w:rsid w:val="7BFF6588"/>
    <w:rsid w:val="7C1751D8"/>
    <w:rsid w:val="7C36F0E2"/>
    <w:rsid w:val="7C3E86C1"/>
    <w:rsid w:val="7C538AB2"/>
    <w:rsid w:val="7C851DD7"/>
    <w:rsid w:val="7C99A8AA"/>
    <w:rsid w:val="7CD3599B"/>
    <w:rsid w:val="7CF78472"/>
    <w:rsid w:val="7CFD05AF"/>
    <w:rsid w:val="7CFE756E"/>
    <w:rsid w:val="7CFF4795"/>
    <w:rsid w:val="7CFFFDAB"/>
    <w:rsid w:val="7D11A92C"/>
    <w:rsid w:val="7D4C6D4E"/>
    <w:rsid w:val="7D7B467D"/>
    <w:rsid w:val="7D7C00C4"/>
    <w:rsid w:val="7D7E9021"/>
    <w:rsid w:val="7D7EED32"/>
    <w:rsid w:val="7D9E2D8E"/>
    <w:rsid w:val="7D9FB4FF"/>
    <w:rsid w:val="7DAF11DF"/>
    <w:rsid w:val="7DBF306F"/>
    <w:rsid w:val="7DCF1B39"/>
    <w:rsid w:val="7DD76BEC"/>
    <w:rsid w:val="7DE682D2"/>
    <w:rsid w:val="7DEF834A"/>
    <w:rsid w:val="7DEFE867"/>
    <w:rsid w:val="7DF6BE62"/>
    <w:rsid w:val="7DF7440E"/>
    <w:rsid w:val="7DF9AFF5"/>
    <w:rsid w:val="7DFB4F50"/>
    <w:rsid w:val="7DFBD926"/>
    <w:rsid w:val="7DFF5784"/>
    <w:rsid w:val="7DFF5985"/>
    <w:rsid w:val="7DFF9741"/>
    <w:rsid w:val="7DFFBD84"/>
    <w:rsid w:val="7E7C23E4"/>
    <w:rsid w:val="7E7C8A52"/>
    <w:rsid w:val="7E7E68D6"/>
    <w:rsid w:val="7EB7B4FF"/>
    <w:rsid w:val="7EBE1E25"/>
    <w:rsid w:val="7EBF25D4"/>
    <w:rsid w:val="7EDF4440"/>
    <w:rsid w:val="7EE972AB"/>
    <w:rsid w:val="7EEDBA77"/>
    <w:rsid w:val="7EEF9F7B"/>
    <w:rsid w:val="7EF51113"/>
    <w:rsid w:val="7EFA1786"/>
    <w:rsid w:val="7EFCF2BB"/>
    <w:rsid w:val="7EFD12A8"/>
    <w:rsid w:val="7EFD8B81"/>
    <w:rsid w:val="7EFF6A0C"/>
    <w:rsid w:val="7F010F9C"/>
    <w:rsid w:val="7F11391E"/>
    <w:rsid w:val="7F1F49E1"/>
    <w:rsid w:val="7F2E5E6A"/>
    <w:rsid w:val="7F37142C"/>
    <w:rsid w:val="7F3776D3"/>
    <w:rsid w:val="7F4CD710"/>
    <w:rsid w:val="7F5F4256"/>
    <w:rsid w:val="7F6AF0AD"/>
    <w:rsid w:val="7F6F4831"/>
    <w:rsid w:val="7F7A863D"/>
    <w:rsid w:val="7F7B4ACA"/>
    <w:rsid w:val="7F7BC887"/>
    <w:rsid w:val="7F7E7C6F"/>
    <w:rsid w:val="7F7FB63B"/>
    <w:rsid w:val="7F97B273"/>
    <w:rsid w:val="7F9FD297"/>
    <w:rsid w:val="7FA69E5C"/>
    <w:rsid w:val="7FAE5648"/>
    <w:rsid w:val="7FB34AC9"/>
    <w:rsid w:val="7FB3F0C6"/>
    <w:rsid w:val="7FB55DFD"/>
    <w:rsid w:val="7FBBA902"/>
    <w:rsid w:val="7FBEACBD"/>
    <w:rsid w:val="7FBEF63B"/>
    <w:rsid w:val="7FBF2C17"/>
    <w:rsid w:val="7FBF66B6"/>
    <w:rsid w:val="7FC98B55"/>
    <w:rsid w:val="7FD61A75"/>
    <w:rsid w:val="7FD74726"/>
    <w:rsid w:val="7FD77E7F"/>
    <w:rsid w:val="7FDCCA79"/>
    <w:rsid w:val="7FDE37D3"/>
    <w:rsid w:val="7FDF205C"/>
    <w:rsid w:val="7FDF9F51"/>
    <w:rsid w:val="7FE7AC99"/>
    <w:rsid w:val="7FE7DA7B"/>
    <w:rsid w:val="7FEAC6B8"/>
    <w:rsid w:val="7FECC355"/>
    <w:rsid w:val="7FED16E0"/>
    <w:rsid w:val="7FEF36D5"/>
    <w:rsid w:val="7FF62797"/>
    <w:rsid w:val="7FF63BD7"/>
    <w:rsid w:val="7FF646F3"/>
    <w:rsid w:val="7FF747CD"/>
    <w:rsid w:val="7FF75317"/>
    <w:rsid w:val="7FF7CDFC"/>
    <w:rsid w:val="7FFB3659"/>
    <w:rsid w:val="7FFB3AF3"/>
    <w:rsid w:val="7FFB5515"/>
    <w:rsid w:val="7FFB5F16"/>
    <w:rsid w:val="7FFB6E80"/>
    <w:rsid w:val="7FFBF742"/>
    <w:rsid w:val="7FFC7EDA"/>
    <w:rsid w:val="7FFD02CB"/>
    <w:rsid w:val="7FFDBBC4"/>
    <w:rsid w:val="7FFF779C"/>
    <w:rsid w:val="7FFFA6EE"/>
    <w:rsid w:val="7FFFB006"/>
    <w:rsid w:val="7FFFD6A2"/>
    <w:rsid w:val="8C5E45A1"/>
    <w:rsid w:val="8EAF4054"/>
    <w:rsid w:val="8FD706C5"/>
    <w:rsid w:val="8FEF9B30"/>
    <w:rsid w:val="93A92AE2"/>
    <w:rsid w:val="957F4808"/>
    <w:rsid w:val="96C7E7A4"/>
    <w:rsid w:val="977B07F3"/>
    <w:rsid w:val="9A67B7B0"/>
    <w:rsid w:val="9B1F6139"/>
    <w:rsid w:val="9BB66F5C"/>
    <w:rsid w:val="9BBB521D"/>
    <w:rsid w:val="9BC57FC8"/>
    <w:rsid w:val="9CCB07FC"/>
    <w:rsid w:val="9DFF09C1"/>
    <w:rsid w:val="9DFFCE5C"/>
    <w:rsid w:val="9E6A1CB6"/>
    <w:rsid w:val="9E7A9D1E"/>
    <w:rsid w:val="9EADF15F"/>
    <w:rsid w:val="9EE32A2D"/>
    <w:rsid w:val="9EFE0623"/>
    <w:rsid w:val="9EFFBB40"/>
    <w:rsid w:val="9F5B5BA3"/>
    <w:rsid w:val="9F71E9F9"/>
    <w:rsid w:val="9F7FAF5C"/>
    <w:rsid w:val="9FAF9FF2"/>
    <w:rsid w:val="9FD36E5D"/>
    <w:rsid w:val="9FDF4D74"/>
    <w:rsid w:val="9FEB3824"/>
    <w:rsid w:val="A36D852F"/>
    <w:rsid w:val="A3E52B1E"/>
    <w:rsid w:val="A5EF1019"/>
    <w:rsid w:val="A5FD88F0"/>
    <w:rsid w:val="A6CE391C"/>
    <w:rsid w:val="A7AD4959"/>
    <w:rsid w:val="A7DFF5CC"/>
    <w:rsid w:val="A7EF9DCD"/>
    <w:rsid w:val="AB9F9EC5"/>
    <w:rsid w:val="ABDF9A9F"/>
    <w:rsid w:val="ABEF10D0"/>
    <w:rsid w:val="ADBEA3E1"/>
    <w:rsid w:val="ADEF9C38"/>
    <w:rsid w:val="ADF79114"/>
    <w:rsid w:val="AE39C19D"/>
    <w:rsid w:val="AF7DD2FE"/>
    <w:rsid w:val="AFBD2202"/>
    <w:rsid w:val="AFDF844A"/>
    <w:rsid w:val="AFFE6E08"/>
    <w:rsid w:val="AFFFD5E3"/>
    <w:rsid w:val="B15F6088"/>
    <w:rsid w:val="B33E67A9"/>
    <w:rsid w:val="B4EF1321"/>
    <w:rsid w:val="B55E7B6E"/>
    <w:rsid w:val="B5F2CA28"/>
    <w:rsid w:val="B6E79024"/>
    <w:rsid w:val="B6FF6CD0"/>
    <w:rsid w:val="B7BC0D27"/>
    <w:rsid w:val="B7BF51A5"/>
    <w:rsid w:val="B7F6E2ED"/>
    <w:rsid w:val="B7FF30AC"/>
    <w:rsid w:val="B7FF5E6F"/>
    <w:rsid w:val="B7FFA259"/>
    <w:rsid w:val="B87FB794"/>
    <w:rsid w:val="B8BFB5B8"/>
    <w:rsid w:val="B997FBE0"/>
    <w:rsid w:val="B9FA3BD2"/>
    <w:rsid w:val="B9FB9CC3"/>
    <w:rsid w:val="BA39826F"/>
    <w:rsid w:val="BB7F0291"/>
    <w:rsid w:val="BB9B9589"/>
    <w:rsid w:val="BBAFB1C8"/>
    <w:rsid w:val="BBD76B6F"/>
    <w:rsid w:val="BBF71AA9"/>
    <w:rsid w:val="BBFA29B2"/>
    <w:rsid w:val="BC79212F"/>
    <w:rsid w:val="BC7B224A"/>
    <w:rsid w:val="BCCAB7E4"/>
    <w:rsid w:val="BCFF7A5A"/>
    <w:rsid w:val="BD0DCFCE"/>
    <w:rsid w:val="BD3F1023"/>
    <w:rsid w:val="BDCD35F9"/>
    <w:rsid w:val="BDDE429D"/>
    <w:rsid w:val="BDEF44AE"/>
    <w:rsid w:val="BDEFE8B5"/>
    <w:rsid w:val="BDF4F851"/>
    <w:rsid w:val="BDF80D89"/>
    <w:rsid w:val="BDFAE41E"/>
    <w:rsid w:val="BDFB95A5"/>
    <w:rsid w:val="BE7D1205"/>
    <w:rsid w:val="BE7DED58"/>
    <w:rsid w:val="BE7F33F0"/>
    <w:rsid w:val="BEBF4AB5"/>
    <w:rsid w:val="BED569E6"/>
    <w:rsid w:val="BEF9A6FE"/>
    <w:rsid w:val="BEFDD177"/>
    <w:rsid w:val="BF3FFC21"/>
    <w:rsid w:val="BF66665D"/>
    <w:rsid w:val="BF77B666"/>
    <w:rsid w:val="BF8B37AC"/>
    <w:rsid w:val="BFB2D46E"/>
    <w:rsid w:val="BFB3CEDF"/>
    <w:rsid w:val="BFBD78EB"/>
    <w:rsid w:val="BFBF35D5"/>
    <w:rsid w:val="BFBF4F5D"/>
    <w:rsid w:val="BFBF9BEE"/>
    <w:rsid w:val="BFBFE3E2"/>
    <w:rsid w:val="BFC7FFF4"/>
    <w:rsid w:val="BFCADE3A"/>
    <w:rsid w:val="BFD81BD2"/>
    <w:rsid w:val="BFDED1D7"/>
    <w:rsid w:val="BFDEE06B"/>
    <w:rsid w:val="BFDF1932"/>
    <w:rsid w:val="BFE5B86D"/>
    <w:rsid w:val="BFEF50B2"/>
    <w:rsid w:val="BFEF58AD"/>
    <w:rsid w:val="BFEFE51B"/>
    <w:rsid w:val="BFF6337B"/>
    <w:rsid w:val="BFFB0C2D"/>
    <w:rsid w:val="BFFB3818"/>
    <w:rsid w:val="BFFBC98D"/>
    <w:rsid w:val="BFFDEAA5"/>
    <w:rsid w:val="BFFF0B9D"/>
    <w:rsid w:val="BFFF2C1D"/>
    <w:rsid w:val="C31F1C81"/>
    <w:rsid w:val="C57D3762"/>
    <w:rsid w:val="C57E40C4"/>
    <w:rsid w:val="C607E1D0"/>
    <w:rsid w:val="C777393B"/>
    <w:rsid w:val="C7F609C5"/>
    <w:rsid w:val="C8FCFA5F"/>
    <w:rsid w:val="C9FB1B37"/>
    <w:rsid w:val="CAD614C0"/>
    <w:rsid w:val="CB77C2FB"/>
    <w:rsid w:val="CDBD56F4"/>
    <w:rsid w:val="CDBF3BED"/>
    <w:rsid w:val="CDFF2733"/>
    <w:rsid w:val="CEACC4D3"/>
    <w:rsid w:val="CEBF431B"/>
    <w:rsid w:val="CEFD2A62"/>
    <w:rsid w:val="CFBFB539"/>
    <w:rsid w:val="CFFB99FB"/>
    <w:rsid w:val="D1FE6C2B"/>
    <w:rsid w:val="D25925B1"/>
    <w:rsid w:val="D3D980D6"/>
    <w:rsid w:val="D3F60CCB"/>
    <w:rsid w:val="D3FF1596"/>
    <w:rsid w:val="D5D68492"/>
    <w:rsid w:val="D64FD854"/>
    <w:rsid w:val="D667FCAA"/>
    <w:rsid w:val="D686A00D"/>
    <w:rsid w:val="D75BE6EA"/>
    <w:rsid w:val="D7BCF752"/>
    <w:rsid w:val="D7BF17AA"/>
    <w:rsid w:val="D7F1B822"/>
    <w:rsid w:val="D7F649C5"/>
    <w:rsid w:val="D7FE3B98"/>
    <w:rsid w:val="D9535D62"/>
    <w:rsid w:val="D9DB829A"/>
    <w:rsid w:val="DABBD957"/>
    <w:rsid w:val="DADF37BC"/>
    <w:rsid w:val="DAF3DE0D"/>
    <w:rsid w:val="DB1F4D72"/>
    <w:rsid w:val="DB6F4DAE"/>
    <w:rsid w:val="DB798262"/>
    <w:rsid w:val="DB7F2AF2"/>
    <w:rsid w:val="DBBBA92A"/>
    <w:rsid w:val="DBEF7D24"/>
    <w:rsid w:val="DBF49836"/>
    <w:rsid w:val="DBF5208D"/>
    <w:rsid w:val="DBFE99C2"/>
    <w:rsid w:val="DBFF35A9"/>
    <w:rsid w:val="DC6D2D89"/>
    <w:rsid w:val="DC9F06F2"/>
    <w:rsid w:val="DCFBA6E7"/>
    <w:rsid w:val="DD542579"/>
    <w:rsid w:val="DD7B68F6"/>
    <w:rsid w:val="DDDF2715"/>
    <w:rsid w:val="DDFE5D6E"/>
    <w:rsid w:val="DE7C6AD5"/>
    <w:rsid w:val="DE7FE1BD"/>
    <w:rsid w:val="DE8F1E66"/>
    <w:rsid w:val="DE968D0B"/>
    <w:rsid w:val="DE99D579"/>
    <w:rsid w:val="DEF51E38"/>
    <w:rsid w:val="DF3F48F2"/>
    <w:rsid w:val="DF6E048C"/>
    <w:rsid w:val="DF6FFCB4"/>
    <w:rsid w:val="DF7D8C64"/>
    <w:rsid w:val="DF7F81D6"/>
    <w:rsid w:val="DF7F941C"/>
    <w:rsid w:val="DFA28684"/>
    <w:rsid w:val="DFBF5653"/>
    <w:rsid w:val="DFDB66EE"/>
    <w:rsid w:val="DFDF5A24"/>
    <w:rsid w:val="DFEB40BC"/>
    <w:rsid w:val="DFF378C1"/>
    <w:rsid w:val="DFF7C3DF"/>
    <w:rsid w:val="DFF8DE9C"/>
    <w:rsid w:val="DFF98C25"/>
    <w:rsid w:val="DFF9D3AD"/>
    <w:rsid w:val="DFFACF85"/>
    <w:rsid w:val="DFFDA914"/>
    <w:rsid w:val="DFFE625B"/>
    <w:rsid w:val="DFFFF979"/>
    <w:rsid w:val="E16F1243"/>
    <w:rsid w:val="E2F91BFB"/>
    <w:rsid w:val="E37D0982"/>
    <w:rsid w:val="E3EBFB71"/>
    <w:rsid w:val="E3EE08C4"/>
    <w:rsid w:val="E3FFDAA8"/>
    <w:rsid w:val="E5799DC3"/>
    <w:rsid w:val="E65FDE4F"/>
    <w:rsid w:val="E6DF8708"/>
    <w:rsid w:val="E78A2FF9"/>
    <w:rsid w:val="E7B646C9"/>
    <w:rsid w:val="E7BF1DD4"/>
    <w:rsid w:val="E7BF4F2C"/>
    <w:rsid w:val="E7E2FB2E"/>
    <w:rsid w:val="E7F6C60E"/>
    <w:rsid w:val="E7F7109A"/>
    <w:rsid w:val="E7FBC4B4"/>
    <w:rsid w:val="E7FF77D4"/>
    <w:rsid w:val="EA73958C"/>
    <w:rsid w:val="EA9E6FB2"/>
    <w:rsid w:val="EABC5DF2"/>
    <w:rsid w:val="EAEC2FA4"/>
    <w:rsid w:val="EAFB54F9"/>
    <w:rsid w:val="EBFF49FE"/>
    <w:rsid w:val="EBFF9E5B"/>
    <w:rsid w:val="ED5D30A8"/>
    <w:rsid w:val="EDBEBF09"/>
    <w:rsid w:val="EDDCB64D"/>
    <w:rsid w:val="EDDF80B0"/>
    <w:rsid w:val="EDFFC96B"/>
    <w:rsid w:val="EE3F67E9"/>
    <w:rsid w:val="EEBF086B"/>
    <w:rsid w:val="EEFA18EA"/>
    <w:rsid w:val="EF5C8568"/>
    <w:rsid w:val="EF6FF2FD"/>
    <w:rsid w:val="EF76222E"/>
    <w:rsid w:val="EF7E4268"/>
    <w:rsid w:val="EFB50B65"/>
    <w:rsid w:val="EFBD77A3"/>
    <w:rsid w:val="EFBF7692"/>
    <w:rsid w:val="EFCBB249"/>
    <w:rsid w:val="EFD1C6AD"/>
    <w:rsid w:val="EFDDB22B"/>
    <w:rsid w:val="EFDFBB67"/>
    <w:rsid w:val="EFEF184E"/>
    <w:rsid w:val="EFEF1C32"/>
    <w:rsid w:val="EFF5BC77"/>
    <w:rsid w:val="EFF79AD1"/>
    <w:rsid w:val="EFFB1B7B"/>
    <w:rsid w:val="EFFB51C5"/>
    <w:rsid w:val="EFFDCAF4"/>
    <w:rsid w:val="EFFE6C3F"/>
    <w:rsid w:val="EFFF3709"/>
    <w:rsid w:val="F0B70C0C"/>
    <w:rsid w:val="F0DE67FA"/>
    <w:rsid w:val="F13E1175"/>
    <w:rsid w:val="F1D6F4FC"/>
    <w:rsid w:val="F1DE0E23"/>
    <w:rsid w:val="F1EE5D73"/>
    <w:rsid w:val="F1F7F81E"/>
    <w:rsid w:val="F2DFA65A"/>
    <w:rsid w:val="F35B49E6"/>
    <w:rsid w:val="F36F5DB1"/>
    <w:rsid w:val="F37F2C0F"/>
    <w:rsid w:val="F3DC1367"/>
    <w:rsid w:val="F3ED91DA"/>
    <w:rsid w:val="F3EF3266"/>
    <w:rsid w:val="F4C76846"/>
    <w:rsid w:val="F53F9A46"/>
    <w:rsid w:val="F5762242"/>
    <w:rsid w:val="F5D1E5BF"/>
    <w:rsid w:val="F5E59829"/>
    <w:rsid w:val="F5E84B76"/>
    <w:rsid w:val="F5F7D01D"/>
    <w:rsid w:val="F5FE410B"/>
    <w:rsid w:val="F65FBB59"/>
    <w:rsid w:val="F6774C76"/>
    <w:rsid w:val="F6793E41"/>
    <w:rsid w:val="F69CB783"/>
    <w:rsid w:val="F6F65794"/>
    <w:rsid w:val="F6FCAE9B"/>
    <w:rsid w:val="F6FF6D8B"/>
    <w:rsid w:val="F73CCA91"/>
    <w:rsid w:val="F758A67F"/>
    <w:rsid w:val="F779C9D3"/>
    <w:rsid w:val="F77DEFA2"/>
    <w:rsid w:val="F7887BFB"/>
    <w:rsid w:val="F7A3ADF6"/>
    <w:rsid w:val="F7B6DB1F"/>
    <w:rsid w:val="F7CD9B32"/>
    <w:rsid w:val="F7D67F00"/>
    <w:rsid w:val="F7EDC88A"/>
    <w:rsid w:val="F7EE36A2"/>
    <w:rsid w:val="F7EE7502"/>
    <w:rsid w:val="F7EF48DA"/>
    <w:rsid w:val="F7EF5F6B"/>
    <w:rsid w:val="F7EF6826"/>
    <w:rsid w:val="F7EF9365"/>
    <w:rsid w:val="F7FB025C"/>
    <w:rsid w:val="F7FD3AA4"/>
    <w:rsid w:val="F7FDDFCF"/>
    <w:rsid w:val="F7FF5DC7"/>
    <w:rsid w:val="F7FFB931"/>
    <w:rsid w:val="F7FFC0A9"/>
    <w:rsid w:val="F8EF7DB2"/>
    <w:rsid w:val="F97BCB0A"/>
    <w:rsid w:val="F97FDF69"/>
    <w:rsid w:val="F9E71D17"/>
    <w:rsid w:val="F9F48B87"/>
    <w:rsid w:val="F9FFDC8E"/>
    <w:rsid w:val="F9FFF639"/>
    <w:rsid w:val="FA656225"/>
    <w:rsid w:val="FA6D6988"/>
    <w:rsid w:val="FAC1BEB0"/>
    <w:rsid w:val="FAD7F61E"/>
    <w:rsid w:val="FADE30BC"/>
    <w:rsid w:val="FAE3C54B"/>
    <w:rsid w:val="FAF8D725"/>
    <w:rsid w:val="FAFB9D62"/>
    <w:rsid w:val="FAFFA644"/>
    <w:rsid w:val="FB3F4AA8"/>
    <w:rsid w:val="FB5A8976"/>
    <w:rsid w:val="FB7A41EA"/>
    <w:rsid w:val="FB7DCED0"/>
    <w:rsid w:val="FB9F8AAE"/>
    <w:rsid w:val="FBB59B09"/>
    <w:rsid w:val="FBBBFBEA"/>
    <w:rsid w:val="FBBD6F5E"/>
    <w:rsid w:val="FBBF449C"/>
    <w:rsid w:val="FBD61015"/>
    <w:rsid w:val="FBE74D3C"/>
    <w:rsid w:val="FBE82129"/>
    <w:rsid w:val="FBECFF66"/>
    <w:rsid w:val="FBEFA6B6"/>
    <w:rsid w:val="FBF86CE3"/>
    <w:rsid w:val="FBFB6CF4"/>
    <w:rsid w:val="FBFDC2D9"/>
    <w:rsid w:val="FCA33742"/>
    <w:rsid w:val="FCB95B0D"/>
    <w:rsid w:val="FCD0BFC7"/>
    <w:rsid w:val="FCE82F3F"/>
    <w:rsid w:val="FCEB6789"/>
    <w:rsid w:val="FCFFEF82"/>
    <w:rsid w:val="FD3322DD"/>
    <w:rsid w:val="FD737266"/>
    <w:rsid w:val="FD7DF110"/>
    <w:rsid w:val="FD7F21AF"/>
    <w:rsid w:val="FD8D0E63"/>
    <w:rsid w:val="FD8FF3EA"/>
    <w:rsid w:val="FD91A8AD"/>
    <w:rsid w:val="FD9D2F96"/>
    <w:rsid w:val="FDAB707B"/>
    <w:rsid w:val="FDAD3432"/>
    <w:rsid w:val="FDBBAFF0"/>
    <w:rsid w:val="FDBD9062"/>
    <w:rsid w:val="FDBF4770"/>
    <w:rsid w:val="FDBF86F7"/>
    <w:rsid w:val="FDCF2CCB"/>
    <w:rsid w:val="FDCFEF69"/>
    <w:rsid w:val="FDE8C6A3"/>
    <w:rsid w:val="FDEBFE2D"/>
    <w:rsid w:val="FDED684E"/>
    <w:rsid w:val="FDF3F8DF"/>
    <w:rsid w:val="FDF61148"/>
    <w:rsid w:val="FDFB75D4"/>
    <w:rsid w:val="FDFB9450"/>
    <w:rsid w:val="FDFF29E8"/>
    <w:rsid w:val="FDFFAF88"/>
    <w:rsid w:val="FDFFBE4F"/>
    <w:rsid w:val="FE3F0C11"/>
    <w:rsid w:val="FE5CE5FA"/>
    <w:rsid w:val="FE7DE33A"/>
    <w:rsid w:val="FE7EDA9C"/>
    <w:rsid w:val="FE7F0191"/>
    <w:rsid w:val="FE7F35EA"/>
    <w:rsid w:val="FE7F8E91"/>
    <w:rsid w:val="FE8FAC8F"/>
    <w:rsid w:val="FE9B99CC"/>
    <w:rsid w:val="FEAB3785"/>
    <w:rsid w:val="FEAB46DB"/>
    <w:rsid w:val="FEAC224A"/>
    <w:rsid w:val="FEAF81E4"/>
    <w:rsid w:val="FEB794BC"/>
    <w:rsid w:val="FEBB41E5"/>
    <w:rsid w:val="FEBC50CA"/>
    <w:rsid w:val="FEBF8ED1"/>
    <w:rsid w:val="FECF4DC6"/>
    <w:rsid w:val="FED62505"/>
    <w:rsid w:val="FED65FC4"/>
    <w:rsid w:val="FEDE7D14"/>
    <w:rsid w:val="FEEF3EB0"/>
    <w:rsid w:val="FEFFE15E"/>
    <w:rsid w:val="FF07BDAF"/>
    <w:rsid w:val="FF0F1D30"/>
    <w:rsid w:val="FF1F474F"/>
    <w:rsid w:val="FF2F7754"/>
    <w:rsid w:val="FF364C0E"/>
    <w:rsid w:val="FF388DC7"/>
    <w:rsid w:val="FF5C4E12"/>
    <w:rsid w:val="FF5CA28E"/>
    <w:rsid w:val="FF6C4C66"/>
    <w:rsid w:val="FF6D816F"/>
    <w:rsid w:val="FF6F5BA6"/>
    <w:rsid w:val="FF732E8C"/>
    <w:rsid w:val="FF754D1F"/>
    <w:rsid w:val="FF772FC5"/>
    <w:rsid w:val="FF79D37B"/>
    <w:rsid w:val="FF7B876B"/>
    <w:rsid w:val="FF7DF42A"/>
    <w:rsid w:val="FF7E9D44"/>
    <w:rsid w:val="FF7FC28D"/>
    <w:rsid w:val="FF8EF8C3"/>
    <w:rsid w:val="FF8F5B4C"/>
    <w:rsid w:val="FF9F3302"/>
    <w:rsid w:val="FFADDA2A"/>
    <w:rsid w:val="FFB1E7BF"/>
    <w:rsid w:val="FFB38661"/>
    <w:rsid w:val="FFB629E3"/>
    <w:rsid w:val="FFB8F3B0"/>
    <w:rsid w:val="FFB9B1D4"/>
    <w:rsid w:val="FFBD1883"/>
    <w:rsid w:val="FFBE00DA"/>
    <w:rsid w:val="FFBF0F44"/>
    <w:rsid w:val="FFBFCC5D"/>
    <w:rsid w:val="FFCC56BE"/>
    <w:rsid w:val="FFCF4B26"/>
    <w:rsid w:val="FFD919AC"/>
    <w:rsid w:val="FFDBE7D2"/>
    <w:rsid w:val="FFDD0B45"/>
    <w:rsid w:val="FFDD5242"/>
    <w:rsid w:val="FFDE5B8A"/>
    <w:rsid w:val="FFDF0B28"/>
    <w:rsid w:val="FFDF16EE"/>
    <w:rsid w:val="FFDF605A"/>
    <w:rsid w:val="FFDFAAC3"/>
    <w:rsid w:val="FFEA4A52"/>
    <w:rsid w:val="FFEC9807"/>
    <w:rsid w:val="FFEE5F22"/>
    <w:rsid w:val="FFEF1C1D"/>
    <w:rsid w:val="FFEF279B"/>
    <w:rsid w:val="FFEF3A42"/>
    <w:rsid w:val="FFEF3B42"/>
    <w:rsid w:val="FFEFCBAD"/>
    <w:rsid w:val="FFEFF07B"/>
    <w:rsid w:val="FFF0826D"/>
    <w:rsid w:val="FFF1EC5D"/>
    <w:rsid w:val="FFF5D25E"/>
    <w:rsid w:val="FFF6468F"/>
    <w:rsid w:val="FFF70B1F"/>
    <w:rsid w:val="FFF77D00"/>
    <w:rsid w:val="FFFB89BB"/>
    <w:rsid w:val="FFFC2A38"/>
    <w:rsid w:val="FFFC92EA"/>
    <w:rsid w:val="FFFCBB48"/>
    <w:rsid w:val="FFFCCA7A"/>
    <w:rsid w:val="FFFD53FA"/>
    <w:rsid w:val="FFFDB18B"/>
    <w:rsid w:val="FFFE7958"/>
    <w:rsid w:val="FFFEBBC1"/>
    <w:rsid w:val="FFFEC398"/>
    <w:rsid w:val="FFFEE9F3"/>
    <w:rsid w:val="FFFF1106"/>
    <w:rsid w:val="FFFF2899"/>
    <w:rsid w:val="FFFF2FE2"/>
    <w:rsid w:val="FFFF376E"/>
    <w:rsid w:val="FFFF3A93"/>
    <w:rsid w:val="FFFF6D45"/>
    <w:rsid w:val="FFFF7CC9"/>
    <w:rsid w:val="FFFF823D"/>
    <w:rsid w:val="FFFFF1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name="toc 3"/>
    <w:lsdException w:uiPriority="39" w:name="toc 4"/>
    <w:lsdException w:qFormat="1" w:uiPriority="39" w:name="toc 5"/>
    <w:lsdException w:qFormat="1" w:uiPriority="39" w:name="toc 6"/>
    <w:lsdException w:uiPriority="39" w:name="toc 7"/>
    <w:lsdException w:uiPriority="39" w:name="toc 8"/>
    <w:lsdException w:uiPriority="39" w:name="toc 9"/>
    <w:lsdException w:uiPriority="99" w:name="Normal Indent"/>
    <w:lsdException w:qFormat="1"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qFormat="1" w:unhideWhenUsed="0"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hint="eastAsia" w:ascii="宋体" w:hAnsi="Times New Roman" w:eastAsia="宋体" w:cs="宋体"/>
      <w:kern w:val="2"/>
      <w:sz w:val="21"/>
      <w:szCs w:val="22"/>
      <w:lang w:val="en-US" w:eastAsia="zh-CN" w:bidi="ar-SA"/>
    </w:rPr>
  </w:style>
  <w:style w:type="paragraph" w:styleId="2">
    <w:name w:val="heading 1"/>
    <w:basedOn w:val="1"/>
    <w:next w:val="1"/>
    <w:link w:val="38"/>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37"/>
    <w:unhideWhenUsed/>
    <w:qFormat/>
    <w:uiPriority w:val="9"/>
    <w:pPr>
      <w:keepNext/>
      <w:keepLines/>
      <w:numPr>
        <w:ilvl w:val="1"/>
        <w:numId w:val="1"/>
      </w:numPr>
      <w:spacing w:before="260" w:after="260" w:line="416" w:lineRule="auto"/>
      <w:ind w:left="575" w:hanging="575"/>
      <w:outlineLvl w:val="1"/>
    </w:pPr>
    <w:rPr>
      <w:rFonts w:asciiTheme="majorHAnsi" w:hAnsiTheme="majorHAnsi" w:eastAsiaTheme="majorEastAsia" w:cstheme="majorBidi"/>
      <w:b/>
      <w:bCs/>
      <w:sz w:val="32"/>
      <w:szCs w:val="32"/>
    </w:rPr>
  </w:style>
  <w:style w:type="paragraph" w:styleId="4">
    <w:name w:val="heading 3"/>
    <w:basedOn w:val="1"/>
    <w:next w:val="1"/>
    <w:semiHidden/>
    <w:unhideWhenUsed/>
    <w:qFormat/>
    <w:uiPriority w:val="9"/>
    <w:pPr>
      <w:keepNext/>
      <w:keepLines/>
      <w:numPr>
        <w:ilvl w:val="2"/>
        <w:numId w:val="2"/>
      </w:numPr>
      <w:spacing w:before="260" w:beforeLines="0" w:beforeAutospacing="0" w:after="260" w:afterLines="0" w:afterAutospacing="0" w:line="413" w:lineRule="auto"/>
      <w:ind w:left="720" w:hanging="720"/>
      <w:outlineLvl w:val="2"/>
    </w:pPr>
    <w:rPr>
      <w:b/>
      <w:sz w:val="32"/>
    </w:rPr>
  </w:style>
  <w:style w:type="paragraph" w:styleId="5">
    <w:name w:val="heading 4"/>
    <w:basedOn w:val="1"/>
    <w:next w:val="1"/>
    <w:semiHidden/>
    <w:unhideWhenUsed/>
    <w:qFormat/>
    <w:uiPriority w:val="9"/>
    <w:pPr>
      <w:keepNext/>
      <w:keepLines/>
      <w:numPr>
        <w:ilvl w:val="3"/>
        <w:numId w:val="2"/>
      </w:numPr>
      <w:spacing w:before="280" w:beforeLines="0" w:beforeAutospacing="0" w:after="290" w:afterLines="0" w:afterAutospacing="0" w:line="372" w:lineRule="auto"/>
      <w:ind w:left="864" w:hanging="864"/>
      <w:outlineLvl w:val="3"/>
    </w:pPr>
    <w:rPr>
      <w:rFonts w:ascii="Arial" w:hAnsi="Arial" w:eastAsia="黑体"/>
      <w:b/>
      <w:sz w:val="28"/>
    </w:rPr>
  </w:style>
  <w:style w:type="paragraph" w:styleId="6">
    <w:name w:val="heading 5"/>
    <w:basedOn w:val="1"/>
    <w:next w:val="1"/>
    <w:semiHidden/>
    <w:unhideWhenUsed/>
    <w:qFormat/>
    <w:uiPriority w:val="9"/>
    <w:pPr>
      <w:keepNext/>
      <w:keepLines/>
      <w:numPr>
        <w:ilvl w:val="4"/>
        <w:numId w:val="2"/>
      </w:numPr>
      <w:spacing w:before="280" w:beforeLines="0" w:beforeAutospacing="0" w:after="290" w:afterLines="0" w:afterAutospacing="0" w:line="372" w:lineRule="auto"/>
      <w:ind w:left="1008" w:hanging="1008"/>
      <w:outlineLvl w:val="4"/>
    </w:pPr>
    <w:rPr>
      <w:b/>
      <w:sz w:val="28"/>
    </w:rPr>
  </w:style>
  <w:style w:type="paragraph" w:styleId="7">
    <w:name w:val="heading 6"/>
    <w:basedOn w:val="1"/>
    <w:next w:val="1"/>
    <w:semiHidden/>
    <w:unhideWhenUsed/>
    <w:qFormat/>
    <w:uiPriority w:val="9"/>
    <w:pPr>
      <w:keepNext/>
      <w:keepLines/>
      <w:numPr>
        <w:ilvl w:val="5"/>
        <w:numId w:val="2"/>
      </w:numPr>
      <w:spacing w:before="240" w:beforeLines="0" w:beforeAutospacing="0" w:after="64" w:afterLines="0" w:afterAutospacing="0" w:line="317" w:lineRule="auto"/>
      <w:ind w:left="1151" w:hanging="1151"/>
      <w:outlineLvl w:val="5"/>
    </w:pPr>
    <w:rPr>
      <w:rFonts w:ascii="Arial" w:hAnsi="Arial" w:eastAsia="黑体"/>
      <w:b/>
      <w:sz w:val="24"/>
    </w:rPr>
  </w:style>
  <w:style w:type="paragraph" w:styleId="8">
    <w:name w:val="heading 7"/>
    <w:basedOn w:val="1"/>
    <w:next w:val="1"/>
    <w:semiHidden/>
    <w:unhideWhenUsed/>
    <w:qFormat/>
    <w:uiPriority w:val="9"/>
    <w:pPr>
      <w:keepNext/>
      <w:keepLines/>
      <w:numPr>
        <w:ilvl w:val="6"/>
        <w:numId w:val="2"/>
      </w:numPr>
      <w:spacing w:before="240" w:beforeLines="0" w:beforeAutospacing="0" w:after="64" w:afterLines="0" w:afterAutospacing="0" w:line="317" w:lineRule="auto"/>
      <w:ind w:left="1296" w:hanging="1296"/>
      <w:outlineLvl w:val="6"/>
    </w:pPr>
    <w:rPr>
      <w:b/>
      <w:sz w:val="24"/>
    </w:rPr>
  </w:style>
  <w:style w:type="paragraph" w:styleId="9">
    <w:name w:val="heading 8"/>
    <w:basedOn w:val="1"/>
    <w:next w:val="1"/>
    <w:semiHidden/>
    <w:unhideWhenUsed/>
    <w:qFormat/>
    <w:uiPriority w:val="9"/>
    <w:pPr>
      <w:keepNext/>
      <w:keepLines/>
      <w:numPr>
        <w:ilvl w:val="7"/>
        <w:numId w:val="2"/>
      </w:numPr>
      <w:spacing w:before="240" w:beforeLines="0" w:beforeAutospacing="0" w:after="64" w:afterLines="0" w:afterAutospacing="0" w:line="317" w:lineRule="auto"/>
      <w:ind w:left="1440" w:hanging="1440"/>
      <w:outlineLvl w:val="7"/>
    </w:pPr>
    <w:rPr>
      <w:rFonts w:ascii="Arial" w:hAnsi="Arial" w:eastAsia="黑体"/>
      <w:sz w:val="24"/>
    </w:rPr>
  </w:style>
  <w:style w:type="paragraph" w:styleId="10">
    <w:name w:val="heading 9"/>
    <w:basedOn w:val="1"/>
    <w:next w:val="1"/>
    <w:semiHidden/>
    <w:unhideWhenUsed/>
    <w:qFormat/>
    <w:uiPriority w:val="9"/>
    <w:pPr>
      <w:keepNext/>
      <w:keepLines/>
      <w:numPr>
        <w:ilvl w:val="8"/>
        <w:numId w:val="2"/>
      </w:numPr>
      <w:spacing w:before="240" w:beforeLines="0" w:beforeAutospacing="0" w:after="64" w:afterLines="0" w:afterAutospacing="0" w:line="317" w:lineRule="auto"/>
      <w:ind w:left="1583" w:hanging="1583"/>
      <w:outlineLvl w:val="8"/>
    </w:pPr>
    <w:rPr>
      <w:rFonts w:ascii="Arial" w:hAnsi="Arial" w:eastAsia="黑体"/>
      <w:sz w:val="21"/>
    </w:rPr>
  </w:style>
  <w:style w:type="character" w:default="1" w:styleId="27">
    <w:name w:val="Default Paragraph Font"/>
    <w:semiHidden/>
    <w:unhideWhenUsed/>
    <w:qFormat/>
    <w:uiPriority w:val="1"/>
    <w:rPr>
      <w:rFonts w:hint="eastAsia" w:ascii="宋体" w:hAnsi="Times New Roman" w:eastAsia="宋体" w:cs="Times New Roman"/>
      <w:sz w:val="21"/>
    </w:rPr>
  </w:style>
  <w:style w:type="table" w:default="1" w:styleId="25">
    <w:name w:val="Normal Table"/>
    <w:semiHidden/>
    <w:unhideWhenUsed/>
    <w:qFormat/>
    <w:uiPriority w:val="99"/>
    <w:tblPr>
      <w:tblCellMar>
        <w:top w:w="0" w:type="dxa"/>
        <w:left w:w="108" w:type="dxa"/>
        <w:bottom w:w="0" w:type="dxa"/>
        <w:right w:w="108" w:type="dxa"/>
      </w:tblCellMar>
    </w:tblPr>
  </w:style>
  <w:style w:type="paragraph" w:styleId="11">
    <w:name w:val="Body Text"/>
    <w:basedOn w:val="1"/>
    <w:link w:val="41"/>
    <w:semiHidden/>
    <w:qFormat/>
    <w:uiPriority w:val="0"/>
    <w:pPr>
      <w:widowControl/>
      <w:kinsoku w:val="0"/>
      <w:autoSpaceDE w:val="0"/>
      <w:autoSpaceDN w:val="0"/>
      <w:adjustRightInd w:val="0"/>
      <w:snapToGrid w:val="0"/>
      <w:jc w:val="left"/>
      <w:textAlignment w:val="baseline"/>
    </w:pPr>
    <w:rPr>
      <w:rFonts w:ascii="黑体" w:hAnsi="黑体" w:eastAsia="黑体" w:cs="黑体"/>
      <w:snapToGrid w:val="0"/>
      <w:color w:val="000000"/>
      <w:kern w:val="0"/>
      <w:sz w:val="47"/>
      <w:szCs w:val="47"/>
      <w:lang w:eastAsia="en-US"/>
    </w:rPr>
  </w:style>
  <w:style w:type="paragraph" w:styleId="12">
    <w:name w:val="Body Text Indent"/>
    <w:basedOn w:val="1"/>
    <w:qFormat/>
    <w:uiPriority w:val="0"/>
    <w:pPr>
      <w:spacing w:after="120"/>
      <w:ind w:left="420" w:leftChars="200"/>
    </w:pPr>
  </w:style>
  <w:style w:type="paragraph" w:styleId="13">
    <w:name w:val="toc 5"/>
    <w:basedOn w:val="1"/>
    <w:next w:val="1"/>
    <w:semiHidden/>
    <w:unhideWhenUsed/>
    <w:qFormat/>
    <w:uiPriority w:val="39"/>
    <w:pPr>
      <w:spacing w:line="300" w:lineRule="exact"/>
      <w:ind w:left="1680" w:leftChars="800"/>
    </w:pPr>
    <w:rPr>
      <w:rFonts w:hAnsi="宋体"/>
    </w:rPr>
  </w:style>
  <w:style w:type="paragraph" w:styleId="14">
    <w:name w:val="toc 3"/>
    <w:basedOn w:val="1"/>
    <w:next w:val="1"/>
    <w:semiHidden/>
    <w:unhideWhenUsed/>
    <w:qFormat/>
    <w:uiPriority w:val="39"/>
    <w:pPr>
      <w:spacing w:line="300" w:lineRule="exact"/>
      <w:ind w:left="840" w:leftChars="400"/>
    </w:pPr>
    <w:rPr>
      <w:rFonts w:hAnsi="宋体"/>
    </w:rPr>
  </w:style>
  <w:style w:type="paragraph" w:styleId="15">
    <w:name w:val="Date"/>
    <w:basedOn w:val="1"/>
    <w:next w:val="1"/>
    <w:link w:val="40"/>
    <w:semiHidden/>
    <w:unhideWhenUsed/>
    <w:qFormat/>
    <w:uiPriority w:val="99"/>
    <w:pPr>
      <w:ind w:left="100" w:leftChars="2500"/>
    </w:pPr>
  </w:style>
  <w:style w:type="paragraph" w:styleId="16">
    <w:name w:val="Balloon Text"/>
    <w:basedOn w:val="1"/>
    <w:link w:val="34"/>
    <w:semiHidden/>
    <w:unhideWhenUsed/>
    <w:qFormat/>
    <w:uiPriority w:val="99"/>
    <w:rPr>
      <w:sz w:val="18"/>
      <w:szCs w:val="18"/>
    </w:rPr>
  </w:style>
  <w:style w:type="paragraph" w:styleId="17">
    <w:name w:val="footer"/>
    <w:basedOn w:val="1"/>
    <w:link w:val="32"/>
    <w:unhideWhenUsed/>
    <w:qFormat/>
    <w:uiPriority w:val="99"/>
    <w:pPr>
      <w:tabs>
        <w:tab w:val="center" w:pos="4153"/>
        <w:tab w:val="right" w:pos="8306"/>
      </w:tabs>
      <w:snapToGrid w:val="0"/>
      <w:jc w:val="left"/>
    </w:pPr>
    <w:rPr>
      <w:sz w:val="18"/>
      <w:szCs w:val="18"/>
    </w:rPr>
  </w:style>
  <w:style w:type="paragraph" w:styleId="18">
    <w:name w:val="header"/>
    <w:basedOn w:val="1"/>
    <w:link w:val="31"/>
    <w:unhideWhenUsed/>
    <w:qFormat/>
    <w:uiPriority w:val="99"/>
    <w:pPr>
      <w:pBdr>
        <w:bottom w:val="single" w:color="auto" w:sz="6" w:space="1"/>
      </w:pBdr>
      <w:tabs>
        <w:tab w:val="center" w:pos="4153"/>
        <w:tab w:val="right" w:pos="8306"/>
      </w:tabs>
      <w:snapToGrid w:val="0"/>
      <w:jc w:val="center"/>
    </w:pPr>
    <w:rPr>
      <w:sz w:val="18"/>
      <w:szCs w:val="18"/>
    </w:rPr>
  </w:style>
  <w:style w:type="paragraph" w:styleId="19">
    <w:name w:val="toc 1"/>
    <w:basedOn w:val="1"/>
    <w:next w:val="1"/>
    <w:unhideWhenUsed/>
    <w:qFormat/>
    <w:uiPriority w:val="39"/>
    <w:pPr>
      <w:tabs>
        <w:tab w:val="right" w:leader="dot" w:pos="8296"/>
      </w:tabs>
      <w:spacing w:line="400" w:lineRule="exact"/>
    </w:pPr>
    <w:rPr>
      <w:rFonts w:ascii="宋体" w:hAnsi="宋体" w:eastAsia="宋体"/>
      <w:b/>
    </w:rPr>
  </w:style>
  <w:style w:type="paragraph" w:styleId="20">
    <w:name w:val="toc 4"/>
    <w:basedOn w:val="1"/>
    <w:next w:val="1"/>
    <w:semiHidden/>
    <w:unhideWhenUsed/>
    <w:uiPriority w:val="39"/>
    <w:pPr>
      <w:spacing w:line="300" w:lineRule="exact"/>
      <w:ind w:left="1260" w:leftChars="600"/>
    </w:pPr>
    <w:rPr>
      <w:rFonts w:hAnsi="宋体"/>
    </w:rPr>
  </w:style>
  <w:style w:type="paragraph" w:styleId="21">
    <w:name w:val="footnote text"/>
    <w:basedOn w:val="1"/>
    <w:semiHidden/>
    <w:unhideWhenUsed/>
    <w:qFormat/>
    <w:uiPriority w:val="99"/>
    <w:pPr>
      <w:widowControl/>
      <w:numPr>
        <w:ilvl w:val="0"/>
        <w:numId w:val="3"/>
      </w:numPr>
      <w:autoSpaceDE w:val="0"/>
      <w:autoSpaceDN w:val="0"/>
      <w:snapToGrid/>
      <w:ind w:left="1380" w:leftChars="200" w:hanging="960" w:hangingChars="200"/>
      <w:jc w:val="both"/>
    </w:pPr>
    <w:rPr>
      <w:rFonts w:hAnsi="宋体"/>
      <w:sz w:val="15"/>
    </w:rPr>
  </w:style>
  <w:style w:type="paragraph" w:styleId="22">
    <w:name w:val="toc 6"/>
    <w:basedOn w:val="1"/>
    <w:next w:val="1"/>
    <w:semiHidden/>
    <w:unhideWhenUsed/>
    <w:qFormat/>
    <w:uiPriority w:val="39"/>
    <w:pPr>
      <w:spacing w:line="300" w:lineRule="exact"/>
      <w:ind w:left="2100" w:leftChars="1000"/>
    </w:pPr>
    <w:rPr>
      <w:rFonts w:hAnsi="宋体"/>
    </w:rPr>
  </w:style>
  <w:style w:type="paragraph" w:styleId="23">
    <w:name w:val="toc 2"/>
    <w:basedOn w:val="1"/>
    <w:next w:val="1"/>
    <w:unhideWhenUsed/>
    <w:qFormat/>
    <w:uiPriority w:val="39"/>
    <w:pPr>
      <w:spacing w:line="300" w:lineRule="exact"/>
      <w:ind w:left="420" w:leftChars="200"/>
    </w:pPr>
    <w:rPr>
      <w:rFonts w:hAnsi="宋体"/>
    </w:rPr>
  </w:style>
  <w:style w:type="paragraph" w:styleId="24">
    <w:name w:val="Body Text First Indent 2"/>
    <w:basedOn w:val="12"/>
    <w:qFormat/>
    <w:uiPriority w:val="99"/>
    <w:pPr>
      <w:ind w:left="200" w:firstLine="420" w:firstLineChars="200"/>
    </w:pPr>
  </w:style>
  <w:style w:type="table" w:styleId="26">
    <w:name w:val="Table Grid"/>
    <w:basedOn w:val="2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8">
    <w:name w:val="FollowedHyperlink"/>
    <w:basedOn w:val="27"/>
    <w:semiHidden/>
    <w:unhideWhenUsed/>
    <w:qFormat/>
    <w:uiPriority w:val="99"/>
    <w:rPr>
      <w:color w:val="800080" w:themeColor="followedHyperlink"/>
      <w:u w:val="single"/>
      <w14:textFill>
        <w14:solidFill>
          <w14:schemeClr w14:val="folHlink"/>
        </w14:solidFill>
      </w14:textFill>
    </w:rPr>
  </w:style>
  <w:style w:type="character" w:styleId="29">
    <w:name w:val="Hyperlink"/>
    <w:basedOn w:val="27"/>
    <w:unhideWhenUsed/>
    <w:qFormat/>
    <w:uiPriority w:val="99"/>
    <w:rPr>
      <w:color w:val="0000FF" w:themeColor="hyperlink"/>
      <w:u w:val="single"/>
      <w14:textFill>
        <w14:solidFill>
          <w14:schemeClr w14:val="hlink"/>
        </w14:solidFill>
      </w14:textFill>
    </w:rPr>
  </w:style>
  <w:style w:type="character" w:styleId="30">
    <w:name w:val="footnote reference"/>
    <w:basedOn w:val="27"/>
    <w:semiHidden/>
    <w:unhideWhenUsed/>
    <w:qFormat/>
    <w:uiPriority w:val="99"/>
    <w:rPr>
      <w:rFonts w:hAnsi="宋体" w:cs="宋体"/>
      <w:sz w:val="18"/>
      <w:vertAlign w:val="superscript"/>
    </w:rPr>
  </w:style>
  <w:style w:type="character" w:customStyle="1" w:styleId="31">
    <w:name w:val="页眉 Char"/>
    <w:basedOn w:val="27"/>
    <w:link w:val="18"/>
    <w:qFormat/>
    <w:uiPriority w:val="99"/>
    <w:rPr>
      <w:sz w:val="18"/>
      <w:szCs w:val="18"/>
    </w:rPr>
  </w:style>
  <w:style w:type="character" w:customStyle="1" w:styleId="32">
    <w:name w:val="页脚 Char"/>
    <w:basedOn w:val="27"/>
    <w:link w:val="17"/>
    <w:qFormat/>
    <w:uiPriority w:val="99"/>
    <w:rPr>
      <w:sz w:val="18"/>
      <w:szCs w:val="18"/>
    </w:rPr>
  </w:style>
  <w:style w:type="paragraph" w:styleId="33">
    <w:name w:val="List Paragraph"/>
    <w:basedOn w:val="1"/>
    <w:qFormat/>
    <w:uiPriority w:val="34"/>
    <w:pPr>
      <w:ind w:firstLine="420" w:firstLineChars="200"/>
    </w:pPr>
  </w:style>
  <w:style w:type="character" w:customStyle="1" w:styleId="34">
    <w:name w:val="批注框文本 Char"/>
    <w:basedOn w:val="27"/>
    <w:link w:val="16"/>
    <w:semiHidden/>
    <w:qFormat/>
    <w:uiPriority w:val="99"/>
    <w:rPr>
      <w:sz w:val="18"/>
      <w:szCs w:val="18"/>
    </w:rPr>
  </w:style>
  <w:style w:type="character" w:styleId="35">
    <w:name w:val="Placeholder Text"/>
    <w:basedOn w:val="27"/>
    <w:semiHidden/>
    <w:qFormat/>
    <w:uiPriority w:val="99"/>
    <w:rPr>
      <w:color w:val="808080"/>
    </w:rPr>
  </w:style>
  <w:style w:type="paragraph" w:customStyle="1" w:styleId="36">
    <w:name w:val="Default"/>
    <w:qFormat/>
    <w:uiPriority w:val="0"/>
    <w:pPr>
      <w:widowControl w:val="0"/>
      <w:autoSpaceDE w:val="0"/>
      <w:autoSpaceDN w:val="0"/>
      <w:adjustRightInd w:val="0"/>
    </w:pPr>
    <w:rPr>
      <w:rFonts w:ascii="Times New Roman" w:hAnsi="Times New Roman" w:cs="Times New Roman" w:eastAsiaTheme="minorEastAsia"/>
      <w:color w:val="000000"/>
      <w:sz w:val="24"/>
      <w:szCs w:val="24"/>
      <w:lang w:val="en-US" w:eastAsia="zh-CN" w:bidi="ar-SA"/>
    </w:rPr>
  </w:style>
  <w:style w:type="character" w:customStyle="1" w:styleId="37">
    <w:name w:val="标题 2 Char"/>
    <w:basedOn w:val="27"/>
    <w:link w:val="3"/>
    <w:qFormat/>
    <w:uiPriority w:val="9"/>
    <w:rPr>
      <w:rFonts w:asciiTheme="majorHAnsi" w:hAnsiTheme="majorHAnsi" w:eastAsiaTheme="majorEastAsia" w:cstheme="majorBidi"/>
      <w:b/>
      <w:bCs/>
      <w:sz w:val="32"/>
      <w:szCs w:val="32"/>
    </w:rPr>
  </w:style>
  <w:style w:type="character" w:customStyle="1" w:styleId="38">
    <w:name w:val="标题 1 Char"/>
    <w:basedOn w:val="27"/>
    <w:link w:val="2"/>
    <w:qFormat/>
    <w:uiPriority w:val="9"/>
    <w:rPr>
      <w:b/>
      <w:bCs/>
      <w:kern w:val="44"/>
      <w:sz w:val="44"/>
      <w:szCs w:val="44"/>
    </w:rPr>
  </w:style>
  <w:style w:type="paragraph" w:customStyle="1" w:styleId="39">
    <w:name w:val="TOC 标题1"/>
    <w:basedOn w:val="2"/>
    <w:next w:val="1"/>
    <w:semiHidden/>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40">
    <w:name w:val="日期 Char"/>
    <w:basedOn w:val="27"/>
    <w:link w:val="15"/>
    <w:semiHidden/>
    <w:qFormat/>
    <w:uiPriority w:val="99"/>
  </w:style>
  <w:style w:type="character" w:customStyle="1" w:styleId="41">
    <w:name w:val="正文文本 Char"/>
    <w:basedOn w:val="27"/>
    <w:link w:val="11"/>
    <w:semiHidden/>
    <w:qFormat/>
    <w:uiPriority w:val="0"/>
    <w:rPr>
      <w:rFonts w:ascii="黑体" w:hAnsi="黑体" w:eastAsia="黑体" w:cs="黑体"/>
      <w:snapToGrid w:val="0"/>
      <w:color w:val="000000"/>
      <w:kern w:val="0"/>
      <w:sz w:val="47"/>
      <w:szCs w:val="47"/>
      <w:lang w:eastAsia="en-US"/>
    </w:rPr>
  </w:style>
  <w:style w:type="paragraph" w:styleId="42">
    <w:name w:val="No Spacing"/>
    <w:link w:val="43"/>
    <w:qFormat/>
    <w:uiPriority w:val="1"/>
    <w:rPr>
      <w:rFonts w:asciiTheme="minorHAnsi" w:hAnsiTheme="minorHAnsi" w:eastAsiaTheme="minorEastAsia" w:cstheme="minorBidi"/>
      <w:sz w:val="22"/>
      <w:szCs w:val="22"/>
      <w:lang w:val="en-US" w:eastAsia="zh-CN" w:bidi="ar-SA"/>
    </w:rPr>
  </w:style>
  <w:style w:type="character" w:customStyle="1" w:styleId="43">
    <w:name w:val="无间隔 Char"/>
    <w:basedOn w:val="27"/>
    <w:link w:val="42"/>
    <w:qFormat/>
    <w:uiPriority w:val="1"/>
    <w:rPr>
      <w:sz w:val="22"/>
      <w:szCs w:val="22"/>
    </w:rPr>
  </w:style>
  <w:style w:type="paragraph" w:customStyle="1" w:styleId="44">
    <w:name w:val="标准文件_段"/>
    <w:qFormat/>
    <w:uiPriority w:val="0"/>
    <w:pPr>
      <w:ind w:firstLine="960" w:firstLineChars="200"/>
      <w:jc w:val="both"/>
    </w:pPr>
    <w:rPr>
      <w:rFonts w:hint="eastAsia" w:ascii="宋体" w:hAnsi="Times New Roman" w:eastAsia="宋体" w:cs="宋体"/>
      <w:sz w:val="21"/>
    </w:rPr>
  </w:style>
  <w:style w:type="paragraph" w:customStyle="1" w:styleId="45">
    <w:name w:val="标准标志"/>
    <w:next w:val="1"/>
    <w:uiPriority w:val="0"/>
    <w:pPr>
      <w:framePr w:w="2546" w:h="1134" w:hRule="exact" w:hSpace="181" w:wrap="around" w:vAnchor="margin" w:hAnchor="margin" w:x="6521" w:y="421" w:anchorLock="1"/>
      <w:shd w:val="clear" w:fill="FFFFFF"/>
      <w:spacing w:line="0" w:lineRule="atLeast"/>
      <w:jc w:val="right"/>
    </w:pPr>
    <w:rPr>
      <w:rFonts w:hint="eastAsia" w:ascii="Times New Roman" w:hAnsi="Times New Roman" w:eastAsia="宋体" w:cs="Times New Roman"/>
      <w:b/>
      <w:w w:val="170"/>
      <w:sz w:val="96"/>
    </w:rPr>
  </w:style>
  <w:style w:type="paragraph" w:customStyle="1" w:styleId="46">
    <w:name w:val="标准标志2"/>
    <w:next w:val="1"/>
    <w:uiPriority w:val="0"/>
    <w:pPr>
      <w:framePr w:wrap="around" w:vAnchor="margin" w:hAnchor="margin" w:x="5614" w:y="398" w:anchorLock="1"/>
      <w:spacing w:line="0" w:lineRule="atLeast"/>
      <w:jc w:val="right"/>
    </w:pPr>
    <w:rPr>
      <w:rFonts w:hint="eastAsia" w:ascii="Times New Roman" w:hAnsi="Times New Roman" w:eastAsia="宋体" w:cs="Times New Roman"/>
      <w:b/>
      <w:w w:val="130"/>
      <w:sz w:val="96"/>
    </w:rPr>
  </w:style>
  <w:style w:type="paragraph" w:customStyle="1" w:styleId="47">
    <w:name w:val="标准称谓"/>
    <w:next w:val="1"/>
    <w:uiPriority w:val="0"/>
    <w:pPr>
      <w:framePr w:w="9639" w:h="624" w:hRule="exact" w:hSpace="181" w:vSpace="181" w:wrap="around" w:vAnchor="page" w:hAnchor="page" w:x="1305" w:y="2269" w:anchorLock="1"/>
      <w:widowControl w:val="0"/>
      <w:kinsoku w:val="0"/>
      <w:overflowPunct w:val="0"/>
      <w:autoSpaceDE w:val="0"/>
      <w:autoSpaceDN w:val="0"/>
      <w:spacing w:line="0" w:lineRule="atLeast"/>
      <w:jc w:val="distribute"/>
    </w:pPr>
    <w:rPr>
      <w:rFonts w:hint="eastAsia" w:ascii="宋体" w:hAnsi="Times New Roman" w:eastAsia="宋体" w:cs="Times New Roman"/>
      <w:b/>
      <w:w w:val="148"/>
      <w:sz w:val="48"/>
    </w:rPr>
  </w:style>
  <w:style w:type="paragraph" w:customStyle="1" w:styleId="48">
    <w:name w:val="标准称谓2"/>
    <w:next w:val="1"/>
    <w:qFormat/>
    <w:uiPriority w:val="0"/>
    <w:pPr>
      <w:framePr w:w="6781" w:h="907" w:hRule="exact" w:hSpace="181" w:vSpace="181" w:wrap="around" w:vAnchor="page" w:hAnchor="page" w:xAlign="center" w:y="2269" w:anchorLock="1"/>
      <w:widowControl w:val="0"/>
      <w:kinsoku w:val="0"/>
      <w:overflowPunct w:val="0"/>
      <w:autoSpaceDE w:val="0"/>
      <w:autoSpaceDN w:val="0"/>
      <w:spacing w:line="0" w:lineRule="atLeast"/>
      <w:jc w:val="distribute"/>
    </w:pPr>
    <w:rPr>
      <w:rFonts w:hint="eastAsia" w:ascii="Times New Roman" w:hAnsi="Times New Roman" w:eastAsia="黑体" w:cs="Times New Roman"/>
      <w:spacing w:val="-40"/>
      <w:kern w:val="2"/>
      <w:sz w:val="72"/>
      <w:szCs w:val="72"/>
    </w:rPr>
  </w:style>
  <w:style w:type="paragraph" w:customStyle="1" w:styleId="49">
    <w:name w:val="标准称谓3"/>
    <w:next w:val="1"/>
    <w:qFormat/>
    <w:uiPriority w:val="0"/>
    <w:pPr>
      <w:framePr w:w="9639" w:h="624" w:hRule="exact" w:hSpace="181" w:vSpace="181" w:wrap="around" w:vAnchor="page" w:hAnchor="page" w:x="1305" w:y="2269" w:anchorLock="1"/>
      <w:widowControl w:val="0"/>
      <w:kinsoku w:val="0"/>
      <w:overflowPunct w:val="0"/>
      <w:autoSpaceDE w:val="0"/>
      <w:autoSpaceDN w:val="0"/>
      <w:spacing w:line="0" w:lineRule="atLeast"/>
      <w:jc w:val="distribute"/>
    </w:pPr>
    <w:rPr>
      <w:rFonts w:hint="eastAsia" w:ascii="黑体" w:hAnsi="Times New Roman" w:eastAsia="黑体" w:cs="Times New Roman"/>
      <w:sz w:val="48"/>
    </w:rPr>
  </w:style>
  <w:style w:type="paragraph" w:customStyle="1" w:styleId="50">
    <w:name w:val="标准书脚_奇数页"/>
    <w:uiPriority w:val="0"/>
    <w:pPr>
      <w:ind w:right="227"/>
      <w:jc w:val="right"/>
    </w:pPr>
    <w:rPr>
      <w:rFonts w:hint="eastAsia" w:ascii="宋体" w:hAnsi="Times New Roman" w:eastAsia="宋体" w:cs="宋体"/>
      <w:sz w:val="18"/>
    </w:rPr>
  </w:style>
  <w:style w:type="paragraph" w:customStyle="1" w:styleId="51">
    <w:name w:val="标准书眉_奇数页"/>
    <w:next w:val="1"/>
    <w:uiPriority w:val="0"/>
    <w:pPr>
      <w:tabs>
        <w:tab w:val="center" w:pos="4153"/>
        <w:tab w:val="right" w:pos="8306"/>
      </w:tabs>
      <w:spacing w:after="120"/>
      <w:jc w:val="right"/>
    </w:pPr>
    <w:rPr>
      <w:rFonts w:hint="eastAsia" w:ascii="黑体" w:hAnsi="Times New Roman" w:eastAsia="黑体" w:cs="黑体"/>
      <w:sz w:val="21"/>
    </w:rPr>
  </w:style>
  <w:style w:type="paragraph" w:customStyle="1" w:styleId="52">
    <w:name w:val="标准书眉_偶数页"/>
    <w:next w:val="1"/>
    <w:qFormat/>
    <w:uiPriority w:val="0"/>
    <w:pPr>
      <w:spacing w:after="120"/>
    </w:pPr>
    <w:rPr>
      <w:rFonts w:hint="eastAsia" w:ascii="黑体" w:hAnsi="Times New Roman" w:eastAsia="黑体" w:cs="黑体"/>
      <w:sz w:val="21"/>
    </w:rPr>
  </w:style>
  <w:style w:type="paragraph" w:customStyle="1" w:styleId="53">
    <w:name w:val="标准文件_参考文献标题"/>
    <w:basedOn w:val="1"/>
    <w:next w:val="1"/>
    <w:qFormat/>
    <w:uiPriority w:val="0"/>
    <w:pPr>
      <w:widowControl/>
      <w:spacing w:before="0" w:beforeLines="40" w:after="0" w:afterLines="50"/>
      <w:jc w:val="center"/>
      <w:outlineLvl w:val="0"/>
    </w:pPr>
    <w:rPr>
      <w:rFonts w:ascii="黑体" w:hAnsi="Times New Roman" w:eastAsia="黑体" w:cs="黑体"/>
      <w:kern w:val="0"/>
    </w:rPr>
  </w:style>
  <w:style w:type="paragraph" w:customStyle="1" w:styleId="54">
    <w:name w:val="封面标准顶部线"/>
    <w:uiPriority w:val="0"/>
    <w:pPr>
      <w:framePr w:w="9673" w:hSpace="181" w:wrap="around" w:vAnchor="page" w:hAnchor="page" w:x="1390" w:y="4242"/>
      <w:spacing w:line="0" w:lineRule="atLeast"/>
    </w:pPr>
    <w:rPr>
      <w:rFonts w:hint="eastAsia" w:ascii="宋体" w:hAnsi="Times New Roman" w:eastAsia="宋体" w:cs="Times New Roman"/>
      <w:sz w:val="21"/>
    </w:rPr>
  </w:style>
  <w:style w:type="paragraph" w:customStyle="1" w:styleId="55">
    <w:name w:val="发布部门"/>
    <w:next w:val="44"/>
    <w:qFormat/>
    <w:uiPriority w:val="0"/>
    <w:pPr>
      <w:framePr w:w="7938" w:h="1134" w:hRule="exact" w:hSpace="125" w:vSpace="181" w:wrap="around" w:vAnchor="page" w:hAnchor="page" w:x="2150" w:y="14630" w:anchorLock="1"/>
      <w:spacing w:before="100"/>
      <w:jc w:val="center"/>
    </w:pPr>
    <w:rPr>
      <w:rFonts w:hint="eastAsia" w:ascii="宋体" w:hAnsi="Times New Roman" w:eastAsia="宋体" w:cs="Times New Roman"/>
      <w:spacing w:val="20"/>
      <w:w w:val="135"/>
      <w:sz w:val="28"/>
    </w:rPr>
  </w:style>
  <w:style w:type="paragraph" w:customStyle="1" w:styleId="56">
    <w:name w:val="发布日期"/>
    <w:qFormat/>
    <w:uiPriority w:val="0"/>
    <w:pPr>
      <w:framePr w:w="3997" w:h="471" w:hRule="exact" w:hSpace="181" w:vSpace="181" w:wrap="around" w:vAnchor="margin" w:hAnchor="page" w:y="14080" w:anchorLock="1"/>
      <w:spacing w:line="360" w:lineRule="exact"/>
    </w:pPr>
    <w:rPr>
      <w:rFonts w:hint="eastAsia" w:ascii="黑体" w:hAnsi="Times New Roman" w:eastAsia="黑体" w:cs="Times New Roman"/>
      <w:sz w:val="28"/>
    </w:rPr>
  </w:style>
  <w:style w:type="paragraph" w:customStyle="1" w:styleId="57">
    <w:name w:val="实施日期"/>
    <w:basedOn w:val="56"/>
    <w:uiPriority w:val="0"/>
    <w:pPr>
      <w:framePr w:hSpace="0" w:wrap="around" w:vAnchor="page" w:hAnchor="page" w:x="7089" w:y="14176"/>
      <w:jc w:val="right"/>
    </w:pPr>
  </w:style>
  <w:style w:type="paragraph" w:customStyle="1" w:styleId="58">
    <w:name w:val="封面日期"/>
    <w:qFormat/>
    <w:uiPriority w:val="0"/>
    <w:pPr>
      <w:framePr w:w="9673" w:vSpace="181" w:wrap="around" w:vAnchor="page" w:hAnchor="page" w:x="1419" w:y="14176" w:anchorLock="1"/>
      <w:spacing w:line="360" w:lineRule="exact"/>
    </w:pPr>
    <w:rPr>
      <w:rFonts w:hint="eastAsia" w:ascii="黑体" w:hAnsi="Times New Roman" w:eastAsia="黑体" w:cs="Times New Roman"/>
      <w:sz w:val="28"/>
    </w:rPr>
  </w:style>
  <w:style w:type="paragraph" w:customStyle="1" w:styleId="59">
    <w:name w:val="封面标准代替信息"/>
    <w:uiPriority w:val="0"/>
    <w:pPr>
      <w:framePr w:w="9355" w:h="624" w:hRule="exact" w:hSpace="181" w:vSpace="181" w:wrap="around" w:vAnchor="page" w:hAnchor="page" w:x="1419" w:y="3284"/>
      <w:spacing w:before="57" w:line="280" w:lineRule="exact"/>
      <w:jc w:val="right"/>
    </w:pPr>
    <w:rPr>
      <w:rFonts w:hint="eastAsia" w:ascii="黑体" w:hAnsi="Times New Roman" w:eastAsia="黑体" w:cs="Times New Roman"/>
      <w:sz w:val="21"/>
    </w:rPr>
  </w:style>
  <w:style w:type="paragraph" w:customStyle="1" w:styleId="60">
    <w:name w:val="封面标准号2"/>
    <w:qFormat/>
    <w:uiPriority w:val="0"/>
    <w:pPr>
      <w:framePr w:w="9355" w:h="624" w:hRule="exact" w:hSpace="181" w:vSpace="181" w:wrap="around" w:vAnchor="page" w:hAnchor="page" w:x="1419" w:y="3284"/>
      <w:spacing w:line="280" w:lineRule="exact"/>
      <w:jc w:val="right"/>
    </w:pPr>
    <w:rPr>
      <w:rFonts w:hint="eastAsia" w:ascii="黑体" w:hAnsi="Times New Roman" w:eastAsia="黑体" w:cs="Times New Roman"/>
      <w:sz w:val="28"/>
    </w:rPr>
  </w:style>
  <w:style w:type="paragraph" w:customStyle="1" w:styleId="61">
    <w:name w:val="封面标准名称"/>
    <w:qFormat/>
    <w:uiPriority w:val="0"/>
    <w:pPr>
      <w:framePr w:w="9639" w:h="6974" w:hRule="exact" w:wrap="around" w:vAnchor="page" w:hAnchor="page" w:x="1419" w:y="6408"/>
      <w:spacing w:line="700" w:lineRule="exact"/>
      <w:jc w:val="center"/>
    </w:pPr>
    <w:rPr>
      <w:rFonts w:hint="eastAsia" w:ascii="黑体" w:hAnsi="Times New Roman" w:eastAsia="黑体" w:cs="Times New Roman"/>
      <w:sz w:val="52"/>
    </w:rPr>
  </w:style>
  <w:style w:type="paragraph" w:customStyle="1" w:styleId="62">
    <w:name w:val="封面标准英文名称"/>
    <w:basedOn w:val="61"/>
    <w:uiPriority w:val="0"/>
    <w:pPr>
      <w:widowControl w:val="0"/>
      <w:spacing w:before="410" w:line="360" w:lineRule="exact"/>
      <w:textAlignment w:val="bottom"/>
    </w:pPr>
    <w:rPr>
      <w:rFonts w:ascii="Times New Roman" w:hAnsi="Times New Roman" w:cs="Times New Roman"/>
      <w:sz w:val="28"/>
    </w:rPr>
  </w:style>
  <w:style w:type="paragraph" w:customStyle="1" w:styleId="63">
    <w:name w:val="封面一致性程度标识"/>
    <w:basedOn w:val="62"/>
    <w:uiPriority w:val="0"/>
    <w:pPr>
      <w:spacing w:before="760"/>
    </w:pPr>
  </w:style>
  <w:style w:type="paragraph" w:customStyle="1" w:styleId="64">
    <w:name w:val="封面标准文稿类别"/>
    <w:basedOn w:val="63"/>
    <w:uiPriority w:val="0"/>
    <w:pPr>
      <w:spacing w:before="440" w:after="160"/>
    </w:pPr>
    <w:rPr>
      <w:rFonts w:ascii="黑体" w:hAnsi="黑体" w:cs="黑体"/>
      <w:sz w:val="24"/>
    </w:rPr>
  </w:style>
  <w:style w:type="paragraph" w:customStyle="1" w:styleId="65">
    <w:name w:val="封面标准文稿编辑信息"/>
    <w:basedOn w:val="64"/>
    <w:qFormat/>
    <w:uiPriority w:val="0"/>
    <w:pPr>
      <w:spacing w:before="180" w:line="240" w:lineRule="atLeast"/>
    </w:pPr>
    <w:rPr>
      <w:sz w:val="21"/>
    </w:rPr>
  </w:style>
  <w:style w:type="paragraph" w:customStyle="1" w:styleId="66">
    <w:name w:val="封面标准文稿附件"/>
    <w:basedOn w:val="64"/>
    <w:uiPriority w:val="0"/>
    <w:pPr>
      <w:spacing w:before="0" w:beforeLines="300" w:after="0" w:afterLines="30" w:line="240" w:lineRule="auto"/>
    </w:pPr>
    <w:rPr>
      <w:rFonts w:ascii="Times New Roman" w:hAnsi="Times New Roman" w:cs="Times New Roman"/>
      <w:b/>
      <w:sz w:val="21"/>
    </w:rPr>
  </w:style>
  <w:style w:type="paragraph" w:customStyle="1" w:styleId="67">
    <w:name w:val="其他发布部门"/>
    <w:basedOn w:val="55"/>
    <w:qFormat/>
    <w:uiPriority w:val="0"/>
    <w:pPr>
      <w:framePr w:wrap="around" w:y="15310"/>
      <w:spacing w:line="0" w:lineRule="atLeast"/>
    </w:pPr>
    <w:rPr>
      <w:rFonts w:ascii="黑体" w:hAnsi="黑体" w:eastAsia="黑体" w:cs="黑体"/>
    </w:rPr>
  </w:style>
  <w:style w:type="paragraph" w:customStyle="1" w:styleId="68">
    <w:name w:val="其他发布部门2"/>
    <w:basedOn w:val="55"/>
    <w:qFormat/>
    <w:uiPriority w:val="0"/>
    <w:pPr>
      <w:framePr w:w="7433" w:h="584" w:hRule="exact" w:hSpace="181" w:wrap="around" w:vAnchor="margin" w:hAnchor="margin" w:xAlign="center" w:y="15027"/>
      <w:spacing w:line="0" w:lineRule="atLeast"/>
    </w:pPr>
    <w:rPr>
      <w:rFonts w:ascii="黑体" w:hAnsi="黑体" w:eastAsia="黑体" w:cs="Times New Roman"/>
      <w:spacing w:val="0"/>
      <w:w w:val="100"/>
    </w:rPr>
  </w:style>
  <w:style w:type="paragraph" w:customStyle="1" w:styleId="69">
    <w:name w:val="其他发布部门3"/>
    <w:uiPriority w:val="0"/>
    <w:pPr>
      <w:framePr w:w="9248" w:h="1259" w:hRule="exact" w:hSpace="181" w:vSpace="181" w:wrap="auto" w:vAnchor="margin" w:hAnchor="margin" w:xAlign="center" w:y="14545"/>
      <w:spacing w:line="0" w:lineRule="atLeast"/>
      <w:jc w:val="center"/>
    </w:pPr>
    <w:rPr>
      <w:rFonts w:hint="eastAsia" w:ascii="黑体" w:hAnsi="Times New Roman" w:eastAsia="黑体" w:cs="Times New Roman"/>
      <w:sz w:val="28"/>
    </w:rPr>
  </w:style>
  <w:style w:type="paragraph" w:customStyle="1" w:styleId="70">
    <w:name w:val="其他发布日期"/>
    <w:basedOn w:val="56"/>
    <w:qFormat/>
    <w:uiPriority w:val="0"/>
    <w:pPr>
      <w:framePr w:hSpace="0" w:wrap="around" w:vAnchor="page" w:hAnchor="page" w:x="1419" w:y="14176"/>
    </w:pPr>
  </w:style>
  <w:style w:type="paragraph" w:customStyle="1" w:styleId="71">
    <w:name w:val="其他实施日期"/>
    <w:basedOn w:val="57"/>
    <w:qFormat/>
    <w:uiPriority w:val="0"/>
  </w:style>
  <w:style w:type="paragraph" w:customStyle="1" w:styleId="72">
    <w:name w:val="文献分类号"/>
    <w:uiPriority w:val="0"/>
    <w:pPr>
      <w:framePr w:wrap="around" w:vAnchor="page" w:hAnchor="page" w:x="1373" w:y="568"/>
      <w:widowControl w:val="0"/>
      <w:textAlignment w:val="center"/>
    </w:pPr>
    <w:rPr>
      <w:rFonts w:hint="eastAsia" w:ascii="黑体" w:hAnsi="Times New Roman" w:eastAsia="黑体" w:cs="Times New Roman"/>
      <w:kern w:val="21"/>
      <w:sz w:val="21"/>
    </w:rPr>
  </w:style>
  <w:style w:type="paragraph" w:customStyle="1" w:styleId="73">
    <w:name w:val="标准文件_目录标题"/>
    <w:basedOn w:val="1"/>
    <w:uiPriority w:val="0"/>
    <w:pPr>
      <w:shd w:val="clear" w:fill="FFFFFF"/>
      <w:spacing w:after="0" w:afterLines="150"/>
      <w:jc w:val="center"/>
    </w:pPr>
    <w:rPr>
      <w:rFonts w:ascii="黑体" w:hAnsi="Times New Roman" w:eastAsia="黑体" w:cs="黑体"/>
      <w:kern w:val="0"/>
      <w:sz w:val="32"/>
    </w:rPr>
  </w:style>
  <w:style w:type="paragraph" w:customStyle="1" w:styleId="74">
    <w:name w:val="标准文件_前言、引言标题"/>
    <w:next w:val="1"/>
    <w:qFormat/>
    <w:uiPriority w:val="0"/>
    <w:pPr>
      <w:numPr>
        <w:ilvl w:val="0"/>
        <w:numId w:val="4"/>
      </w:numPr>
      <w:suppressAutoHyphens w:val="0"/>
      <w:spacing w:after="0" w:afterLines="150"/>
      <w:ind w:left="425" w:hanging="425"/>
      <w:jc w:val="center"/>
      <w:outlineLvl w:val="0"/>
    </w:pPr>
    <w:rPr>
      <w:rFonts w:hint="eastAsia" w:ascii="黑体" w:hAnsi="Times New Roman" w:eastAsia="黑体" w:cs="黑体"/>
      <w:sz w:val="32"/>
    </w:rPr>
  </w:style>
  <w:style w:type="paragraph" w:customStyle="1" w:styleId="75">
    <w:name w:val="标准文件_正文标准名称"/>
    <w:basedOn w:val="1"/>
    <w:link w:val="139"/>
    <w:uiPriority w:val="0"/>
    <w:pPr>
      <w:widowControl/>
      <w:suppressAutoHyphens w:val="0"/>
      <w:spacing w:after="640" w:line="400" w:lineRule="exact"/>
      <w:jc w:val="center"/>
    </w:pPr>
    <w:rPr>
      <w:rFonts w:ascii="黑体" w:hAnsi="黑体" w:eastAsia="黑体" w:cs="黑体"/>
      <w:sz w:val="32"/>
    </w:rPr>
  </w:style>
  <w:style w:type="paragraph" w:customStyle="1" w:styleId="76">
    <w:name w:val="标准文件_一级项"/>
    <w:next w:val="44"/>
    <w:qFormat/>
    <w:uiPriority w:val="0"/>
    <w:pPr>
      <w:numPr>
        <w:ilvl w:val="0"/>
        <w:numId w:val="5"/>
      </w:numPr>
      <w:suppressAutoHyphens w:val="0"/>
      <w:ind w:left="851" w:hanging="426"/>
    </w:pPr>
    <w:rPr>
      <w:rFonts w:hint="eastAsia" w:ascii="宋体" w:hAnsi="Times New Roman" w:eastAsia="宋体" w:cs="宋体"/>
      <w:sz w:val="21"/>
    </w:rPr>
  </w:style>
  <w:style w:type="paragraph" w:customStyle="1" w:styleId="77">
    <w:name w:val="标准文件_二级项2"/>
    <w:basedOn w:val="44"/>
    <w:next w:val="44"/>
    <w:uiPriority w:val="0"/>
    <w:pPr>
      <w:numPr>
        <w:ilvl w:val="1"/>
        <w:numId w:val="5"/>
      </w:numPr>
      <w:suppressAutoHyphens w:val="0"/>
      <w:ind w:left="1270" w:hanging="419"/>
    </w:pPr>
    <w:rPr>
      <w:rFonts w:hAnsi="Times New Roman"/>
    </w:rPr>
  </w:style>
  <w:style w:type="paragraph" w:customStyle="1" w:styleId="78">
    <w:name w:val="标准文件_三级项"/>
    <w:basedOn w:val="1"/>
    <w:next w:val="44"/>
    <w:qFormat/>
    <w:uiPriority w:val="0"/>
    <w:pPr>
      <w:numPr>
        <w:ilvl w:val="2"/>
        <w:numId w:val="6"/>
      </w:numPr>
      <w:suppressAutoHyphens w:val="0"/>
      <w:spacing w:line="300" w:lineRule="exact"/>
      <w:ind w:left="1678" w:hanging="414"/>
    </w:pPr>
    <w:rPr>
      <w:rFonts w:hAnsi="+西文正文"/>
    </w:rPr>
  </w:style>
  <w:style w:type="paragraph" w:customStyle="1" w:styleId="79">
    <w:name w:val="标准文件_字母编号列项（一级）"/>
    <w:next w:val="44"/>
    <w:qFormat/>
    <w:uiPriority w:val="0"/>
    <w:pPr>
      <w:numPr>
        <w:ilvl w:val="0"/>
        <w:numId w:val="6"/>
      </w:numPr>
      <w:tabs>
        <w:tab w:val="left" w:pos="839"/>
      </w:tabs>
      <w:ind w:left="851" w:hanging="426"/>
      <w:jc w:val="both"/>
    </w:pPr>
    <w:rPr>
      <w:rFonts w:hint="eastAsia" w:ascii="宋体" w:hAnsi="Times New Roman" w:eastAsia="宋体" w:cs="宋体"/>
      <w:sz w:val="21"/>
    </w:rPr>
  </w:style>
  <w:style w:type="paragraph" w:customStyle="1" w:styleId="80">
    <w:name w:val="标准文件_数字编号列项（二级）"/>
    <w:next w:val="44"/>
    <w:uiPriority w:val="0"/>
    <w:pPr>
      <w:numPr>
        <w:ilvl w:val="1"/>
        <w:numId w:val="6"/>
      </w:numPr>
      <w:tabs>
        <w:tab w:val="left" w:pos="1259"/>
        <w:tab w:val="clear" w:pos="1276"/>
      </w:tabs>
      <w:ind w:left="1259" w:hanging="419"/>
      <w:jc w:val="both"/>
    </w:pPr>
    <w:rPr>
      <w:rFonts w:hint="eastAsia" w:ascii="宋体" w:hAnsi="Times New Roman" w:eastAsia="宋体" w:cs="Times New Roman"/>
      <w:sz w:val="21"/>
    </w:rPr>
  </w:style>
  <w:style w:type="paragraph" w:customStyle="1" w:styleId="81">
    <w:name w:val="标准文件_引言一级条标题"/>
    <w:basedOn w:val="44"/>
    <w:next w:val="44"/>
    <w:qFormat/>
    <w:uiPriority w:val="0"/>
    <w:pPr>
      <w:numPr>
        <w:ilvl w:val="1"/>
        <w:numId w:val="4"/>
      </w:numPr>
      <w:spacing w:beforeLines="50" w:afterLines="50"/>
    </w:pPr>
    <w:rPr>
      <w:rFonts w:ascii="黑体" w:hAnsi="黑体" w:eastAsia="黑体" w:cs="黑体"/>
    </w:rPr>
  </w:style>
  <w:style w:type="paragraph" w:customStyle="1" w:styleId="82">
    <w:name w:val="标准文件_引言二级条标题"/>
    <w:basedOn w:val="44"/>
    <w:next w:val="44"/>
    <w:uiPriority w:val="0"/>
    <w:pPr>
      <w:numPr>
        <w:ilvl w:val="2"/>
        <w:numId w:val="4"/>
      </w:numPr>
      <w:spacing w:beforeLines="50" w:afterLines="50"/>
    </w:pPr>
    <w:rPr>
      <w:rFonts w:ascii="黑体" w:hAnsi="黑体" w:eastAsia="黑体" w:cs="黑体"/>
    </w:rPr>
  </w:style>
  <w:style w:type="paragraph" w:customStyle="1" w:styleId="83">
    <w:name w:val="标准文件_引言三级条标题"/>
    <w:basedOn w:val="44"/>
    <w:next w:val="44"/>
    <w:qFormat/>
    <w:uiPriority w:val="0"/>
    <w:pPr>
      <w:numPr>
        <w:ilvl w:val="3"/>
        <w:numId w:val="4"/>
      </w:numPr>
      <w:spacing w:beforeLines="50" w:afterLines="50"/>
    </w:pPr>
    <w:rPr>
      <w:rFonts w:ascii="黑体" w:hAnsi="黑体" w:eastAsia="黑体" w:cs="黑体"/>
    </w:rPr>
  </w:style>
  <w:style w:type="paragraph" w:customStyle="1" w:styleId="84">
    <w:name w:val="标准文件_引言四级条标题"/>
    <w:basedOn w:val="44"/>
    <w:next w:val="44"/>
    <w:uiPriority w:val="0"/>
    <w:pPr>
      <w:numPr>
        <w:ilvl w:val="4"/>
        <w:numId w:val="4"/>
      </w:numPr>
      <w:spacing w:beforeLines="50" w:afterLines="50"/>
    </w:pPr>
    <w:rPr>
      <w:rFonts w:ascii="黑体" w:hAnsi="黑体" w:eastAsia="黑体" w:cs="黑体"/>
    </w:rPr>
  </w:style>
  <w:style w:type="paragraph" w:customStyle="1" w:styleId="85">
    <w:name w:val="标准文件_引言五级条标题"/>
    <w:basedOn w:val="44"/>
    <w:next w:val="44"/>
    <w:qFormat/>
    <w:uiPriority w:val="0"/>
    <w:pPr>
      <w:numPr>
        <w:ilvl w:val="5"/>
        <w:numId w:val="4"/>
      </w:numPr>
      <w:spacing w:beforeLines="50" w:afterLines="50"/>
    </w:pPr>
    <w:rPr>
      <w:rFonts w:ascii="黑体" w:hAnsi="黑体" w:eastAsia="黑体" w:cs="黑体"/>
    </w:rPr>
  </w:style>
  <w:style w:type="paragraph" w:customStyle="1" w:styleId="86">
    <w:name w:val="标准文件_引言一级无标题"/>
    <w:basedOn w:val="81"/>
    <w:next w:val="44"/>
    <w:qFormat/>
    <w:uiPriority w:val="0"/>
    <w:pPr>
      <w:spacing w:beforeLines="1" w:afterLines="1" w:line="276" w:lineRule="auto"/>
    </w:pPr>
    <w:rPr>
      <w:rFonts w:ascii="宋体" w:hAnsi="宋体" w:eastAsia="宋体" w:cs="宋体"/>
    </w:rPr>
  </w:style>
  <w:style w:type="paragraph" w:customStyle="1" w:styleId="87">
    <w:name w:val="标准文件_引言二级无标题"/>
    <w:basedOn w:val="82"/>
    <w:next w:val="44"/>
    <w:uiPriority w:val="0"/>
    <w:pPr>
      <w:spacing w:beforeLines="1" w:afterLines="1" w:line="276" w:lineRule="auto"/>
    </w:pPr>
    <w:rPr>
      <w:rFonts w:ascii="宋体" w:hAnsi="宋体" w:eastAsia="宋体" w:cs="宋体"/>
    </w:rPr>
  </w:style>
  <w:style w:type="paragraph" w:customStyle="1" w:styleId="88">
    <w:name w:val="标准文件_引言三级无标题"/>
    <w:basedOn w:val="83"/>
    <w:next w:val="44"/>
    <w:uiPriority w:val="0"/>
    <w:pPr>
      <w:spacing w:beforeLines="1" w:afterLines="1" w:line="276" w:lineRule="auto"/>
    </w:pPr>
    <w:rPr>
      <w:rFonts w:ascii="宋体" w:hAnsi="宋体" w:eastAsia="宋体" w:cs="宋体"/>
    </w:rPr>
  </w:style>
  <w:style w:type="paragraph" w:customStyle="1" w:styleId="89">
    <w:name w:val="标准文件_引言四级无标题"/>
    <w:basedOn w:val="84"/>
    <w:next w:val="44"/>
    <w:qFormat/>
    <w:uiPriority w:val="0"/>
    <w:pPr>
      <w:spacing w:beforeLines="1" w:afterLines="1" w:line="276" w:lineRule="auto"/>
    </w:pPr>
    <w:rPr>
      <w:rFonts w:ascii="宋体" w:hAnsi="宋体" w:eastAsia="宋体" w:cs="宋体"/>
    </w:rPr>
  </w:style>
  <w:style w:type="paragraph" w:customStyle="1" w:styleId="90">
    <w:name w:val="标准文件_引言五级无标题"/>
    <w:basedOn w:val="85"/>
    <w:next w:val="44"/>
    <w:uiPriority w:val="0"/>
    <w:pPr>
      <w:spacing w:beforeLines="1" w:afterLines="1" w:line="276" w:lineRule="auto"/>
    </w:pPr>
    <w:rPr>
      <w:rFonts w:ascii="宋体" w:hAnsi="宋体" w:eastAsia="宋体" w:cs="宋体"/>
    </w:rPr>
  </w:style>
  <w:style w:type="paragraph" w:customStyle="1" w:styleId="91">
    <w:name w:val="标准文件_章标题"/>
    <w:next w:val="44"/>
    <w:uiPriority w:val="0"/>
    <w:pPr>
      <w:numPr>
        <w:ilvl w:val="0"/>
        <w:numId w:val="7"/>
      </w:numPr>
      <w:suppressAutoHyphens w:val="0"/>
      <w:spacing w:before="0" w:beforeLines="100" w:after="0" w:afterLines="100"/>
      <w:jc w:val="both"/>
      <w:outlineLvl w:val="0"/>
    </w:pPr>
    <w:rPr>
      <w:rFonts w:hint="eastAsia" w:ascii="黑体" w:hAnsi="Times New Roman" w:eastAsia="黑体" w:cs="黑体"/>
      <w:sz w:val="21"/>
    </w:rPr>
  </w:style>
  <w:style w:type="paragraph" w:customStyle="1" w:styleId="92">
    <w:name w:val="标准文件_一级条标题"/>
    <w:basedOn w:val="91"/>
    <w:next w:val="44"/>
    <w:qFormat/>
    <w:uiPriority w:val="0"/>
    <w:pPr>
      <w:numPr>
        <w:ilvl w:val="1"/>
      </w:numPr>
      <w:spacing w:before="0" w:beforeLines="50" w:after="0" w:afterLines="50"/>
      <w:outlineLvl w:val="1"/>
    </w:pPr>
    <w:rPr>
      <w:rFonts w:hAnsi="Times New Roman"/>
    </w:rPr>
  </w:style>
  <w:style w:type="paragraph" w:customStyle="1" w:styleId="93">
    <w:name w:val="标准文件_二级条标题"/>
    <w:next w:val="44"/>
    <w:qFormat/>
    <w:uiPriority w:val="0"/>
    <w:pPr>
      <w:numPr>
        <w:ilvl w:val="2"/>
        <w:numId w:val="7"/>
      </w:numPr>
      <w:suppressAutoHyphens w:val="0"/>
      <w:spacing w:before="0" w:beforeLines="50" w:after="0" w:afterLines="50"/>
      <w:jc w:val="both"/>
      <w:outlineLvl w:val="2"/>
    </w:pPr>
    <w:rPr>
      <w:rFonts w:hint="eastAsia" w:ascii="黑体" w:hAnsi="黑体" w:eastAsia="黑体" w:cs="黑体"/>
      <w:sz w:val="21"/>
    </w:rPr>
  </w:style>
  <w:style w:type="paragraph" w:customStyle="1" w:styleId="94">
    <w:name w:val="标准文件_三级条标题"/>
    <w:basedOn w:val="93"/>
    <w:next w:val="44"/>
    <w:uiPriority w:val="0"/>
    <w:pPr>
      <w:numPr>
        <w:ilvl w:val="3"/>
      </w:numPr>
      <w:spacing w:before="0" w:after="0"/>
      <w:outlineLvl w:val="3"/>
    </w:pPr>
  </w:style>
  <w:style w:type="paragraph" w:customStyle="1" w:styleId="95">
    <w:name w:val="标准文件_四级条标题"/>
    <w:next w:val="44"/>
    <w:qFormat/>
    <w:uiPriority w:val="0"/>
    <w:pPr>
      <w:numPr>
        <w:ilvl w:val="4"/>
        <w:numId w:val="7"/>
      </w:numPr>
      <w:suppressAutoHyphens w:val="0"/>
      <w:spacing w:before="0" w:beforeLines="50" w:after="0" w:afterLines="50"/>
      <w:jc w:val="both"/>
      <w:outlineLvl w:val="4"/>
    </w:pPr>
    <w:rPr>
      <w:rFonts w:hint="eastAsia" w:ascii="黑体" w:hAnsi="黑体" w:eastAsia="黑体" w:cs="黑体"/>
      <w:sz w:val="21"/>
    </w:rPr>
  </w:style>
  <w:style w:type="paragraph" w:customStyle="1" w:styleId="96">
    <w:name w:val="标准文件_五级条标题"/>
    <w:next w:val="44"/>
    <w:qFormat/>
    <w:uiPriority w:val="0"/>
    <w:pPr>
      <w:numPr>
        <w:ilvl w:val="5"/>
        <w:numId w:val="7"/>
      </w:numPr>
      <w:suppressAutoHyphens w:val="0"/>
      <w:spacing w:before="0" w:beforeLines="50" w:after="0" w:afterLines="50"/>
      <w:jc w:val="both"/>
      <w:outlineLvl w:val="4"/>
    </w:pPr>
    <w:rPr>
      <w:rFonts w:hint="eastAsia" w:ascii="黑体" w:hAnsi="黑体" w:eastAsia="黑体" w:cs="黑体"/>
      <w:sz w:val="21"/>
    </w:rPr>
  </w:style>
  <w:style w:type="paragraph" w:customStyle="1" w:styleId="97">
    <w:name w:val="标准文件_一级无标题"/>
    <w:basedOn w:val="92"/>
    <w:qFormat/>
    <w:uiPriority w:val="0"/>
    <w:pPr>
      <w:spacing w:beforeLines="1" w:afterLines="1"/>
      <w:outlineLvl w:val="9"/>
    </w:pPr>
    <w:rPr>
      <w:rFonts w:ascii="宋体" w:hAnsi="宋体" w:eastAsia="宋体" w:cs="宋体"/>
    </w:rPr>
  </w:style>
  <w:style w:type="paragraph" w:customStyle="1" w:styleId="98">
    <w:name w:val="标准文件_二级无标题"/>
    <w:basedOn w:val="93"/>
    <w:qFormat/>
    <w:uiPriority w:val="0"/>
    <w:pPr>
      <w:spacing w:beforeLines="1" w:afterLines="1"/>
      <w:outlineLvl w:val="9"/>
    </w:pPr>
    <w:rPr>
      <w:rFonts w:ascii="宋体" w:hAnsi="宋体" w:eastAsia="宋体" w:cs="宋体"/>
    </w:rPr>
  </w:style>
  <w:style w:type="paragraph" w:customStyle="1" w:styleId="99">
    <w:name w:val="标准文件_三级无标题"/>
    <w:basedOn w:val="94"/>
    <w:uiPriority w:val="0"/>
    <w:pPr>
      <w:spacing w:beforeLines="1" w:afterLines="1"/>
      <w:outlineLvl w:val="9"/>
    </w:pPr>
    <w:rPr>
      <w:rFonts w:ascii="宋体" w:hAnsi="宋体" w:eastAsia="宋体" w:cs="宋体"/>
    </w:rPr>
  </w:style>
  <w:style w:type="paragraph" w:customStyle="1" w:styleId="100">
    <w:name w:val="标准文件_四级无标题"/>
    <w:basedOn w:val="95"/>
    <w:uiPriority w:val="0"/>
    <w:pPr>
      <w:spacing w:beforeLines="1" w:afterLines="1"/>
      <w:outlineLvl w:val="9"/>
    </w:pPr>
    <w:rPr>
      <w:rFonts w:ascii="宋体" w:hAnsi="宋体" w:eastAsia="宋体" w:cs="宋体"/>
    </w:rPr>
  </w:style>
  <w:style w:type="paragraph" w:customStyle="1" w:styleId="101">
    <w:name w:val="标准文件_五级无标题"/>
    <w:basedOn w:val="96"/>
    <w:qFormat/>
    <w:uiPriority w:val="0"/>
    <w:pPr>
      <w:spacing w:beforeLines="1" w:afterLines="1"/>
      <w:outlineLvl w:val="9"/>
    </w:pPr>
    <w:rPr>
      <w:rFonts w:ascii="宋体" w:hAnsi="宋体" w:eastAsia="宋体" w:cs="宋体"/>
    </w:rPr>
  </w:style>
  <w:style w:type="paragraph" w:customStyle="1" w:styleId="102">
    <w:name w:val="标准文件_术语条一"/>
    <w:basedOn w:val="97"/>
    <w:next w:val="44"/>
    <w:qFormat/>
    <w:uiPriority w:val="0"/>
    <w:pPr>
      <w:ind w:left="960" w:hanging="960" w:hangingChars="200"/>
    </w:pPr>
    <w:rPr>
      <w:rFonts w:ascii="黑体" w:hAnsi="黑体" w:eastAsia="黑体" w:cs="黑体"/>
    </w:rPr>
  </w:style>
  <w:style w:type="paragraph" w:customStyle="1" w:styleId="103">
    <w:name w:val="标准文件_术语条二"/>
    <w:basedOn w:val="98"/>
    <w:next w:val="44"/>
    <w:qFormat/>
    <w:uiPriority w:val="0"/>
    <w:pPr>
      <w:ind w:left="960" w:hanging="960" w:hangingChars="200"/>
    </w:pPr>
    <w:rPr>
      <w:rFonts w:ascii="黑体" w:hAnsi="黑体" w:eastAsia="黑体" w:cs="黑体"/>
    </w:rPr>
  </w:style>
  <w:style w:type="paragraph" w:customStyle="1" w:styleId="104">
    <w:name w:val="标准文件_术语条三"/>
    <w:basedOn w:val="99"/>
    <w:next w:val="44"/>
    <w:uiPriority w:val="0"/>
    <w:pPr>
      <w:ind w:left="960" w:hanging="960" w:hangingChars="200"/>
    </w:pPr>
    <w:rPr>
      <w:rFonts w:ascii="黑体" w:hAnsi="黑体" w:eastAsia="黑体" w:cs="黑体"/>
    </w:rPr>
  </w:style>
  <w:style w:type="paragraph" w:customStyle="1" w:styleId="105">
    <w:name w:val="标准文件_术语条四"/>
    <w:basedOn w:val="100"/>
    <w:next w:val="44"/>
    <w:uiPriority w:val="0"/>
    <w:pPr>
      <w:ind w:left="960" w:hanging="960" w:hangingChars="200"/>
    </w:pPr>
    <w:rPr>
      <w:rFonts w:ascii="黑体" w:hAnsi="黑体" w:eastAsia="黑体" w:cs="黑体"/>
    </w:rPr>
  </w:style>
  <w:style w:type="paragraph" w:customStyle="1" w:styleId="106">
    <w:name w:val="标准文件_术语条五"/>
    <w:basedOn w:val="101"/>
    <w:next w:val="44"/>
    <w:qFormat/>
    <w:uiPriority w:val="0"/>
    <w:pPr>
      <w:ind w:left="960" w:hanging="960" w:hangingChars="200"/>
    </w:pPr>
    <w:rPr>
      <w:rFonts w:ascii="黑体" w:hAnsi="黑体" w:eastAsia="黑体" w:cs="黑体"/>
    </w:rPr>
  </w:style>
  <w:style w:type="paragraph" w:customStyle="1" w:styleId="107">
    <w:name w:val="标准文件_附录标识"/>
    <w:basedOn w:val="1"/>
    <w:next w:val="44"/>
    <w:qFormat/>
    <w:uiPriority w:val="0"/>
    <w:pPr>
      <w:widowControl/>
      <w:numPr>
        <w:ilvl w:val="0"/>
        <w:numId w:val="8"/>
      </w:numPr>
      <w:suppressAutoHyphens w:val="0"/>
      <w:spacing w:before="0" w:beforeLines="25" w:after="0" w:afterLines="50"/>
      <w:jc w:val="center"/>
      <w:outlineLvl w:val="0"/>
    </w:pPr>
    <w:rPr>
      <w:rFonts w:ascii="黑体" w:hAnsi="黑体" w:eastAsia="黑体" w:cs="黑体"/>
    </w:rPr>
  </w:style>
  <w:style w:type="paragraph" w:customStyle="1" w:styleId="108">
    <w:name w:val="标准文件_附录一级条标题"/>
    <w:next w:val="44"/>
    <w:qFormat/>
    <w:uiPriority w:val="0"/>
    <w:pPr>
      <w:numPr>
        <w:ilvl w:val="1"/>
        <w:numId w:val="8"/>
      </w:numPr>
      <w:suppressAutoHyphens w:val="0"/>
      <w:spacing w:before="0" w:beforeLines="50" w:after="0" w:afterLines="50"/>
      <w:jc w:val="both"/>
      <w:outlineLvl w:val="2"/>
    </w:pPr>
    <w:rPr>
      <w:rFonts w:hint="eastAsia" w:ascii="黑体" w:hAnsi="黑体" w:eastAsia="黑体" w:cs="黑体"/>
      <w:sz w:val="21"/>
    </w:rPr>
  </w:style>
  <w:style w:type="paragraph" w:customStyle="1" w:styleId="109">
    <w:name w:val="标准文件_附录二级条标题"/>
    <w:next w:val="44"/>
    <w:qFormat/>
    <w:uiPriority w:val="0"/>
    <w:pPr>
      <w:numPr>
        <w:ilvl w:val="2"/>
        <w:numId w:val="8"/>
      </w:numPr>
      <w:suppressAutoHyphens w:val="0"/>
      <w:spacing w:before="0" w:beforeLines="50" w:after="0" w:afterLines="50"/>
      <w:jc w:val="both"/>
      <w:outlineLvl w:val="2"/>
    </w:pPr>
    <w:rPr>
      <w:rFonts w:hint="eastAsia" w:ascii="黑体" w:hAnsi="黑体" w:eastAsia="黑体" w:cs="黑体"/>
      <w:sz w:val="21"/>
    </w:rPr>
  </w:style>
  <w:style w:type="paragraph" w:customStyle="1" w:styleId="110">
    <w:name w:val="标准文件_附录三级条标题"/>
    <w:next w:val="44"/>
    <w:qFormat/>
    <w:uiPriority w:val="0"/>
    <w:pPr>
      <w:numPr>
        <w:ilvl w:val="3"/>
        <w:numId w:val="8"/>
      </w:numPr>
      <w:suppressAutoHyphens w:val="0"/>
      <w:spacing w:before="0" w:beforeLines="50" w:after="0" w:afterLines="50"/>
      <w:jc w:val="both"/>
      <w:outlineLvl w:val="2"/>
    </w:pPr>
    <w:rPr>
      <w:rFonts w:hint="eastAsia" w:ascii="黑体" w:hAnsi="黑体" w:eastAsia="黑体" w:cs="黑体"/>
      <w:sz w:val="21"/>
    </w:rPr>
  </w:style>
  <w:style w:type="paragraph" w:customStyle="1" w:styleId="111">
    <w:name w:val="标准文件_附录四级条标题"/>
    <w:next w:val="44"/>
    <w:qFormat/>
    <w:uiPriority w:val="0"/>
    <w:pPr>
      <w:numPr>
        <w:ilvl w:val="4"/>
        <w:numId w:val="8"/>
      </w:numPr>
      <w:suppressAutoHyphens w:val="0"/>
      <w:spacing w:before="0" w:beforeLines="50" w:after="0" w:afterLines="50"/>
      <w:jc w:val="both"/>
      <w:outlineLvl w:val="2"/>
    </w:pPr>
    <w:rPr>
      <w:rFonts w:hint="eastAsia" w:ascii="黑体" w:hAnsi="黑体" w:eastAsia="黑体" w:cs="黑体"/>
      <w:sz w:val="21"/>
    </w:rPr>
  </w:style>
  <w:style w:type="paragraph" w:customStyle="1" w:styleId="112">
    <w:name w:val="标准文件_附录五级条标题"/>
    <w:next w:val="44"/>
    <w:uiPriority w:val="0"/>
    <w:pPr>
      <w:numPr>
        <w:ilvl w:val="5"/>
        <w:numId w:val="8"/>
      </w:numPr>
      <w:suppressAutoHyphens w:val="0"/>
      <w:spacing w:before="0" w:beforeLines="50" w:after="0" w:afterLines="50"/>
      <w:jc w:val="both"/>
      <w:outlineLvl w:val="2"/>
    </w:pPr>
    <w:rPr>
      <w:rFonts w:hint="eastAsia" w:ascii="黑体" w:hAnsi="黑体" w:eastAsia="黑体" w:cs="黑体"/>
      <w:sz w:val="21"/>
    </w:rPr>
  </w:style>
  <w:style w:type="paragraph" w:customStyle="1" w:styleId="113">
    <w:name w:val="标准文件_附录一级无标题"/>
    <w:basedOn w:val="108"/>
    <w:uiPriority w:val="0"/>
    <w:pPr>
      <w:spacing w:beforeLines="1" w:afterLines="1" w:line="276" w:lineRule="auto"/>
    </w:pPr>
    <w:rPr>
      <w:rFonts w:ascii="宋体" w:hAnsi="宋体" w:eastAsia="宋体" w:cs="宋体"/>
    </w:rPr>
  </w:style>
  <w:style w:type="paragraph" w:customStyle="1" w:styleId="114">
    <w:name w:val="标准文件_附录二级无标题"/>
    <w:basedOn w:val="109"/>
    <w:qFormat/>
    <w:uiPriority w:val="0"/>
    <w:pPr>
      <w:spacing w:beforeLines="1" w:afterLines="1" w:line="276" w:lineRule="auto"/>
    </w:pPr>
    <w:rPr>
      <w:rFonts w:ascii="宋体" w:hAnsi="宋体" w:eastAsia="宋体" w:cs="宋体"/>
    </w:rPr>
  </w:style>
  <w:style w:type="paragraph" w:customStyle="1" w:styleId="115">
    <w:name w:val="标准文件_附录三级无标题"/>
    <w:basedOn w:val="110"/>
    <w:uiPriority w:val="0"/>
    <w:pPr>
      <w:spacing w:beforeLines="1" w:afterLines="1" w:line="276" w:lineRule="auto"/>
    </w:pPr>
    <w:rPr>
      <w:rFonts w:ascii="宋体" w:hAnsi="宋体" w:eastAsia="宋体" w:cs="宋体"/>
    </w:rPr>
  </w:style>
  <w:style w:type="paragraph" w:customStyle="1" w:styleId="116">
    <w:name w:val="标准文件_附录四级无标题"/>
    <w:basedOn w:val="111"/>
    <w:uiPriority w:val="0"/>
    <w:pPr>
      <w:spacing w:beforeLines="1" w:afterLines="1" w:line="276" w:lineRule="auto"/>
    </w:pPr>
    <w:rPr>
      <w:rFonts w:ascii="宋体" w:hAnsi="宋体" w:eastAsia="宋体" w:cs="宋体"/>
    </w:rPr>
  </w:style>
  <w:style w:type="paragraph" w:customStyle="1" w:styleId="117">
    <w:name w:val="标准文件_附录五级无标题"/>
    <w:basedOn w:val="112"/>
    <w:qFormat/>
    <w:uiPriority w:val="0"/>
    <w:pPr>
      <w:spacing w:beforeLines="1" w:afterLines="1" w:line="276" w:lineRule="auto"/>
    </w:pPr>
    <w:rPr>
      <w:rFonts w:ascii="宋体" w:hAnsi="宋体" w:eastAsia="宋体" w:cs="宋体"/>
    </w:rPr>
  </w:style>
  <w:style w:type="paragraph" w:customStyle="1" w:styleId="118">
    <w:name w:val="附录图标号"/>
    <w:basedOn w:val="44"/>
    <w:next w:val="44"/>
    <w:qFormat/>
    <w:uiPriority w:val="0"/>
    <w:pPr>
      <w:numPr>
        <w:ilvl w:val="0"/>
        <w:numId w:val="2"/>
      </w:numPr>
      <w:spacing w:line="14" w:lineRule="exact"/>
      <w:ind w:left="0"/>
      <w:jc w:val="center"/>
    </w:pPr>
    <w:rPr>
      <w:sz w:val="2"/>
    </w:rPr>
  </w:style>
  <w:style w:type="paragraph" w:customStyle="1" w:styleId="119">
    <w:name w:val="附录图标题"/>
    <w:next w:val="44"/>
    <w:qFormat/>
    <w:uiPriority w:val="0"/>
    <w:pPr>
      <w:numPr>
        <w:ilvl w:val="1"/>
        <w:numId w:val="2"/>
      </w:numPr>
      <w:spacing w:before="0" w:beforeLines="50" w:after="0" w:afterLines="50"/>
      <w:jc w:val="center"/>
    </w:pPr>
    <w:rPr>
      <w:rFonts w:hint="eastAsia" w:ascii="黑体" w:hAnsi="黑体" w:eastAsia="黑体" w:cs="黑体"/>
      <w:sz w:val="21"/>
    </w:rPr>
  </w:style>
  <w:style w:type="paragraph" w:customStyle="1" w:styleId="120">
    <w:name w:val="附录表标号"/>
    <w:basedOn w:val="44"/>
    <w:next w:val="44"/>
    <w:qFormat/>
    <w:uiPriority w:val="0"/>
    <w:pPr>
      <w:numPr>
        <w:ilvl w:val="0"/>
        <w:numId w:val="9"/>
      </w:numPr>
      <w:spacing w:line="14" w:lineRule="exact"/>
      <w:ind w:left="0"/>
      <w:jc w:val="center"/>
    </w:pPr>
    <w:rPr>
      <w:sz w:val="2"/>
    </w:rPr>
  </w:style>
  <w:style w:type="paragraph" w:customStyle="1" w:styleId="121">
    <w:name w:val="附录表标题"/>
    <w:next w:val="44"/>
    <w:uiPriority w:val="0"/>
    <w:pPr>
      <w:numPr>
        <w:ilvl w:val="1"/>
        <w:numId w:val="9"/>
      </w:numPr>
      <w:spacing w:before="0" w:beforeLines="50" w:after="0" w:afterLines="50"/>
      <w:jc w:val="center"/>
    </w:pPr>
    <w:rPr>
      <w:rFonts w:hint="eastAsia" w:ascii="黑体" w:hAnsi="黑体" w:eastAsia="黑体" w:cs="黑体"/>
      <w:sz w:val="21"/>
    </w:rPr>
  </w:style>
  <w:style w:type="paragraph" w:customStyle="1" w:styleId="122">
    <w:name w:val="标准文件_示例内容"/>
    <w:basedOn w:val="44"/>
    <w:uiPriority w:val="0"/>
    <w:pPr>
      <w:suppressAutoHyphens w:val="0"/>
    </w:pPr>
    <w:rPr>
      <w:rFonts w:hAnsi="宋体"/>
      <w:sz w:val="18"/>
    </w:rPr>
  </w:style>
  <w:style w:type="paragraph" w:customStyle="1" w:styleId="123">
    <w:name w:val="标准文件_示例"/>
    <w:next w:val="122"/>
    <w:uiPriority w:val="0"/>
    <w:pPr>
      <w:numPr>
        <w:ilvl w:val="0"/>
        <w:numId w:val="10"/>
      </w:numPr>
      <w:suppressAutoHyphens w:val="0"/>
      <w:jc w:val="both"/>
    </w:pPr>
    <w:rPr>
      <w:rFonts w:hint="eastAsia" w:ascii="宋体" w:hAnsi="宋体" w:eastAsia="宋体" w:cs="宋体"/>
      <w:sz w:val="18"/>
    </w:rPr>
  </w:style>
  <w:style w:type="paragraph" w:customStyle="1" w:styleId="124">
    <w:name w:val="标准文件_示例×"/>
    <w:basedOn w:val="1"/>
    <w:next w:val="122"/>
    <w:uiPriority w:val="0"/>
    <w:pPr>
      <w:widowControl/>
      <w:numPr>
        <w:ilvl w:val="0"/>
        <w:numId w:val="11"/>
      </w:numPr>
      <w:suppressAutoHyphens w:val="0"/>
      <w:ind w:firstLine="363"/>
    </w:pPr>
    <w:rPr>
      <w:rFonts w:hAnsi="Times New Roman"/>
      <w:sz w:val="18"/>
    </w:rPr>
  </w:style>
  <w:style w:type="paragraph" w:customStyle="1" w:styleId="125">
    <w:name w:val="标准文件_注"/>
    <w:next w:val="44"/>
    <w:qFormat/>
    <w:uiPriority w:val="0"/>
    <w:pPr>
      <w:numPr>
        <w:ilvl w:val="0"/>
        <w:numId w:val="12"/>
      </w:numPr>
      <w:autoSpaceDE w:val="0"/>
      <w:autoSpaceDN w:val="0"/>
      <w:jc w:val="both"/>
    </w:pPr>
    <w:rPr>
      <w:rFonts w:hint="eastAsia" w:ascii="宋体" w:hAnsi="宋体" w:eastAsia="宋体" w:cs="宋体"/>
      <w:sz w:val="18"/>
    </w:rPr>
  </w:style>
  <w:style w:type="paragraph" w:customStyle="1" w:styleId="126">
    <w:name w:val="标准文件_注×"/>
    <w:next w:val="44"/>
    <w:uiPriority w:val="0"/>
    <w:pPr>
      <w:numPr>
        <w:ilvl w:val="0"/>
        <w:numId w:val="13"/>
      </w:numPr>
      <w:jc w:val="both"/>
    </w:pPr>
    <w:rPr>
      <w:rFonts w:hint="eastAsia" w:ascii="宋体" w:hAnsi="宋体" w:eastAsia="宋体" w:cs="宋体"/>
      <w:sz w:val="18"/>
    </w:rPr>
  </w:style>
  <w:style w:type="paragraph" w:customStyle="1" w:styleId="127">
    <w:name w:val="标准文件_图表脚注"/>
    <w:basedOn w:val="1"/>
    <w:next w:val="44"/>
    <w:uiPriority w:val="0"/>
    <w:pPr>
      <w:numPr>
        <w:ilvl w:val="0"/>
        <w:numId w:val="14"/>
      </w:numPr>
      <w:suppressAutoHyphens w:val="0"/>
      <w:adjustRightInd w:val="0"/>
      <w:jc w:val="left"/>
    </w:pPr>
    <w:rPr>
      <w:rFonts w:hAnsi="宋体"/>
      <w:sz w:val="18"/>
    </w:rPr>
  </w:style>
  <w:style w:type="paragraph" w:customStyle="1" w:styleId="128">
    <w:name w:val="标准文件_标准正文"/>
    <w:basedOn w:val="1"/>
    <w:next w:val="44"/>
    <w:qFormat/>
    <w:uiPriority w:val="0"/>
    <w:pPr>
      <w:ind w:firstLine="960" w:firstLineChars="200"/>
    </w:pPr>
  </w:style>
  <w:style w:type="paragraph" w:customStyle="1" w:styleId="129">
    <w:name w:val="标准文件_正文公式"/>
    <w:basedOn w:val="1"/>
    <w:next w:val="128"/>
    <w:qFormat/>
    <w:uiPriority w:val="0"/>
    <w:pPr>
      <w:tabs>
        <w:tab w:val="center" w:pos="4678"/>
        <w:tab w:val="right" w:leader="middleDot" w:pos="9355"/>
      </w:tabs>
    </w:pPr>
  </w:style>
  <w:style w:type="paragraph" w:customStyle="1" w:styleId="130">
    <w:name w:val="标准文件_表格"/>
    <w:basedOn w:val="44"/>
    <w:qFormat/>
    <w:uiPriority w:val="0"/>
    <w:pPr>
      <w:jc w:val="center"/>
    </w:pPr>
    <w:rPr>
      <w:sz w:val="18"/>
    </w:rPr>
  </w:style>
  <w:style w:type="paragraph" w:customStyle="1" w:styleId="131">
    <w:name w:val="终结线"/>
    <w:basedOn w:val="1"/>
    <w:qFormat/>
    <w:uiPriority w:val="0"/>
    <w:pPr>
      <w:framePr w:hSpace="181" w:vSpace="181" w:wrap="around" w:vAnchor="text" w:hAnchor="margin" w:xAlign="center" w:y="285"/>
    </w:pPr>
    <w:rPr>
      <w:rFonts w:ascii="Times New Roman" w:hAnsi="Times New Roman" w:cs="Times New Roman"/>
      <w:b/>
      <w:sz w:val="34"/>
    </w:rPr>
  </w:style>
  <w:style w:type="paragraph" w:customStyle="1" w:styleId="132">
    <w:name w:val="标准文件_正文表标题"/>
    <w:next w:val="44"/>
    <w:qFormat/>
    <w:uiPriority w:val="0"/>
    <w:pPr>
      <w:numPr>
        <w:ilvl w:val="0"/>
        <w:numId w:val="15"/>
      </w:numPr>
      <w:spacing w:before="0" w:beforeLines="50" w:after="0" w:afterLines="50"/>
      <w:jc w:val="center"/>
    </w:pPr>
    <w:rPr>
      <w:rFonts w:hint="eastAsia" w:ascii="黑体" w:hAnsi="黑体" w:eastAsia="黑体" w:cs="黑体"/>
      <w:sz w:val="21"/>
    </w:rPr>
  </w:style>
  <w:style w:type="paragraph" w:customStyle="1" w:styleId="133">
    <w:name w:val="标准文件_正文图标题"/>
    <w:next w:val="44"/>
    <w:uiPriority w:val="0"/>
    <w:pPr>
      <w:numPr>
        <w:ilvl w:val="0"/>
        <w:numId w:val="16"/>
      </w:numPr>
      <w:spacing w:before="0" w:beforeLines="50" w:after="0" w:afterLines="50"/>
      <w:jc w:val="center"/>
    </w:pPr>
    <w:rPr>
      <w:rFonts w:hint="eastAsia" w:ascii="黑体" w:hAnsi="黑体" w:eastAsia="黑体" w:cs="黑体"/>
      <w:sz w:val="21"/>
    </w:rPr>
  </w:style>
  <w:style w:type="paragraph" w:customStyle="1" w:styleId="134">
    <w:name w:val="标准文件_索引标题"/>
    <w:basedOn w:val="53"/>
    <w:next w:val="44"/>
    <w:uiPriority w:val="0"/>
    <w:rPr>
      <w:rFonts w:hAnsi="黑体"/>
    </w:rPr>
  </w:style>
  <w:style w:type="paragraph" w:customStyle="1" w:styleId="135">
    <w:name w:val="标准文件_索引项"/>
    <w:basedOn w:val="44"/>
    <w:next w:val="44"/>
    <w:uiPriority w:val="0"/>
    <w:pPr>
      <w:tabs>
        <w:tab w:val="right" w:leader="dot" w:pos="9355"/>
      </w:tabs>
      <w:autoSpaceDE w:val="0"/>
      <w:autoSpaceDN w:val="0"/>
      <w:ind w:left="177" w:hanging="177" w:hangingChars="37"/>
      <w:jc w:val="left"/>
    </w:pPr>
  </w:style>
  <w:style w:type="paragraph" w:customStyle="1" w:styleId="136">
    <w:name w:val="标准文件_索引字母"/>
    <w:next w:val="44"/>
    <w:qFormat/>
    <w:uiPriority w:val="0"/>
    <w:pPr>
      <w:jc w:val="center"/>
    </w:pPr>
    <w:rPr>
      <w:rFonts w:hint="eastAsia" w:ascii="宋体" w:hAnsi="宋体" w:eastAsia="宋体" w:cs="宋体"/>
      <w:b/>
      <w:kern w:val="2"/>
      <w:sz w:val="21"/>
    </w:rPr>
  </w:style>
  <w:style w:type="paragraph" w:customStyle="1" w:styleId="137">
    <w:name w:val="标准文件_提示"/>
    <w:basedOn w:val="1"/>
    <w:uiPriority w:val="0"/>
    <w:pPr>
      <w:ind w:firstLine="960" w:firstLineChars="200"/>
    </w:pPr>
    <w:rPr>
      <w:rFonts w:ascii="黑体" w:hAnsi="黑体" w:eastAsia="黑体" w:cs="黑体"/>
    </w:rPr>
  </w:style>
  <w:style w:type="paragraph" w:customStyle="1" w:styleId="138">
    <w:name w:val="标准文件_参考文献编号"/>
    <w:basedOn w:val="44"/>
    <w:uiPriority w:val="0"/>
    <w:pPr>
      <w:numPr>
        <w:ilvl w:val="0"/>
        <w:numId w:val="17"/>
      </w:numPr>
    </w:pPr>
  </w:style>
  <w:style w:type="character" w:customStyle="1" w:styleId="139">
    <w:name w:val="标准文件_正文标准名称 Char"/>
    <w:link w:val="75"/>
    <w:qFormat/>
    <w:uiPriority w:val="0"/>
    <w:rPr>
      <w:rFonts w:ascii="黑体" w:hAnsi="黑体" w:eastAsia="黑体" w:cs="黑体"/>
      <w:sz w:val="32"/>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image" Target="media/image1.jpeg"/><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glossaryDocument" Target="glossary/document.xml"/><Relationship Id="rId1" Type="http://schemas.openxmlformats.org/officeDocument/2006/relationships/styles" Target="styles.xm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d4996252-4ce1-4e5b-af26-82856b86ec70}"/>
        <w:style w:val=""/>
        <w:category>
          <w:name w:val="常规"/>
          <w:gallery w:val="placeholder"/>
        </w:category>
        <w:types>
          <w:type w:val="bbPlcHdr"/>
        </w:types>
        <w:behaviors>
          <w:behavior w:val="content"/>
        </w:behaviors>
        <w:description w:val=""/>
        <w:guid w:val="{d4996252-4ce1-4e5b-af26-82856b86ec70}"/>
      </w:docPartPr>
      <w:docPartBody>
        <w:p w14:paraId="1E98AA72">
          <w:r>
            <w:rPr>
              <w:color w:val="808080"/>
            </w:rPr>
            <w:t>单击此处输入文字。</w:t>
          </w:r>
        </w:p>
      </w:docPartBody>
    </w:docPart>
    <w:docPart>
      <w:docPartPr>
        <w:name w:val="{83f8d296-a56b-4109-a557-0e35abfa8959}"/>
        <w:style w:val=""/>
        <w:category>
          <w:name w:val="常规"/>
          <w:gallery w:val="placeholder"/>
        </w:category>
        <w:types>
          <w:type w:val="bbPlcHdr"/>
        </w:types>
        <w:behaviors>
          <w:behavior w:val="content"/>
        </w:behaviors>
        <w:description w:val=""/>
        <w:guid w:val="{83f8d296-a56b-4109-a557-0e35abfa8959}"/>
      </w:docPartPr>
      <w:docPartBody>
        <w:p w14:paraId="262FA9EF">
          <w:r>
            <w:rPr>
              <w:color w:val="808080"/>
            </w:rPr>
            <w:t>选择一项。</w:t>
          </w:r>
        </w:p>
      </w:docPartBody>
    </w:docPart>
    <w:docPart>
      <w:docPartPr>
        <w:name w:val="{4507e718-7468-4a50-97de-ff86308922d4}"/>
        <w:style w:val=""/>
        <w:category>
          <w:name w:val="常规"/>
          <w:gallery w:val="placeholder"/>
        </w:category>
        <w:types>
          <w:type w:val="bbPlcHdr"/>
        </w:types>
        <w:behaviors>
          <w:behavior w:val="content"/>
        </w:behaviors>
        <w:description w:val=""/>
        <w:guid w:val="{4507e718-7468-4a50-97de-ff86308922d4}"/>
      </w:docPartPr>
      <w:docPartBody>
        <w:p w14:paraId="3828C298">
          <w:r>
            <w:rPr>
              <w:color w:val="808080"/>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compat>
    <w:useFELayout/>
    <w:splitPgBreakAndParaMark/>
    <w:compatSetting w:name="compatibilityMode" w:uri="http://schemas.microsoft.com/office/word" w:val="14"/>
  </w:compat>
  <w:rsids>
    <w:rsidRoot w:val="0000000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50</Pages>
  <Words>26230</Words>
  <Characters>27680</Characters>
  <Lines>256</Lines>
  <Paragraphs>72</Paragraphs>
  <TotalTime>21</TotalTime>
  <ScaleCrop>false</ScaleCrop>
  <LinksUpToDate>false</LinksUpToDate>
  <CharactersWithSpaces>28733</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2024-05-19T18:01:00Z</dcterms:created>
  <dc:creator>ydt</dc:creator>
  <cp:lastModifiedBy>陈星瞳</cp:lastModifiedBy>
  <cp:lastPrinted>2024-09-20T19:12:00Z</cp:lastPrinted>
  <dcterms:modified xsi:type="dcterms:W3CDTF">2024-10-14T05:19:13Z</dcterms:modified>
  <cp:revision>751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3AA0D098ED5A4F5C9754BDEB3C6B4400_12</vt:lpwstr>
  </property>
</Properties>
</file>