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AF581">
      <w:pPr>
        <w:bidi w:val="0"/>
        <w:rPr>
          <w:rFonts w:hint="eastAsia"/>
          <w:highlight w:val="none"/>
          <w:lang w:val="en-US" w:eastAsia="zh-CN"/>
        </w:rPr>
      </w:pPr>
    </w:p>
    <w:p w14:paraId="1D11A26C">
      <w:pPr>
        <w:bidi w:val="0"/>
        <w:rPr>
          <w:rFonts w:hint="eastAsia"/>
          <w:highlight w:val="none"/>
          <w:lang w:val="en-US" w:eastAsia="zh-CN"/>
        </w:rPr>
      </w:pPr>
    </w:p>
    <w:p w14:paraId="3AB2873F">
      <w:pPr>
        <w:bidi w:val="0"/>
        <w:rPr>
          <w:rFonts w:hint="eastAsia"/>
          <w:highlight w:val="none"/>
          <w:lang w:val="en-US" w:eastAsia="zh-CN"/>
        </w:rPr>
      </w:pPr>
    </w:p>
    <w:p w14:paraId="7EEBBB0D">
      <w:pPr>
        <w:bidi w:val="0"/>
        <w:rPr>
          <w:rFonts w:hint="eastAsia"/>
          <w:highlight w:val="none"/>
          <w:lang w:val="en-US" w:eastAsia="zh-CN"/>
        </w:rPr>
      </w:pPr>
    </w:p>
    <w:p w14:paraId="661027EA">
      <w:pPr>
        <w:bidi w:val="0"/>
        <w:rPr>
          <w:rFonts w:hint="eastAsia"/>
          <w:highlight w:val="none"/>
          <w:lang w:val="en-US" w:eastAsia="zh-CN"/>
        </w:rPr>
      </w:pPr>
    </w:p>
    <w:p w14:paraId="330347EF">
      <w:pPr>
        <w:bidi w:val="0"/>
        <w:rPr>
          <w:rFonts w:hint="eastAsia"/>
          <w:highlight w:val="none"/>
          <w:lang w:val="en-US" w:eastAsia="zh-CN"/>
        </w:rPr>
      </w:pPr>
    </w:p>
    <w:p w14:paraId="606F20DD">
      <w:pPr>
        <w:keepNext w:val="0"/>
        <w:keepLines/>
        <w:pageBreakBefore w:val="0"/>
        <w:widowControl w:val="0"/>
        <w:kinsoku/>
        <w:wordWrap/>
        <w:overflowPunct/>
        <w:topLinePunct w:val="0"/>
        <w:autoSpaceDE/>
        <w:autoSpaceDN/>
        <w:bidi w:val="0"/>
        <w:adjustRightInd w:val="0"/>
        <w:snapToGrid w:val="0"/>
        <w:spacing w:line="600" w:lineRule="exact"/>
        <w:ind w:left="0" w:leftChars="0" w:firstLine="0" w:firstLineChars="0"/>
        <w:jc w:val="center"/>
        <w:textAlignment w:val="auto"/>
        <w:rPr>
          <w:rFonts w:hint="eastAsia" w:ascii="黑体" w:hAnsi="黑体" w:eastAsia="黑体" w:cs="黑体"/>
          <w:color w:val="000000"/>
          <w:kern w:val="0"/>
          <w:sz w:val="44"/>
          <w:szCs w:val="44"/>
          <w:lang w:val="en-US" w:eastAsia="zh-CN" w:bidi="ar"/>
        </w:rPr>
      </w:pPr>
      <w:bookmarkStart w:id="0" w:name="_Toc4031"/>
      <w:bookmarkStart w:id="1" w:name="_Toc31033"/>
      <w:r>
        <w:rPr>
          <w:rFonts w:hint="eastAsia" w:ascii="黑体" w:hAnsi="黑体" w:eastAsia="黑体" w:cs="黑体"/>
          <w:color w:val="000000"/>
          <w:kern w:val="0"/>
          <w:sz w:val="44"/>
          <w:szCs w:val="44"/>
          <w:lang w:val="en-US" w:eastAsia="zh-CN" w:bidi="ar"/>
        </w:rPr>
        <w:t>《河湖库水生态综合评价技术指南</w:t>
      </w:r>
    </w:p>
    <w:p w14:paraId="488F9300">
      <w:pPr>
        <w:keepNext w:val="0"/>
        <w:keepLines/>
        <w:pageBreakBefore w:val="0"/>
        <w:widowControl w:val="0"/>
        <w:kinsoku/>
        <w:wordWrap/>
        <w:overflowPunct/>
        <w:topLinePunct w:val="0"/>
        <w:autoSpaceDE/>
        <w:autoSpaceDN/>
        <w:bidi w:val="0"/>
        <w:adjustRightInd w:val="0"/>
        <w:snapToGrid w:val="0"/>
        <w:spacing w:line="600" w:lineRule="exact"/>
        <w:ind w:left="0" w:leftChars="0" w:firstLine="0" w:firstLineChars="0"/>
        <w:jc w:val="center"/>
        <w:textAlignment w:val="auto"/>
        <w:rPr>
          <w:rFonts w:hint="eastAsia" w:ascii="黑体" w:hAnsi="黑体" w:eastAsia="黑体" w:cs="黑体"/>
          <w:color w:val="000000"/>
          <w:kern w:val="0"/>
          <w:sz w:val="44"/>
          <w:szCs w:val="44"/>
          <w:lang w:val="en-US" w:eastAsia="zh-CN" w:bidi="ar"/>
        </w:rPr>
      </w:pPr>
      <w:r>
        <w:rPr>
          <w:rFonts w:hint="eastAsia" w:ascii="黑体" w:hAnsi="黑体" w:eastAsia="黑体" w:cs="黑体"/>
          <w:color w:val="000000"/>
          <w:kern w:val="0"/>
          <w:sz w:val="44"/>
          <w:szCs w:val="44"/>
          <w:lang w:val="en-US" w:eastAsia="zh-CN" w:bidi="ar"/>
        </w:rPr>
        <w:t>（征求意见稿）》</w:t>
      </w:r>
      <w:bookmarkEnd w:id="0"/>
      <w:bookmarkEnd w:id="1"/>
    </w:p>
    <w:p w14:paraId="0B6BB843">
      <w:pPr>
        <w:keepNext w:val="0"/>
        <w:keepLines/>
        <w:pageBreakBefore w:val="0"/>
        <w:widowControl w:val="0"/>
        <w:kinsoku/>
        <w:wordWrap/>
        <w:overflowPunct/>
        <w:topLinePunct w:val="0"/>
        <w:autoSpaceDE/>
        <w:autoSpaceDN/>
        <w:bidi w:val="0"/>
        <w:adjustRightInd w:val="0"/>
        <w:snapToGrid w:val="0"/>
        <w:spacing w:line="600" w:lineRule="exact"/>
        <w:ind w:left="0" w:leftChars="0" w:firstLine="0" w:firstLineChars="0"/>
        <w:jc w:val="center"/>
        <w:textAlignment w:val="auto"/>
        <w:rPr>
          <w:rFonts w:hint="eastAsia" w:ascii="黑体" w:hAnsi="黑体" w:eastAsia="黑体" w:cs="黑体"/>
          <w:color w:val="000000"/>
          <w:kern w:val="0"/>
          <w:sz w:val="44"/>
          <w:szCs w:val="44"/>
          <w:lang w:val="en-US" w:eastAsia="zh-CN" w:bidi="ar"/>
        </w:rPr>
      </w:pPr>
      <w:bookmarkStart w:id="2" w:name="_Toc18308"/>
      <w:bookmarkStart w:id="3" w:name="_Toc4857"/>
      <w:r>
        <w:rPr>
          <w:rFonts w:hint="eastAsia" w:ascii="黑体" w:hAnsi="黑体" w:eastAsia="黑体" w:cs="黑体"/>
          <w:color w:val="000000"/>
          <w:kern w:val="0"/>
          <w:sz w:val="44"/>
          <w:szCs w:val="44"/>
          <w:lang w:val="en-US" w:eastAsia="zh-CN" w:bidi="ar"/>
        </w:rPr>
        <w:t>编制说明</w:t>
      </w:r>
      <w:bookmarkEnd w:id="2"/>
      <w:bookmarkEnd w:id="3"/>
    </w:p>
    <w:p w14:paraId="4D49BC03">
      <w:pPr>
        <w:keepNext w:val="0"/>
        <w:keepLines/>
        <w:pageBreakBefore w:val="0"/>
        <w:widowControl w:val="0"/>
        <w:kinsoku/>
        <w:wordWrap/>
        <w:overflowPunct/>
        <w:topLinePunct w:val="0"/>
        <w:autoSpaceDE/>
        <w:autoSpaceDN/>
        <w:bidi w:val="0"/>
        <w:adjustRightInd w:val="0"/>
        <w:snapToGrid w:val="0"/>
        <w:spacing w:line="600" w:lineRule="exact"/>
        <w:ind w:left="0" w:leftChars="0" w:firstLine="0" w:firstLineChars="0"/>
        <w:jc w:val="center"/>
        <w:textAlignment w:val="auto"/>
        <w:rPr>
          <w:rFonts w:hint="eastAsia" w:ascii="黑体" w:hAnsi="黑体" w:eastAsia="黑体" w:cs="黑体"/>
          <w:color w:val="000000"/>
          <w:kern w:val="0"/>
          <w:sz w:val="44"/>
          <w:szCs w:val="44"/>
          <w:lang w:val="en-US" w:eastAsia="zh-CN" w:bidi="ar"/>
        </w:rPr>
      </w:pPr>
    </w:p>
    <w:p w14:paraId="7EBDEC6A">
      <w:pPr>
        <w:pStyle w:val="32"/>
        <w:adjustRightInd w:val="0"/>
        <w:snapToGrid w:val="0"/>
        <w:spacing w:line="408" w:lineRule="auto"/>
        <w:ind w:firstLine="0" w:firstLineChars="0"/>
        <w:jc w:val="center"/>
        <w:rPr>
          <w:rFonts w:hint="default" w:eastAsia="方正小标宋_GBK" w:cs="Times New Roman"/>
          <w:b w:val="0"/>
          <w:bCs/>
          <w:spacing w:val="4"/>
          <w:sz w:val="38"/>
          <w:szCs w:val="38"/>
          <w:highlight w:val="none"/>
          <w:lang w:val="en-US" w:eastAsia="zh-CN"/>
        </w:rPr>
      </w:pPr>
    </w:p>
    <w:p w14:paraId="777981D6">
      <w:pPr>
        <w:pStyle w:val="32"/>
        <w:adjustRightInd w:val="0"/>
        <w:snapToGrid w:val="0"/>
        <w:spacing w:line="408" w:lineRule="auto"/>
        <w:ind w:firstLine="0" w:firstLineChars="0"/>
        <w:jc w:val="center"/>
        <w:rPr>
          <w:rFonts w:hint="default" w:eastAsia="方正小标宋_GBK" w:cs="Times New Roman"/>
          <w:b w:val="0"/>
          <w:bCs/>
          <w:spacing w:val="4"/>
          <w:sz w:val="38"/>
          <w:szCs w:val="38"/>
          <w:highlight w:val="none"/>
          <w:lang w:val="en-US" w:eastAsia="zh-CN"/>
        </w:rPr>
      </w:pPr>
    </w:p>
    <w:p w14:paraId="6AFC21B4">
      <w:pPr>
        <w:pStyle w:val="32"/>
        <w:adjustRightInd w:val="0"/>
        <w:snapToGrid w:val="0"/>
        <w:spacing w:line="408" w:lineRule="auto"/>
        <w:ind w:firstLine="0" w:firstLineChars="0"/>
        <w:jc w:val="center"/>
        <w:rPr>
          <w:rFonts w:hint="default" w:eastAsia="方正小标宋_GBK" w:cs="Times New Roman"/>
          <w:b w:val="0"/>
          <w:bCs/>
          <w:spacing w:val="4"/>
          <w:sz w:val="38"/>
          <w:szCs w:val="38"/>
          <w:highlight w:val="none"/>
          <w:lang w:val="en-US" w:eastAsia="zh-CN"/>
        </w:rPr>
      </w:pPr>
    </w:p>
    <w:p w14:paraId="5AF36035">
      <w:pPr>
        <w:pStyle w:val="32"/>
        <w:adjustRightInd w:val="0"/>
        <w:snapToGrid w:val="0"/>
        <w:spacing w:line="408" w:lineRule="auto"/>
        <w:ind w:firstLine="0" w:firstLineChars="0"/>
        <w:jc w:val="center"/>
        <w:rPr>
          <w:rFonts w:hint="default" w:eastAsia="方正小标宋_GBK" w:cs="Times New Roman"/>
          <w:b w:val="0"/>
          <w:bCs/>
          <w:spacing w:val="4"/>
          <w:sz w:val="38"/>
          <w:szCs w:val="38"/>
          <w:highlight w:val="none"/>
          <w:lang w:val="en-US" w:eastAsia="zh-CN"/>
        </w:rPr>
      </w:pPr>
    </w:p>
    <w:p w14:paraId="36F4AEA4">
      <w:pPr>
        <w:pStyle w:val="32"/>
        <w:adjustRightInd w:val="0"/>
        <w:snapToGrid w:val="0"/>
        <w:spacing w:line="408" w:lineRule="auto"/>
        <w:ind w:firstLine="0" w:firstLineChars="0"/>
        <w:jc w:val="center"/>
        <w:rPr>
          <w:rFonts w:hint="default" w:eastAsia="方正小标宋_GBK" w:cs="Times New Roman"/>
          <w:b w:val="0"/>
          <w:bCs/>
          <w:spacing w:val="4"/>
          <w:sz w:val="38"/>
          <w:szCs w:val="38"/>
          <w:highlight w:val="none"/>
          <w:lang w:val="en-US" w:eastAsia="zh-CN"/>
        </w:rPr>
      </w:pPr>
    </w:p>
    <w:p w14:paraId="050DEB1E">
      <w:pPr>
        <w:pStyle w:val="32"/>
        <w:adjustRightInd w:val="0"/>
        <w:snapToGrid w:val="0"/>
        <w:spacing w:line="408" w:lineRule="auto"/>
        <w:ind w:firstLine="0" w:firstLineChars="0"/>
        <w:jc w:val="center"/>
        <w:rPr>
          <w:rFonts w:hint="default" w:eastAsia="方正小标宋_GBK" w:cs="Times New Roman"/>
          <w:b w:val="0"/>
          <w:bCs/>
          <w:spacing w:val="4"/>
          <w:sz w:val="38"/>
          <w:szCs w:val="38"/>
          <w:highlight w:val="none"/>
          <w:lang w:val="en-US" w:eastAsia="zh-CN"/>
        </w:rPr>
      </w:pPr>
    </w:p>
    <w:p w14:paraId="6C7F061E">
      <w:pPr>
        <w:pStyle w:val="32"/>
        <w:keepNext w:val="0"/>
        <w:keepLines w:val="0"/>
        <w:pageBreakBefore w:val="0"/>
        <w:widowControl w:val="0"/>
        <w:kinsoku/>
        <w:wordWrap/>
        <w:overflowPunct w:val="0"/>
        <w:topLinePunct w:val="0"/>
        <w:autoSpaceDE/>
        <w:autoSpaceDN/>
        <w:bidi w:val="0"/>
        <w:adjustRightInd w:val="0"/>
        <w:snapToGrid w:val="0"/>
        <w:spacing w:line="600" w:lineRule="exact"/>
        <w:ind w:firstLine="0" w:firstLineChars="0"/>
        <w:jc w:val="center"/>
        <w:textAlignment w:val="auto"/>
        <w:outlineLvl w:val="0"/>
        <w:rPr>
          <w:rFonts w:hint="eastAsia" w:ascii="黑体" w:hAnsi="黑体" w:eastAsia="黑体" w:cs="黑体"/>
          <w:b w:val="0"/>
          <w:bCs/>
          <w:spacing w:val="4"/>
          <w:sz w:val="32"/>
          <w:szCs w:val="32"/>
          <w:highlight w:val="none"/>
          <w:lang w:val="en-US" w:eastAsia="zh-CN"/>
        </w:rPr>
      </w:pPr>
      <w:bookmarkStart w:id="4" w:name="_Toc9406"/>
      <w:bookmarkStart w:id="5" w:name="_Toc1979"/>
      <w:bookmarkStart w:id="6" w:name="_Toc8448"/>
      <w:bookmarkStart w:id="7" w:name="_Toc16804"/>
      <w:bookmarkStart w:id="8" w:name="_Toc27099"/>
      <w:bookmarkStart w:id="9" w:name="_Toc12201"/>
      <w:bookmarkStart w:id="10" w:name="_Toc30816"/>
      <w:r>
        <w:rPr>
          <w:rFonts w:hint="eastAsia" w:ascii="黑体" w:hAnsi="黑体" w:eastAsia="黑体" w:cs="黑体"/>
          <w:b w:val="0"/>
          <w:bCs/>
          <w:spacing w:val="4"/>
          <w:sz w:val="32"/>
          <w:szCs w:val="32"/>
          <w:highlight w:val="none"/>
          <w:lang w:val="en-US" w:eastAsia="zh-CN"/>
        </w:rPr>
        <w:t>标准编制组</w:t>
      </w:r>
      <w:bookmarkEnd w:id="4"/>
      <w:bookmarkEnd w:id="5"/>
      <w:bookmarkEnd w:id="6"/>
      <w:bookmarkEnd w:id="7"/>
      <w:bookmarkEnd w:id="8"/>
      <w:bookmarkEnd w:id="9"/>
      <w:bookmarkEnd w:id="10"/>
    </w:p>
    <w:p w14:paraId="06363DCA">
      <w:pPr>
        <w:pStyle w:val="32"/>
        <w:keepNext w:val="0"/>
        <w:keepLines w:val="0"/>
        <w:pageBreakBefore w:val="0"/>
        <w:widowControl w:val="0"/>
        <w:kinsoku/>
        <w:wordWrap/>
        <w:overflowPunct w:val="0"/>
        <w:topLinePunct w:val="0"/>
        <w:autoSpaceDE/>
        <w:autoSpaceDN/>
        <w:bidi w:val="0"/>
        <w:adjustRightInd w:val="0"/>
        <w:snapToGrid w:val="0"/>
        <w:spacing w:line="600" w:lineRule="exact"/>
        <w:ind w:firstLine="0" w:firstLineChars="0"/>
        <w:jc w:val="center"/>
        <w:textAlignment w:val="auto"/>
        <w:rPr>
          <w:rFonts w:hint="eastAsia" w:ascii="黑体" w:hAnsi="黑体" w:eastAsia="黑体" w:cs="黑体"/>
          <w:b w:val="0"/>
          <w:bCs/>
          <w:spacing w:val="4"/>
          <w:sz w:val="32"/>
          <w:szCs w:val="32"/>
          <w:highlight w:val="none"/>
          <w:lang w:val="en-US" w:eastAsia="zh-CN"/>
        </w:rPr>
      </w:pPr>
      <w:r>
        <w:rPr>
          <w:rFonts w:hint="eastAsia" w:ascii="黑体" w:hAnsi="黑体" w:eastAsia="黑体" w:cs="黑体"/>
          <w:b w:val="0"/>
          <w:bCs/>
          <w:spacing w:val="4"/>
          <w:sz w:val="32"/>
          <w:szCs w:val="32"/>
          <w:highlight w:val="none"/>
          <w:lang w:val="en-US" w:eastAsia="zh-CN"/>
        </w:rPr>
        <w:t>2024年10月</w:t>
      </w:r>
    </w:p>
    <w:p w14:paraId="40411AF1">
      <w:pPr>
        <w:pStyle w:val="32"/>
        <w:keepNext w:val="0"/>
        <w:keepLines w:val="0"/>
        <w:pageBreakBefore w:val="0"/>
        <w:widowControl w:val="0"/>
        <w:kinsoku/>
        <w:wordWrap/>
        <w:overflowPunct w:val="0"/>
        <w:topLinePunct w:val="0"/>
        <w:autoSpaceDE/>
        <w:autoSpaceDN/>
        <w:bidi w:val="0"/>
        <w:adjustRightInd w:val="0"/>
        <w:snapToGrid w:val="0"/>
        <w:spacing w:line="600" w:lineRule="exact"/>
        <w:ind w:firstLine="0" w:firstLineChars="0"/>
        <w:jc w:val="center"/>
        <w:textAlignment w:val="auto"/>
        <w:rPr>
          <w:rFonts w:hint="eastAsia" w:ascii="黑体" w:hAnsi="黑体" w:eastAsia="黑体" w:cs="黑体"/>
          <w:b w:val="0"/>
          <w:bCs/>
          <w:spacing w:val="4"/>
          <w:sz w:val="32"/>
          <w:szCs w:val="32"/>
          <w:highlight w:val="none"/>
          <w:lang w:val="en-US" w:eastAsia="zh-CN"/>
        </w:rPr>
      </w:pPr>
    </w:p>
    <w:p w14:paraId="68C74CA1">
      <w:pPr>
        <w:pStyle w:val="32"/>
        <w:keepNext w:val="0"/>
        <w:keepLines w:val="0"/>
        <w:pageBreakBefore w:val="0"/>
        <w:widowControl w:val="0"/>
        <w:kinsoku/>
        <w:wordWrap/>
        <w:overflowPunct w:val="0"/>
        <w:topLinePunct w:val="0"/>
        <w:autoSpaceDE/>
        <w:autoSpaceDN/>
        <w:bidi w:val="0"/>
        <w:adjustRightInd w:val="0"/>
        <w:snapToGrid w:val="0"/>
        <w:spacing w:line="600" w:lineRule="exact"/>
        <w:ind w:firstLine="0" w:firstLineChars="0"/>
        <w:jc w:val="center"/>
        <w:textAlignment w:val="auto"/>
        <w:rPr>
          <w:rFonts w:hint="eastAsia" w:ascii="黑体" w:hAnsi="黑体" w:eastAsia="黑体" w:cs="黑体"/>
          <w:b w:val="0"/>
          <w:bCs/>
          <w:spacing w:val="4"/>
          <w:sz w:val="32"/>
          <w:szCs w:val="32"/>
          <w:highlight w:val="none"/>
          <w:lang w:val="en-US" w:eastAsia="zh-CN"/>
        </w:rPr>
      </w:pPr>
    </w:p>
    <w:p w14:paraId="392597CF">
      <w:pPr>
        <w:pStyle w:val="32"/>
        <w:keepNext w:val="0"/>
        <w:keepLines w:val="0"/>
        <w:pageBreakBefore w:val="0"/>
        <w:widowControl w:val="0"/>
        <w:kinsoku/>
        <w:wordWrap/>
        <w:overflowPunct w:val="0"/>
        <w:topLinePunct w:val="0"/>
        <w:autoSpaceDE/>
        <w:autoSpaceDN/>
        <w:bidi w:val="0"/>
        <w:adjustRightInd w:val="0"/>
        <w:snapToGrid w:val="0"/>
        <w:spacing w:line="600" w:lineRule="exact"/>
        <w:ind w:firstLine="0" w:firstLineChars="0"/>
        <w:jc w:val="center"/>
        <w:textAlignment w:val="auto"/>
        <w:rPr>
          <w:rFonts w:hint="eastAsia" w:ascii="黑体" w:hAnsi="黑体" w:eastAsia="黑体" w:cs="黑体"/>
          <w:b w:val="0"/>
          <w:bCs/>
          <w:spacing w:val="4"/>
          <w:sz w:val="32"/>
          <w:szCs w:val="32"/>
          <w:highlight w:val="none"/>
          <w:lang w:val="en-US" w:eastAsia="zh-CN"/>
        </w:rPr>
      </w:pPr>
    </w:p>
    <w:sdt>
      <w:sdtPr>
        <w:rPr>
          <w:rFonts w:hint="eastAsia" w:ascii="黑体" w:hAnsi="黑体" w:eastAsia="黑体" w:cs="黑体"/>
          <w:sz w:val="32"/>
          <w:szCs w:val="32"/>
          <w:lang w:val="en-US" w:eastAsia="zh-CN"/>
        </w:rPr>
        <w:id w:val="147464631"/>
        <w15:color w:val="DBDBDB"/>
        <w:docPartObj>
          <w:docPartGallery w:val="Table of Contents"/>
          <w:docPartUnique/>
        </w:docPartObj>
      </w:sdtPr>
      <w:sdtEndPr>
        <w:rPr>
          <w:rFonts w:hint="default" w:ascii="黑体" w:hAnsi="黑体" w:eastAsia="黑体" w:cs="黑体"/>
          <w:b/>
          <w:bCs/>
          <w:spacing w:val="4"/>
          <w:kern w:val="2"/>
          <w:sz w:val="24"/>
          <w:szCs w:val="24"/>
          <w:highlight w:val="none"/>
          <w:lang w:val="en-US" w:eastAsia="zh-CN" w:bidi="ar-SA"/>
        </w:rPr>
      </w:sdtEndPr>
      <w:sdtContent>
        <w:p w14:paraId="37DE3FF1">
          <w:pPr>
            <w:spacing w:before="0" w:beforeLines="0" w:after="0" w:afterLines="0" w:line="240" w:lineRule="auto"/>
            <w:ind w:left="0" w:leftChars="0" w:right="0" w:rightChars="0" w:firstLine="0" w:firstLineChars="0"/>
            <w:jc w:val="center"/>
          </w:pP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录</w:t>
          </w:r>
          <w:r>
            <w:rPr>
              <w:rFonts w:hint="eastAsia" w:ascii="宋体" w:hAnsi="宋体" w:eastAsia="宋体" w:cs="宋体"/>
              <w:b w:val="0"/>
              <w:bCs/>
              <w:spacing w:val="4"/>
              <w:sz w:val="24"/>
              <w:szCs w:val="24"/>
              <w:highlight w:val="none"/>
              <w:lang w:val="en-US" w:eastAsia="zh-CN"/>
            </w:rPr>
            <w:fldChar w:fldCharType="begin"/>
          </w:r>
          <w:r>
            <w:rPr>
              <w:rFonts w:hint="eastAsia" w:ascii="宋体" w:hAnsi="宋体" w:eastAsia="宋体" w:cs="宋体"/>
              <w:b w:val="0"/>
              <w:bCs/>
              <w:spacing w:val="4"/>
              <w:sz w:val="24"/>
              <w:szCs w:val="24"/>
              <w:highlight w:val="none"/>
              <w:lang w:val="en-US" w:eastAsia="zh-CN"/>
            </w:rPr>
            <w:instrText xml:space="preserve">TOC \o "1-2" \h \u </w:instrText>
          </w:r>
          <w:r>
            <w:rPr>
              <w:rFonts w:hint="eastAsia" w:ascii="宋体" w:hAnsi="宋体" w:eastAsia="宋体" w:cs="宋体"/>
              <w:b w:val="0"/>
              <w:bCs/>
              <w:spacing w:val="4"/>
              <w:sz w:val="24"/>
              <w:szCs w:val="24"/>
              <w:highlight w:val="none"/>
              <w:lang w:val="en-US" w:eastAsia="zh-CN"/>
            </w:rPr>
            <w:fldChar w:fldCharType="separate"/>
          </w:r>
        </w:p>
        <w:p w14:paraId="0F855CDC">
          <w:pPr>
            <w:pStyle w:val="21"/>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黑体" w:cs="Times New Roman"/>
              <w:b w:val="0"/>
              <w:bCs w:val="0"/>
              <w:color w:val="000000"/>
              <w:kern w:val="0"/>
              <w:sz w:val="28"/>
              <w:szCs w:val="28"/>
              <w:lang w:val="en-US" w:eastAsia="zh-CN" w:bidi="ar"/>
            </w:rPr>
          </w:pP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HYPERLINK \l _Toc18815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一、工作简况</w:t>
          </w:r>
          <w:r>
            <w:rPr>
              <w:rFonts w:hint="eastAsia" w:ascii="Times New Roman" w:hAnsi="Times New Roman" w:eastAsia="黑体" w:cs="Times New Roman"/>
              <w:b w:val="0"/>
              <w:bCs w:val="0"/>
              <w:color w:val="000000"/>
              <w:kern w:val="0"/>
              <w:sz w:val="28"/>
              <w:szCs w:val="28"/>
              <w:lang w:val="en-US" w:eastAsia="zh-CN" w:bidi="ar"/>
            </w:rPr>
            <w:tab/>
          </w: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PAGEREF _Toc18815 \h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1</w:t>
          </w:r>
          <w:r>
            <w:rPr>
              <w:rFonts w:hint="eastAsia" w:ascii="Times New Roman" w:hAnsi="Times New Roman" w:eastAsia="黑体" w:cs="Times New Roman"/>
              <w:b w:val="0"/>
              <w:bCs w:val="0"/>
              <w:color w:val="000000"/>
              <w:kern w:val="0"/>
              <w:sz w:val="28"/>
              <w:szCs w:val="28"/>
              <w:lang w:val="en-US" w:eastAsia="zh-CN" w:bidi="ar"/>
            </w:rPr>
            <w:fldChar w:fldCharType="end"/>
          </w:r>
          <w:r>
            <w:rPr>
              <w:rFonts w:hint="eastAsia" w:ascii="Times New Roman" w:hAnsi="Times New Roman" w:eastAsia="黑体" w:cs="Times New Roman"/>
              <w:b w:val="0"/>
              <w:bCs w:val="0"/>
              <w:color w:val="000000"/>
              <w:kern w:val="0"/>
              <w:sz w:val="28"/>
              <w:szCs w:val="28"/>
              <w:lang w:val="en-US" w:eastAsia="zh-CN" w:bidi="ar"/>
            </w:rPr>
            <w:fldChar w:fldCharType="end"/>
          </w:r>
        </w:p>
        <w:p w14:paraId="19D49B99">
          <w:pPr>
            <w:pStyle w:val="22"/>
            <w:tabs>
              <w:tab w:val="right" w:leader="dot" w:pos="8306"/>
            </w:tabs>
            <w:spacing w:line="240" w:lineRule="auto"/>
            <w:ind w:firstLine="0" w:firstLineChars="0"/>
            <w:rPr>
              <w:rFonts w:hint="eastAsia" w:ascii="Times New Roman" w:hAnsi="Times New Roman" w:eastAsia="黑体" w:cs="Times New Roman"/>
              <w:color w:val="000000"/>
              <w:kern w:val="0"/>
              <w:sz w:val="28"/>
              <w:szCs w:val="28"/>
              <w:lang w:eastAsia="zh-CN" w:bidi="ar"/>
            </w:rPr>
          </w:pPr>
          <w:r>
            <w:rPr>
              <w:rFonts w:hint="eastAsia" w:ascii="Times New Roman" w:hAnsi="Times New Roman" w:eastAsia="黑体" w:cs="Times New Roman"/>
              <w:color w:val="000000"/>
              <w:kern w:val="0"/>
              <w:sz w:val="28"/>
              <w:szCs w:val="28"/>
              <w:lang w:val="en-US" w:eastAsia="zh-CN" w:bidi="ar"/>
            </w:rPr>
            <w:fldChar w:fldCharType="begin"/>
          </w:r>
          <w:r>
            <w:rPr>
              <w:rFonts w:hint="eastAsia" w:ascii="Times New Roman" w:hAnsi="Times New Roman" w:eastAsia="黑体" w:cs="Times New Roman"/>
              <w:color w:val="000000"/>
              <w:kern w:val="0"/>
              <w:sz w:val="28"/>
              <w:szCs w:val="28"/>
              <w:lang w:val="en-US" w:eastAsia="zh-CN" w:bidi="ar"/>
            </w:rPr>
            <w:instrText xml:space="preserve"> HYPERLINK \l _Toc22153 </w:instrText>
          </w:r>
          <w:r>
            <w:rPr>
              <w:rFonts w:hint="eastAsia" w:ascii="Times New Roman" w:hAnsi="Times New Roman" w:eastAsia="黑体" w:cs="Times New Roman"/>
              <w:color w:val="000000"/>
              <w:kern w:val="0"/>
              <w:sz w:val="28"/>
              <w:szCs w:val="28"/>
              <w:lang w:val="en-US" w:eastAsia="zh-CN" w:bidi="ar"/>
            </w:rPr>
            <w:fldChar w:fldCharType="separate"/>
          </w:r>
          <w:r>
            <w:rPr>
              <w:rFonts w:hint="eastAsia" w:ascii="Times New Roman" w:hAnsi="Times New Roman" w:eastAsia="楷体_GB2312" w:cs="Times New Roman"/>
              <w:bCs w:val="0"/>
              <w:kern w:val="0"/>
              <w:sz w:val="28"/>
              <w:szCs w:val="28"/>
              <w:lang w:val="en-US" w:eastAsia="zh-CN" w:bidi="ar"/>
            </w:rPr>
            <w:t>（一）任务来源</w:t>
          </w:r>
          <w:r>
            <w:rPr>
              <w:rFonts w:hint="eastAsia" w:ascii="Times New Roman" w:hAnsi="Times New Roman" w:eastAsia="楷体_GB2312" w:cs="Times New Roman"/>
              <w:bCs w:val="0"/>
              <w:kern w:val="0"/>
              <w:sz w:val="28"/>
              <w:szCs w:val="28"/>
              <w:lang w:eastAsia="zh-CN" w:bidi="ar"/>
            </w:rPr>
            <w:tab/>
          </w:r>
          <w:r>
            <w:rPr>
              <w:rFonts w:hint="eastAsia" w:ascii="Times New Roman" w:hAnsi="Times New Roman" w:eastAsia="黑体" w:cs="Times New Roman"/>
              <w:color w:val="000000"/>
              <w:kern w:val="0"/>
              <w:sz w:val="28"/>
              <w:szCs w:val="28"/>
              <w:lang w:eastAsia="zh-CN" w:bidi="ar"/>
            </w:rPr>
            <w:fldChar w:fldCharType="begin"/>
          </w:r>
          <w:r>
            <w:rPr>
              <w:rFonts w:hint="eastAsia" w:ascii="Times New Roman" w:hAnsi="Times New Roman" w:eastAsia="黑体" w:cs="Times New Roman"/>
              <w:color w:val="000000"/>
              <w:kern w:val="0"/>
              <w:sz w:val="28"/>
              <w:szCs w:val="28"/>
              <w:lang w:eastAsia="zh-CN" w:bidi="ar"/>
            </w:rPr>
            <w:instrText xml:space="preserve"> PAGEREF _Toc22153 \h </w:instrText>
          </w:r>
          <w:r>
            <w:rPr>
              <w:rFonts w:hint="eastAsia" w:ascii="Times New Roman" w:hAnsi="Times New Roman" w:eastAsia="黑体" w:cs="Times New Roman"/>
              <w:color w:val="000000"/>
              <w:kern w:val="0"/>
              <w:sz w:val="28"/>
              <w:szCs w:val="28"/>
              <w:lang w:eastAsia="zh-CN" w:bidi="ar"/>
            </w:rPr>
            <w:fldChar w:fldCharType="separate"/>
          </w:r>
          <w:r>
            <w:rPr>
              <w:rFonts w:hint="eastAsia" w:ascii="Times New Roman" w:hAnsi="Times New Roman" w:eastAsia="黑体" w:cs="Times New Roman"/>
              <w:color w:val="000000"/>
              <w:kern w:val="0"/>
              <w:sz w:val="28"/>
              <w:szCs w:val="28"/>
              <w:lang w:eastAsia="zh-CN" w:bidi="ar"/>
            </w:rPr>
            <w:t>1</w:t>
          </w:r>
          <w:r>
            <w:rPr>
              <w:rFonts w:hint="eastAsia" w:ascii="Times New Roman" w:hAnsi="Times New Roman" w:eastAsia="黑体" w:cs="Times New Roman"/>
              <w:color w:val="000000"/>
              <w:kern w:val="0"/>
              <w:sz w:val="28"/>
              <w:szCs w:val="28"/>
              <w:lang w:eastAsia="zh-CN" w:bidi="ar"/>
            </w:rPr>
            <w:fldChar w:fldCharType="end"/>
          </w:r>
          <w:r>
            <w:rPr>
              <w:rFonts w:hint="eastAsia" w:ascii="Times New Roman" w:hAnsi="Times New Roman" w:eastAsia="黑体" w:cs="Times New Roman"/>
              <w:color w:val="000000"/>
              <w:kern w:val="0"/>
              <w:sz w:val="28"/>
              <w:szCs w:val="28"/>
              <w:lang w:val="en-US" w:eastAsia="zh-CN" w:bidi="ar"/>
            </w:rPr>
            <w:fldChar w:fldCharType="end"/>
          </w:r>
        </w:p>
        <w:p w14:paraId="62539520">
          <w:pPr>
            <w:pStyle w:val="22"/>
            <w:tabs>
              <w:tab w:val="right" w:leader="dot" w:pos="8306"/>
            </w:tabs>
            <w:spacing w:line="240" w:lineRule="auto"/>
            <w:ind w:firstLine="0" w:firstLineChars="0"/>
            <w:rPr>
              <w:rFonts w:hint="eastAsia" w:ascii="Times New Roman" w:hAnsi="Times New Roman" w:eastAsia="黑体" w:cs="Times New Roman"/>
              <w:color w:val="000000"/>
              <w:kern w:val="0"/>
              <w:sz w:val="28"/>
              <w:szCs w:val="28"/>
              <w:lang w:eastAsia="zh-CN" w:bidi="ar"/>
            </w:rPr>
          </w:pPr>
          <w:r>
            <w:rPr>
              <w:rFonts w:hint="eastAsia" w:ascii="Times New Roman" w:hAnsi="Times New Roman" w:eastAsia="楷体_GB2312" w:cs="Times New Roman"/>
              <w:bCs w:val="0"/>
              <w:kern w:val="0"/>
              <w:sz w:val="28"/>
              <w:szCs w:val="28"/>
              <w:lang w:val="en-US" w:eastAsia="zh-CN" w:bidi="ar"/>
            </w:rPr>
            <w:fldChar w:fldCharType="begin"/>
          </w:r>
          <w:r>
            <w:rPr>
              <w:rFonts w:hint="eastAsia" w:ascii="Times New Roman" w:hAnsi="Times New Roman" w:eastAsia="楷体_GB2312" w:cs="Times New Roman"/>
              <w:bCs w:val="0"/>
              <w:kern w:val="0"/>
              <w:sz w:val="28"/>
              <w:szCs w:val="28"/>
              <w:lang w:val="en-US" w:eastAsia="zh-CN" w:bidi="ar"/>
            </w:rPr>
            <w:instrText xml:space="preserve"> HYPERLINK \l _Toc11981 </w:instrText>
          </w:r>
          <w:r>
            <w:rPr>
              <w:rFonts w:hint="eastAsia" w:ascii="Times New Roman" w:hAnsi="Times New Roman" w:eastAsia="楷体_GB2312" w:cs="Times New Roman"/>
              <w:bCs w:val="0"/>
              <w:kern w:val="0"/>
              <w:sz w:val="28"/>
              <w:szCs w:val="28"/>
              <w:lang w:val="en-US" w:eastAsia="zh-CN" w:bidi="ar"/>
            </w:rPr>
            <w:fldChar w:fldCharType="separate"/>
          </w:r>
          <w:r>
            <w:rPr>
              <w:rFonts w:hint="eastAsia" w:ascii="Times New Roman" w:hAnsi="Times New Roman" w:eastAsia="楷体_GB2312" w:cs="Times New Roman"/>
              <w:bCs w:val="0"/>
              <w:kern w:val="0"/>
              <w:sz w:val="28"/>
              <w:szCs w:val="28"/>
              <w:lang w:val="en-US" w:eastAsia="zh-CN" w:bidi="ar"/>
            </w:rPr>
            <w:t>（二）起草单位、起草人及任务分工</w:t>
          </w:r>
          <w:r>
            <w:rPr>
              <w:rFonts w:hint="eastAsia" w:ascii="Times New Roman" w:hAnsi="Times New Roman" w:eastAsia="楷体_GB2312" w:cs="Times New Roman"/>
              <w:bCs w:val="0"/>
              <w:kern w:val="0"/>
              <w:sz w:val="28"/>
              <w:szCs w:val="28"/>
              <w:lang w:eastAsia="zh-CN" w:bidi="ar"/>
            </w:rPr>
            <w:tab/>
          </w:r>
          <w:r>
            <w:rPr>
              <w:rFonts w:hint="eastAsia" w:ascii="Times New Roman" w:hAnsi="Times New Roman" w:eastAsia="楷体_GB2312" w:cs="Times New Roman"/>
              <w:bCs w:val="0"/>
              <w:kern w:val="0"/>
              <w:sz w:val="28"/>
              <w:szCs w:val="28"/>
              <w:lang w:eastAsia="zh-CN" w:bidi="ar"/>
            </w:rPr>
            <w:fldChar w:fldCharType="begin"/>
          </w:r>
          <w:r>
            <w:rPr>
              <w:rFonts w:hint="eastAsia" w:ascii="Times New Roman" w:hAnsi="Times New Roman" w:eastAsia="楷体_GB2312" w:cs="Times New Roman"/>
              <w:bCs w:val="0"/>
              <w:kern w:val="0"/>
              <w:sz w:val="28"/>
              <w:szCs w:val="28"/>
              <w:lang w:eastAsia="zh-CN" w:bidi="ar"/>
            </w:rPr>
            <w:instrText xml:space="preserve"> PAGEREF _Toc11981 \h </w:instrText>
          </w:r>
          <w:r>
            <w:rPr>
              <w:rFonts w:hint="eastAsia" w:ascii="Times New Roman" w:hAnsi="Times New Roman" w:eastAsia="楷体_GB2312" w:cs="Times New Roman"/>
              <w:bCs w:val="0"/>
              <w:kern w:val="0"/>
              <w:sz w:val="28"/>
              <w:szCs w:val="28"/>
              <w:lang w:eastAsia="zh-CN" w:bidi="ar"/>
            </w:rPr>
            <w:fldChar w:fldCharType="separate"/>
          </w:r>
          <w:r>
            <w:rPr>
              <w:rFonts w:hint="eastAsia" w:ascii="Times New Roman" w:hAnsi="Times New Roman" w:eastAsia="楷体_GB2312" w:cs="Times New Roman"/>
              <w:bCs w:val="0"/>
              <w:kern w:val="0"/>
              <w:sz w:val="28"/>
              <w:szCs w:val="28"/>
              <w:lang w:eastAsia="zh-CN" w:bidi="ar"/>
            </w:rPr>
            <w:t>1</w:t>
          </w:r>
          <w:r>
            <w:rPr>
              <w:rFonts w:hint="eastAsia" w:ascii="Times New Roman" w:hAnsi="Times New Roman" w:eastAsia="楷体_GB2312" w:cs="Times New Roman"/>
              <w:bCs w:val="0"/>
              <w:kern w:val="0"/>
              <w:sz w:val="28"/>
              <w:szCs w:val="28"/>
              <w:lang w:eastAsia="zh-CN" w:bidi="ar"/>
            </w:rPr>
            <w:fldChar w:fldCharType="end"/>
          </w:r>
          <w:r>
            <w:rPr>
              <w:rFonts w:hint="eastAsia" w:ascii="Times New Roman" w:hAnsi="Times New Roman" w:eastAsia="楷体_GB2312" w:cs="Times New Roman"/>
              <w:bCs w:val="0"/>
              <w:kern w:val="0"/>
              <w:sz w:val="28"/>
              <w:szCs w:val="28"/>
              <w:lang w:val="en-US" w:eastAsia="zh-CN" w:bidi="ar"/>
            </w:rPr>
            <w:fldChar w:fldCharType="end"/>
          </w:r>
        </w:p>
        <w:p w14:paraId="53C06929">
          <w:pPr>
            <w:pStyle w:val="22"/>
            <w:tabs>
              <w:tab w:val="right" w:leader="dot" w:pos="8306"/>
            </w:tabs>
            <w:spacing w:line="240" w:lineRule="auto"/>
            <w:ind w:firstLine="0" w:firstLineChars="0"/>
            <w:rPr>
              <w:rFonts w:hint="eastAsia" w:ascii="宋体" w:hAnsi="宋体" w:eastAsia="宋体" w:cs="宋体"/>
              <w:sz w:val="28"/>
              <w:szCs w:val="28"/>
            </w:rPr>
          </w:pPr>
          <w:r>
            <w:rPr>
              <w:rFonts w:hint="eastAsia" w:ascii="Times New Roman" w:hAnsi="Times New Roman" w:eastAsia="楷体_GB2312" w:cs="Times New Roman"/>
              <w:bCs w:val="0"/>
              <w:kern w:val="0"/>
              <w:sz w:val="28"/>
              <w:szCs w:val="28"/>
              <w:lang w:val="en-US" w:eastAsia="zh-CN" w:bidi="ar"/>
            </w:rPr>
            <w:fldChar w:fldCharType="begin"/>
          </w:r>
          <w:r>
            <w:rPr>
              <w:rFonts w:hint="eastAsia" w:ascii="Times New Roman" w:hAnsi="Times New Roman" w:eastAsia="楷体_GB2312" w:cs="Times New Roman"/>
              <w:bCs w:val="0"/>
              <w:kern w:val="0"/>
              <w:sz w:val="28"/>
              <w:szCs w:val="28"/>
              <w:lang w:val="en-US" w:eastAsia="zh-CN" w:bidi="ar"/>
            </w:rPr>
            <w:instrText xml:space="preserve"> HYPERLINK \l _Toc8263 </w:instrText>
          </w:r>
          <w:r>
            <w:rPr>
              <w:rFonts w:hint="eastAsia" w:ascii="Times New Roman" w:hAnsi="Times New Roman" w:eastAsia="楷体_GB2312" w:cs="Times New Roman"/>
              <w:bCs w:val="0"/>
              <w:kern w:val="0"/>
              <w:sz w:val="28"/>
              <w:szCs w:val="28"/>
              <w:lang w:val="en-US" w:eastAsia="zh-CN" w:bidi="ar"/>
            </w:rPr>
            <w:fldChar w:fldCharType="separate"/>
          </w:r>
          <w:r>
            <w:rPr>
              <w:rFonts w:hint="eastAsia" w:ascii="Times New Roman" w:hAnsi="Times New Roman" w:eastAsia="楷体_GB2312" w:cs="Times New Roman"/>
              <w:bCs w:val="0"/>
              <w:kern w:val="0"/>
              <w:sz w:val="28"/>
              <w:szCs w:val="28"/>
              <w:lang w:val="en-US" w:eastAsia="zh-CN" w:bidi="ar"/>
            </w:rPr>
            <w:t>（三）工作过程</w:t>
          </w:r>
          <w:r>
            <w:rPr>
              <w:rFonts w:hint="eastAsia" w:ascii="Times New Roman" w:hAnsi="Times New Roman" w:eastAsia="楷体_GB2312" w:cs="Times New Roman"/>
              <w:bCs w:val="0"/>
              <w:kern w:val="0"/>
              <w:sz w:val="28"/>
              <w:szCs w:val="28"/>
              <w:lang w:eastAsia="zh-CN" w:bidi="ar"/>
            </w:rPr>
            <w:tab/>
          </w:r>
          <w:r>
            <w:rPr>
              <w:rFonts w:hint="eastAsia" w:ascii="Times New Roman" w:hAnsi="Times New Roman" w:eastAsia="楷体_GB2312" w:cs="Times New Roman"/>
              <w:bCs w:val="0"/>
              <w:kern w:val="0"/>
              <w:sz w:val="28"/>
              <w:szCs w:val="28"/>
              <w:lang w:eastAsia="zh-CN" w:bidi="ar"/>
            </w:rPr>
            <w:fldChar w:fldCharType="begin"/>
          </w:r>
          <w:r>
            <w:rPr>
              <w:rFonts w:hint="eastAsia" w:ascii="Times New Roman" w:hAnsi="Times New Roman" w:eastAsia="楷体_GB2312" w:cs="Times New Roman"/>
              <w:bCs w:val="0"/>
              <w:kern w:val="0"/>
              <w:sz w:val="28"/>
              <w:szCs w:val="28"/>
              <w:lang w:eastAsia="zh-CN" w:bidi="ar"/>
            </w:rPr>
            <w:instrText xml:space="preserve"> PAGEREF _Toc8263 \h </w:instrText>
          </w:r>
          <w:r>
            <w:rPr>
              <w:rFonts w:hint="eastAsia" w:ascii="Times New Roman" w:hAnsi="Times New Roman" w:eastAsia="楷体_GB2312" w:cs="Times New Roman"/>
              <w:bCs w:val="0"/>
              <w:kern w:val="0"/>
              <w:sz w:val="28"/>
              <w:szCs w:val="28"/>
              <w:lang w:eastAsia="zh-CN" w:bidi="ar"/>
            </w:rPr>
            <w:fldChar w:fldCharType="separate"/>
          </w:r>
          <w:r>
            <w:rPr>
              <w:rFonts w:hint="eastAsia" w:ascii="Times New Roman" w:hAnsi="Times New Roman" w:eastAsia="楷体_GB2312" w:cs="Times New Roman"/>
              <w:bCs w:val="0"/>
              <w:kern w:val="0"/>
              <w:sz w:val="28"/>
              <w:szCs w:val="28"/>
              <w:lang w:eastAsia="zh-CN" w:bidi="ar"/>
            </w:rPr>
            <w:t>2</w:t>
          </w:r>
          <w:r>
            <w:rPr>
              <w:rFonts w:hint="eastAsia" w:ascii="Times New Roman" w:hAnsi="Times New Roman" w:eastAsia="楷体_GB2312" w:cs="Times New Roman"/>
              <w:bCs w:val="0"/>
              <w:kern w:val="0"/>
              <w:sz w:val="28"/>
              <w:szCs w:val="28"/>
              <w:lang w:eastAsia="zh-CN" w:bidi="ar"/>
            </w:rPr>
            <w:fldChar w:fldCharType="end"/>
          </w:r>
          <w:r>
            <w:rPr>
              <w:rFonts w:hint="eastAsia" w:ascii="Times New Roman" w:hAnsi="Times New Roman" w:eastAsia="楷体_GB2312" w:cs="Times New Roman"/>
              <w:bCs w:val="0"/>
              <w:kern w:val="0"/>
              <w:sz w:val="28"/>
              <w:szCs w:val="28"/>
              <w:lang w:val="en-US" w:eastAsia="zh-CN" w:bidi="ar"/>
            </w:rPr>
            <w:fldChar w:fldCharType="end"/>
          </w:r>
        </w:p>
        <w:p w14:paraId="5EEEFDE0">
          <w:pPr>
            <w:pStyle w:val="21"/>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黑体" w:cs="Times New Roman"/>
              <w:b w:val="0"/>
              <w:bCs w:val="0"/>
              <w:color w:val="000000"/>
              <w:kern w:val="0"/>
              <w:sz w:val="28"/>
              <w:szCs w:val="28"/>
              <w:lang w:val="en-US" w:eastAsia="zh-CN" w:bidi="ar"/>
            </w:rPr>
          </w:pP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HYPERLINK \l _Toc13240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二、地方标准制定的目的和意义</w:t>
          </w:r>
          <w:r>
            <w:rPr>
              <w:rFonts w:hint="eastAsia" w:ascii="Times New Roman" w:hAnsi="Times New Roman" w:eastAsia="黑体" w:cs="Times New Roman"/>
              <w:b w:val="0"/>
              <w:bCs w:val="0"/>
              <w:color w:val="000000"/>
              <w:kern w:val="0"/>
              <w:sz w:val="28"/>
              <w:szCs w:val="28"/>
              <w:lang w:val="en-US" w:eastAsia="zh-CN" w:bidi="ar"/>
            </w:rPr>
            <w:tab/>
          </w: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PAGEREF _Toc13240 \h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3</w:t>
          </w:r>
          <w:r>
            <w:rPr>
              <w:rFonts w:hint="eastAsia" w:ascii="Times New Roman" w:hAnsi="Times New Roman" w:eastAsia="黑体" w:cs="Times New Roman"/>
              <w:b w:val="0"/>
              <w:bCs w:val="0"/>
              <w:color w:val="000000"/>
              <w:kern w:val="0"/>
              <w:sz w:val="28"/>
              <w:szCs w:val="28"/>
              <w:lang w:val="en-US" w:eastAsia="zh-CN" w:bidi="ar"/>
            </w:rPr>
            <w:fldChar w:fldCharType="end"/>
          </w:r>
          <w:r>
            <w:rPr>
              <w:rFonts w:hint="eastAsia" w:ascii="Times New Roman" w:hAnsi="Times New Roman" w:eastAsia="黑体" w:cs="Times New Roman"/>
              <w:b w:val="0"/>
              <w:bCs w:val="0"/>
              <w:color w:val="000000"/>
              <w:kern w:val="0"/>
              <w:sz w:val="28"/>
              <w:szCs w:val="28"/>
              <w:lang w:val="en-US" w:eastAsia="zh-CN" w:bidi="ar"/>
            </w:rPr>
            <w:fldChar w:fldCharType="end"/>
          </w:r>
        </w:p>
        <w:p w14:paraId="2D805546">
          <w:pPr>
            <w:pStyle w:val="22"/>
            <w:tabs>
              <w:tab w:val="right" w:leader="dot" w:pos="8306"/>
            </w:tabs>
            <w:spacing w:line="240" w:lineRule="auto"/>
            <w:ind w:firstLine="0" w:firstLineChars="0"/>
            <w:rPr>
              <w:rFonts w:hint="eastAsia" w:ascii="Times New Roman" w:hAnsi="Times New Roman" w:eastAsia="楷体_GB2312" w:cs="Times New Roman"/>
              <w:bCs w:val="0"/>
              <w:kern w:val="0"/>
              <w:sz w:val="28"/>
              <w:szCs w:val="28"/>
              <w:lang w:eastAsia="zh-CN" w:bidi="ar"/>
            </w:rPr>
          </w:pPr>
          <w:r>
            <w:rPr>
              <w:rFonts w:hint="eastAsia" w:ascii="Times New Roman" w:hAnsi="Times New Roman" w:eastAsia="楷体_GB2312" w:cs="Times New Roman"/>
              <w:bCs w:val="0"/>
              <w:kern w:val="0"/>
              <w:sz w:val="28"/>
              <w:szCs w:val="28"/>
              <w:lang w:val="en-US" w:eastAsia="zh-CN" w:bidi="ar"/>
            </w:rPr>
            <w:fldChar w:fldCharType="begin"/>
          </w:r>
          <w:r>
            <w:rPr>
              <w:rFonts w:hint="eastAsia" w:ascii="Times New Roman" w:hAnsi="Times New Roman" w:eastAsia="楷体_GB2312" w:cs="Times New Roman"/>
              <w:bCs w:val="0"/>
              <w:kern w:val="0"/>
              <w:sz w:val="28"/>
              <w:szCs w:val="28"/>
              <w:lang w:val="en-US" w:eastAsia="zh-CN" w:bidi="ar"/>
            </w:rPr>
            <w:instrText xml:space="preserve"> HYPERLINK \l _Toc32185 </w:instrText>
          </w:r>
          <w:r>
            <w:rPr>
              <w:rFonts w:hint="eastAsia" w:ascii="Times New Roman" w:hAnsi="Times New Roman" w:eastAsia="楷体_GB2312" w:cs="Times New Roman"/>
              <w:bCs w:val="0"/>
              <w:kern w:val="0"/>
              <w:sz w:val="28"/>
              <w:szCs w:val="28"/>
              <w:lang w:val="en-US" w:eastAsia="zh-CN" w:bidi="ar"/>
            </w:rPr>
            <w:fldChar w:fldCharType="separate"/>
          </w:r>
          <w:r>
            <w:rPr>
              <w:rFonts w:hint="eastAsia" w:ascii="Times New Roman" w:hAnsi="Times New Roman" w:eastAsia="楷体_GB2312" w:cs="Times New Roman"/>
              <w:bCs w:val="0"/>
              <w:kern w:val="0"/>
              <w:sz w:val="28"/>
              <w:szCs w:val="28"/>
              <w:lang w:val="en-US" w:eastAsia="zh-CN" w:bidi="ar"/>
            </w:rPr>
            <w:t>（一）是推动实现美丽中国、美丽山东建设的重要组成部分</w:t>
          </w:r>
          <w:r>
            <w:rPr>
              <w:rFonts w:hint="eastAsia" w:ascii="Times New Roman" w:hAnsi="Times New Roman" w:eastAsia="楷体_GB2312" w:cs="Times New Roman"/>
              <w:bCs w:val="0"/>
              <w:kern w:val="0"/>
              <w:sz w:val="28"/>
              <w:szCs w:val="28"/>
              <w:lang w:eastAsia="zh-CN" w:bidi="ar"/>
            </w:rPr>
            <w:tab/>
          </w:r>
          <w:r>
            <w:rPr>
              <w:rFonts w:hint="eastAsia" w:ascii="Times New Roman" w:hAnsi="Times New Roman" w:eastAsia="楷体_GB2312" w:cs="Times New Roman"/>
              <w:bCs w:val="0"/>
              <w:kern w:val="0"/>
              <w:sz w:val="28"/>
              <w:szCs w:val="28"/>
              <w:lang w:eastAsia="zh-CN" w:bidi="ar"/>
            </w:rPr>
            <w:fldChar w:fldCharType="begin"/>
          </w:r>
          <w:r>
            <w:rPr>
              <w:rFonts w:hint="eastAsia" w:ascii="Times New Roman" w:hAnsi="Times New Roman" w:eastAsia="楷体_GB2312" w:cs="Times New Roman"/>
              <w:bCs w:val="0"/>
              <w:kern w:val="0"/>
              <w:sz w:val="28"/>
              <w:szCs w:val="28"/>
              <w:lang w:eastAsia="zh-CN" w:bidi="ar"/>
            </w:rPr>
            <w:instrText xml:space="preserve"> PAGEREF _Toc32185 \h </w:instrText>
          </w:r>
          <w:r>
            <w:rPr>
              <w:rFonts w:hint="eastAsia" w:ascii="Times New Roman" w:hAnsi="Times New Roman" w:eastAsia="楷体_GB2312" w:cs="Times New Roman"/>
              <w:bCs w:val="0"/>
              <w:kern w:val="0"/>
              <w:sz w:val="28"/>
              <w:szCs w:val="28"/>
              <w:lang w:eastAsia="zh-CN" w:bidi="ar"/>
            </w:rPr>
            <w:fldChar w:fldCharType="separate"/>
          </w:r>
          <w:r>
            <w:rPr>
              <w:rFonts w:hint="eastAsia" w:ascii="Times New Roman" w:hAnsi="Times New Roman" w:eastAsia="楷体_GB2312" w:cs="Times New Roman"/>
              <w:bCs w:val="0"/>
              <w:kern w:val="0"/>
              <w:sz w:val="28"/>
              <w:szCs w:val="28"/>
              <w:lang w:eastAsia="zh-CN" w:bidi="ar"/>
            </w:rPr>
            <w:t>3</w:t>
          </w:r>
          <w:r>
            <w:rPr>
              <w:rFonts w:hint="eastAsia" w:ascii="Times New Roman" w:hAnsi="Times New Roman" w:eastAsia="楷体_GB2312" w:cs="Times New Roman"/>
              <w:bCs w:val="0"/>
              <w:kern w:val="0"/>
              <w:sz w:val="28"/>
              <w:szCs w:val="28"/>
              <w:lang w:eastAsia="zh-CN" w:bidi="ar"/>
            </w:rPr>
            <w:fldChar w:fldCharType="end"/>
          </w:r>
          <w:r>
            <w:rPr>
              <w:rFonts w:hint="eastAsia" w:ascii="Times New Roman" w:hAnsi="Times New Roman" w:eastAsia="楷体_GB2312" w:cs="Times New Roman"/>
              <w:bCs w:val="0"/>
              <w:kern w:val="0"/>
              <w:sz w:val="28"/>
              <w:szCs w:val="28"/>
              <w:lang w:val="en-US" w:eastAsia="zh-CN" w:bidi="ar"/>
            </w:rPr>
            <w:fldChar w:fldCharType="end"/>
          </w:r>
        </w:p>
        <w:p w14:paraId="42E46D43">
          <w:pPr>
            <w:pStyle w:val="22"/>
            <w:tabs>
              <w:tab w:val="right" w:leader="dot" w:pos="8306"/>
            </w:tabs>
            <w:spacing w:line="240" w:lineRule="auto"/>
            <w:ind w:firstLine="0" w:firstLineChars="0"/>
            <w:rPr>
              <w:rFonts w:hint="eastAsia" w:ascii="Times New Roman" w:hAnsi="Times New Roman" w:eastAsia="楷体_GB2312" w:cs="Times New Roman"/>
              <w:bCs w:val="0"/>
              <w:kern w:val="0"/>
              <w:sz w:val="28"/>
              <w:szCs w:val="28"/>
              <w:lang w:eastAsia="zh-CN" w:bidi="ar"/>
            </w:rPr>
          </w:pPr>
          <w:r>
            <w:rPr>
              <w:rFonts w:hint="eastAsia" w:ascii="Times New Roman" w:hAnsi="Times New Roman" w:eastAsia="楷体_GB2312" w:cs="Times New Roman"/>
              <w:bCs w:val="0"/>
              <w:kern w:val="0"/>
              <w:sz w:val="28"/>
              <w:szCs w:val="28"/>
              <w:lang w:val="en-US" w:eastAsia="zh-CN" w:bidi="ar"/>
            </w:rPr>
            <w:fldChar w:fldCharType="begin"/>
          </w:r>
          <w:r>
            <w:rPr>
              <w:rFonts w:hint="eastAsia" w:ascii="Times New Roman" w:hAnsi="Times New Roman" w:eastAsia="楷体_GB2312" w:cs="Times New Roman"/>
              <w:bCs w:val="0"/>
              <w:kern w:val="0"/>
              <w:sz w:val="28"/>
              <w:szCs w:val="28"/>
              <w:lang w:val="en-US" w:eastAsia="zh-CN" w:bidi="ar"/>
            </w:rPr>
            <w:instrText xml:space="preserve"> HYPERLINK \l _Toc7912 </w:instrText>
          </w:r>
          <w:r>
            <w:rPr>
              <w:rFonts w:hint="eastAsia" w:ascii="Times New Roman" w:hAnsi="Times New Roman" w:eastAsia="楷体_GB2312" w:cs="Times New Roman"/>
              <w:bCs w:val="0"/>
              <w:kern w:val="0"/>
              <w:sz w:val="28"/>
              <w:szCs w:val="28"/>
              <w:lang w:val="en-US" w:eastAsia="zh-CN" w:bidi="ar"/>
            </w:rPr>
            <w:fldChar w:fldCharType="separate"/>
          </w:r>
          <w:r>
            <w:rPr>
              <w:rFonts w:hint="eastAsia" w:ascii="Times New Roman" w:hAnsi="Times New Roman" w:eastAsia="楷体_GB2312" w:cs="Times New Roman"/>
              <w:bCs w:val="0"/>
              <w:kern w:val="0"/>
              <w:sz w:val="28"/>
              <w:szCs w:val="28"/>
              <w:lang w:val="en-US" w:eastAsia="zh-CN" w:bidi="ar"/>
            </w:rPr>
            <w:t>（二）是推进实现水生态环境</w:t>
          </w:r>
          <w:r>
            <w:rPr>
              <w:rFonts w:hint="eastAsia" w:eastAsia="楷体_GB2312" w:cs="Times New Roman"/>
              <w:bCs w:val="0"/>
              <w:kern w:val="0"/>
              <w:sz w:val="28"/>
              <w:szCs w:val="28"/>
              <w:lang w:val="en-US" w:eastAsia="zh-CN" w:bidi="ar"/>
            </w:rPr>
            <w:t>全面改善</w:t>
          </w:r>
          <w:r>
            <w:rPr>
              <w:rFonts w:hint="eastAsia" w:ascii="Times New Roman" w:hAnsi="Times New Roman" w:eastAsia="楷体_GB2312" w:cs="Times New Roman"/>
              <w:bCs w:val="0"/>
              <w:kern w:val="0"/>
              <w:sz w:val="28"/>
              <w:szCs w:val="28"/>
              <w:lang w:val="en-US" w:eastAsia="zh-CN" w:bidi="ar"/>
            </w:rPr>
            <w:t>的重要举措</w:t>
          </w:r>
          <w:r>
            <w:rPr>
              <w:rFonts w:hint="eastAsia" w:ascii="Times New Roman" w:hAnsi="Times New Roman" w:eastAsia="楷体_GB2312" w:cs="Times New Roman"/>
              <w:bCs w:val="0"/>
              <w:kern w:val="0"/>
              <w:sz w:val="28"/>
              <w:szCs w:val="28"/>
              <w:lang w:eastAsia="zh-CN" w:bidi="ar"/>
            </w:rPr>
            <w:tab/>
          </w:r>
          <w:r>
            <w:rPr>
              <w:rFonts w:hint="eastAsia" w:ascii="Times New Roman" w:hAnsi="Times New Roman" w:eastAsia="楷体_GB2312" w:cs="Times New Roman"/>
              <w:bCs w:val="0"/>
              <w:kern w:val="0"/>
              <w:sz w:val="28"/>
              <w:szCs w:val="28"/>
              <w:lang w:eastAsia="zh-CN" w:bidi="ar"/>
            </w:rPr>
            <w:fldChar w:fldCharType="begin"/>
          </w:r>
          <w:r>
            <w:rPr>
              <w:rFonts w:hint="eastAsia" w:ascii="Times New Roman" w:hAnsi="Times New Roman" w:eastAsia="楷体_GB2312" w:cs="Times New Roman"/>
              <w:bCs w:val="0"/>
              <w:kern w:val="0"/>
              <w:sz w:val="28"/>
              <w:szCs w:val="28"/>
              <w:lang w:eastAsia="zh-CN" w:bidi="ar"/>
            </w:rPr>
            <w:instrText xml:space="preserve"> PAGEREF _Toc7912 \h </w:instrText>
          </w:r>
          <w:r>
            <w:rPr>
              <w:rFonts w:hint="eastAsia" w:ascii="Times New Roman" w:hAnsi="Times New Roman" w:eastAsia="楷体_GB2312" w:cs="Times New Roman"/>
              <w:bCs w:val="0"/>
              <w:kern w:val="0"/>
              <w:sz w:val="28"/>
              <w:szCs w:val="28"/>
              <w:lang w:eastAsia="zh-CN" w:bidi="ar"/>
            </w:rPr>
            <w:fldChar w:fldCharType="separate"/>
          </w:r>
          <w:r>
            <w:rPr>
              <w:rFonts w:hint="eastAsia" w:ascii="Times New Roman" w:hAnsi="Times New Roman" w:eastAsia="楷体_GB2312" w:cs="Times New Roman"/>
              <w:bCs w:val="0"/>
              <w:kern w:val="0"/>
              <w:sz w:val="28"/>
              <w:szCs w:val="28"/>
              <w:lang w:eastAsia="zh-CN" w:bidi="ar"/>
            </w:rPr>
            <w:t>3</w:t>
          </w:r>
          <w:r>
            <w:rPr>
              <w:rFonts w:hint="eastAsia" w:ascii="Times New Roman" w:hAnsi="Times New Roman" w:eastAsia="楷体_GB2312" w:cs="Times New Roman"/>
              <w:bCs w:val="0"/>
              <w:kern w:val="0"/>
              <w:sz w:val="28"/>
              <w:szCs w:val="28"/>
              <w:lang w:eastAsia="zh-CN" w:bidi="ar"/>
            </w:rPr>
            <w:fldChar w:fldCharType="end"/>
          </w:r>
          <w:r>
            <w:rPr>
              <w:rFonts w:hint="eastAsia" w:ascii="Times New Roman" w:hAnsi="Times New Roman" w:eastAsia="楷体_GB2312" w:cs="Times New Roman"/>
              <w:bCs w:val="0"/>
              <w:kern w:val="0"/>
              <w:sz w:val="28"/>
              <w:szCs w:val="28"/>
              <w:lang w:val="en-US" w:eastAsia="zh-CN" w:bidi="ar"/>
            </w:rPr>
            <w:fldChar w:fldCharType="end"/>
          </w:r>
        </w:p>
        <w:p w14:paraId="310FB8FA">
          <w:pPr>
            <w:pStyle w:val="22"/>
            <w:tabs>
              <w:tab w:val="right" w:leader="dot" w:pos="8306"/>
            </w:tabs>
            <w:spacing w:line="240" w:lineRule="auto"/>
            <w:ind w:firstLine="0" w:firstLineChars="0"/>
            <w:rPr>
              <w:rFonts w:hint="eastAsia" w:ascii="Times New Roman" w:hAnsi="Times New Roman" w:eastAsia="楷体_GB2312" w:cs="Times New Roman"/>
              <w:bCs w:val="0"/>
              <w:kern w:val="0"/>
              <w:sz w:val="28"/>
              <w:szCs w:val="28"/>
              <w:lang w:eastAsia="zh-CN" w:bidi="ar"/>
            </w:rPr>
          </w:pPr>
          <w:r>
            <w:rPr>
              <w:rFonts w:hint="eastAsia" w:ascii="Times New Roman" w:hAnsi="Times New Roman" w:eastAsia="楷体_GB2312" w:cs="Times New Roman"/>
              <w:bCs w:val="0"/>
              <w:kern w:val="0"/>
              <w:sz w:val="28"/>
              <w:szCs w:val="28"/>
              <w:lang w:val="en-US" w:eastAsia="zh-CN" w:bidi="ar"/>
            </w:rPr>
            <w:fldChar w:fldCharType="begin"/>
          </w:r>
          <w:r>
            <w:rPr>
              <w:rFonts w:hint="eastAsia" w:ascii="Times New Roman" w:hAnsi="Times New Roman" w:eastAsia="楷体_GB2312" w:cs="Times New Roman"/>
              <w:bCs w:val="0"/>
              <w:kern w:val="0"/>
              <w:sz w:val="28"/>
              <w:szCs w:val="28"/>
              <w:lang w:val="en-US" w:eastAsia="zh-CN" w:bidi="ar"/>
            </w:rPr>
            <w:instrText xml:space="preserve"> HYPERLINK \l _Toc22843 </w:instrText>
          </w:r>
          <w:r>
            <w:rPr>
              <w:rFonts w:hint="eastAsia" w:ascii="Times New Roman" w:hAnsi="Times New Roman" w:eastAsia="楷体_GB2312" w:cs="Times New Roman"/>
              <w:bCs w:val="0"/>
              <w:kern w:val="0"/>
              <w:sz w:val="28"/>
              <w:szCs w:val="28"/>
              <w:lang w:val="en-US" w:eastAsia="zh-CN" w:bidi="ar"/>
            </w:rPr>
            <w:fldChar w:fldCharType="separate"/>
          </w:r>
          <w:r>
            <w:rPr>
              <w:rFonts w:hint="eastAsia" w:ascii="Times New Roman" w:hAnsi="Times New Roman" w:eastAsia="楷体_GB2312" w:cs="Times New Roman"/>
              <w:bCs w:val="0"/>
              <w:kern w:val="0"/>
              <w:sz w:val="28"/>
              <w:szCs w:val="28"/>
              <w:lang w:val="en-US" w:eastAsia="zh-CN" w:bidi="ar"/>
            </w:rPr>
            <w:t>（三）是推动水生态环境考核形式转变的有力抓手</w:t>
          </w:r>
          <w:r>
            <w:rPr>
              <w:rFonts w:hint="eastAsia" w:ascii="Times New Roman" w:hAnsi="Times New Roman" w:eastAsia="楷体_GB2312" w:cs="Times New Roman"/>
              <w:bCs w:val="0"/>
              <w:kern w:val="0"/>
              <w:sz w:val="28"/>
              <w:szCs w:val="28"/>
              <w:lang w:eastAsia="zh-CN" w:bidi="ar"/>
            </w:rPr>
            <w:tab/>
          </w:r>
          <w:r>
            <w:rPr>
              <w:rFonts w:hint="eastAsia" w:ascii="Times New Roman" w:hAnsi="Times New Roman" w:eastAsia="楷体_GB2312" w:cs="Times New Roman"/>
              <w:bCs w:val="0"/>
              <w:kern w:val="0"/>
              <w:sz w:val="28"/>
              <w:szCs w:val="28"/>
              <w:lang w:eastAsia="zh-CN" w:bidi="ar"/>
            </w:rPr>
            <w:fldChar w:fldCharType="begin"/>
          </w:r>
          <w:r>
            <w:rPr>
              <w:rFonts w:hint="eastAsia" w:ascii="Times New Roman" w:hAnsi="Times New Roman" w:eastAsia="楷体_GB2312" w:cs="Times New Roman"/>
              <w:bCs w:val="0"/>
              <w:kern w:val="0"/>
              <w:sz w:val="28"/>
              <w:szCs w:val="28"/>
              <w:lang w:eastAsia="zh-CN" w:bidi="ar"/>
            </w:rPr>
            <w:instrText xml:space="preserve"> PAGEREF _Toc22843 \h </w:instrText>
          </w:r>
          <w:r>
            <w:rPr>
              <w:rFonts w:hint="eastAsia" w:ascii="Times New Roman" w:hAnsi="Times New Roman" w:eastAsia="楷体_GB2312" w:cs="Times New Roman"/>
              <w:bCs w:val="0"/>
              <w:kern w:val="0"/>
              <w:sz w:val="28"/>
              <w:szCs w:val="28"/>
              <w:lang w:eastAsia="zh-CN" w:bidi="ar"/>
            </w:rPr>
            <w:fldChar w:fldCharType="separate"/>
          </w:r>
          <w:r>
            <w:rPr>
              <w:rFonts w:hint="eastAsia" w:ascii="Times New Roman" w:hAnsi="Times New Roman" w:eastAsia="楷体_GB2312" w:cs="Times New Roman"/>
              <w:bCs w:val="0"/>
              <w:kern w:val="0"/>
              <w:sz w:val="28"/>
              <w:szCs w:val="28"/>
              <w:lang w:eastAsia="zh-CN" w:bidi="ar"/>
            </w:rPr>
            <w:t>4</w:t>
          </w:r>
          <w:r>
            <w:rPr>
              <w:rFonts w:hint="eastAsia" w:ascii="Times New Roman" w:hAnsi="Times New Roman" w:eastAsia="楷体_GB2312" w:cs="Times New Roman"/>
              <w:bCs w:val="0"/>
              <w:kern w:val="0"/>
              <w:sz w:val="28"/>
              <w:szCs w:val="28"/>
              <w:lang w:eastAsia="zh-CN" w:bidi="ar"/>
            </w:rPr>
            <w:fldChar w:fldCharType="end"/>
          </w:r>
          <w:r>
            <w:rPr>
              <w:rFonts w:hint="eastAsia" w:ascii="Times New Roman" w:hAnsi="Times New Roman" w:eastAsia="楷体_GB2312" w:cs="Times New Roman"/>
              <w:bCs w:val="0"/>
              <w:kern w:val="0"/>
              <w:sz w:val="28"/>
              <w:szCs w:val="28"/>
              <w:lang w:val="en-US" w:eastAsia="zh-CN" w:bidi="ar"/>
            </w:rPr>
            <w:fldChar w:fldCharType="end"/>
          </w:r>
        </w:p>
        <w:p w14:paraId="1B127E7E">
          <w:pPr>
            <w:pStyle w:val="22"/>
            <w:tabs>
              <w:tab w:val="right" w:leader="dot" w:pos="8306"/>
            </w:tabs>
            <w:spacing w:line="240" w:lineRule="auto"/>
            <w:ind w:firstLine="0" w:firstLineChars="0"/>
            <w:rPr>
              <w:rFonts w:hint="eastAsia" w:ascii="Times New Roman" w:hAnsi="Times New Roman" w:eastAsia="楷体_GB2312" w:cs="Times New Roman"/>
              <w:bCs w:val="0"/>
              <w:kern w:val="0"/>
              <w:sz w:val="28"/>
              <w:szCs w:val="28"/>
              <w:lang w:eastAsia="zh-CN" w:bidi="ar"/>
            </w:rPr>
          </w:pPr>
          <w:r>
            <w:rPr>
              <w:rFonts w:hint="eastAsia" w:ascii="Times New Roman" w:hAnsi="Times New Roman" w:eastAsia="楷体_GB2312" w:cs="Times New Roman"/>
              <w:bCs w:val="0"/>
              <w:kern w:val="0"/>
              <w:sz w:val="28"/>
              <w:szCs w:val="28"/>
              <w:lang w:val="en-US" w:eastAsia="zh-CN" w:bidi="ar"/>
            </w:rPr>
            <w:fldChar w:fldCharType="begin"/>
          </w:r>
          <w:r>
            <w:rPr>
              <w:rFonts w:hint="eastAsia" w:ascii="Times New Roman" w:hAnsi="Times New Roman" w:eastAsia="楷体_GB2312" w:cs="Times New Roman"/>
              <w:bCs w:val="0"/>
              <w:kern w:val="0"/>
              <w:sz w:val="28"/>
              <w:szCs w:val="28"/>
              <w:lang w:val="en-US" w:eastAsia="zh-CN" w:bidi="ar"/>
            </w:rPr>
            <w:instrText xml:space="preserve"> HYPERLINK \l _Toc15954 </w:instrText>
          </w:r>
          <w:r>
            <w:rPr>
              <w:rFonts w:hint="eastAsia" w:ascii="Times New Roman" w:hAnsi="Times New Roman" w:eastAsia="楷体_GB2312" w:cs="Times New Roman"/>
              <w:bCs w:val="0"/>
              <w:kern w:val="0"/>
              <w:sz w:val="28"/>
              <w:szCs w:val="28"/>
              <w:lang w:val="en-US" w:eastAsia="zh-CN" w:bidi="ar"/>
            </w:rPr>
            <w:fldChar w:fldCharType="separate"/>
          </w:r>
          <w:r>
            <w:rPr>
              <w:rFonts w:hint="eastAsia" w:ascii="Times New Roman" w:hAnsi="Times New Roman" w:eastAsia="楷体_GB2312" w:cs="Times New Roman"/>
              <w:bCs w:val="0"/>
              <w:kern w:val="0"/>
              <w:sz w:val="28"/>
              <w:szCs w:val="28"/>
              <w:lang w:eastAsia="zh-CN" w:bidi="ar"/>
            </w:rPr>
            <w:t>（四）为我省河湖库水生态</w:t>
          </w:r>
          <w:r>
            <w:rPr>
              <w:rFonts w:hint="eastAsia" w:ascii="Times New Roman" w:hAnsi="Times New Roman" w:eastAsia="楷体_GB2312" w:cs="Times New Roman"/>
              <w:bCs w:val="0"/>
              <w:kern w:val="0"/>
              <w:sz w:val="28"/>
              <w:szCs w:val="28"/>
              <w:lang w:val="en-US" w:eastAsia="zh-CN" w:bidi="ar"/>
            </w:rPr>
            <w:t>综合</w:t>
          </w:r>
          <w:r>
            <w:rPr>
              <w:rFonts w:hint="eastAsia" w:ascii="Times New Roman" w:hAnsi="Times New Roman" w:eastAsia="楷体_GB2312" w:cs="Times New Roman"/>
              <w:bCs w:val="0"/>
              <w:kern w:val="0"/>
              <w:sz w:val="28"/>
              <w:szCs w:val="28"/>
              <w:lang w:eastAsia="zh-CN" w:bidi="ar"/>
            </w:rPr>
            <w:t>评价提供必要指导</w:t>
          </w:r>
          <w:r>
            <w:rPr>
              <w:rFonts w:hint="eastAsia" w:ascii="Times New Roman" w:hAnsi="Times New Roman" w:eastAsia="楷体_GB2312" w:cs="Times New Roman"/>
              <w:bCs w:val="0"/>
              <w:kern w:val="0"/>
              <w:sz w:val="28"/>
              <w:szCs w:val="28"/>
              <w:lang w:eastAsia="zh-CN" w:bidi="ar"/>
            </w:rPr>
            <w:tab/>
          </w:r>
          <w:r>
            <w:rPr>
              <w:rFonts w:hint="eastAsia" w:ascii="Times New Roman" w:hAnsi="Times New Roman" w:eastAsia="楷体_GB2312" w:cs="Times New Roman"/>
              <w:bCs w:val="0"/>
              <w:kern w:val="0"/>
              <w:sz w:val="28"/>
              <w:szCs w:val="28"/>
              <w:lang w:eastAsia="zh-CN" w:bidi="ar"/>
            </w:rPr>
            <w:fldChar w:fldCharType="begin"/>
          </w:r>
          <w:r>
            <w:rPr>
              <w:rFonts w:hint="eastAsia" w:ascii="Times New Roman" w:hAnsi="Times New Roman" w:eastAsia="楷体_GB2312" w:cs="Times New Roman"/>
              <w:bCs w:val="0"/>
              <w:kern w:val="0"/>
              <w:sz w:val="28"/>
              <w:szCs w:val="28"/>
              <w:lang w:eastAsia="zh-CN" w:bidi="ar"/>
            </w:rPr>
            <w:instrText xml:space="preserve"> PAGEREF _Toc15954 \h </w:instrText>
          </w:r>
          <w:r>
            <w:rPr>
              <w:rFonts w:hint="eastAsia" w:ascii="Times New Roman" w:hAnsi="Times New Roman" w:eastAsia="楷体_GB2312" w:cs="Times New Roman"/>
              <w:bCs w:val="0"/>
              <w:kern w:val="0"/>
              <w:sz w:val="28"/>
              <w:szCs w:val="28"/>
              <w:lang w:eastAsia="zh-CN" w:bidi="ar"/>
            </w:rPr>
            <w:fldChar w:fldCharType="separate"/>
          </w:r>
          <w:r>
            <w:rPr>
              <w:rFonts w:hint="eastAsia" w:ascii="Times New Roman" w:hAnsi="Times New Roman" w:eastAsia="楷体_GB2312" w:cs="Times New Roman"/>
              <w:bCs w:val="0"/>
              <w:kern w:val="0"/>
              <w:sz w:val="28"/>
              <w:szCs w:val="28"/>
              <w:lang w:eastAsia="zh-CN" w:bidi="ar"/>
            </w:rPr>
            <w:t>5</w:t>
          </w:r>
          <w:r>
            <w:rPr>
              <w:rFonts w:hint="eastAsia" w:ascii="Times New Roman" w:hAnsi="Times New Roman" w:eastAsia="楷体_GB2312" w:cs="Times New Roman"/>
              <w:bCs w:val="0"/>
              <w:kern w:val="0"/>
              <w:sz w:val="28"/>
              <w:szCs w:val="28"/>
              <w:lang w:eastAsia="zh-CN" w:bidi="ar"/>
            </w:rPr>
            <w:fldChar w:fldCharType="end"/>
          </w:r>
          <w:r>
            <w:rPr>
              <w:rFonts w:hint="eastAsia" w:ascii="Times New Roman" w:hAnsi="Times New Roman" w:eastAsia="楷体_GB2312" w:cs="Times New Roman"/>
              <w:bCs w:val="0"/>
              <w:kern w:val="0"/>
              <w:sz w:val="28"/>
              <w:szCs w:val="28"/>
              <w:lang w:val="en-US" w:eastAsia="zh-CN" w:bidi="ar"/>
            </w:rPr>
            <w:fldChar w:fldCharType="end"/>
          </w:r>
        </w:p>
        <w:p w14:paraId="7DF7767A">
          <w:pPr>
            <w:pStyle w:val="21"/>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黑体" w:cs="Times New Roman"/>
              <w:b w:val="0"/>
              <w:bCs w:val="0"/>
              <w:color w:val="000000"/>
              <w:kern w:val="0"/>
              <w:sz w:val="28"/>
              <w:szCs w:val="28"/>
              <w:lang w:val="en-US" w:eastAsia="zh-CN" w:bidi="ar"/>
            </w:rPr>
          </w:pP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HYPERLINK \l _Toc18891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三、国家层面及其他省份相关</w:t>
          </w:r>
          <w:r>
            <w:rPr>
              <w:rFonts w:hint="eastAsia" w:eastAsia="黑体" w:cs="Times New Roman"/>
              <w:b w:val="0"/>
              <w:bCs w:val="0"/>
              <w:color w:val="000000"/>
              <w:kern w:val="0"/>
              <w:sz w:val="28"/>
              <w:szCs w:val="28"/>
              <w:lang w:val="en-US" w:eastAsia="zh-CN" w:bidi="ar"/>
            </w:rPr>
            <w:t>工作概况</w:t>
          </w:r>
          <w:r>
            <w:rPr>
              <w:rFonts w:hint="eastAsia" w:ascii="Times New Roman" w:hAnsi="Times New Roman" w:eastAsia="黑体" w:cs="Times New Roman"/>
              <w:b w:val="0"/>
              <w:bCs w:val="0"/>
              <w:color w:val="000000"/>
              <w:kern w:val="0"/>
              <w:sz w:val="28"/>
              <w:szCs w:val="28"/>
              <w:lang w:val="en-US" w:eastAsia="zh-CN" w:bidi="ar"/>
            </w:rPr>
            <w:tab/>
          </w: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PAGEREF _Toc18891 \h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5</w:t>
          </w:r>
          <w:r>
            <w:rPr>
              <w:rFonts w:hint="eastAsia" w:ascii="Times New Roman" w:hAnsi="Times New Roman" w:eastAsia="黑体" w:cs="Times New Roman"/>
              <w:b w:val="0"/>
              <w:bCs w:val="0"/>
              <w:color w:val="000000"/>
              <w:kern w:val="0"/>
              <w:sz w:val="28"/>
              <w:szCs w:val="28"/>
              <w:lang w:val="en-US" w:eastAsia="zh-CN" w:bidi="ar"/>
            </w:rPr>
            <w:fldChar w:fldCharType="end"/>
          </w:r>
          <w:r>
            <w:rPr>
              <w:rFonts w:hint="eastAsia" w:ascii="Times New Roman" w:hAnsi="Times New Roman" w:eastAsia="黑体" w:cs="Times New Roman"/>
              <w:b w:val="0"/>
              <w:bCs w:val="0"/>
              <w:color w:val="000000"/>
              <w:kern w:val="0"/>
              <w:sz w:val="28"/>
              <w:szCs w:val="28"/>
              <w:lang w:val="en-US" w:eastAsia="zh-CN" w:bidi="ar"/>
            </w:rPr>
            <w:fldChar w:fldCharType="end"/>
          </w:r>
        </w:p>
        <w:p w14:paraId="75F794F7">
          <w:pPr>
            <w:pStyle w:val="22"/>
            <w:tabs>
              <w:tab w:val="right" w:leader="dot" w:pos="8306"/>
            </w:tabs>
            <w:spacing w:line="240" w:lineRule="auto"/>
            <w:ind w:firstLine="0" w:firstLineChars="0"/>
            <w:rPr>
              <w:rFonts w:hint="eastAsia" w:ascii="Times New Roman" w:hAnsi="Times New Roman" w:eastAsia="楷体_GB2312" w:cs="Times New Roman"/>
              <w:bCs w:val="0"/>
              <w:kern w:val="0"/>
              <w:sz w:val="28"/>
              <w:szCs w:val="28"/>
              <w:lang w:eastAsia="zh-CN" w:bidi="ar"/>
            </w:rPr>
          </w:pPr>
          <w:r>
            <w:rPr>
              <w:rFonts w:hint="eastAsia" w:ascii="Times New Roman" w:hAnsi="Times New Roman" w:eastAsia="楷体_GB2312" w:cs="Times New Roman"/>
              <w:bCs w:val="0"/>
              <w:kern w:val="0"/>
              <w:sz w:val="28"/>
              <w:szCs w:val="28"/>
              <w:lang w:val="en-US" w:eastAsia="zh-CN" w:bidi="ar"/>
            </w:rPr>
            <w:fldChar w:fldCharType="begin"/>
          </w:r>
          <w:r>
            <w:rPr>
              <w:rFonts w:hint="eastAsia" w:ascii="Times New Roman" w:hAnsi="Times New Roman" w:eastAsia="楷体_GB2312" w:cs="Times New Roman"/>
              <w:bCs w:val="0"/>
              <w:kern w:val="0"/>
              <w:sz w:val="28"/>
              <w:szCs w:val="28"/>
              <w:lang w:val="en-US" w:eastAsia="zh-CN" w:bidi="ar"/>
            </w:rPr>
            <w:instrText xml:space="preserve"> HYPERLINK \l _Toc21080 </w:instrText>
          </w:r>
          <w:r>
            <w:rPr>
              <w:rFonts w:hint="eastAsia" w:ascii="Times New Roman" w:hAnsi="Times New Roman" w:eastAsia="楷体_GB2312" w:cs="Times New Roman"/>
              <w:bCs w:val="0"/>
              <w:kern w:val="0"/>
              <w:sz w:val="28"/>
              <w:szCs w:val="28"/>
              <w:lang w:val="en-US" w:eastAsia="zh-CN" w:bidi="ar"/>
            </w:rPr>
            <w:fldChar w:fldCharType="separate"/>
          </w:r>
          <w:r>
            <w:rPr>
              <w:rFonts w:hint="eastAsia" w:ascii="Times New Roman" w:hAnsi="Times New Roman" w:eastAsia="楷体_GB2312" w:cs="Times New Roman"/>
              <w:bCs w:val="0"/>
              <w:kern w:val="0"/>
              <w:sz w:val="28"/>
              <w:szCs w:val="28"/>
              <w:lang w:val="en-US" w:eastAsia="zh-CN" w:bidi="ar"/>
            </w:rPr>
            <w:t>（一）国家层面</w:t>
          </w:r>
          <w:r>
            <w:rPr>
              <w:rFonts w:hint="eastAsia" w:ascii="Times New Roman" w:hAnsi="Times New Roman" w:eastAsia="楷体_GB2312" w:cs="Times New Roman"/>
              <w:bCs w:val="0"/>
              <w:kern w:val="0"/>
              <w:sz w:val="28"/>
              <w:szCs w:val="28"/>
              <w:lang w:eastAsia="zh-CN" w:bidi="ar"/>
            </w:rPr>
            <w:tab/>
          </w:r>
          <w:r>
            <w:rPr>
              <w:rFonts w:hint="eastAsia" w:ascii="Times New Roman" w:hAnsi="Times New Roman" w:eastAsia="楷体_GB2312" w:cs="Times New Roman"/>
              <w:bCs w:val="0"/>
              <w:kern w:val="0"/>
              <w:sz w:val="28"/>
              <w:szCs w:val="28"/>
              <w:lang w:eastAsia="zh-CN" w:bidi="ar"/>
            </w:rPr>
            <w:fldChar w:fldCharType="begin"/>
          </w:r>
          <w:r>
            <w:rPr>
              <w:rFonts w:hint="eastAsia" w:ascii="Times New Roman" w:hAnsi="Times New Roman" w:eastAsia="楷体_GB2312" w:cs="Times New Roman"/>
              <w:bCs w:val="0"/>
              <w:kern w:val="0"/>
              <w:sz w:val="28"/>
              <w:szCs w:val="28"/>
              <w:lang w:eastAsia="zh-CN" w:bidi="ar"/>
            </w:rPr>
            <w:instrText xml:space="preserve"> PAGEREF _Toc21080 \h </w:instrText>
          </w:r>
          <w:r>
            <w:rPr>
              <w:rFonts w:hint="eastAsia" w:ascii="Times New Roman" w:hAnsi="Times New Roman" w:eastAsia="楷体_GB2312" w:cs="Times New Roman"/>
              <w:bCs w:val="0"/>
              <w:kern w:val="0"/>
              <w:sz w:val="28"/>
              <w:szCs w:val="28"/>
              <w:lang w:eastAsia="zh-CN" w:bidi="ar"/>
            </w:rPr>
            <w:fldChar w:fldCharType="separate"/>
          </w:r>
          <w:r>
            <w:rPr>
              <w:rFonts w:hint="eastAsia" w:ascii="Times New Roman" w:hAnsi="Times New Roman" w:eastAsia="楷体_GB2312" w:cs="Times New Roman"/>
              <w:bCs w:val="0"/>
              <w:kern w:val="0"/>
              <w:sz w:val="28"/>
              <w:szCs w:val="28"/>
              <w:lang w:eastAsia="zh-CN" w:bidi="ar"/>
            </w:rPr>
            <w:t>5</w:t>
          </w:r>
          <w:r>
            <w:rPr>
              <w:rFonts w:hint="eastAsia" w:ascii="Times New Roman" w:hAnsi="Times New Roman" w:eastAsia="楷体_GB2312" w:cs="Times New Roman"/>
              <w:bCs w:val="0"/>
              <w:kern w:val="0"/>
              <w:sz w:val="28"/>
              <w:szCs w:val="28"/>
              <w:lang w:eastAsia="zh-CN" w:bidi="ar"/>
            </w:rPr>
            <w:fldChar w:fldCharType="end"/>
          </w:r>
          <w:r>
            <w:rPr>
              <w:rFonts w:hint="eastAsia" w:ascii="Times New Roman" w:hAnsi="Times New Roman" w:eastAsia="楷体_GB2312" w:cs="Times New Roman"/>
              <w:bCs w:val="0"/>
              <w:kern w:val="0"/>
              <w:sz w:val="28"/>
              <w:szCs w:val="28"/>
              <w:lang w:val="en-US" w:eastAsia="zh-CN" w:bidi="ar"/>
            </w:rPr>
            <w:fldChar w:fldCharType="end"/>
          </w:r>
        </w:p>
        <w:p w14:paraId="70378EA5">
          <w:pPr>
            <w:pStyle w:val="22"/>
            <w:tabs>
              <w:tab w:val="right" w:leader="dot" w:pos="8306"/>
            </w:tabs>
            <w:spacing w:line="240" w:lineRule="auto"/>
            <w:ind w:firstLine="0" w:firstLineChars="0"/>
            <w:rPr>
              <w:rFonts w:hint="eastAsia" w:ascii="Times New Roman" w:hAnsi="Times New Roman" w:eastAsia="黑体" w:cs="Times New Roman"/>
              <w:color w:val="000000"/>
              <w:kern w:val="0"/>
              <w:sz w:val="28"/>
              <w:szCs w:val="28"/>
              <w:lang w:eastAsia="zh-CN" w:bidi="ar"/>
            </w:rPr>
          </w:pPr>
          <w:r>
            <w:rPr>
              <w:rFonts w:hint="eastAsia" w:ascii="Times New Roman" w:hAnsi="Times New Roman" w:eastAsia="楷体_GB2312" w:cs="Times New Roman"/>
              <w:bCs w:val="0"/>
              <w:kern w:val="0"/>
              <w:sz w:val="28"/>
              <w:szCs w:val="28"/>
              <w:lang w:val="en-US" w:eastAsia="zh-CN" w:bidi="ar"/>
            </w:rPr>
            <w:fldChar w:fldCharType="begin"/>
          </w:r>
          <w:r>
            <w:rPr>
              <w:rFonts w:hint="eastAsia" w:ascii="Times New Roman" w:hAnsi="Times New Roman" w:eastAsia="楷体_GB2312" w:cs="Times New Roman"/>
              <w:bCs w:val="0"/>
              <w:kern w:val="0"/>
              <w:sz w:val="28"/>
              <w:szCs w:val="28"/>
              <w:lang w:val="en-US" w:eastAsia="zh-CN" w:bidi="ar"/>
            </w:rPr>
            <w:instrText xml:space="preserve"> HYPERLINK \l _Toc26166 </w:instrText>
          </w:r>
          <w:r>
            <w:rPr>
              <w:rFonts w:hint="eastAsia" w:ascii="Times New Roman" w:hAnsi="Times New Roman" w:eastAsia="楷体_GB2312" w:cs="Times New Roman"/>
              <w:bCs w:val="0"/>
              <w:kern w:val="0"/>
              <w:sz w:val="28"/>
              <w:szCs w:val="28"/>
              <w:lang w:val="en-US" w:eastAsia="zh-CN" w:bidi="ar"/>
            </w:rPr>
            <w:fldChar w:fldCharType="separate"/>
          </w:r>
          <w:r>
            <w:rPr>
              <w:rFonts w:hint="eastAsia" w:ascii="Times New Roman" w:hAnsi="Times New Roman" w:eastAsia="楷体_GB2312" w:cs="Times New Roman"/>
              <w:bCs w:val="0"/>
              <w:kern w:val="0"/>
              <w:sz w:val="28"/>
              <w:szCs w:val="28"/>
              <w:lang w:val="en-US" w:eastAsia="zh-CN" w:bidi="ar"/>
            </w:rPr>
            <w:t>（二）其他省份</w:t>
          </w:r>
          <w:r>
            <w:rPr>
              <w:rFonts w:hint="eastAsia" w:ascii="Times New Roman" w:hAnsi="Times New Roman" w:eastAsia="楷体_GB2312" w:cs="Times New Roman"/>
              <w:bCs w:val="0"/>
              <w:kern w:val="0"/>
              <w:sz w:val="28"/>
              <w:szCs w:val="28"/>
              <w:lang w:eastAsia="zh-CN" w:bidi="ar"/>
            </w:rPr>
            <w:tab/>
          </w:r>
          <w:r>
            <w:rPr>
              <w:rFonts w:hint="eastAsia" w:ascii="Times New Roman" w:hAnsi="Times New Roman" w:eastAsia="楷体_GB2312" w:cs="Times New Roman"/>
              <w:bCs w:val="0"/>
              <w:kern w:val="0"/>
              <w:sz w:val="28"/>
              <w:szCs w:val="28"/>
              <w:lang w:eastAsia="zh-CN" w:bidi="ar"/>
            </w:rPr>
            <w:fldChar w:fldCharType="begin"/>
          </w:r>
          <w:r>
            <w:rPr>
              <w:rFonts w:hint="eastAsia" w:ascii="Times New Roman" w:hAnsi="Times New Roman" w:eastAsia="楷体_GB2312" w:cs="Times New Roman"/>
              <w:bCs w:val="0"/>
              <w:kern w:val="0"/>
              <w:sz w:val="28"/>
              <w:szCs w:val="28"/>
              <w:lang w:eastAsia="zh-CN" w:bidi="ar"/>
            </w:rPr>
            <w:instrText xml:space="preserve"> PAGEREF _Toc26166 \h </w:instrText>
          </w:r>
          <w:r>
            <w:rPr>
              <w:rFonts w:hint="eastAsia" w:ascii="Times New Roman" w:hAnsi="Times New Roman" w:eastAsia="楷体_GB2312" w:cs="Times New Roman"/>
              <w:bCs w:val="0"/>
              <w:kern w:val="0"/>
              <w:sz w:val="28"/>
              <w:szCs w:val="28"/>
              <w:lang w:eastAsia="zh-CN" w:bidi="ar"/>
            </w:rPr>
            <w:fldChar w:fldCharType="separate"/>
          </w:r>
          <w:r>
            <w:rPr>
              <w:rFonts w:hint="eastAsia" w:ascii="Times New Roman" w:hAnsi="Times New Roman" w:eastAsia="楷体_GB2312" w:cs="Times New Roman"/>
              <w:bCs w:val="0"/>
              <w:kern w:val="0"/>
              <w:sz w:val="28"/>
              <w:szCs w:val="28"/>
              <w:lang w:eastAsia="zh-CN" w:bidi="ar"/>
            </w:rPr>
            <w:t>6</w:t>
          </w:r>
          <w:r>
            <w:rPr>
              <w:rFonts w:hint="eastAsia" w:ascii="Times New Roman" w:hAnsi="Times New Roman" w:eastAsia="楷体_GB2312" w:cs="Times New Roman"/>
              <w:bCs w:val="0"/>
              <w:kern w:val="0"/>
              <w:sz w:val="28"/>
              <w:szCs w:val="28"/>
              <w:lang w:eastAsia="zh-CN" w:bidi="ar"/>
            </w:rPr>
            <w:fldChar w:fldCharType="end"/>
          </w:r>
          <w:r>
            <w:rPr>
              <w:rFonts w:hint="eastAsia" w:ascii="Times New Roman" w:hAnsi="Times New Roman" w:eastAsia="楷体_GB2312" w:cs="Times New Roman"/>
              <w:bCs w:val="0"/>
              <w:kern w:val="0"/>
              <w:sz w:val="28"/>
              <w:szCs w:val="28"/>
              <w:lang w:val="en-US" w:eastAsia="zh-CN" w:bidi="ar"/>
            </w:rPr>
            <w:fldChar w:fldCharType="end"/>
          </w:r>
        </w:p>
        <w:p w14:paraId="58E08332">
          <w:pPr>
            <w:pStyle w:val="21"/>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黑体" w:cs="Times New Roman"/>
              <w:b w:val="0"/>
              <w:bCs w:val="0"/>
              <w:color w:val="000000"/>
              <w:kern w:val="0"/>
              <w:sz w:val="28"/>
              <w:szCs w:val="28"/>
              <w:lang w:val="en-US" w:eastAsia="zh-CN" w:bidi="ar"/>
            </w:rPr>
          </w:pP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HYPERLINK \l _Toc22202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四、地方标准编制原则、主要技术内容和确定依据</w:t>
          </w:r>
          <w:r>
            <w:rPr>
              <w:rFonts w:hint="eastAsia" w:ascii="Times New Roman" w:hAnsi="Times New Roman" w:eastAsia="黑体" w:cs="Times New Roman"/>
              <w:b w:val="0"/>
              <w:bCs w:val="0"/>
              <w:color w:val="000000"/>
              <w:kern w:val="0"/>
              <w:sz w:val="28"/>
              <w:szCs w:val="28"/>
              <w:lang w:val="en-US" w:eastAsia="zh-CN" w:bidi="ar"/>
            </w:rPr>
            <w:tab/>
          </w: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PAGEREF _Toc22202 \h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8</w:t>
          </w:r>
          <w:r>
            <w:rPr>
              <w:rFonts w:hint="eastAsia" w:ascii="Times New Roman" w:hAnsi="Times New Roman" w:eastAsia="黑体" w:cs="Times New Roman"/>
              <w:b w:val="0"/>
              <w:bCs w:val="0"/>
              <w:color w:val="000000"/>
              <w:kern w:val="0"/>
              <w:sz w:val="28"/>
              <w:szCs w:val="28"/>
              <w:lang w:val="en-US" w:eastAsia="zh-CN" w:bidi="ar"/>
            </w:rPr>
            <w:fldChar w:fldCharType="end"/>
          </w:r>
          <w:r>
            <w:rPr>
              <w:rFonts w:hint="eastAsia" w:ascii="Times New Roman" w:hAnsi="Times New Roman" w:eastAsia="黑体" w:cs="Times New Roman"/>
              <w:b w:val="0"/>
              <w:bCs w:val="0"/>
              <w:color w:val="000000"/>
              <w:kern w:val="0"/>
              <w:sz w:val="28"/>
              <w:szCs w:val="28"/>
              <w:lang w:val="en-US" w:eastAsia="zh-CN" w:bidi="ar"/>
            </w:rPr>
            <w:fldChar w:fldCharType="end"/>
          </w:r>
        </w:p>
        <w:p w14:paraId="68DF7818">
          <w:pPr>
            <w:pStyle w:val="22"/>
            <w:tabs>
              <w:tab w:val="right" w:leader="dot" w:pos="8306"/>
            </w:tabs>
            <w:spacing w:line="240" w:lineRule="auto"/>
            <w:ind w:firstLine="0" w:firstLineChars="0"/>
            <w:rPr>
              <w:rFonts w:hint="eastAsia" w:ascii="Times New Roman" w:hAnsi="Times New Roman" w:eastAsia="楷体_GB2312" w:cs="Times New Roman"/>
              <w:bCs w:val="0"/>
              <w:kern w:val="0"/>
              <w:sz w:val="28"/>
              <w:szCs w:val="28"/>
              <w:lang w:eastAsia="zh-CN" w:bidi="ar"/>
            </w:rPr>
          </w:pPr>
          <w:r>
            <w:rPr>
              <w:rFonts w:hint="eastAsia" w:ascii="Times New Roman" w:hAnsi="Times New Roman" w:eastAsia="楷体_GB2312" w:cs="Times New Roman"/>
              <w:bCs w:val="0"/>
              <w:kern w:val="0"/>
              <w:sz w:val="28"/>
              <w:szCs w:val="28"/>
              <w:lang w:val="en-US" w:eastAsia="zh-CN" w:bidi="ar"/>
            </w:rPr>
            <w:fldChar w:fldCharType="begin"/>
          </w:r>
          <w:r>
            <w:rPr>
              <w:rFonts w:hint="eastAsia" w:ascii="Times New Roman" w:hAnsi="Times New Roman" w:eastAsia="楷体_GB2312" w:cs="Times New Roman"/>
              <w:bCs w:val="0"/>
              <w:kern w:val="0"/>
              <w:sz w:val="28"/>
              <w:szCs w:val="28"/>
              <w:lang w:val="en-US" w:eastAsia="zh-CN" w:bidi="ar"/>
            </w:rPr>
            <w:instrText xml:space="preserve"> HYPERLINK \l _Toc8896 </w:instrText>
          </w:r>
          <w:r>
            <w:rPr>
              <w:rFonts w:hint="eastAsia" w:ascii="Times New Roman" w:hAnsi="Times New Roman" w:eastAsia="楷体_GB2312" w:cs="Times New Roman"/>
              <w:bCs w:val="0"/>
              <w:kern w:val="0"/>
              <w:sz w:val="28"/>
              <w:szCs w:val="28"/>
              <w:lang w:val="en-US" w:eastAsia="zh-CN" w:bidi="ar"/>
            </w:rPr>
            <w:fldChar w:fldCharType="separate"/>
          </w:r>
          <w:r>
            <w:rPr>
              <w:rFonts w:hint="eastAsia" w:ascii="Times New Roman" w:hAnsi="Times New Roman" w:eastAsia="楷体_GB2312" w:cs="Times New Roman"/>
              <w:bCs w:val="0"/>
              <w:kern w:val="0"/>
              <w:sz w:val="28"/>
              <w:szCs w:val="28"/>
              <w:lang w:val="en-US" w:eastAsia="zh-CN" w:bidi="ar"/>
            </w:rPr>
            <w:t>（一）编制原则</w:t>
          </w:r>
          <w:r>
            <w:rPr>
              <w:rFonts w:hint="eastAsia" w:ascii="Times New Roman" w:hAnsi="Times New Roman" w:eastAsia="楷体_GB2312" w:cs="Times New Roman"/>
              <w:bCs w:val="0"/>
              <w:kern w:val="0"/>
              <w:sz w:val="28"/>
              <w:szCs w:val="28"/>
              <w:lang w:eastAsia="zh-CN" w:bidi="ar"/>
            </w:rPr>
            <w:tab/>
          </w:r>
          <w:r>
            <w:rPr>
              <w:rFonts w:hint="eastAsia" w:ascii="Times New Roman" w:hAnsi="Times New Roman" w:eastAsia="楷体_GB2312" w:cs="Times New Roman"/>
              <w:bCs w:val="0"/>
              <w:kern w:val="0"/>
              <w:sz w:val="28"/>
              <w:szCs w:val="28"/>
              <w:lang w:eastAsia="zh-CN" w:bidi="ar"/>
            </w:rPr>
            <w:fldChar w:fldCharType="begin"/>
          </w:r>
          <w:r>
            <w:rPr>
              <w:rFonts w:hint="eastAsia" w:ascii="Times New Roman" w:hAnsi="Times New Roman" w:eastAsia="楷体_GB2312" w:cs="Times New Roman"/>
              <w:bCs w:val="0"/>
              <w:kern w:val="0"/>
              <w:sz w:val="28"/>
              <w:szCs w:val="28"/>
              <w:lang w:eastAsia="zh-CN" w:bidi="ar"/>
            </w:rPr>
            <w:instrText xml:space="preserve"> PAGEREF _Toc8896 \h </w:instrText>
          </w:r>
          <w:r>
            <w:rPr>
              <w:rFonts w:hint="eastAsia" w:ascii="Times New Roman" w:hAnsi="Times New Roman" w:eastAsia="楷体_GB2312" w:cs="Times New Roman"/>
              <w:bCs w:val="0"/>
              <w:kern w:val="0"/>
              <w:sz w:val="28"/>
              <w:szCs w:val="28"/>
              <w:lang w:eastAsia="zh-CN" w:bidi="ar"/>
            </w:rPr>
            <w:fldChar w:fldCharType="separate"/>
          </w:r>
          <w:r>
            <w:rPr>
              <w:rFonts w:hint="eastAsia" w:ascii="Times New Roman" w:hAnsi="Times New Roman" w:eastAsia="楷体_GB2312" w:cs="Times New Roman"/>
              <w:bCs w:val="0"/>
              <w:kern w:val="0"/>
              <w:sz w:val="28"/>
              <w:szCs w:val="28"/>
              <w:lang w:eastAsia="zh-CN" w:bidi="ar"/>
            </w:rPr>
            <w:t>8</w:t>
          </w:r>
          <w:r>
            <w:rPr>
              <w:rFonts w:hint="eastAsia" w:ascii="Times New Roman" w:hAnsi="Times New Roman" w:eastAsia="楷体_GB2312" w:cs="Times New Roman"/>
              <w:bCs w:val="0"/>
              <w:kern w:val="0"/>
              <w:sz w:val="28"/>
              <w:szCs w:val="28"/>
              <w:lang w:eastAsia="zh-CN" w:bidi="ar"/>
            </w:rPr>
            <w:fldChar w:fldCharType="end"/>
          </w:r>
          <w:r>
            <w:rPr>
              <w:rFonts w:hint="eastAsia" w:ascii="Times New Roman" w:hAnsi="Times New Roman" w:eastAsia="楷体_GB2312" w:cs="Times New Roman"/>
              <w:bCs w:val="0"/>
              <w:kern w:val="0"/>
              <w:sz w:val="28"/>
              <w:szCs w:val="28"/>
              <w:lang w:val="en-US" w:eastAsia="zh-CN" w:bidi="ar"/>
            </w:rPr>
            <w:fldChar w:fldCharType="end"/>
          </w:r>
        </w:p>
        <w:p w14:paraId="17D98259">
          <w:pPr>
            <w:pStyle w:val="22"/>
            <w:tabs>
              <w:tab w:val="right" w:leader="dot" w:pos="8306"/>
            </w:tabs>
            <w:spacing w:line="240" w:lineRule="auto"/>
            <w:ind w:firstLine="0" w:firstLineChars="0"/>
            <w:rPr>
              <w:rFonts w:hint="eastAsia" w:ascii="Times New Roman" w:hAnsi="Times New Roman" w:eastAsia="楷体_GB2312" w:cs="Times New Roman"/>
              <w:bCs w:val="0"/>
              <w:kern w:val="0"/>
              <w:sz w:val="28"/>
              <w:szCs w:val="28"/>
              <w:lang w:eastAsia="zh-CN" w:bidi="ar"/>
            </w:rPr>
          </w:pPr>
          <w:r>
            <w:rPr>
              <w:rFonts w:hint="eastAsia" w:ascii="Times New Roman" w:hAnsi="Times New Roman" w:eastAsia="楷体_GB2312" w:cs="Times New Roman"/>
              <w:bCs w:val="0"/>
              <w:kern w:val="0"/>
              <w:sz w:val="28"/>
              <w:szCs w:val="28"/>
              <w:lang w:val="en-US" w:eastAsia="zh-CN" w:bidi="ar"/>
            </w:rPr>
            <w:fldChar w:fldCharType="begin"/>
          </w:r>
          <w:r>
            <w:rPr>
              <w:rFonts w:hint="eastAsia" w:ascii="Times New Roman" w:hAnsi="Times New Roman" w:eastAsia="楷体_GB2312" w:cs="Times New Roman"/>
              <w:bCs w:val="0"/>
              <w:kern w:val="0"/>
              <w:sz w:val="28"/>
              <w:szCs w:val="28"/>
              <w:lang w:val="en-US" w:eastAsia="zh-CN" w:bidi="ar"/>
            </w:rPr>
            <w:instrText xml:space="preserve"> HYPERLINK \l _Toc16428 </w:instrText>
          </w:r>
          <w:r>
            <w:rPr>
              <w:rFonts w:hint="eastAsia" w:ascii="Times New Roman" w:hAnsi="Times New Roman" w:eastAsia="楷体_GB2312" w:cs="Times New Roman"/>
              <w:bCs w:val="0"/>
              <w:kern w:val="0"/>
              <w:sz w:val="28"/>
              <w:szCs w:val="28"/>
              <w:lang w:val="en-US" w:eastAsia="zh-CN" w:bidi="ar"/>
            </w:rPr>
            <w:fldChar w:fldCharType="separate"/>
          </w:r>
          <w:r>
            <w:rPr>
              <w:rFonts w:hint="eastAsia" w:ascii="Times New Roman" w:hAnsi="Times New Roman" w:eastAsia="楷体_GB2312" w:cs="Times New Roman"/>
              <w:bCs w:val="0"/>
              <w:kern w:val="0"/>
              <w:sz w:val="28"/>
              <w:szCs w:val="28"/>
              <w:lang w:val="en-US" w:eastAsia="zh-CN" w:bidi="ar"/>
            </w:rPr>
            <w:t>（二）主要技术内容</w:t>
          </w:r>
          <w:r>
            <w:rPr>
              <w:rFonts w:hint="eastAsia" w:ascii="Times New Roman" w:hAnsi="Times New Roman" w:eastAsia="楷体_GB2312" w:cs="Times New Roman"/>
              <w:bCs w:val="0"/>
              <w:kern w:val="0"/>
              <w:sz w:val="28"/>
              <w:szCs w:val="28"/>
              <w:lang w:eastAsia="zh-CN" w:bidi="ar"/>
            </w:rPr>
            <w:tab/>
          </w:r>
          <w:r>
            <w:rPr>
              <w:rFonts w:hint="eastAsia" w:ascii="Times New Roman" w:hAnsi="Times New Roman" w:eastAsia="楷体_GB2312" w:cs="Times New Roman"/>
              <w:bCs w:val="0"/>
              <w:kern w:val="0"/>
              <w:sz w:val="28"/>
              <w:szCs w:val="28"/>
              <w:lang w:eastAsia="zh-CN" w:bidi="ar"/>
            </w:rPr>
            <w:fldChar w:fldCharType="begin"/>
          </w:r>
          <w:r>
            <w:rPr>
              <w:rFonts w:hint="eastAsia" w:ascii="Times New Roman" w:hAnsi="Times New Roman" w:eastAsia="楷体_GB2312" w:cs="Times New Roman"/>
              <w:bCs w:val="0"/>
              <w:kern w:val="0"/>
              <w:sz w:val="28"/>
              <w:szCs w:val="28"/>
              <w:lang w:eastAsia="zh-CN" w:bidi="ar"/>
            </w:rPr>
            <w:instrText xml:space="preserve"> PAGEREF _Toc16428 \h </w:instrText>
          </w:r>
          <w:r>
            <w:rPr>
              <w:rFonts w:hint="eastAsia" w:ascii="Times New Roman" w:hAnsi="Times New Roman" w:eastAsia="楷体_GB2312" w:cs="Times New Roman"/>
              <w:bCs w:val="0"/>
              <w:kern w:val="0"/>
              <w:sz w:val="28"/>
              <w:szCs w:val="28"/>
              <w:lang w:eastAsia="zh-CN" w:bidi="ar"/>
            </w:rPr>
            <w:fldChar w:fldCharType="separate"/>
          </w:r>
          <w:r>
            <w:rPr>
              <w:rFonts w:hint="eastAsia" w:ascii="Times New Roman" w:hAnsi="Times New Roman" w:eastAsia="楷体_GB2312" w:cs="Times New Roman"/>
              <w:bCs w:val="0"/>
              <w:kern w:val="0"/>
              <w:sz w:val="28"/>
              <w:szCs w:val="28"/>
              <w:lang w:eastAsia="zh-CN" w:bidi="ar"/>
            </w:rPr>
            <w:t>9</w:t>
          </w:r>
          <w:r>
            <w:rPr>
              <w:rFonts w:hint="eastAsia" w:ascii="Times New Roman" w:hAnsi="Times New Roman" w:eastAsia="楷体_GB2312" w:cs="Times New Roman"/>
              <w:bCs w:val="0"/>
              <w:kern w:val="0"/>
              <w:sz w:val="28"/>
              <w:szCs w:val="28"/>
              <w:lang w:eastAsia="zh-CN" w:bidi="ar"/>
            </w:rPr>
            <w:fldChar w:fldCharType="end"/>
          </w:r>
          <w:r>
            <w:rPr>
              <w:rFonts w:hint="eastAsia" w:ascii="Times New Roman" w:hAnsi="Times New Roman" w:eastAsia="楷体_GB2312" w:cs="Times New Roman"/>
              <w:bCs w:val="0"/>
              <w:kern w:val="0"/>
              <w:sz w:val="28"/>
              <w:szCs w:val="28"/>
              <w:lang w:val="en-US" w:eastAsia="zh-CN" w:bidi="ar"/>
            </w:rPr>
            <w:fldChar w:fldCharType="end"/>
          </w:r>
        </w:p>
        <w:p w14:paraId="47B63A9E">
          <w:pPr>
            <w:pStyle w:val="22"/>
            <w:tabs>
              <w:tab w:val="right" w:leader="dot" w:pos="8306"/>
            </w:tabs>
            <w:spacing w:line="240" w:lineRule="auto"/>
            <w:ind w:firstLine="0" w:firstLineChars="0"/>
            <w:rPr>
              <w:rFonts w:hint="eastAsia" w:ascii="宋体" w:hAnsi="宋体" w:eastAsia="宋体" w:cs="宋体"/>
              <w:sz w:val="28"/>
              <w:szCs w:val="28"/>
            </w:rPr>
          </w:pPr>
          <w:r>
            <w:rPr>
              <w:rFonts w:hint="eastAsia" w:ascii="Times New Roman" w:hAnsi="Times New Roman" w:eastAsia="楷体_GB2312" w:cs="Times New Roman"/>
              <w:bCs w:val="0"/>
              <w:kern w:val="0"/>
              <w:sz w:val="28"/>
              <w:szCs w:val="28"/>
              <w:lang w:val="en-US" w:eastAsia="zh-CN" w:bidi="ar"/>
            </w:rPr>
            <w:fldChar w:fldCharType="begin"/>
          </w:r>
          <w:r>
            <w:rPr>
              <w:rFonts w:hint="eastAsia" w:ascii="Times New Roman" w:hAnsi="Times New Roman" w:eastAsia="楷体_GB2312" w:cs="Times New Roman"/>
              <w:bCs w:val="0"/>
              <w:kern w:val="0"/>
              <w:sz w:val="28"/>
              <w:szCs w:val="28"/>
              <w:lang w:val="en-US" w:eastAsia="zh-CN" w:bidi="ar"/>
            </w:rPr>
            <w:instrText xml:space="preserve"> HYPERLINK \l _Toc5342 </w:instrText>
          </w:r>
          <w:r>
            <w:rPr>
              <w:rFonts w:hint="eastAsia" w:ascii="Times New Roman" w:hAnsi="Times New Roman" w:eastAsia="楷体_GB2312" w:cs="Times New Roman"/>
              <w:bCs w:val="0"/>
              <w:kern w:val="0"/>
              <w:sz w:val="28"/>
              <w:szCs w:val="28"/>
              <w:lang w:val="en-US" w:eastAsia="zh-CN" w:bidi="ar"/>
            </w:rPr>
            <w:fldChar w:fldCharType="separate"/>
          </w:r>
          <w:r>
            <w:rPr>
              <w:rFonts w:hint="eastAsia" w:ascii="Times New Roman" w:hAnsi="Times New Roman" w:eastAsia="楷体_GB2312" w:cs="Times New Roman"/>
              <w:bCs w:val="0"/>
              <w:kern w:val="0"/>
              <w:sz w:val="28"/>
              <w:szCs w:val="28"/>
              <w:lang w:val="en-US" w:eastAsia="zh-CN" w:bidi="ar"/>
            </w:rPr>
            <w:t>（三）制定依据</w:t>
          </w:r>
          <w:r>
            <w:rPr>
              <w:rFonts w:hint="eastAsia" w:ascii="Times New Roman" w:hAnsi="Times New Roman" w:eastAsia="楷体_GB2312" w:cs="Times New Roman"/>
              <w:bCs w:val="0"/>
              <w:kern w:val="0"/>
              <w:sz w:val="28"/>
              <w:szCs w:val="28"/>
              <w:lang w:eastAsia="zh-CN" w:bidi="ar"/>
            </w:rPr>
            <w:tab/>
          </w:r>
          <w:r>
            <w:rPr>
              <w:rFonts w:hint="eastAsia" w:ascii="Times New Roman" w:hAnsi="Times New Roman" w:eastAsia="楷体_GB2312" w:cs="Times New Roman"/>
              <w:bCs w:val="0"/>
              <w:kern w:val="0"/>
              <w:sz w:val="28"/>
              <w:szCs w:val="28"/>
              <w:lang w:eastAsia="zh-CN" w:bidi="ar"/>
            </w:rPr>
            <w:fldChar w:fldCharType="begin"/>
          </w:r>
          <w:r>
            <w:rPr>
              <w:rFonts w:hint="eastAsia" w:ascii="Times New Roman" w:hAnsi="Times New Roman" w:eastAsia="楷体_GB2312" w:cs="Times New Roman"/>
              <w:bCs w:val="0"/>
              <w:kern w:val="0"/>
              <w:sz w:val="28"/>
              <w:szCs w:val="28"/>
              <w:lang w:eastAsia="zh-CN" w:bidi="ar"/>
            </w:rPr>
            <w:instrText xml:space="preserve"> PAGEREF _Toc5342 \h </w:instrText>
          </w:r>
          <w:r>
            <w:rPr>
              <w:rFonts w:hint="eastAsia" w:ascii="Times New Roman" w:hAnsi="Times New Roman" w:eastAsia="楷体_GB2312" w:cs="Times New Roman"/>
              <w:bCs w:val="0"/>
              <w:kern w:val="0"/>
              <w:sz w:val="28"/>
              <w:szCs w:val="28"/>
              <w:lang w:eastAsia="zh-CN" w:bidi="ar"/>
            </w:rPr>
            <w:fldChar w:fldCharType="separate"/>
          </w:r>
          <w:r>
            <w:rPr>
              <w:rFonts w:hint="eastAsia" w:ascii="Times New Roman" w:hAnsi="Times New Roman" w:eastAsia="楷体_GB2312" w:cs="Times New Roman"/>
              <w:bCs w:val="0"/>
              <w:kern w:val="0"/>
              <w:sz w:val="28"/>
              <w:szCs w:val="28"/>
              <w:lang w:eastAsia="zh-CN" w:bidi="ar"/>
            </w:rPr>
            <w:t>22</w:t>
          </w:r>
          <w:r>
            <w:rPr>
              <w:rFonts w:hint="eastAsia" w:ascii="Times New Roman" w:hAnsi="Times New Roman" w:eastAsia="楷体_GB2312" w:cs="Times New Roman"/>
              <w:bCs w:val="0"/>
              <w:kern w:val="0"/>
              <w:sz w:val="28"/>
              <w:szCs w:val="28"/>
              <w:lang w:eastAsia="zh-CN" w:bidi="ar"/>
            </w:rPr>
            <w:fldChar w:fldCharType="end"/>
          </w:r>
          <w:r>
            <w:rPr>
              <w:rFonts w:hint="eastAsia" w:ascii="Times New Roman" w:hAnsi="Times New Roman" w:eastAsia="楷体_GB2312" w:cs="Times New Roman"/>
              <w:bCs w:val="0"/>
              <w:kern w:val="0"/>
              <w:sz w:val="28"/>
              <w:szCs w:val="28"/>
              <w:lang w:val="en-US" w:eastAsia="zh-CN" w:bidi="ar"/>
            </w:rPr>
            <w:fldChar w:fldCharType="end"/>
          </w:r>
        </w:p>
        <w:p w14:paraId="68EF511B">
          <w:pPr>
            <w:pStyle w:val="21"/>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黑体" w:cs="Times New Roman"/>
              <w:b w:val="0"/>
              <w:bCs w:val="0"/>
              <w:color w:val="000000"/>
              <w:kern w:val="0"/>
              <w:sz w:val="28"/>
              <w:szCs w:val="28"/>
              <w:lang w:val="en-US" w:eastAsia="zh-CN" w:bidi="ar"/>
            </w:rPr>
          </w:pP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HYPERLINK \l _Toc15252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五、与现行相关法律、行政法规和其他标准的关系</w:t>
          </w:r>
          <w:r>
            <w:rPr>
              <w:rFonts w:hint="eastAsia" w:ascii="Times New Roman" w:hAnsi="Times New Roman" w:eastAsia="黑体" w:cs="Times New Roman"/>
              <w:b w:val="0"/>
              <w:bCs w:val="0"/>
              <w:color w:val="000000"/>
              <w:kern w:val="0"/>
              <w:sz w:val="28"/>
              <w:szCs w:val="28"/>
              <w:lang w:val="en-US" w:eastAsia="zh-CN" w:bidi="ar"/>
            </w:rPr>
            <w:tab/>
          </w: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PAGEREF _Toc15252 \h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25</w:t>
          </w:r>
          <w:r>
            <w:rPr>
              <w:rFonts w:hint="eastAsia" w:ascii="Times New Roman" w:hAnsi="Times New Roman" w:eastAsia="黑体" w:cs="Times New Roman"/>
              <w:b w:val="0"/>
              <w:bCs w:val="0"/>
              <w:color w:val="000000"/>
              <w:kern w:val="0"/>
              <w:sz w:val="28"/>
              <w:szCs w:val="28"/>
              <w:lang w:val="en-US" w:eastAsia="zh-CN" w:bidi="ar"/>
            </w:rPr>
            <w:fldChar w:fldCharType="end"/>
          </w:r>
          <w:r>
            <w:rPr>
              <w:rFonts w:hint="eastAsia" w:ascii="Times New Roman" w:hAnsi="Times New Roman" w:eastAsia="黑体" w:cs="Times New Roman"/>
              <w:b w:val="0"/>
              <w:bCs w:val="0"/>
              <w:color w:val="000000"/>
              <w:kern w:val="0"/>
              <w:sz w:val="28"/>
              <w:szCs w:val="28"/>
              <w:lang w:val="en-US" w:eastAsia="zh-CN" w:bidi="ar"/>
            </w:rPr>
            <w:fldChar w:fldCharType="end"/>
          </w:r>
        </w:p>
        <w:p w14:paraId="6326DBD2">
          <w:pPr>
            <w:pStyle w:val="22"/>
            <w:tabs>
              <w:tab w:val="right" w:leader="dot" w:pos="8306"/>
            </w:tabs>
            <w:spacing w:line="240" w:lineRule="auto"/>
            <w:ind w:firstLine="0" w:firstLineChars="0"/>
            <w:rPr>
              <w:rFonts w:hint="eastAsia" w:ascii="Times New Roman" w:hAnsi="Times New Roman" w:eastAsia="楷体_GB2312" w:cs="Times New Roman"/>
              <w:bCs w:val="0"/>
              <w:kern w:val="0"/>
              <w:sz w:val="28"/>
              <w:szCs w:val="28"/>
              <w:lang w:eastAsia="zh-CN" w:bidi="ar"/>
            </w:rPr>
          </w:pPr>
          <w:r>
            <w:rPr>
              <w:rFonts w:hint="eastAsia" w:ascii="Times New Roman" w:hAnsi="Times New Roman" w:eastAsia="楷体_GB2312" w:cs="Times New Roman"/>
              <w:bCs w:val="0"/>
              <w:kern w:val="0"/>
              <w:sz w:val="28"/>
              <w:szCs w:val="28"/>
              <w:lang w:val="en-US" w:eastAsia="zh-CN" w:bidi="ar"/>
            </w:rPr>
            <w:fldChar w:fldCharType="begin"/>
          </w:r>
          <w:r>
            <w:rPr>
              <w:rFonts w:hint="eastAsia" w:ascii="Times New Roman" w:hAnsi="Times New Roman" w:eastAsia="楷体_GB2312" w:cs="Times New Roman"/>
              <w:bCs w:val="0"/>
              <w:kern w:val="0"/>
              <w:sz w:val="28"/>
              <w:szCs w:val="28"/>
              <w:lang w:val="en-US" w:eastAsia="zh-CN" w:bidi="ar"/>
            </w:rPr>
            <w:instrText xml:space="preserve"> HYPERLINK \l _Toc5633 </w:instrText>
          </w:r>
          <w:r>
            <w:rPr>
              <w:rFonts w:hint="eastAsia" w:ascii="Times New Roman" w:hAnsi="Times New Roman" w:eastAsia="楷体_GB2312" w:cs="Times New Roman"/>
              <w:bCs w:val="0"/>
              <w:kern w:val="0"/>
              <w:sz w:val="28"/>
              <w:szCs w:val="28"/>
              <w:lang w:val="en-US" w:eastAsia="zh-CN" w:bidi="ar"/>
            </w:rPr>
            <w:fldChar w:fldCharType="separate"/>
          </w:r>
          <w:r>
            <w:rPr>
              <w:rFonts w:hint="eastAsia" w:ascii="Times New Roman" w:hAnsi="Times New Roman" w:eastAsia="楷体_GB2312" w:cs="Times New Roman"/>
              <w:bCs w:val="0"/>
              <w:kern w:val="0"/>
              <w:sz w:val="28"/>
              <w:szCs w:val="28"/>
              <w:lang w:val="en-US" w:eastAsia="zh-CN" w:bidi="ar"/>
            </w:rPr>
            <w:t>（一）与现行相关法律、行政法规的关系</w:t>
          </w:r>
          <w:r>
            <w:rPr>
              <w:rFonts w:hint="eastAsia" w:ascii="Times New Roman" w:hAnsi="Times New Roman" w:eastAsia="楷体_GB2312" w:cs="Times New Roman"/>
              <w:bCs w:val="0"/>
              <w:kern w:val="0"/>
              <w:sz w:val="28"/>
              <w:szCs w:val="28"/>
              <w:lang w:eastAsia="zh-CN" w:bidi="ar"/>
            </w:rPr>
            <w:tab/>
          </w:r>
          <w:r>
            <w:rPr>
              <w:rFonts w:hint="eastAsia" w:ascii="Times New Roman" w:hAnsi="Times New Roman" w:eastAsia="楷体_GB2312" w:cs="Times New Roman"/>
              <w:bCs w:val="0"/>
              <w:kern w:val="0"/>
              <w:sz w:val="28"/>
              <w:szCs w:val="28"/>
              <w:lang w:eastAsia="zh-CN" w:bidi="ar"/>
            </w:rPr>
            <w:fldChar w:fldCharType="begin"/>
          </w:r>
          <w:r>
            <w:rPr>
              <w:rFonts w:hint="eastAsia" w:ascii="Times New Roman" w:hAnsi="Times New Roman" w:eastAsia="楷体_GB2312" w:cs="Times New Roman"/>
              <w:bCs w:val="0"/>
              <w:kern w:val="0"/>
              <w:sz w:val="28"/>
              <w:szCs w:val="28"/>
              <w:lang w:eastAsia="zh-CN" w:bidi="ar"/>
            </w:rPr>
            <w:instrText xml:space="preserve"> PAGEREF _Toc5633 \h </w:instrText>
          </w:r>
          <w:r>
            <w:rPr>
              <w:rFonts w:hint="eastAsia" w:ascii="Times New Roman" w:hAnsi="Times New Roman" w:eastAsia="楷体_GB2312" w:cs="Times New Roman"/>
              <w:bCs w:val="0"/>
              <w:kern w:val="0"/>
              <w:sz w:val="28"/>
              <w:szCs w:val="28"/>
              <w:lang w:eastAsia="zh-CN" w:bidi="ar"/>
            </w:rPr>
            <w:fldChar w:fldCharType="separate"/>
          </w:r>
          <w:r>
            <w:rPr>
              <w:rFonts w:hint="eastAsia" w:ascii="Times New Roman" w:hAnsi="Times New Roman" w:eastAsia="楷体_GB2312" w:cs="Times New Roman"/>
              <w:bCs w:val="0"/>
              <w:kern w:val="0"/>
              <w:sz w:val="28"/>
              <w:szCs w:val="28"/>
              <w:lang w:eastAsia="zh-CN" w:bidi="ar"/>
            </w:rPr>
            <w:t>25</w:t>
          </w:r>
          <w:r>
            <w:rPr>
              <w:rFonts w:hint="eastAsia" w:ascii="Times New Roman" w:hAnsi="Times New Roman" w:eastAsia="楷体_GB2312" w:cs="Times New Roman"/>
              <w:bCs w:val="0"/>
              <w:kern w:val="0"/>
              <w:sz w:val="28"/>
              <w:szCs w:val="28"/>
              <w:lang w:eastAsia="zh-CN" w:bidi="ar"/>
            </w:rPr>
            <w:fldChar w:fldCharType="end"/>
          </w:r>
          <w:r>
            <w:rPr>
              <w:rFonts w:hint="eastAsia" w:ascii="Times New Roman" w:hAnsi="Times New Roman" w:eastAsia="楷体_GB2312" w:cs="Times New Roman"/>
              <w:bCs w:val="0"/>
              <w:kern w:val="0"/>
              <w:sz w:val="28"/>
              <w:szCs w:val="28"/>
              <w:lang w:val="en-US" w:eastAsia="zh-CN" w:bidi="ar"/>
            </w:rPr>
            <w:fldChar w:fldCharType="end"/>
          </w:r>
        </w:p>
        <w:p w14:paraId="43639F4F">
          <w:pPr>
            <w:pStyle w:val="22"/>
            <w:tabs>
              <w:tab w:val="right" w:leader="dot" w:pos="8306"/>
            </w:tabs>
            <w:spacing w:line="240" w:lineRule="auto"/>
            <w:ind w:firstLine="0" w:firstLineChars="0"/>
            <w:rPr>
              <w:rFonts w:hint="eastAsia" w:ascii="Times New Roman" w:hAnsi="Times New Roman" w:eastAsia="黑体" w:cs="Times New Roman"/>
              <w:color w:val="000000"/>
              <w:kern w:val="0"/>
              <w:sz w:val="28"/>
              <w:szCs w:val="28"/>
              <w:lang w:eastAsia="zh-CN" w:bidi="ar"/>
            </w:rPr>
          </w:pPr>
          <w:r>
            <w:rPr>
              <w:rFonts w:hint="eastAsia" w:ascii="Times New Roman" w:hAnsi="Times New Roman" w:eastAsia="楷体_GB2312" w:cs="Times New Roman"/>
              <w:bCs w:val="0"/>
              <w:kern w:val="0"/>
              <w:sz w:val="28"/>
              <w:szCs w:val="28"/>
              <w:lang w:val="en-US" w:eastAsia="zh-CN" w:bidi="ar"/>
            </w:rPr>
            <w:fldChar w:fldCharType="begin"/>
          </w:r>
          <w:r>
            <w:rPr>
              <w:rFonts w:hint="eastAsia" w:ascii="Times New Roman" w:hAnsi="Times New Roman" w:eastAsia="楷体_GB2312" w:cs="Times New Roman"/>
              <w:bCs w:val="0"/>
              <w:kern w:val="0"/>
              <w:sz w:val="28"/>
              <w:szCs w:val="28"/>
              <w:lang w:val="en-US" w:eastAsia="zh-CN" w:bidi="ar"/>
            </w:rPr>
            <w:instrText xml:space="preserve"> HYPERLINK \l _Toc9272 </w:instrText>
          </w:r>
          <w:r>
            <w:rPr>
              <w:rFonts w:hint="eastAsia" w:ascii="Times New Roman" w:hAnsi="Times New Roman" w:eastAsia="楷体_GB2312" w:cs="Times New Roman"/>
              <w:bCs w:val="0"/>
              <w:kern w:val="0"/>
              <w:sz w:val="28"/>
              <w:szCs w:val="28"/>
              <w:lang w:val="en-US" w:eastAsia="zh-CN" w:bidi="ar"/>
            </w:rPr>
            <w:fldChar w:fldCharType="separate"/>
          </w:r>
          <w:r>
            <w:rPr>
              <w:rFonts w:hint="eastAsia" w:ascii="Times New Roman" w:hAnsi="Times New Roman" w:eastAsia="楷体_GB2312" w:cs="Times New Roman"/>
              <w:bCs w:val="0"/>
              <w:kern w:val="0"/>
              <w:sz w:val="28"/>
              <w:szCs w:val="28"/>
              <w:lang w:val="en-US" w:eastAsia="zh-CN" w:bidi="ar"/>
            </w:rPr>
            <w:t>（二）与其他标准的关系</w:t>
          </w:r>
          <w:r>
            <w:rPr>
              <w:rFonts w:hint="eastAsia" w:ascii="Times New Roman" w:hAnsi="Times New Roman" w:eastAsia="楷体_GB2312" w:cs="Times New Roman"/>
              <w:bCs w:val="0"/>
              <w:kern w:val="0"/>
              <w:sz w:val="28"/>
              <w:szCs w:val="28"/>
              <w:lang w:eastAsia="zh-CN" w:bidi="ar"/>
            </w:rPr>
            <w:tab/>
          </w:r>
          <w:r>
            <w:rPr>
              <w:rFonts w:hint="eastAsia" w:ascii="Times New Roman" w:hAnsi="Times New Roman" w:eastAsia="楷体_GB2312" w:cs="Times New Roman"/>
              <w:bCs w:val="0"/>
              <w:kern w:val="0"/>
              <w:sz w:val="28"/>
              <w:szCs w:val="28"/>
              <w:lang w:eastAsia="zh-CN" w:bidi="ar"/>
            </w:rPr>
            <w:fldChar w:fldCharType="begin"/>
          </w:r>
          <w:r>
            <w:rPr>
              <w:rFonts w:hint="eastAsia" w:ascii="Times New Roman" w:hAnsi="Times New Roman" w:eastAsia="楷体_GB2312" w:cs="Times New Roman"/>
              <w:bCs w:val="0"/>
              <w:kern w:val="0"/>
              <w:sz w:val="28"/>
              <w:szCs w:val="28"/>
              <w:lang w:eastAsia="zh-CN" w:bidi="ar"/>
            </w:rPr>
            <w:instrText xml:space="preserve"> PAGEREF _Toc9272 \h </w:instrText>
          </w:r>
          <w:r>
            <w:rPr>
              <w:rFonts w:hint="eastAsia" w:ascii="Times New Roman" w:hAnsi="Times New Roman" w:eastAsia="楷体_GB2312" w:cs="Times New Roman"/>
              <w:bCs w:val="0"/>
              <w:kern w:val="0"/>
              <w:sz w:val="28"/>
              <w:szCs w:val="28"/>
              <w:lang w:eastAsia="zh-CN" w:bidi="ar"/>
            </w:rPr>
            <w:fldChar w:fldCharType="separate"/>
          </w:r>
          <w:r>
            <w:rPr>
              <w:rFonts w:hint="eastAsia" w:ascii="Times New Roman" w:hAnsi="Times New Roman" w:eastAsia="楷体_GB2312" w:cs="Times New Roman"/>
              <w:bCs w:val="0"/>
              <w:kern w:val="0"/>
              <w:sz w:val="28"/>
              <w:szCs w:val="28"/>
              <w:lang w:eastAsia="zh-CN" w:bidi="ar"/>
            </w:rPr>
            <w:t>26</w:t>
          </w:r>
          <w:r>
            <w:rPr>
              <w:rFonts w:hint="eastAsia" w:ascii="Times New Roman" w:hAnsi="Times New Roman" w:eastAsia="楷体_GB2312" w:cs="Times New Roman"/>
              <w:bCs w:val="0"/>
              <w:kern w:val="0"/>
              <w:sz w:val="28"/>
              <w:szCs w:val="28"/>
              <w:lang w:eastAsia="zh-CN" w:bidi="ar"/>
            </w:rPr>
            <w:fldChar w:fldCharType="end"/>
          </w:r>
          <w:r>
            <w:rPr>
              <w:rFonts w:hint="eastAsia" w:ascii="Times New Roman" w:hAnsi="Times New Roman" w:eastAsia="楷体_GB2312" w:cs="Times New Roman"/>
              <w:bCs w:val="0"/>
              <w:kern w:val="0"/>
              <w:sz w:val="28"/>
              <w:szCs w:val="28"/>
              <w:lang w:val="en-US" w:eastAsia="zh-CN" w:bidi="ar"/>
            </w:rPr>
            <w:fldChar w:fldCharType="end"/>
          </w:r>
        </w:p>
        <w:p w14:paraId="131E436A">
          <w:pPr>
            <w:pStyle w:val="21"/>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黑体" w:cs="Times New Roman"/>
              <w:b w:val="0"/>
              <w:bCs w:val="0"/>
              <w:color w:val="000000"/>
              <w:kern w:val="0"/>
              <w:sz w:val="28"/>
              <w:szCs w:val="28"/>
              <w:lang w:val="en-US" w:eastAsia="zh-CN" w:bidi="ar"/>
            </w:rPr>
          </w:pP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HYPERLINK \l _Toc17801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六、标准实施效益分析</w:t>
          </w:r>
          <w:r>
            <w:rPr>
              <w:rFonts w:hint="eastAsia" w:ascii="Times New Roman" w:hAnsi="Times New Roman" w:eastAsia="黑体" w:cs="Times New Roman"/>
              <w:b w:val="0"/>
              <w:bCs w:val="0"/>
              <w:color w:val="000000"/>
              <w:kern w:val="0"/>
              <w:sz w:val="28"/>
              <w:szCs w:val="28"/>
              <w:lang w:val="en-US" w:eastAsia="zh-CN" w:bidi="ar"/>
            </w:rPr>
            <w:tab/>
          </w: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PAGEREF _Toc17801 \h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27</w:t>
          </w:r>
          <w:r>
            <w:rPr>
              <w:rFonts w:hint="eastAsia" w:ascii="Times New Roman" w:hAnsi="Times New Roman" w:eastAsia="黑体" w:cs="Times New Roman"/>
              <w:b w:val="0"/>
              <w:bCs w:val="0"/>
              <w:color w:val="000000"/>
              <w:kern w:val="0"/>
              <w:sz w:val="28"/>
              <w:szCs w:val="28"/>
              <w:lang w:val="en-US" w:eastAsia="zh-CN" w:bidi="ar"/>
            </w:rPr>
            <w:fldChar w:fldCharType="end"/>
          </w:r>
          <w:r>
            <w:rPr>
              <w:rFonts w:hint="eastAsia" w:ascii="Times New Roman" w:hAnsi="Times New Roman" w:eastAsia="黑体" w:cs="Times New Roman"/>
              <w:b w:val="0"/>
              <w:bCs w:val="0"/>
              <w:color w:val="000000"/>
              <w:kern w:val="0"/>
              <w:sz w:val="28"/>
              <w:szCs w:val="28"/>
              <w:lang w:val="en-US" w:eastAsia="zh-CN" w:bidi="ar"/>
            </w:rPr>
            <w:fldChar w:fldCharType="end"/>
          </w:r>
        </w:p>
        <w:p w14:paraId="2946EB0C">
          <w:pPr>
            <w:pStyle w:val="21"/>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黑体" w:cs="Times New Roman"/>
              <w:b w:val="0"/>
              <w:bCs w:val="0"/>
              <w:color w:val="000000"/>
              <w:kern w:val="0"/>
              <w:sz w:val="28"/>
              <w:szCs w:val="28"/>
              <w:lang w:val="en-US" w:eastAsia="zh-CN" w:bidi="ar"/>
            </w:rPr>
          </w:pP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HYPERLINK \l _Toc20584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七、重大分歧意见的处理过程、处理意见及其依据</w:t>
          </w:r>
          <w:r>
            <w:rPr>
              <w:rFonts w:hint="eastAsia" w:ascii="Times New Roman" w:hAnsi="Times New Roman" w:eastAsia="黑体" w:cs="Times New Roman"/>
              <w:b w:val="0"/>
              <w:bCs w:val="0"/>
              <w:color w:val="000000"/>
              <w:kern w:val="0"/>
              <w:sz w:val="28"/>
              <w:szCs w:val="28"/>
              <w:lang w:val="en-US" w:eastAsia="zh-CN" w:bidi="ar"/>
            </w:rPr>
            <w:tab/>
          </w: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PAGEREF _Toc20584 \h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27</w:t>
          </w:r>
          <w:r>
            <w:rPr>
              <w:rFonts w:hint="eastAsia" w:ascii="Times New Roman" w:hAnsi="Times New Roman" w:eastAsia="黑体" w:cs="Times New Roman"/>
              <w:b w:val="0"/>
              <w:bCs w:val="0"/>
              <w:color w:val="000000"/>
              <w:kern w:val="0"/>
              <w:sz w:val="28"/>
              <w:szCs w:val="28"/>
              <w:lang w:val="en-US" w:eastAsia="zh-CN" w:bidi="ar"/>
            </w:rPr>
            <w:fldChar w:fldCharType="end"/>
          </w:r>
          <w:r>
            <w:rPr>
              <w:rFonts w:hint="eastAsia" w:ascii="Times New Roman" w:hAnsi="Times New Roman" w:eastAsia="黑体" w:cs="Times New Roman"/>
              <w:b w:val="0"/>
              <w:bCs w:val="0"/>
              <w:color w:val="000000"/>
              <w:kern w:val="0"/>
              <w:sz w:val="28"/>
              <w:szCs w:val="28"/>
              <w:lang w:val="en-US" w:eastAsia="zh-CN" w:bidi="ar"/>
            </w:rPr>
            <w:fldChar w:fldCharType="end"/>
          </w:r>
        </w:p>
        <w:p w14:paraId="2827B913">
          <w:pPr>
            <w:pStyle w:val="21"/>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黑体" w:cs="Times New Roman"/>
              <w:b w:val="0"/>
              <w:bCs w:val="0"/>
              <w:color w:val="000000"/>
              <w:kern w:val="0"/>
              <w:sz w:val="28"/>
              <w:szCs w:val="28"/>
              <w:lang w:val="en-US" w:eastAsia="zh-CN" w:bidi="ar"/>
            </w:rPr>
          </w:pP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HYPERLINK \l _Toc11079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八、对地方标准自发布日期至实施日期之间的过渡期的建议及理由</w:t>
          </w:r>
        </w:p>
        <w:p w14:paraId="042CD4B8">
          <w:pPr>
            <w:pStyle w:val="21"/>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黑体" w:cs="Times New Roman"/>
              <w:b w:val="0"/>
              <w:bCs w:val="0"/>
              <w:color w:val="000000"/>
              <w:kern w:val="0"/>
              <w:sz w:val="28"/>
              <w:szCs w:val="28"/>
              <w:lang w:val="en-US" w:eastAsia="zh-CN" w:bidi="ar"/>
            </w:rPr>
          </w:pPr>
          <w:r>
            <w:rPr>
              <w:rFonts w:hint="eastAsia" w:ascii="Times New Roman" w:hAnsi="Times New Roman" w:eastAsia="黑体" w:cs="Times New Roman"/>
              <w:b w:val="0"/>
              <w:bCs w:val="0"/>
              <w:color w:val="000000"/>
              <w:kern w:val="0"/>
              <w:sz w:val="28"/>
              <w:szCs w:val="28"/>
              <w:lang w:val="en-US" w:eastAsia="zh-CN" w:bidi="ar"/>
            </w:rPr>
            <w:tab/>
          </w: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PAGEREF _Toc11079 \h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28</w:t>
          </w:r>
          <w:r>
            <w:rPr>
              <w:rFonts w:hint="eastAsia" w:ascii="Times New Roman" w:hAnsi="Times New Roman" w:eastAsia="黑体" w:cs="Times New Roman"/>
              <w:b w:val="0"/>
              <w:bCs w:val="0"/>
              <w:color w:val="000000"/>
              <w:kern w:val="0"/>
              <w:sz w:val="28"/>
              <w:szCs w:val="28"/>
              <w:lang w:val="en-US" w:eastAsia="zh-CN" w:bidi="ar"/>
            </w:rPr>
            <w:fldChar w:fldCharType="end"/>
          </w:r>
          <w:r>
            <w:rPr>
              <w:rFonts w:hint="eastAsia" w:ascii="Times New Roman" w:hAnsi="Times New Roman" w:eastAsia="黑体" w:cs="Times New Roman"/>
              <w:b w:val="0"/>
              <w:bCs w:val="0"/>
              <w:color w:val="000000"/>
              <w:kern w:val="0"/>
              <w:sz w:val="28"/>
              <w:szCs w:val="28"/>
              <w:lang w:val="en-US" w:eastAsia="zh-CN" w:bidi="ar"/>
            </w:rPr>
            <w:fldChar w:fldCharType="end"/>
          </w:r>
        </w:p>
        <w:p w14:paraId="460ACB12">
          <w:pPr>
            <w:pStyle w:val="21"/>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黑体" w:cs="Times New Roman"/>
              <w:b w:val="0"/>
              <w:bCs w:val="0"/>
              <w:color w:val="000000"/>
              <w:kern w:val="0"/>
              <w:sz w:val="28"/>
              <w:szCs w:val="28"/>
              <w:lang w:val="en-US" w:eastAsia="zh-CN" w:bidi="ar"/>
            </w:rPr>
          </w:pP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HYPERLINK \l _Toc4198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九、其他需要说明的内容</w:t>
          </w:r>
          <w:r>
            <w:rPr>
              <w:rFonts w:hint="eastAsia" w:ascii="Times New Roman" w:hAnsi="Times New Roman" w:eastAsia="黑体" w:cs="Times New Roman"/>
              <w:b w:val="0"/>
              <w:bCs w:val="0"/>
              <w:color w:val="000000"/>
              <w:kern w:val="0"/>
              <w:sz w:val="28"/>
              <w:szCs w:val="28"/>
              <w:lang w:val="en-US" w:eastAsia="zh-CN" w:bidi="ar"/>
            </w:rPr>
            <w:tab/>
          </w:r>
          <w:r>
            <w:rPr>
              <w:rFonts w:hint="eastAsia" w:ascii="Times New Roman" w:hAnsi="Times New Roman" w:eastAsia="黑体" w:cs="Times New Roman"/>
              <w:b w:val="0"/>
              <w:bCs w:val="0"/>
              <w:color w:val="000000"/>
              <w:kern w:val="0"/>
              <w:sz w:val="28"/>
              <w:szCs w:val="28"/>
              <w:lang w:val="en-US" w:eastAsia="zh-CN" w:bidi="ar"/>
            </w:rPr>
            <w:fldChar w:fldCharType="begin"/>
          </w:r>
          <w:r>
            <w:rPr>
              <w:rFonts w:hint="eastAsia" w:ascii="Times New Roman" w:hAnsi="Times New Roman" w:eastAsia="黑体" w:cs="Times New Roman"/>
              <w:b w:val="0"/>
              <w:bCs w:val="0"/>
              <w:color w:val="000000"/>
              <w:kern w:val="0"/>
              <w:sz w:val="28"/>
              <w:szCs w:val="28"/>
              <w:lang w:val="en-US" w:eastAsia="zh-CN" w:bidi="ar"/>
            </w:rPr>
            <w:instrText xml:space="preserve"> PAGEREF _Toc4198 \h </w:instrText>
          </w:r>
          <w:r>
            <w:rPr>
              <w:rFonts w:hint="eastAsia" w:ascii="Times New Roman" w:hAnsi="Times New Roman" w:eastAsia="黑体" w:cs="Times New Roman"/>
              <w:b w:val="0"/>
              <w:bCs w:val="0"/>
              <w:color w:val="000000"/>
              <w:kern w:val="0"/>
              <w:sz w:val="28"/>
              <w:szCs w:val="28"/>
              <w:lang w:val="en-US" w:eastAsia="zh-CN" w:bidi="ar"/>
            </w:rPr>
            <w:fldChar w:fldCharType="separate"/>
          </w:r>
          <w:r>
            <w:rPr>
              <w:rFonts w:hint="eastAsia" w:ascii="Times New Roman" w:hAnsi="Times New Roman" w:eastAsia="黑体" w:cs="Times New Roman"/>
              <w:b w:val="0"/>
              <w:bCs w:val="0"/>
              <w:color w:val="000000"/>
              <w:kern w:val="0"/>
              <w:sz w:val="28"/>
              <w:szCs w:val="28"/>
              <w:lang w:val="en-US" w:eastAsia="zh-CN" w:bidi="ar"/>
            </w:rPr>
            <w:t>28</w:t>
          </w:r>
          <w:r>
            <w:rPr>
              <w:rFonts w:hint="eastAsia" w:ascii="Times New Roman" w:hAnsi="Times New Roman" w:eastAsia="黑体" w:cs="Times New Roman"/>
              <w:b w:val="0"/>
              <w:bCs w:val="0"/>
              <w:color w:val="000000"/>
              <w:kern w:val="0"/>
              <w:sz w:val="28"/>
              <w:szCs w:val="28"/>
              <w:lang w:val="en-US" w:eastAsia="zh-CN" w:bidi="ar"/>
            </w:rPr>
            <w:fldChar w:fldCharType="end"/>
          </w:r>
          <w:r>
            <w:rPr>
              <w:rFonts w:hint="eastAsia" w:ascii="Times New Roman" w:hAnsi="Times New Roman" w:eastAsia="黑体" w:cs="Times New Roman"/>
              <w:b w:val="0"/>
              <w:bCs w:val="0"/>
              <w:color w:val="000000"/>
              <w:kern w:val="0"/>
              <w:sz w:val="28"/>
              <w:szCs w:val="28"/>
              <w:lang w:val="en-US" w:eastAsia="zh-CN" w:bidi="ar"/>
            </w:rPr>
            <w:fldChar w:fldCharType="end"/>
          </w:r>
        </w:p>
        <w:p w14:paraId="18AB71EA">
          <w:pPr>
            <w:pStyle w:val="32"/>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right"/>
            <w:textAlignment w:val="auto"/>
            <w:rPr>
              <w:rFonts w:hint="default" w:ascii="黑体" w:hAnsi="黑体" w:eastAsia="黑体" w:cs="黑体"/>
              <w:b/>
              <w:bCs/>
              <w:spacing w:val="4"/>
              <w:kern w:val="2"/>
              <w:sz w:val="24"/>
              <w:szCs w:val="24"/>
              <w:highlight w:val="none"/>
              <w:lang w:val="en-US" w:eastAsia="zh-CN" w:bidi="ar-SA"/>
            </w:rPr>
          </w:pPr>
          <w:r>
            <w:rPr>
              <w:rFonts w:hint="eastAsia" w:ascii="宋体" w:hAnsi="宋体" w:eastAsia="宋体" w:cs="宋体"/>
              <w:bCs/>
              <w:spacing w:val="4"/>
              <w:szCs w:val="24"/>
              <w:highlight w:val="none"/>
              <w:lang w:val="en-US" w:eastAsia="zh-CN"/>
            </w:rPr>
            <w:fldChar w:fldCharType="end"/>
          </w:r>
        </w:p>
      </w:sdtContent>
    </w:sdt>
    <w:p w14:paraId="06551A4C">
      <w:pPr>
        <w:pStyle w:val="32"/>
        <w:keepNext w:val="0"/>
        <w:keepLines w:val="0"/>
        <w:pageBreakBefore w:val="0"/>
        <w:widowControl w:val="0"/>
        <w:kinsoku/>
        <w:wordWrap/>
        <w:overflowPunct w:val="0"/>
        <w:topLinePunct w:val="0"/>
        <w:autoSpaceDE/>
        <w:autoSpaceDN/>
        <w:bidi w:val="0"/>
        <w:adjustRightInd w:val="0"/>
        <w:snapToGrid w:val="0"/>
        <w:spacing w:line="600" w:lineRule="exact"/>
        <w:ind w:firstLine="0" w:firstLineChars="0"/>
        <w:jc w:val="center"/>
        <w:textAlignment w:val="auto"/>
        <w:rPr>
          <w:rFonts w:hint="default" w:ascii="黑体" w:hAnsi="黑体" w:eastAsia="黑体" w:cs="黑体"/>
          <w:b/>
          <w:bCs/>
          <w:spacing w:val="4"/>
          <w:kern w:val="2"/>
          <w:sz w:val="24"/>
          <w:szCs w:val="24"/>
          <w:highlight w:val="none"/>
          <w:lang w:val="en-US" w:eastAsia="zh-CN" w:bidi="ar-SA"/>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6B00F63D">
      <w:pPr>
        <w:pStyle w:val="2"/>
        <w:bidi w:val="0"/>
        <w:rPr>
          <w:rFonts w:hint="eastAsia"/>
          <w:highlight w:val="none"/>
          <w:lang w:val="en-US" w:eastAsia="zh-CN"/>
        </w:rPr>
      </w:pPr>
      <w:bookmarkStart w:id="11" w:name="_Toc1850"/>
      <w:bookmarkStart w:id="12" w:name="_Toc29315"/>
      <w:bookmarkStart w:id="13" w:name="_Toc18815"/>
      <w:bookmarkStart w:id="14" w:name="_Toc3928"/>
      <w:bookmarkStart w:id="15" w:name="_Toc13317"/>
      <w:r>
        <w:rPr>
          <w:rFonts w:hint="eastAsia"/>
          <w:highlight w:val="none"/>
          <w:lang w:val="en-US" w:eastAsia="zh-CN"/>
        </w:rPr>
        <w:t>工作简况</w:t>
      </w:r>
      <w:bookmarkEnd w:id="11"/>
      <w:bookmarkEnd w:id="12"/>
      <w:bookmarkEnd w:id="13"/>
      <w:bookmarkEnd w:id="14"/>
      <w:bookmarkEnd w:id="15"/>
    </w:p>
    <w:p w14:paraId="3F001F3D">
      <w:pPr>
        <w:pStyle w:val="3"/>
        <w:bidi w:val="0"/>
        <w:ind w:left="0" w:firstLine="0"/>
        <w:rPr>
          <w:rFonts w:hint="eastAsia"/>
          <w:highlight w:val="none"/>
          <w:lang w:val="en-US" w:eastAsia="zh-CN"/>
        </w:rPr>
      </w:pPr>
      <w:bookmarkStart w:id="16" w:name="_Toc22153"/>
      <w:bookmarkStart w:id="17" w:name="_Toc5847"/>
      <w:bookmarkStart w:id="18" w:name="_Toc2554"/>
      <w:bookmarkStart w:id="19" w:name="_Toc7386"/>
      <w:bookmarkStart w:id="20" w:name="_Toc7319"/>
      <w:r>
        <w:rPr>
          <w:rFonts w:hint="eastAsia"/>
          <w:highlight w:val="none"/>
          <w:lang w:val="en-US" w:eastAsia="zh-CN"/>
        </w:rPr>
        <w:t>任务来源</w:t>
      </w:r>
      <w:bookmarkEnd w:id="16"/>
      <w:bookmarkEnd w:id="17"/>
      <w:bookmarkEnd w:id="18"/>
      <w:bookmarkEnd w:id="19"/>
      <w:bookmarkEnd w:id="20"/>
    </w:p>
    <w:p w14:paraId="7597CFD0">
      <w:pPr>
        <w:bidi w:val="0"/>
        <w:rPr>
          <w:rFonts w:hint="default"/>
          <w:highlight w:val="none"/>
          <w:lang w:val="en-US" w:eastAsia="zh-CN"/>
        </w:rPr>
      </w:pPr>
      <w:r>
        <w:rPr>
          <w:rFonts w:hint="eastAsia"/>
          <w:lang w:val="en-US" w:eastAsia="zh-CN"/>
        </w:rPr>
        <w:t>党的二十大报告提出，要“统筹水资源、水环境、水生态治理，推动重要江河湖库生态保护治理”，到</w:t>
      </w:r>
      <w:r>
        <w:rPr>
          <w:rFonts w:hint="default"/>
          <w:lang w:val="en-US" w:eastAsia="zh-CN"/>
        </w:rPr>
        <w:t>2035</w:t>
      </w:r>
      <w:r>
        <w:rPr>
          <w:rFonts w:hint="eastAsia"/>
          <w:lang w:val="en-US" w:eastAsia="zh-CN"/>
        </w:rPr>
        <w:t>年“生态环境根本好转，美丽中国目标基本实现”。打造各美其美、亲水富民的美丽河湖是水生态环境领域推动美丽山东、美丽中国建设的集中体现和重要载体，而水生态评价可直观地展现出美丽河湖在水资源、水生境、水生态和水环境等方面的建设成效。构建水生态评价体系，是推动我省流域环境保护管理理念由“保水质”向“保水质、增颜值”一体发力转变、治理方式由污染防治为主向“三水统筹”系统治理转变、考核形式由理化指标向多维度水生态健康转变的根本路径，更是美丽山东乃至美丽中国建设的必然要求。</w:t>
      </w:r>
    </w:p>
    <w:p w14:paraId="69A4B217">
      <w:pPr>
        <w:bidi w:val="0"/>
        <w:rPr>
          <w:rFonts w:hint="default"/>
          <w:highlight w:val="none"/>
          <w:lang w:val="en-US" w:eastAsia="zh-CN"/>
        </w:rPr>
      </w:pPr>
      <w:r>
        <w:rPr>
          <w:rFonts w:hint="eastAsia"/>
          <w:highlight w:val="none"/>
        </w:rPr>
        <w:t>为</w:t>
      </w:r>
      <w:r>
        <w:rPr>
          <w:rFonts w:hint="eastAsia"/>
          <w:highlight w:val="none"/>
          <w:lang w:val="en-US" w:eastAsia="zh-CN"/>
        </w:rPr>
        <w:t>推动水资源、水环境、水生态系统治理，加快推进美丽山东建设</w:t>
      </w:r>
      <w:r>
        <w:rPr>
          <w:rFonts w:hint="eastAsia"/>
          <w:highlight w:val="none"/>
          <w:lang w:eastAsia="zh-CN"/>
        </w:rPr>
        <w:t>，</w:t>
      </w:r>
      <w:r>
        <w:rPr>
          <w:rFonts w:hint="eastAsia"/>
          <w:highlight w:val="none"/>
        </w:rPr>
        <w:t>山东省生态环境厅</w:t>
      </w:r>
      <w:r>
        <w:rPr>
          <w:rFonts w:hint="eastAsia"/>
          <w:highlight w:val="none"/>
          <w:lang w:val="en-US" w:eastAsia="zh-CN"/>
        </w:rPr>
        <w:t>启动</w:t>
      </w:r>
      <w:r>
        <w:rPr>
          <w:rFonts w:hint="eastAsia"/>
          <w:highlight w:val="none"/>
        </w:rPr>
        <w:t>了山东省《河湖库水生态综合评价技术指南》项目，由山东省生态环境规划研究院承担</w:t>
      </w:r>
      <w:r>
        <w:rPr>
          <w:rFonts w:hint="eastAsia"/>
          <w:highlight w:val="none"/>
          <w:lang w:val="en-US" w:eastAsia="zh-CN"/>
        </w:rPr>
        <w:t>指南</w:t>
      </w:r>
      <w:r>
        <w:rPr>
          <w:rFonts w:hint="eastAsia"/>
          <w:highlight w:val="none"/>
        </w:rPr>
        <w:t>编制工作。</w:t>
      </w:r>
      <w:r>
        <w:rPr>
          <w:rFonts w:hint="eastAsia"/>
          <w:highlight w:val="none"/>
          <w:lang w:val="en-US" w:eastAsia="zh-CN"/>
        </w:rPr>
        <w:t>2024年9月，本项目由山东省市场监督管理局关于印发《港口装卸服务规范 第1部分：集装箱》等第二批地方标准计划项目的通知（鲁市监标函〔2024〕166号）确认立项，立项编号为2024-T-51。</w:t>
      </w:r>
    </w:p>
    <w:p w14:paraId="0F07DC11">
      <w:pPr>
        <w:pStyle w:val="3"/>
        <w:ind w:left="0" w:firstLine="0"/>
        <w:rPr>
          <w:rFonts w:hint="eastAsia"/>
          <w:highlight w:val="none"/>
          <w:lang w:val="en-US" w:eastAsia="zh-CN"/>
        </w:rPr>
      </w:pPr>
      <w:bookmarkStart w:id="21" w:name="_Toc11981"/>
      <w:bookmarkStart w:id="22" w:name="_Toc30893"/>
      <w:bookmarkStart w:id="23" w:name="_Toc7364"/>
      <w:bookmarkStart w:id="24" w:name="_Toc2105"/>
      <w:bookmarkStart w:id="25" w:name="_Toc13386"/>
      <w:r>
        <w:rPr>
          <w:rFonts w:hint="eastAsia"/>
          <w:highlight w:val="none"/>
          <w:lang w:val="en-US" w:eastAsia="zh-CN"/>
        </w:rPr>
        <w:t>起草单位、起草人及任务分工</w:t>
      </w:r>
      <w:bookmarkEnd w:id="21"/>
      <w:bookmarkEnd w:id="22"/>
      <w:bookmarkEnd w:id="23"/>
    </w:p>
    <w:p w14:paraId="1A2726D7">
      <w:pPr>
        <w:rPr>
          <w:rFonts w:hint="default"/>
          <w:highlight w:val="none"/>
          <w:lang w:val="en-US" w:eastAsia="zh-CN"/>
        </w:rPr>
      </w:pPr>
      <w:r>
        <w:rPr>
          <w:rFonts w:hint="eastAsia"/>
          <w:highlight w:val="none"/>
          <w:lang w:val="en-US" w:eastAsia="zh-CN"/>
        </w:rPr>
        <w:t>起草单位：山东省生态环境规划研究院</w:t>
      </w:r>
    </w:p>
    <w:p w14:paraId="4CBCEE42">
      <w:pPr>
        <w:keepNext/>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highlight w:val="none"/>
          <w:lang w:val="en-US" w:eastAsia="zh-CN"/>
        </w:rPr>
        <w:t>起草人：</w:t>
      </w:r>
      <w:r>
        <w:rPr>
          <w:rFonts w:hint="eastAsia" w:ascii="Times New Roman" w:hAnsi="Times New Roman" w:eastAsia="仿宋_GB2312" w:cs="Times New Roman"/>
          <w:sz w:val="32"/>
          <w:szCs w:val="32"/>
          <w:highlight w:val="none"/>
          <w:lang w:val="en-US" w:eastAsia="zh-CN"/>
        </w:rPr>
        <w:t>******</w:t>
      </w:r>
    </w:p>
    <w:p w14:paraId="0458E313">
      <w:pPr>
        <w:keepNext/>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highlight w:val="none"/>
          <w:lang w:val="en-US" w:eastAsia="zh-CN"/>
        </w:rPr>
        <w:t>人员分工：</w:t>
      </w:r>
      <w:r>
        <w:rPr>
          <w:rFonts w:hint="eastAsia" w:ascii="Times New Roman" w:hAnsi="Times New Roman" w:eastAsia="仿宋_GB2312" w:cs="Times New Roman"/>
          <w:sz w:val="32"/>
          <w:szCs w:val="32"/>
          <w:highlight w:val="none"/>
          <w:lang w:val="en-US" w:eastAsia="zh-CN"/>
        </w:rPr>
        <w:t>******</w:t>
      </w:r>
    </w:p>
    <w:p w14:paraId="21AD5E34">
      <w:pPr>
        <w:pStyle w:val="3"/>
        <w:ind w:left="0" w:firstLine="0"/>
        <w:rPr>
          <w:rFonts w:hint="eastAsia"/>
          <w:highlight w:val="none"/>
          <w:lang w:val="en-US" w:eastAsia="zh-CN"/>
        </w:rPr>
      </w:pPr>
      <w:bookmarkStart w:id="26" w:name="_Toc6060"/>
      <w:bookmarkStart w:id="27" w:name="_Toc1195"/>
      <w:bookmarkStart w:id="28" w:name="_Toc8263"/>
      <w:r>
        <w:rPr>
          <w:rFonts w:hint="eastAsia"/>
          <w:highlight w:val="none"/>
          <w:lang w:val="en-US" w:eastAsia="zh-CN"/>
        </w:rPr>
        <w:t>工作过程</w:t>
      </w:r>
      <w:bookmarkEnd w:id="24"/>
      <w:bookmarkEnd w:id="26"/>
      <w:bookmarkEnd w:id="27"/>
      <w:bookmarkEnd w:id="28"/>
    </w:p>
    <w:p w14:paraId="48952925">
      <w:pPr>
        <w:rPr>
          <w:rFonts w:hint="default"/>
          <w:lang w:val="en-US" w:eastAsia="zh-CN"/>
        </w:rPr>
      </w:pPr>
      <w:r>
        <w:rPr>
          <w:rFonts w:hint="eastAsia"/>
          <w:lang w:val="en-US" w:eastAsia="zh-CN"/>
        </w:rPr>
        <w:t>2022—2023年，在“三水统筹”流域治理思路下，项目实施单位在黄河、南四湖、小清河、沂沭河四大流域24个典型河湖库开展大规模水生态调查，连续三年开展调水对我省重点湖库水生态影响研究，并在日照、烟台、潍坊等市开展水生态调查评价，涉及</w:t>
      </w:r>
      <w:r>
        <w:rPr>
          <w:rFonts w:hint="eastAsia"/>
        </w:rPr>
        <w:t>79条河流</w:t>
      </w:r>
      <w:r>
        <w:rPr>
          <w:rFonts w:hint="eastAsia"/>
          <w:lang w:eastAsia="zh-CN"/>
        </w:rPr>
        <w:t>、</w:t>
      </w:r>
      <w:r>
        <w:rPr>
          <w:rFonts w:hint="eastAsia"/>
          <w:lang w:val="en-US" w:eastAsia="zh-CN"/>
        </w:rPr>
        <w:t>11</w:t>
      </w:r>
      <w:r>
        <w:rPr>
          <w:rFonts w:hint="eastAsia"/>
        </w:rPr>
        <w:t>处</w:t>
      </w:r>
      <w:r>
        <w:rPr>
          <w:rFonts w:hint="eastAsia"/>
          <w:lang w:val="en-US" w:eastAsia="zh-CN"/>
        </w:rPr>
        <w:t>湖库，基本摸清我省重点河湖库水生态本底状况，为我省《河湖库水生态综合评价技术指南》的编制奠定了坚实的基础。</w:t>
      </w:r>
    </w:p>
    <w:p w14:paraId="6DCF8D2F">
      <w:pPr>
        <w:rPr>
          <w:rFonts w:hint="default"/>
          <w:lang w:val="en-US" w:eastAsia="zh-CN"/>
        </w:rPr>
      </w:pPr>
      <w:r>
        <w:rPr>
          <w:rFonts w:hint="eastAsia"/>
          <w:lang w:val="en-US" w:eastAsia="zh-CN"/>
        </w:rPr>
        <w:t>2023年1—4月，成立编制组，研究国内外相关标准，明确水生态综合评价总体思路，编制《山东省河湖库水生态综合评价方案》，并召开专家论证会。</w:t>
      </w:r>
    </w:p>
    <w:p w14:paraId="1535AA71">
      <w:pPr>
        <w:rPr>
          <w:rFonts w:hint="eastAsia"/>
          <w:highlight w:val="none"/>
          <w:lang w:val="en-US" w:eastAsia="zh-CN"/>
        </w:rPr>
      </w:pPr>
      <w:r>
        <w:rPr>
          <w:rFonts w:hint="eastAsia"/>
          <w:highlight w:val="none"/>
          <w:lang w:val="en-US" w:eastAsia="zh-CN"/>
        </w:rPr>
        <w:t>2023年5—12月，分析全省重点流域水生态基本情况及存在问题，</w:t>
      </w:r>
      <w:r>
        <w:rPr>
          <w:rFonts w:hint="eastAsia" w:ascii="仿宋_GB2312" w:eastAsia="仿宋_GB2312"/>
          <w:color w:val="auto"/>
          <w:sz w:val="32"/>
          <w:szCs w:val="32"/>
          <w:highlight w:val="none"/>
          <w:lang w:val="en-US" w:eastAsia="zh-CN" w:bidi="ar"/>
        </w:rPr>
        <w:t>初步构建了</w:t>
      </w:r>
      <w:r>
        <w:rPr>
          <w:rFonts w:hint="eastAsia" w:ascii="仿宋_GB2312"/>
          <w:color w:val="auto"/>
          <w:sz w:val="32"/>
          <w:szCs w:val="32"/>
          <w:highlight w:val="none"/>
          <w:lang w:val="en-US" w:eastAsia="zh-CN" w:bidi="ar"/>
        </w:rPr>
        <w:t>山东省河湖库</w:t>
      </w:r>
      <w:r>
        <w:rPr>
          <w:rFonts w:hint="eastAsia" w:ascii="仿宋_GB2312" w:eastAsia="仿宋_GB2312"/>
          <w:color w:val="auto"/>
          <w:sz w:val="32"/>
          <w:szCs w:val="32"/>
          <w:highlight w:val="none"/>
          <w:lang w:val="en-US" w:eastAsia="zh-CN" w:bidi="ar"/>
        </w:rPr>
        <w:t>水生态综合评价技术体系</w:t>
      </w:r>
      <w:r>
        <w:rPr>
          <w:rFonts w:hint="eastAsia" w:ascii="仿宋_GB2312"/>
          <w:color w:val="auto"/>
          <w:sz w:val="32"/>
          <w:szCs w:val="32"/>
          <w:highlight w:val="none"/>
          <w:lang w:val="en-US" w:eastAsia="zh-CN" w:bidi="ar"/>
        </w:rPr>
        <w:t>，并</w:t>
      </w:r>
      <w:r>
        <w:rPr>
          <w:rFonts w:hint="eastAsia" w:ascii="Times New Roman" w:hAnsi="Times New Roman"/>
          <w:highlight w:val="none"/>
          <w:lang w:val="en-US" w:eastAsia="zh-CN"/>
        </w:rPr>
        <w:t>分别于202</w:t>
      </w:r>
      <w:r>
        <w:rPr>
          <w:rFonts w:hint="eastAsia"/>
          <w:highlight w:val="none"/>
          <w:lang w:val="en-US" w:eastAsia="zh-CN"/>
        </w:rPr>
        <w:t>3</w:t>
      </w:r>
      <w:r>
        <w:rPr>
          <w:rFonts w:hint="eastAsia" w:ascii="Times New Roman" w:hAnsi="Times New Roman"/>
          <w:highlight w:val="none"/>
          <w:lang w:val="en-US" w:eastAsia="zh-CN"/>
        </w:rPr>
        <w:t>年</w:t>
      </w:r>
      <w:r>
        <w:rPr>
          <w:rFonts w:hint="eastAsia"/>
          <w:highlight w:val="none"/>
          <w:lang w:val="en-US" w:eastAsia="zh-CN"/>
        </w:rPr>
        <w:t>9</w:t>
      </w:r>
      <w:r>
        <w:rPr>
          <w:rFonts w:hint="eastAsia" w:ascii="Times New Roman" w:hAnsi="Times New Roman"/>
          <w:highlight w:val="none"/>
          <w:lang w:val="en-US" w:eastAsia="zh-CN"/>
        </w:rPr>
        <w:t>月、11月召开专家咨询会</w:t>
      </w:r>
      <w:r>
        <w:rPr>
          <w:rFonts w:hint="eastAsia"/>
          <w:highlight w:val="none"/>
          <w:lang w:val="en-US" w:eastAsia="zh-CN"/>
        </w:rPr>
        <w:t>。</w:t>
      </w:r>
    </w:p>
    <w:p w14:paraId="19216423">
      <w:pPr>
        <w:rPr>
          <w:rFonts w:hint="default"/>
          <w:highlight w:val="none"/>
          <w:lang w:val="en-US" w:eastAsia="zh-CN"/>
        </w:rPr>
      </w:pPr>
      <w:r>
        <w:rPr>
          <w:rFonts w:hint="eastAsia"/>
          <w:highlight w:val="none"/>
          <w:lang w:val="en-US" w:eastAsia="zh-CN"/>
        </w:rPr>
        <w:t>2024年1—6月，与济南、青岛、烟台、潍坊等市开展座谈交流，初步形成山东省《河湖库水生态综合评价技术指南》草案。</w:t>
      </w:r>
    </w:p>
    <w:p w14:paraId="4F3AD174">
      <w:pPr>
        <w:rPr>
          <w:rFonts w:hint="eastAsia"/>
          <w:highlight w:val="none"/>
          <w:lang w:val="en-US" w:eastAsia="zh-CN"/>
        </w:rPr>
      </w:pPr>
      <w:r>
        <w:rPr>
          <w:rFonts w:hint="eastAsia"/>
          <w:highlight w:val="none"/>
          <w:lang w:val="en-US" w:eastAsia="zh-CN"/>
        </w:rPr>
        <w:t>2024年7—8月，与生态环境部和其他省份相关标准文件衔接，形成《河湖库水生态综合评价技术指南》开题报告和标准草案，并召开标准开题及专家论证会。</w:t>
      </w:r>
    </w:p>
    <w:p w14:paraId="7E54C354">
      <w:pPr>
        <w:rPr>
          <w:rFonts w:hint="eastAsia" w:ascii="Times New Roman" w:hAnsi="Times New Roman"/>
          <w:highlight w:val="none"/>
          <w:lang w:val="en-US" w:eastAsia="zh-CN"/>
        </w:rPr>
      </w:pPr>
      <w:r>
        <w:rPr>
          <w:rFonts w:hint="eastAsia" w:ascii="Times New Roman" w:hAnsi="Times New Roman"/>
          <w:highlight w:val="none"/>
          <w:lang w:val="en-US" w:eastAsia="zh-CN"/>
        </w:rPr>
        <w:t>202</w:t>
      </w:r>
      <w:r>
        <w:rPr>
          <w:rFonts w:hint="eastAsia"/>
          <w:highlight w:val="none"/>
          <w:lang w:val="en-US" w:eastAsia="zh-CN"/>
        </w:rPr>
        <w:t>4</w:t>
      </w:r>
      <w:r>
        <w:rPr>
          <w:rFonts w:hint="eastAsia" w:ascii="Times New Roman" w:hAnsi="Times New Roman"/>
          <w:highlight w:val="none"/>
          <w:lang w:val="en-US" w:eastAsia="zh-CN"/>
        </w:rPr>
        <w:t>年9月，对标准文本及编制说明</w:t>
      </w:r>
      <w:r>
        <w:rPr>
          <w:rFonts w:hint="eastAsia"/>
          <w:highlight w:val="none"/>
          <w:lang w:val="en-US" w:eastAsia="zh-CN"/>
        </w:rPr>
        <w:t>进一步</w:t>
      </w:r>
      <w:r>
        <w:rPr>
          <w:rFonts w:hint="eastAsia" w:ascii="Times New Roman" w:hAnsi="Times New Roman"/>
          <w:highlight w:val="none"/>
          <w:lang w:val="en-US" w:eastAsia="zh-CN"/>
        </w:rPr>
        <w:t>修改完善，形成征求意见稿。</w:t>
      </w:r>
    </w:p>
    <w:p w14:paraId="0E1098AE">
      <w:pPr>
        <w:pStyle w:val="2"/>
        <w:ind w:left="0" w:firstLine="0"/>
        <w:rPr>
          <w:rFonts w:hint="default"/>
          <w:highlight w:val="none"/>
          <w:lang w:val="en-US" w:eastAsia="zh-CN"/>
        </w:rPr>
      </w:pPr>
      <w:bookmarkStart w:id="29" w:name="_Toc14886"/>
      <w:bookmarkStart w:id="30" w:name="_Toc10423"/>
      <w:bookmarkStart w:id="31" w:name="_Toc13240"/>
      <w:bookmarkStart w:id="32" w:name="_Toc18843"/>
      <w:r>
        <w:rPr>
          <w:rFonts w:hint="eastAsia"/>
          <w:highlight w:val="none"/>
          <w:lang w:val="en-US" w:eastAsia="zh-CN"/>
        </w:rPr>
        <w:t>地方标准</w:t>
      </w:r>
      <w:bookmarkEnd w:id="29"/>
      <w:r>
        <w:rPr>
          <w:rFonts w:hint="eastAsia"/>
          <w:highlight w:val="none"/>
          <w:lang w:val="en-US" w:eastAsia="zh-CN"/>
        </w:rPr>
        <w:t>制定的目的和意义</w:t>
      </w:r>
      <w:bookmarkEnd w:id="30"/>
      <w:bookmarkEnd w:id="31"/>
      <w:bookmarkEnd w:id="32"/>
    </w:p>
    <w:p w14:paraId="1A4D0CD8">
      <w:pPr>
        <w:pStyle w:val="3"/>
        <w:bidi w:val="0"/>
        <w:rPr>
          <w:rFonts w:hint="default"/>
          <w:highlight w:val="none"/>
          <w:lang w:val="en-US" w:eastAsia="zh-CN"/>
        </w:rPr>
      </w:pPr>
      <w:bookmarkStart w:id="33" w:name="_Toc22134"/>
      <w:bookmarkStart w:id="34" w:name="_Toc32185"/>
      <w:bookmarkStart w:id="35" w:name="_Toc12607"/>
      <w:r>
        <w:rPr>
          <w:rFonts w:hint="default"/>
          <w:highlight w:val="none"/>
          <w:lang w:val="en-US" w:eastAsia="zh-CN"/>
        </w:rPr>
        <w:t>是推动实现</w:t>
      </w:r>
      <w:r>
        <w:rPr>
          <w:rFonts w:hint="eastAsia"/>
          <w:highlight w:val="none"/>
          <w:lang w:val="en-US" w:eastAsia="zh-CN"/>
        </w:rPr>
        <w:t>美丽</w:t>
      </w:r>
      <w:r>
        <w:rPr>
          <w:rFonts w:hint="default"/>
          <w:highlight w:val="none"/>
          <w:lang w:val="en-US" w:eastAsia="zh-CN"/>
        </w:rPr>
        <w:t>中国</w:t>
      </w:r>
      <w:r>
        <w:rPr>
          <w:rFonts w:hint="eastAsia"/>
          <w:highlight w:val="none"/>
          <w:lang w:val="en-US" w:eastAsia="zh-CN"/>
        </w:rPr>
        <w:t>、</w:t>
      </w:r>
      <w:r>
        <w:rPr>
          <w:rFonts w:hint="default"/>
          <w:highlight w:val="none"/>
          <w:lang w:val="en-US" w:eastAsia="zh-CN"/>
        </w:rPr>
        <w:t>美丽</w:t>
      </w:r>
      <w:r>
        <w:rPr>
          <w:rFonts w:hint="eastAsia"/>
          <w:highlight w:val="none"/>
          <w:lang w:val="en-US" w:eastAsia="zh-CN"/>
        </w:rPr>
        <w:t>山东</w:t>
      </w:r>
      <w:r>
        <w:rPr>
          <w:rFonts w:hint="default"/>
          <w:highlight w:val="none"/>
          <w:lang w:val="en-US" w:eastAsia="zh-CN"/>
        </w:rPr>
        <w:t>建设的重要组成部分</w:t>
      </w:r>
      <w:bookmarkEnd w:id="33"/>
      <w:bookmarkEnd w:id="34"/>
      <w:bookmarkEnd w:id="35"/>
    </w:p>
    <w:p w14:paraId="1A9595D0">
      <w:pPr>
        <w:bidi w:val="0"/>
      </w:pPr>
      <w:r>
        <w:rPr>
          <w:rFonts w:hint="eastAsia"/>
          <w:lang w:val="en-US" w:eastAsia="zh-CN"/>
        </w:rPr>
        <w:t>习近平总书记在全国生态环境保护大会上强调，要把建设美丽中国摆在强国建设、民族复兴的突出位置，统筹水资源、水环境、水生态治理，建立水生态考核机制，维护水生态系统健康。同时，“十四五”以来，国家和我省出台的重要文件均对水生态调查评价提出明确要求，其中《中共中央 国务院关于全面推进美丽中国建设的意见》要求“建立水生态考核机制”；《重点流域水生态环境保护规划》提出“研究建立统筹水资源、水环境和水生态的监测评价体系，对重要江河湖库开展水生态环境监测评价预警”；《美丽山东建设规划纲要（</w:t>
      </w:r>
      <w:r>
        <w:rPr>
          <w:rFonts w:hint="default"/>
          <w:lang w:val="en-US" w:eastAsia="zh-CN"/>
        </w:rPr>
        <w:t>2021</w:t>
      </w:r>
      <w:r>
        <w:rPr>
          <w:rFonts w:hint="eastAsia"/>
          <w:lang w:val="en-US" w:eastAsia="zh-CN"/>
        </w:rPr>
        <w:t>—</w:t>
      </w:r>
      <w:r>
        <w:rPr>
          <w:rFonts w:hint="default"/>
          <w:lang w:val="en-US" w:eastAsia="zh-CN"/>
        </w:rPr>
        <w:t>2035</w:t>
      </w:r>
      <w:r>
        <w:rPr>
          <w:rFonts w:hint="eastAsia"/>
          <w:lang w:val="en-US" w:eastAsia="zh-CN"/>
        </w:rPr>
        <w:t>年）》强调“实施重点河湖水生态健康评估，改善水生态打造美丽河湖”；</w:t>
      </w:r>
      <w:r>
        <w:rPr>
          <w:rFonts w:hint="eastAsia"/>
        </w:rPr>
        <w:t>《山东省“十四五”生态环境保护规划》</w:t>
      </w:r>
      <w:r>
        <w:rPr>
          <w:rFonts w:hint="eastAsia"/>
          <w:lang w:val="en-US" w:eastAsia="zh-CN"/>
        </w:rPr>
        <w:t>明确“</w:t>
      </w:r>
      <w:r>
        <w:rPr>
          <w:rFonts w:hint="eastAsia"/>
        </w:rPr>
        <w:t>要探索制定符合流域特色的水生态监测评价指标和标准</w:t>
      </w:r>
      <w:r>
        <w:rPr>
          <w:rFonts w:hint="eastAsia"/>
          <w:lang w:eastAsia="zh-CN"/>
        </w:rPr>
        <w:t>”</w:t>
      </w:r>
      <w:r>
        <w:rPr>
          <w:rFonts w:hint="eastAsia"/>
          <w:lang w:val="en-US" w:eastAsia="zh-CN"/>
        </w:rPr>
        <w:t>。面临美丽中国、美丽山东建设新的历史使命，构建河湖库水生态评价体系，推动水生态系统健康发展是新时期流域污染治理的必由之路</w:t>
      </w:r>
      <w:r>
        <w:rPr>
          <w:rFonts w:hint="eastAsia"/>
        </w:rPr>
        <w:t>。</w:t>
      </w:r>
    </w:p>
    <w:p w14:paraId="064ECB36">
      <w:pPr>
        <w:pStyle w:val="3"/>
        <w:bidi w:val="0"/>
        <w:rPr>
          <w:rFonts w:hint="eastAsia"/>
          <w:highlight w:val="none"/>
          <w:lang w:val="en-US" w:eastAsia="zh-CN"/>
        </w:rPr>
      </w:pPr>
      <w:bookmarkStart w:id="36" w:name="_Toc6556"/>
      <w:bookmarkStart w:id="37" w:name="_Toc7912"/>
      <w:r>
        <w:rPr>
          <w:rFonts w:hint="eastAsia"/>
          <w:highlight w:val="none"/>
          <w:lang w:val="en-US" w:eastAsia="zh-CN"/>
        </w:rPr>
        <w:t>是推进实现水生态环境全面改善的重要举措</w:t>
      </w:r>
      <w:bookmarkEnd w:id="36"/>
      <w:bookmarkEnd w:id="37"/>
    </w:p>
    <w:p w14:paraId="52958C5E">
      <w:pPr>
        <w:bidi w:val="0"/>
        <w:rPr>
          <w:rFonts w:hint="eastAsia"/>
          <w:highlight w:val="none"/>
          <w:lang w:val="en-US" w:eastAsia="zh-CN"/>
        </w:rPr>
      </w:pPr>
      <w:r>
        <w:rPr>
          <w:rFonts w:hint="eastAsia"/>
          <w:highlight w:val="none"/>
          <w:lang w:val="en-US" w:eastAsia="zh-CN"/>
        </w:rPr>
        <w:t>党的十八大以来，在省委省政府的坚强领导下，在各级各部门的共同努力下，全省水生态环境保护发生了历史性、转折性、全局性变化。2023年，全省国控地表水断面优良水体比例达到83.7%，已超“十四五”终期目标13.8个百分点，全省水环境质量达到有监测记录以来的最好水平。但受水资源严重匮乏等客观现实制约，经常断流干涸的河湖由于缺乏有效的管控措施，水质持续改善的空间不断收窄。同时，我省水生态工作还处在调查研究阶段，水生态系统健康状况恢复缓慢。</w:t>
      </w:r>
      <w:r>
        <w:rPr>
          <w:rFonts w:hint="eastAsia"/>
          <w:highlight w:val="none"/>
        </w:rPr>
        <w:t>新时期，水生态环境管理工作应从主抓水环境质量向水生态</w:t>
      </w:r>
      <w:r>
        <w:rPr>
          <w:rFonts w:hint="eastAsia"/>
          <w:highlight w:val="none"/>
          <w:lang w:val="en-US" w:eastAsia="zh-CN"/>
        </w:rPr>
        <w:t>系统健康</w:t>
      </w:r>
      <w:r>
        <w:rPr>
          <w:rFonts w:hint="eastAsia"/>
          <w:highlight w:val="none"/>
        </w:rPr>
        <w:t>转变，建立集</w:t>
      </w:r>
      <w:r>
        <w:rPr>
          <w:rFonts w:hint="eastAsia"/>
          <w:highlight w:val="none"/>
          <w:lang w:val="en-US" w:eastAsia="zh-CN"/>
        </w:rPr>
        <w:t>调查</w:t>
      </w:r>
      <w:r>
        <w:rPr>
          <w:rFonts w:hint="eastAsia"/>
          <w:highlight w:val="none"/>
        </w:rPr>
        <w:t>监测、评价考核</w:t>
      </w:r>
      <w:r>
        <w:rPr>
          <w:rFonts w:hint="eastAsia"/>
          <w:highlight w:val="none"/>
          <w:lang w:eastAsia="zh-CN"/>
        </w:rPr>
        <w:t>、</w:t>
      </w:r>
      <w:r>
        <w:rPr>
          <w:rFonts w:hint="eastAsia"/>
          <w:highlight w:val="none"/>
          <w:lang w:val="en-US" w:eastAsia="zh-CN"/>
        </w:rPr>
        <w:t>修复实施</w:t>
      </w:r>
      <w:r>
        <w:rPr>
          <w:rFonts w:hint="eastAsia"/>
          <w:highlight w:val="none"/>
        </w:rPr>
        <w:t>于一体的水生态</w:t>
      </w:r>
      <w:r>
        <w:rPr>
          <w:rFonts w:hint="eastAsia"/>
          <w:highlight w:val="none"/>
          <w:lang w:val="en-US" w:eastAsia="zh-CN"/>
        </w:rPr>
        <w:t>管理</w:t>
      </w:r>
      <w:r>
        <w:rPr>
          <w:rFonts w:hint="eastAsia"/>
          <w:highlight w:val="none"/>
        </w:rPr>
        <w:t>机制，推动实现水生态环境质量全面改善</w:t>
      </w:r>
      <w:r>
        <w:rPr>
          <w:rFonts w:hint="eastAsia"/>
          <w:highlight w:val="none"/>
          <w:lang w:val="en-US" w:eastAsia="zh-CN"/>
        </w:rPr>
        <w:t>，真正构建“三水统筹”治理新格局。</w:t>
      </w:r>
    </w:p>
    <w:p w14:paraId="4ADD842A">
      <w:pPr>
        <w:pStyle w:val="3"/>
        <w:bidi w:val="0"/>
        <w:rPr>
          <w:rFonts w:hint="eastAsia"/>
          <w:highlight w:val="none"/>
          <w:lang w:val="en-US" w:eastAsia="zh-CN"/>
        </w:rPr>
      </w:pPr>
      <w:bookmarkStart w:id="38" w:name="_Toc24056"/>
      <w:bookmarkStart w:id="39" w:name="_Toc22843"/>
      <w:r>
        <w:rPr>
          <w:rFonts w:hint="eastAsia"/>
          <w:highlight w:val="none"/>
          <w:lang w:val="en-US" w:eastAsia="zh-CN"/>
        </w:rPr>
        <w:t>是推动水生态环境考核形式转变的有力抓手</w:t>
      </w:r>
      <w:bookmarkEnd w:id="38"/>
      <w:bookmarkEnd w:id="39"/>
    </w:p>
    <w:p w14:paraId="6174C17B">
      <w:pPr>
        <w:bidi w:val="0"/>
        <w:rPr>
          <w:rFonts w:hint="eastAsia"/>
          <w:highlight w:val="none"/>
          <w:lang w:val="en-US" w:eastAsia="zh-CN"/>
        </w:rPr>
      </w:pPr>
      <w:r>
        <w:rPr>
          <w:rFonts w:hint="eastAsia"/>
          <w:highlight w:val="none"/>
          <w:lang w:val="en-US" w:eastAsia="zh-CN"/>
        </w:rPr>
        <w:t>“十四五”以来</w:t>
      </w:r>
      <w:r>
        <w:rPr>
          <w:rFonts w:hint="eastAsia"/>
          <w:highlight w:val="none"/>
        </w:rPr>
        <w:t>，生态环境部在长江流域以及呼伦湖、岱海等实施了水生态考核试点，其中长江流域考核体系除综合营养状态、综合污染状况、汛期污染强度等3项传统水质理化指标外，还选取了鱼类、大型底栖动物物种数等6项水生态健康指标，自然岸线率等4项水生境保护指标以及生态流量达标率1项水资源保障指标</w:t>
      </w:r>
      <w:r>
        <w:rPr>
          <w:rFonts w:hint="eastAsia"/>
          <w:highlight w:val="none"/>
          <w:lang w:eastAsia="zh-CN"/>
        </w:rPr>
        <w:t>，</w:t>
      </w:r>
      <w:r>
        <w:rPr>
          <w:rFonts w:hint="eastAsia"/>
          <w:highlight w:val="none"/>
          <w:lang w:val="en-US" w:eastAsia="zh-CN"/>
        </w:rPr>
        <w:t>构建了一套</w:t>
      </w:r>
      <w:r>
        <w:rPr>
          <w:rFonts w:hint="eastAsia"/>
          <w:highlight w:val="none"/>
        </w:rPr>
        <w:t>以水生态系统健康为核心，统筹推进水生境、水环境和水资源系统保护</w:t>
      </w:r>
      <w:r>
        <w:rPr>
          <w:rFonts w:hint="eastAsia"/>
          <w:highlight w:val="none"/>
          <w:lang w:val="en-US" w:eastAsia="zh-CN"/>
        </w:rPr>
        <w:t>多位一体考核</w:t>
      </w:r>
      <w:r>
        <w:rPr>
          <w:rFonts w:hint="eastAsia"/>
          <w:highlight w:val="none"/>
        </w:rPr>
        <w:t>体系</w:t>
      </w:r>
      <w:r>
        <w:rPr>
          <w:rFonts w:hint="eastAsia"/>
          <w:highlight w:val="none"/>
          <w:lang w:val="en-US" w:eastAsia="zh-CN"/>
        </w:rPr>
        <w:t>。据悉，“十五五”期间全国水生态环境考核也将由传统“优</w:t>
      </w:r>
      <w:r>
        <w:rPr>
          <w:rFonts w:hint="default" w:cs="Times New Roman"/>
          <w:highlight w:val="none"/>
          <w:lang w:val="en-US" w:eastAsia="zh-CN"/>
        </w:rPr>
        <w:t>Ⅲ</w:t>
      </w:r>
      <w:r>
        <w:rPr>
          <w:rFonts w:hint="eastAsia"/>
          <w:highlight w:val="none"/>
          <w:lang w:val="en-US" w:eastAsia="zh-CN"/>
        </w:rPr>
        <w:t>劣V”的理化指标考核，逐步向“美丽河湖建成率、水生态健康指数”等多维度水生态考核转变，实施流域水生态综合治理和系统保护，将逐步成为未来水生态环境管理的核心和基础。</w:t>
      </w:r>
    </w:p>
    <w:p w14:paraId="740F4107">
      <w:pPr>
        <w:pStyle w:val="3"/>
        <w:bidi w:val="0"/>
        <w:rPr>
          <w:rFonts w:hint="eastAsia"/>
          <w:highlight w:val="none"/>
        </w:rPr>
      </w:pPr>
      <w:bookmarkStart w:id="40" w:name="_Toc15954"/>
      <w:bookmarkStart w:id="41" w:name="_Toc18091"/>
      <w:r>
        <w:rPr>
          <w:rFonts w:hint="eastAsia"/>
          <w:highlight w:val="none"/>
        </w:rPr>
        <w:t>为我省河湖库水生态</w:t>
      </w:r>
      <w:r>
        <w:rPr>
          <w:rFonts w:hint="eastAsia"/>
          <w:highlight w:val="none"/>
          <w:lang w:val="en-US" w:eastAsia="zh-CN"/>
        </w:rPr>
        <w:t>调查</w:t>
      </w:r>
      <w:r>
        <w:rPr>
          <w:rFonts w:hint="eastAsia"/>
          <w:highlight w:val="none"/>
        </w:rPr>
        <w:t>评价提供必要指导</w:t>
      </w:r>
      <w:bookmarkEnd w:id="40"/>
      <w:bookmarkEnd w:id="41"/>
    </w:p>
    <w:p w14:paraId="5093874F">
      <w:pPr>
        <w:bidi w:val="0"/>
        <w:rPr>
          <w:rFonts w:hint="eastAsia"/>
          <w:lang w:eastAsia="zh-CN"/>
        </w:rPr>
      </w:pPr>
      <w:r>
        <w:rPr>
          <w:rFonts w:hint="default"/>
          <w:highlight w:val="none"/>
          <w:lang w:val="en-US" w:eastAsia="zh-CN"/>
        </w:rPr>
        <w:t>目前，我省水生态调查评价缺乏统一的指导文件，地市及科研单位需参考国家及</w:t>
      </w:r>
      <w:r>
        <w:rPr>
          <w:rFonts w:hint="eastAsia"/>
          <w:lang w:val="en-US" w:eastAsia="zh-CN"/>
        </w:rPr>
        <w:t>其他</w:t>
      </w:r>
      <w:r>
        <w:rPr>
          <w:rFonts w:hint="default"/>
          <w:highlight w:val="none"/>
          <w:lang w:val="en-US" w:eastAsia="zh-CN"/>
        </w:rPr>
        <w:t>省份的文件</w:t>
      </w:r>
      <w:r>
        <w:rPr>
          <w:rFonts w:hint="default"/>
          <w:highlight w:val="none"/>
          <w:lang w:val="en-US" w:eastAsia="zh-CN"/>
        </w:rPr>
        <w:t>开展水生态调查评价</w:t>
      </w:r>
      <w:r>
        <w:rPr>
          <w:rFonts w:hint="default"/>
          <w:highlight w:val="none"/>
          <w:lang w:val="en-US" w:eastAsia="zh-CN"/>
        </w:rPr>
        <w:t>工作。一方面，各单位选择调查评价方法存在主观性和差异性，导致评价结果难以比较，不能形成有效的管理决策依据。另一方面，过度依赖外部标准而忽视本省水生态系统的独特性和复杂性，也使得评价结果难以准确反映我省水生态真实状况。</w:t>
      </w:r>
      <w:r>
        <w:rPr>
          <w:rFonts w:hint="eastAsia"/>
        </w:rPr>
        <w:t>“十四五”期间，我省已开展了</w:t>
      </w:r>
      <w:r>
        <w:rPr>
          <w:rFonts w:hint="default"/>
          <w:highlight w:val="none"/>
          <w:lang w:val="en-US" w:eastAsia="zh-CN"/>
        </w:rPr>
        <w:t>大量的</w:t>
      </w:r>
      <w:r>
        <w:rPr>
          <w:rFonts w:hint="eastAsia"/>
        </w:rPr>
        <w:t>河湖库水生态调查工作，</w:t>
      </w:r>
      <w:r>
        <w:rPr>
          <w:rFonts w:hint="default"/>
          <w:highlight w:val="none"/>
          <w:lang w:val="en-US" w:eastAsia="zh-CN"/>
        </w:rPr>
        <w:t>积累</w:t>
      </w:r>
      <w:r>
        <w:rPr>
          <w:rFonts w:hint="eastAsia"/>
        </w:rPr>
        <w:t>了</w:t>
      </w:r>
      <w:r>
        <w:rPr>
          <w:rFonts w:hint="default"/>
          <w:highlight w:val="none"/>
          <w:lang w:val="en-US" w:eastAsia="zh-CN"/>
        </w:rPr>
        <w:t>丰富的</w:t>
      </w:r>
      <w:r>
        <w:rPr>
          <w:rFonts w:hint="eastAsia"/>
        </w:rPr>
        <w:t>水生态数据，</w:t>
      </w:r>
      <w:r>
        <w:rPr>
          <w:rFonts w:hint="default"/>
          <w:highlight w:val="none"/>
          <w:lang w:val="en-US" w:eastAsia="zh-CN"/>
        </w:rPr>
        <w:t>亟</w:t>
      </w:r>
      <w:r>
        <w:rPr>
          <w:rFonts w:hint="eastAsia"/>
          <w:lang w:val="en-US" w:eastAsia="zh-CN"/>
        </w:rPr>
        <w:t>需制定符合我省实际的水生态调查评价技术指南，统一评价标准，为地方</w:t>
      </w:r>
      <w:r>
        <w:rPr>
          <w:rFonts w:hint="eastAsia"/>
        </w:rPr>
        <w:t>科学规范</w:t>
      </w:r>
      <w:r>
        <w:rPr>
          <w:rFonts w:hint="eastAsia"/>
          <w:lang w:val="en-US" w:eastAsia="zh-CN"/>
        </w:rPr>
        <w:t>地开展水生态调查</w:t>
      </w:r>
      <w:r>
        <w:rPr>
          <w:rFonts w:hint="eastAsia"/>
        </w:rPr>
        <w:t>评价</w:t>
      </w:r>
      <w:r>
        <w:rPr>
          <w:rFonts w:hint="eastAsia"/>
          <w:lang w:val="en-US" w:eastAsia="zh-CN"/>
        </w:rPr>
        <w:t>提供强有力的技术支撑</w:t>
      </w:r>
      <w:r>
        <w:rPr>
          <w:rFonts w:hint="eastAsia"/>
          <w:lang w:eastAsia="zh-CN"/>
        </w:rPr>
        <w:t>，从而推动我省水生态环境保护与修复工作的深入开展，确保水生态系统的健康与可持续发展。</w:t>
      </w:r>
    </w:p>
    <w:p w14:paraId="4727878C">
      <w:pPr>
        <w:pStyle w:val="2"/>
        <w:bidi w:val="0"/>
        <w:ind w:left="0" w:leftChars="0" w:firstLine="0" w:firstLineChars="0"/>
        <w:rPr>
          <w:rFonts w:hint="eastAsia"/>
          <w:highlight w:val="none"/>
          <w:lang w:val="en-US" w:eastAsia="zh-CN"/>
        </w:rPr>
      </w:pPr>
      <w:bookmarkStart w:id="42" w:name="_Toc18891"/>
      <w:bookmarkStart w:id="43" w:name="_Toc30195"/>
      <w:bookmarkStart w:id="44" w:name="_Toc3504"/>
      <w:bookmarkStart w:id="45" w:name="_Toc25144"/>
      <w:r>
        <w:rPr>
          <w:rFonts w:hint="eastAsia"/>
          <w:highlight w:val="none"/>
          <w:lang w:val="en-US" w:eastAsia="zh-CN"/>
        </w:rPr>
        <w:t>国家层面及其他省份相关工作概况</w:t>
      </w:r>
      <w:bookmarkEnd w:id="42"/>
    </w:p>
    <w:p w14:paraId="799B7508">
      <w:pPr>
        <w:pStyle w:val="3"/>
        <w:keepNext w:val="0"/>
        <w:keepLines w:val="0"/>
        <w:pageBreakBefore w:val="0"/>
        <w:widowControl w:val="0"/>
        <w:kinsoku/>
        <w:wordWrap/>
        <w:overflowPunct/>
        <w:topLinePunct w:val="0"/>
        <w:autoSpaceDE/>
        <w:autoSpaceDN/>
        <w:bidi w:val="0"/>
        <w:adjustRightInd/>
        <w:snapToGrid/>
        <w:spacing w:after="0" w:line="600" w:lineRule="exact"/>
        <w:ind w:left="0" w:leftChars="0"/>
        <w:textAlignment w:val="auto"/>
        <w:rPr>
          <w:rFonts w:hint="default"/>
          <w:lang w:val="en-US" w:eastAsia="zh-CN"/>
        </w:rPr>
      </w:pPr>
      <w:bookmarkStart w:id="46" w:name="_Toc21080"/>
      <w:r>
        <w:rPr>
          <w:rFonts w:hint="eastAsia"/>
          <w:lang w:val="en-US" w:eastAsia="zh-CN"/>
        </w:rPr>
        <w:t>国家层面</w:t>
      </w:r>
      <w:bookmarkEnd w:id="46"/>
    </w:p>
    <w:p w14:paraId="21C424C9">
      <w:pPr>
        <w:keepNext w:val="0"/>
        <w:keepLines w:val="0"/>
        <w:pageBreakBefore w:val="0"/>
        <w:widowControl/>
        <w:kinsoku/>
        <w:wordWrap/>
        <w:overflowPunct/>
        <w:topLinePunct w:val="0"/>
        <w:autoSpaceDE/>
        <w:autoSpaceDN/>
        <w:bidi w:val="0"/>
        <w:adjustRightInd/>
        <w:snapToGrid/>
        <w:spacing w:after="0" w:line="600" w:lineRule="exact"/>
        <w:ind w:left="0" w:leftChars="0"/>
        <w:textAlignment w:val="auto"/>
        <w:rPr>
          <w:rFonts w:hint="eastAsia"/>
          <w:lang w:val="en-US" w:eastAsia="zh-CN"/>
        </w:rPr>
      </w:pPr>
      <w:r>
        <w:rPr>
          <w:rFonts w:hint="eastAsia"/>
          <w:lang w:val="en-US" w:eastAsia="zh-CN"/>
        </w:rPr>
        <w:t>2013年，原环境保护部制定了《流域生态健康评估技术指南（试行）》，首次将水生生物纳入生态系统评价，并于次年分类制定河流、湖库水生态环境质量监测与评价技术指南。经过近10年在全国水体广泛应用，2023年，生态环境部先后印发《水生态监测技术指南 河流水生生物监测与评价（试行）》《水生态监测技术指南 湖泊和水库水生生物监测与评价（试行）》两项国家标准以及《长江流域水生态考核指标评分细则（试行）》，是首次从国家层面对水生态监测、评价及考核制定的规范性文件。</w:t>
      </w:r>
    </w:p>
    <w:p w14:paraId="7BBA33C9">
      <w:pPr>
        <w:numPr>
          <w:ilvl w:val="-1"/>
          <w:numId w:val="0"/>
        </w:numPr>
        <w:spacing w:line="600" w:lineRule="exact"/>
        <w:ind w:firstLine="640" w:firstLineChars="200"/>
        <w:jc w:val="both"/>
        <w:rPr>
          <w:rFonts w:hint="default"/>
          <w:lang w:val="en-US" w:eastAsia="zh-CN"/>
        </w:rPr>
      </w:pPr>
      <w:r>
        <w:rPr>
          <w:rFonts w:hint="eastAsia"/>
          <w:lang w:val="en-US" w:eastAsia="zh-CN"/>
        </w:rPr>
        <w:t>其中，</w:t>
      </w:r>
      <w:r>
        <w:rPr>
          <w:rFonts w:hint="default"/>
          <w:lang w:val="en-US" w:eastAsia="zh-CN"/>
        </w:rPr>
        <w:t>两项《指南》紧扣河流和湖库水生态系统特点，针对性地规定了水生生物的监测点位布设</w:t>
      </w:r>
      <w:r>
        <w:rPr>
          <w:rFonts w:hint="eastAsia"/>
          <w:lang w:val="en-US" w:eastAsia="zh-CN"/>
        </w:rPr>
        <w:t>、</w:t>
      </w:r>
      <w:r>
        <w:rPr>
          <w:rFonts w:hint="default"/>
          <w:lang w:val="en-US" w:eastAsia="zh-CN"/>
        </w:rPr>
        <w:t>监测频次、监测方法、质控</w:t>
      </w:r>
      <w:r>
        <w:rPr>
          <w:rFonts w:hint="eastAsia"/>
          <w:lang w:val="en-US" w:eastAsia="zh-CN"/>
        </w:rPr>
        <w:t>措施</w:t>
      </w:r>
      <w:r>
        <w:rPr>
          <w:rFonts w:hint="default"/>
          <w:lang w:val="en-US" w:eastAsia="zh-CN"/>
        </w:rPr>
        <w:t>、</w:t>
      </w:r>
      <w:r>
        <w:rPr>
          <w:rFonts w:hint="default" w:ascii="Times New Roman" w:hAnsi="Times New Roman"/>
          <w:lang w:val="en-US" w:eastAsia="zh-CN"/>
        </w:rPr>
        <w:t>评价</w:t>
      </w:r>
      <w:r>
        <w:rPr>
          <w:rFonts w:hint="default"/>
          <w:lang w:val="en-US" w:eastAsia="zh-CN"/>
        </w:rPr>
        <w:t>方法等技术内容</w:t>
      </w:r>
      <w:r>
        <w:rPr>
          <w:rFonts w:hint="eastAsia"/>
          <w:lang w:val="en-US" w:eastAsia="zh-CN"/>
        </w:rPr>
        <w:t>，</w:t>
      </w:r>
      <w:r>
        <w:rPr>
          <w:rFonts w:hint="default"/>
          <w:lang w:val="en-US" w:eastAsia="zh-CN"/>
        </w:rPr>
        <w:t>首次明确了不同水体监测和评价的代表性生物类群</w:t>
      </w:r>
      <w:r>
        <w:rPr>
          <w:rFonts w:hint="eastAsia"/>
          <w:lang w:val="en-US" w:eastAsia="zh-CN"/>
        </w:rPr>
        <w:t>。</w:t>
      </w:r>
      <w:r>
        <w:rPr>
          <w:rFonts w:hint="default"/>
          <w:lang w:val="en-US" w:eastAsia="zh-CN"/>
        </w:rPr>
        <w:t>其中，《水生态监测技术指南 河流水生生物监测与评价（试行）》主要针对着生藻类、大型底栖无脊椎动物、鱼类等三类具有河流水生态状况指示意义的生物开展</w:t>
      </w:r>
      <w:r>
        <w:rPr>
          <w:rFonts w:hint="eastAsia"/>
          <w:lang w:val="en-US" w:eastAsia="zh-CN"/>
        </w:rPr>
        <w:t>调查</w:t>
      </w:r>
      <w:r>
        <w:rPr>
          <w:rFonts w:hint="default"/>
          <w:lang w:val="en-US" w:eastAsia="zh-CN"/>
        </w:rPr>
        <w:t>；《水生态监测技术指南 湖泊和水库水生生物监测与评价（试行）》主要针对大型底栖无脊椎动物、浮游植物、浮游动物、大型水生植物、鱼类等五类具有湖库水生态状况指示意义的生物开展</w:t>
      </w:r>
      <w:r>
        <w:rPr>
          <w:rFonts w:hint="eastAsia"/>
          <w:lang w:val="en-US" w:eastAsia="zh-CN"/>
        </w:rPr>
        <w:t>调查</w:t>
      </w:r>
      <w:r>
        <w:rPr>
          <w:rFonts w:hint="default"/>
          <w:lang w:val="en-US" w:eastAsia="zh-CN"/>
        </w:rPr>
        <w:t>。</w:t>
      </w:r>
    </w:p>
    <w:p w14:paraId="18BDD636">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textAlignment w:val="auto"/>
        <w:rPr>
          <w:rFonts w:hint="default"/>
          <w:lang w:val="en-US" w:eastAsia="zh-CN"/>
        </w:rPr>
      </w:pPr>
      <w:bookmarkStart w:id="47" w:name="_Toc26166"/>
      <w:r>
        <w:rPr>
          <w:rFonts w:hint="eastAsia"/>
          <w:lang w:val="en-US" w:eastAsia="zh-CN"/>
        </w:rPr>
        <w:t>其他省份</w:t>
      </w:r>
      <w:bookmarkEnd w:id="47"/>
    </w:p>
    <w:p w14:paraId="1E1C2A03">
      <w:pPr>
        <w:keepNext w:val="0"/>
        <w:keepLines w:val="0"/>
        <w:pageBreakBefore w:val="0"/>
        <w:widowControl w:val="0"/>
        <w:kinsoku/>
        <w:wordWrap/>
        <w:overflowPunct/>
        <w:topLinePunct w:val="0"/>
        <w:autoSpaceDE/>
        <w:autoSpaceDN/>
        <w:bidi w:val="0"/>
        <w:adjustRightInd/>
        <w:snapToGrid/>
        <w:spacing w:after="0" w:line="600" w:lineRule="exact"/>
        <w:ind w:left="0" w:leftChars="0"/>
        <w:textAlignment w:val="auto"/>
        <w:rPr>
          <w:rFonts w:hint="eastAsia"/>
          <w:lang w:val="en-US" w:eastAsia="zh-CN"/>
        </w:rPr>
      </w:pPr>
      <w:r>
        <w:rPr>
          <w:rFonts w:hint="eastAsia"/>
          <w:lang w:val="en-US" w:eastAsia="zh-CN"/>
        </w:rPr>
        <w:t>浙江、北京、湖北等省份均已开展了丰富的水生态调查评价研究工作，并出台了相关规范标准。</w:t>
      </w:r>
    </w:p>
    <w:p w14:paraId="5C83F619">
      <w:pPr>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Chars="200"/>
        <w:textAlignment w:val="auto"/>
        <w:rPr>
          <w:rFonts w:hint="eastAsia"/>
          <w:lang w:val="en-US" w:eastAsia="zh-CN"/>
        </w:rPr>
      </w:pPr>
      <w:r>
        <w:rPr>
          <w:rFonts w:hint="eastAsia"/>
          <w:lang w:val="en-US" w:eastAsia="zh-CN"/>
        </w:rPr>
        <w:t>1.浙江省</w:t>
      </w:r>
    </w:p>
    <w:p w14:paraId="16276515">
      <w:pPr>
        <w:rPr>
          <w:rFonts w:hint="default"/>
          <w:lang w:val="en-US" w:eastAsia="zh-CN"/>
        </w:rPr>
      </w:pPr>
      <w:r>
        <w:rPr>
          <w:rFonts w:hint="default"/>
          <w:lang w:val="en-US" w:eastAsia="zh-CN"/>
        </w:rPr>
        <w:t>2021年，浙江省水利厅、生态环境厅等部门联合印发《浙江省河湖健康及水生态健康评价指南（试行）》，从水文、水质、形态、生物、社会服务、河湖管理6方面开展综合评价。2023年，</w:t>
      </w:r>
      <w:r>
        <w:rPr>
          <w:rFonts w:hint="eastAsia"/>
          <w:lang w:val="en-US" w:eastAsia="zh-CN"/>
        </w:rPr>
        <w:t>生态环境部门又牵头印发了《‌浙江省湖库水生态健康评价指南（试行）》‌，指导全省淡水湖泊和水库水生态健康状态监测和评价，</w:t>
      </w:r>
      <w:r>
        <w:rPr>
          <w:rFonts w:hint="default"/>
          <w:lang w:val="en-US" w:eastAsia="zh-CN"/>
        </w:rPr>
        <w:t>涵盖</w:t>
      </w:r>
      <w:r>
        <w:rPr>
          <w:rFonts w:hint="eastAsia"/>
          <w:lang w:val="en-US" w:eastAsia="zh-CN"/>
        </w:rPr>
        <w:t>了</w:t>
      </w:r>
      <w:r>
        <w:rPr>
          <w:rFonts w:hint="default"/>
          <w:lang w:val="en-US" w:eastAsia="zh-CN"/>
        </w:rPr>
        <w:t>水文、水质、形态、生物和社会服务等</w:t>
      </w:r>
      <w:r>
        <w:rPr>
          <w:rFonts w:hint="eastAsia"/>
          <w:lang w:val="en-US" w:eastAsia="zh-CN"/>
        </w:rPr>
        <w:t>5方面</w:t>
      </w:r>
      <w:r>
        <w:rPr>
          <w:rFonts w:hint="default"/>
          <w:lang w:val="en-US" w:eastAsia="zh-CN"/>
        </w:rPr>
        <w:t>共13个指标。</w:t>
      </w:r>
    </w:p>
    <w:p w14:paraId="2B94EF2F">
      <w:pPr>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Chars="200"/>
        <w:textAlignment w:val="auto"/>
        <w:rPr>
          <w:rFonts w:hint="eastAsia" w:ascii="Times New Roman" w:hAnsi="Times New Roman"/>
          <w:lang w:val="en-US" w:eastAsia="zh-CN"/>
        </w:rPr>
      </w:pPr>
      <w:r>
        <w:rPr>
          <w:rFonts w:hint="eastAsia" w:ascii="Times New Roman" w:hAnsi="Times New Roman"/>
          <w:lang w:val="en-US" w:eastAsia="zh-CN"/>
        </w:rPr>
        <w:t>2.北京市</w:t>
      </w:r>
    </w:p>
    <w:p w14:paraId="372B8FD7">
      <w:pPr>
        <w:keepNext w:val="0"/>
        <w:keepLines w:val="0"/>
        <w:pageBreakBefore w:val="0"/>
        <w:widowControl/>
        <w:kinsoku/>
        <w:wordWrap/>
        <w:overflowPunct/>
        <w:topLinePunct w:val="0"/>
        <w:autoSpaceDE/>
        <w:autoSpaceDN/>
        <w:bidi w:val="0"/>
        <w:adjustRightInd/>
        <w:snapToGrid/>
        <w:spacing w:after="0" w:line="600" w:lineRule="exact"/>
        <w:ind w:left="0" w:leftChars="0"/>
        <w:textAlignment w:val="auto"/>
        <w:rPr>
          <w:rFonts w:hint="default"/>
          <w:lang w:val="en-US" w:eastAsia="zh-CN"/>
        </w:rPr>
      </w:pPr>
      <w:r>
        <w:rPr>
          <w:rFonts w:hint="default"/>
          <w:lang w:val="en-US" w:eastAsia="zh-CN"/>
        </w:rPr>
        <w:t>2023年</w:t>
      </w:r>
      <w:r>
        <w:rPr>
          <w:rFonts w:hint="eastAsia"/>
          <w:lang w:val="en-US" w:eastAsia="zh-CN"/>
        </w:rPr>
        <w:t>，</w:t>
      </w:r>
      <w:r>
        <w:rPr>
          <w:rFonts w:hint="default"/>
          <w:lang w:val="en-US" w:eastAsia="zh-CN"/>
        </w:rPr>
        <w:t>北京市生态环境</w:t>
      </w:r>
      <w:r>
        <w:rPr>
          <w:rFonts w:hint="eastAsia"/>
          <w:lang w:val="en-US" w:eastAsia="zh-CN"/>
        </w:rPr>
        <w:t>局</w:t>
      </w:r>
      <w:r>
        <w:rPr>
          <w:rFonts w:hint="default"/>
          <w:lang w:val="en-US" w:eastAsia="zh-CN"/>
        </w:rPr>
        <w:t>牵头制定《河湖水生态环境质量监测与评价技术指南》地方标准，并征求意见，标准涵盖水质理化、水生生物、生境、水资源</w:t>
      </w:r>
      <w:r>
        <w:rPr>
          <w:rFonts w:hint="eastAsia"/>
          <w:lang w:val="en-US" w:eastAsia="zh-CN"/>
        </w:rPr>
        <w:t>4</w:t>
      </w:r>
      <w:r>
        <w:rPr>
          <w:rFonts w:hint="default"/>
          <w:lang w:val="en-US" w:eastAsia="zh-CN"/>
        </w:rPr>
        <w:t>方面内容</w:t>
      </w:r>
      <w:r>
        <w:rPr>
          <w:rFonts w:hint="eastAsia"/>
          <w:lang w:val="en-US" w:eastAsia="zh-CN"/>
        </w:rPr>
        <w:t>，</w:t>
      </w:r>
      <w:r>
        <w:rPr>
          <w:rFonts w:hint="default"/>
          <w:lang w:val="en-US" w:eastAsia="zh-CN"/>
        </w:rPr>
        <w:t>涉及26项指标，侧重水资源指标和水环境指标，尤其将高锰酸盐指数、氨氮、总磷、透明度等多项</w:t>
      </w:r>
      <w:r>
        <w:rPr>
          <w:rFonts w:hint="eastAsia"/>
          <w:lang w:val="en-US" w:eastAsia="zh-CN"/>
        </w:rPr>
        <w:t>反映</w:t>
      </w:r>
      <w:r>
        <w:rPr>
          <w:rFonts w:hint="default"/>
          <w:lang w:val="en-US" w:eastAsia="zh-CN"/>
        </w:rPr>
        <w:t>水质状况的指标单独分档评价，</w:t>
      </w:r>
      <w:r>
        <w:rPr>
          <w:rFonts w:hint="eastAsia"/>
          <w:lang w:val="en-US" w:eastAsia="zh-CN"/>
        </w:rPr>
        <w:t>强调</w:t>
      </w:r>
      <w:r>
        <w:rPr>
          <w:rFonts w:hint="default"/>
          <w:lang w:val="en-US" w:eastAsia="zh-CN"/>
        </w:rPr>
        <w:t>水质的关键性作用。</w:t>
      </w:r>
    </w:p>
    <w:p w14:paraId="31B29C07">
      <w:pPr>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Chars="200"/>
        <w:textAlignment w:val="auto"/>
        <w:rPr>
          <w:rFonts w:hint="eastAsia" w:ascii="Times New Roman" w:hAnsi="Times New Roman"/>
          <w:lang w:val="en-US" w:eastAsia="zh-CN"/>
        </w:rPr>
      </w:pPr>
      <w:r>
        <w:rPr>
          <w:rFonts w:hint="eastAsia" w:ascii="Times New Roman" w:hAnsi="Times New Roman"/>
          <w:lang w:val="en-US" w:eastAsia="zh-CN"/>
        </w:rPr>
        <w:t>3.湖北省</w:t>
      </w:r>
    </w:p>
    <w:p w14:paraId="75B316BA">
      <w:pPr>
        <w:bidi w:val="0"/>
        <w:rPr>
          <w:rFonts w:hint="eastAsia"/>
          <w:lang w:eastAsia="zh-CN"/>
        </w:rPr>
      </w:pPr>
      <w:r>
        <w:rPr>
          <w:rFonts w:hint="eastAsia"/>
          <w:lang w:val="en-US" w:eastAsia="zh-CN"/>
        </w:rPr>
        <w:t>2021年，湖北省由水利部门牵头制定了</w:t>
      </w:r>
      <w:r>
        <w:rPr>
          <w:rFonts w:hint="eastAsia"/>
        </w:rPr>
        <w:t>《湖北省河湖健康评估标准》</w:t>
      </w:r>
      <w:r>
        <w:rPr>
          <w:rFonts w:hint="eastAsia"/>
          <w:lang w:eastAsia="zh-CN"/>
        </w:rPr>
        <w:t>，</w:t>
      </w:r>
      <w:r>
        <w:rPr>
          <w:rFonts w:hint="eastAsia"/>
          <w:lang w:val="en-US" w:eastAsia="zh-CN"/>
        </w:rPr>
        <w:t>涵盖</w:t>
      </w:r>
      <w:r>
        <w:t>水文水资源、物理结构、水质状况、水生生物状况、社会服务功能、管理状况等6</w:t>
      </w:r>
      <w:r>
        <w:rPr>
          <w:rFonts w:hint="eastAsia"/>
          <w:lang w:val="en-US" w:eastAsia="zh-CN"/>
        </w:rPr>
        <w:t>方面内容，均</w:t>
      </w:r>
      <w:r>
        <w:rPr>
          <w:rFonts w:hint="eastAsia"/>
          <w:lang w:eastAsia="zh-CN"/>
        </w:rPr>
        <w:t>包含表征性（共性）和诊断性（个性）指标。</w:t>
      </w:r>
      <w:r>
        <w:rPr>
          <w:rFonts w:hint="eastAsia"/>
          <w:lang w:val="en-US" w:eastAsia="zh-CN"/>
        </w:rPr>
        <w:t>通过评价</w:t>
      </w:r>
      <w:r>
        <w:rPr>
          <w:rFonts w:hint="eastAsia"/>
          <w:lang w:eastAsia="zh-CN"/>
        </w:rPr>
        <w:t>表征性指标，快速判断河湖基本健康状况，在表征性指标得分较低的情况下，继续补充调查和</w:t>
      </w:r>
      <w:r>
        <w:rPr>
          <w:rFonts w:hint="eastAsia"/>
          <w:lang w:val="en-US" w:eastAsia="zh-CN"/>
        </w:rPr>
        <w:t>评价</w:t>
      </w:r>
      <w:r>
        <w:rPr>
          <w:rFonts w:hint="eastAsia"/>
          <w:lang w:eastAsia="zh-CN"/>
        </w:rPr>
        <w:t>诊断性指标，识别</w:t>
      </w:r>
      <w:r>
        <w:rPr>
          <w:rFonts w:hint="eastAsia"/>
          <w:lang w:val="en-US" w:eastAsia="zh-CN"/>
        </w:rPr>
        <w:t>流域</w:t>
      </w:r>
      <w:r>
        <w:rPr>
          <w:rFonts w:hint="eastAsia"/>
          <w:lang w:eastAsia="zh-CN"/>
        </w:rPr>
        <w:t>健康受损成因，可进一步明确河湖建设补短板的工作方向。</w:t>
      </w:r>
    </w:p>
    <w:p w14:paraId="40BA45DC">
      <w:pPr>
        <w:keepNext w:val="0"/>
        <w:keepLines w:val="0"/>
        <w:pageBreakBefore w:val="0"/>
        <w:widowControl/>
        <w:kinsoku/>
        <w:wordWrap/>
        <w:overflowPunct/>
        <w:topLinePunct w:val="0"/>
        <w:autoSpaceDE/>
        <w:autoSpaceDN/>
        <w:bidi w:val="0"/>
        <w:adjustRightInd/>
        <w:snapToGrid/>
        <w:spacing w:after="0" w:line="600" w:lineRule="exact"/>
        <w:ind w:left="0" w:leftChars="0"/>
        <w:textAlignment w:val="auto"/>
        <w:rPr>
          <w:rFonts w:hint="default"/>
          <w:lang w:val="en-US" w:eastAsia="zh-CN"/>
        </w:rPr>
      </w:pPr>
      <w:r>
        <w:rPr>
          <w:rFonts w:hint="eastAsia"/>
          <w:lang w:val="en-US" w:eastAsia="zh-CN"/>
        </w:rPr>
        <w:t>综上所述，国内河湖库水生态状况调查除传统的水质理化指标，还增加了生境、生物、水文等多种要素的综合调查；评价方法则是通过指标的加权求和构建综合评价指数，最终得到全面系统的水生态状况。</w:t>
      </w:r>
    </w:p>
    <w:p w14:paraId="05D4AF1B">
      <w:pPr>
        <w:pStyle w:val="2"/>
        <w:bidi w:val="0"/>
        <w:ind w:left="0" w:leftChars="0" w:firstLine="0" w:firstLineChars="0"/>
        <w:rPr>
          <w:rFonts w:hint="eastAsia"/>
          <w:highlight w:val="none"/>
          <w:lang w:val="en-US" w:eastAsia="zh-CN"/>
        </w:rPr>
      </w:pPr>
      <w:bookmarkStart w:id="48" w:name="_Toc22202"/>
      <w:r>
        <w:rPr>
          <w:rFonts w:hint="eastAsia"/>
          <w:highlight w:val="none"/>
          <w:lang w:val="en-US" w:eastAsia="zh-CN"/>
        </w:rPr>
        <w:t>地方标准编制原则</w:t>
      </w:r>
      <w:bookmarkEnd w:id="25"/>
      <w:bookmarkEnd w:id="43"/>
      <w:r>
        <w:rPr>
          <w:rFonts w:hint="eastAsia"/>
          <w:highlight w:val="none"/>
          <w:lang w:val="en-US" w:eastAsia="zh-CN"/>
        </w:rPr>
        <w:t>、主要技术内容和确定依据</w:t>
      </w:r>
      <w:bookmarkEnd w:id="44"/>
      <w:bookmarkEnd w:id="45"/>
      <w:bookmarkEnd w:id="48"/>
    </w:p>
    <w:p w14:paraId="46C50D9F">
      <w:pPr>
        <w:pStyle w:val="3"/>
        <w:rPr>
          <w:rFonts w:hint="eastAsia"/>
          <w:highlight w:val="none"/>
          <w:lang w:val="en-US" w:eastAsia="zh-CN"/>
        </w:rPr>
      </w:pPr>
      <w:bookmarkStart w:id="49" w:name="_Toc8896"/>
      <w:bookmarkStart w:id="50" w:name="_Toc23806"/>
      <w:bookmarkStart w:id="51" w:name="_Toc3573"/>
      <w:r>
        <w:rPr>
          <w:rFonts w:hint="eastAsia"/>
          <w:highlight w:val="none"/>
          <w:lang w:val="en-US" w:eastAsia="zh-CN"/>
        </w:rPr>
        <w:t>编制原则</w:t>
      </w:r>
      <w:bookmarkEnd w:id="49"/>
      <w:bookmarkEnd w:id="50"/>
      <w:bookmarkEnd w:id="51"/>
    </w:p>
    <w:p w14:paraId="1253197D">
      <w:pPr>
        <w:bidi w:val="0"/>
        <w:rPr>
          <w:rFonts w:hint="default"/>
          <w:highlight w:val="none"/>
          <w:lang w:val="en-US" w:eastAsia="zh-CN"/>
        </w:rPr>
      </w:pPr>
      <w:r>
        <w:rPr>
          <w:rFonts w:hint="eastAsia"/>
          <w:highlight w:val="none"/>
          <w:lang w:val="en-US" w:eastAsia="zh-CN"/>
        </w:rPr>
        <w:t>1.</w:t>
      </w:r>
      <w:r>
        <w:rPr>
          <w:rFonts w:hint="default"/>
          <w:highlight w:val="none"/>
          <w:lang w:val="en-US" w:eastAsia="zh-CN"/>
        </w:rPr>
        <w:t>系统性</w:t>
      </w:r>
    </w:p>
    <w:p w14:paraId="679AA22D">
      <w:pPr>
        <w:bidi w:val="0"/>
        <w:rPr>
          <w:rFonts w:hint="eastAsia"/>
          <w:highlight w:val="none"/>
          <w:lang w:val="en-US" w:eastAsia="zh-CN"/>
        </w:rPr>
      </w:pPr>
      <w:r>
        <w:rPr>
          <w:rFonts w:hint="eastAsia"/>
          <w:highlight w:val="none"/>
          <w:lang w:val="en-US" w:eastAsia="zh-CN"/>
        </w:rPr>
        <w:t>尊重自然规律，建立以水生态系统健康为核心，统筹推进水生境、水环境和水资源系统保护多位一体的指标体系。</w:t>
      </w:r>
    </w:p>
    <w:p w14:paraId="7F81B015">
      <w:pPr>
        <w:bidi w:val="0"/>
        <w:rPr>
          <w:rFonts w:hint="default" w:ascii="Times New Roman" w:hAnsi="Times New Roman"/>
          <w:highlight w:val="none"/>
          <w:lang w:val="en-US" w:eastAsia="zh-CN"/>
        </w:rPr>
      </w:pPr>
      <w:r>
        <w:rPr>
          <w:rFonts w:hint="eastAsia" w:ascii="Times New Roman" w:hAnsi="Times New Roman"/>
          <w:highlight w:val="none"/>
          <w:lang w:val="en-US" w:eastAsia="zh-CN"/>
        </w:rPr>
        <w:t>2.差异性</w:t>
      </w:r>
    </w:p>
    <w:p w14:paraId="78664B18">
      <w:pPr>
        <w:bidi w:val="0"/>
        <w:rPr>
          <w:rFonts w:hint="default"/>
          <w:highlight w:val="none"/>
          <w:lang w:val="en-US" w:eastAsia="zh-CN"/>
        </w:rPr>
      </w:pPr>
      <w:r>
        <w:rPr>
          <w:rFonts w:hint="default"/>
          <w:highlight w:val="none"/>
          <w:lang w:val="en-US" w:eastAsia="zh-CN"/>
        </w:rPr>
        <w:t>根据不同类型水体的水生态系统特征，按河流、湖库进行分类评价，并体现其流域特点。</w:t>
      </w:r>
    </w:p>
    <w:p w14:paraId="7ADE4996">
      <w:pPr>
        <w:bidi w:val="0"/>
        <w:rPr>
          <w:rFonts w:hint="default" w:ascii="Times New Roman" w:hAnsi="Times New Roman"/>
          <w:highlight w:val="none"/>
          <w:lang w:val="en-US" w:eastAsia="zh-CN"/>
        </w:rPr>
      </w:pPr>
      <w:r>
        <w:rPr>
          <w:rFonts w:hint="eastAsia" w:ascii="Times New Roman" w:hAnsi="Times New Roman"/>
          <w:highlight w:val="none"/>
          <w:lang w:val="en-US" w:eastAsia="zh-CN"/>
        </w:rPr>
        <w:t>3.针对性</w:t>
      </w:r>
    </w:p>
    <w:p w14:paraId="65A2D36E">
      <w:pPr>
        <w:bidi w:val="0"/>
        <w:rPr>
          <w:rFonts w:hint="default"/>
          <w:highlight w:val="none"/>
          <w:lang w:val="en-US" w:eastAsia="zh-CN"/>
        </w:rPr>
      </w:pPr>
      <w:r>
        <w:rPr>
          <w:rFonts w:hint="default"/>
          <w:highlight w:val="none"/>
          <w:lang w:val="en-US" w:eastAsia="zh-CN"/>
        </w:rPr>
        <w:t>聚焦</w:t>
      </w:r>
      <w:r>
        <w:rPr>
          <w:rFonts w:hint="eastAsia"/>
          <w:highlight w:val="none"/>
          <w:lang w:val="en-US" w:eastAsia="zh-CN"/>
        </w:rPr>
        <w:t>水体</w:t>
      </w:r>
      <w:r>
        <w:rPr>
          <w:rFonts w:hint="default"/>
          <w:highlight w:val="none"/>
          <w:lang w:val="en-US" w:eastAsia="zh-CN"/>
        </w:rPr>
        <w:t>突出问题，兼顾</w:t>
      </w:r>
      <w:r>
        <w:rPr>
          <w:rFonts w:hint="eastAsia"/>
          <w:highlight w:val="none"/>
          <w:lang w:val="en-US" w:eastAsia="zh-CN"/>
        </w:rPr>
        <w:t>流域</w:t>
      </w:r>
      <w:r>
        <w:rPr>
          <w:rFonts w:hint="default"/>
          <w:highlight w:val="none"/>
          <w:lang w:val="en-US" w:eastAsia="zh-CN"/>
        </w:rPr>
        <w:t>自然地理环境和经济社会发展状况，选择针对性指标</w:t>
      </w:r>
      <w:r>
        <w:rPr>
          <w:rFonts w:hint="eastAsia"/>
          <w:highlight w:val="none"/>
          <w:lang w:val="en-US" w:eastAsia="zh-CN"/>
        </w:rPr>
        <w:t>，引导地方开展水生态保护和修复。</w:t>
      </w:r>
    </w:p>
    <w:p w14:paraId="05E84EF6">
      <w:pPr>
        <w:bidi w:val="0"/>
        <w:rPr>
          <w:rFonts w:hint="eastAsia" w:ascii="Times New Roman" w:hAnsi="Times New Roman"/>
          <w:highlight w:val="none"/>
          <w:lang w:val="en-US" w:eastAsia="zh-CN"/>
        </w:rPr>
      </w:pPr>
      <w:r>
        <w:rPr>
          <w:rFonts w:hint="eastAsia" w:ascii="Times New Roman" w:hAnsi="Times New Roman"/>
          <w:highlight w:val="none"/>
          <w:lang w:val="en-US" w:eastAsia="zh-CN"/>
        </w:rPr>
        <w:t>4.可行性</w:t>
      </w:r>
    </w:p>
    <w:p w14:paraId="08C80C82">
      <w:pPr>
        <w:bidi w:val="0"/>
        <w:rPr>
          <w:rFonts w:hint="default"/>
          <w:highlight w:val="none"/>
          <w:lang w:val="en-US" w:eastAsia="zh-CN"/>
        </w:rPr>
      </w:pPr>
      <w:r>
        <w:rPr>
          <w:rFonts w:hint="eastAsia"/>
          <w:highlight w:val="none"/>
          <w:lang w:val="en-US" w:eastAsia="zh-CN"/>
        </w:rPr>
        <w:t>以国内外较为成熟的调查评价方法为基础，建立引导性强且易于推广的综合评价指标体系，确保指标易监测、易评价、易提升。</w:t>
      </w:r>
    </w:p>
    <w:p w14:paraId="64858650">
      <w:pPr>
        <w:bidi w:val="0"/>
        <w:rPr>
          <w:rFonts w:hint="eastAsia"/>
          <w:lang w:val="en-US" w:eastAsia="zh-CN"/>
        </w:rPr>
      </w:pPr>
      <w:r>
        <w:rPr>
          <w:rFonts w:hint="eastAsia"/>
          <w:highlight w:val="none"/>
          <w:lang w:val="en-US" w:eastAsia="zh-CN"/>
        </w:rPr>
        <w:t>该指南针对河湖库不同类型水体特点，基于国家、其他省份现有的调查评价规范性文件，重点研究适合山东省实际情况的水生态评价指标和方法，从而建立一套涵盖水生生物、水生境、水环境、水资源和社会服务等方面的河湖库水生态综合评价体系。</w:t>
      </w:r>
      <w:r>
        <w:rPr>
          <w:rFonts w:hint="eastAsia"/>
          <w:lang w:val="en-US" w:eastAsia="zh-CN"/>
        </w:rPr>
        <w:t>技术路线如图4-1所示。</w:t>
      </w:r>
    </w:p>
    <w:p w14:paraId="6F9E11C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highlight w:val="none"/>
        </w:rPr>
      </w:pPr>
      <w:r>
        <w:rPr>
          <w:highlight w:val="none"/>
        </w:rPr>
        <w:drawing>
          <wp:inline distT="0" distB="0" distL="114300" distR="114300">
            <wp:extent cx="4337050" cy="5059045"/>
            <wp:effectExtent l="0" t="0" r="6350" b="825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9"/>
                    <a:stretch>
                      <a:fillRect/>
                    </a:stretch>
                  </pic:blipFill>
                  <pic:spPr>
                    <a:xfrm>
                      <a:off x="0" y="0"/>
                      <a:ext cx="4337050" cy="5059045"/>
                    </a:xfrm>
                    <a:prstGeom prst="rect">
                      <a:avLst/>
                    </a:prstGeom>
                  </pic:spPr>
                </pic:pic>
              </a:graphicData>
            </a:graphic>
          </wp:inline>
        </w:drawing>
      </w:r>
    </w:p>
    <w:p w14:paraId="7E83BBA7">
      <w:pPr>
        <w:keepNext/>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outlineLvl w:val="9"/>
        <w:rPr>
          <w:rFonts w:hint="eastAsia" w:ascii="Times New Roman" w:hAnsi="Times New Roman" w:eastAsia="仿宋_GB2312" w:cs="Times New Roman"/>
          <w:b/>
          <w:bCs/>
          <w:color w:val="000000"/>
          <w:kern w:val="0"/>
          <w:sz w:val="28"/>
          <w:szCs w:val="28"/>
          <w:lang w:val="en-US" w:eastAsia="zh-CN" w:bidi="ar"/>
        </w:rPr>
      </w:pPr>
      <w:r>
        <w:rPr>
          <w:rFonts w:hint="eastAsia" w:ascii="Times New Roman" w:hAnsi="Times New Roman" w:eastAsia="仿宋_GB2312" w:cs="Times New Roman"/>
          <w:b/>
          <w:bCs/>
          <w:color w:val="000000"/>
          <w:kern w:val="0"/>
          <w:sz w:val="28"/>
          <w:szCs w:val="28"/>
          <w:lang w:val="en-US" w:eastAsia="zh-CN" w:bidi="ar"/>
        </w:rPr>
        <w:t>图4</w:t>
      </w:r>
      <w:r>
        <w:rPr>
          <w:rFonts w:hint="eastAsia" w:ascii="Times New Roman" w:hAnsi="Times New Roman" w:cs="Times New Roman"/>
          <w:b/>
          <w:bCs/>
          <w:color w:val="000000"/>
          <w:kern w:val="0"/>
          <w:sz w:val="28"/>
          <w:szCs w:val="28"/>
          <w:lang w:val="en-US" w:eastAsia="zh-CN" w:bidi="ar"/>
        </w:rPr>
        <w:t>-</w:t>
      </w:r>
      <w:r>
        <w:rPr>
          <w:rFonts w:hint="eastAsia" w:ascii="Times New Roman" w:hAnsi="Times New Roman" w:eastAsia="仿宋_GB2312" w:cs="Times New Roman"/>
          <w:b/>
          <w:bCs/>
          <w:color w:val="000000"/>
          <w:kern w:val="0"/>
          <w:sz w:val="28"/>
          <w:szCs w:val="28"/>
          <w:lang w:val="en-US" w:eastAsia="zh-CN" w:bidi="ar"/>
        </w:rPr>
        <w:t>1 标准编制技术路线图</w:t>
      </w:r>
    </w:p>
    <w:p w14:paraId="154612A0">
      <w:pPr>
        <w:pStyle w:val="3"/>
        <w:bidi w:val="0"/>
        <w:rPr>
          <w:rFonts w:hint="default"/>
          <w:highlight w:val="none"/>
          <w:lang w:val="en-US" w:eastAsia="zh-CN"/>
        </w:rPr>
      </w:pPr>
      <w:bookmarkStart w:id="52" w:name="_Toc16428"/>
      <w:bookmarkStart w:id="53" w:name="_Toc12835"/>
      <w:bookmarkStart w:id="54" w:name="_Toc8198"/>
      <w:r>
        <w:rPr>
          <w:rFonts w:hint="eastAsia"/>
          <w:highlight w:val="none"/>
          <w:lang w:val="en-US" w:eastAsia="zh-CN"/>
        </w:rPr>
        <w:t>主要技术内容</w:t>
      </w:r>
      <w:bookmarkEnd w:id="52"/>
    </w:p>
    <w:p w14:paraId="0AD41E52">
      <w:pPr>
        <w:rPr>
          <w:rFonts w:hint="default"/>
          <w:lang w:val="en-US" w:eastAsia="zh-CN"/>
        </w:rPr>
      </w:pPr>
      <w:r>
        <w:rPr>
          <w:rFonts w:hint="default"/>
          <w:lang w:val="en-US" w:eastAsia="zh-CN"/>
        </w:rPr>
        <w:t>本标准主要包括</w:t>
      </w:r>
      <w:r>
        <w:rPr>
          <w:rFonts w:hint="eastAsia"/>
          <w:lang w:val="en-US" w:eastAsia="zh-CN"/>
        </w:rPr>
        <w:t>适用</w:t>
      </w:r>
      <w:r>
        <w:rPr>
          <w:rFonts w:hint="default"/>
          <w:lang w:val="en-US" w:eastAsia="zh-CN"/>
        </w:rPr>
        <w:t>范围、规范性引用文件、术语和定义、水生态调查评价指标体系、水生态状况综合评价、水生态调查要求、质量保证与控制、评价报告要求</w:t>
      </w:r>
      <w:r>
        <w:rPr>
          <w:rFonts w:hint="eastAsia"/>
          <w:lang w:val="en-US" w:eastAsia="zh-CN"/>
        </w:rPr>
        <w:t>以及指标评价得分计算方法、报告大纲等附录内容</w:t>
      </w:r>
      <w:r>
        <w:rPr>
          <w:rFonts w:hint="default"/>
          <w:lang w:val="en-US" w:eastAsia="zh-CN"/>
        </w:rPr>
        <w:t>。以下就重要内容进行说明。</w:t>
      </w:r>
    </w:p>
    <w:p w14:paraId="176B4E4D">
      <w:pPr>
        <w:bidi w:val="0"/>
        <w:rPr>
          <w:rFonts w:hint="default"/>
          <w:lang w:val="en-US" w:eastAsia="zh-CN"/>
        </w:rPr>
      </w:pPr>
      <w:r>
        <w:rPr>
          <w:rFonts w:hint="eastAsia"/>
          <w:lang w:val="en-US" w:eastAsia="zh-CN"/>
        </w:rPr>
        <w:t>1.适用范围</w:t>
      </w:r>
    </w:p>
    <w:p w14:paraId="1778CBD2">
      <w:pPr>
        <w:rPr>
          <w:rFonts w:hint="default"/>
          <w:lang w:val="en-US" w:eastAsia="zh-CN"/>
        </w:rPr>
      </w:pPr>
      <w:r>
        <w:rPr>
          <w:rFonts w:hint="default"/>
          <w:lang w:val="en-US" w:eastAsia="zh-CN"/>
        </w:rPr>
        <w:t>本标准</w:t>
      </w:r>
      <w:r>
        <w:rPr>
          <w:rFonts w:hint="eastAsia"/>
          <w:lang w:val="en-US" w:eastAsia="zh-CN"/>
        </w:rPr>
        <w:t>是为了规范地开展山东省重点河湖库水生态调查评价工作构建的地方性标准，适用于山东省河流、湖库等地表水体的水生态调查评价。</w:t>
      </w:r>
    </w:p>
    <w:p w14:paraId="05B81ABB">
      <w:pPr>
        <w:bidi w:val="0"/>
        <w:rPr>
          <w:rFonts w:hint="default" w:ascii="Times New Roman" w:hAnsi="Times New Roman"/>
          <w:lang w:val="en-US" w:eastAsia="zh-CN"/>
        </w:rPr>
      </w:pPr>
      <w:r>
        <w:rPr>
          <w:rFonts w:hint="eastAsia" w:ascii="Times New Roman" w:hAnsi="Times New Roman"/>
          <w:lang w:val="en-US" w:eastAsia="zh-CN"/>
        </w:rPr>
        <w:t>2.</w:t>
      </w:r>
      <w:r>
        <w:rPr>
          <w:rFonts w:hint="default" w:ascii="Times New Roman" w:hAnsi="Times New Roman"/>
          <w:lang w:val="en-US" w:eastAsia="zh-CN"/>
        </w:rPr>
        <w:t>水生态调查评价指标体系</w:t>
      </w:r>
    </w:p>
    <w:p w14:paraId="553C60BA">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eastAsia"/>
          <w:lang w:val="en-US" w:eastAsia="zh-CN"/>
        </w:rPr>
        <w:t>（1）指标设置</w:t>
      </w:r>
    </w:p>
    <w:p w14:paraId="25FBFC33">
      <w:pPr>
        <w:keepNext/>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jc w:val="both"/>
        <w:textAlignment w:val="auto"/>
        <w:rPr>
          <w:rFonts w:hint="eastAsia"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①</w:t>
      </w:r>
      <w:r>
        <w:rPr>
          <w:rFonts w:hint="eastAsia" w:ascii="Times New Roman" w:hAnsi="Times New Roman" w:eastAsia="仿宋_GB2312" w:cs="Times New Roman"/>
          <w:color w:val="000000"/>
          <w:kern w:val="0"/>
          <w:sz w:val="32"/>
          <w:szCs w:val="32"/>
          <w:lang w:val="en-US" w:eastAsia="zh-CN" w:bidi="ar"/>
        </w:rPr>
        <w:t>全面调研梳理国内外水生态评价</w:t>
      </w:r>
      <w:r>
        <w:rPr>
          <w:rFonts w:hint="eastAsia" w:cs="Times New Roman"/>
          <w:color w:val="000000"/>
          <w:kern w:val="0"/>
          <w:sz w:val="32"/>
          <w:szCs w:val="32"/>
          <w:lang w:val="en-US" w:eastAsia="zh-CN" w:bidi="ar"/>
        </w:rPr>
        <w:t>指标</w:t>
      </w:r>
    </w:p>
    <w:p w14:paraId="639637E4">
      <w:pPr>
        <w:keepNext w:val="0"/>
        <w:keepLines w:val="0"/>
        <w:pageBreakBefore w:val="0"/>
        <w:widowControl w:val="0"/>
        <w:kinsoku/>
        <w:wordWrap/>
        <w:overflowPunct/>
        <w:topLinePunct w:val="0"/>
        <w:autoSpaceDE/>
        <w:autoSpaceDN/>
        <w:bidi w:val="0"/>
        <w:adjustRightInd/>
        <w:snapToGrid/>
        <w:textAlignment w:val="auto"/>
        <w:rPr>
          <w:rFonts w:hint="eastAsia"/>
          <w:highlight w:val="none"/>
          <w:lang w:val="en-US" w:eastAsia="zh-CN"/>
        </w:rPr>
      </w:pPr>
      <w:r>
        <w:rPr>
          <w:rFonts w:hint="eastAsia"/>
          <w:highlight w:val="none"/>
          <w:lang w:val="en-US" w:eastAsia="zh-CN"/>
        </w:rPr>
        <w:t>归纳、汇总国内外水生态调查与评价指标，筛选出191项指标形成指标筛选库。在此基础上，根据指标使用频度，筛选出61项常用的评价指标。</w:t>
      </w:r>
    </w:p>
    <w:p w14:paraId="543E22BD">
      <w:pPr>
        <w:keepNext w:val="0"/>
        <w:keepLines w:val="0"/>
        <w:pageBreakBefore w:val="0"/>
        <w:widowControl w:val="0"/>
        <w:kinsoku/>
        <w:wordWrap/>
        <w:overflowPunct/>
        <w:topLinePunct w:val="0"/>
        <w:autoSpaceDE/>
        <w:autoSpaceDN/>
        <w:bidi w:val="0"/>
        <w:adjustRightInd/>
        <w:snapToGrid/>
        <w:textAlignment w:val="auto"/>
        <w:rPr>
          <w:rFonts w:hint="eastAsia"/>
          <w:highlight w:val="none"/>
          <w:lang w:val="en-US" w:eastAsia="zh-CN"/>
        </w:rPr>
      </w:pPr>
      <w:r>
        <w:rPr>
          <w:rFonts w:hint="eastAsia"/>
          <w:highlight w:val="none"/>
          <w:lang w:val="en-US" w:eastAsia="zh-CN"/>
        </w:rPr>
        <w:t>总的来说，国内外水生态评价指标主要分为水生生物、水生境、水环境、水资源四大类。其中，水生生物指标中，使用频率较多的依次为鱼类、大型底栖动物、浮游植物、浮游动物、鸟类和水生植物等；水生境指标中，使用频次较多的有河流/湖泊连通性指数、蜿蜒度以及河岸带稳定性、植被覆盖率等；水环境指标中，使用较多的有溶解氧、总磷、总氮等常规理化指标，以及水体营养化指标；水资源指标中使用较多的是水位、流速、流量、水深、生态需水量满足程度等。</w:t>
      </w:r>
    </w:p>
    <w:p w14:paraId="5C4921FE">
      <w:pPr>
        <w:keepNext w:val="0"/>
        <w:keepLines w:val="0"/>
        <w:pageBreakBefore w:val="0"/>
        <w:widowControl w:val="0"/>
        <w:kinsoku/>
        <w:wordWrap/>
        <w:overflowPunct/>
        <w:topLinePunct w:val="0"/>
        <w:autoSpaceDE/>
        <w:autoSpaceDN/>
        <w:bidi w:val="0"/>
        <w:adjustRightInd/>
        <w:snapToGrid/>
        <w:textAlignment w:val="auto"/>
        <w:rPr>
          <w:rFonts w:hint="eastAsia"/>
          <w:highlight w:val="none"/>
          <w:lang w:val="en-US" w:eastAsia="zh-CN"/>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69B72138">
      <w:pPr>
        <w:keepNext/>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outlineLvl w:val="9"/>
        <w:rPr>
          <w:rFonts w:hint="default" w:ascii="Times New Roman" w:hAnsi="Times New Roman" w:eastAsia="仿宋_GB2312" w:cs="Times New Roman"/>
          <w:b/>
          <w:bCs/>
          <w:color w:val="000000"/>
          <w:kern w:val="0"/>
          <w:sz w:val="28"/>
          <w:szCs w:val="28"/>
          <w:highlight w:val="none"/>
          <w:lang w:val="en-US" w:eastAsia="zh-CN" w:bidi="ar"/>
        </w:rPr>
      </w:pPr>
      <w:r>
        <w:rPr>
          <w:rFonts w:hint="eastAsia" w:ascii="Times New Roman" w:hAnsi="Times New Roman" w:eastAsia="仿宋_GB2312" w:cs="Times New Roman"/>
          <w:b/>
          <w:bCs/>
          <w:color w:val="000000"/>
          <w:kern w:val="0"/>
          <w:sz w:val="28"/>
          <w:szCs w:val="28"/>
          <w:highlight w:val="none"/>
          <w:lang w:val="en-US" w:eastAsia="zh-CN" w:bidi="ar"/>
        </w:rPr>
        <w:t>表4</w:t>
      </w:r>
      <w:r>
        <w:rPr>
          <w:rFonts w:hint="eastAsia" w:ascii="Times New Roman" w:hAnsi="Times New Roman" w:cs="Times New Roman"/>
          <w:b/>
          <w:bCs/>
          <w:color w:val="000000"/>
          <w:kern w:val="0"/>
          <w:sz w:val="28"/>
          <w:szCs w:val="28"/>
          <w:highlight w:val="none"/>
          <w:lang w:val="en-US" w:eastAsia="zh-CN" w:bidi="ar"/>
        </w:rPr>
        <w:t>-</w:t>
      </w:r>
      <w:r>
        <w:rPr>
          <w:rFonts w:hint="eastAsia" w:ascii="Times New Roman" w:hAnsi="Times New Roman" w:eastAsia="仿宋_GB2312" w:cs="Times New Roman"/>
          <w:b/>
          <w:bCs/>
          <w:color w:val="000000"/>
          <w:kern w:val="0"/>
          <w:sz w:val="28"/>
          <w:szCs w:val="28"/>
          <w:highlight w:val="none"/>
          <w:lang w:val="en-US" w:eastAsia="zh-CN" w:bidi="ar"/>
        </w:rPr>
        <w:t>1 评价指标筛选库（191项）</w:t>
      </w:r>
    </w:p>
    <w:tbl>
      <w:tblPr>
        <w:tblStyle w:val="2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263"/>
        <w:gridCol w:w="12900"/>
      </w:tblGrid>
      <w:tr w14:paraId="69EC1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446" w:type="pct"/>
            <w:shd w:val="clear" w:color="auto" w:fill="auto"/>
            <w:vAlign w:val="center"/>
          </w:tcPr>
          <w:p w14:paraId="29D4F6C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highlight w:val="none"/>
                <w:u w:val="none"/>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类别</w:t>
            </w:r>
          </w:p>
        </w:tc>
        <w:tc>
          <w:tcPr>
            <w:tcW w:w="4553" w:type="pct"/>
            <w:shd w:val="clear" w:color="auto" w:fill="auto"/>
            <w:vAlign w:val="center"/>
          </w:tcPr>
          <w:p w14:paraId="4B5A41D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highlight w:val="none"/>
                <w:u w:val="none"/>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指标层</w:t>
            </w:r>
          </w:p>
        </w:tc>
      </w:tr>
      <w:tr w14:paraId="756C2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46" w:type="pct"/>
            <w:shd w:val="clear" w:color="auto" w:fill="auto"/>
            <w:vAlign w:val="center"/>
          </w:tcPr>
          <w:p w14:paraId="2B7AF6F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种类</w:t>
            </w:r>
          </w:p>
        </w:tc>
        <w:tc>
          <w:tcPr>
            <w:tcW w:w="4553" w:type="pct"/>
            <w:shd w:val="clear" w:color="auto" w:fill="auto"/>
            <w:vAlign w:val="center"/>
          </w:tcPr>
          <w:p w14:paraId="644727F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江豚、标志性鱼类/敏感鱼类、一般鱼类（耐受性、杂食性、肉食性）、大型水生植物、浮游植物、浮游动物、大型底栖动物、细菌、着生藻类、水鸟</w:t>
            </w:r>
          </w:p>
        </w:tc>
      </w:tr>
      <w:tr w14:paraId="5131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446" w:type="pct"/>
            <w:shd w:val="clear" w:color="auto" w:fill="auto"/>
            <w:vAlign w:val="center"/>
          </w:tcPr>
          <w:p w14:paraId="1CFA9BA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个体</w:t>
            </w:r>
          </w:p>
        </w:tc>
        <w:tc>
          <w:tcPr>
            <w:tcW w:w="4553" w:type="pct"/>
            <w:shd w:val="clear" w:color="auto" w:fill="auto"/>
            <w:vAlign w:val="center"/>
          </w:tcPr>
          <w:p w14:paraId="071F218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形态、异常状态、行为、生物富集、生物耐受性、存活率、珍稀水生动物存活状况</w:t>
            </w:r>
          </w:p>
        </w:tc>
      </w:tr>
      <w:tr w14:paraId="7D4D3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46" w:type="pct"/>
            <w:shd w:val="clear" w:color="auto" w:fill="auto"/>
            <w:vAlign w:val="center"/>
          </w:tcPr>
          <w:p w14:paraId="1B28ED9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种群</w:t>
            </w:r>
          </w:p>
        </w:tc>
        <w:tc>
          <w:tcPr>
            <w:tcW w:w="4553" w:type="pct"/>
            <w:shd w:val="clear" w:color="auto" w:fill="auto"/>
            <w:vAlign w:val="center"/>
          </w:tcPr>
          <w:p w14:paraId="6853808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丰富度、种群数量增长、生物量、优势种比例、密度、敏感种单元比例、敏感鱼数量百分比、中上层鱼数量百分比、底层鱼数量百分比、相对丰度、耐污种分类单元比例、体长组成、年龄结构、外来物种数量、捕食者动物占比、撕食者动物比例、集食者比例、粘附性无脊椎动物百分比</w:t>
            </w:r>
          </w:p>
        </w:tc>
      </w:tr>
      <w:tr w14:paraId="14359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446" w:type="pct"/>
            <w:shd w:val="clear" w:color="auto" w:fill="auto"/>
            <w:vAlign w:val="center"/>
          </w:tcPr>
          <w:p w14:paraId="1F10116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群落</w:t>
            </w:r>
          </w:p>
        </w:tc>
        <w:tc>
          <w:tcPr>
            <w:tcW w:w="4553" w:type="pct"/>
            <w:shd w:val="clear" w:color="auto" w:fill="auto"/>
            <w:vAlign w:val="center"/>
          </w:tcPr>
          <w:p w14:paraId="747753E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耐受性（Hilsenhoff指数</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SIGNAL指数</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IBI生物完整性指数），多样性（Shannon-Wiener指数</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Simpson指数</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均匀度），丰富度（类别数</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个体数量</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各类别中个体数量）</w:t>
            </w:r>
          </w:p>
        </w:tc>
      </w:tr>
      <w:tr w14:paraId="0BE92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446" w:type="pct"/>
            <w:shd w:val="clear" w:color="auto" w:fill="auto"/>
            <w:vAlign w:val="center"/>
          </w:tcPr>
          <w:p w14:paraId="0536F1C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生态系统过程</w:t>
            </w:r>
          </w:p>
        </w:tc>
        <w:tc>
          <w:tcPr>
            <w:tcW w:w="4553" w:type="pct"/>
            <w:shd w:val="clear" w:color="auto" w:fill="auto"/>
            <w:vAlign w:val="center"/>
          </w:tcPr>
          <w:p w14:paraId="3B956DA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呼吸作用、初级生产力、代谢过程、分解过程</w:t>
            </w:r>
          </w:p>
        </w:tc>
      </w:tr>
      <w:tr w14:paraId="0781E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46" w:type="pct"/>
            <w:shd w:val="clear" w:color="auto" w:fill="auto"/>
            <w:vAlign w:val="center"/>
          </w:tcPr>
          <w:p w14:paraId="467C335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河湖形态</w:t>
            </w:r>
          </w:p>
        </w:tc>
        <w:tc>
          <w:tcPr>
            <w:tcW w:w="4553" w:type="pct"/>
            <w:shd w:val="clear" w:color="auto" w:fill="auto"/>
            <w:vAlign w:val="center"/>
          </w:tcPr>
          <w:p w14:paraId="60E74EA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河流连通性、湖泊连通指数、生境单元连通性、天然河床比例、适宜生境数量、蜿蜒度、河谷形态、距河源距离、水面宽</w:t>
            </w:r>
            <w:r>
              <w:rPr>
                <w:rFonts w:hint="eastAsia" w:cs="Times New Roman"/>
                <w:i w:val="0"/>
                <w:iCs w:val="0"/>
                <w:color w:val="000000"/>
                <w:kern w:val="0"/>
                <w:sz w:val="24"/>
                <w:szCs w:val="24"/>
                <w:highlight w:val="none"/>
                <w:u w:val="none"/>
                <w:lang w:val="en-US" w:eastAsia="zh-CN" w:bidi="ar"/>
              </w:rPr>
              <w:t>度</w:t>
            </w:r>
            <w:r>
              <w:rPr>
                <w:rFonts w:hint="default" w:ascii="Times New Roman" w:hAnsi="Times New Roman" w:eastAsia="仿宋_GB2312" w:cs="Times New Roman"/>
                <w:i w:val="0"/>
                <w:iCs w:val="0"/>
                <w:color w:val="000000"/>
                <w:kern w:val="0"/>
                <w:sz w:val="24"/>
                <w:szCs w:val="24"/>
                <w:highlight w:val="none"/>
                <w:u w:val="none"/>
                <w:lang w:val="en-US" w:eastAsia="zh-CN" w:bidi="ar"/>
              </w:rPr>
              <w:t>、滩槽比、河长、流域面积、沙梗/沙坝分布、闸坝密度、河道遮阴率、水利工程数量、湖泊面积萎缩比例、沙洲面积变化</w:t>
            </w:r>
          </w:p>
        </w:tc>
      </w:tr>
      <w:tr w14:paraId="4070C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wAfter w:w="0" w:type="auto"/>
          <w:trHeight w:val="560" w:hRule="atLeast"/>
        </w:trPr>
        <w:tc>
          <w:tcPr>
            <w:tcW w:w="446" w:type="pct"/>
            <w:shd w:val="clear" w:color="auto" w:fill="auto"/>
            <w:vAlign w:val="center"/>
          </w:tcPr>
          <w:p w14:paraId="66596FB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河床/沉积物</w:t>
            </w:r>
          </w:p>
        </w:tc>
        <w:tc>
          <w:tcPr>
            <w:tcW w:w="4553" w:type="pct"/>
            <w:shd w:val="clear" w:color="auto" w:fill="auto"/>
            <w:vAlign w:val="center"/>
          </w:tcPr>
          <w:p w14:paraId="7BF8041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河床稳定性、栖息地状况、栖息地复杂性、大型木质残体分布、木质碎片量、天然河床比例、底质结构、基质类型及尺寸、沉积物堆积、沉积物污染状况、卵石数量</w:t>
            </w:r>
          </w:p>
        </w:tc>
      </w:tr>
      <w:tr w14:paraId="06990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46" w:type="pct"/>
            <w:shd w:val="clear" w:color="auto" w:fill="auto"/>
            <w:vAlign w:val="center"/>
          </w:tcPr>
          <w:p w14:paraId="1CB9D18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岸线带</w:t>
            </w:r>
          </w:p>
        </w:tc>
        <w:tc>
          <w:tcPr>
            <w:tcW w:w="4553" w:type="pct"/>
            <w:shd w:val="clear" w:color="auto" w:fill="auto"/>
            <w:vAlign w:val="center"/>
          </w:tcPr>
          <w:p w14:paraId="6B29694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河岸带土地利用类型、岸带植被覆盖率、天然植被覆盖率、自然岸线比例、河岸稳定性、湿地保有率、栖息地状况、土壤侵蚀、河岸改造、河滩利用、河道护岸变化、河岸自然状况、违规开发利用水域岸线程度、绿化效果、河漫滩面积变化</w:t>
            </w:r>
          </w:p>
        </w:tc>
      </w:tr>
      <w:tr w14:paraId="52825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60" w:hRule="atLeast"/>
        </w:trPr>
        <w:tc>
          <w:tcPr>
            <w:tcW w:w="446" w:type="pct"/>
            <w:shd w:val="clear" w:color="auto" w:fill="auto"/>
            <w:vAlign w:val="center"/>
          </w:tcPr>
          <w:p w14:paraId="0D5B94A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陆域</w:t>
            </w:r>
          </w:p>
        </w:tc>
        <w:tc>
          <w:tcPr>
            <w:tcW w:w="4553" w:type="pct"/>
            <w:shd w:val="clear" w:color="auto" w:fill="auto"/>
            <w:vAlign w:val="center"/>
          </w:tcPr>
          <w:p w14:paraId="6CEEC2E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河道内人类活动强度、森林覆盖度、景观破碎度、土壤保持功能指数、受保护区面积占国土面积比例、建设用地比例</w:t>
            </w:r>
          </w:p>
        </w:tc>
      </w:tr>
      <w:tr w14:paraId="16271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13" w:hRule="atLeast"/>
        </w:trPr>
        <w:tc>
          <w:tcPr>
            <w:tcW w:w="446" w:type="pct"/>
            <w:shd w:val="clear" w:color="auto" w:fill="auto"/>
            <w:vAlign w:val="center"/>
          </w:tcPr>
          <w:p w14:paraId="274045D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水质</w:t>
            </w:r>
          </w:p>
        </w:tc>
        <w:tc>
          <w:tcPr>
            <w:tcW w:w="4553" w:type="pct"/>
            <w:shd w:val="clear" w:color="auto" w:fill="auto"/>
            <w:vAlign w:val="center"/>
          </w:tcPr>
          <w:p w14:paraId="5B0252B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水质状况指数、水体营养化指数、水质优劣程度、饮用水源地达标状况、水功能区达标率、氧化还原电位、盐度、电导率、水质达标率、水温、pH值、浊度、悬浮物、溶解氧、流速、碱度、总磷、BOD</w:t>
            </w:r>
            <w:r>
              <w:rPr>
                <w:rFonts w:hint="default" w:ascii="Times New Roman" w:hAnsi="Times New Roman" w:eastAsia="仿宋_GB2312" w:cs="Times New Roman"/>
                <w:i w:val="0"/>
                <w:iCs w:val="0"/>
                <w:color w:val="000000"/>
                <w:kern w:val="0"/>
                <w:sz w:val="24"/>
                <w:szCs w:val="24"/>
                <w:highlight w:val="none"/>
                <w:u w:val="none"/>
                <w:vertAlign w:val="subscript"/>
                <w:lang w:val="en-US" w:eastAsia="zh-CN" w:bidi="ar"/>
              </w:rPr>
              <w:t>5</w:t>
            </w:r>
            <w:r>
              <w:rPr>
                <w:rFonts w:hint="default" w:ascii="Times New Roman" w:hAnsi="Times New Roman" w:eastAsia="仿宋_GB2312" w:cs="Times New Roman"/>
                <w:i w:val="0"/>
                <w:iCs w:val="0"/>
                <w:color w:val="000000"/>
                <w:kern w:val="0"/>
                <w:sz w:val="24"/>
                <w:szCs w:val="24"/>
                <w:highlight w:val="none"/>
                <w:u w:val="none"/>
                <w:lang w:val="en-US" w:eastAsia="zh-CN" w:bidi="ar"/>
              </w:rPr>
              <w:t>、总氮、大肠杆菌、活性磷、硝态氮、氨氮、游离氨、重金属、氰化物、农药类、痕量有毒有害有机物、排污口合理布局程度、汇水水质情况、叶绿素</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点源污染排放指数、面源污染排放指数、污染阻滞功能指数、生态水系治理度</w:t>
            </w:r>
          </w:p>
        </w:tc>
      </w:tr>
      <w:tr w14:paraId="29253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46" w:type="pct"/>
            <w:shd w:val="clear" w:color="auto" w:fill="auto"/>
            <w:vAlign w:val="center"/>
          </w:tcPr>
          <w:p w14:paraId="7536D8B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水文</w:t>
            </w:r>
          </w:p>
        </w:tc>
        <w:tc>
          <w:tcPr>
            <w:tcW w:w="4553" w:type="pct"/>
            <w:shd w:val="clear" w:color="auto" w:fill="auto"/>
            <w:vAlign w:val="center"/>
          </w:tcPr>
          <w:p w14:paraId="3591F8C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年平均降水、水体更新周期、径流量、水深、水位、径流时间、年地表径流率、枯水期径流量占同期年径流量比例、水资源开发利用率、流量过程变异程度、生态流量、最低水位、汛期平均流量、年洪水次数、洪水平均历时、水源涵养功能、与地下水联系</w:t>
            </w:r>
          </w:p>
        </w:tc>
      </w:tr>
      <w:tr w14:paraId="5E1D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446" w:type="pct"/>
            <w:shd w:val="clear" w:color="auto" w:fill="auto"/>
            <w:vAlign w:val="center"/>
          </w:tcPr>
          <w:p w14:paraId="4B8CC23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高程</w:t>
            </w:r>
          </w:p>
        </w:tc>
        <w:tc>
          <w:tcPr>
            <w:tcW w:w="4553" w:type="pct"/>
            <w:shd w:val="clear" w:color="auto" w:fill="auto"/>
            <w:vAlign w:val="center"/>
          </w:tcPr>
          <w:p w14:paraId="70B0C52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海拔、比降、高程</w:t>
            </w:r>
          </w:p>
        </w:tc>
      </w:tr>
      <w:tr w14:paraId="47B3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446" w:type="pct"/>
            <w:shd w:val="clear" w:color="auto" w:fill="auto"/>
            <w:vAlign w:val="center"/>
          </w:tcPr>
          <w:p w14:paraId="6DAEECA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社会服务</w:t>
            </w:r>
          </w:p>
        </w:tc>
        <w:tc>
          <w:tcPr>
            <w:tcW w:w="4553" w:type="pct"/>
            <w:shd w:val="clear" w:color="auto" w:fill="auto"/>
            <w:vAlign w:val="center"/>
          </w:tcPr>
          <w:p w14:paraId="260BDFB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lang w:val="en-US"/>
              </w:rPr>
            </w:pPr>
            <w:r>
              <w:rPr>
                <w:rFonts w:hint="default" w:ascii="Times New Roman" w:hAnsi="Times New Roman" w:eastAsia="仿宋_GB2312" w:cs="Times New Roman"/>
                <w:i w:val="0"/>
                <w:iCs w:val="0"/>
                <w:color w:val="000000"/>
                <w:kern w:val="0"/>
                <w:sz w:val="24"/>
                <w:szCs w:val="24"/>
                <w:highlight w:val="none"/>
                <w:u w:val="none"/>
                <w:lang w:val="en-US" w:eastAsia="zh-CN" w:bidi="ar"/>
              </w:rPr>
              <w:t>公众满意度、防洪指标、供水指标、航运指标、节水宣传教育、供水管网漏失率、亲水景观、长效管护</w:t>
            </w:r>
          </w:p>
        </w:tc>
      </w:tr>
    </w:tbl>
    <w:p w14:paraId="3F83955F">
      <w:pPr>
        <w:bidi w:val="0"/>
        <w:rPr>
          <w:rFonts w:hint="default"/>
          <w:highlight w:val="none"/>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3E648ADC">
      <w:pPr>
        <w:keepNext/>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outlineLvl w:val="9"/>
        <w:rPr>
          <w:rFonts w:hint="eastAsia" w:ascii="Times New Roman" w:hAnsi="Times New Roman" w:eastAsia="仿宋_GB2312" w:cs="Times New Roman"/>
          <w:b/>
          <w:bCs/>
          <w:color w:val="000000"/>
          <w:kern w:val="0"/>
          <w:sz w:val="28"/>
          <w:szCs w:val="28"/>
          <w:lang w:val="en-US" w:eastAsia="zh-CN" w:bidi="ar"/>
        </w:rPr>
      </w:pPr>
      <w:r>
        <w:rPr>
          <w:rFonts w:hint="eastAsia" w:ascii="Times New Roman" w:hAnsi="Times New Roman" w:eastAsia="仿宋_GB2312" w:cs="Times New Roman"/>
          <w:b/>
          <w:bCs/>
          <w:color w:val="000000"/>
          <w:kern w:val="0"/>
          <w:sz w:val="28"/>
          <w:szCs w:val="28"/>
          <w:lang w:val="en-US" w:eastAsia="zh-CN" w:bidi="ar"/>
        </w:rPr>
        <w:t>表</w:t>
      </w:r>
      <w:r>
        <w:rPr>
          <w:rFonts w:hint="eastAsia" w:ascii="Times New Roman" w:hAnsi="Times New Roman" w:cs="Times New Roman"/>
          <w:b/>
          <w:bCs/>
          <w:color w:val="000000"/>
          <w:kern w:val="0"/>
          <w:sz w:val="28"/>
          <w:szCs w:val="28"/>
          <w:lang w:val="en-US" w:eastAsia="zh-CN" w:bidi="ar"/>
        </w:rPr>
        <w:t>4-</w:t>
      </w:r>
      <w:r>
        <w:rPr>
          <w:rFonts w:hint="eastAsia" w:ascii="Times New Roman" w:hAnsi="Times New Roman" w:eastAsia="仿宋_GB2312" w:cs="Times New Roman"/>
          <w:b/>
          <w:bCs/>
          <w:color w:val="000000"/>
          <w:kern w:val="0"/>
          <w:sz w:val="28"/>
          <w:szCs w:val="28"/>
          <w:lang w:val="en-US" w:eastAsia="zh-CN" w:bidi="ar"/>
        </w:rPr>
        <w:t>2 评价指标初选库（61项）</w:t>
      </w:r>
    </w:p>
    <w:tbl>
      <w:tblPr>
        <w:tblStyle w:val="25"/>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9"/>
        <w:gridCol w:w="1418"/>
        <w:gridCol w:w="6854"/>
      </w:tblGrid>
      <w:tr w14:paraId="53D59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67"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138BF08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top"/>
              <w:rPr>
                <w:rFonts w:hint="default" w:ascii="Times New Roman" w:hAnsi="Times New Roman" w:eastAsia="仿宋_GB2312" w:cs="Times New Roman"/>
                <w:b/>
                <w:bCs/>
                <w:i w:val="0"/>
                <w:iCs w:val="0"/>
                <w:color w:val="000000"/>
                <w:sz w:val="24"/>
                <w:szCs w:val="24"/>
                <w:highlight w:val="none"/>
                <w:u w:val="none"/>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类别</w:t>
            </w:r>
          </w:p>
        </w:tc>
        <w:tc>
          <w:tcPr>
            <w:tcW w:w="3832" w:type="pct"/>
            <w:tcBorders>
              <w:top w:val="single" w:color="000000" w:sz="4" w:space="0"/>
              <w:left w:val="single" w:color="000000" w:sz="4" w:space="0"/>
              <w:bottom w:val="single" w:color="000000" w:sz="4" w:space="0"/>
              <w:right w:val="single" w:color="000000" w:sz="4" w:space="0"/>
            </w:tcBorders>
            <w:shd w:val="clear" w:color="auto" w:fill="auto"/>
            <w:vAlign w:val="top"/>
          </w:tcPr>
          <w:p w14:paraId="3E2D5DF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top"/>
              <w:rPr>
                <w:rFonts w:hint="default" w:ascii="Times New Roman" w:hAnsi="Times New Roman" w:eastAsia="仿宋_GB2312" w:cs="Times New Roman"/>
                <w:b/>
                <w:bCs/>
                <w:i w:val="0"/>
                <w:iCs w:val="0"/>
                <w:color w:val="000000"/>
                <w:sz w:val="24"/>
                <w:szCs w:val="24"/>
                <w:highlight w:val="none"/>
                <w:u w:val="none"/>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指标层</w:t>
            </w:r>
          </w:p>
        </w:tc>
      </w:tr>
      <w:tr w14:paraId="4D297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5" w:hRule="atLeast"/>
        </w:trPr>
        <w:tc>
          <w:tcPr>
            <w:tcW w:w="3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EE758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40"/>
                <w:rFonts w:hint="default" w:ascii="Times New Roman" w:hAnsi="Times New Roman" w:eastAsia="仿宋_GB2312" w:cs="Times New Roman"/>
                <w:sz w:val="24"/>
                <w:szCs w:val="24"/>
                <w:highlight w:val="none"/>
                <w:lang w:val="en-US" w:eastAsia="zh-CN" w:bidi="ar"/>
              </w:rPr>
            </w:pPr>
          </w:p>
          <w:p w14:paraId="5A64924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highlight w:val="none"/>
                <w:u w:val="none"/>
              </w:rPr>
            </w:pPr>
            <w:r>
              <w:rPr>
                <w:rStyle w:val="40"/>
                <w:rFonts w:hint="default" w:ascii="Times New Roman" w:hAnsi="Times New Roman" w:eastAsia="仿宋_GB2312" w:cs="Times New Roman"/>
                <w:sz w:val="24"/>
                <w:szCs w:val="24"/>
                <w:highlight w:val="none"/>
                <w:lang w:val="en-US" w:eastAsia="zh-CN" w:bidi="ar"/>
              </w:rPr>
              <w:t>水生生物</w:t>
            </w: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7570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种类</w:t>
            </w:r>
          </w:p>
        </w:tc>
        <w:tc>
          <w:tcPr>
            <w:tcW w:w="3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915D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标志性/敏感性鱼类（415）、一般鱼类（174）、浮游植物（125）、浮游动物（75）、大型底栖动物（163）、鸟类（42）、大型水生植物（8）</w:t>
            </w:r>
          </w:p>
        </w:tc>
      </w:tr>
      <w:tr w14:paraId="3B9F3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8B42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bCs/>
                <w:i w:val="0"/>
                <w:iCs w:val="0"/>
                <w:color w:val="000000"/>
                <w:sz w:val="24"/>
                <w:szCs w:val="24"/>
                <w:highlight w:val="none"/>
                <w:u w:val="none"/>
              </w:rPr>
            </w:pP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A108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个体</w:t>
            </w:r>
          </w:p>
        </w:tc>
        <w:tc>
          <w:tcPr>
            <w:tcW w:w="3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E948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形态（170）、珍稀水生动物存活状况（103）、异常状态（140）、生物耐受性（61）、江豚（30）</w:t>
            </w:r>
          </w:p>
        </w:tc>
      </w:tr>
      <w:tr w14:paraId="10928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0" w:hRule="atLeast"/>
        </w:trPr>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A144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bCs/>
                <w:i w:val="0"/>
                <w:iCs w:val="0"/>
                <w:color w:val="000000"/>
                <w:sz w:val="24"/>
                <w:szCs w:val="24"/>
                <w:highlight w:val="none"/>
                <w:u w:val="none"/>
              </w:rPr>
            </w:pP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B8B8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种群</w:t>
            </w:r>
          </w:p>
        </w:tc>
        <w:tc>
          <w:tcPr>
            <w:tcW w:w="3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CE58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丰度（254）、密度（209）、丰富度（192）、体长组成（198）、生物量（143）、渔获量/单位捕捞渔获量（109）、敏感种比例（180）、优势种比例（128）、鲤科（73）、洄游性鱼类（64）、耐污种比例（81）、土著鱼类（25）、捕食性鱼类（35）、杂食性鱼类（31）</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外来物种（90）</w:t>
            </w:r>
          </w:p>
        </w:tc>
      </w:tr>
      <w:tr w14:paraId="418A9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26D9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bCs/>
                <w:i w:val="0"/>
                <w:iCs w:val="0"/>
                <w:color w:val="000000"/>
                <w:sz w:val="24"/>
                <w:szCs w:val="24"/>
                <w:highlight w:val="none"/>
                <w:u w:val="none"/>
              </w:rPr>
            </w:pP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F002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群落</w:t>
            </w:r>
          </w:p>
        </w:tc>
        <w:tc>
          <w:tcPr>
            <w:tcW w:w="3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3CFA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多样性（389）、IBI生物完整性指数（383）、耐受性（61）、均匀度（47）</w:t>
            </w:r>
          </w:p>
        </w:tc>
      </w:tr>
      <w:tr w14:paraId="72A9D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3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152F1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highlight w:val="none"/>
                <w:u w:val="none"/>
              </w:rPr>
            </w:pPr>
            <w:r>
              <w:rPr>
                <w:rStyle w:val="40"/>
                <w:rFonts w:hint="eastAsia" w:ascii="仿宋_GB2312" w:hAnsi="仿宋_GB2312" w:eastAsia="仿宋_GB2312" w:cs="仿宋_GB2312"/>
                <w:sz w:val="24"/>
                <w:szCs w:val="24"/>
                <w:highlight w:val="none"/>
                <w:lang w:val="en-US" w:eastAsia="zh-CN" w:bidi="ar"/>
              </w:rPr>
              <w:t>水</w:t>
            </w:r>
            <w:r>
              <w:rPr>
                <w:rStyle w:val="40"/>
                <w:rFonts w:hint="default" w:ascii="Times New Roman" w:hAnsi="Times New Roman" w:eastAsia="仿宋_GB2312" w:cs="Times New Roman"/>
                <w:sz w:val="24"/>
                <w:szCs w:val="24"/>
                <w:highlight w:val="none"/>
                <w:lang w:val="en-US" w:eastAsia="zh-CN" w:bidi="ar"/>
              </w:rPr>
              <w:t>生境</w:t>
            </w: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97ED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纵向连通性</w:t>
            </w:r>
          </w:p>
        </w:tc>
        <w:tc>
          <w:tcPr>
            <w:tcW w:w="3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0FB7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河流连通性（28）、湖泊连通指数（12）、蜿蜒度（6）</w:t>
            </w:r>
          </w:p>
        </w:tc>
      </w:tr>
      <w:tr w14:paraId="044D6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4DA7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bCs/>
                <w:i w:val="0"/>
                <w:iCs w:val="0"/>
                <w:color w:val="000000"/>
                <w:sz w:val="24"/>
                <w:szCs w:val="24"/>
                <w:highlight w:val="none"/>
                <w:u w:val="none"/>
              </w:rPr>
            </w:pP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5378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横向连通性</w:t>
            </w:r>
          </w:p>
        </w:tc>
        <w:tc>
          <w:tcPr>
            <w:tcW w:w="3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F015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河岸带稳定性（24）、水面宽</w:t>
            </w:r>
            <w:r>
              <w:rPr>
                <w:rFonts w:hint="eastAsia" w:cs="Times New Roman"/>
                <w:i w:val="0"/>
                <w:iCs w:val="0"/>
                <w:color w:val="000000"/>
                <w:kern w:val="0"/>
                <w:sz w:val="24"/>
                <w:szCs w:val="24"/>
                <w:highlight w:val="none"/>
                <w:u w:val="none"/>
                <w:lang w:val="en-US" w:eastAsia="zh-CN" w:bidi="ar"/>
              </w:rPr>
              <w:t>度</w:t>
            </w:r>
            <w:r>
              <w:rPr>
                <w:rFonts w:hint="default" w:ascii="Times New Roman" w:hAnsi="Times New Roman" w:eastAsia="仿宋_GB2312" w:cs="Times New Roman"/>
                <w:i w:val="0"/>
                <w:iCs w:val="0"/>
                <w:color w:val="000000"/>
                <w:kern w:val="0"/>
                <w:sz w:val="24"/>
                <w:szCs w:val="24"/>
                <w:highlight w:val="none"/>
                <w:u w:val="none"/>
                <w:lang w:val="en-US" w:eastAsia="zh-CN" w:bidi="ar"/>
              </w:rPr>
              <w:t>/河岸带宽度（6）、植被覆盖率（57）、湿地保有率（47）、景观破碎度（18）、栖息地复杂性（13）、自然岸线比例（10）</w:t>
            </w:r>
          </w:p>
        </w:tc>
      </w:tr>
      <w:tr w14:paraId="4D5D1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36FC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bCs/>
                <w:i w:val="0"/>
                <w:iCs w:val="0"/>
                <w:color w:val="000000"/>
                <w:sz w:val="24"/>
                <w:szCs w:val="24"/>
                <w:highlight w:val="none"/>
                <w:u w:val="none"/>
              </w:rPr>
            </w:pPr>
          </w:p>
        </w:tc>
        <w:tc>
          <w:tcPr>
            <w:tcW w:w="7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C401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河床</w:t>
            </w:r>
          </w:p>
        </w:tc>
        <w:tc>
          <w:tcPr>
            <w:tcW w:w="3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F551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底质结构（79）、河床稳定性（6）</w:t>
            </w:r>
          </w:p>
        </w:tc>
      </w:tr>
      <w:tr w14:paraId="66FD4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11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E638F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b/>
                <w:bCs/>
                <w:i w:val="0"/>
                <w:iCs w:val="0"/>
                <w:color w:val="000000"/>
                <w:kern w:val="0"/>
                <w:sz w:val="24"/>
                <w:szCs w:val="24"/>
                <w:highlight w:val="none"/>
                <w:u w:val="none"/>
                <w:lang w:val="en-US" w:eastAsia="zh-CN"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水</w:t>
            </w:r>
            <w:r>
              <w:rPr>
                <w:rFonts w:hint="eastAsia" w:cs="Times New Roman"/>
                <w:b/>
                <w:bCs/>
                <w:i w:val="0"/>
                <w:iCs w:val="0"/>
                <w:color w:val="000000"/>
                <w:kern w:val="0"/>
                <w:sz w:val="24"/>
                <w:szCs w:val="24"/>
                <w:highlight w:val="none"/>
                <w:u w:val="none"/>
                <w:lang w:val="en-US" w:eastAsia="zh-CN" w:bidi="ar"/>
              </w:rPr>
              <w:t>环境</w:t>
            </w:r>
          </w:p>
        </w:tc>
        <w:tc>
          <w:tcPr>
            <w:tcW w:w="3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4E40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水体营养化指数（35）</w:t>
            </w:r>
            <w:r>
              <w:rPr>
                <w:rFonts w:hint="default" w:ascii="Times New Roman" w:hAnsi="Times New Roman" w:eastAsia="仿宋_GB2312" w:cs="Times New Roman"/>
                <w:i w:val="0"/>
                <w:iCs w:val="0"/>
                <w:color w:val="000000"/>
                <w:kern w:val="0"/>
                <w:sz w:val="24"/>
                <w:szCs w:val="24"/>
                <w:highlight w:val="none"/>
                <w:u w:val="none"/>
                <w:lang w:val="en-US" w:eastAsia="zh-CN" w:bidi="ar"/>
              </w:rPr>
              <w:t>、水功能区达标率（15）、溶解氧（354）、总磷（256）、总氮（209）、重金属（139）、</w:t>
            </w:r>
            <w:r>
              <w:rPr>
                <w:rFonts w:hint="default" w:ascii="Times New Roman" w:hAnsi="Times New Roman" w:eastAsia="仿宋_GB2312" w:cs="Times New Roman"/>
                <w:i w:val="0"/>
                <w:iCs w:val="0"/>
                <w:color w:val="auto"/>
                <w:kern w:val="0"/>
                <w:sz w:val="24"/>
                <w:szCs w:val="24"/>
                <w:highlight w:val="none"/>
                <w:u w:val="none"/>
                <w:lang w:val="en-US" w:eastAsia="zh-CN" w:bidi="ar"/>
              </w:rPr>
              <w:t>透明度（35）</w:t>
            </w:r>
          </w:p>
        </w:tc>
      </w:tr>
      <w:tr w14:paraId="25C5C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11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90E60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b/>
                <w:bCs/>
                <w:i w:val="0"/>
                <w:iCs w:val="0"/>
                <w:color w:val="000000"/>
                <w:kern w:val="0"/>
                <w:sz w:val="24"/>
                <w:szCs w:val="24"/>
                <w:highlight w:val="none"/>
                <w:u w:val="none"/>
                <w:lang w:val="en-US" w:eastAsia="zh-CN" w:bidi="ar"/>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水资源</w:t>
            </w:r>
          </w:p>
        </w:tc>
        <w:tc>
          <w:tcPr>
            <w:tcW w:w="3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E812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水位（334）、流速（185）、径流量（161）、水深（147）、高程/海拔（142）、生态需水满足程度（22）、水体更新周期（19）、湖泊面积萎缩比例（5）</w:t>
            </w:r>
          </w:p>
        </w:tc>
      </w:tr>
    </w:tbl>
    <w:p w14:paraId="568379CE">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21"/>
          <w:szCs w:val="18"/>
          <w:highlight w:val="none"/>
          <w:lang w:val="en-US" w:eastAsia="zh-CN"/>
        </w:rPr>
      </w:pPr>
      <w:r>
        <w:rPr>
          <w:rFonts w:hint="eastAsia"/>
          <w:sz w:val="21"/>
          <w:szCs w:val="18"/>
          <w:highlight w:val="none"/>
          <w:lang w:val="en-US" w:eastAsia="zh-CN"/>
        </w:rPr>
        <w:t>备注：括号里的数字表示频次</w:t>
      </w:r>
    </w:p>
    <w:p w14:paraId="14D604FB">
      <w:pPr>
        <w:keepNext/>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②</w:t>
      </w:r>
      <w:r>
        <w:rPr>
          <w:rFonts w:hint="eastAsia" w:ascii="Times New Roman" w:hAnsi="Times New Roman" w:eastAsia="仿宋_GB2312" w:cs="Times New Roman"/>
          <w:color w:val="000000"/>
          <w:kern w:val="0"/>
          <w:sz w:val="32"/>
          <w:szCs w:val="32"/>
          <w:lang w:val="en-US" w:eastAsia="zh-CN" w:bidi="ar"/>
        </w:rPr>
        <w:t>结合</w:t>
      </w:r>
      <w:r>
        <w:rPr>
          <w:rFonts w:hint="eastAsia" w:cs="Times New Roman"/>
          <w:color w:val="000000"/>
          <w:kern w:val="0"/>
          <w:sz w:val="32"/>
          <w:szCs w:val="32"/>
          <w:lang w:val="en-US" w:eastAsia="zh-CN" w:bidi="ar"/>
        </w:rPr>
        <w:t>流域</w:t>
      </w:r>
      <w:r>
        <w:rPr>
          <w:rFonts w:hint="eastAsia" w:ascii="Times New Roman" w:hAnsi="Times New Roman" w:eastAsia="仿宋_GB2312" w:cs="Times New Roman"/>
          <w:color w:val="000000"/>
          <w:kern w:val="0"/>
          <w:sz w:val="32"/>
          <w:szCs w:val="32"/>
          <w:lang w:val="en-US" w:eastAsia="zh-CN" w:bidi="ar"/>
        </w:rPr>
        <w:t>水生态特点</w:t>
      </w:r>
      <w:r>
        <w:rPr>
          <w:rFonts w:hint="eastAsia" w:cs="Times New Roman"/>
          <w:color w:val="000000"/>
          <w:kern w:val="0"/>
          <w:sz w:val="32"/>
          <w:szCs w:val="32"/>
          <w:lang w:val="en-US" w:eastAsia="zh-CN" w:bidi="ar"/>
        </w:rPr>
        <w:t>筛选</w:t>
      </w:r>
      <w:r>
        <w:rPr>
          <w:rFonts w:hint="eastAsia" w:ascii="Times New Roman" w:hAnsi="Times New Roman" w:eastAsia="仿宋_GB2312" w:cs="Times New Roman"/>
          <w:color w:val="000000"/>
          <w:kern w:val="0"/>
          <w:sz w:val="32"/>
          <w:szCs w:val="32"/>
          <w:lang w:val="en-US" w:eastAsia="zh-CN" w:bidi="ar"/>
        </w:rPr>
        <w:t>候选指标</w:t>
      </w:r>
    </w:p>
    <w:p w14:paraId="7A0C7BF0">
      <w:pPr>
        <w:bidi w:val="0"/>
        <w:rPr>
          <w:rFonts w:hint="default"/>
          <w:highlight w:val="none"/>
          <w:lang w:val="en-US" w:eastAsia="zh-CN"/>
        </w:rPr>
      </w:pPr>
      <w:r>
        <w:rPr>
          <w:rFonts w:hint="eastAsia"/>
          <w:highlight w:val="none"/>
          <w:lang w:val="en-US" w:eastAsia="zh-CN"/>
        </w:rPr>
        <w:t>根据国家水生态评价考核要求及我省实际情况，构建</w:t>
      </w:r>
      <w:r>
        <w:rPr>
          <w:rFonts w:hint="default"/>
          <w:highlight w:val="none"/>
          <w:lang w:val="en-US" w:eastAsia="zh-CN"/>
        </w:rPr>
        <w:t>以</w:t>
      </w:r>
      <w:r>
        <w:rPr>
          <w:rFonts w:hint="eastAsia"/>
          <w:highlight w:val="none"/>
          <w:lang w:val="en-US" w:eastAsia="zh-CN"/>
        </w:rPr>
        <w:t>水生态健康为核心，水</w:t>
      </w:r>
      <w:r>
        <w:rPr>
          <w:rFonts w:hint="default"/>
          <w:highlight w:val="none"/>
          <w:lang w:val="en-US" w:eastAsia="zh-CN"/>
        </w:rPr>
        <w:t>生境</w:t>
      </w:r>
      <w:r>
        <w:rPr>
          <w:rFonts w:hint="eastAsia"/>
          <w:highlight w:val="none"/>
          <w:lang w:val="en-US" w:eastAsia="zh-CN"/>
        </w:rPr>
        <w:t>保护</w:t>
      </w:r>
      <w:r>
        <w:rPr>
          <w:rFonts w:hint="default"/>
          <w:highlight w:val="none"/>
          <w:lang w:val="en-US" w:eastAsia="zh-CN"/>
        </w:rPr>
        <w:t>、水环境</w:t>
      </w:r>
      <w:r>
        <w:rPr>
          <w:rFonts w:hint="eastAsia"/>
          <w:highlight w:val="none"/>
          <w:lang w:val="en-US" w:eastAsia="zh-CN"/>
        </w:rPr>
        <w:t>保护、</w:t>
      </w:r>
      <w:r>
        <w:rPr>
          <w:rFonts w:hint="default"/>
          <w:highlight w:val="none"/>
          <w:lang w:val="en-US" w:eastAsia="zh-CN"/>
        </w:rPr>
        <w:t>水资源</w:t>
      </w:r>
      <w:r>
        <w:rPr>
          <w:rFonts w:hint="eastAsia"/>
          <w:highlight w:val="none"/>
          <w:lang w:val="en-US" w:eastAsia="zh-CN"/>
        </w:rPr>
        <w:t>保障和社会服务状况</w:t>
      </w:r>
      <w:r>
        <w:rPr>
          <w:rFonts w:hint="default"/>
          <w:highlight w:val="none"/>
          <w:lang w:val="en-US" w:eastAsia="zh-CN"/>
        </w:rPr>
        <w:t>为支撑</w:t>
      </w:r>
      <w:r>
        <w:rPr>
          <w:rFonts w:hint="eastAsia"/>
          <w:highlight w:val="none"/>
          <w:lang w:val="en-US" w:eastAsia="zh-CN"/>
        </w:rPr>
        <w:t>的一级</w:t>
      </w:r>
      <w:r>
        <w:rPr>
          <w:rFonts w:hint="default"/>
          <w:highlight w:val="none"/>
          <w:lang w:val="en-US" w:eastAsia="zh-CN"/>
        </w:rPr>
        <w:t>指标。针对</w:t>
      </w:r>
      <w:r>
        <w:rPr>
          <w:rFonts w:hint="eastAsia"/>
          <w:highlight w:val="none"/>
          <w:lang w:val="en-US" w:eastAsia="zh-CN"/>
        </w:rPr>
        <w:t>我省重点流域存在的主要问题及水生态环境管理需求，筛选确定</w:t>
      </w:r>
      <w:r>
        <w:rPr>
          <w:rFonts w:hint="default"/>
          <w:highlight w:val="none"/>
          <w:lang w:val="en-US" w:eastAsia="zh-CN"/>
        </w:rPr>
        <w:t>水生态</w:t>
      </w:r>
      <w:r>
        <w:rPr>
          <w:rFonts w:hint="eastAsia"/>
          <w:highlight w:val="none"/>
          <w:lang w:val="en-US" w:eastAsia="zh-CN"/>
        </w:rPr>
        <w:t>评价</w:t>
      </w:r>
      <w:r>
        <w:rPr>
          <w:rFonts w:hint="default"/>
          <w:highlight w:val="none"/>
          <w:lang w:val="en-US" w:eastAsia="zh-CN"/>
        </w:rPr>
        <w:t>体系的二级指标。</w:t>
      </w:r>
    </w:p>
    <w:p w14:paraId="21A9074B">
      <w:pPr>
        <w:bidi w:val="0"/>
        <w:rPr>
          <w:rFonts w:hint="default"/>
          <w:highlight w:val="none"/>
          <w:lang w:val="en-US" w:eastAsia="zh-CN"/>
        </w:rPr>
      </w:pPr>
      <w:r>
        <w:rPr>
          <w:rFonts w:hint="default"/>
          <w:highlight w:val="none"/>
          <w:lang w:val="en-US" w:eastAsia="zh-CN"/>
        </w:rPr>
        <w:br w:type="page"/>
      </w:r>
      <w:bookmarkStart w:id="87" w:name="_GoBack"/>
      <w:bookmarkEnd w:id="87"/>
    </w:p>
    <w:p w14:paraId="1F3115AB">
      <w:pPr>
        <w:keepNext/>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outlineLvl w:val="9"/>
        <w:rPr>
          <w:rFonts w:hint="eastAsia" w:ascii="Times New Roman" w:hAnsi="Times New Roman" w:eastAsia="仿宋_GB2312" w:cs="Times New Roman"/>
          <w:b/>
          <w:bCs/>
          <w:color w:val="000000"/>
          <w:kern w:val="0"/>
          <w:sz w:val="28"/>
          <w:szCs w:val="28"/>
          <w:lang w:val="en-US" w:eastAsia="zh-CN" w:bidi="ar"/>
        </w:rPr>
      </w:pPr>
      <w:r>
        <w:rPr>
          <w:rFonts w:hint="eastAsia" w:ascii="Times New Roman" w:hAnsi="Times New Roman" w:eastAsia="仿宋_GB2312" w:cs="Times New Roman"/>
          <w:b/>
          <w:bCs/>
          <w:color w:val="000000"/>
          <w:kern w:val="0"/>
          <w:sz w:val="28"/>
          <w:szCs w:val="28"/>
          <w:highlight w:val="none"/>
          <w:lang w:val="en-US" w:eastAsia="zh-CN" w:bidi="ar"/>
        </w:rPr>
        <w:t>表</w:t>
      </w:r>
      <w:r>
        <w:rPr>
          <w:rFonts w:hint="eastAsia" w:ascii="Times New Roman" w:hAnsi="Times New Roman" w:cs="Times New Roman"/>
          <w:b/>
          <w:bCs/>
          <w:color w:val="000000"/>
          <w:kern w:val="0"/>
          <w:sz w:val="28"/>
          <w:szCs w:val="28"/>
          <w:highlight w:val="none"/>
          <w:lang w:val="en-US" w:eastAsia="zh-CN" w:bidi="ar"/>
        </w:rPr>
        <w:t>4-</w:t>
      </w:r>
      <w:r>
        <w:rPr>
          <w:rFonts w:hint="eastAsia" w:ascii="Times New Roman" w:hAnsi="Times New Roman" w:eastAsia="仿宋_GB2312" w:cs="Times New Roman"/>
          <w:b/>
          <w:bCs/>
          <w:color w:val="000000"/>
          <w:kern w:val="0"/>
          <w:sz w:val="28"/>
          <w:szCs w:val="28"/>
          <w:highlight w:val="none"/>
          <w:lang w:val="en-US" w:eastAsia="zh-CN" w:bidi="ar"/>
        </w:rPr>
        <w:t>3 山东省</w:t>
      </w:r>
      <w:r>
        <w:rPr>
          <w:rFonts w:hint="eastAsia" w:cs="Times New Roman"/>
          <w:b/>
          <w:bCs/>
          <w:color w:val="000000"/>
          <w:kern w:val="0"/>
          <w:sz w:val="28"/>
          <w:szCs w:val="28"/>
          <w:highlight w:val="none"/>
          <w:lang w:val="en-US" w:eastAsia="zh-CN" w:bidi="ar"/>
        </w:rPr>
        <w:t>重点</w:t>
      </w:r>
      <w:r>
        <w:rPr>
          <w:rFonts w:hint="eastAsia" w:ascii="Times New Roman" w:hAnsi="Times New Roman" w:eastAsia="仿宋_GB2312" w:cs="Times New Roman"/>
          <w:b/>
          <w:bCs/>
          <w:color w:val="000000"/>
          <w:kern w:val="0"/>
          <w:sz w:val="28"/>
          <w:szCs w:val="28"/>
          <w:highlight w:val="none"/>
          <w:lang w:val="en-US" w:eastAsia="zh-CN" w:bidi="ar"/>
        </w:rPr>
        <w:t>流域水生态问题及</w:t>
      </w:r>
      <w:r>
        <w:rPr>
          <w:rFonts w:hint="eastAsia" w:cs="Times New Roman"/>
          <w:b/>
          <w:bCs/>
          <w:color w:val="000000"/>
          <w:kern w:val="0"/>
          <w:sz w:val="28"/>
          <w:szCs w:val="28"/>
          <w:highlight w:val="none"/>
          <w:lang w:val="en-US" w:eastAsia="zh-CN" w:bidi="ar"/>
        </w:rPr>
        <w:t>推荐</w:t>
      </w:r>
      <w:r>
        <w:rPr>
          <w:rFonts w:hint="eastAsia" w:ascii="Times New Roman" w:hAnsi="Times New Roman" w:eastAsia="仿宋_GB2312" w:cs="Times New Roman"/>
          <w:b/>
          <w:bCs/>
          <w:color w:val="000000"/>
          <w:kern w:val="0"/>
          <w:sz w:val="28"/>
          <w:szCs w:val="28"/>
          <w:highlight w:val="none"/>
          <w:lang w:val="en-US" w:eastAsia="zh-CN" w:bidi="ar"/>
        </w:rPr>
        <w:t>指标</w:t>
      </w:r>
    </w:p>
    <w:tbl>
      <w:tblPr>
        <w:tblStyle w:val="2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06"/>
        <w:gridCol w:w="4690"/>
        <w:gridCol w:w="3050"/>
      </w:tblGrid>
      <w:tr w14:paraId="1439B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29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97EE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highlight w:val="none"/>
                <w:u w:val="none"/>
                <w:lang w:val="en-US" w:eastAsia="zh-CN"/>
              </w:rPr>
            </w:pPr>
            <w:r>
              <w:rPr>
                <w:rFonts w:hint="default" w:ascii="Times New Roman" w:hAnsi="Times New Roman" w:eastAsia="仿宋_GB2312" w:cs="Times New Roman"/>
                <w:b/>
                <w:bCs/>
                <w:i w:val="0"/>
                <w:iCs w:val="0"/>
                <w:color w:val="000000"/>
                <w:sz w:val="24"/>
                <w:szCs w:val="24"/>
                <w:highlight w:val="none"/>
                <w:u w:val="none"/>
                <w:lang w:val="en-US" w:eastAsia="zh-CN"/>
              </w:rPr>
              <w:t>存在问题</w:t>
            </w:r>
          </w:p>
        </w:tc>
        <w:tc>
          <w:tcPr>
            <w:tcW w:w="17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A7E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highlight w:val="none"/>
                <w:u w:val="none"/>
                <w:lang w:val="en-US" w:eastAsia="zh-CN"/>
              </w:rPr>
            </w:pPr>
            <w:r>
              <w:rPr>
                <w:rFonts w:hint="default" w:ascii="Times New Roman" w:hAnsi="Times New Roman" w:eastAsia="仿宋_GB2312" w:cs="Times New Roman"/>
                <w:b/>
                <w:bCs/>
                <w:i w:val="0"/>
                <w:iCs w:val="0"/>
                <w:color w:val="000000"/>
                <w:sz w:val="24"/>
                <w:szCs w:val="24"/>
                <w:highlight w:val="none"/>
                <w:u w:val="none"/>
                <w:lang w:val="en-US" w:eastAsia="zh-CN"/>
              </w:rPr>
              <w:t>推荐指标</w:t>
            </w:r>
          </w:p>
        </w:tc>
      </w:tr>
      <w:tr w14:paraId="77A40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3" w:hRule="atLeast"/>
        </w:trPr>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F59A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水生态系统受损</w:t>
            </w:r>
          </w:p>
        </w:tc>
        <w:tc>
          <w:tcPr>
            <w:tcW w:w="2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AE8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lang w:val="en-US"/>
              </w:rPr>
            </w:pPr>
            <w:r>
              <w:rPr>
                <w:rFonts w:hint="default" w:ascii="Times New Roman" w:hAnsi="Times New Roman" w:eastAsia="仿宋_GB2312" w:cs="Times New Roman"/>
                <w:i w:val="0"/>
                <w:iCs w:val="0"/>
                <w:color w:val="000000"/>
                <w:kern w:val="0"/>
                <w:sz w:val="24"/>
                <w:szCs w:val="24"/>
                <w:highlight w:val="none"/>
                <w:u w:val="none"/>
                <w:lang w:val="en-US" w:eastAsia="zh-CN" w:bidi="ar"/>
              </w:rPr>
              <w:t>鱼类小型化低龄化现象明显</w:t>
            </w:r>
            <w:r>
              <w:rPr>
                <w:rFonts w:hint="eastAsia" w:cs="Times New Roman"/>
                <w:i w:val="0"/>
                <w:iCs w:val="0"/>
                <w:color w:val="000000"/>
                <w:kern w:val="0"/>
                <w:sz w:val="24"/>
                <w:szCs w:val="24"/>
                <w:highlight w:val="none"/>
                <w:u w:val="none"/>
                <w:lang w:val="en-US" w:eastAsia="zh-CN" w:bidi="ar"/>
              </w:rPr>
              <w:t>、物种多样性</w:t>
            </w:r>
            <w:r>
              <w:rPr>
                <w:rFonts w:hint="default" w:ascii="Times New Roman" w:hAnsi="Times New Roman" w:eastAsia="仿宋_GB2312" w:cs="Times New Roman"/>
                <w:i w:val="0"/>
                <w:iCs w:val="0"/>
                <w:color w:val="000000"/>
                <w:kern w:val="0"/>
                <w:sz w:val="24"/>
                <w:szCs w:val="24"/>
                <w:highlight w:val="none"/>
                <w:u w:val="none"/>
                <w:lang w:val="en-US" w:eastAsia="zh-CN" w:bidi="ar"/>
              </w:rPr>
              <w:t>恢复慢；底栖动物、浮游生物耐污种多，清洁种少。</w:t>
            </w:r>
          </w:p>
        </w:tc>
        <w:tc>
          <w:tcPr>
            <w:tcW w:w="1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5ECA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lang w:val="en-US"/>
              </w:rPr>
            </w:pPr>
            <w:r>
              <w:rPr>
                <w:rFonts w:hint="default" w:ascii="Times New Roman" w:hAnsi="Times New Roman" w:eastAsia="仿宋_GB2312" w:cs="Times New Roman"/>
                <w:i w:val="0"/>
                <w:iCs w:val="0"/>
                <w:color w:val="000000"/>
                <w:kern w:val="0"/>
                <w:sz w:val="24"/>
                <w:szCs w:val="24"/>
                <w:highlight w:val="none"/>
                <w:u w:val="none"/>
                <w:lang w:val="en-US" w:eastAsia="zh-CN" w:bidi="ar"/>
              </w:rPr>
              <w:t>鱼类、大型底栖动物、浮游动物、浮游植物、水生植物覆盖度等。</w:t>
            </w:r>
          </w:p>
        </w:tc>
      </w:tr>
      <w:tr w14:paraId="7F1B3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674" w:type="pct"/>
            <w:vMerge w:val="restart"/>
            <w:tcBorders>
              <w:top w:val="single" w:color="000000" w:sz="4" w:space="0"/>
              <w:left w:val="single" w:color="000000" w:sz="4" w:space="0"/>
              <w:right w:val="single" w:color="000000" w:sz="4" w:space="0"/>
            </w:tcBorders>
            <w:shd w:val="clear" w:color="auto" w:fill="auto"/>
            <w:noWrap/>
            <w:vAlign w:val="center"/>
          </w:tcPr>
          <w:p w14:paraId="69DF90D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eastAsia" w:cs="Times New Roman"/>
                <w:i w:val="0"/>
                <w:iCs w:val="0"/>
                <w:color w:val="000000"/>
                <w:kern w:val="0"/>
                <w:sz w:val="24"/>
                <w:szCs w:val="24"/>
                <w:highlight w:val="none"/>
                <w:u w:val="none"/>
                <w:lang w:val="en-US" w:eastAsia="zh-CN" w:bidi="ar"/>
              </w:rPr>
              <w:t>水</w:t>
            </w:r>
            <w:r>
              <w:rPr>
                <w:rFonts w:hint="default" w:ascii="Times New Roman" w:hAnsi="Times New Roman" w:eastAsia="仿宋_GB2312" w:cs="Times New Roman"/>
                <w:i w:val="0"/>
                <w:iCs w:val="0"/>
                <w:color w:val="000000"/>
                <w:kern w:val="0"/>
                <w:sz w:val="24"/>
                <w:szCs w:val="24"/>
                <w:highlight w:val="none"/>
                <w:u w:val="none"/>
                <w:lang w:val="en-US" w:eastAsia="zh-CN" w:bidi="ar"/>
              </w:rPr>
              <w:t>生境破坏</w:t>
            </w:r>
          </w:p>
        </w:tc>
        <w:tc>
          <w:tcPr>
            <w:tcW w:w="2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3DE5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农业岸线占比大。</w:t>
            </w:r>
          </w:p>
        </w:tc>
        <w:tc>
          <w:tcPr>
            <w:tcW w:w="1704" w:type="pct"/>
            <w:vMerge w:val="restart"/>
            <w:tcBorders>
              <w:top w:val="single" w:color="000000" w:sz="4" w:space="0"/>
              <w:left w:val="single" w:color="000000" w:sz="4" w:space="0"/>
              <w:right w:val="single" w:color="000000" w:sz="4" w:space="0"/>
            </w:tcBorders>
            <w:shd w:val="clear" w:color="auto" w:fill="auto"/>
            <w:vAlign w:val="center"/>
          </w:tcPr>
          <w:p w14:paraId="1BCE28A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自然岸线率、缓冲带植被覆盖度、水体连通性（闸坝数量）等。</w:t>
            </w:r>
          </w:p>
        </w:tc>
      </w:tr>
      <w:tr w14:paraId="0CE6F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674" w:type="pct"/>
            <w:vMerge w:val="continue"/>
            <w:tcBorders>
              <w:left w:val="single" w:color="000000" w:sz="4" w:space="0"/>
              <w:right w:val="single" w:color="000000" w:sz="4" w:space="0"/>
            </w:tcBorders>
            <w:shd w:val="clear" w:color="auto" w:fill="auto"/>
            <w:noWrap/>
            <w:vAlign w:val="center"/>
          </w:tcPr>
          <w:p w14:paraId="06F33AF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p>
        </w:tc>
        <w:tc>
          <w:tcPr>
            <w:tcW w:w="2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BA6E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为防洪固堤，河岸石块堆砌或水泥硬化，水生植被覆盖度低。</w:t>
            </w:r>
          </w:p>
        </w:tc>
        <w:tc>
          <w:tcPr>
            <w:tcW w:w="1704" w:type="pct"/>
            <w:vMerge w:val="continue"/>
            <w:tcBorders>
              <w:left w:val="single" w:color="000000" w:sz="4" w:space="0"/>
              <w:right w:val="single" w:color="000000" w:sz="4" w:space="0"/>
            </w:tcBorders>
            <w:shd w:val="clear" w:color="auto" w:fill="auto"/>
            <w:vAlign w:val="center"/>
          </w:tcPr>
          <w:p w14:paraId="52A9AF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p>
        </w:tc>
      </w:tr>
      <w:tr w14:paraId="49D24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674" w:type="pct"/>
            <w:vMerge w:val="continue"/>
            <w:tcBorders>
              <w:left w:val="single" w:color="000000" w:sz="4" w:space="0"/>
              <w:bottom w:val="single" w:color="000000" w:sz="4" w:space="0"/>
              <w:right w:val="single" w:color="000000" w:sz="4" w:space="0"/>
            </w:tcBorders>
            <w:shd w:val="clear" w:color="auto" w:fill="auto"/>
            <w:noWrap/>
            <w:vAlign w:val="center"/>
          </w:tcPr>
          <w:p w14:paraId="4B86DC2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p>
        </w:tc>
        <w:tc>
          <w:tcPr>
            <w:tcW w:w="2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D69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受降水和地形影响，为缓解用水压力，河道建设闸坝数量较多，影响水体连通性。</w:t>
            </w:r>
          </w:p>
        </w:tc>
        <w:tc>
          <w:tcPr>
            <w:tcW w:w="1704" w:type="pct"/>
            <w:vMerge w:val="continue"/>
            <w:tcBorders>
              <w:left w:val="single" w:color="000000" w:sz="4" w:space="0"/>
              <w:bottom w:val="single" w:color="000000" w:sz="4" w:space="0"/>
              <w:right w:val="single" w:color="000000" w:sz="4" w:space="0"/>
            </w:tcBorders>
            <w:shd w:val="clear" w:color="auto" w:fill="auto"/>
            <w:vAlign w:val="center"/>
          </w:tcPr>
          <w:p w14:paraId="06544A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p>
        </w:tc>
      </w:tr>
      <w:tr w14:paraId="5F038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1" w:hRule="atLeast"/>
        </w:trPr>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3AE9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水环境提升压力大</w:t>
            </w:r>
          </w:p>
        </w:tc>
        <w:tc>
          <w:tcPr>
            <w:tcW w:w="2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AD87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作为农业大省，面源污染量大面广，同时环境基础设施相对不足导致旱时</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藏污纳垢</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、雨季</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零存整取</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，汛期面源污染突出。</w:t>
            </w:r>
          </w:p>
        </w:tc>
        <w:tc>
          <w:tcPr>
            <w:tcW w:w="1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EDB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汛期污染强度、综合污染指数、综合营养状况指数等。</w:t>
            </w:r>
          </w:p>
        </w:tc>
      </w:tr>
      <w:tr w14:paraId="0F470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674" w:type="pct"/>
            <w:vMerge w:val="restart"/>
            <w:tcBorders>
              <w:top w:val="single" w:color="000000" w:sz="4" w:space="0"/>
              <w:left w:val="single" w:color="000000" w:sz="4" w:space="0"/>
              <w:right w:val="single" w:color="000000" w:sz="4" w:space="0"/>
            </w:tcBorders>
            <w:shd w:val="clear" w:color="auto" w:fill="auto"/>
            <w:noWrap/>
            <w:vAlign w:val="center"/>
          </w:tcPr>
          <w:p w14:paraId="3BB37B4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生态用水难以保障</w:t>
            </w:r>
          </w:p>
        </w:tc>
        <w:tc>
          <w:tcPr>
            <w:tcW w:w="2621" w:type="pct"/>
            <w:tcBorders>
              <w:top w:val="single" w:color="000000" w:sz="4" w:space="0"/>
              <w:left w:val="single" w:color="000000" w:sz="4" w:space="0"/>
              <w:right w:val="single" w:color="000000" w:sz="4" w:space="0"/>
            </w:tcBorders>
            <w:shd w:val="clear" w:color="auto" w:fill="auto"/>
            <w:noWrap/>
            <w:vAlign w:val="center"/>
          </w:tcPr>
          <w:p w14:paraId="49A9B81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降水季节分布不均，年际70%—75%的降水集中在汛期，导致河流流量变异程度大。</w:t>
            </w:r>
          </w:p>
        </w:tc>
        <w:tc>
          <w:tcPr>
            <w:tcW w:w="1704" w:type="pct"/>
            <w:vMerge w:val="restart"/>
            <w:tcBorders>
              <w:top w:val="single" w:color="000000" w:sz="4" w:space="0"/>
              <w:left w:val="single" w:color="000000" w:sz="4" w:space="0"/>
              <w:right w:val="single" w:color="000000" w:sz="4" w:space="0"/>
            </w:tcBorders>
            <w:shd w:val="clear" w:color="auto" w:fill="auto"/>
            <w:vAlign w:val="center"/>
          </w:tcPr>
          <w:p w14:paraId="44DD8CA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lang w:val="en-US"/>
              </w:rPr>
            </w:pPr>
            <w:r>
              <w:rPr>
                <w:rFonts w:hint="default" w:ascii="Times New Roman" w:hAnsi="Times New Roman" w:eastAsia="仿宋_GB2312" w:cs="Times New Roman"/>
                <w:i w:val="0"/>
                <w:iCs w:val="0"/>
                <w:color w:val="000000"/>
                <w:kern w:val="0"/>
                <w:sz w:val="24"/>
                <w:szCs w:val="24"/>
                <w:highlight w:val="none"/>
                <w:u w:val="none"/>
                <w:lang w:val="en-US" w:eastAsia="zh-CN" w:bidi="ar"/>
              </w:rPr>
              <w:t>流量变异程度、生态流量（水位）满足程度等。</w:t>
            </w:r>
          </w:p>
        </w:tc>
      </w:tr>
      <w:tr w14:paraId="3C731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674" w:type="pct"/>
            <w:vMerge w:val="continue"/>
            <w:tcBorders>
              <w:left w:val="single" w:color="000000" w:sz="4" w:space="0"/>
              <w:right w:val="single" w:color="000000" w:sz="4" w:space="0"/>
            </w:tcBorders>
            <w:shd w:val="clear" w:color="auto" w:fill="auto"/>
            <w:vAlign w:val="center"/>
          </w:tcPr>
          <w:p w14:paraId="7C2D012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p>
        </w:tc>
        <w:tc>
          <w:tcPr>
            <w:tcW w:w="2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690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雨源型河流多，断流情况突出，河流生态流量保障不足。</w:t>
            </w:r>
          </w:p>
        </w:tc>
        <w:tc>
          <w:tcPr>
            <w:tcW w:w="1704" w:type="pct"/>
            <w:vMerge w:val="continue"/>
            <w:tcBorders>
              <w:left w:val="single" w:color="000000" w:sz="4" w:space="0"/>
              <w:bottom w:val="single" w:color="000000" w:sz="4" w:space="0"/>
              <w:right w:val="single" w:color="000000" w:sz="4" w:space="0"/>
            </w:tcBorders>
            <w:shd w:val="clear" w:color="auto" w:fill="auto"/>
            <w:vAlign w:val="center"/>
          </w:tcPr>
          <w:p w14:paraId="359466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lang w:val="en-US"/>
              </w:rPr>
            </w:pPr>
          </w:p>
        </w:tc>
      </w:tr>
      <w:tr w14:paraId="086E5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32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3B1A1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highlight w:val="none"/>
                <w:u w:val="none"/>
                <w:lang w:eastAsia="zh-CN"/>
              </w:rPr>
            </w:pPr>
            <w:r>
              <w:rPr>
                <w:rFonts w:hint="default" w:ascii="Times New Roman" w:hAnsi="Times New Roman" w:eastAsia="仿宋_GB2312" w:cs="Times New Roman"/>
                <w:i w:val="0"/>
                <w:iCs w:val="0"/>
                <w:color w:val="000000"/>
                <w:sz w:val="24"/>
                <w:szCs w:val="24"/>
                <w:highlight w:val="none"/>
                <w:u w:val="none"/>
              </w:rPr>
              <w:t>落实国家、省市美丽河湖创建需求</w:t>
            </w:r>
            <w:r>
              <w:rPr>
                <w:rFonts w:hint="default" w:ascii="Times New Roman" w:hAnsi="Times New Roman" w:eastAsia="仿宋_GB2312" w:cs="Times New Roman"/>
                <w:i w:val="0"/>
                <w:iCs w:val="0"/>
                <w:color w:val="000000"/>
                <w:sz w:val="24"/>
                <w:szCs w:val="24"/>
                <w:highlight w:val="none"/>
                <w:u w:val="none"/>
                <w:lang w:eastAsia="zh-CN"/>
              </w:rPr>
              <w:t>。</w:t>
            </w:r>
          </w:p>
        </w:tc>
        <w:tc>
          <w:tcPr>
            <w:tcW w:w="1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B8E4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highlight w:val="none"/>
                <w:u w:val="none"/>
                <w:lang w:eastAsia="zh-CN"/>
              </w:rPr>
            </w:pPr>
            <w:r>
              <w:rPr>
                <w:rFonts w:hint="default" w:ascii="Times New Roman" w:hAnsi="Times New Roman" w:eastAsia="仿宋_GB2312" w:cs="Times New Roman"/>
                <w:i w:val="0"/>
                <w:iCs w:val="0"/>
                <w:color w:val="000000"/>
                <w:sz w:val="24"/>
                <w:szCs w:val="24"/>
                <w:highlight w:val="none"/>
                <w:u w:val="none"/>
              </w:rPr>
              <w:t>公众满意度</w:t>
            </w:r>
            <w:r>
              <w:rPr>
                <w:rFonts w:hint="default" w:ascii="Times New Roman" w:hAnsi="Times New Roman" w:eastAsia="仿宋_GB2312" w:cs="Times New Roman"/>
                <w:i w:val="0"/>
                <w:iCs w:val="0"/>
                <w:color w:val="000000"/>
                <w:sz w:val="24"/>
                <w:szCs w:val="24"/>
                <w:highlight w:val="none"/>
                <w:u w:val="none"/>
                <w:lang w:eastAsia="zh-CN"/>
              </w:rPr>
              <w:t>。</w:t>
            </w:r>
          </w:p>
        </w:tc>
      </w:tr>
    </w:tbl>
    <w:p w14:paraId="222BD7A0">
      <w:pPr>
        <w:keepNext/>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③</w:t>
      </w:r>
      <w:r>
        <w:rPr>
          <w:rFonts w:hint="eastAsia" w:cs="Times New Roman"/>
          <w:color w:val="000000"/>
          <w:kern w:val="0"/>
          <w:sz w:val="32"/>
          <w:szCs w:val="32"/>
          <w:lang w:val="en-US" w:eastAsia="zh-CN" w:bidi="ar"/>
        </w:rPr>
        <w:t>根据</w:t>
      </w:r>
      <w:r>
        <w:rPr>
          <w:rFonts w:hint="eastAsia" w:ascii="Times New Roman" w:hAnsi="Times New Roman" w:eastAsia="仿宋_GB2312" w:cs="Times New Roman"/>
          <w:color w:val="000000"/>
          <w:kern w:val="0"/>
          <w:sz w:val="32"/>
          <w:szCs w:val="32"/>
          <w:lang w:val="en-US" w:eastAsia="zh-CN" w:bidi="ar"/>
        </w:rPr>
        <w:t>试算验证</w:t>
      </w:r>
      <w:r>
        <w:rPr>
          <w:rFonts w:hint="eastAsia" w:cs="Times New Roman"/>
          <w:color w:val="000000"/>
          <w:kern w:val="0"/>
          <w:sz w:val="32"/>
          <w:szCs w:val="32"/>
          <w:lang w:val="en-US" w:eastAsia="zh-CN" w:bidi="ar"/>
        </w:rPr>
        <w:t>结果</w:t>
      </w:r>
      <w:r>
        <w:rPr>
          <w:rFonts w:hint="eastAsia" w:ascii="Times New Roman" w:hAnsi="Times New Roman" w:eastAsia="仿宋_GB2312" w:cs="Times New Roman"/>
          <w:color w:val="000000"/>
          <w:kern w:val="0"/>
          <w:sz w:val="32"/>
          <w:szCs w:val="32"/>
          <w:lang w:val="en-US" w:eastAsia="zh-CN" w:bidi="ar"/>
        </w:rPr>
        <w:t>筛选最终评价指标</w:t>
      </w:r>
    </w:p>
    <w:p w14:paraId="3277ACB2">
      <w:pPr>
        <w:bidi w:val="0"/>
        <w:rPr>
          <w:rFonts w:hint="eastAsia"/>
          <w:highlight w:val="none"/>
          <w:lang w:val="en-US" w:eastAsia="zh-CN"/>
        </w:rPr>
      </w:pPr>
      <w:r>
        <w:rPr>
          <w:rFonts w:hint="eastAsia"/>
          <w:highlight w:val="none"/>
          <w:lang w:val="en-US" w:eastAsia="zh-CN"/>
        </w:rPr>
        <w:t>根据全省重点流域</w:t>
      </w:r>
      <w:r>
        <w:rPr>
          <w:rFonts w:hint="eastAsia"/>
          <w:highlight w:val="none"/>
        </w:rPr>
        <w:t>79条河流</w:t>
      </w:r>
      <w:r>
        <w:rPr>
          <w:rFonts w:hint="eastAsia"/>
          <w:highlight w:val="none"/>
          <w:lang w:eastAsia="zh-CN"/>
        </w:rPr>
        <w:t>、</w:t>
      </w:r>
      <w:r>
        <w:rPr>
          <w:rFonts w:hint="eastAsia"/>
          <w:highlight w:val="none"/>
          <w:lang w:val="en-US" w:eastAsia="zh-CN"/>
        </w:rPr>
        <w:t>11</w:t>
      </w:r>
      <w:r>
        <w:rPr>
          <w:rFonts w:hint="eastAsia"/>
          <w:highlight w:val="none"/>
        </w:rPr>
        <w:t>处</w:t>
      </w:r>
      <w:r>
        <w:rPr>
          <w:rFonts w:hint="eastAsia"/>
          <w:highlight w:val="none"/>
          <w:lang w:val="en-US" w:eastAsia="zh-CN"/>
        </w:rPr>
        <w:t>湖库水生态调查数据，开展反复试算验证，筛选确定评价指标，最终构建了我省河流、湖库2类水生态综合评价指标体系。</w:t>
      </w:r>
    </w:p>
    <w:p w14:paraId="5397D68B">
      <w:pPr>
        <w:rPr>
          <w:rFonts w:hint="default"/>
          <w:lang w:val="en-US" w:eastAsia="zh-CN"/>
        </w:rPr>
      </w:pPr>
      <w:r>
        <w:rPr>
          <w:rFonts w:hint="default"/>
          <w:lang w:val="en-US" w:eastAsia="zh-CN"/>
        </w:rPr>
        <w:t>评价指标体系分3个层级，目标层水生态状况，反映水体生态系统总体状况；一级指标层包括水生生物、水生境、水环境、水资源</w:t>
      </w:r>
      <w:r>
        <w:rPr>
          <w:rFonts w:hint="eastAsia"/>
          <w:lang w:val="en-US" w:eastAsia="zh-CN"/>
        </w:rPr>
        <w:t>和</w:t>
      </w:r>
      <w:r>
        <w:rPr>
          <w:rFonts w:hint="default"/>
          <w:lang w:val="en-US" w:eastAsia="zh-CN"/>
        </w:rPr>
        <w:t>社会服务五</w:t>
      </w:r>
      <w:r>
        <w:rPr>
          <w:rFonts w:hint="eastAsia"/>
          <w:lang w:val="en-US" w:eastAsia="zh-CN"/>
        </w:rPr>
        <w:t>个方面</w:t>
      </w:r>
      <w:r>
        <w:rPr>
          <w:rFonts w:hint="default"/>
          <w:lang w:val="en-US" w:eastAsia="zh-CN"/>
        </w:rPr>
        <w:t>，</w:t>
      </w:r>
      <w:r>
        <w:rPr>
          <w:rFonts w:hint="eastAsia"/>
          <w:lang w:val="en-US" w:eastAsia="zh-CN"/>
        </w:rPr>
        <w:t>是</w:t>
      </w:r>
      <w:r>
        <w:rPr>
          <w:rFonts w:hint="default"/>
          <w:lang w:val="en-US" w:eastAsia="zh-CN"/>
        </w:rPr>
        <w:t>决定水体水生态状况的主要因素；二级指标层在一级指标层下选择若干具体指标。</w:t>
      </w:r>
    </w:p>
    <w:p w14:paraId="1CA14E74">
      <w:pPr>
        <w:bidi w:val="0"/>
        <w:rPr>
          <w:rFonts w:hint="eastAsia"/>
          <w:highlight w:val="none"/>
          <w:lang w:val="en-US" w:eastAsia="zh-CN"/>
        </w:rPr>
      </w:pPr>
      <w:r>
        <w:rPr>
          <w:rFonts w:hint="eastAsia"/>
          <w:highlight w:val="none"/>
          <w:lang w:val="en-US" w:eastAsia="zh-CN"/>
        </w:rPr>
        <w:t>其中，河流包含13个二级指标，水生生物采用鱼类物种数、大型底栖动物物种数和着生藻类硅藻指数3个指标；水生境采用自然岸线率、河流连通性、水源涵养区生态系统质量和水生生物栖息地人类活动影响指数4个指标；水环境采用汛期污染强度、综合污染状况指数2个指标；水资源采用生态流量满足程度、断流干涸程度、入海沙量保障程度3个指标；社会服务结合美丽河湖建设“人水和谐”要求，采用公众满意度1个指标。</w:t>
      </w:r>
    </w:p>
    <w:p w14:paraId="549CE711">
      <w:pPr>
        <w:bidi w:val="0"/>
        <w:rPr>
          <w:rFonts w:hint="eastAsia"/>
          <w:highlight w:val="none"/>
          <w:lang w:val="en-US" w:eastAsia="zh-CN"/>
        </w:rPr>
      </w:pPr>
      <w:r>
        <w:rPr>
          <w:rFonts w:hint="eastAsia"/>
          <w:highlight w:val="none"/>
          <w:lang w:val="en-US" w:eastAsia="zh-CN"/>
        </w:rPr>
        <w:t>湖库包含12个二级指标，其中水生生物采用鱼类物种数、大型底栖动物物种数、浮游动植物多样性指数和水生植被覆盖度5个指标；水生境采用自然岸线率、湖（库）连通性、水源涵养区生态系统质量和水生生物栖息地人类活动影响指数4个指标；水环境采用综合营养状况指数1个指标；水资源采用生态流量满足程度1个指标；社会服务采用公众满意度1个指标。</w:t>
      </w:r>
    </w:p>
    <w:p w14:paraId="2823B6D6">
      <w:pPr>
        <w:keepNext/>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outlineLvl w:val="9"/>
        <w:rPr>
          <w:rFonts w:hint="eastAsia" w:ascii="Times New Roman" w:hAnsi="Times New Roman" w:eastAsia="仿宋_GB2312" w:cs="Times New Roman"/>
          <w:b/>
          <w:bCs/>
          <w:color w:val="000000"/>
          <w:kern w:val="0"/>
          <w:sz w:val="28"/>
          <w:szCs w:val="28"/>
          <w:lang w:val="en-US" w:eastAsia="zh-CN" w:bidi="ar"/>
        </w:rPr>
      </w:pPr>
      <w:r>
        <w:rPr>
          <w:rFonts w:hint="eastAsia" w:ascii="Times New Roman" w:hAnsi="Times New Roman" w:eastAsia="仿宋_GB2312" w:cs="Times New Roman"/>
          <w:b/>
          <w:bCs/>
          <w:color w:val="000000"/>
          <w:kern w:val="0"/>
          <w:sz w:val="28"/>
          <w:szCs w:val="28"/>
          <w:lang w:val="en-US" w:eastAsia="zh-CN" w:bidi="ar"/>
        </w:rPr>
        <w:t>表</w:t>
      </w:r>
      <w:r>
        <w:rPr>
          <w:rFonts w:hint="eastAsia" w:ascii="Times New Roman" w:hAnsi="Times New Roman" w:cs="Times New Roman"/>
          <w:b/>
          <w:bCs/>
          <w:color w:val="000000"/>
          <w:kern w:val="0"/>
          <w:sz w:val="28"/>
          <w:szCs w:val="28"/>
          <w:lang w:val="en-US" w:eastAsia="zh-CN" w:bidi="ar"/>
        </w:rPr>
        <w:t>4-</w:t>
      </w:r>
      <w:r>
        <w:rPr>
          <w:rFonts w:hint="eastAsia" w:ascii="Times New Roman" w:hAnsi="Times New Roman" w:eastAsia="仿宋_GB2312" w:cs="Times New Roman"/>
          <w:b/>
          <w:bCs/>
          <w:color w:val="000000"/>
          <w:kern w:val="0"/>
          <w:sz w:val="28"/>
          <w:szCs w:val="28"/>
          <w:lang w:val="en-US" w:eastAsia="zh-CN" w:bidi="ar"/>
        </w:rPr>
        <w:t>4 水生态综合评价指标体系</w:t>
      </w:r>
    </w:p>
    <w:tbl>
      <w:tblPr>
        <w:tblStyle w:val="2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52"/>
        <w:gridCol w:w="1048"/>
        <w:gridCol w:w="3323"/>
        <w:gridCol w:w="3323"/>
      </w:tblGrid>
      <w:tr w14:paraId="1E516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69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1121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目标层</w:t>
            </w:r>
          </w:p>
        </w:tc>
        <w:tc>
          <w:tcPr>
            <w:tcW w:w="5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C6C0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一级指标</w:t>
            </w:r>
          </w:p>
        </w:tc>
        <w:tc>
          <w:tcPr>
            <w:tcW w:w="371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857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二级指标</w:t>
            </w:r>
          </w:p>
        </w:tc>
      </w:tr>
      <w:tr w14:paraId="68D80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18D33">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b/>
                <w:bCs/>
                <w:i w:val="0"/>
                <w:iCs w:val="0"/>
                <w:color w:val="000000"/>
                <w:sz w:val="24"/>
                <w:szCs w:val="24"/>
                <w:u w:val="none"/>
              </w:rPr>
            </w:pPr>
          </w:p>
        </w:tc>
        <w:tc>
          <w:tcPr>
            <w:tcW w:w="5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BCD4F">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b/>
                <w:bCs/>
                <w:i w:val="0"/>
                <w:iCs w:val="0"/>
                <w:color w:val="000000"/>
                <w:sz w:val="24"/>
                <w:szCs w:val="24"/>
                <w:u w:val="none"/>
              </w:rPr>
            </w:pP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9B01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河流</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9DCF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湖库</w:t>
            </w:r>
          </w:p>
        </w:tc>
      </w:tr>
      <w:tr w14:paraId="0B927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69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89A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水生态状况</w:t>
            </w:r>
          </w:p>
        </w:tc>
        <w:tc>
          <w:tcPr>
            <w:tcW w:w="5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C46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水生生物</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B69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鱼类物种数</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CDB3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鱼类物种数</w:t>
            </w:r>
          </w:p>
        </w:tc>
      </w:tr>
      <w:tr w14:paraId="56703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BF73B">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D1BAB">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5BC7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大型底栖动物物种数</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D4F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大型底栖动物物种数</w:t>
            </w:r>
          </w:p>
        </w:tc>
      </w:tr>
      <w:tr w14:paraId="0A91D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E7623">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855D9">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FA6D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着生藻类硅藻指数</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E5A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p>
        </w:tc>
      </w:tr>
      <w:tr w14:paraId="5F568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5906A">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43182">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E33C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8C05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浮游动物多样性指数</w:t>
            </w:r>
          </w:p>
        </w:tc>
      </w:tr>
      <w:tr w14:paraId="3E1A5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A5EAA">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DD756">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BCD2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053D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浮游植物多样性指数</w:t>
            </w:r>
          </w:p>
        </w:tc>
      </w:tr>
      <w:tr w14:paraId="24A22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C5E27">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24723">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9BE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C9AB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水生植被覆盖度</w:t>
            </w:r>
          </w:p>
        </w:tc>
      </w:tr>
      <w:tr w14:paraId="37AC1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28BF4">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49B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水生境</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C07C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自然岸线率</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292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自然岸线率</w:t>
            </w:r>
          </w:p>
        </w:tc>
      </w:tr>
      <w:tr w14:paraId="02C52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85270">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1767A">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4353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河流连通性</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039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湖（库）连通性</w:t>
            </w:r>
          </w:p>
        </w:tc>
      </w:tr>
      <w:tr w14:paraId="2A4D8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8586D">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8C9E2">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18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591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水源涵养区生态系统质量</w:t>
            </w:r>
          </w:p>
        </w:tc>
        <w:tc>
          <w:tcPr>
            <w:tcW w:w="18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DE37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水源涵养区生态系统质量</w:t>
            </w:r>
          </w:p>
        </w:tc>
      </w:tr>
      <w:tr w14:paraId="3DAF3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1EC48">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7B98C">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18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2149F">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18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2FCF3">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r>
      <w:tr w14:paraId="70B69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03CA5">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C7B9E">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D680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水生生物栖息地人类活动影响指数</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DAAE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水生生物栖息地人类活动影响指数</w:t>
            </w:r>
          </w:p>
        </w:tc>
      </w:tr>
      <w:tr w14:paraId="62D3B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08B04">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vMerge w:val="restart"/>
            <w:tcBorders>
              <w:top w:val="single" w:color="000000" w:sz="4" w:space="0"/>
              <w:left w:val="single" w:color="000000" w:sz="4" w:space="0"/>
              <w:right w:val="single" w:color="000000" w:sz="4" w:space="0"/>
            </w:tcBorders>
            <w:shd w:val="clear" w:color="auto" w:fill="auto"/>
            <w:noWrap/>
            <w:vAlign w:val="center"/>
          </w:tcPr>
          <w:p w14:paraId="6001F6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水环境</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A7B3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汛期污染强度#</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C01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w:t>
            </w:r>
          </w:p>
        </w:tc>
      </w:tr>
      <w:tr w14:paraId="7627E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13F96">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vMerge w:val="continue"/>
            <w:tcBorders>
              <w:left w:val="single" w:color="000000" w:sz="4" w:space="0"/>
              <w:bottom w:val="single" w:color="000000" w:sz="4" w:space="0"/>
              <w:right w:val="single" w:color="000000" w:sz="4" w:space="0"/>
            </w:tcBorders>
            <w:shd w:val="clear" w:color="auto" w:fill="auto"/>
            <w:noWrap/>
            <w:vAlign w:val="center"/>
          </w:tcPr>
          <w:p w14:paraId="7B8C22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8257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综合污染状态指数</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C904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综合营养状态指数</w:t>
            </w:r>
          </w:p>
        </w:tc>
      </w:tr>
      <w:tr w14:paraId="038D3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1DCB1">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0F0F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水资源</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D33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生态流量满足程度</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D4B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生态水位满足程度</w:t>
            </w:r>
          </w:p>
        </w:tc>
      </w:tr>
      <w:tr w14:paraId="3BBA3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F699A">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7C396">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F36D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入海沙量保障程度*</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A289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p>
        </w:tc>
      </w:tr>
      <w:tr w14:paraId="194B2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EFA6B">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90524">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135F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断流干涸程度</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8B29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p>
        </w:tc>
      </w:tr>
      <w:tr w14:paraId="20105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5EA5E">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AFB3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社会服务</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0D90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公众满意度</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055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公众满意度</w:t>
            </w:r>
          </w:p>
        </w:tc>
      </w:tr>
      <w:tr w14:paraId="4015E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69D4">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0F0B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合计</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393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13</w:t>
            </w:r>
          </w:p>
        </w:tc>
        <w:tc>
          <w:tcPr>
            <w:tcW w:w="1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6330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12</w:t>
            </w:r>
          </w:p>
        </w:tc>
      </w:tr>
      <w:tr w14:paraId="588D5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5"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A80963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 汛期污染强度不适用于黄河干流水环境评价。</w:t>
            </w:r>
          </w:p>
          <w:p w14:paraId="62CC21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eastAsia" w:cs="Times New Roman"/>
                <w:i w:val="0"/>
                <w:iCs w:val="0"/>
                <w:color w:val="000000"/>
                <w:kern w:val="0"/>
                <w:sz w:val="24"/>
                <w:szCs w:val="24"/>
                <w:u w:val="none"/>
                <w:lang w:val="en-US" w:eastAsia="zh-CN" w:bidi="ar"/>
              </w:rPr>
              <w:t xml:space="preserve"> </w:t>
            </w:r>
            <w:r>
              <w:rPr>
                <w:rFonts w:hint="default" w:ascii="Times New Roman" w:hAnsi="Times New Roman" w:eastAsia="仿宋_GB2312" w:cs="Times New Roman"/>
                <w:i w:val="0"/>
                <w:iCs w:val="0"/>
                <w:color w:val="000000"/>
                <w:kern w:val="0"/>
                <w:sz w:val="24"/>
                <w:szCs w:val="24"/>
                <w:u w:val="none"/>
                <w:lang w:val="en-US" w:eastAsia="zh-CN" w:bidi="ar"/>
              </w:rPr>
              <w:t>入海沙量保障程度指标适用于黄河流域入海河流水资源评价。</w:t>
            </w:r>
          </w:p>
        </w:tc>
      </w:tr>
    </w:tbl>
    <w:p w14:paraId="16AEF08F">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lang w:val="en-US" w:eastAsia="zh-CN"/>
        </w:rPr>
      </w:pPr>
      <w:r>
        <w:rPr>
          <w:rFonts w:hint="eastAsia" w:ascii="Times New Roman" w:hAnsi="Times New Roman"/>
          <w:lang w:val="en-US" w:eastAsia="zh-CN"/>
        </w:rPr>
        <w:t>（2）权重确定</w:t>
      </w:r>
    </w:p>
    <w:p w14:paraId="5C52FAB4">
      <w:pPr>
        <w:bidi w:val="0"/>
        <w:rPr>
          <w:rFonts w:hint="eastAsia"/>
          <w:highlight w:val="none"/>
          <w:lang w:val="en-US" w:eastAsia="zh-CN"/>
        </w:rPr>
      </w:pPr>
      <w:r>
        <w:rPr>
          <w:rFonts w:hint="eastAsia"/>
          <w:highlight w:val="none"/>
          <w:lang w:val="en-US" w:eastAsia="zh-CN"/>
        </w:rPr>
        <w:t>采用主客观结合的方法确定指标权重。</w:t>
      </w:r>
    </w:p>
    <w:p w14:paraId="2528BE6B">
      <w:pPr>
        <w:bidi w:val="0"/>
        <w:rPr>
          <w:rFonts w:hint="eastAsia"/>
          <w:lang w:val="en-US" w:eastAsia="zh-CN"/>
        </w:rPr>
      </w:pPr>
      <w:r>
        <w:rPr>
          <w:rFonts w:hint="eastAsia"/>
          <w:lang w:val="en-US" w:eastAsia="zh-CN"/>
        </w:rPr>
        <w:t>结合当前常用的</w:t>
      </w:r>
      <w:r>
        <w:t>主成分分析法</w:t>
      </w:r>
      <w:r>
        <w:rPr>
          <w:rFonts w:hint="eastAsia"/>
          <w:lang w:eastAsia="zh-CN"/>
        </w:rPr>
        <w:t>、</w:t>
      </w:r>
      <w:r>
        <w:rPr>
          <w:rFonts w:hint="eastAsia"/>
          <w:lang w:val="en-US" w:eastAsia="zh-CN"/>
        </w:rPr>
        <w:t>熵值法等</w:t>
      </w:r>
      <w:r>
        <w:t>计算指标权重</w:t>
      </w:r>
      <w:r>
        <w:rPr>
          <w:rFonts w:hint="eastAsia"/>
          <w:lang w:eastAsia="zh-CN"/>
        </w:rPr>
        <w:t>，</w:t>
      </w:r>
      <w:r>
        <w:rPr>
          <w:rFonts w:hint="eastAsia"/>
          <w:lang w:val="en-US" w:eastAsia="zh-CN"/>
        </w:rPr>
        <w:t>具体方法如下</w:t>
      </w:r>
      <w:r>
        <w:t>：</w:t>
      </w:r>
      <w:r>
        <w:rPr>
          <w:rFonts w:hint="eastAsia"/>
          <w:lang w:val="en-US" w:eastAsia="zh-CN"/>
        </w:rPr>
        <w:t>①</w:t>
      </w:r>
      <w:r>
        <w:t>数据标准化</w:t>
      </w:r>
      <w:r>
        <w:rPr>
          <w:rFonts w:hint="eastAsia"/>
          <w:lang w:eastAsia="zh-CN"/>
        </w:rPr>
        <w:t>，</w:t>
      </w:r>
      <w:r>
        <w:t>借助</w:t>
      </w:r>
      <w:r>
        <w:rPr>
          <w:rFonts w:hint="eastAsia"/>
          <w:lang w:val="en-US" w:eastAsia="zh-CN"/>
        </w:rPr>
        <w:t>SPSS</w:t>
      </w:r>
      <w:r>
        <w:t>软件将数据计算到同一量纲和级别</w:t>
      </w:r>
      <w:r>
        <w:rPr>
          <w:rFonts w:hint="eastAsia"/>
          <w:lang w:eastAsia="zh-CN"/>
        </w:rPr>
        <w:t>；</w:t>
      </w:r>
      <w:r>
        <w:rPr>
          <w:rFonts w:hint="eastAsia"/>
          <w:lang w:val="en-US" w:eastAsia="zh-CN"/>
        </w:rPr>
        <w:t>②</w:t>
      </w:r>
      <w:r>
        <w:t>数据</w:t>
      </w:r>
      <w:r>
        <w:rPr>
          <w:rFonts w:hint="eastAsia"/>
          <w:lang w:val="en-US" w:eastAsia="zh-CN"/>
        </w:rPr>
        <w:t>适用性</w:t>
      </w:r>
      <w:r>
        <w:t>分析</w:t>
      </w:r>
      <w:r>
        <w:rPr>
          <w:rFonts w:hint="eastAsia"/>
          <w:lang w:eastAsia="zh-CN"/>
        </w:rPr>
        <w:t>，</w:t>
      </w:r>
      <w:r>
        <w:t>确定数据的相关性</w:t>
      </w:r>
      <w:r>
        <w:rPr>
          <w:rFonts w:hint="eastAsia"/>
          <w:lang w:val="en-US" w:eastAsia="zh-CN"/>
        </w:rPr>
        <w:t>是否</w:t>
      </w:r>
      <w:r>
        <w:t>符合主成分分析的要求（KMO≥0.5，Bartlett球形度较大且sig</w:t>
      </w:r>
      <w:r>
        <w:rPr>
          <w:rFonts w:hint="eastAsia"/>
          <w:lang w:val="en-US" w:eastAsia="zh-CN"/>
        </w:rPr>
        <w:t>＜</w:t>
      </w:r>
      <w:r>
        <w:t>0</w:t>
      </w:r>
      <w:r>
        <w:rPr>
          <w:rFonts w:hint="eastAsia"/>
          <w:lang w:val="en-US" w:eastAsia="zh-CN"/>
        </w:rPr>
        <w:t>.05</w:t>
      </w:r>
      <w:r>
        <w:t>）</w:t>
      </w:r>
      <w:r>
        <w:rPr>
          <w:rFonts w:hint="eastAsia"/>
          <w:lang w:eastAsia="zh-CN"/>
        </w:rPr>
        <w:t>，</w:t>
      </w:r>
      <w:r>
        <w:t>若满足</w:t>
      </w:r>
      <w:r>
        <w:rPr>
          <w:rFonts w:hint="eastAsia"/>
          <w:lang w:eastAsia="zh-CN"/>
        </w:rPr>
        <w:t>，</w:t>
      </w:r>
      <w:r>
        <w:t>需分析各要素与主成分密切程度</w:t>
      </w:r>
      <w:r>
        <w:rPr>
          <w:rFonts w:hint="eastAsia"/>
          <w:lang w:eastAsia="zh-CN"/>
        </w:rPr>
        <w:t>，</w:t>
      </w:r>
      <w:r>
        <w:rPr>
          <w:rFonts w:hint="eastAsia"/>
          <w:lang w:val="en-US" w:eastAsia="zh-CN"/>
        </w:rPr>
        <w:t>若不满足</w:t>
      </w:r>
      <w:r>
        <w:t>，则采用</w:t>
      </w:r>
      <w:r>
        <w:rPr>
          <w:rFonts w:hint="eastAsia"/>
          <w:lang w:val="en-US" w:eastAsia="zh-CN"/>
        </w:rPr>
        <w:t>熵值法等</w:t>
      </w:r>
      <w:r>
        <w:t>计算指标权重</w:t>
      </w:r>
      <w:r>
        <w:rPr>
          <w:rFonts w:hint="eastAsia"/>
          <w:lang w:eastAsia="zh-CN"/>
        </w:rPr>
        <w:t>；</w:t>
      </w:r>
      <w:r>
        <w:rPr>
          <w:rFonts w:hint="eastAsia"/>
          <w:lang w:val="en-US" w:eastAsia="zh-CN"/>
        </w:rPr>
        <w:t>③</w:t>
      </w:r>
      <w:r>
        <w:t>权重计算</w:t>
      </w:r>
      <w:r>
        <w:rPr>
          <w:rFonts w:hint="eastAsia"/>
          <w:lang w:eastAsia="zh-CN"/>
        </w:rPr>
        <w:t>，</w:t>
      </w:r>
      <w:r>
        <w:rPr>
          <w:rFonts w:hint="eastAsia"/>
          <w:lang w:val="en-US" w:eastAsia="zh-CN"/>
        </w:rPr>
        <w:t>主成分分析法按照</w:t>
      </w:r>
      <w:r>
        <w:rPr>
          <w:rFonts w:hint="eastAsia"/>
        </w:rPr>
        <w:t>数据</w:t>
      </w:r>
      <w:r>
        <w:rPr>
          <w:rFonts w:hint="eastAsia"/>
          <w:lang w:val="en-US" w:eastAsia="zh-CN"/>
        </w:rPr>
        <w:t>导</w:t>
      </w:r>
      <w:r>
        <w:rPr>
          <w:rFonts w:hint="eastAsia"/>
        </w:rPr>
        <w:t>入</w:t>
      </w:r>
      <w:r>
        <w:rPr>
          <w:rFonts w:hint="eastAsia"/>
          <w:lang w:eastAsia="zh-CN"/>
        </w:rPr>
        <w:t>、</w:t>
      </w:r>
      <w:r>
        <w:rPr>
          <w:rFonts w:hint="eastAsia"/>
        </w:rPr>
        <w:t>线性</w:t>
      </w:r>
      <w:r>
        <w:rPr>
          <w:rFonts w:hint="eastAsia"/>
          <w:lang w:val="en-US" w:eastAsia="zh-CN"/>
        </w:rPr>
        <w:t>系数计算、</w:t>
      </w:r>
      <w:r>
        <w:rPr>
          <w:rFonts w:hint="eastAsia"/>
        </w:rPr>
        <w:t>综合系数</w:t>
      </w:r>
      <w:r>
        <w:rPr>
          <w:rFonts w:hint="eastAsia"/>
          <w:lang w:val="en-US" w:eastAsia="zh-CN"/>
        </w:rPr>
        <w:t>核算</w:t>
      </w:r>
      <w:r>
        <w:rPr>
          <w:rFonts w:hint="eastAsia"/>
          <w:lang w:eastAsia="zh-CN"/>
        </w:rPr>
        <w:t>及</w:t>
      </w:r>
      <w:r>
        <w:rPr>
          <w:rFonts w:hint="eastAsia"/>
        </w:rPr>
        <w:t>归一</w:t>
      </w:r>
      <w:r>
        <w:rPr>
          <w:rFonts w:hint="eastAsia"/>
          <w:lang w:val="en-US" w:eastAsia="zh-CN"/>
        </w:rPr>
        <w:t>化</w:t>
      </w:r>
      <w:r>
        <w:rPr>
          <w:rFonts w:hint="eastAsia"/>
        </w:rPr>
        <w:t>处理</w:t>
      </w:r>
      <w:r>
        <w:rPr>
          <w:rFonts w:hint="eastAsia"/>
          <w:lang w:val="en-US" w:eastAsia="zh-CN"/>
        </w:rPr>
        <w:t>4个过程得到初始权重</w:t>
      </w:r>
      <w:r>
        <w:rPr>
          <w:rFonts w:hint="eastAsia"/>
          <w:lang w:eastAsia="zh-CN"/>
        </w:rPr>
        <w:t>；</w:t>
      </w:r>
      <w:r>
        <w:rPr>
          <w:rFonts w:hint="eastAsia"/>
          <w:lang w:val="en-US" w:eastAsia="zh-CN"/>
        </w:rPr>
        <w:t>熵值法按照建立评价指标判断矩阵、</w:t>
      </w:r>
      <w:r>
        <w:t>无量纲化处理</w:t>
      </w:r>
      <w:r>
        <w:rPr>
          <w:rFonts w:hint="eastAsia"/>
          <w:lang w:eastAsia="zh-CN"/>
        </w:rPr>
        <w:t>、</w:t>
      </w:r>
      <w:r>
        <w:t>确定评</w:t>
      </w:r>
      <w:r>
        <w:rPr>
          <w:rFonts w:hint="eastAsia"/>
          <w:lang w:val="en-US" w:eastAsia="zh-CN"/>
        </w:rPr>
        <w:t>价</w:t>
      </w:r>
      <w:r>
        <w:t>指标的熵</w:t>
      </w:r>
      <w:r>
        <w:rPr>
          <w:rFonts w:hint="eastAsia"/>
          <w:lang w:val="en-US" w:eastAsia="zh-CN"/>
        </w:rPr>
        <w:t>及</w:t>
      </w:r>
      <w:r>
        <w:t>评</w:t>
      </w:r>
      <w:r>
        <w:rPr>
          <w:rFonts w:hint="eastAsia"/>
          <w:lang w:val="en-US" w:eastAsia="zh-CN"/>
        </w:rPr>
        <w:t>价</w:t>
      </w:r>
      <w:r>
        <w:t>指标的熵权计算</w:t>
      </w:r>
      <w:r>
        <w:rPr>
          <w:rFonts w:hint="eastAsia"/>
          <w:lang w:val="en-US" w:eastAsia="zh-CN"/>
        </w:rPr>
        <w:t>4个过程确定初始权重。</w:t>
      </w:r>
    </w:p>
    <w:p w14:paraId="380FCE5E">
      <w:pPr>
        <w:bidi w:val="0"/>
        <w:rPr>
          <w:rFonts w:hint="eastAsia"/>
          <w:highlight w:val="none"/>
          <w:lang w:val="en-US" w:eastAsia="zh-CN"/>
        </w:rPr>
      </w:pPr>
      <w:r>
        <w:rPr>
          <w:rFonts w:hint="eastAsia"/>
          <w:lang w:val="en-US" w:eastAsia="zh-CN"/>
        </w:rPr>
        <w:t>在此基础上，邀请省内外40余名专家对指标的重要性进行打分，最终确定指标权重。</w:t>
      </w:r>
    </w:p>
    <w:p w14:paraId="6C3A6877">
      <w:pPr>
        <w:bidi w:val="0"/>
        <w:rPr>
          <w:rFonts w:hint="eastAsia"/>
          <w:highlight w:val="none"/>
          <w:lang w:val="en-US" w:eastAsia="zh-CN"/>
        </w:rPr>
      </w:pPr>
      <w:r>
        <w:rPr>
          <w:rFonts w:hint="eastAsia"/>
          <w:highlight w:val="none"/>
          <w:lang w:val="en-US" w:eastAsia="zh-CN"/>
        </w:rPr>
        <w:t>权重=主观方法确定权重×60%+客观方法确定权重×40%。</w:t>
      </w:r>
    </w:p>
    <w:p w14:paraId="6B70026D">
      <w:pPr>
        <w:bidi w:val="0"/>
        <w:rPr>
          <w:rFonts w:hint="eastAsia"/>
          <w:lang w:val="en-US" w:eastAsia="zh-CN"/>
        </w:rPr>
      </w:pPr>
      <w:r>
        <w:rPr>
          <w:rFonts w:hint="eastAsia"/>
          <w:lang w:val="en-US" w:eastAsia="zh-CN"/>
        </w:rPr>
        <w:t>河流一级指标水生生物、水生境、水环境、水资源和社会服务权重分别为0.3、0.2、0.2、0.2和0.1；湖库一级指标水生生物、水生境、水环境、水资源和社会服务权重分别为0.3、0.3、0.2、0.1和0.1。二级指标具体权重如下：</w:t>
      </w:r>
    </w:p>
    <w:p w14:paraId="0F2E1025">
      <w:pPr>
        <w:bidi w:val="0"/>
        <w:rPr>
          <w:rFonts w:hint="eastAsia"/>
          <w:lang w:val="en-US" w:eastAsia="zh-CN"/>
        </w:rPr>
      </w:pPr>
      <w:r>
        <w:rPr>
          <w:rFonts w:hint="eastAsia"/>
          <w:lang w:val="en-US" w:eastAsia="zh-CN"/>
        </w:rPr>
        <w:br w:type="page"/>
      </w:r>
    </w:p>
    <w:p w14:paraId="25DAFCDB">
      <w:pPr>
        <w:keepNext/>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outlineLvl w:val="9"/>
        <w:rPr>
          <w:rFonts w:hint="eastAsia" w:ascii="Times New Roman" w:hAnsi="Times New Roman" w:eastAsia="仿宋_GB2312" w:cs="Times New Roman"/>
          <w:b/>
          <w:bCs/>
          <w:color w:val="000000"/>
          <w:kern w:val="0"/>
          <w:sz w:val="28"/>
          <w:szCs w:val="28"/>
          <w:lang w:val="en-US" w:eastAsia="zh-CN" w:bidi="ar"/>
        </w:rPr>
      </w:pPr>
      <w:r>
        <w:rPr>
          <w:rFonts w:hint="eastAsia" w:ascii="Times New Roman" w:hAnsi="Times New Roman" w:eastAsia="仿宋_GB2312" w:cs="Times New Roman"/>
          <w:b/>
          <w:bCs/>
          <w:color w:val="000000"/>
          <w:kern w:val="0"/>
          <w:sz w:val="28"/>
          <w:szCs w:val="28"/>
          <w:lang w:val="en-US" w:eastAsia="zh-CN" w:bidi="ar"/>
        </w:rPr>
        <w:t>表</w:t>
      </w:r>
      <w:r>
        <w:rPr>
          <w:rFonts w:hint="eastAsia" w:ascii="Times New Roman" w:hAnsi="Times New Roman" w:cs="Times New Roman"/>
          <w:b/>
          <w:bCs/>
          <w:color w:val="000000"/>
          <w:kern w:val="0"/>
          <w:sz w:val="28"/>
          <w:szCs w:val="28"/>
          <w:lang w:val="en-US" w:eastAsia="zh-CN" w:bidi="ar"/>
        </w:rPr>
        <w:t>4-</w:t>
      </w:r>
      <w:r>
        <w:rPr>
          <w:rFonts w:hint="eastAsia" w:ascii="Times New Roman" w:hAnsi="Times New Roman" w:eastAsia="仿宋_GB2312" w:cs="Times New Roman"/>
          <w:b/>
          <w:bCs/>
          <w:color w:val="000000"/>
          <w:kern w:val="0"/>
          <w:sz w:val="28"/>
          <w:szCs w:val="28"/>
          <w:lang w:val="en-US" w:eastAsia="zh-CN" w:bidi="ar"/>
        </w:rPr>
        <w:t>5 河流水生态评价指标推荐权重</w:t>
      </w:r>
    </w:p>
    <w:tbl>
      <w:tblPr>
        <w:tblStyle w:val="25"/>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83"/>
        <w:gridCol w:w="1178"/>
        <w:gridCol w:w="3954"/>
        <w:gridCol w:w="1827"/>
      </w:tblGrid>
      <w:tr w14:paraId="43B53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10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304D1">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527B1">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权重</w:t>
            </w:r>
          </w:p>
        </w:tc>
        <w:tc>
          <w:tcPr>
            <w:tcW w:w="21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29DF5">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二级指标</w:t>
            </w:r>
          </w:p>
        </w:tc>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36E5D">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权重</w:t>
            </w:r>
          </w:p>
        </w:tc>
      </w:tr>
      <w:tr w14:paraId="38324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105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EEA22">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lang w:val="en-US"/>
              </w:rPr>
            </w:pPr>
            <w:r>
              <w:rPr>
                <w:rFonts w:hint="default" w:ascii="Times New Roman" w:hAnsi="Times New Roman" w:eastAsia="仿宋_GB2312" w:cs="Times New Roman"/>
                <w:i w:val="0"/>
                <w:iCs w:val="0"/>
                <w:color w:val="000000"/>
                <w:kern w:val="0"/>
                <w:sz w:val="24"/>
                <w:szCs w:val="24"/>
                <w:u w:val="none"/>
                <w:lang w:val="en-US" w:eastAsia="zh-CN" w:bidi="ar"/>
              </w:rPr>
              <w:t>水生生物</w:t>
            </w:r>
          </w:p>
        </w:tc>
        <w:tc>
          <w:tcPr>
            <w:tcW w:w="627" w:type="pct"/>
            <w:vMerge w:val="restart"/>
            <w:tcBorders>
              <w:top w:val="single" w:color="000000" w:sz="4" w:space="0"/>
              <w:left w:val="single" w:color="000000" w:sz="4" w:space="0"/>
              <w:bottom w:val="nil"/>
              <w:right w:val="single" w:color="000000" w:sz="4" w:space="0"/>
            </w:tcBorders>
            <w:shd w:val="clear" w:color="auto" w:fill="auto"/>
            <w:noWrap/>
            <w:vAlign w:val="center"/>
          </w:tcPr>
          <w:p w14:paraId="1B4DF5D1">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0.3</w:t>
            </w:r>
          </w:p>
        </w:tc>
        <w:tc>
          <w:tcPr>
            <w:tcW w:w="2105" w:type="pct"/>
            <w:tcBorders>
              <w:top w:val="single" w:color="000000" w:sz="4" w:space="0"/>
              <w:left w:val="single" w:color="000000" w:sz="4" w:space="0"/>
              <w:bottom w:val="single" w:color="000000" w:sz="4" w:space="0"/>
              <w:right w:val="nil"/>
            </w:tcBorders>
            <w:shd w:val="clear" w:color="auto" w:fill="auto"/>
            <w:noWrap/>
            <w:vAlign w:val="center"/>
          </w:tcPr>
          <w:p w14:paraId="73D857F8">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鱼类物种数</w:t>
            </w:r>
          </w:p>
        </w:tc>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99645">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0.4</w:t>
            </w:r>
          </w:p>
        </w:tc>
      </w:tr>
      <w:tr w14:paraId="4D7BF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10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14345">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627" w:type="pct"/>
            <w:vMerge w:val="continue"/>
            <w:tcBorders>
              <w:top w:val="single" w:color="000000" w:sz="4" w:space="0"/>
              <w:left w:val="single" w:color="000000" w:sz="4" w:space="0"/>
              <w:bottom w:val="nil"/>
              <w:right w:val="single" w:color="000000" w:sz="4" w:space="0"/>
            </w:tcBorders>
            <w:shd w:val="clear" w:color="auto" w:fill="auto"/>
            <w:noWrap/>
            <w:vAlign w:val="center"/>
          </w:tcPr>
          <w:p w14:paraId="44316529">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2105" w:type="pct"/>
            <w:tcBorders>
              <w:top w:val="single" w:color="000000" w:sz="4" w:space="0"/>
              <w:left w:val="single" w:color="000000" w:sz="4" w:space="0"/>
              <w:bottom w:val="single" w:color="000000" w:sz="4" w:space="0"/>
              <w:right w:val="nil"/>
            </w:tcBorders>
            <w:shd w:val="clear" w:color="auto" w:fill="auto"/>
            <w:noWrap/>
            <w:vAlign w:val="center"/>
          </w:tcPr>
          <w:p w14:paraId="413BF355">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大型底栖动物物种数</w:t>
            </w:r>
          </w:p>
        </w:tc>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07279">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0.4</w:t>
            </w:r>
          </w:p>
        </w:tc>
      </w:tr>
      <w:tr w14:paraId="6D4E7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0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17054">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627" w:type="pct"/>
            <w:vMerge w:val="continue"/>
            <w:tcBorders>
              <w:top w:val="single" w:color="000000" w:sz="4" w:space="0"/>
              <w:left w:val="single" w:color="000000" w:sz="4" w:space="0"/>
              <w:bottom w:val="nil"/>
              <w:right w:val="single" w:color="000000" w:sz="4" w:space="0"/>
            </w:tcBorders>
            <w:shd w:val="clear" w:color="auto" w:fill="auto"/>
            <w:noWrap/>
            <w:vAlign w:val="center"/>
          </w:tcPr>
          <w:p w14:paraId="57C4156C">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2105" w:type="pct"/>
            <w:tcBorders>
              <w:top w:val="single" w:color="000000" w:sz="4" w:space="0"/>
              <w:left w:val="single" w:color="000000" w:sz="4" w:space="0"/>
              <w:bottom w:val="single" w:color="000000" w:sz="4" w:space="0"/>
              <w:right w:val="nil"/>
            </w:tcBorders>
            <w:shd w:val="clear" w:color="auto" w:fill="auto"/>
            <w:noWrap/>
            <w:vAlign w:val="center"/>
          </w:tcPr>
          <w:p w14:paraId="30704661">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着生藻类硅藻指数</w:t>
            </w:r>
          </w:p>
        </w:tc>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13701">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0.2</w:t>
            </w:r>
          </w:p>
        </w:tc>
      </w:tr>
      <w:tr w14:paraId="5F3AC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105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EFE15">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水生境</w:t>
            </w:r>
          </w:p>
        </w:tc>
        <w:tc>
          <w:tcPr>
            <w:tcW w:w="62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C91F6">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0.2</w:t>
            </w:r>
          </w:p>
        </w:tc>
        <w:tc>
          <w:tcPr>
            <w:tcW w:w="21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53AB8">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自然岸线率</w:t>
            </w:r>
          </w:p>
        </w:tc>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6D0DC">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0.3</w:t>
            </w:r>
          </w:p>
        </w:tc>
      </w:tr>
      <w:tr w14:paraId="74678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0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74DE9">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0F8E9">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21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D1A16">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河流连通性</w:t>
            </w:r>
          </w:p>
        </w:tc>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58BB5">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0.25</w:t>
            </w:r>
          </w:p>
        </w:tc>
      </w:tr>
      <w:tr w14:paraId="62659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10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1142B">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27401">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21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E3E7A">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水源涵养区生态系统质量</w:t>
            </w:r>
          </w:p>
        </w:tc>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316EE">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0.1</w:t>
            </w:r>
          </w:p>
        </w:tc>
      </w:tr>
      <w:tr w14:paraId="23754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0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DB5D4">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743F5">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21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B458">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水生生物栖息地人类活动影响指数</w:t>
            </w:r>
          </w:p>
        </w:tc>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42B3E">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0.25</w:t>
            </w:r>
          </w:p>
        </w:tc>
      </w:tr>
      <w:tr w14:paraId="1D81A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10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950C0">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DFABA">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21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AAC5A">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入海沙量保障程度*</w:t>
            </w:r>
          </w:p>
        </w:tc>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F13A3">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0.1</w:t>
            </w:r>
          </w:p>
        </w:tc>
      </w:tr>
      <w:tr w14:paraId="3376E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105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97482">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水环境</w:t>
            </w:r>
          </w:p>
        </w:tc>
        <w:tc>
          <w:tcPr>
            <w:tcW w:w="627" w:type="pct"/>
            <w:vMerge w:val="restart"/>
            <w:tcBorders>
              <w:top w:val="single" w:color="000000" w:sz="4" w:space="0"/>
              <w:left w:val="single" w:color="000000" w:sz="4" w:space="0"/>
              <w:bottom w:val="nil"/>
              <w:right w:val="single" w:color="000000" w:sz="4" w:space="0"/>
            </w:tcBorders>
            <w:shd w:val="clear" w:color="auto" w:fill="auto"/>
            <w:noWrap/>
            <w:vAlign w:val="center"/>
          </w:tcPr>
          <w:p w14:paraId="6B839F3D">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0.2</w:t>
            </w:r>
          </w:p>
        </w:tc>
        <w:tc>
          <w:tcPr>
            <w:tcW w:w="21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84596">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综合污染状况</w:t>
            </w:r>
          </w:p>
        </w:tc>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6F684">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0.6</w:t>
            </w:r>
          </w:p>
        </w:tc>
      </w:tr>
      <w:tr w14:paraId="0457B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0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54143">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627" w:type="pct"/>
            <w:vMerge w:val="continue"/>
            <w:tcBorders>
              <w:top w:val="single" w:color="000000" w:sz="4" w:space="0"/>
              <w:left w:val="single" w:color="000000" w:sz="4" w:space="0"/>
              <w:bottom w:val="nil"/>
              <w:right w:val="single" w:color="000000" w:sz="4" w:space="0"/>
            </w:tcBorders>
            <w:shd w:val="clear" w:color="auto" w:fill="auto"/>
            <w:noWrap/>
            <w:vAlign w:val="center"/>
          </w:tcPr>
          <w:p w14:paraId="273C0DD6">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21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DCC8E">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汛期污染强度</w:t>
            </w:r>
          </w:p>
        </w:tc>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0484F">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0.4</w:t>
            </w:r>
          </w:p>
        </w:tc>
      </w:tr>
      <w:tr w14:paraId="2AD55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1056" w:type="pct"/>
            <w:vMerge w:val="restart"/>
            <w:tcBorders>
              <w:top w:val="single" w:color="000000" w:sz="4" w:space="0"/>
              <w:left w:val="single" w:color="000000" w:sz="4" w:space="0"/>
              <w:bottom w:val="nil"/>
              <w:right w:val="single" w:color="000000" w:sz="4" w:space="0"/>
            </w:tcBorders>
            <w:shd w:val="clear" w:color="auto" w:fill="auto"/>
            <w:noWrap/>
            <w:vAlign w:val="center"/>
          </w:tcPr>
          <w:p w14:paraId="7C62C35C">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水资源</w:t>
            </w:r>
          </w:p>
        </w:tc>
        <w:tc>
          <w:tcPr>
            <w:tcW w:w="627" w:type="pct"/>
            <w:vMerge w:val="restart"/>
            <w:tcBorders>
              <w:top w:val="single" w:color="000000" w:sz="4" w:space="0"/>
              <w:left w:val="single" w:color="000000" w:sz="4" w:space="0"/>
              <w:bottom w:val="nil"/>
              <w:right w:val="single" w:color="000000" w:sz="4" w:space="0"/>
            </w:tcBorders>
            <w:shd w:val="clear" w:color="auto" w:fill="auto"/>
            <w:noWrap/>
            <w:vAlign w:val="center"/>
          </w:tcPr>
          <w:p w14:paraId="19CE6357">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0.2</w:t>
            </w:r>
          </w:p>
        </w:tc>
        <w:tc>
          <w:tcPr>
            <w:tcW w:w="21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C091D">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生态流量满足程度</w:t>
            </w:r>
          </w:p>
        </w:tc>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B44F2">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0.6</w:t>
            </w:r>
          </w:p>
        </w:tc>
      </w:tr>
      <w:tr w14:paraId="4B66F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1056" w:type="pct"/>
            <w:vMerge w:val="continue"/>
            <w:tcBorders>
              <w:top w:val="single" w:color="000000" w:sz="4" w:space="0"/>
              <w:left w:val="single" w:color="000000" w:sz="4" w:space="0"/>
              <w:bottom w:val="nil"/>
              <w:right w:val="single" w:color="000000" w:sz="4" w:space="0"/>
            </w:tcBorders>
            <w:shd w:val="clear" w:color="auto" w:fill="auto"/>
            <w:noWrap/>
            <w:vAlign w:val="center"/>
          </w:tcPr>
          <w:p w14:paraId="38978F79">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627" w:type="pct"/>
            <w:vMerge w:val="continue"/>
            <w:tcBorders>
              <w:top w:val="single" w:color="000000" w:sz="4" w:space="0"/>
              <w:left w:val="single" w:color="000000" w:sz="4" w:space="0"/>
              <w:bottom w:val="nil"/>
              <w:right w:val="single" w:color="000000" w:sz="4" w:space="0"/>
            </w:tcBorders>
            <w:shd w:val="clear" w:color="auto" w:fill="auto"/>
            <w:noWrap/>
            <w:vAlign w:val="center"/>
          </w:tcPr>
          <w:p w14:paraId="0CA17CBD">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21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725B9">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断流干涸程度</w:t>
            </w:r>
          </w:p>
        </w:tc>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8E7C1">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0.4</w:t>
            </w:r>
          </w:p>
        </w:tc>
      </w:tr>
      <w:tr w14:paraId="0BA38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1056" w:type="pct"/>
            <w:tcBorders>
              <w:top w:val="single" w:color="000000" w:sz="4" w:space="0"/>
              <w:left w:val="single" w:color="000000" w:sz="4" w:space="0"/>
              <w:bottom w:val="nil"/>
              <w:right w:val="single" w:color="000000" w:sz="4" w:space="0"/>
            </w:tcBorders>
            <w:shd w:val="clear" w:color="auto" w:fill="auto"/>
            <w:noWrap/>
            <w:vAlign w:val="center"/>
          </w:tcPr>
          <w:p w14:paraId="7D5761E6">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社会服务</w:t>
            </w:r>
          </w:p>
        </w:tc>
        <w:tc>
          <w:tcPr>
            <w:tcW w:w="627" w:type="pct"/>
            <w:tcBorders>
              <w:top w:val="single" w:color="000000" w:sz="4" w:space="0"/>
              <w:left w:val="single" w:color="000000" w:sz="4" w:space="0"/>
              <w:bottom w:val="nil"/>
              <w:right w:val="single" w:color="000000" w:sz="4" w:space="0"/>
            </w:tcBorders>
            <w:shd w:val="clear" w:color="auto" w:fill="auto"/>
            <w:noWrap/>
            <w:vAlign w:val="center"/>
          </w:tcPr>
          <w:p w14:paraId="5B8C864F">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0.1</w:t>
            </w:r>
          </w:p>
        </w:tc>
        <w:tc>
          <w:tcPr>
            <w:tcW w:w="21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8C7E5">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公众满意度</w:t>
            </w:r>
          </w:p>
        </w:tc>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409EE">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1</w:t>
            </w:r>
          </w:p>
        </w:tc>
      </w:tr>
      <w:tr w14:paraId="0D5B3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47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E379562">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*为备选指标，备选指标如果未选中，其权重分配到水源涵养区生态系统质量</w:t>
            </w:r>
          </w:p>
        </w:tc>
      </w:tr>
    </w:tbl>
    <w:p w14:paraId="5D5D8E1F">
      <w:pPr>
        <w:keepNext/>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outlineLvl w:val="9"/>
        <w:rPr>
          <w:rFonts w:hint="eastAsia" w:ascii="Times New Roman" w:hAnsi="Times New Roman" w:eastAsia="仿宋_GB2312" w:cs="Times New Roman"/>
          <w:b/>
          <w:bCs/>
          <w:color w:val="000000"/>
          <w:kern w:val="0"/>
          <w:sz w:val="28"/>
          <w:szCs w:val="28"/>
          <w:lang w:val="en-US" w:eastAsia="zh-CN" w:bidi="ar"/>
        </w:rPr>
      </w:pPr>
      <w:r>
        <w:rPr>
          <w:rFonts w:hint="eastAsia" w:ascii="Times New Roman" w:hAnsi="Times New Roman" w:eastAsia="仿宋_GB2312" w:cs="Times New Roman"/>
          <w:b/>
          <w:bCs/>
          <w:color w:val="000000"/>
          <w:kern w:val="0"/>
          <w:sz w:val="28"/>
          <w:szCs w:val="28"/>
          <w:lang w:val="en-US" w:eastAsia="zh-CN" w:bidi="ar"/>
        </w:rPr>
        <w:t>表</w:t>
      </w:r>
      <w:r>
        <w:rPr>
          <w:rFonts w:hint="eastAsia" w:ascii="Times New Roman" w:hAnsi="Times New Roman" w:cs="Times New Roman"/>
          <w:b/>
          <w:bCs/>
          <w:color w:val="000000"/>
          <w:kern w:val="0"/>
          <w:sz w:val="28"/>
          <w:szCs w:val="28"/>
          <w:lang w:val="en-US" w:eastAsia="zh-CN" w:bidi="ar"/>
        </w:rPr>
        <w:t>4-</w:t>
      </w:r>
      <w:r>
        <w:rPr>
          <w:rFonts w:hint="eastAsia" w:ascii="Times New Roman" w:hAnsi="Times New Roman" w:eastAsia="仿宋_GB2312" w:cs="Times New Roman"/>
          <w:b/>
          <w:bCs/>
          <w:color w:val="000000"/>
          <w:kern w:val="0"/>
          <w:sz w:val="28"/>
          <w:szCs w:val="28"/>
          <w:lang w:val="en-US" w:eastAsia="zh-CN" w:bidi="ar"/>
        </w:rPr>
        <w:t>6 湖库水生态评价指标推荐权重</w:t>
      </w:r>
    </w:p>
    <w:tbl>
      <w:tblPr>
        <w:tblStyle w:val="2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58"/>
        <w:gridCol w:w="1259"/>
        <w:gridCol w:w="3933"/>
        <w:gridCol w:w="1796"/>
      </w:tblGrid>
      <w:tr w14:paraId="0EFC2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4EF65">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一级指标</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F5887">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权重</w:t>
            </w:r>
          </w:p>
        </w:tc>
        <w:tc>
          <w:tcPr>
            <w:tcW w:w="2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D2018">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二级指标</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4C567">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权重</w:t>
            </w:r>
          </w:p>
        </w:tc>
      </w:tr>
      <w:tr w14:paraId="384B4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9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844F2">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lang w:val="en-US"/>
              </w:rPr>
            </w:pPr>
            <w:r>
              <w:rPr>
                <w:rFonts w:hint="default" w:ascii="Times New Roman" w:hAnsi="Times New Roman" w:eastAsia="仿宋_GB2312" w:cs="Times New Roman"/>
                <w:i w:val="0"/>
                <w:iCs w:val="0"/>
                <w:color w:val="000000"/>
                <w:kern w:val="0"/>
                <w:sz w:val="24"/>
                <w:szCs w:val="24"/>
                <w:u w:val="none"/>
                <w:lang w:val="en-US" w:eastAsia="zh-CN" w:bidi="ar"/>
              </w:rPr>
              <w:t>水生生物</w:t>
            </w:r>
          </w:p>
        </w:tc>
        <w:tc>
          <w:tcPr>
            <w:tcW w:w="703" w:type="pct"/>
            <w:vMerge w:val="restart"/>
            <w:tcBorders>
              <w:top w:val="single" w:color="000000" w:sz="4" w:space="0"/>
              <w:left w:val="single" w:color="000000" w:sz="4" w:space="0"/>
              <w:bottom w:val="nil"/>
              <w:right w:val="single" w:color="000000" w:sz="4" w:space="0"/>
            </w:tcBorders>
            <w:shd w:val="clear" w:color="auto" w:fill="auto"/>
            <w:noWrap/>
            <w:vAlign w:val="center"/>
          </w:tcPr>
          <w:p w14:paraId="384C693A">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0.3</w:t>
            </w:r>
          </w:p>
        </w:tc>
        <w:tc>
          <w:tcPr>
            <w:tcW w:w="2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8C01C">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鱼类物种数</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18DD4">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0.3</w:t>
            </w:r>
          </w:p>
        </w:tc>
      </w:tr>
      <w:tr w14:paraId="3374A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9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165AA">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703" w:type="pct"/>
            <w:vMerge w:val="continue"/>
            <w:tcBorders>
              <w:top w:val="single" w:color="000000" w:sz="4" w:space="0"/>
              <w:left w:val="single" w:color="000000" w:sz="4" w:space="0"/>
              <w:bottom w:val="nil"/>
              <w:right w:val="single" w:color="000000" w:sz="4" w:space="0"/>
            </w:tcBorders>
            <w:shd w:val="clear" w:color="auto" w:fill="auto"/>
            <w:noWrap/>
            <w:vAlign w:val="center"/>
          </w:tcPr>
          <w:p w14:paraId="51C96A8E">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2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00ED3">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大型底栖动物物种数</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D7DBF">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0.3</w:t>
            </w:r>
          </w:p>
        </w:tc>
      </w:tr>
      <w:tr w14:paraId="3A888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9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AA588">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703" w:type="pct"/>
            <w:vMerge w:val="continue"/>
            <w:tcBorders>
              <w:top w:val="single" w:color="000000" w:sz="4" w:space="0"/>
              <w:left w:val="single" w:color="000000" w:sz="4" w:space="0"/>
              <w:bottom w:val="nil"/>
              <w:right w:val="single" w:color="000000" w:sz="4" w:space="0"/>
            </w:tcBorders>
            <w:shd w:val="clear" w:color="auto" w:fill="auto"/>
            <w:noWrap/>
            <w:vAlign w:val="center"/>
          </w:tcPr>
          <w:p w14:paraId="22B9A389">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2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10063">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浮游植物多样性</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1A5CE">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0.1</w:t>
            </w:r>
          </w:p>
        </w:tc>
      </w:tr>
      <w:tr w14:paraId="51938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9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FB2A3">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703" w:type="pct"/>
            <w:vMerge w:val="continue"/>
            <w:tcBorders>
              <w:top w:val="single" w:color="000000" w:sz="4" w:space="0"/>
              <w:left w:val="single" w:color="000000" w:sz="4" w:space="0"/>
              <w:bottom w:val="nil"/>
              <w:right w:val="single" w:color="000000" w:sz="4" w:space="0"/>
            </w:tcBorders>
            <w:shd w:val="clear" w:color="auto" w:fill="auto"/>
            <w:noWrap/>
            <w:vAlign w:val="center"/>
          </w:tcPr>
          <w:p w14:paraId="170E3579">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2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799A9">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浮游动物多样性指数</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6281E">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0.1</w:t>
            </w:r>
          </w:p>
        </w:tc>
      </w:tr>
      <w:tr w14:paraId="7644D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9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5A077">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703" w:type="pct"/>
            <w:vMerge w:val="continue"/>
            <w:tcBorders>
              <w:top w:val="single" w:color="000000" w:sz="4" w:space="0"/>
              <w:left w:val="single" w:color="000000" w:sz="4" w:space="0"/>
              <w:bottom w:val="nil"/>
              <w:right w:val="single" w:color="000000" w:sz="4" w:space="0"/>
            </w:tcBorders>
            <w:shd w:val="clear" w:color="auto" w:fill="auto"/>
            <w:noWrap/>
            <w:vAlign w:val="center"/>
          </w:tcPr>
          <w:p w14:paraId="62526A89">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2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74FC1">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水生植被覆盖度</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41C0B">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0.2</w:t>
            </w:r>
          </w:p>
        </w:tc>
      </w:tr>
      <w:tr w14:paraId="59888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9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DCB06">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水生境</w:t>
            </w:r>
          </w:p>
        </w:tc>
        <w:tc>
          <w:tcPr>
            <w:tcW w:w="703" w:type="pct"/>
            <w:vMerge w:val="restart"/>
            <w:tcBorders>
              <w:top w:val="single" w:color="000000" w:sz="4" w:space="0"/>
              <w:left w:val="single" w:color="000000" w:sz="4" w:space="0"/>
              <w:bottom w:val="nil"/>
              <w:right w:val="single" w:color="000000" w:sz="4" w:space="0"/>
            </w:tcBorders>
            <w:shd w:val="clear" w:color="auto" w:fill="auto"/>
            <w:noWrap/>
            <w:vAlign w:val="center"/>
          </w:tcPr>
          <w:p w14:paraId="0CAA1D5C">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0.3</w:t>
            </w:r>
          </w:p>
        </w:tc>
        <w:tc>
          <w:tcPr>
            <w:tcW w:w="2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79D6B">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自然岸线率</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0C393">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0.3</w:t>
            </w:r>
          </w:p>
        </w:tc>
      </w:tr>
      <w:tr w14:paraId="5EEE6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9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9096F">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703" w:type="pct"/>
            <w:vMerge w:val="continue"/>
            <w:tcBorders>
              <w:top w:val="single" w:color="000000" w:sz="4" w:space="0"/>
              <w:left w:val="single" w:color="000000" w:sz="4" w:space="0"/>
              <w:bottom w:val="nil"/>
              <w:right w:val="single" w:color="000000" w:sz="4" w:space="0"/>
            </w:tcBorders>
            <w:shd w:val="clear" w:color="auto" w:fill="auto"/>
            <w:noWrap/>
            <w:vAlign w:val="center"/>
          </w:tcPr>
          <w:p w14:paraId="65710358">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2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60E72">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湖（库）连通性</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6C793">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0.25</w:t>
            </w:r>
          </w:p>
        </w:tc>
      </w:tr>
      <w:tr w14:paraId="357AE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9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A0BFE">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703" w:type="pct"/>
            <w:vMerge w:val="continue"/>
            <w:tcBorders>
              <w:top w:val="single" w:color="000000" w:sz="4" w:space="0"/>
              <w:left w:val="single" w:color="000000" w:sz="4" w:space="0"/>
              <w:bottom w:val="nil"/>
              <w:right w:val="single" w:color="000000" w:sz="4" w:space="0"/>
            </w:tcBorders>
            <w:shd w:val="clear" w:color="auto" w:fill="auto"/>
            <w:noWrap/>
            <w:vAlign w:val="center"/>
          </w:tcPr>
          <w:p w14:paraId="022614D2">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2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F0CE1">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水源涵养区生态系统质量</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7B51F">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0.2</w:t>
            </w:r>
          </w:p>
        </w:tc>
      </w:tr>
      <w:tr w14:paraId="2B2F9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9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823A3">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703" w:type="pct"/>
            <w:vMerge w:val="continue"/>
            <w:tcBorders>
              <w:top w:val="single" w:color="000000" w:sz="4" w:space="0"/>
              <w:left w:val="single" w:color="000000" w:sz="4" w:space="0"/>
              <w:bottom w:val="nil"/>
              <w:right w:val="single" w:color="000000" w:sz="4" w:space="0"/>
            </w:tcBorders>
            <w:shd w:val="clear" w:color="auto" w:fill="auto"/>
            <w:noWrap/>
            <w:vAlign w:val="center"/>
          </w:tcPr>
          <w:p w14:paraId="15D85381">
            <w:pPr>
              <w:spacing w:line="240" w:lineRule="auto"/>
              <w:ind w:firstLine="0" w:firstLineChars="0"/>
              <w:jc w:val="center"/>
              <w:rPr>
                <w:rFonts w:hint="default" w:ascii="Times New Roman" w:hAnsi="Times New Roman" w:eastAsia="仿宋_GB2312" w:cs="Times New Roman"/>
                <w:i w:val="0"/>
                <w:iCs w:val="0"/>
                <w:color w:val="000000"/>
                <w:sz w:val="24"/>
                <w:szCs w:val="24"/>
                <w:u w:val="none"/>
              </w:rPr>
            </w:pPr>
          </w:p>
        </w:tc>
        <w:tc>
          <w:tcPr>
            <w:tcW w:w="2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ED271">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水生生物栖息地人类活动影响指数</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3F9DD">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0.25</w:t>
            </w:r>
          </w:p>
        </w:tc>
      </w:tr>
      <w:tr w14:paraId="2F652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94" w:type="pct"/>
            <w:tcBorders>
              <w:top w:val="single" w:color="000000" w:sz="4" w:space="0"/>
              <w:left w:val="single" w:color="000000" w:sz="4" w:space="0"/>
              <w:bottom w:val="nil"/>
              <w:right w:val="single" w:color="000000" w:sz="4" w:space="0"/>
            </w:tcBorders>
            <w:shd w:val="clear" w:color="auto" w:fill="auto"/>
            <w:noWrap/>
            <w:vAlign w:val="center"/>
          </w:tcPr>
          <w:p w14:paraId="0DFD83FE">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水环境</w:t>
            </w:r>
          </w:p>
        </w:tc>
        <w:tc>
          <w:tcPr>
            <w:tcW w:w="703" w:type="pct"/>
            <w:tcBorders>
              <w:top w:val="single" w:color="000000" w:sz="4" w:space="0"/>
              <w:left w:val="single" w:color="000000" w:sz="4" w:space="0"/>
              <w:bottom w:val="nil"/>
              <w:right w:val="single" w:color="000000" w:sz="4" w:space="0"/>
            </w:tcBorders>
            <w:shd w:val="clear" w:color="auto" w:fill="auto"/>
            <w:noWrap/>
            <w:vAlign w:val="center"/>
          </w:tcPr>
          <w:p w14:paraId="1E746BF7">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0.2</w:t>
            </w:r>
          </w:p>
        </w:tc>
        <w:tc>
          <w:tcPr>
            <w:tcW w:w="2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34AF0">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综合营养状态指数</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881F1">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1</w:t>
            </w:r>
          </w:p>
        </w:tc>
      </w:tr>
      <w:tr w14:paraId="4D8D6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94" w:type="pct"/>
            <w:tcBorders>
              <w:top w:val="single" w:color="000000" w:sz="4" w:space="0"/>
              <w:left w:val="single" w:color="000000" w:sz="4" w:space="0"/>
              <w:bottom w:val="nil"/>
              <w:right w:val="single" w:color="000000" w:sz="4" w:space="0"/>
            </w:tcBorders>
            <w:shd w:val="clear" w:color="auto" w:fill="auto"/>
            <w:noWrap/>
            <w:vAlign w:val="center"/>
          </w:tcPr>
          <w:p w14:paraId="5CE94106">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水资源</w:t>
            </w:r>
          </w:p>
        </w:tc>
        <w:tc>
          <w:tcPr>
            <w:tcW w:w="703" w:type="pct"/>
            <w:tcBorders>
              <w:top w:val="single" w:color="000000" w:sz="4" w:space="0"/>
              <w:left w:val="single" w:color="000000" w:sz="4" w:space="0"/>
              <w:bottom w:val="nil"/>
              <w:right w:val="single" w:color="000000" w:sz="4" w:space="0"/>
            </w:tcBorders>
            <w:shd w:val="clear" w:color="auto" w:fill="auto"/>
            <w:noWrap/>
            <w:vAlign w:val="center"/>
          </w:tcPr>
          <w:p w14:paraId="5DC94C7C">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0.1</w:t>
            </w:r>
          </w:p>
        </w:tc>
        <w:tc>
          <w:tcPr>
            <w:tcW w:w="2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1A0C2">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生态水位满足程度</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347EA">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1</w:t>
            </w:r>
          </w:p>
        </w:tc>
      </w:tr>
      <w:tr w14:paraId="35E45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34B1C">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社会服务</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E981A">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0.1</w:t>
            </w:r>
          </w:p>
        </w:tc>
        <w:tc>
          <w:tcPr>
            <w:tcW w:w="2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E578A">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公众满意度</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51591">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1</w:t>
            </w:r>
          </w:p>
        </w:tc>
      </w:tr>
    </w:tbl>
    <w:p w14:paraId="2DD3A1C8">
      <w:pPr>
        <w:bidi w:val="0"/>
        <w:rPr>
          <w:rFonts w:hint="default" w:ascii="Times New Roman" w:hAnsi="Times New Roman"/>
          <w:lang w:val="en-US" w:eastAsia="zh-CN"/>
        </w:rPr>
      </w:pPr>
      <w:r>
        <w:rPr>
          <w:rFonts w:hint="eastAsia" w:ascii="Times New Roman" w:hAnsi="Times New Roman"/>
          <w:lang w:val="en-US" w:eastAsia="zh-CN"/>
        </w:rPr>
        <w:t>3.</w:t>
      </w:r>
      <w:r>
        <w:rPr>
          <w:rFonts w:hint="default" w:ascii="Times New Roman" w:hAnsi="Times New Roman"/>
          <w:lang w:val="en-US" w:eastAsia="zh-CN"/>
        </w:rPr>
        <w:t>水生态状况综合评价</w:t>
      </w:r>
    </w:p>
    <w:p w14:paraId="2386CC5C">
      <w:pPr>
        <w:rPr>
          <w:rFonts w:hint="default"/>
          <w:lang w:val="en-US" w:eastAsia="zh-CN"/>
        </w:rPr>
      </w:pPr>
      <w:r>
        <w:rPr>
          <w:rFonts w:hint="eastAsia"/>
          <w:lang w:val="en-US" w:eastAsia="zh-CN"/>
        </w:rPr>
        <w:t>充分吸纳国家及其他省份经验做法，兼顾我省实际情况，利用综合指数法开展水生态状况综合评价。具体来说，通过</w:t>
      </w:r>
      <w:r>
        <w:rPr>
          <w:rFonts w:hint="default"/>
          <w:lang w:val="en-US" w:eastAsia="zh-CN"/>
        </w:rPr>
        <w:t>水生生物、水生境、水环境、水资源、社会服务指标</w:t>
      </w:r>
      <w:r>
        <w:rPr>
          <w:rFonts w:hint="eastAsia"/>
          <w:lang w:val="en-US" w:eastAsia="zh-CN"/>
        </w:rPr>
        <w:t>加权求和，计算水生态状况指数，根据指数得分将水生态状况分为五级，依次为“优秀”“良好”“中等”“较差”“很差”。</w:t>
      </w:r>
    </w:p>
    <w:p w14:paraId="47455C54">
      <w:pPr>
        <w:bidi w:val="0"/>
        <w:rPr>
          <w:rFonts w:hint="default" w:ascii="Times New Roman" w:hAnsi="Times New Roman"/>
          <w:lang w:val="en-US" w:eastAsia="zh-CN"/>
        </w:rPr>
      </w:pPr>
      <w:r>
        <w:rPr>
          <w:rFonts w:hint="eastAsia" w:ascii="Times New Roman" w:hAnsi="Times New Roman"/>
          <w:lang w:val="en-US" w:eastAsia="zh-CN"/>
        </w:rPr>
        <w:t>4.</w:t>
      </w:r>
      <w:r>
        <w:rPr>
          <w:rFonts w:hint="default" w:ascii="Times New Roman" w:hAnsi="Times New Roman"/>
          <w:lang w:val="en-US" w:eastAsia="zh-CN"/>
        </w:rPr>
        <w:t>水生态调查要求</w:t>
      </w:r>
    </w:p>
    <w:p w14:paraId="484E0366">
      <w:pPr>
        <w:rPr>
          <w:rFonts w:hint="default"/>
          <w:lang w:val="en-US" w:eastAsia="zh-CN"/>
        </w:rPr>
      </w:pPr>
      <w:r>
        <w:rPr>
          <w:rFonts w:hint="default"/>
          <w:lang w:val="en-US" w:eastAsia="zh-CN"/>
        </w:rPr>
        <w:t>本</w:t>
      </w:r>
      <w:r>
        <w:rPr>
          <w:rFonts w:hint="eastAsia"/>
          <w:lang w:val="en-US" w:eastAsia="zh-CN"/>
        </w:rPr>
        <w:t>标准充分衔接了国家的水生态调查方法，</w:t>
      </w:r>
      <w:r>
        <w:rPr>
          <w:rFonts w:hint="default"/>
          <w:lang w:val="en-US" w:eastAsia="zh-CN"/>
        </w:rPr>
        <w:t>明确了水生生物、水生境、水环境、水资源</w:t>
      </w:r>
      <w:r>
        <w:rPr>
          <w:rFonts w:hint="eastAsia"/>
          <w:lang w:val="en-US" w:eastAsia="zh-CN"/>
        </w:rPr>
        <w:t>和</w:t>
      </w:r>
      <w:r>
        <w:rPr>
          <w:rFonts w:hint="default"/>
          <w:lang w:val="en-US" w:eastAsia="zh-CN"/>
        </w:rPr>
        <w:t>社会服务</w:t>
      </w:r>
      <w:r>
        <w:rPr>
          <w:rFonts w:hint="eastAsia"/>
          <w:lang w:val="en-US" w:eastAsia="zh-CN"/>
        </w:rPr>
        <w:t>指标调查</w:t>
      </w:r>
      <w:r>
        <w:rPr>
          <w:rFonts w:hint="default"/>
          <w:lang w:val="en-US" w:eastAsia="zh-CN"/>
        </w:rPr>
        <w:t>频次</w:t>
      </w:r>
      <w:r>
        <w:rPr>
          <w:rFonts w:hint="eastAsia"/>
          <w:lang w:val="en-US" w:eastAsia="zh-CN"/>
        </w:rPr>
        <w:t>、</w:t>
      </w:r>
      <w:r>
        <w:rPr>
          <w:rFonts w:hint="default"/>
          <w:lang w:val="en-US" w:eastAsia="zh-CN"/>
        </w:rPr>
        <w:t>时间</w:t>
      </w:r>
      <w:r>
        <w:rPr>
          <w:rFonts w:hint="eastAsia"/>
          <w:lang w:val="en-US" w:eastAsia="zh-CN"/>
        </w:rPr>
        <w:t>及方法</w:t>
      </w:r>
      <w:r>
        <w:rPr>
          <w:rFonts w:hint="default"/>
          <w:lang w:val="en-US" w:eastAsia="zh-CN"/>
        </w:rPr>
        <w:t>。</w:t>
      </w:r>
      <w:r>
        <w:rPr>
          <w:rFonts w:hint="eastAsia"/>
          <w:lang w:val="en-US" w:eastAsia="zh-CN"/>
        </w:rPr>
        <w:t>其中，水生生物调查严格按照《水生态监测技术指南 河流水生生物监测与评价（试行）》等标准文件执行；水生境调查严格按照《全国生态状况调查评估技术规范一生态系统质量评估》等标准文件执行；水资源调查要求与水利部门的监测频次保持一致，按照水利部门监测方案执行；水环境调查中，国控点位按照生态环境部每年印发的年度国家生态环境监测方案执行，省控、市控点位按照地方生态环境监测方案执行，其他点位水环境监测与水生生物调查同步开展。具体参考执行标准如下：</w:t>
      </w:r>
    </w:p>
    <w:p w14:paraId="494F6A24">
      <w:pPr>
        <w:keepNext/>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outlineLvl w:val="9"/>
        <w:rPr>
          <w:rFonts w:hint="eastAsia" w:ascii="Times New Roman" w:hAnsi="Times New Roman" w:eastAsia="仿宋_GB2312" w:cs="Times New Roman"/>
          <w:b/>
          <w:bCs/>
          <w:color w:val="000000"/>
          <w:kern w:val="0"/>
          <w:sz w:val="28"/>
          <w:szCs w:val="28"/>
          <w:lang w:val="en-US" w:eastAsia="zh-CN" w:bidi="ar"/>
        </w:rPr>
      </w:pPr>
      <w:r>
        <w:rPr>
          <w:rFonts w:hint="eastAsia" w:ascii="Times New Roman" w:hAnsi="Times New Roman" w:eastAsia="仿宋_GB2312" w:cs="Times New Roman"/>
          <w:b/>
          <w:bCs/>
          <w:color w:val="000000"/>
          <w:kern w:val="0"/>
          <w:sz w:val="28"/>
          <w:szCs w:val="28"/>
          <w:lang w:val="en-US" w:eastAsia="zh-CN" w:bidi="ar"/>
        </w:rPr>
        <w:t>表4</w:t>
      </w:r>
      <w:r>
        <w:rPr>
          <w:rFonts w:hint="eastAsia" w:ascii="Times New Roman" w:hAnsi="Times New Roman" w:cs="Times New Roman"/>
          <w:b/>
          <w:bCs/>
          <w:color w:val="000000"/>
          <w:kern w:val="0"/>
          <w:sz w:val="28"/>
          <w:szCs w:val="28"/>
          <w:lang w:val="en-US" w:eastAsia="zh-CN" w:bidi="ar"/>
        </w:rPr>
        <w:t>-7</w:t>
      </w:r>
      <w:r>
        <w:rPr>
          <w:rFonts w:hint="eastAsia" w:ascii="Times New Roman" w:hAnsi="Times New Roman" w:eastAsia="仿宋_GB2312" w:cs="Times New Roman"/>
          <w:b/>
          <w:bCs/>
          <w:color w:val="000000"/>
          <w:kern w:val="0"/>
          <w:sz w:val="28"/>
          <w:szCs w:val="28"/>
          <w:lang w:val="en-US" w:eastAsia="zh-CN" w:bidi="ar"/>
        </w:rPr>
        <w:t xml:space="preserve"> 水生态调查参照标准、文件</w:t>
      </w:r>
    </w:p>
    <w:tbl>
      <w:tblPr>
        <w:tblStyle w:val="2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7"/>
        <w:gridCol w:w="5086"/>
        <w:gridCol w:w="2903"/>
      </w:tblGrid>
      <w:tr w14:paraId="0C0B2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A1168">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类型</w:t>
            </w: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CE750">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标准、文件名称</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09D8E">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文号/编号</w:t>
            </w:r>
          </w:p>
        </w:tc>
      </w:tr>
      <w:tr w14:paraId="6BB17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672C5">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水生生物</w:t>
            </w:r>
          </w:p>
        </w:tc>
        <w:tc>
          <w:tcPr>
            <w:tcW w:w="28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F6D68">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《生物多样性观测技术导则 内陆水域鱼类》</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5A2DC">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HJ</w:t>
            </w:r>
            <w:r>
              <w:rPr>
                <w:rFonts w:hint="eastAsia" w:cs="Times New Roman"/>
                <w:i w:val="0"/>
                <w:iCs w:val="0"/>
                <w:color w:val="000000"/>
                <w:kern w:val="0"/>
                <w:sz w:val="24"/>
                <w:szCs w:val="24"/>
                <w:u w:val="none"/>
                <w:lang w:val="en-US" w:eastAsia="zh-CN" w:bidi="ar"/>
              </w:rPr>
              <w:t xml:space="preserve"> </w:t>
            </w:r>
            <w:r>
              <w:rPr>
                <w:rFonts w:hint="default" w:ascii="Times New Roman" w:hAnsi="Times New Roman" w:eastAsia="仿宋_GB2312" w:cs="Times New Roman"/>
                <w:i w:val="0"/>
                <w:iCs w:val="0"/>
                <w:color w:val="000000"/>
                <w:kern w:val="0"/>
                <w:sz w:val="24"/>
                <w:szCs w:val="24"/>
                <w:u w:val="none"/>
                <w:lang w:val="en-US" w:eastAsia="zh-CN" w:bidi="ar"/>
              </w:rPr>
              <w:t>710.7-2014</w:t>
            </w:r>
          </w:p>
        </w:tc>
      </w:tr>
      <w:tr w14:paraId="60073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F1160">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B613A">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《长江流域水生生物完整性指数评价办法》</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89E98">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农长渔发〔2021〕3号</w:t>
            </w:r>
          </w:p>
        </w:tc>
      </w:tr>
      <w:tr w14:paraId="1050E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40C53">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F9F4B">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《水生态监测技术要求 大型底栖动物（试行）》</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6DFD6">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总站水字〔2021〕33号</w:t>
            </w:r>
          </w:p>
        </w:tc>
      </w:tr>
      <w:tr w14:paraId="40341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66F1D">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6E93D">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《水生态监测技术指南 河流水生生物监测与评价（试行）》</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8F7FB">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HJ</w:t>
            </w:r>
            <w:r>
              <w:rPr>
                <w:rFonts w:hint="eastAsia" w:cs="Times New Roman"/>
                <w:i w:val="0"/>
                <w:iCs w:val="0"/>
                <w:color w:val="000000"/>
                <w:kern w:val="0"/>
                <w:sz w:val="24"/>
                <w:szCs w:val="24"/>
                <w:u w:val="none"/>
                <w:lang w:val="en-US" w:eastAsia="zh-CN" w:bidi="ar"/>
              </w:rPr>
              <w:t xml:space="preserve"> </w:t>
            </w:r>
            <w:r>
              <w:rPr>
                <w:rFonts w:hint="default" w:ascii="Times New Roman" w:hAnsi="Times New Roman" w:eastAsia="仿宋_GB2312" w:cs="Times New Roman"/>
                <w:i w:val="0"/>
                <w:iCs w:val="0"/>
                <w:color w:val="000000"/>
                <w:kern w:val="0"/>
                <w:sz w:val="24"/>
                <w:szCs w:val="24"/>
                <w:u w:val="none"/>
                <w:lang w:val="en-US" w:eastAsia="zh-CN" w:bidi="ar"/>
              </w:rPr>
              <w:t>1295-2023</w:t>
            </w:r>
          </w:p>
        </w:tc>
      </w:tr>
      <w:tr w14:paraId="19F76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A044C">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816F4">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《水生态监测技术要求 淡水着生藻类（试行）》</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8C3D8">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总站水字〔2021〕629号</w:t>
            </w:r>
          </w:p>
        </w:tc>
      </w:tr>
      <w:tr w14:paraId="1B5F3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47D4C">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CA74B">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《水生态监测技术指南湖泊和水库水生生物监测与评价（试行）》</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45484">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HJ</w:t>
            </w:r>
            <w:r>
              <w:rPr>
                <w:rFonts w:hint="eastAsia" w:cs="Times New Roman"/>
                <w:i w:val="0"/>
                <w:iCs w:val="0"/>
                <w:color w:val="000000"/>
                <w:kern w:val="0"/>
                <w:sz w:val="24"/>
                <w:szCs w:val="24"/>
                <w:u w:val="none"/>
                <w:lang w:val="en-US" w:eastAsia="zh-CN" w:bidi="ar"/>
              </w:rPr>
              <w:t xml:space="preserve"> </w:t>
            </w:r>
            <w:r>
              <w:rPr>
                <w:rFonts w:hint="default" w:ascii="Times New Roman" w:hAnsi="Times New Roman" w:eastAsia="仿宋_GB2312" w:cs="Times New Roman"/>
                <w:i w:val="0"/>
                <w:iCs w:val="0"/>
                <w:color w:val="000000"/>
                <w:kern w:val="0"/>
                <w:sz w:val="24"/>
                <w:szCs w:val="24"/>
                <w:u w:val="none"/>
                <w:lang w:val="en-US" w:eastAsia="zh-CN" w:bidi="ar"/>
              </w:rPr>
              <w:t>1296-2023</w:t>
            </w:r>
          </w:p>
        </w:tc>
      </w:tr>
      <w:tr w14:paraId="09998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6A8A7">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AFAF9">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《水生态监测技术要求 淡水浮游植物（试行）》</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78CE3">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总站水字〔2021〕41号</w:t>
            </w:r>
          </w:p>
        </w:tc>
      </w:tr>
      <w:tr w14:paraId="17D8E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151F6">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C2C97">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《水生态监测技术要求 淡水浮游动物（试行）》</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2BF16">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总站水字〔2021〕47号</w:t>
            </w:r>
          </w:p>
        </w:tc>
      </w:tr>
      <w:tr w14:paraId="35AF9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6981E">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F8D9F">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《湖库水生植被遥感提取与野外核查技术规定（试行）》</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CF249">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卫星环字〔2021〕6号</w:t>
            </w:r>
          </w:p>
        </w:tc>
      </w:tr>
      <w:tr w14:paraId="363D7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5CDD1">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40D27">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《水生态监测技术要求 大型水生植物（试行）》</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1A3A6">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总站水字〔2022〕330号</w:t>
            </w:r>
          </w:p>
        </w:tc>
      </w:tr>
      <w:tr w14:paraId="636B3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2EBB7">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水生境</w:t>
            </w:r>
          </w:p>
        </w:tc>
        <w:tc>
          <w:tcPr>
            <w:tcW w:w="28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462C7">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《河湖岸线遥感提取与分类技术规定（试行）》</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61926">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卫星环字〔2021〕6号</w:t>
            </w:r>
          </w:p>
        </w:tc>
      </w:tr>
      <w:tr w14:paraId="6A446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F79D6">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CF422">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《河湖健康评估技术导则》</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523D4">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SL/T</w:t>
            </w:r>
            <w:r>
              <w:rPr>
                <w:rFonts w:hint="eastAsia" w:cs="Times New Roman"/>
                <w:i w:val="0"/>
                <w:iCs w:val="0"/>
                <w:color w:val="000000"/>
                <w:kern w:val="0"/>
                <w:sz w:val="24"/>
                <w:szCs w:val="24"/>
                <w:u w:val="none"/>
                <w:lang w:val="en-US" w:eastAsia="zh-CN" w:bidi="ar"/>
              </w:rPr>
              <w:t xml:space="preserve"> </w:t>
            </w:r>
            <w:r>
              <w:rPr>
                <w:rFonts w:hint="default" w:ascii="Times New Roman" w:hAnsi="Times New Roman" w:eastAsia="仿宋_GB2312" w:cs="Times New Roman"/>
                <w:i w:val="0"/>
                <w:iCs w:val="0"/>
                <w:color w:val="000000"/>
                <w:kern w:val="0"/>
                <w:sz w:val="24"/>
                <w:szCs w:val="24"/>
                <w:u w:val="none"/>
                <w:lang w:val="en-US" w:eastAsia="zh-CN" w:bidi="ar"/>
              </w:rPr>
              <w:t>793-2020</w:t>
            </w:r>
          </w:p>
        </w:tc>
      </w:tr>
      <w:tr w14:paraId="126EB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29D4E">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1757B">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《全国生态状况调查评估技术规范</w:t>
            </w:r>
            <w:r>
              <w:rPr>
                <w:rFonts w:hint="eastAsia"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生态系统质量评估》</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87D6A">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HJ</w:t>
            </w:r>
            <w:r>
              <w:rPr>
                <w:rFonts w:hint="eastAsia" w:cs="Times New Roman"/>
                <w:i w:val="0"/>
                <w:iCs w:val="0"/>
                <w:color w:val="000000"/>
                <w:kern w:val="0"/>
                <w:sz w:val="24"/>
                <w:szCs w:val="24"/>
                <w:u w:val="none"/>
                <w:lang w:val="en-US" w:eastAsia="zh-CN" w:bidi="ar"/>
              </w:rPr>
              <w:t xml:space="preserve"> </w:t>
            </w:r>
            <w:r>
              <w:rPr>
                <w:rFonts w:hint="default" w:ascii="Times New Roman" w:hAnsi="Times New Roman" w:eastAsia="仿宋_GB2312" w:cs="Times New Roman"/>
                <w:i w:val="0"/>
                <w:iCs w:val="0"/>
                <w:color w:val="000000"/>
                <w:kern w:val="0"/>
                <w:sz w:val="24"/>
                <w:szCs w:val="24"/>
                <w:u w:val="none"/>
                <w:lang w:val="en-US" w:eastAsia="zh-CN" w:bidi="ar"/>
              </w:rPr>
              <w:t>1172-2021</w:t>
            </w:r>
          </w:p>
        </w:tc>
      </w:tr>
      <w:tr w14:paraId="4F865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32C3">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3993F">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《自然保护地人类活动遥感监测技术规范》</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8094A">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HJ</w:t>
            </w:r>
            <w:r>
              <w:rPr>
                <w:rFonts w:hint="eastAsia" w:cs="Times New Roman"/>
                <w:i w:val="0"/>
                <w:iCs w:val="0"/>
                <w:color w:val="000000"/>
                <w:kern w:val="0"/>
                <w:sz w:val="24"/>
                <w:szCs w:val="24"/>
                <w:u w:val="none"/>
                <w:lang w:val="en-US" w:eastAsia="zh-CN" w:bidi="ar"/>
              </w:rPr>
              <w:t xml:space="preserve"> </w:t>
            </w:r>
            <w:r>
              <w:rPr>
                <w:rFonts w:hint="default" w:ascii="Times New Roman" w:hAnsi="Times New Roman" w:eastAsia="仿宋_GB2312" w:cs="Times New Roman"/>
                <w:i w:val="0"/>
                <w:iCs w:val="0"/>
                <w:color w:val="000000"/>
                <w:kern w:val="0"/>
                <w:sz w:val="24"/>
                <w:szCs w:val="24"/>
                <w:u w:val="none"/>
                <w:lang w:val="en-US" w:eastAsia="zh-CN" w:bidi="ar"/>
              </w:rPr>
              <w:t>1156-2021</w:t>
            </w:r>
          </w:p>
        </w:tc>
      </w:tr>
      <w:tr w14:paraId="01F3A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restart"/>
            <w:tcBorders>
              <w:top w:val="single" w:color="000000" w:sz="4" w:space="0"/>
              <w:left w:val="single" w:color="000000" w:sz="4" w:space="0"/>
              <w:right w:val="single" w:color="000000" w:sz="4" w:space="0"/>
            </w:tcBorders>
            <w:shd w:val="clear" w:color="auto" w:fill="auto"/>
            <w:noWrap/>
            <w:vAlign w:val="center"/>
          </w:tcPr>
          <w:p w14:paraId="04CD3166">
            <w:pPr>
              <w:ind w:firstLine="0" w:firstLineChars="0"/>
              <w:jc w:val="both"/>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水环境</w:t>
            </w: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00990">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《地表水汛期污染强度监测技术指南（试行）》</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ED146">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总站水字〔2022〕449号</w:t>
            </w:r>
          </w:p>
        </w:tc>
      </w:tr>
      <w:tr w14:paraId="62158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left w:val="single" w:color="000000" w:sz="4" w:space="0"/>
              <w:right w:val="single" w:color="000000" w:sz="4" w:space="0"/>
            </w:tcBorders>
            <w:shd w:val="clear" w:color="auto" w:fill="auto"/>
            <w:noWrap/>
            <w:vAlign w:val="center"/>
          </w:tcPr>
          <w:p w14:paraId="27F2AB55">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172B4">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《地表水环境质量监测技术规范》</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176FE">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HJ</w:t>
            </w:r>
            <w:r>
              <w:rPr>
                <w:rFonts w:hint="eastAsia" w:cs="Times New Roman"/>
                <w:i w:val="0"/>
                <w:iCs w:val="0"/>
                <w:color w:val="000000"/>
                <w:kern w:val="0"/>
                <w:sz w:val="24"/>
                <w:szCs w:val="24"/>
                <w:u w:val="none"/>
                <w:lang w:val="en-US" w:eastAsia="zh-CN" w:bidi="ar"/>
              </w:rPr>
              <w:t xml:space="preserve"> </w:t>
            </w:r>
            <w:r>
              <w:rPr>
                <w:rFonts w:hint="default" w:ascii="Times New Roman" w:hAnsi="Times New Roman" w:eastAsia="仿宋_GB2312" w:cs="Times New Roman"/>
                <w:i w:val="0"/>
                <w:iCs w:val="0"/>
                <w:color w:val="000000"/>
                <w:kern w:val="0"/>
                <w:sz w:val="24"/>
                <w:szCs w:val="24"/>
                <w:u w:val="none"/>
                <w:lang w:val="en-US" w:eastAsia="zh-CN" w:bidi="ar"/>
              </w:rPr>
              <w:t>91.2-2022</w:t>
            </w:r>
          </w:p>
        </w:tc>
      </w:tr>
      <w:tr w14:paraId="60933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left w:val="single" w:color="000000" w:sz="4" w:space="0"/>
              <w:bottom w:val="single" w:color="000000" w:sz="4" w:space="0"/>
              <w:right w:val="single" w:color="000000" w:sz="4" w:space="0"/>
            </w:tcBorders>
            <w:shd w:val="clear" w:color="auto" w:fill="auto"/>
            <w:noWrap/>
            <w:vAlign w:val="center"/>
          </w:tcPr>
          <w:p w14:paraId="51A1C3F7">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5C216">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《河湖岸线遥感提取与分类技术规定（试行）》</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D485D">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卫星环字〔2021〕6号</w:t>
            </w:r>
          </w:p>
        </w:tc>
      </w:tr>
      <w:tr w14:paraId="50798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451AC">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水资源</w:t>
            </w: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7BFE0">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《河湖生态环境需水计算规范》</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7F440">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SL/T</w:t>
            </w:r>
            <w:r>
              <w:rPr>
                <w:rFonts w:hint="eastAsia" w:cs="Times New Roman"/>
                <w:i w:val="0"/>
                <w:iCs w:val="0"/>
                <w:color w:val="000000"/>
                <w:kern w:val="0"/>
                <w:sz w:val="24"/>
                <w:szCs w:val="24"/>
                <w:u w:val="none"/>
                <w:lang w:val="en-US" w:eastAsia="zh-CN" w:bidi="ar"/>
              </w:rPr>
              <w:t xml:space="preserve"> </w:t>
            </w:r>
            <w:r>
              <w:rPr>
                <w:rFonts w:hint="default" w:ascii="Times New Roman" w:hAnsi="Times New Roman" w:eastAsia="仿宋_GB2312" w:cs="Times New Roman"/>
                <w:i w:val="0"/>
                <w:iCs w:val="0"/>
                <w:color w:val="000000"/>
                <w:kern w:val="0"/>
                <w:sz w:val="24"/>
                <w:szCs w:val="24"/>
                <w:u w:val="none"/>
                <w:lang w:val="en-US" w:eastAsia="zh-CN" w:bidi="ar"/>
              </w:rPr>
              <w:t>712-2021</w:t>
            </w:r>
          </w:p>
        </w:tc>
      </w:tr>
      <w:tr w14:paraId="386B1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15FB7">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1E59F">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《水电工程生态流量计算规范》</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16B4E">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NB/T</w:t>
            </w:r>
            <w:r>
              <w:rPr>
                <w:rFonts w:hint="eastAsia" w:cs="Times New Roman"/>
                <w:i w:val="0"/>
                <w:iCs w:val="0"/>
                <w:color w:val="000000"/>
                <w:kern w:val="0"/>
                <w:sz w:val="24"/>
                <w:szCs w:val="24"/>
                <w:u w:val="none"/>
                <w:lang w:val="en-US" w:eastAsia="zh-CN" w:bidi="ar"/>
              </w:rPr>
              <w:t xml:space="preserve"> </w:t>
            </w:r>
            <w:r>
              <w:rPr>
                <w:rFonts w:hint="default" w:ascii="Times New Roman" w:hAnsi="Times New Roman" w:eastAsia="仿宋_GB2312" w:cs="Times New Roman"/>
                <w:i w:val="0"/>
                <w:iCs w:val="0"/>
                <w:color w:val="000000"/>
                <w:kern w:val="0"/>
                <w:sz w:val="24"/>
                <w:szCs w:val="24"/>
                <w:u w:val="none"/>
                <w:lang w:val="en-US" w:eastAsia="zh-CN" w:bidi="ar"/>
              </w:rPr>
              <w:t>35091-2016</w:t>
            </w:r>
          </w:p>
        </w:tc>
      </w:tr>
      <w:tr w14:paraId="5D9B6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8402E">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92BCB">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《环境影响评价技术导则 地表水环境》</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B6EB1">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HJ</w:t>
            </w:r>
            <w:r>
              <w:rPr>
                <w:rFonts w:hint="eastAsia" w:cs="Times New Roman"/>
                <w:i w:val="0"/>
                <w:iCs w:val="0"/>
                <w:color w:val="000000"/>
                <w:kern w:val="0"/>
                <w:sz w:val="24"/>
                <w:szCs w:val="24"/>
                <w:u w:val="none"/>
                <w:lang w:val="en-US" w:eastAsia="zh-CN" w:bidi="ar"/>
              </w:rPr>
              <w:t xml:space="preserve"> </w:t>
            </w:r>
            <w:r>
              <w:rPr>
                <w:rFonts w:hint="default" w:ascii="Times New Roman" w:hAnsi="Times New Roman" w:eastAsia="仿宋_GB2312" w:cs="Times New Roman"/>
                <w:i w:val="0"/>
                <w:iCs w:val="0"/>
                <w:color w:val="000000"/>
                <w:kern w:val="0"/>
                <w:sz w:val="24"/>
                <w:szCs w:val="24"/>
                <w:u w:val="none"/>
                <w:lang w:val="en-US" w:eastAsia="zh-CN" w:bidi="ar"/>
              </w:rPr>
              <w:t>2.3-2018</w:t>
            </w:r>
          </w:p>
        </w:tc>
      </w:tr>
      <w:tr w14:paraId="7BF74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21657">
            <w:pPr>
              <w:jc w:val="center"/>
              <w:rPr>
                <w:rFonts w:hint="default" w:ascii="Times New Roman" w:hAnsi="Times New Roman" w:eastAsia="仿宋_GB2312" w:cs="Times New Roman"/>
                <w:i w:val="0"/>
                <w:iCs w:val="0"/>
                <w:color w:val="000000"/>
                <w:sz w:val="24"/>
                <w:szCs w:val="24"/>
                <w:u w:val="none"/>
              </w:rPr>
            </w:pP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34D22">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《河流断流干涸遥感监测评价技术规定（试行）》</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29734">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卫星环字〔2022〕6号</w:t>
            </w:r>
          </w:p>
        </w:tc>
      </w:tr>
      <w:tr w14:paraId="15918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64D78">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社会</w:t>
            </w:r>
            <w:r>
              <w:rPr>
                <w:rFonts w:hint="eastAsia" w:cs="Times New Roman"/>
                <w:i w:val="0"/>
                <w:iCs w:val="0"/>
                <w:color w:val="000000"/>
                <w:kern w:val="0"/>
                <w:sz w:val="24"/>
                <w:szCs w:val="24"/>
                <w:u w:val="none"/>
                <w:lang w:val="en-US" w:eastAsia="zh-CN" w:bidi="ar"/>
              </w:rPr>
              <w:t>服务</w:t>
            </w:r>
          </w:p>
        </w:tc>
        <w:tc>
          <w:tcPr>
            <w:tcW w:w="28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5EE00">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《关于印发〈美丽河湖保护与建设参考指标（试行）〉的通知》</w:t>
            </w:r>
          </w:p>
        </w:tc>
        <w:tc>
          <w:tcPr>
            <w:tcW w:w="1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6D728">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环办水体函〔2022〕416号</w:t>
            </w:r>
          </w:p>
        </w:tc>
      </w:tr>
    </w:tbl>
    <w:p w14:paraId="43EB0208">
      <w:pPr>
        <w:bidi w:val="0"/>
        <w:rPr>
          <w:rFonts w:hint="default" w:ascii="Times New Roman" w:hAnsi="Times New Roman"/>
          <w:lang w:val="en-US" w:eastAsia="zh-CN"/>
        </w:rPr>
      </w:pPr>
      <w:r>
        <w:rPr>
          <w:rFonts w:hint="eastAsia" w:ascii="Times New Roman" w:hAnsi="Times New Roman"/>
          <w:lang w:val="en-US" w:eastAsia="zh-CN"/>
        </w:rPr>
        <w:t>5.</w:t>
      </w:r>
      <w:r>
        <w:rPr>
          <w:rFonts w:hint="default" w:ascii="Times New Roman" w:hAnsi="Times New Roman"/>
          <w:lang w:val="en-US" w:eastAsia="zh-CN"/>
        </w:rPr>
        <w:t>质量保证与控制</w:t>
      </w:r>
    </w:p>
    <w:p w14:paraId="5C280610">
      <w:pPr>
        <w:rPr>
          <w:rFonts w:hint="eastAsia"/>
          <w:lang w:val="en-US" w:eastAsia="zh-CN"/>
        </w:rPr>
      </w:pPr>
      <w:r>
        <w:rPr>
          <w:rFonts w:hint="default"/>
          <w:b w:val="0"/>
          <w:bCs w:val="0"/>
          <w:lang w:val="en-US" w:eastAsia="zh-CN"/>
        </w:rPr>
        <w:t>本标准明确了</w:t>
      </w:r>
      <w:r>
        <w:rPr>
          <w:rFonts w:hint="default"/>
          <w:highlight w:val="none"/>
          <w:lang w:val="en-US" w:eastAsia="zh-CN"/>
        </w:rPr>
        <w:t>水生</w:t>
      </w:r>
      <w:r>
        <w:rPr>
          <w:rFonts w:hint="eastAsia"/>
          <w:highlight w:val="none"/>
          <w:lang w:val="en-US" w:eastAsia="zh-CN"/>
        </w:rPr>
        <w:t>生物、水生境、水环境和水资源</w:t>
      </w:r>
      <w:r>
        <w:rPr>
          <w:rFonts w:hint="eastAsia"/>
          <w:lang w:val="en-US" w:eastAsia="zh-CN"/>
        </w:rPr>
        <w:t>调查全过程质量管理控制要求，从而提高调查数据、评价结果的准确性和可靠性。其中，水生生物全过程质量保证和质量控制按照《水生态监测技术要求水生生物监测质量保证和质量控制（试行）</w:t>
      </w:r>
      <w:r>
        <w:rPr>
          <w:rFonts w:hint="eastAsia"/>
          <w:highlight w:val="none"/>
          <w:lang w:val="en-US" w:eastAsia="zh-CN"/>
        </w:rPr>
        <w:t>》（总站水字〔2022〕386号）</w:t>
      </w:r>
      <w:r>
        <w:rPr>
          <w:rFonts w:hint="eastAsia"/>
          <w:lang w:val="en-US" w:eastAsia="zh-CN"/>
        </w:rPr>
        <w:t>相关要求执行；水生境调查全过程质量保证和质量控制对现场调查以及</w:t>
      </w:r>
      <w:r>
        <w:rPr>
          <w:rFonts w:hint="default"/>
          <w:lang w:val="en-US" w:eastAsia="zh-CN"/>
        </w:rPr>
        <w:t>遥感解译成果质量</w:t>
      </w:r>
      <w:r>
        <w:rPr>
          <w:rFonts w:hint="eastAsia"/>
          <w:lang w:val="en-US" w:eastAsia="zh-CN"/>
        </w:rPr>
        <w:t>进行了明确规定；水环境调查全过程质量保证和质量控制按照《国家地表水环境质量监测网监测任务作业指导书（试行）</w:t>
      </w:r>
      <w:r>
        <w:rPr>
          <w:rFonts w:hint="eastAsia"/>
          <w:highlight w:val="none"/>
          <w:lang w:val="en-US" w:eastAsia="zh-CN"/>
        </w:rPr>
        <w:t>》（环办监测函〔2017〕249号）</w:t>
      </w:r>
      <w:r>
        <w:rPr>
          <w:rFonts w:hint="eastAsia"/>
          <w:lang w:val="en-US" w:eastAsia="zh-CN"/>
        </w:rPr>
        <w:t>相关要求执行；水资源调查全过程质量保证和质量控制应随机抽取20%点位进行平行采样，数据误差控制在±10%以内为合格。</w:t>
      </w:r>
    </w:p>
    <w:p w14:paraId="582575D7">
      <w:pPr>
        <w:bidi w:val="0"/>
        <w:rPr>
          <w:rFonts w:hint="default" w:ascii="Times New Roman" w:hAnsi="Times New Roman"/>
          <w:lang w:val="en-US" w:eastAsia="zh-CN"/>
        </w:rPr>
      </w:pPr>
      <w:r>
        <w:rPr>
          <w:rFonts w:hint="eastAsia" w:ascii="Times New Roman" w:hAnsi="Times New Roman"/>
          <w:lang w:val="en-US" w:eastAsia="zh-CN"/>
        </w:rPr>
        <w:t>6.</w:t>
      </w:r>
      <w:r>
        <w:rPr>
          <w:rFonts w:hint="default" w:ascii="Times New Roman" w:hAnsi="Times New Roman"/>
          <w:lang w:val="en-US" w:eastAsia="zh-CN"/>
        </w:rPr>
        <w:t>指标评价得分计算方法</w:t>
      </w:r>
    </w:p>
    <w:p w14:paraId="347B2F68">
      <w:pPr>
        <w:bidi w:val="0"/>
        <w:rPr>
          <w:rFonts w:hint="eastAsia"/>
          <w:highlight w:val="none"/>
          <w:lang w:val="en-US" w:eastAsia="zh-CN"/>
        </w:rPr>
      </w:pPr>
      <w:r>
        <w:rPr>
          <w:rFonts w:hint="eastAsia"/>
          <w:highlight w:val="none"/>
          <w:lang w:val="en-US" w:eastAsia="zh-CN"/>
        </w:rPr>
        <w:t>指标评价得分计算方法主要参考《长江流域水生态考核指标评分细则（试行）》（环办水体〔2023〕10号）、《水生态监测技术指南河流水生生物监测与评价（试行）》（HJ 1295-2023）和《水生态监测技术指南 湖库水生生物监测与评价（试行）》（HJ 1296-2023）等文件，具体依据如下：</w:t>
      </w:r>
    </w:p>
    <w:p w14:paraId="237179C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仿宋_GB2312" w:cs="Times New Roman"/>
          <w:b/>
          <w:bCs/>
          <w:color w:val="000000"/>
          <w:kern w:val="0"/>
          <w:sz w:val="28"/>
          <w:szCs w:val="28"/>
          <w:lang w:val="en-US" w:eastAsia="zh-CN" w:bidi="ar"/>
        </w:rPr>
      </w:pPr>
      <w:r>
        <w:rPr>
          <w:rFonts w:hint="eastAsia" w:ascii="Times New Roman" w:hAnsi="Times New Roman" w:eastAsia="仿宋_GB2312" w:cs="Times New Roman"/>
          <w:b/>
          <w:bCs/>
          <w:color w:val="000000"/>
          <w:kern w:val="0"/>
          <w:sz w:val="28"/>
          <w:szCs w:val="28"/>
          <w:lang w:val="en-US" w:eastAsia="zh-CN" w:bidi="ar"/>
        </w:rPr>
        <w:t>表</w:t>
      </w:r>
      <w:r>
        <w:rPr>
          <w:rFonts w:hint="eastAsia" w:ascii="Times New Roman" w:hAnsi="Times New Roman" w:cs="Times New Roman"/>
          <w:b/>
          <w:bCs/>
          <w:color w:val="000000"/>
          <w:kern w:val="0"/>
          <w:sz w:val="28"/>
          <w:szCs w:val="28"/>
          <w:lang w:val="en-US" w:eastAsia="zh-CN" w:bidi="ar"/>
        </w:rPr>
        <w:t>4-8</w:t>
      </w:r>
      <w:r>
        <w:rPr>
          <w:rFonts w:hint="eastAsia" w:ascii="Times New Roman" w:hAnsi="Times New Roman" w:eastAsia="仿宋_GB2312" w:cs="Times New Roman"/>
          <w:b/>
          <w:bCs/>
          <w:color w:val="000000"/>
          <w:kern w:val="0"/>
          <w:sz w:val="28"/>
          <w:szCs w:val="28"/>
          <w:lang w:val="en-US" w:eastAsia="zh-CN" w:bidi="ar"/>
        </w:rPr>
        <w:t xml:space="preserve"> 水生态评价指标参考依据</w:t>
      </w:r>
    </w:p>
    <w:tbl>
      <w:tblPr>
        <w:tblStyle w:val="2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14"/>
        <w:gridCol w:w="2111"/>
        <w:gridCol w:w="6216"/>
      </w:tblGrid>
      <w:tr w14:paraId="021F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jc w:val="center"/>
        </w:trPr>
        <w:tc>
          <w:tcPr>
            <w:tcW w:w="343" w:type="pct"/>
            <w:shd w:val="clear" w:color="auto" w:fill="auto"/>
            <w:noWrap/>
            <w:vAlign w:val="center"/>
          </w:tcPr>
          <w:p w14:paraId="02845A7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highlight w:val="none"/>
                <w:u w:val="none"/>
              </w:rPr>
            </w:pPr>
            <w:r>
              <w:rPr>
                <w:rFonts w:hint="default" w:ascii="Times New Roman" w:hAnsi="Times New Roman" w:eastAsia="仿宋_GB2312" w:cs="Times New Roman"/>
                <w:b/>
                <w:bCs/>
                <w:i w:val="0"/>
                <w:iCs w:val="0"/>
                <w:color w:val="000000"/>
                <w:kern w:val="0"/>
                <w:sz w:val="24"/>
                <w:szCs w:val="24"/>
                <w:highlight w:val="none"/>
                <w:u w:val="none"/>
                <w:shd w:val="clear"/>
                <w:lang w:val="en-US" w:eastAsia="zh-CN" w:bidi="ar"/>
              </w:rPr>
              <w:t>序号</w:t>
            </w:r>
          </w:p>
        </w:tc>
        <w:tc>
          <w:tcPr>
            <w:tcW w:w="1180" w:type="pct"/>
            <w:shd w:val="clear" w:color="auto" w:fill="auto"/>
            <w:vAlign w:val="center"/>
          </w:tcPr>
          <w:p w14:paraId="1D9D03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highlight w:val="none"/>
                <w:u w:val="none"/>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调查指标</w:t>
            </w:r>
          </w:p>
        </w:tc>
        <w:tc>
          <w:tcPr>
            <w:tcW w:w="3476" w:type="pct"/>
            <w:shd w:val="clear" w:color="auto" w:fill="auto"/>
            <w:noWrap/>
            <w:vAlign w:val="center"/>
          </w:tcPr>
          <w:p w14:paraId="52059A3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b/>
                <w:bCs/>
                <w:i w:val="0"/>
                <w:iCs w:val="0"/>
                <w:color w:val="000000"/>
                <w:sz w:val="24"/>
                <w:szCs w:val="24"/>
                <w:highlight w:val="none"/>
                <w:u w:val="none"/>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来源</w:t>
            </w:r>
          </w:p>
        </w:tc>
      </w:tr>
      <w:tr w14:paraId="2092A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jc w:val="center"/>
        </w:trPr>
        <w:tc>
          <w:tcPr>
            <w:tcW w:w="343" w:type="pct"/>
            <w:shd w:val="clear" w:color="auto" w:fill="auto"/>
            <w:noWrap/>
            <w:vAlign w:val="center"/>
          </w:tcPr>
          <w:p w14:paraId="06D962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1</w:t>
            </w:r>
          </w:p>
        </w:tc>
        <w:tc>
          <w:tcPr>
            <w:tcW w:w="1180" w:type="pct"/>
            <w:shd w:val="clear" w:color="auto" w:fill="auto"/>
            <w:vAlign w:val="center"/>
          </w:tcPr>
          <w:p w14:paraId="07AA44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鱼类物种数</w:t>
            </w:r>
          </w:p>
        </w:tc>
        <w:tc>
          <w:tcPr>
            <w:tcW w:w="3476" w:type="pct"/>
            <w:shd w:val="clear" w:color="auto" w:fill="auto"/>
            <w:vAlign w:val="center"/>
          </w:tcPr>
          <w:p w14:paraId="3AF6478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长江流域水生态考核指标评分细则（试行）</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（环办水体〔2023〕10号）</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《河湖健康评估技术导则》（SL/T</w:t>
            </w:r>
            <w:r>
              <w:rPr>
                <w:rFonts w:hint="eastAsia" w:cs="Times New Roman"/>
                <w:i w:val="0"/>
                <w:iCs w:val="0"/>
                <w:color w:val="000000"/>
                <w:kern w:val="0"/>
                <w:sz w:val="24"/>
                <w:szCs w:val="24"/>
                <w:highlight w:val="none"/>
                <w:u w:val="none"/>
                <w:lang w:val="en-US" w:eastAsia="zh-CN" w:bidi="ar"/>
              </w:rPr>
              <w:t xml:space="preserve"> </w:t>
            </w:r>
            <w:r>
              <w:rPr>
                <w:rFonts w:hint="default" w:ascii="Times New Roman" w:hAnsi="Times New Roman" w:eastAsia="仿宋_GB2312" w:cs="Times New Roman"/>
                <w:i w:val="0"/>
                <w:iCs w:val="0"/>
                <w:color w:val="000000"/>
                <w:kern w:val="0"/>
                <w:sz w:val="24"/>
                <w:szCs w:val="24"/>
                <w:highlight w:val="none"/>
                <w:u w:val="none"/>
                <w:lang w:val="en-US" w:eastAsia="zh-CN" w:bidi="ar"/>
              </w:rPr>
              <w:t>793-2020）</w:t>
            </w:r>
          </w:p>
        </w:tc>
      </w:tr>
      <w:tr w14:paraId="73E40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jc w:val="center"/>
        </w:trPr>
        <w:tc>
          <w:tcPr>
            <w:tcW w:w="343" w:type="pct"/>
            <w:shd w:val="clear" w:color="auto" w:fill="auto"/>
            <w:noWrap/>
            <w:vAlign w:val="center"/>
          </w:tcPr>
          <w:p w14:paraId="3F0CBF3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eastAsia" w:cs="Times New Roman"/>
                <w:i w:val="0"/>
                <w:iCs w:val="0"/>
                <w:color w:val="000000"/>
                <w:kern w:val="0"/>
                <w:sz w:val="24"/>
                <w:szCs w:val="24"/>
                <w:highlight w:val="none"/>
                <w:u w:val="none"/>
                <w:lang w:val="en-US" w:eastAsia="zh-CN" w:bidi="ar"/>
              </w:rPr>
              <w:t>2</w:t>
            </w:r>
          </w:p>
        </w:tc>
        <w:tc>
          <w:tcPr>
            <w:tcW w:w="1180" w:type="pct"/>
            <w:shd w:val="clear" w:color="auto" w:fill="auto"/>
            <w:vAlign w:val="center"/>
          </w:tcPr>
          <w:p w14:paraId="4A3430A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大型底栖动物物种数</w:t>
            </w:r>
          </w:p>
        </w:tc>
        <w:tc>
          <w:tcPr>
            <w:tcW w:w="3476" w:type="pct"/>
            <w:shd w:val="clear" w:color="auto" w:fill="auto"/>
            <w:vAlign w:val="center"/>
          </w:tcPr>
          <w:p w14:paraId="4BF252C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长江流域水生态考核指标评分细则（试行）</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（环办水体 〔2023〕10号）</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《河湖健康评估技术导则》（SL/T</w:t>
            </w:r>
            <w:r>
              <w:rPr>
                <w:rFonts w:hint="eastAsia" w:cs="Times New Roman"/>
                <w:i w:val="0"/>
                <w:iCs w:val="0"/>
                <w:color w:val="000000"/>
                <w:kern w:val="0"/>
                <w:sz w:val="24"/>
                <w:szCs w:val="24"/>
                <w:highlight w:val="none"/>
                <w:u w:val="none"/>
                <w:lang w:val="en-US" w:eastAsia="zh-CN" w:bidi="ar"/>
              </w:rPr>
              <w:t xml:space="preserve"> </w:t>
            </w:r>
            <w:r>
              <w:rPr>
                <w:rFonts w:hint="default" w:ascii="Times New Roman" w:hAnsi="Times New Roman" w:eastAsia="仿宋_GB2312" w:cs="Times New Roman"/>
                <w:i w:val="0"/>
                <w:iCs w:val="0"/>
                <w:color w:val="000000"/>
                <w:kern w:val="0"/>
                <w:sz w:val="24"/>
                <w:szCs w:val="24"/>
                <w:highlight w:val="none"/>
                <w:u w:val="none"/>
                <w:lang w:val="en-US" w:eastAsia="zh-CN" w:bidi="ar"/>
              </w:rPr>
              <w:t>793-2020）</w:t>
            </w:r>
          </w:p>
        </w:tc>
      </w:tr>
      <w:tr w14:paraId="5FFB2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jc w:val="center"/>
        </w:trPr>
        <w:tc>
          <w:tcPr>
            <w:tcW w:w="343" w:type="pct"/>
            <w:shd w:val="clear" w:color="auto" w:fill="auto"/>
            <w:noWrap/>
            <w:vAlign w:val="center"/>
          </w:tcPr>
          <w:p w14:paraId="0CCC5D8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eastAsia" w:cs="Times New Roman"/>
                <w:i w:val="0"/>
                <w:iCs w:val="0"/>
                <w:color w:val="000000"/>
                <w:kern w:val="0"/>
                <w:sz w:val="24"/>
                <w:szCs w:val="24"/>
                <w:highlight w:val="none"/>
                <w:u w:val="none"/>
                <w:lang w:val="en-US" w:eastAsia="zh-CN" w:bidi="ar"/>
              </w:rPr>
              <w:t>3</w:t>
            </w:r>
          </w:p>
        </w:tc>
        <w:tc>
          <w:tcPr>
            <w:tcW w:w="1180" w:type="pct"/>
            <w:shd w:val="clear" w:color="auto" w:fill="auto"/>
            <w:vAlign w:val="center"/>
          </w:tcPr>
          <w:p w14:paraId="32C15EC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着生藻类硅藻指数</w:t>
            </w:r>
          </w:p>
        </w:tc>
        <w:tc>
          <w:tcPr>
            <w:tcW w:w="3476" w:type="pct"/>
            <w:shd w:val="clear" w:color="auto" w:fill="auto"/>
            <w:vAlign w:val="center"/>
          </w:tcPr>
          <w:p w14:paraId="2B73732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《水生态监测技术指南 河流水生生物监测与评价（试行）》</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HJ</w:t>
            </w:r>
            <w:r>
              <w:rPr>
                <w:rFonts w:hint="eastAsia" w:cs="Times New Roman"/>
                <w:i w:val="0"/>
                <w:iCs w:val="0"/>
                <w:color w:val="000000"/>
                <w:kern w:val="0"/>
                <w:sz w:val="24"/>
                <w:szCs w:val="24"/>
                <w:highlight w:val="none"/>
                <w:u w:val="none"/>
                <w:lang w:val="en-US" w:eastAsia="zh-CN" w:bidi="ar"/>
              </w:rPr>
              <w:t xml:space="preserve"> </w:t>
            </w:r>
            <w:r>
              <w:rPr>
                <w:rFonts w:hint="default" w:ascii="Times New Roman" w:hAnsi="Times New Roman" w:eastAsia="仿宋_GB2312" w:cs="Times New Roman"/>
                <w:i w:val="0"/>
                <w:iCs w:val="0"/>
                <w:color w:val="000000"/>
                <w:kern w:val="0"/>
                <w:sz w:val="24"/>
                <w:szCs w:val="24"/>
                <w:highlight w:val="none"/>
                <w:u w:val="none"/>
                <w:lang w:val="en-US" w:eastAsia="zh-CN" w:bidi="ar"/>
              </w:rPr>
              <w:t>1295-2023</w:t>
            </w:r>
            <w:r>
              <w:rPr>
                <w:rFonts w:hint="eastAsia" w:cs="Times New Roman"/>
                <w:i w:val="0"/>
                <w:iCs w:val="0"/>
                <w:color w:val="000000"/>
                <w:kern w:val="0"/>
                <w:sz w:val="24"/>
                <w:szCs w:val="24"/>
                <w:highlight w:val="none"/>
                <w:u w:val="none"/>
                <w:lang w:val="en-US" w:eastAsia="zh-CN" w:bidi="ar"/>
              </w:rPr>
              <w:t>）</w:t>
            </w:r>
          </w:p>
        </w:tc>
      </w:tr>
      <w:tr w14:paraId="6A4D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43" w:type="pct"/>
            <w:shd w:val="clear" w:color="auto" w:fill="auto"/>
            <w:noWrap/>
            <w:vAlign w:val="center"/>
          </w:tcPr>
          <w:p w14:paraId="7DB679E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eastAsia" w:cs="Times New Roman"/>
                <w:i w:val="0"/>
                <w:iCs w:val="0"/>
                <w:color w:val="000000"/>
                <w:kern w:val="0"/>
                <w:sz w:val="24"/>
                <w:szCs w:val="24"/>
                <w:highlight w:val="none"/>
                <w:u w:val="none"/>
                <w:lang w:val="en-US" w:eastAsia="zh-CN" w:bidi="ar"/>
              </w:rPr>
              <w:t>4</w:t>
            </w:r>
          </w:p>
        </w:tc>
        <w:tc>
          <w:tcPr>
            <w:tcW w:w="1180" w:type="pct"/>
            <w:shd w:val="clear" w:color="auto" w:fill="auto"/>
            <w:vAlign w:val="center"/>
          </w:tcPr>
          <w:p w14:paraId="1F25BD0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浮游动物多样性指数</w:t>
            </w:r>
          </w:p>
        </w:tc>
        <w:tc>
          <w:tcPr>
            <w:tcW w:w="3476" w:type="pct"/>
            <w:shd w:val="clear" w:color="auto" w:fill="auto"/>
            <w:vAlign w:val="center"/>
          </w:tcPr>
          <w:p w14:paraId="01142A9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 xml:space="preserve">《水生态监测技术指南 </w:t>
            </w:r>
            <w:r>
              <w:rPr>
                <w:rFonts w:hint="eastAsia" w:cs="Times New Roman"/>
                <w:i w:val="0"/>
                <w:iCs w:val="0"/>
                <w:color w:val="000000"/>
                <w:kern w:val="0"/>
                <w:sz w:val="24"/>
                <w:szCs w:val="24"/>
                <w:highlight w:val="none"/>
                <w:u w:val="none"/>
                <w:lang w:val="en-US" w:eastAsia="zh-CN" w:bidi="ar"/>
              </w:rPr>
              <w:t>湖库</w:t>
            </w:r>
            <w:r>
              <w:rPr>
                <w:rFonts w:hint="default" w:ascii="Times New Roman" w:hAnsi="Times New Roman" w:eastAsia="仿宋_GB2312" w:cs="Times New Roman"/>
                <w:i w:val="0"/>
                <w:iCs w:val="0"/>
                <w:color w:val="000000"/>
                <w:kern w:val="0"/>
                <w:sz w:val="24"/>
                <w:szCs w:val="24"/>
                <w:highlight w:val="none"/>
                <w:u w:val="none"/>
                <w:lang w:val="en-US" w:eastAsia="zh-CN" w:bidi="ar"/>
              </w:rPr>
              <w:t>水生生物监测与评价（试行）》</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HJ</w:t>
            </w:r>
            <w:r>
              <w:rPr>
                <w:rFonts w:hint="eastAsia" w:cs="Times New Roman"/>
                <w:i w:val="0"/>
                <w:iCs w:val="0"/>
                <w:color w:val="000000"/>
                <w:kern w:val="0"/>
                <w:sz w:val="24"/>
                <w:szCs w:val="24"/>
                <w:highlight w:val="none"/>
                <w:u w:val="none"/>
                <w:lang w:val="en-US" w:eastAsia="zh-CN" w:bidi="ar"/>
              </w:rPr>
              <w:t xml:space="preserve"> </w:t>
            </w:r>
            <w:r>
              <w:rPr>
                <w:rFonts w:hint="default" w:ascii="Times New Roman" w:hAnsi="Times New Roman" w:eastAsia="仿宋_GB2312" w:cs="Times New Roman"/>
                <w:i w:val="0"/>
                <w:iCs w:val="0"/>
                <w:color w:val="000000"/>
                <w:kern w:val="0"/>
                <w:sz w:val="24"/>
                <w:szCs w:val="24"/>
                <w:highlight w:val="none"/>
                <w:u w:val="none"/>
                <w:lang w:val="en-US" w:eastAsia="zh-CN" w:bidi="ar"/>
              </w:rPr>
              <w:t>129</w:t>
            </w:r>
            <w:r>
              <w:rPr>
                <w:rFonts w:hint="eastAsia" w:cs="Times New Roman"/>
                <w:i w:val="0"/>
                <w:iCs w:val="0"/>
                <w:color w:val="000000"/>
                <w:kern w:val="0"/>
                <w:sz w:val="24"/>
                <w:szCs w:val="24"/>
                <w:highlight w:val="none"/>
                <w:u w:val="none"/>
                <w:lang w:val="en-US" w:eastAsia="zh-CN" w:bidi="ar"/>
              </w:rPr>
              <w:t>6</w:t>
            </w:r>
            <w:r>
              <w:rPr>
                <w:rFonts w:hint="default" w:ascii="Times New Roman" w:hAnsi="Times New Roman" w:eastAsia="仿宋_GB2312" w:cs="Times New Roman"/>
                <w:i w:val="0"/>
                <w:iCs w:val="0"/>
                <w:color w:val="000000"/>
                <w:kern w:val="0"/>
                <w:sz w:val="24"/>
                <w:szCs w:val="24"/>
                <w:highlight w:val="none"/>
                <w:u w:val="none"/>
                <w:lang w:val="en-US" w:eastAsia="zh-CN" w:bidi="ar"/>
              </w:rPr>
              <w:t>-2023</w:t>
            </w:r>
            <w:r>
              <w:rPr>
                <w:rFonts w:hint="eastAsia" w:cs="Times New Roman"/>
                <w:i w:val="0"/>
                <w:iCs w:val="0"/>
                <w:color w:val="000000"/>
                <w:kern w:val="0"/>
                <w:sz w:val="24"/>
                <w:szCs w:val="24"/>
                <w:highlight w:val="none"/>
                <w:u w:val="none"/>
                <w:lang w:val="en-US" w:eastAsia="zh-CN" w:bidi="ar"/>
              </w:rPr>
              <w:t>）</w:t>
            </w:r>
          </w:p>
        </w:tc>
      </w:tr>
      <w:tr w14:paraId="75886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jc w:val="center"/>
        </w:trPr>
        <w:tc>
          <w:tcPr>
            <w:tcW w:w="343" w:type="pct"/>
            <w:shd w:val="clear" w:color="auto" w:fill="auto"/>
            <w:noWrap/>
            <w:vAlign w:val="center"/>
          </w:tcPr>
          <w:p w14:paraId="6A69D4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5</w:t>
            </w:r>
          </w:p>
        </w:tc>
        <w:tc>
          <w:tcPr>
            <w:tcW w:w="1180" w:type="pct"/>
            <w:shd w:val="clear" w:color="auto" w:fill="auto"/>
            <w:vAlign w:val="center"/>
          </w:tcPr>
          <w:p w14:paraId="40893B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浮游植物多样性指数</w:t>
            </w:r>
          </w:p>
        </w:tc>
        <w:tc>
          <w:tcPr>
            <w:tcW w:w="3476" w:type="pct"/>
            <w:shd w:val="clear" w:color="auto" w:fill="auto"/>
            <w:vAlign w:val="center"/>
          </w:tcPr>
          <w:p w14:paraId="44E4C4E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 xml:space="preserve">《水生态监测技术指南 </w:t>
            </w:r>
            <w:r>
              <w:rPr>
                <w:rFonts w:hint="eastAsia" w:cs="Times New Roman"/>
                <w:i w:val="0"/>
                <w:iCs w:val="0"/>
                <w:color w:val="000000"/>
                <w:kern w:val="0"/>
                <w:sz w:val="24"/>
                <w:szCs w:val="24"/>
                <w:highlight w:val="none"/>
                <w:u w:val="none"/>
                <w:lang w:val="en-US" w:eastAsia="zh-CN" w:bidi="ar"/>
              </w:rPr>
              <w:t>湖库</w:t>
            </w:r>
            <w:r>
              <w:rPr>
                <w:rFonts w:hint="default" w:ascii="Times New Roman" w:hAnsi="Times New Roman" w:eastAsia="仿宋_GB2312" w:cs="Times New Roman"/>
                <w:i w:val="0"/>
                <w:iCs w:val="0"/>
                <w:color w:val="000000"/>
                <w:kern w:val="0"/>
                <w:sz w:val="24"/>
                <w:szCs w:val="24"/>
                <w:highlight w:val="none"/>
                <w:u w:val="none"/>
                <w:lang w:val="en-US" w:eastAsia="zh-CN" w:bidi="ar"/>
              </w:rPr>
              <w:t>水生生物监测与评价（试行）》</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HJ</w:t>
            </w:r>
            <w:r>
              <w:rPr>
                <w:rFonts w:hint="eastAsia" w:cs="Times New Roman"/>
                <w:i w:val="0"/>
                <w:iCs w:val="0"/>
                <w:color w:val="000000"/>
                <w:kern w:val="0"/>
                <w:sz w:val="24"/>
                <w:szCs w:val="24"/>
                <w:highlight w:val="none"/>
                <w:u w:val="none"/>
                <w:lang w:val="en-US" w:eastAsia="zh-CN" w:bidi="ar"/>
              </w:rPr>
              <w:t xml:space="preserve"> </w:t>
            </w:r>
            <w:r>
              <w:rPr>
                <w:rFonts w:hint="default" w:ascii="Times New Roman" w:hAnsi="Times New Roman" w:eastAsia="仿宋_GB2312" w:cs="Times New Roman"/>
                <w:i w:val="0"/>
                <w:iCs w:val="0"/>
                <w:color w:val="000000"/>
                <w:kern w:val="0"/>
                <w:sz w:val="24"/>
                <w:szCs w:val="24"/>
                <w:highlight w:val="none"/>
                <w:u w:val="none"/>
                <w:lang w:val="en-US" w:eastAsia="zh-CN" w:bidi="ar"/>
              </w:rPr>
              <w:t>129</w:t>
            </w:r>
            <w:r>
              <w:rPr>
                <w:rFonts w:hint="eastAsia" w:cs="Times New Roman"/>
                <w:i w:val="0"/>
                <w:iCs w:val="0"/>
                <w:color w:val="000000"/>
                <w:kern w:val="0"/>
                <w:sz w:val="24"/>
                <w:szCs w:val="24"/>
                <w:highlight w:val="none"/>
                <w:u w:val="none"/>
                <w:lang w:val="en-US" w:eastAsia="zh-CN" w:bidi="ar"/>
              </w:rPr>
              <w:t>6</w:t>
            </w:r>
            <w:r>
              <w:rPr>
                <w:rFonts w:hint="default" w:ascii="Times New Roman" w:hAnsi="Times New Roman" w:eastAsia="仿宋_GB2312" w:cs="Times New Roman"/>
                <w:i w:val="0"/>
                <w:iCs w:val="0"/>
                <w:color w:val="000000"/>
                <w:kern w:val="0"/>
                <w:sz w:val="24"/>
                <w:szCs w:val="24"/>
                <w:highlight w:val="none"/>
                <w:u w:val="none"/>
                <w:lang w:val="en-US" w:eastAsia="zh-CN" w:bidi="ar"/>
              </w:rPr>
              <w:t>-2023</w:t>
            </w:r>
            <w:r>
              <w:rPr>
                <w:rFonts w:hint="eastAsia" w:cs="Times New Roman"/>
                <w:i w:val="0"/>
                <w:iCs w:val="0"/>
                <w:color w:val="000000"/>
                <w:kern w:val="0"/>
                <w:sz w:val="24"/>
                <w:szCs w:val="24"/>
                <w:highlight w:val="none"/>
                <w:u w:val="none"/>
                <w:lang w:val="en-US" w:eastAsia="zh-CN" w:bidi="ar"/>
              </w:rPr>
              <w:t>）</w:t>
            </w:r>
          </w:p>
        </w:tc>
      </w:tr>
      <w:tr w14:paraId="2F778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43" w:type="pct"/>
            <w:shd w:val="clear" w:color="auto" w:fill="auto"/>
            <w:noWrap/>
            <w:vAlign w:val="center"/>
          </w:tcPr>
          <w:p w14:paraId="1FAC9C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6</w:t>
            </w:r>
          </w:p>
        </w:tc>
        <w:tc>
          <w:tcPr>
            <w:tcW w:w="1180" w:type="pct"/>
            <w:shd w:val="clear" w:color="auto" w:fill="auto"/>
            <w:vAlign w:val="center"/>
          </w:tcPr>
          <w:p w14:paraId="070E627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水生植被覆盖度</w:t>
            </w:r>
          </w:p>
        </w:tc>
        <w:tc>
          <w:tcPr>
            <w:tcW w:w="3476" w:type="pct"/>
            <w:shd w:val="clear" w:color="auto" w:fill="auto"/>
            <w:noWrap/>
            <w:vAlign w:val="center"/>
          </w:tcPr>
          <w:p w14:paraId="48FD455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《河湖健康评估技术导则》（SL/T</w:t>
            </w:r>
            <w:r>
              <w:rPr>
                <w:rFonts w:hint="eastAsia" w:cs="Times New Roman"/>
                <w:i w:val="0"/>
                <w:iCs w:val="0"/>
                <w:color w:val="000000"/>
                <w:kern w:val="0"/>
                <w:sz w:val="24"/>
                <w:szCs w:val="24"/>
                <w:highlight w:val="none"/>
                <w:u w:val="none"/>
                <w:lang w:val="en-US" w:eastAsia="zh-CN" w:bidi="ar"/>
              </w:rPr>
              <w:t xml:space="preserve"> </w:t>
            </w:r>
            <w:r>
              <w:rPr>
                <w:rFonts w:hint="default" w:ascii="Times New Roman" w:hAnsi="Times New Roman" w:eastAsia="仿宋_GB2312" w:cs="Times New Roman"/>
                <w:i w:val="0"/>
                <w:iCs w:val="0"/>
                <w:color w:val="000000"/>
                <w:kern w:val="0"/>
                <w:sz w:val="24"/>
                <w:szCs w:val="24"/>
                <w:highlight w:val="none"/>
                <w:u w:val="none"/>
                <w:lang w:val="en-US" w:eastAsia="zh-CN" w:bidi="ar"/>
              </w:rPr>
              <w:t>793-2020）</w:t>
            </w:r>
          </w:p>
        </w:tc>
      </w:tr>
      <w:tr w14:paraId="1FC21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43" w:type="pct"/>
            <w:shd w:val="clear" w:color="auto" w:fill="auto"/>
            <w:noWrap/>
            <w:vAlign w:val="center"/>
          </w:tcPr>
          <w:p w14:paraId="114093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7</w:t>
            </w:r>
          </w:p>
        </w:tc>
        <w:tc>
          <w:tcPr>
            <w:tcW w:w="1180" w:type="pct"/>
            <w:shd w:val="clear" w:color="auto" w:fill="auto"/>
            <w:vAlign w:val="center"/>
          </w:tcPr>
          <w:p w14:paraId="170314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自然岸线率</w:t>
            </w:r>
          </w:p>
        </w:tc>
        <w:tc>
          <w:tcPr>
            <w:tcW w:w="3476" w:type="pct"/>
            <w:shd w:val="clear" w:color="auto" w:fill="auto"/>
            <w:noWrap/>
            <w:vAlign w:val="center"/>
          </w:tcPr>
          <w:p w14:paraId="04ABEE2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eastAsia" w:cs="Times New Roman"/>
                <w:i w:val="0"/>
                <w:iCs w:val="0"/>
                <w:color w:val="000000"/>
                <w:sz w:val="24"/>
                <w:szCs w:val="24"/>
                <w:highlight w:val="none"/>
                <w:u w:val="none"/>
                <w:lang w:eastAsia="zh-CN"/>
              </w:rPr>
              <w:t>《</w:t>
            </w:r>
            <w:r>
              <w:rPr>
                <w:rFonts w:hint="default" w:ascii="Times New Roman" w:hAnsi="Times New Roman" w:eastAsia="仿宋_GB2312" w:cs="Times New Roman"/>
                <w:i w:val="0"/>
                <w:iCs w:val="0"/>
                <w:color w:val="000000"/>
                <w:sz w:val="24"/>
                <w:szCs w:val="24"/>
                <w:highlight w:val="none"/>
                <w:u w:val="none"/>
              </w:rPr>
              <w:t>长江流域水生态考核指标评分细则（试行）</w:t>
            </w:r>
            <w:r>
              <w:rPr>
                <w:rFonts w:hint="eastAsia" w:cs="Times New Roman"/>
                <w:i w:val="0"/>
                <w:iCs w:val="0"/>
                <w:color w:val="000000"/>
                <w:sz w:val="24"/>
                <w:szCs w:val="24"/>
                <w:highlight w:val="none"/>
                <w:u w:val="none"/>
                <w:lang w:eastAsia="zh-CN"/>
              </w:rPr>
              <w:t>》</w:t>
            </w:r>
            <w:r>
              <w:rPr>
                <w:rFonts w:hint="default" w:ascii="Times New Roman" w:hAnsi="Times New Roman" w:eastAsia="仿宋_GB2312" w:cs="Times New Roman"/>
                <w:i w:val="0"/>
                <w:iCs w:val="0"/>
                <w:color w:val="000000"/>
                <w:sz w:val="24"/>
                <w:szCs w:val="24"/>
                <w:highlight w:val="none"/>
                <w:u w:val="none"/>
              </w:rPr>
              <w:t>（环办水体〔2023〕10号）</w:t>
            </w:r>
          </w:p>
        </w:tc>
      </w:tr>
      <w:tr w14:paraId="3353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343" w:type="pct"/>
            <w:shd w:val="clear" w:color="auto" w:fill="auto"/>
            <w:noWrap/>
            <w:vAlign w:val="center"/>
          </w:tcPr>
          <w:p w14:paraId="377FCF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8</w:t>
            </w:r>
          </w:p>
        </w:tc>
        <w:tc>
          <w:tcPr>
            <w:tcW w:w="1180" w:type="pct"/>
            <w:shd w:val="clear" w:color="auto" w:fill="auto"/>
            <w:vAlign w:val="center"/>
          </w:tcPr>
          <w:p w14:paraId="2285A9A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河流连通性/湖（库）连通性</w:t>
            </w:r>
          </w:p>
        </w:tc>
        <w:tc>
          <w:tcPr>
            <w:tcW w:w="3476" w:type="pct"/>
            <w:shd w:val="clear" w:color="auto" w:fill="auto"/>
            <w:vAlign w:val="center"/>
          </w:tcPr>
          <w:p w14:paraId="01E1C64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《河湖健康评估技术导则》（SL/T</w:t>
            </w:r>
            <w:r>
              <w:rPr>
                <w:rFonts w:hint="eastAsia" w:cs="Times New Roman"/>
                <w:i w:val="0"/>
                <w:iCs w:val="0"/>
                <w:color w:val="000000"/>
                <w:kern w:val="0"/>
                <w:sz w:val="24"/>
                <w:szCs w:val="24"/>
                <w:highlight w:val="none"/>
                <w:u w:val="none"/>
                <w:lang w:val="en-US" w:eastAsia="zh-CN" w:bidi="ar"/>
              </w:rPr>
              <w:t xml:space="preserve"> </w:t>
            </w:r>
            <w:r>
              <w:rPr>
                <w:rFonts w:hint="default" w:ascii="Times New Roman" w:hAnsi="Times New Roman" w:eastAsia="仿宋_GB2312" w:cs="Times New Roman"/>
                <w:i w:val="0"/>
                <w:iCs w:val="0"/>
                <w:color w:val="000000"/>
                <w:kern w:val="0"/>
                <w:sz w:val="24"/>
                <w:szCs w:val="24"/>
                <w:highlight w:val="none"/>
                <w:u w:val="none"/>
                <w:lang w:val="en-US" w:eastAsia="zh-CN" w:bidi="ar"/>
              </w:rPr>
              <w:t>793-2020）</w:t>
            </w:r>
          </w:p>
        </w:tc>
      </w:tr>
      <w:tr w14:paraId="74457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43" w:type="pct"/>
            <w:shd w:val="clear" w:color="auto" w:fill="auto"/>
            <w:noWrap/>
            <w:vAlign w:val="center"/>
          </w:tcPr>
          <w:p w14:paraId="40CF72B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9</w:t>
            </w:r>
          </w:p>
        </w:tc>
        <w:tc>
          <w:tcPr>
            <w:tcW w:w="1180" w:type="pct"/>
            <w:shd w:val="clear" w:color="auto" w:fill="auto"/>
            <w:vAlign w:val="center"/>
          </w:tcPr>
          <w:p w14:paraId="3C6A17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水源涵养区生态环境质量</w:t>
            </w:r>
          </w:p>
        </w:tc>
        <w:tc>
          <w:tcPr>
            <w:tcW w:w="3476" w:type="pct"/>
            <w:shd w:val="clear" w:color="auto" w:fill="auto"/>
            <w:noWrap/>
            <w:vAlign w:val="center"/>
          </w:tcPr>
          <w:p w14:paraId="6F0BBB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yellow"/>
                <w:u w:val="none"/>
              </w:rPr>
            </w:pP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长江流域水生态考核指标评分细则（试行）</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（环办水体〔2023〕10号）</w:t>
            </w:r>
          </w:p>
        </w:tc>
      </w:tr>
      <w:tr w14:paraId="44477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jc w:val="center"/>
        </w:trPr>
        <w:tc>
          <w:tcPr>
            <w:tcW w:w="343" w:type="pct"/>
            <w:shd w:val="clear" w:color="auto" w:fill="auto"/>
            <w:noWrap/>
            <w:vAlign w:val="center"/>
          </w:tcPr>
          <w:p w14:paraId="3EA0BC4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10</w:t>
            </w:r>
          </w:p>
        </w:tc>
        <w:tc>
          <w:tcPr>
            <w:tcW w:w="1180" w:type="pct"/>
            <w:shd w:val="clear" w:color="auto" w:fill="auto"/>
            <w:vAlign w:val="center"/>
          </w:tcPr>
          <w:p w14:paraId="62E4495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水生生物栖息地人类活动影响指数</w:t>
            </w:r>
          </w:p>
        </w:tc>
        <w:tc>
          <w:tcPr>
            <w:tcW w:w="3476" w:type="pct"/>
            <w:shd w:val="clear" w:color="auto" w:fill="auto"/>
            <w:noWrap/>
            <w:vAlign w:val="center"/>
          </w:tcPr>
          <w:p w14:paraId="2F173E5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yellow"/>
                <w:u w:val="none"/>
              </w:rPr>
            </w:pP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长江流域水生态考核指标评分细则（试行）</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（环办水体〔2023〕10号）</w:t>
            </w:r>
          </w:p>
        </w:tc>
      </w:tr>
      <w:tr w14:paraId="0A6D7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jc w:val="center"/>
        </w:trPr>
        <w:tc>
          <w:tcPr>
            <w:tcW w:w="343" w:type="pct"/>
            <w:shd w:val="clear" w:color="auto" w:fill="auto"/>
            <w:noWrap/>
            <w:vAlign w:val="center"/>
          </w:tcPr>
          <w:p w14:paraId="1BA62A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11</w:t>
            </w:r>
          </w:p>
        </w:tc>
        <w:tc>
          <w:tcPr>
            <w:tcW w:w="1180" w:type="pct"/>
            <w:shd w:val="clear" w:color="auto" w:fill="auto"/>
            <w:vAlign w:val="center"/>
          </w:tcPr>
          <w:p w14:paraId="7F1EFDA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汛期污染强度</w:t>
            </w:r>
          </w:p>
        </w:tc>
        <w:tc>
          <w:tcPr>
            <w:tcW w:w="3476" w:type="pct"/>
            <w:shd w:val="clear" w:color="auto" w:fill="auto"/>
            <w:noWrap/>
            <w:vAlign w:val="center"/>
          </w:tcPr>
          <w:p w14:paraId="468C1F7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cs="Times New Roman"/>
                <w:i w:val="0"/>
                <w:iCs w:val="0"/>
                <w:color w:val="000000"/>
                <w:kern w:val="0"/>
                <w:sz w:val="24"/>
                <w:szCs w:val="24"/>
                <w:highlight w:val="none"/>
                <w:u w:val="none"/>
                <w:lang w:val="en-US" w:eastAsia="zh-CN" w:bidi="ar"/>
              </w:rPr>
            </w:pP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长江流域水生态考核指标评分细则（试行）</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（环办水体〔2023〕10号）</w:t>
            </w:r>
          </w:p>
        </w:tc>
      </w:tr>
      <w:tr w14:paraId="2D11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jc w:val="center"/>
        </w:trPr>
        <w:tc>
          <w:tcPr>
            <w:tcW w:w="343" w:type="pct"/>
            <w:shd w:val="clear" w:color="auto" w:fill="auto"/>
            <w:noWrap/>
            <w:vAlign w:val="center"/>
          </w:tcPr>
          <w:p w14:paraId="75B80EC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12</w:t>
            </w:r>
          </w:p>
        </w:tc>
        <w:tc>
          <w:tcPr>
            <w:tcW w:w="1180" w:type="pct"/>
            <w:shd w:val="clear" w:color="auto" w:fill="auto"/>
            <w:vAlign w:val="center"/>
          </w:tcPr>
          <w:p w14:paraId="27ED37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综合污染状态指数</w:t>
            </w:r>
          </w:p>
        </w:tc>
        <w:tc>
          <w:tcPr>
            <w:tcW w:w="3476" w:type="pct"/>
            <w:shd w:val="clear" w:color="auto" w:fill="auto"/>
            <w:noWrap/>
            <w:vAlign w:val="center"/>
          </w:tcPr>
          <w:p w14:paraId="173F2E6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cs="Times New Roman"/>
                <w:i w:val="0"/>
                <w:iCs w:val="0"/>
                <w:color w:val="000000"/>
                <w:kern w:val="0"/>
                <w:sz w:val="24"/>
                <w:szCs w:val="24"/>
                <w:highlight w:val="none"/>
                <w:u w:val="none"/>
                <w:lang w:val="en-US" w:eastAsia="zh-CN" w:bidi="ar"/>
              </w:rPr>
            </w:pP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长江流域水生态考核指标评分细则（试行）</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（环办水体〔2023〕10号）</w:t>
            </w:r>
          </w:p>
        </w:tc>
      </w:tr>
      <w:tr w14:paraId="256D0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jc w:val="center"/>
        </w:trPr>
        <w:tc>
          <w:tcPr>
            <w:tcW w:w="343" w:type="pct"/>
            <w:shd w:val="clear" w:color="auto" w:fill="auto"/>
            <w:noWrap/>
            <w:vAlign w:val="center"/>
          </w:tcPr>
          <w:p w14:paraId="01273D5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13</w:t>
            </w:r>
          </w:p>
        </w:tc>
        <w:tc>
          <w:tcPr>
            <w:tcW w:w="1180" w:type="pct"/>
            <w:shd w:val="clear" w:color="auto" w:fill="auto"/>
            <w:vAlign w:val="center"/>
          </w:tcPr>
          <w:p w14:paraId="1BF771B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综合营养状态指数</w:t>
            </w:r>
          </w:p>
        </w:tc>
        <w:tc>
          <w:tcPr>
            <w:tcW w:w="3476" w:type="pct"/>
            <w:shd w:val="clear" w:color="auto" w:fill="auto"/>
            <w:noWrap/>
            <w:vAlign w:val="center"/>
          </w:tcPr>
          <w:p w14:paraId="416EBFD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《地表水环境质量评价方法》（环办</w:t>
            </w:r>
            <w:r>
              <w:rPr>
                <w:rFonts w:hint="default" w:ascii="Times New Roman" w:hAnsi="Times New Roman" w:eastAsia="仿宋_GB2312" w:cs="Times New Roman"/>
                <w:i w:val="0"/>
                <w:iCs w:val="0"/>
                <w:color w:val="000000"/>
                <w:sz w:val="24"/>
                <w:szCs w:val="24"/>
                <w:highlight w:val="none"/>
                <w:u w:val="none"/>
              </w:rPr>
              <w:t>〔</w:t>
            </w:r>
            <w:r>
              <w:rPr>
                <w:rFonts w:hint="default" w:ascii="Times New Roman" w:hAnsi="Times New Roman" w:eastAsia="仿宋_GB2312" w:cs="Times New Roman"/>
                <w:i w:val="0"/>
                <w:iCs w:val="0"/>
                <w:color w:val="000000"/>
                <w:kern w:val="0"/>
                <w:sz w:val="24"/>
                <w:szCs w:val="24"/>
                <w:highlight w:val="none"/>
                <w:u w:val="none"/>
                <w:lang w:val="en-US" w:eastAsia="zh-CN" w:bidi="ar"/>
              </w:rPr>
              <w:t>2011〕22号）</w:t>
            </w:r>
          </w:p>
        </w:tc>
      </w:tr>
      <w:tr w14:paraId="3C5A7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43" w:type="pct"/>
            <w:shd w:val="clear" w:color="auto" w:fill="auto"/>
            <w:noWrap/>
            <w:vAlign w:val="center"/>
          </w:tcPr>
          <w:p w14:paraId="6C3548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14</w:t>
            </w:r>
          </w:p>
        </w:tc>
        <w:tc>
          <w:tcPr>
            <w:tcW w:w="1180" w:type="pct"/>
            <w:shd w:val="clear" w:color="auto" w:fill="auto"/>
            <w:vAlign w:val="center"/>
          </w:tcPr>
          <w:p w14:paraId="11A68EB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生态流量满足程度</w:t>
            </w:r>
          </w:p>
        </w:tc>
        <w:tc>
          <w:tcPr>
            <w:tcW w:w="3476" w:type="pct"/>
            <w:shd w:val="clear" w:color="auto" w:fill="auto"/>
            <w:noWrap/>
            <w:vAlign w:val="center"/>
          </w:tcPr>
          <w:p w14:paraId="5388509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《河湖健康评估技术导则》（SL/T</w:t>
            </w:r>
            <w:r>
              <w:rPr>
                <w:rFonts w:hint="eastAsia" w:cs="Times New Roman"/>
                <w:i w:val="0"/>
                <w:iCs w:val="0"/>
                <w:color w:val="000000"/>
                <w:kern w:val="0"/>
                <w:sz w:val="24"/>
                <w:szCs w:val="24"/>
                <w:highlight w:val="none"/>
                <w:u w:val="none"/>
                <w:lang w:val="en-US" w:eastAsia="zh-CN" w:bidi="ar"/>
              </w:rPr>
              <w:t xml:space="preserve"> </w:t>
            </w:r>
            <w:r>
              <w:rPr>
                <w:rFonts w:hint="default" w:ascii="Times New Roman" w:hAnsi="Times New Roman" w:eastAsia="仿宋_GB2312" w:cs="Times New Roman"/>
                <w:i w:val="0"/>
                <w:iCs w:val="0"/>
                <w:color w:val="000000"/>
                <w:kern w:val="0"/>
                <w:sz w:val="24"/>
                <w:szCs w:val="24"/>
                <w:highlight w:val="none"/>
                <w:u w:val="none"/>
                <w:lang w:val="en-US" w:eastAsia="zh-CN" w:bidi="ar"/>
              </w:rPr>
              <w:t>793-2020）</w:t>
            </w:r>
          </w:p>
        </w:tc>
      </w:tr>
      <w:tr w14:paraId="37A84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3" w:type="pct"/>
            <w:shd w:val="clear" w:color="auto" w:fill="auto"/>
            <w:noWrap/>
            <w:vAlign w:val="center"/>
          </w:tcPr>
          <w:p w14:paraId="780EE1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15</w:t>
            </w:r>
          </w:p>
        </w:tc>
        <w:tc>
          <w:tcPr>
            <w:tcW w:w="1180" w:type="pct"/>
            <w:shd w:val="clear" w:color="auto" w:fill="auto"/>
            <w:vAlign w:val="center"/>
          </w:tcPr>
          <w:p w14:paraId="73057B2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断流干涸程度</w:t>
            </w:r>
          </w:p>
        </w:tc>
        <w:tc>
          <w:tcPr>
            <w:tcW w:w="3476" w:type="pct"/>
            <w:shd w:val="clear" w:color="auto" w:fill="auto"/>
            <w:noWrap/>
            <w:vAlign w:val="center"/>
          </w:tcPr>
          <w:p w14:paraId="56023C9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《黄河流域水生态监测评价体系研究成果报告（征求意见稿）》</w:t>
            </w:r>
          </w:p>
        </w:tc>
      </w:tr>
      <w:tr w14:paraId="1230C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343" w:type="pct"/>
            <w:shd w:val="clear" w:color="auto" w:fill="auto"/>
            <w:noWrap/>
            <w:vAlign w:val="center"/>
          </w:tcPr>
          <w:p w14:paraId="36FBC1C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1</w:t>
            </w:r>
            <w:r>
              <w:rPr>
                <w:rFonts w:hint="eastAsia" w:cs="Times New Roman"/>
                <w:i w:val="0"/>
                <w:iCs w:val="0"/>
                <w:color w:val="000000"/>
                <w:kern w:val="0"/>
                <w:sz w:val="24"/>
                <w:szCs w:val="24"/>
                <w:highlight w:val="none"/>
                <w:u w:val="none"/>
                <w:lang w:val="en-US" w:eastAsia="zh-CN" w:bidi="ar"/>
              </w:rPr>
              <w:t>6</w:t>
            </w:r>
          </w:p>
        </w:tc>
        <w:tc>
          <w:tcPr>
            <w:tcW w:w="1180" w:type="pct"/>
            <w:shd w:val="clear" w:color="auto" w:fill="auto"/>
            <w:vAlign w:val="center"/>
          </w:tcPr>
          <w:p w14:paraId="634090B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入海沙量保障程度</w:t>
            </w:r>
          </w:p>
        </w:tc>
        <w:tc>
          <w:tcPr>
            <w:tcW w:w="3476" w:type="pct"/>
            <w:shd w:val="clear" w:color="auto" w:fill="auto"/>
            <w:vAlign w:val="center"/>
          </w:tcPr>
          <w:p w14:paraId="0E38C73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《黄河流域水生态监测评价体系研究成果报告（征求意见稿）》</w:t>
            </w:r>
          </w:p>
        </w:tc>
      </w:tr>
      <w:tr w14:paraId="47DC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43" w:type="pct"/>
            <w:shd w:val="clear" w:color="auto" w:fill="auto"/>
            <w:noWrap/>
            <w:vAlign w:val="center"/>
          </w:tcPr>
          <w:p w14:paraId="1D7420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1</w:t>
            </w:r>
            <w:r>
              <w:rPr>
                <w:rFonts w:hint="eastAsia" w:cs="Times New Roman"/>
                <w:i w:val="0"/>
                <w:iCs w:val="0"/>
                <w:color w:val="000000"/>
                <w:kern w:val="0"/>
                <w:sz w:val="24"/>
                <w:szCs w:val="24"/>
                <w:highlight w:val="none"/>
                <w:u w:val="none"/>
                <w:lang w:val="en-US" w:eastAsia="zh-CN" w:bidi="ar"/>
              </w:rPr>
              <w:t>7</w:t>
            </w:r>
          </w:p>
        </w:tc>
        <w:tc>
          <w:tcPr>
            <w:tcW w:w="1180" w:type="pct"/>
            <w:shd w:val="clear" w:color="auto" w:fill="auto"/>
            <w:vAlign w:val="center"/>
          </w:tcPr>
          <w:p w14:paraId="7CD9F88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公众满意度</w:t>
            </w:r>
          </w:p>
        </w:tc>
        <w:tc>
          <w:tcPr>
            <w:tcW w:w="3476" w:type="pct"/>
            <w:shd w:val="clear" w:color="auto" w:fill="auto"/>
            <w:noWrap/>
            <w:vAlign w:val="center"/>
          </w:tcPr>
          <w:p w14:paraId="351B749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仿宋_GB2312" w:cs="Times New Roman"/>
                <w:i w:val="0"/>
                <w:iCs w:val="0"/>
                <w:color w:val="000000"/>
                <w:sz w:val="24"/>
                <w:szCs w:val="24"/>
                <w:highlight w:val="none"/>
                <w:u w:val="none"/>
              </w:rPr>
            </w:pPr>
            <w:r>
              <w:rPr>
                <w:rFonts w:hint="default" w:cs="Times New Roman"/>
                <w:color w:val="000000"/>
                <w:sz w:val="24"/>
                <w:highlight w:val="none"/>
                <w:u w:val="none"/>
              </w:rPr>
              <w:t>《关于印发〈美丽河湖保护与建设参考指标（试行）〉的通知》</w:t>
            </w:r>
            <w:r>
              <w:rPr>
                <w:rFonts w:hint="eastAsia" w:cs="Times New Roman"/>
                <w:color w:val="000000"/>
                <w:sz w:val="24"/>
                <w:highlight w:val="none"/>
                <w:u w:val="none"/>
                <w:lang w:eastAsia="zh-CN"/>
              </w:rPr>
              <w:t>（</w:t>
            </w:r>
            <w:r>
              <w:rPr>
                <w:rFonts w:hint="default" w:ascii="Times New Roman" w:hAnsi="Times New Roman" w:eastAsia="仿宋_GB2312" w:cs="Times New Roman"/>
                <w:i w:val="0"/>
                <w:iCs w:val="0"/>
                <w:color w:val="000000"/>
                <w:kern w:val="0"/>
                <w:sz w:val="24"/>
                <w:szCs w:val="24"/>
                <w:u w:val="none"/>
                <w:lang w:val="en-US" w:eastAsia="zh-CN" w:bidi="ar"/>
              </w:rPr>
              <w:t>环办水体函〔2022〕416号</w:t>
            </w:r>
            <w:r>
              <w:rPr>
                <w:rFonts w:hint="eastAsia" w:cs="Times New Roman"/>
                <w:color w:val="000000"/>
                <w:sz w:val="24"/>
                <w:highlight w:val="none"/>
                <w:u w:val="none"/>
                <w:lang w:eastAsia="zh-CN"/>
              </w:rPr>
              <w:t>）</w:t>
            </w:r>
          </w:p>
        </w:tc>
      </w:tr>
    </w:tbl>
    <w:p w14:paraId="515003B7">
      <w:pPr>
        <w:bidi w:val="0"/>
        <w:rPr>
          <w:rFonts w:hint="eastAsia"/>
          <w:highlight w:val="none"/>
          <w:lang w:val="en-US" w:eastAsia="zh-CN"/>
        </w:rPr>
      </w:pPr>
      <w:r>
        <w:rPr>
          <w:rFonts w:hint="eastAsia"/>
          <w:highlight w:val="none"/>
          <w:lang w:val="en-US" w:eastAsia="zh-CN"/>
        </w:rPr>
        <w:t>同时，结合山东省实际情况，对流域特征差异大的指标评价计算得分方法进行调整，主要涉及以下几项指标。</w:t>
      </w:r>
    </w:p>
    <w:p w14:paraId="43F56D89">
      <w:pPr>
        <w:numPr>
          <w:ilvl w:val="0"/>
          <w:numId w:val="0"/>
        </w:numPr>
        <w:ind w:firstLine="640" w:firstLineChars="200"/>
        <w:rPr>
          <w:rFonts w:hint="eastAsia"/>
          <w:b w:val="0"/>
          <w:bCs w:val="0"/>
          <w:highlight w:val="none"/>
          <w:lang w:val="en-US" w:eastAsia="zh-CN"/>
        </w:rPr>
      </w:pPr>
      <w:r>
        <w:rPr>
          <w:rFonts w:hint="eastAsia"/>
          <w:b w:val="0"/>
          <w:bCs w:val="0"/>
          <w:highlight w:val="none"/>
          <w:lang w:val="en-US" w:eastAsia="zh-CN"/>
        </w:rPr>
        <w:t>（1）大型底栖动物物种数</w:t>
      </w:r>
    </w:p>
    <w:p w14:paraId="5062CB30">
      <w:pPr>
        <w:numPr>
          <w:ilvl w:val="-1"/>
          <w:numId w:val="0"/>
        </w:numPr>
        <w:ind w:firstLine="640" w:firstLineChars="200"/>
        <w:rPr>
          <w:rFonts w:hint="default"/>
          <w:b w:val="0"/>
          <w:bCs w:val="0"/>
          <w:highlight w:val="none"/>
          <w:lang w:val="en-US" w:eastAsia="zh-CN"/>
        </w:rPr>
      </w:pPr>
      <w:r>
        <w:rPr>
          <w:rFonts w:hint="eastAsia"/>
          <w:b w:val="0"/>
          <w:bCs w:val="0"/>
          <w:highlight w:val="none"/>
          <w:lang w:val="en-US" w:eastAsia="zh-CN"/>
        </w:rPr>
        <w:t>考虑到不同河湖库水生态本底状况不同，</w:t>
      </w:r>
      <w:r>
        <w:rPr>
          <w:rFonts w:hint="default"/>
          <w:b w:val="0"/>
          <w:bCs w:val="0"/>
          <w:highlight w:val="none"/>
          <w:lang w:val="en-US" w:eastAsia="zh-CN"/>
        </w:rPr>
        <w:t>大型底栖</w:t>
      </w:r>
      <w:r>
        <w:rPr>
          <w:rFonts w:hint="eastAsia"/>
          <w:b w:val="0"/>
          <w:bCs w:val="0"/>
          <w:highlight w:val="none"/>
          <w:lang w:val="en-US" w:eastAsia="zh-CN"/>
        </w:rPr>
        <w:t>动物物种数选取现状物种数与有历史记录的较好状态物种数的差异比较来评价。同时，参考《河湖健康评估技术导则》（SL/T 793-2020）中关于水生生物物种数变化差异程度进行赋分。</w:t>
      </w:r>
    </w:p>
    <w:p w14:paraId="47BE2F1C">
      <w:pPr>
        <w:keepNext/>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outlineLvl w:val="9"/>
        <w:rPr>
          <w:rFonts w:hint="eastAsia" w:ascii="Times New Roman" w:hAnsi="Times New Roman" w:eastAsia="仿宋_GB2312" w:cs="Times New Roman"/>
          <w:b/>
          <w:bCs/>
          <w:color w:val="000000"/>
          <w:kern w:val="0"/>
          <w:sz w:val="28"/>
          <w:szCs w:val="28"/>
          <w:lang w:val="en-US" w:eastAsia="zh-CN" w:bidi="ar"/>
        </w:rPr>
      </w:pPr>
      <w:r>
        <w:rPr>
          <w:rFonts w:hint="eastAsia" w:ascii="Times New Roman" w:hAnsi="Times New Roman" w:eastAsia="仿宋_GB2312" w:cs="Times New Roman"/>
          <w:b/>
          <w:bCs/>
          <w:color w:val="000000"/>
          <w:kern w:val="0"/>
          <w:sz w:val="28"/>
          <w:szCs w:val="28"/>
          <w:lang w:val="en-US" w:eastAsia="zh-CN" w:bidi="ar"/>
        </w:rPr>
        <w:t>表</w:t>
      </w:r>
      <w:r>
        <w:rPr>
          <w:rFonts w:hint="eastAsia" w:ascii="Times New Roman" w:hAnsi="Times New Roman" w:cs="Times New Roman"/>
          <w:b/>
          <w:bCs/>
          <w:color w:val="000000"/>
          <w:kern w:val="0"/>
          <w:sz w:val="28"/>
          <w:szCs w:val="28"/>
          <w:lang w:val="en-US" w:eastAsia="zh-CN" w:bidi="ar"/>
        </w:rPr>
        <w:t>4-9</w:t>
      </w:r>
      <w:r>
        <w:rPr>
          <w:rFonts w:hint="eastAsia" w:ascii="Times New Roman" w:hAnsi="Times New Roman" w:eastAsia="仿宋_GB2312" w:cs="Times New Roman"/>
          <w:b/>
          <w:bCs/>
          <w:color w:val="000000"/>
          <w:kern w:val="0"/>
          <w:sz w:val="28"/>
          <w:szCs w:val="28"/>
          <w:lang w:val="en-US" w:eastAsia="zh-CN" w:bidi="ar"/>
        </w:rPr>
        <w:t xml:space="preserve"> 大型底栖动物物种数指数赋分表</w:t>
      </w:r>
    </w:p>
    <w:tbl>
      <w:tblPr>
        <w:tblStyle w:val="2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616"/>
        <w:gridCol w:w="1136"/>
        <w:gridCol w:w="1298"/>
        <w:gridCol w:w="1298"/>
        <w:gridCol w:w="1299"/>
        <w:gridCol w:w="1299"/>
      </w:tblGrid>
      <w:tr w14:paraId="2DE2D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14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55CDE">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大型底栖动物物种指数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F2C4B">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100</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EA876">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75</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9F052">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50</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17AA7">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25</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F134C">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w:t>
            </w:r>
          </w:p>
        </w:tc>
      </w:tr>
      <w:tr w14:paraId="0226B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jc w:val="center"/>
        </w:trPr>
        <w:tc>
          <w:tcPr>
            <w:tcW w:w="14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1002A">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赋分</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CDE0B">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100</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4E987">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60</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89D5E">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30</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E2602">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10</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7C9C2">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0</w:t>
            </w:r>
          </w:p>
        </w:tc>
      </w:tr>
    </w:tbl>
    <w:p w14:paraId="439740FA">
      <w:pPr>
        <w:numPr>
          <w:ilvl w:val="0"/>
          <w:numId w:val="0"/>
        </w:numPr>
        <w:ind w:firstLine="640" w:firstLineChars="200"/>
        <w:rPr>
          <w:rFonts w:hint="default" w:ascii="Times New Roman" w:hAnsi="Times New Roman"/>
          <w:b w:val="0"/>
          <w:bCs w:val="0"/>
          <w:highlight w:val="none"/>
          <w:lang w:val="en-US" w:eastAsia="zh-CN"/>
        </w:rPr>
      </w:pPr>
      <w:r>
        <w:rPr>
          <w:rFonts w:hint="eastAsia" w:ascii="Times New Roman" w:hAnsi="Times New Roman"/>
          <w:b w:val="0"/>
          <w:bCs w:val="0"/>
          <w:highlight w:val="none"/>
          <w:lang w:val="en-US" w:eastAsia="zh-CN"/>
        </w:rPr>
        <w:t>（2）综合污染状况</w:t>
      </w:r>
    </w:p>
    <w:p w14:paraId="6251183B">
      <w:pPr>
        <w:bidi w:val="0"/>
        <w:ind w:firstLine="640"/>
        <w:rPr>
          <w:rFonts w:hint="eastAsia"/>
          <w:highlight w:val="none"/>
          <w:lang w:val="en-US" w:eastAsia="zh-CN"/>
        </w:rPr>
      </w:pPr>
      <w:r>
        <w:rPr>
          <w:rFonts w:hint="eastAsia"/>
          <w:highlight w:val="none"/>
          <w:lang w:val="en-US" w:eastAsia="zh-CN"/>
        </w:rPr>
        <w:t>以2023年山东省国省控断面水质综合污染状况值作为赋分标准，按照综合污染状况值</w:t>
      </w:r>
      <w:r>
        <w:rPr>
          <w:rFonts w:hint="default"/>
          <w:highlight w:val="none"/>
          <w:lang w:val="en-US" w:eastAsia="zh-CN"/>
        </w:rPr>
        <w:t>的25%</w:t>
      </w:r>
      <w:r>
        <w:rPr>
          <w:rFonts w:hint="eastAsia"/>
          <w:highlight w:val="none"/>
          <w:lang w:val="en-US" w:eastAsia="zh-CN"/>
        </w:rPr>
        <w:t>、50%、75%、95%</w:t>
      </w:r>
      <w:r>
        <w:rPr>
          <w:rFonts w:hint="default"/>
          <w:highlight w:val="none"/>
          <w:lang w:val="en-US" w:eastAsia="zh-CN"/>
        </w:rPr>
        <w:t>分位数</w:t>
      </w:r>
      <w:r>
        <w:rPr>
          <w:rFonts w:hint="eastAsia"/>
          <w:highlight w:val="none"/>
          <w:lang w:val="en-US" w:eastAsia="zh-CN"/>
        </w:rPr>
        <w:t>，将其划分为5个等级，分别代表不同的污染强度。赋分标准如下：</w:t>
      </w:r>
    </w:p>
    <w:p w14:paraId="48E993B5">
      <w:pPr>
        <w:keepNext/>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outlineLvl w:val="9"/>
        <w:rPr>
          <w:rFonts w:hint="eastAsia" w:ascii="Times New Roman" w:hAnsi="Times New Roman" w:eastAsia="仿宋_GB2312" w:cs="Times New Roman"/>
          <w:b/>
          <w:bCs/>
          <w:color w:val="000000"/>
          <w:kern w:val="0"/>
          <w:sz w:val="28"/>
          <w:szCs w:val="28"/>
          <w:lang w:val="en-US" w:eastAsia="zh-CN" w:bidi="ar"/>
        </w:rPr>
      </w:pPr>
      <w:r>
        <w:rPr>
          <w:rFonts w:hint="eastAsia" w:ascii="Times New Roman" w:hAnsi="Times New Roman" w:eastAsia="仿宋_GB2312" w:cs="Times New Roman"/>
          <w:b/>
          <w:bCs/>
          <w:color w:val="000000"/>
          <w:kern w:val="0"/>
          <w:sz w:val="28"/>
          <w:szCs w:val="28"/>
          <w:lang w:val="en-US" w:eastAsia="zh-CN" w:bidi="ar"/>
        </w:rPr>
        <w:t>表</w:t>
      </w:r>
      <w:r>
        <w:rPr>
          <w:rFonts w:hint="eastAsia" w:ascii="Times New Roman" w:hAnsi="Times New Roman" w:cs="Times New Roman"/>
          <w:b/>
          <w:bCs/>
          <w:color w:val="000000"/>
          <w:kern w:val="0"/>
          <w:sz w:val="28"/>
          <w:szCs w:val="28"/>
          <w:lang w:val="en-US" w:eastAsia="zh-CN" w:bidi="ar"/>
        </w:rPr>
        <w:t>4-10</w:t>
      </w:r>
      <w:r>
        <w:rPr>
          <w:rFonts w:hint="eastAsia" w:ascii="Times New Roman" w:hAnsi="Times New Roman" w:eastAsia="仿宋_GB2312" w:cs="Times New Roman"/>
          <w:b/>
          <w:bCs/>
          <w:color w:val="000000"/>
          <w:kern w:val="0"/>
          <w:sz w:val="28"/>
          <w:szCs w:val="28"/>
          <w:lang w:val="en-US" w:eastAsia="zh-CN" w:bidi="ar"/>
        </w:rPr>
        <w:t xml:space="preserve"> 综合污染状态指数赋分标准表</w:t>
      </w:r>
    </w:p>
    <w:tbl>
      <w:tblPr>
        <w:tblStyle w:val="26"/>
        <w:tblW w:w="499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1172"/>
        <w:gridCol w:w="1569"/>
        <w:gridCol w:w="1328"/>
        <w:gridCol w:w="1286"/>
        <w:gridCol w:w="1310"/>
      </w:tblGrid>
      <w:tr w14:paraId="208BCF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2" w:type="pct"/>
            <w:vAlign w:val="center"/>
          </w:tcPr>
          <w:p w14:paraId="44423343">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highlight w:val="none"/>
                <w:lang w:val="en-US" w:eastAsia="zh-CN"/>
              </w:rPr>
            </w:pPr>
            <w:r>
              <w:rPr>
                <w:rFonts w:hint="default" w:ascii="Times New Roman" w:hAnsi="Times New Roman" w:eastAsia="仿宋_GB2312" w:cs="Times New Roman"/>
                <w:kern w:val="0"/>
                <w:sz w:val="24"/>
                <w:szCs w:val="24"/>
                <w:highlight w:val="none"/>
                <w:lang w:val="en-US" w:eastAsia="zh-CN"/>
              </w:rPr>
              <w:t>综合污染状况指数</w:t>
            </w:r>
          </w:p>
        </w:tc>
        <w:tc>
          <w:tcPr>
            <w:tcW w:w="655" w:type="pct"/>
            <w:vAlign w:val="center"/>
          </w:tcPr>
          <w:p w14:paraId="10B59923">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highlight w:val="none"/>
                <w:lang w:val="en-US" w:eastAsia="zh-CN"/>
              </w:rPr>
            </w:pPr>
            <w:r>
              <w:rPr>
                <w:rFonts w:hint="default" w:ascii="Times New Roman" w:hAnsi="Times New Roman" w:eastAsia="仿宋_GB2312" w:cs="Times New Roman"/>
                <w:kern w:val="0"/>
                <w:sz w:val="24"/>
                <w:szCs w:val="24"/>
                <w:highlight w:val="none"/>
                <w:lang w:val="en-US" w:eastAsia="zh-CN"/>
              </w:rPr>
              <w:t>≤</w:t>
            </w:r>
            <w:r>
              <w:rPr>
                <w:rFonts w:hint="default" w:ascii="Times New Roman" w:hAnsi="Times New Roman" w:eastAsia="仿宋_GB2312" w:cs="Times New Roman"/>
                <w:kern w:val="0"/>
                <w:sz w:val="24"/>
                <w:szCs w:val="24"/>
                <w:highlight w:val="none"/>
              </w:rPr>
              <w:t>0.</w:t>
            </w:r>
            <w:r>
              <w:rPr>
                <w:rFonts w:hint="default" w:ascii="Times New Roman" w:hAnsi="Times New Roman" w:eastAsia="仿宋_GB2312" w:cs="Times New Roman"/>
                <w:kern w:val="0"/>
                <w:sz w:val="24"/>
                <w:szCs w:val="24"/>
                <w:highlight w:val="none"/>
                <w:lang w:val="en-US" w:eastAsia="zh-CN"/>
              </w:rPr>
              <w:t>5</w:t>
            </w:r>
          </w:p>
        </w:tc>
        <w:tc>
          <w:tcPr>
            <w:tcW w:w="877" w:type="pct"/>
            <w:vAlign w:val="center"/>
          </w:tcPr>
          <w:p w14:paraId="4A92C9FA">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highlight w:val="none"/>
                <w:lang w:val="en-US" w:eastAsia="zh-CN"/>
              </w:rPr>
            </w:pPr>
            <w:r>
              <w:rPr>
                <w:rFonts w:hint="eastAsia" w:ascii="仿宋_GB2312" w:hAnsi="仿宋_GB2312" w:cs="仿宋_GB2312"/>
                <w:i w:val="0"/>
                <w:iCs w:val="0"/>
                <w:color w:val="000000"/>
                <w:kern w:val="0"/>
                <w:sz w:val="24"/>
                <w:szCs w:val="24"/>
                <w:highlight w:val="none"/>
                <w:u w:val="none"/>
                <w:lang w:val="en-US" w:eastAsia="zh-CN" w:bidi="ar"/>
              </w:rPr>
              <w:t>（</w:t>
            </w:r>
            <w:r>
              <w:rPr>
                <w:rFonts w:hint="default" w:ascii="Times New Roman" w:hAnsi="Times New Roman" w:eastAsia="仿宋_GB2312" w:cs="Times New Roman"/>
                <w:kern w:val="0"/>
                <w:sz w:val="24"/>
                <w:szCs w:val="24"/>
                <w:highlight w:val="none"/>
                <w:lang w:val="en-US" w:eastAsia="zh-CN"/>
              </w:rPr>
              <w:t>0.5</w:t>
            </w:r>
            <w:r>
              <w:rPr>
                <w:rFonts w:hint="default" w:cs="Times New Roman"/>
                <w:kern w:val="0"/>
                <w:sz w:val="24"/>
                <w:szCs w:val="24"/>
                <w:highlight w:val="none"/>
                <w:lang w:val="en-US" w:eastAsia="zh-CN"/>
              </w:rPr>
              <w:t>，</w:t>
            </w:r>
            <w:r>
              <w:rPr>
                <w:rFonts w:hint="default" w:ascii="Times New Roman" w:hAnsi="Times New Roman" w:eastAsia="仿宋_GB2312" w:cs="Times New Roman"/>
                <w:kern w:val="0"/>
                <w:sz w:val="24"/>
                <w:szCs w:val="24"/>
                <w:highlight w:val="none"/>
                <w:lang w:val="en-US" w:eastAsia="zh-CN"/>
              </w:rPr>
              <w:t>0.7</w:t>
            </w:r>
            <w:r>
              <w:rPr>
                <w:rFonts w:hint="eastAsia" w:ascii="仿宋_GB2312" w:hAnsi="仿宋_GB2312" w:cs="仿宋_GB2312"/>
                <w:b w:val="0"/>
                <w:bCs w:val="0"/>
                <w:kern w:val="0"/>
                <w:sz w:val="24"/>
                <w:szCs w:val="24"/>
                <w:highlight w:val="none"/>
                <w:lang w:val="en-US" w:eastAsia="zh-CN"/>
              </w:rPr>
              <w:t>]</w:t>
            </w:r>
          </w:p>
        </w:tc>
        <w:tc>
          <w:tcPr>
            <w:tcW w:w="742" w:type="pct"/>
            <w:vAlign w:val="center"/>
          </w:tcPr>
          <w:p w14:paraId="53FFFAB2">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highlight w:val="none"/>
                <w:lang w:val="en-US" w:eastAsia="zh-CN"/>
              </w:rPr>
            </w:pPr>
            <w:r>
              <w:rPr>
                <w:rFonts w:hint="eastAsia" w:ascii="仿宋_GB2312" w:hAnsi="仿宋_GB2312" w:cs="仿宋_GB2312"/>
                <w:i w:val="0"/>
                <w:iCs w:val="0"/>
                <w:color w:val="000000"/>
                <w:kern w:val="0"/>
                <w:sz w:val="24"/>
                <w:szCs w:val="24"/>
                <w:highlight w:val="none"/>
                <w:u w:val="none"/>
                <w:lang w:val="en-US" w:eastAsia="zh-CN" w:bidi="ar"/>
              </w:rPr>
              <w:t>（</w:t>
            </w:r>
            <w:r>
              <w:rPr>
                <w:rFonts w:hint="default" w:ascii="Times New Roman" w:hAnsi="Times New Roman" w:eastAsia="仿宋_GB2312" w:cs="Times New Roman"/>
                <w:kern w:val="0"/>
                <w:sz w:val="24"/>
                <w:szCs w:val="24"/>
                <w:highlight w:val="none"/>
                <w:lang w:val="en-US" w:eastAsia="zh-CN"/>
              </w:rPr>
              <w:t>0.7</w:t>
            </w:r>
            <w:r>
              <w:rPr>
                <w:rFonts w:hint="default" w:cs="Times New Roman"/>
                <w:kern w:val="0"/>
                <w:sz w:val="24"/>
                <w:szCs w:val="24"/>
                <w:highlight w:val="none"/>
                <w:lang w:val="en-US" w:eastAsia="zh-CN"/>
              </w:rPr>
              <w:t>，</w:t>
            </w:r>
            <w:r>
              <w:rPr>
                <w:rFonts w:hint="default" w:ascii="Times New Roman" w:hAnsi="Times New Roman" w:eastAsia="仿宋_GB2312" w:cs="Times New Roman"/>
                <w:kern w:val="0"/>
                <w:sz w:val="24"/>
                <w:szCs w:val="24"/>
                <w:highlight w:val="none"/>
                <w:lang w:val="en-US" w:eastAsia="zh-CN"/>
              </w:rPr>
              <w:t>1</w:t>
            </w:r>
            <w:r>
              <w:rPr>
                <w:rFonts w:hint="default" w:ascii="仿宋_GB2312" w:hAnsi="仿宋_GB2312" w:cs="仿宋_GB2312"/>
                <w:kern w:val="0"/>
                <w:sz w:val="24"/>
                <w:szCs w:val="24"/>
                <w:highlight w:val="none"/>
                <w:lang w:val="en-US" w:eastAsia="zh-CN"/>
              </w:rPr>
              <w:t>]</w:t>
            </w:r>
          </w:p>
        </w:tc>
        <w:tc>
          <w:tcPr>
            <w:tcW w:w="719" w:type="pct"/>
            <w:vAlign w:val="center"/>
          </w:tcPr>
          <w:p w14:paraId="5C346FCC">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highlight w:val="none"/>
                <w:lang w:val="en-US" w:eastAsia="zh-CN"/>
              </w:rPr>
            </w:pPr>
            <w:r>
              <w:rPr>
                <w:rFonts w:hint="eastAsia" w:ascii="仿宋_GB2312" w:hAnsi="仿宋_GB2312" w:cs="仿宋_GB2312"/>
                <w:kern w:val="0"/>
                <w:sz w:val="24"/>
                <w:szCs w:val="24"/>
                <w:highlight w:val="none"/>
                <w:lang w:val="en-US" w:eastAsia="zh-CN"/>
              </w:rPr>
              <w:t>（</w:t>
            </w:r>
            <w:r>
              <w:rPr>
                <w:rFonts w:hint="default" w:ascii="Times New Roman" w:hAnsi="Times New Roman" w:eastAsia="仿宋_GB2312" w:cs="Times New Roman"/>
                <w:kern w:val="0"/>
                <w:sz w:val="24"/>
                <w:szCs w:val="24"/>
                <w:highlight w:val="none"/>
              </w:rPr>
              <w:t>1</w:t>
            </w:r>
            <w:r>
              <w:rPr>
                <w:rFonts w:hint="default" w:cs="Times New Roman"/>
                <w:kern w:val="0"/>
                <w:sz w:val="24"/>
                <w:szCs w:val="24"/>
                <w:highlight w:val="none"/>
                <w:lang w:val="en-US" w:eastAsia="zh-CN"/>
              </w:rPr>
              <w:t>，</w:t>
            </w:r>
            <w:r>
              <w:rPr>
                <w:rFonts w:hint="default" w:ascii="Times New Roman" w:hAnsi="Times New Roman" w:eastAsia="仿宋_GB2312" w:cs="Times New Roman"/>
                <w:kern w:val="0"/>
                <w:sz w:val="24"/>
                <w:szCs w:val="24"/>
                <w:highlight w:val="none"/>
                <w:lang w:val="en-US" w:eastAsia="zh-CN"/>
              </w:rPr>
              <w:t>2</w:t>
            </w:r>
            <w:r>
              <w:rPr>
                <w:rFonts w:hint="default" w:ascii="仿宋_GB2312" w:hAnsi="仿宋_GB2312" w:cs="仿宋_GB2312"/>
                <w:kern w:val="0"/>
                <w:sz w:val="24"/>
                <w:szCs w:val="24"/>
                <w:highlight w:val="none"/>
                <w:lang w:val="en-US" w:eastAsia="zh-CN"/>
              </w:rPr>
              <w:t>]</w:t>
            </w:r>
          </w:p>
        </w:tc>
        <w:tc>
          <w:tcPr>
            <w:tcW w:w="732" w:type="pct"/>
            <w:vAlign w:val="center"/>
          </w:tcPr>
          <w:p w14:paraId="5C20A126">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highlight w:val="none"/>
                <w:lang w:val="en-US" w:eastAsia="zh-CN"/>
              </w:rPr>
            </w:pPr>
            <w:r>
              <w:rPr>
                <w:rFonts w:hint="default" w:cs="Times New Roman"/>
                <w:kern w:val="0"/>
                <w:sz w:val="24"/>
                <w:szCs w:val="24"/>
                <w:highlight w:val="none"/>
                <w:lang w:val="en-US" w:eastAsia="zh-CN"/>
              </w:rPr>
              <w:t>＞</w:t>
            </w:r>
            <w:r>
              <w:rPr>
                <w:rFonts w:hint="default" w:ascii="Times New Roman" w:hAnsi="Times New Roman" w:eastAsia="仿宋_GB2312" w:cs="Times New Roman"/>
                <w:kern w:val="0"/>
                <w:sz w:val="24"/>
                <w:szCs w:val="24"/>
                <w:highlight w:val="none"/>
                <w:lang w:val="en-US" w:eastAsia="zh-CN"/>
              </w:rPr>
              <w:t>2.0</w:t>
            </w:r>
          </w:p>
        </w:tc>
      </w:tr>
      <w:tr w14:paraId="6AE933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2" w:type="pct"/>
            <w:vAlign w:val="center"/>
          </w:tcPr>
          <w:p w14:paraId="333260D8">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lang w:val="en-US" w:eastAsia="zh-CN"/>
              </w:rPr>
            </w:pPr>
            <w:r>
              <w:rPr>
                <w:rFonts w:hint="default" w:ascii="Times New Roman" w:hAnsi="Times New Roman" w:eastAsia="仿宋_GB2312" w:cs="Times New Roman"/>
                <w:kern w:val="0"/>
                <w:sz w:val="24"/>
                <w:szCs w:val="24"/>
                <w:lang w:val="en-US" w:eastAsia="zh-CN"/>
              </w:rPr>
              <w:t>评价等级</w:t>
            </w:r>
          </w:p>
        </w:tc>
        <w:tc>
          <w:tcPr>
            <w:tcW w:w="655" w:type="pct"/>
            <w:vAlign w:val="center"/>
          </w:tcPr>
          <w:p w14:paraId="5F1ED72A">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lang w:val="en-US" w:eastAsia="zh-CN"/>
              </w:rPr>
            </w:pPr>
            <w:r>
              <w:rPr>
                <w:rFonts w:hint="default" w:ascii="Times New Roman" w:hAnsi="Times New Roman" w:eastAsia="仿宋_GB2312" w:cs="Times New Roman"/>
                <w:kern w:val="0"/>
                <w:sz w:val="24"/>
                <w:szCs w:val="24"/>
                <w:lang w:val="en-US" w:eastAsia="zh-CN"/>
              </w:rPr>
              <w:t>无污染</w:t>
            </w:r>
          </w:p>
        </w:tc>
        <w:tc>
          <w:tcPr>
            <w:tcW w:w="877" w:type="pct"/>
            <w:vAlign w:val="center"/>
          </w:tcPr>
          <w:p w14:paraId="0BB38E04">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lang w:val="en-US" w:eastAsia="zh-CN"/>
              </w:rPr>
            </w:pPr>
            <w:r>
              <w:rPr>
                <w:rFonts w:hint="default" w:ascii="Times New Roman" w:hAnsi="Times New Roman" w:eastAsia="仿宋_GB2312" w:cs="Times New Roman"/>
                <w:kern w:val="0"/>
                <w:sz w:val="24"/>
                <w:szCs w:val="24"/>
                <w:lang w:val="en-US" w:eastAsia="zh-CN"/>
              </w:rPr>
              <w:t>轻度污染</w:t>
            </w:r>
          </w:p>
        </w:tc>
        <w:tc>
          <w:tcPr>
            <w:tcW w:w="742" w:type="pct"/>
            <w:vAlign w:val="center"/>
          </w:tcPr>
          <w:p w14:paraId="5E7D7109">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lang w:val="en-US" w:eastAsia="zh-CN"/>
              </w:rPr>
            </w:pPr>
            <w:r>
              <w:rPr>
                <w:rFonts w:hint="default" w:ascii="Times New Roman" w:hAnsi="Times New Roman" w:eastAsia="仿宋_GB2312" w:cs="Times New Roman"/>
                <w:kern w:val="0"/>
                <w:sz w:val="24"/>
                <w:szCs w:val="24"/>
                <w:lang w:val="en-US" w:eastAsia="zh-CN"/>
              </w:rPr>
              <w:t>中度污染</w:t>
            </w:r>
          </w:p>
        </w:tc>
        <w:tc>
          <w:tcPr>
            <w:tcW w:w="719" w:type="pct"/>
            <w:vAlign w:val="center"/>
          </w:tcPr>
          <w:p w14:paraId="78B6CD28">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lang w:val="en-US" w:eastAsia="zh-CN"/>
              </w:rPr>
            </w:pPr>
            <w:r>
              <w:rPr>
                <w:rFonts w:hint="default" w:ascii="Times New Roman" w:hAnsi="Times New Roman" w:eastAsia="仿宋_GB2312" w:cs="Times New Roman"/>
                <w:kern w:val="0"/>
                <w:sz w:val="24"/>
                <w:szCs w:val="24"/>
                <w:lang w:val="en-US" w:eastAsia="zh-CN"/>
              </w:rPr>
              <w:t>重度污染</w:t>
            </w:r>
          </w:p>
        </w:tc>
        <w:tc>
          <w:tcPr>
            <w:tcW w:w="732" w:type="pct"/>
            <w:vAlign w:val="center"/>
          </w:tcPr>
          <w:p w14:paraId="036DEBB7">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lang w:val="en-US" w:eastAsia="zh-CN"/>
              </w:rPr>
            </w:pPr>
            <w:r>
              <w:rPr>
                <w:rFonts w:hint="default" w:ascii="Times New Roman" w:hAnsi="Times New Roman" w:eastAsia="仿宋_GB2312" w:cs="Times New Roman"/>
                <w:kern w:val="0"/>
                <w:sz w:val="24"/>
                <w:szCs w:val="24"/>
                <w:lang w:val="en-US" w:eastAsia="zh-CN"/>
              </w:rPr>
              <w:t>严重污染</w:t>
            </w:r>
          </w:p>
        </w:tc>
      </w:tr>
      <w:tr w14:paraId="56A5BD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2" w:type="pct"/>
            <w:vAlign w:val="center"/>
          </w:tcPr>
          <w:p w14:paraId="4A111A09">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lang w:val="en-US" w:eastAsia="zh-CN"/>
              </w:rPr>
            </w:pPr>
            <w:r>
              <w:rPr>
                <w:rFonts w:hint="default" w:ascii="Times New Roman" w:hAnsi="Times New Roman" w:eastAsia="仿宋_GB2312" w:cs="Times New Roman"/>
                <w:kern w:val="0"/>
                <w:sz w:val="24"/>
                <w:szCs w:val="24"/>
                <w:lang w:val="en-US" w:eastAsia="zh-CN"/>
              </w:rPr>
              <w:t>赋分</w:t>
            </w:r>
          </w:p>
        </w:tc>
        <w:tc>
          <w:tcPr>
            <w:tcW w:w="655" w:type="pct"/>
            <w:vAlign w:val="center"/>
          </w:tcPr>
          <w:p w14:paraId="7637C6B8">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lang w:val="en-US" w:eastAsia="zh-CN"/>
              </w:rPr>
            </w:pPr>
            <w:r>
              <w:rPr>
                <w:rFonts w:hint="default" w:ascii="Times New Roman" w:hAnsi="Times New Roman" w:eastAsia="仿宋_GB2312" w:cs="Times New Roman"/>
                <w:kern w:val="0"/>
                <w:sz w:val="24"/>
                <w:szCs w:val="24"/>
                <w:lang w:val="en-US" w:eastAsia="zh-CN"/>
              </w:rPr>
              <w:t>100</w:t>
            </w:r>
          </w:p>
        </w:tc>
        <w:tc>
          <w:tcPr>
            <w:tcW w:w="877" w:type="pct"/>
            <w:vAlign w:val="center"/>
          </w:tcPr>
          <w:p w14:paraId="66235004">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lang w:val="en-US" w:eastAsia="zh-CN"/>
              </w:rPr>
            </w:pPr>
            <w:r>
              <w:rPr>
                <w:rFonts w:hint="default" w:ascii="Times New Roman" w:hAnsi="Times New Roman" w:eastAsia="仿宋_GB2312" w:cs="Times New Roman"/>
                <w:kern w:val="0"/>
                <w:sz w:val="24"/>
                <w:szCs w:val="24"/>
                <w:lang w:val="en-US" w:eastAsia="zh-CN"/>
              </w:rPr>
              <w:t>80</w:t>
            </w:r>
          </w:p>
        </w:tc>
        <w:tc>
          <w:tcPr>
            <w:tcW w:w="742" w:type="pct"/>
            <w:vAlign w:val="center"/>
          </w:tcPr>
          <w:p w14:paraId="13AD7EF8">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lang w:val="en-US" w:eastAsia="zh-CN"/>
              </w:rPr>
            </w:pPr>
            <w:r>
              <w:rPr>
                <w:rFonts w:hint="default" w:ascii="Times New Roman" w:hAnsi="Times New Roman" w:eastAsia="仿宋_GB2312" w:cs="Times New Roman"/>
                <w:kern w:val="0"/>
                <w:sz w:val="24"/>
                <w:szCs w:val="24"/>
                <w:lang w:val="en-US" w:eastAsia="zh-CN"/>
              </w:rPr>
              <w:t>60</w:t>
            </w:r>
          </w:p>
        </w:tc>
        <w:tc>
          <w:tcPr>
            <w:tcW w:w="719" w:type="pct"/>
            <w:vAlign w:val="center"/>
          </w:tcPr>
          <w:p w14:paraId="4485BF7C">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20</w:t>
            </w:r>
          </w:p>
        </w:tc>
        <w:tc>
          <w:tcPr>
            <w:tcW w:w="732" w:type="pct"/>
            <w:vAlign w:val="center"/>
          </w:tcPr>
          <w:p w14:paraId="179D85BC">
            <w:pPr>
              <w:pStyle w:val="37"/>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_GB2312" w:cs="Times New Roman"/>
                <w:kern w:val="0"/>
                <w:sz w:val="24"/>
                <w:szCs w:val="24"/>
                <w:lang w:val="en-US" w:eastAsia="zh-CN"/>
              </w:rPr>
            </w:pPr>
            <w:r>
              <w:rPr>
                <w:rFonts w:hint="default" w:ascii="Times New Roman" w:hAnsi="Times New Roman" w:eastAsia="仿宋_GB2312" w:cs="Times New Roman"/>
                <w:kern w:val="0"/>
                <w:sz w:val="24"/>
                <w:szCs w:val="24"/>
                <w:lang w:val="en-US" w:eastAsia="zh-CN"/>
              </w:rPr>
              <w:t>0</w:t>
            </w:r>
          </w:p>
        </w:tc>
      </w:tr>
    </w:tbl>
    <w:p w14:paraId="6C442709">
      <w:pPr>
        <w:numPr>
          <w:ilvl w:val="0"/>
          <w:numId w:val="0"/>
        </w:numPr>
        <w:ind w:firstLine="640" w:firstLineChars="200"/>
        <w:rPr>
          <w:rFonts w:hint="default" w:ascii="Times New Roman" w:hAnsi="Times New Roman"/>
          <w:b w:val="0"/>
          <w:bCs w:val="0"/>
          <w:highlight w:val="none"/>
          <w:lang w:val="en-US" w:eastAsia="zh-CN"/>
        </w:rPr>
      </w:pPr>
      <w:r>
        <w:rPr>
          <w:rFonts w:hint="eastAsia" w:ascii="Times New Roman" w:hAnsi="Times New Roman"/>
          <w:b w:val="0"/>
          <w:bCs w:val="0"/>
          <w:highlight w:val="none"/>
          <w:lang w:val="en-US" w:eastAsia="zh-CN"/>
        </w:rPr>
        <w:t>（3）汛期污染强度</w:t>
      </w:r>
    </w:p>
    <w:p w14:paraId="34D6AB21">
      <w:pPr>
        <w:bidi w:val="0"/>
        <w:rPr>
          <w:rFonts w:hint="eastAsia"/>
          <w:highlight w:val="none"/>
          <w:lang w:val="en-US" w:eastAsia="zh-CN"/>
        </w:rPr>
        <w:sectPr>
          <w:footerReference r:id="rId7" w:type="default"/>
          <w:pgSz w:w="11906" w:h="16838"/>
          <w:pgMar w:top="1440" w:right="1588" w:bottom="1440" w:left="1588"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lang w:val="en-US" w:eastAsia="zh-CN"/>
        </w:rPr>
        <w:t>以2024年7—9月山东省国控断面汛期污染强度值作为赋分标准，按照汛期污染强度值</w:t>
      </w:r>
      <w:r>
        <w:rPr>
          <w:rFonts w:hint="default"/>
          <w:lang w:val="en-US" w:eastAsia="zh-CN"/>
        </w:rPr>
        <w:t>的25%</w:t>
      </w:r>
      <w:r>
        <w:rPr>
          <w:rFonts w:hint="eastAsia"/>
          <w:lang w:val="en-US" w:eastAsia="zh-CN"/>
        </w:rPr>
        <w:t>、50%、75%、95%</w:t>
      </w:r>
      <w:r>
        <w:rPr>
          <w:rFonts w:hint="default"/>
          <w:lang w:val="en-US" w:eastAsia="zh-CN"/>
        </w:rPr>
        <w:t>分位数</w:t>
      </w:r>
      <w:r>
        <w:rPr>
          <w:rFonts w:hint="eastAsia"/>
          <w:lang w:val="en-US" w:eastAsia="zh-CN"/>
        </w:rPr>
        <w:t>，将其划分为6个等级，分别代表不同的影响强度。</w:t>
      </w:r>
      <w:r>
        <w:rPr>
          <w:rFonts w:hint="eastAsia"/>
          <w:highlight w:val="none"/>
          <w:lang w:val="en-US" w:eastAsia="zh-CN"/>
        </w:rPr>
        <w:t>赋分标准如下：</w:t>
      </w:r>
    </w:p>
    <w:p w14:paraId="3695E525">
      <w:pPr>
        <w:keepNext/>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outlineLvl w:val="9"/>
        <w:rPr>
          <w:rFonts w:hint="default" w:ascii="Times New Roman" w:hAnsi="Times New Roman" w:eastAsia="仿宋_GB2312" w:cs="Times New Roman"/>
          <w:b/>
          <w:bCs/>
          <w:color w:val="000000"/>
          <w:kern w:val="0"/>
          <w:sz w:val="28"/>
          <w:szCs w:val="28"/>
          <w:lang w:val="en-US" w:eastAsia="zh-CN" w:bidi="ar"/>
        </w:rPr>
      </w:pPr>
      <w:r>
        <w:rPr>
          <w:rFonts w:hint="eastAsia" w:ascii="Times New Roman" w:hAnsi="Times New Roman" w:eastAsia="仿宋_GB2312" w:cs="Times New Roman"/>
          <w:b/>
          <w:bCs/>
          <w:color w:val="000000"/>
          <w:kern w:val="0"/>
          <w:sz w:val="28"/>
          <w:szCs w:val="28"/>
          <w:lang w:val="en-US" w:eastAsia="zh-CN" w:bidi="ar"/>
        </w:rPr>
        <w:t>表</w:t>
      </w:r>
      <w:r>
        <w:rPr>
          <w:rFonts w:hint="eastAsia" w:ascii="Times New Roman" w:hAnsi="Times New Roman" w:cs="Times New Roman"/>
          <w:b/>
          <w:bCs/>
          <w:color w:val="000000"/>
          <w:kern w:val="0"/>
          <w:sz w:val="28"/>
          <w:szCs w:val="28"/>
          <w:lang w:val="en-US" w:eastAsia="zh-CN" w:bidi="ar"/>
        </w:rPr>
        <w:t>4-</w:t>
      </w:r>
      <w:r>
        <w:rPr>
          <w:rFonts w:hint="eastAsia" w:ascii="Times New Roman" w:hAnsi="Times New Roman" w:eastAsia="仿宋_GB2312" w:cs="Times New Roman"/>
          <w:b/>
          <w:bCs/>
          <w:color w:val="000000"/>
          <w:kern w:val="0"/>
          <w:sz w:val="28"/>
          <w:szCs w:val="28"/>
          <w:lang w:val="en-US" w:eastAsia="zh-CN" w:bidi="ar"/>
        </w:rPr>
        <w:t>1</w:t>
      </w:r>
      <w:r>
        <w:rPr>
          <w:rFonts w:hint="eastAsia" w:ascii="Times New Roman" w:hAnsi="Times New Roman" w:cs="Times New Roman"/>
          <w:b/>
          <w:bCs/>
          <w:color w:val="000000"/>
          <w:kern w:val="0"/>
          <w:sz w:val="28"/>
          <w:szCs w:val="28"/>
          <w:lang w:val="en-US" w:eastAsia="zh-CN" w:bidi="ar"/>
        </w:rPr>
        <w:t>1</w:t>
      </w:r>
      <w:r>
        <w:rPr>
          <w:rFonts w:hint="eastAsia" w:ascii="Times New Roman" w:hAnsi="Times New Roman" w:eastAsia="仿宋_GB2312" w:cs="Times New Roman"/>
          <w:b/>
          <w:bCs/>
          <w:color w:val="000000"/>
          <w:kern w:val="0"/>
          <w:sz w:val="28"/>
          <w:szCs w:val="28"/>
          <w:lang w:val="en-US" w:eastAsia="zh-CN" w:bidi="ar"/>
        </w:rPr>
        <w:t xml:space="preserve"> 汛期污染强度划分标准</w:t>
      </w:r>
    </w:p>
    <w:tbl>
      <w:tblPr>
        <w:tblStyle w:val="2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50"/>
        <w:gridCol w:w="1100"/>
        <w:gridCol w:w="1289"/>
        <w:gridCol w:w="1300"/>
        <w:gridCol w:w="1367"/>
        <w:gridCol w:w="1366"/>
        <w:gridCol w:w="1169"/>
      </w:tblGrid>
      <w:tr w14:paraId="1B285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754" w:type="pct"/>
            <w:shd w:val="clear" w:color="auto" w:fill="auto"/>
            <w:noWrap/>
            <w:vAlign w:val="center"/>
          </w:tcPr>
          <w:p w14:paraId="26DF58B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汛期污染强度值</w:t>
            </w:r>
          </w:p>
        </w:tc>
        <w:tc>
          <w:tcPr>
            <w:tcW w:w="615" w:type="pct"/>
            <w:shd w:val="clear" w:color="auto" w:fill="auto"/>
            <w:noWrap/>
            <w:vAlign w:val="center"/>
          </w:tcPr>
          <w:p w14:paraId="79D76E0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≤1</w:t>
            </w:r>
          </w:p>
        </w:tc>
        <w:tc>
          <w:tcPr>
            <w:tcW w:w="720" w:type="pct"/>
            <w:shd w:val="clear" w:color="auto" w:fill="auto"/>
            <w:noWrap/>
            <w:vAlign w:val="center"/>
          </w:tcPr>
          <w:p w14:paraId="100A8D1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eastAsia" w:ascii="仿宋_GB2312" w:hAnsi="仿宋_GB2312" w:cs="仿宋_GB2312"/>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1</w:t>
            </w:r>
            <w:r>
              <w:rPr>
                <w:rFonts w:hint="eastAsia" w:ascii="Times New Roman" w:hAnsi="Times New Roman"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1.2</w:t>
            </w:r>
            <w:r>
              <w:rPr>
                <w:rFonts w:hint="eastAsia" w:ascii="仿宋_GB2312" w:hAnsi="仿宋_GB2312" w:eastAsia="仿宋_GB2312" w:cs="仿宋_GB2312"/>
                <w:i w:val="0"/>
                <w:iCs w:val="0"/>
                <w:color w:val="000000"/>
                <w:kern w:val="0"/>
                <w:sz w:val="24"/>
                <w:szCs w:val="24"/>
                <w:highlight w:val="none"/>
                <w:u w:val="none"/>
                <w:lang w:val="en-US" w:eastAsia="zh-CN" w:bidi="ar"/>
              </w:rPr>
              <w:t>]</w:t>
            </w:r>
          </w:p>
        </w:tc>
        <w:tc>
          <w:tcPr>
            <w:tcW w:w="726" w:type="pct"/>
            <w:shd w:val="clear" w:color="auto" w:fill="auto"/>
            <w:noWrap/>
            <w:vAlign w:val="center"/>
          </w:tcPr>
          <w:p w14:paraId="3F98B58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eastAsia" w:ascii="仿宋_GB2312" w:hAnsi="仿宋_GB2312" w:cs="仿宋_GB2312"/>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1.2</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1.5</w:t>
            </w:r>
            <w:r>
              <w:rPr>
                <w:rFonts w:hint="eastAsia" w:ascii="仿宋_GB2312" w:hAnsi="仿宋_GB2312" w:eastAsia="仿宋_GB2312" w:cs="仿宋_GB2312"/>
                <w:i w:val="0"/>
                <w:iCs w:val="0"/>
                <w:color w:val="000000"/>
                <w:kern w:val="0"/>
                <w:sz w:val="24"/>
                <w:szCs w:val="24"/>
                <w:highlight w:val="none"/>
                <w:u w:val="none"/>
                <w:lang w:val="en-US" w:eastAsia="zh-CN" w:bidi="ar"/>
              </w:rPr>
              <w:t>]</w:t>
            </w:r>
          </w:p>
        </w:tc>
        <w:tc>
          <w:tcPr>
            <w:tcW w:w="764" w:type="pct"/>
            <w:shd w:val="clear" w:color="auto" w:fill="auto"/>
            <w:noWrap/>
            <w:vAlign w:val="center"/>
          </w:tcPr>
          <w:p w14:paraId="4253C74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eastAsia" w:ascii="仿宋_GB2312" w:hAnsi="仿宋_GB2312" w:cs="仿宋_GB2312"/>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1.5</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1.9</w:t>
            </w:r>
            <w:r>
              <w:rPr>
                <w:rFonts w:hint="eastAsia" w:ascii="仿宋_GB2312" w:hAnsi="仿宋_GB2312" w:cs="仿宋_GB2312"/>
                <w:i w:val="0"/>
                <w:iCs w:val="0"/>
                <w:color w:val="000000"/>
                <w:kern w:val="0"/>
                <w:sz w:val="24"/>
                <w:szCs w:val="24"/>
                <w:highlight w:val="none"/>
                <w:u w:val="none"/>
                <w:lang w:val="en-US" w:eastAsia="zh-CN" w:bidi="ar"/>
              </w:rPr>
              <w:t>]</w:t>
            </w:r>
          </w:p>
        </w:tc>
        <w:tc>
          <w:tcPr>
            <w:tcW w:w="763" w:type="pct"/>
            <w:shd w:val="clear" w:color="auto" w:fill="auto"/>
            <w:noWrap/>
            <w:vAlign w:val="center"/>
          </w:tcPr>
          <w:p w14:paraId="4879B8E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eastAsia" w:ascii="仿宋_GB2312" w:hAnsi="仿宋_GB2312" w:cs="仿宋_GB2312"/>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1.9</w:t>
            </w: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3.7</w:t>
            </w:r>
            <w:r>
              <w:rPr>
                <w:rFonts w:hint="eastAsia" w:ascii="仿宋_GB2312" w:hAnsi="仿宋_GB2312" w:cs="仿宋_GB2312"/>
                <w:i w:val="0"/>
                <w:iCs w:val="0"/>
                <w:color w:val="000000"/>
                <w:kern w:val="0"/>
                <w:sz w:val="24"/>
                <w:szCs w:val="24"/>
                <w:highlight w:val="none"/>
                <w:u w:val="none"/>
                <w:lang w:val="en-US" w:eastAsia="zh-CN" w:bidi="ar"/>
              </w:rPr>
              <w:t>]</w:t>
            </w:r>
          </w:p>
        </w:tc>
        <w:tc>
          <w:tcPr>
            <w:tcW w:w="653" w:type="pct"/>
            <w:shd w:val="clear" w:color="auto" w:fill="auto"/>
            <w:noWrap/>
            <w:vAlign w:val="center"/>
          </w:tcPr>
          <w:p w14:paraId="38F5A82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eastAsia" w:cs="Times New Roman"/>
                <w:i w:val="0"/>
                <w:iCs w:val="0"/>
                <w:color w:val="000000"/>
                <w:kern w:val="0"/>
                <w:sz w:val="24"/>
                <w:szCs w:val="24"/>
                <w:highlight w:val="none"/>
                <w:u w:val="none"/>
                <w:lang w:val="en-US" w:eastAsia="zh-CN" w:bidi="ar"/>
              </w:rPr>
              <w:t>＞</w:t>
            </w:r>
            <w:r>
              <w:rPr>
                <w:rFonts w:hint="default" w:ascii="Times New Roman" w:hAnsi="Times New Roman" w:eastAsia="仿宋_GB2312" w:cs="Times New Roman"/>
                <w:i w:val="0"/>
                <w:iCs w:val="0"/>
                <w:color w:val="000000"/>
                <w:kern w:val="0"/>
                <w:sz w:val="24"/>
                <w:szCs w:val="24"/>
                <w:highlight w:val="none"/>
                <w:u w:val="none"/>
                <w:lang w:val="en-US" w:eastAsia="zh-CN" w:bidi="ar"/>
              </w:rPr>
              <w:t>3.7</w:t>
            </w:r>
          </w:p>
        </w:tc>
      </w:tr>
      <w:tr w14:paraId="639D1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54" w:type="pct"/>
            <w:shd w:val="clear" w:color="auto" w:fill="auto"/>
            <w:noWrap/>
            <w:vAlign w:val="center"/>
          </w:tcPr>
          <w:p w14:paraId="71A5DB9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lang w:val="en-US"/>
              </w:rPr>
            </w:pPr>
            <w:r>
              <w:rPr>
                <w:rFonts w:hint="default" w:ascii="Times New Roman" w:hAnsi="Times New Roman" w:eastAsia="仿宋_GB2312" w:cs="Times New Roman"/>
                <w:i w:val="0"/>
                <w:iCs w:val="0"/>
                <w:color w:val="000000"/>
                <w:kern w:val="0"/>
                <w:sz w:val="24"/>
                <w:szCs w:val="24"/>
                <w:highlight w:val="none"/>
                <w:u w:val="none"/>
                <w:lang w:val="en-US" w:eastAsia="zh-CN" w:bidi="ar"/>
              </w:rPr>
              <w:t>评价等级</w:t>
            </w:r>
          </w:p>
        </w:tc>
        <w:tc>
          <w:tcPr>
            <w:tcW w:w="615" w:type="pct"/>
            <w:shd w:val="clear" w:color="auto" w:fill="auto"/>
            <w:noWrap/>
            <w:vAlign w:val="center"/>
          </w:tcPr>
          <w:p w14:paraId="5D33A39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lang w:val="en-US"/>
              </w:rPr>
            </w:pPr>
            <w:r>
              <w:rPr>
                <w:rFonts w:hint="default" w:ascii="Times New Roman" w:hAnsi="Times New Roman" w:eastAsia="仿宋_GB2312" w:cs="Times New Roman"/>
                <w:i w:val="0"/>
                <w:iCs w:val="0"/>
                <w:color w:val="000000"/>
                <w:kern w:val="0"/>
                <w:sz w:val="24"/>
                <w:szCs w:val="24"/>
                <w:highlight w:val="none"/>
                <w:u w:val="none"/>
                <w:lang w:val="en-US" w:eastAsia="zh-CN" w:bidi="ar"/>
              </w:rPr>
              <w:t>无影响</w:t>
            </w:r>
          </w:p>
        </w:tc>
        <w:tc>
          <w:tcPr>
            <w:tcW w:w="720" w:type="pct"/>
            <w:shd w:val="clear" w:color="auto" w:fill="auto"/>
            <w:noWrap/>
            <w:vAlign w:val="center"/>
          </w:tcPr>
          <w:p w14:paraId="767A3B0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lang w:val="en-US"/>
              </w:rPr>
            </w:pPr>
            <w:r>
              <w:rPr>
                <w:rFonts w:hint="default" w:ascii="Times New Roman" w:hAnsi="Times New Roman" w:eastAsia="仿宋_GB2312" w:cs="Times New Roman"/>
                <w:i w:val="0"/>
                <w:iCs w:val="0"/>
                <w:color w:val="000000"/>
                <w:kern w:val="0"/>
                <w:sz w:val="24"/>
                <w:szCs w:val="24"/>
                <w:highlight w:val="none"/>
                <w:u w:val="none"/>
                <w:lang w:val="en-US" w:eastAsia="zh-CN" w:bidi="ar"/>
              </w:rPr>
              <w:t>很小影响</w:t>
            </w:r>
          </w:p>
        </w:tc>
        <w:tc>
          <w:tcPr>
            <w:tcW w:w="726" w:type="pct"/>
            <w:shd w:val="clear" w:color="auto" w:fill="auto"/>
            <w:noWrap/>
            <w:vAlign w:val="center"/>
          </w:tcPr>
          <w:p w14:paraId="21A6CB2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lang w:val="en-US" w:eastAsia="zh-CN"/>
              </w:rPr>
            </w:pPr>
            <w:r>
              <w:rPr>
                <w:rFonts w:hint="default" w:ascii="Times New Roman" w:hAnsi="Times New Roman" w:eastAsia="仿宋_GB2312" w:cs="Times New Roman"/>
                <w:i w:val="0"/>
                <w:iCs w:val="0"/>
                <w:color w:val="000000"/>
                <w:sz w:val="24"/>
                <w:szCs w:val="24"/>
                <w:highlight w:val="none"/>
                <w:u w:val="none"/>
                <w:lang w:val="en-US" w:eastAsia="zh-CN"/>
              </w:rPr>
              <w:t>较小影响</w:t>
            </w:r>
          </w:p>
        </w:tc>
        <w:tc>
          <w:tcPr>
            <w:tcW w:w="764" w:type="pct"/>
            <w:shd w:val="clear" w:color="auto" w:fill="auto"/>
            <w:noWrap/>
            <w:vAlign w:val="center"/>
          </w:tcPr>
          <w:p w14:paraId="2FD28B1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center"/>
              <w:rPr>
                <w:rFonts w:hint="default" w:ascii="Times New Roman" w:hAnsi="Times New Roman" w:eastAsia="仿宋_GB2312" w:cs="Times New Roman"/>
                <w:i w:val="0"/>
                <w:iCs w:val="0"/>
                <w:color w:val="000000"/>
                <w:sz w:val="24"/>
                <w:szCs w:val="24"/>
                <w:highlight w:val="none"/>
                <w:u w:val="none"/>
                <w:lang w:val="en-US" w:eastAsia="zh-CN"/>
              </w:rPr>
            </w:pPr>
            <w:r>
              <w:rPr>
                <w:rFonts w:hint="default" w:ascii="Times New Roman" w:hAnsi="Times New Roman" w:eastAsia="仿宋_GB2312" w:cs="Times New Roman"/>
                <w:i w:val="0"/>
                <w:iCs w:val="0"/>
                <w:color w:val="000000"/>
                <w:sz w:val="24"/>
                <w:szCs w:val="24"/>
                <w:highlight w:val="none"/>
                <w:u w:val="none"/>
                <w:lang w:val="en-US" w:eastAsia="zh-CN"/>
              </w:rPr>
              <w:t>中等影响</w:t>
            </w:r>
          </w:p>
        </w:tc>
        <w:tc>
          <w:tcPr>
            <w:tcW w:w="763" w:type="pct"/>
            <w:shd w:val="clear" w:color="auto" w:fill="auto"/>
            <w:noWrap/>
            <w:vAlign w:val="center"/>
          </w:tcPr>
          <w:p w14:paraId="526859C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lang w:val="en-US"/>
              </w:rPr>
            </w:pPr>
            <w:r>
              <w:rPr>
                <w:rFonts w:hint="default" w:ascii="Times New Roman" w:hAnsi="Times New Roman" w:eastAsia="仿宋_GB2312" w:cs="Times New Roman"/>
                <w:i w:val="0"/>
                <w:iCs w:val="0"/>
                <w:color w:val="000000"/>
                <w:kern w:val="0"/>
                <w:sz w:val="24"/>
                <w:szCs w:val="24"/>
                <w:highlight w:val="none"/>
                <w:u w:val="none"/>
                <w:lang w:val="en-US" w:eastAsia="zh-CN" w:bidi="ar"/>
              </w:rPr>
              <w:t>较大影响</w:t>
            </w:r>
          </w:p>
        </w:tc>
        <w:tc>
          <w:tcPr>
            <w:tcW w:w="653" w:type="pct"/>
            <w:shd w:val="clear" w:color="auto" w:fill="auto"/>
            <w:noWrap/>
            <w:vAlign w:val="center"/>
          </w:tcPr>
          <w:p w14:paraId="7CF2A2E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sz w:val="24"/>
                <w:szCs w:val="24"/>
                <w:highlight w:val="none"/>
                <w:u w:val="none"/>
                <w:lang w:val="en-US"/>
              </w:rPr>
            </w:pPr>
            <w:r>
              <w:rPr>
                <w:rFonts w:hint="default" w:ascii="Times New Roman" w:hAnsi="Times New Roman" w:eastAsia="仿宋_GB2312" w:cs="Times New Roman"/>
                <w:i w:val="0"/>
                <w:iCs w:val="0"/>
                <w:color w:val="000000"/>
                <w:kern w:val="0"/>
                <w:sz w:val="24"/>
                <w:szCs w:val="24"/>
                <w:highlight w:val="none"/>
                <w:u w:val="none"/>
                <w:lang w:val="en-US" w:eastAsia="zh-CN" w:bidi="ar"/>
              </w:rPr>
              <w:t>极大影响</w:t>
            </w:r>
          </w:p>
        </w:tc>
      </w:tr>
      <w:tr w14:paraId="4D908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54" w:type="pct"/>
            <w:shd w:val="clear" w:color="auto" w:fill="auto"/>
            <w:noWrap/>
            <w:vAlign w:val="center"/>
          </w:tcPr>
          <w:p w14:paraId="27710D5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赋分</w:t>
            </w:r>
          </w:p>
        </w:tc>
        <w:tc>
          <w:tcPr>
            <w:tcW w:w="615" w:type="pct"/>
            <w:shd w:val="clear" w:color="auto" w:fill="auto"/>
            <w:noWrap/>
            <w:vAlign w:val="center"/>
          </w:tcPr>
          <w:p w14:paraId="6DE1132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100</w:t>
            </w:r>
          </w:p>
        </w:tc>
        <w:tc>
          <w:tcPr>
            <w:tcW w:w="720" w:type="pct"/>
            <w:shd w:val="clear" w:color="auto" w:fill="auto"/>
            <w:noWrap/>
            <w:vAlign w:val="center"/>
          </w:tcPr>
          <w:p w14:paraId="4914654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80</w:t>
            </w:r>
          </w:p>
        </w:tc>
        <w:tc>
          <w:tcPr>
            <w:tcW w:w="726" w:type="pct"/>
            <w:shd w:val="clear" w:color="auto" w:fill="auto"/>
            <w:noWrap/>
            <w:vAlign w:val="center"/>
          </w:tcPr>
          <w:p w14:paraId="1AB65CC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60</w:t>
            </w:r>
          </w:p>
        </w:tc>
        <w:tc>
          <w:tcPr>
            <w:tcW w:w="764" w:type="pct"/>
            <w:shd w:val="clear" w:color="auto" w:fill="auto"/>
            <w:noWrap/>
            <w:vAlign w:val="center"/>
          </w:tcPr>
          <w:p w14:paraId="32052D0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40</w:t>
            </w:r>
          </w:p>
        </w:tc>
        <w:tc>
          <w:tcPr>
            <w:tcW w:w="763" w:type="pct"/>
            <w:shd w:val="clear" w:color="auto" w:fill="auto"/>
            <w:noWrap/>
            <w:vAlign w:val="center"/>
          </w:tcPr>
          <w:p w14:paraId="045D32E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20</w:t>
            </w:r>
          </w:p>
        </w:tc>
        <w:tc>
          <w:tcPr>
            <w:tcW w:w="653" w:type="pct"/>
            <w:shd w:val="clear" w:color="auto" w:fill="auto"/>
            <w:noWrap/>
            <w:vAlign w:val="center"/>
          </w:tcPr>
          <w:p w14:paraId="299C42B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0</w:t>
            </w:r>
          </w:p>
        </w:tc>
      </w:tr>
    </w:tbl>
    <w:p w14:paraId="2EBB9859">
      <w:pPr>
        <w:numPr>
          <w:ilvl w:val="0"/>
          <w:numId w:val="0"/>
        </w:numPr>
        <w:ind w:firstLine="640" w:firstLineChars="200"/>
        <w:rPr>
          <w:rFonts w:hint="eastAsia" w:ascii="Times New Roman" w:hAnsi="Times New Roman"/>
          <w:b w:val="0"/>
          <w:bCs w:val="0"/>
          <w:highlight w:val="none"/>
          <w:lang w:val="en-US" w:eastAsia="zh-CN"/>
        </w:rPr>
      </w:pPr>
      <w:r>
        <w:rPr>
          <w:rFonts w:hint="eastAsia" w:ascii="Times New Roman" w:hAnsi="Times New Roman"/>
          <w:b w:val="0"/>
          <w:bCs w:val="0"/>
          <w:highlight w:val="none"/>
          <w:lang w:val="en-US" w:eastAsia="zh-CN"/>
        </w:rPr>
        <w:t>（4）水体连通性</w:t>
      </w:r>
    </w:p>
    <w:p w14:paraId="75745AC9">
      <w:pPr>
        <w:bidi w:val="0"/>
        <w:ind w:firstLine="640"/>
        <w:rPr>
          <w:rFonts w:hint="eastAsia"/>
          <w:highlight w:val="none"/>
          <w:lang w:val="en-US" w:eastAsia="zh-CN"/>
        </w:rPr>
      </w:pPr>
      <w:r>
        <w:rPr>
          <w:rFonts w:hint="eastAsia"/>
          <w:highlight w:val="none"/>
          <w:lang w:val="en-US" w:eastAsia="zh-CN"/>
        </w:rPr>
        <w:t>根据山东省河流闸坝分布特点，水体连通性指标计算中增加了闸坝的阻隔系数。其中，拦水坝主要拦截河流水流，抬高水位或调节流量，其坝顶可以溢流，阻隔系数定为0.5；水闸只在部分时间段阻隔鱼类洄游，阻隔系数定为0.25；滚水坝高度较低，是低溢流堰，阻隔系数定为0.25；橡胶坝其坝顶可以调节高度，同时可以溢流，对河流的纵向阻隔影响较小，阻隔系数定为0.25。</w:t>
      </w:r>
    </w:p>
    <w:p w14:paraId="1407E039">
      <w:pPr>
        <w:numPr>
          <w:ilvl w:val="0"/>
          <w:numId w:val="0"/>
        </w:numPr>
        <w:ind w:firstLine="640" w:firstLineChars="200"/>
        <w:rPr>
          <w:rFonts w:hint="default" w:ascii="Times New Roman" w:hAnsi="Times New Roman"/>
          <w:b w:val="0"/>
          <w:bCs w:val="0"/>
          <w:highlight w:val="none"/>
          <w:lang w:val="en-US" w:eastAsia="zh-CN"/>
        </w:rPr>
      </w:pPr>
      <w:r>
        <w:rPr>
          <w:rFonts w:hint="eastAsia" w:ascii="Times New Roman" w:hAnsi="Times New Roman"/>
          <w:b w:val="0"/>
          <w:bCs w:val="0"/>
          <w:highlight w:val="none"/>
          <w:lang w:val="en-US" w:eastAsia="zh-CN"/>
        </w:rPr>
        <w:t>（5）入海沙量保障程度</w:t>
      </w:r>
    </w:p>
    <w:p w14:paraId="4A1BE33B">
      <w:pPr>
        <w:bidi w:val="0"/>
        <w:rPr>
          <w:rFonts w:hint="eastAsia"/>
          <w:lang w:val="en-US" w:eastAsia="zh-CN"/>
        </w:rPr>
      </w:pPr>
      <w:r>
        <w:rPr>
          <w:rFonts w:hint="eastAsia"/>
          <w:lang w:val="en-US" w:eastAsia="zh-CN"/>
        </w:rPr>
        <w:t>根据《黄河流域综合规划》要求，使黄河下游河槽不淤积需要塑造并维持4000m</w:t>
      </w:r>
      <w:r>
        <w:rPr>
          <w:rFonts w:hint="eastAsia"/>
          <w:vertAlign w:val="superscript"/>
          <w:lang w:val="en-US" w:eastAsia="zh-CN"/>
        </w:rPr>
        <w:t>3</w:t>
      </w:r>
      <w:r>
        <w:rPr>
          <w:rFonts w:hint="eastAsia"/>
          <w:lang w:val="en-US" w:eastAsia="zh-CN"/>
        </w:rPr>
        <w:t>/s的中水河槽，据此计算入海沙量保障程度。入海沙量保障程度为调水调沙期流量满足天数占评价年调水调沙总天数的百分比。指标赋分采用百分制，等于入海沙量保障程度乘以100。</w:t>
      </w:r>
    </w:p>
    <w:p w14:paraId="708B9637">
      <w:pPr>
        <w:pStyle w:val="3"/>
        <w:bidi w:val="0"/>
        <w:rPr>
          <w:rFonts w:hint="default"/>
          <w:highlight w:val="none"/>
          <w:lang w:val="en-US" w:eastAsia="zh-CN"/>
        </w:rPr>
      </w:pPr>
      <w:bookmarkStart w:id="55" w:name="_Toc5342"/>
      <w:r>
        <w:rPr>
          <w:rFonts w:hint="eastAsia"/>
          <w:highlight w:val="none"/>
          <w:lang w:val="en-US" w:eastAsia="zh-CN"/>
        </w:rPr>
        <w:t>制定依据</w:t>
      </w:r>
      <w:bookmarkEnd w:id="53"/>
      <w:bookmarkEnd w:id="54"/>
      <w:bookmarkEnd w:id="55"/>
    </w:p>
    <w:p w14:paraId="0713B532">
      <w:pPr>
        <w:rPr>
          <w:rFonts w:hint="default"/>
          <w:highlight w:val="none"/>
          <w:lang w:val="en-US" w:eastAsia="zh-CN"/>
        </w:rPr>
      </w:pPr>
      <w:r>
        <w:rPr>
          <w:rFonts w:hint="default"/>
          <w:highlight w:val="none"/>
          <w:lang w:val="en-US" w:eastAsia="zh-CN"/>
        </w:rPr>
        <w:t>本标准主要依据国家</w:t>
      </w:r>
      <w:r>
        <w:rPr>
          <w:rFonts w:hint="eastAsia"/>
          <w:highlight w:val="none"/>
          <w:lang w:val="en-US" w:eastAsia="zh-CN"/>
        </w:rPr>
        <w:t>和我省出台的水生态相关文件制定，具体如下：</w:t>
      </w:r>
    </w:p>
    <w:p w14:paraId="5CC04C20">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《地表水环境质量评价》（环办</w:t>
      </w:r>
      <w:r>
        <w:rPr>
          <w:rFonts w:hint="eastAsia"/>
        </w:rPr>
        <w:t>〔</w:t>
      </w:r>
      <w:r>
        <w:rPr>
          <w:rFonts w:hint="eastAsia"/>
          <w:lang w:val="en-US" w:eastAsia="zh-CN"/>
        </w:rPr>
        <w:t>2011</w:t>
      </w:r>
      <w:r>
        <w:rPr>
          <w:rFonts w:hint="eastAsia"/>
        </w:rPr>
        <w:t>〕</w:t>
      </w:r>
      <w:r>
        <w:rPr>
          <w:rFonts w:hint="eastAsia"/>
          <w:lang w:val="en-US" w:eastAsia="zh-CN"/>
        </w:rPr>
        <w:t>22号）；</w:t>
      </w:r>
    </w:p>
    <w:p w14:paraId="0DAEAA06">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《黄河流域综合规划（2012—2030年）》（</w:t>
      </w:r>
      <w:r>
        <w:rPr>
          <w:rFonts w:hint="eastAsia"/>
        </w:rPr>
        <w:t>国函〔2013〕34号</w:t>
      </w:r>
      <w:r>
        <w:rPr>
          <w:rFonts w:hint="eastAsia"/>
          <w:lang w:val="en-US" w:eastAsia="zh-CN"/>
        </w:rPr>
        <w:t>）；</w:t>
      </w:r>
    </w:p>
    <w:p w14:paraId="3A8CEB27">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《国家地表水环境质量监测网监测任务作业指导书（试行）》（环办监测函</w:t>
      </w:r>
      <w:r>
        <w:rPr>
          <w:rFonts w:hint="eastAsia"/>
        </w:rPr>
        <w:t>〔</w:t>
      </w:r>
      <w:r>
        <w:rPr>
          <w:rFonts w:hint="eastAsia"/>
          <w:lang w:val="en-US" w:eastAsia="zh-CN"/>
        </w:rPr>
        <w:t>2017</w:t>
      </w:r>
      <w:r>
        <w:rPr>
          <w:rFonts w:hint="eastAsia"/>
        </w:rPr>
        <w:t>〕</w:t>
      </w:r>
      <w:r>
        <w:rPr>
          <w:rFonts w:hint="eastAsia"/>
          <w:lang w:val="en-US" w:eastAsia="zh-CN"/>
        </w:rPr>
        <w:t>249号）；</w:t>
      </w:r>
    </w:p>
    <w:p w14:paraId="5435B62D">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《长江流域水生生物完整性指数评价办法（试行）》（农长渔发〔2021</w:t>
      </w:r>
      <w:r>
        <w:rPr>
          <w:rFonts w:hint="eastAsia"/>
        </w:rPr>
        <w:t>〕</w:t>
      </w:r>
      <w:r>
        <w:rPr>
          <w:rFonts w:hint="eastAsia"/>
          <w:lang w:val="en-US" w:eastAsia="zh-CN"/>
        </w:rPr>
        <w:t>3号）；</w:t>
      </w:r>
    </w:p>
    <w:p w14:paraId="72461E2D">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《中共中央 国务院关于全面推进美丽中国建设的意见》（中发〔2023</w:t>
      </w:r>
      <w:r>
        <w:rPr>
          <w:rFonts w:hint="eastAsia"/>
        </w:rPr>
        <w:t>〕</w:t>
      </w:r>
      <w:r>
        <w:rPr>
          <w:rFonts w:hint="eastAsia"/>
          <w:lang w:val="en-US" w:eastAsia="zh-CN"/>
        </w:rPr>
        <w:t>30号）；</w:t>
      </w:r>
    </w:p>
    <w:p w14:paraId="244A72FB">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《长江流域水生态考核指标评分细则（试行）》（环办水体〔2023</w:t>
      </w:r>
      <w:r>
        <w:rPr>
          <w:rFonts w:hint="eastAsia"/>
        </w:rPr>
        <w:t>〕</w:t>
      </w:r>
      <w:r>
        <w:rPr>
          <w:rFonts w:hint="eastAsia"/>
          <w:lang w:val="en-US" w:eastAsia="zh-CN"/>
        </w:rPr>
        <w:t>10号）；</w:t>
      </w:r>
    </w:p>
    <w:p w14:paraId="0C7707AF">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《水生态监测技术要求 大型底栖动物（试行）》（总站水字〔2021</w:t>
      </w:r>
      <w:r>
        <w:rPr>
          <w:rFonts w:hint="eastAsia"/>
        </w:rPr>
        <w:t>〕</w:t>
      </w:r>
      <w:r>
        <w:rPr>
          <w:rFonts w:hint="eastAsia"/>
          <w:lang w:val="en-US" w:eastAsia="zh-CN"/>
        </w:rPr>
        <w:t>33号）；</w:t>
      </w:r>
    </w:p>
    <w:p w14:paraId="7C69F67E">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《水生态监测技术要求 淡水浮游植物（试行）》（总站水字〔2021</w:t>
      </w:r>
      <w:r>
        <w:rPr>
          <w:rFonts w:hint="eastAsia"/>
        </w:rPr>
        <w:t>〕</w:t>
      </w:r>
      <w:r>
        <w:rPr>
          <w:rFonts w:hint="eastAsia"/>
          <w:lang w:val="en-US" w:eastAsia="zh-CN"/>
        </w:rPr>
        <w:t>41号）；</w:t>
      </w:r>
    </w:p>
    <w:p w14:paraId="26B527B3">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《水生态监测技术要求 淡水浮游动物（试行）》（总站水字〔2021〕47号）；</w:t>
      </w:r>
    </w:p>
    <w:p w14:paraId="46E722B1">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《水生态监测技术要求 淡水着生藻类（试行）》（总站水字〔2021</w:t>
      </w:r>
      <w:r>
        <w:rPr>
          <w:rFonts w:hint="eastAsia"/>
        </w:rPr>
        <w:t>〕</w:t>
      </w:r>
      <w:r>
        <w:rPr>
          <w:rFonts w:hint="eastAsia"/>
          <w:lang w:val="en-US" w:eastAsia="zh-CN"/>
        </w:rPr>
        <w:t>629号）；</w:t>
      </w:r>
    </w:p>
    <w:p w14:paraId="6FAF0ACE">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《水生态监测技术要求 大型水生植物（试行）》（总站水字〔2022</w:t>
      </w:r>
      <w:r>
        <w:rPr>
          <w:rFonts w:hint="eastAsia"/>
        </w:rPr>
        <w:t>〕</w:t>
      </w:r>
      <w:r>
        <w:rPr>
          <w:rFonts w:hint="eastAsia"/>
          <w:lang w:val="en-US" w:eastAsia="zh-CN"/>
        </w:rPr>
        <w:t>330号）；</w:t>
      </w:r>
    </w:p>
    <w:p w14:paraId="6F1D8A81">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《水生态监测技术要求 水生生物监测质量保证和质量控制（试行）》（总站水字〔2022</w:t>
      </w:r>
      <w:r>
        <w:rPr>
          <w:rFonts w:hint="eastAsia"/>
        </w:rPr>
        <w:t>〕</w:t>
      </w:r>
      <w:r>
        <w:rPr>
          <w:rFonts w:hint="eastAsia"/>
          <w:lang w:val="en-US" w:eastAsia="zh-CN"/>
        </w:rPr>
        <w:t>386号）；</w:t>
      </w:r>
    </w:p>
    <w:p w14:paraId="4B166C14">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《地表水汛期污染强度监测技术指南（试行）》（总站水字〔2022</w:t>
      </w:r>
      <w:r>
        <w:rPr>
          <w:rFonts w:hint="eastAsia"/>
        </w:rPr>
        <w:t>〕</w:t>
      </w:r>
      <w:r>
        <w:rPr>
          <w:rFonts w:hint="eastAsia"/>
          <w:lang w:val="en-US" w:eastAsia="zh-CN"/>
        </w:rPr>
        <w:t>449号）；</w:t>
      </w:r>
    </w:p>
    <w:p w14:paraId="503D396B">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《河湖岸线遥感提取与分类技术规定（试行）》、河流断流干涸遥感监测评价技术规定（试行）》（卫星环字</w:t>
      </w:r>
      <w:r>
        <w:rPr>
          <w:rFonts w:hint="eastAsia" w:ascii="Times New Roman" w:hAnsi="Times New Roman" w:eastAsia="仿宋_GB2312" w:cs="Times New Roman"/>
          <w:color w:val="000000"/>
          <w:kern w:val="0"/>
          <w:sz w:val="32"/>
          <w:szCs w:val="32"/>
          <w:lang w:val="en-US" w:eastAsia="zh-CN" w:bidi="ar"/>
        </w:rPr>
        <w:t>〔</w:t>
      </w:r>
      <w:r>
        <w:rPr>
          <w:rFonts w:hint="eastAsia"/>
          <w:lang w:val="en-US" w:eastAsia="zh-CN"/>
        </w:rPr>
        <w:t>2022</w:t>
      </w:r>
      <w:r>
        <w:rPr>
          <w:rFonts w:hint="eastAsia"/>
        </w:rPr>
        <w:t>〕</w:t>
      </w:r>
      <w:r>
        <w:rPr>
          <w:rFonts w:hint="eastAsia"/>
          <w:lang w:val="en-US" w:eastAsia="zh-CN"/>
        </w:rPr>
        <w:t>6号）；</w:t>
      </w:r>
    </w:p>
    <w:p w14:paraId="04678D32">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《山东省“十四五”生态环境保护规划》（鲁政发〔2021</w:t>
      </w:r>
      <w:r>
        <w:rPr>
          <w:rFonts w:hint="eastAsia"/>
        </w:rPr>
        <w:t>〕</w:t>
      </w:r>
      <w:r>
        <w:rPr>
          <w:rFonts w:hint="eastAsia"/>
          <w:lang w:val="en-US" w:eastAsia="zh-CN"/>
        </w:rPr>
        <w:t>12号）；</w:t>
      </w:r>
    </w:p>
    <w:p w14:paraId="2EEA8508">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default"/>
          <w:lang w:val="en-US" w:eastAsia="zh-CN"/>
        </w:rPr>
      </w:pPr>
      <w:r>
        <w:rPr>
          <w:rFonts w:hint="eastAsia"/>
          <w:lang w:val="en-US" w:eastAsia="zh-CN"/>
        </w:rPr>
        <w:t>《美丽山东建设规划纲要（2021—2035年）》（鲁办发〔2022〕13号）；</w:t>
      </w:r>
    </w:p>
    <w:p w14:paraId="1545F786">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default"/>
          <w:lang w:val="en-US" w:eastAsia="zh-CN"/>
        </w:rPr>
      </w:pPr>
      <w:r>
        <w:rPr>
          <w:rFonts w:hint="eastAsia"/>
          <w:lang w:val="en-US" w:eastAsia="zh-CN"/>
        </w:rPr>
        <w:t>《山东省生态环境厅关于印发山东省美丽河湖保护建设与管理工作方案（试行）的通知》（鲁环字〔2023〕103号）；</w:t>
      </w:r>
    </w:p>
    <w:p w14:paraId="3437509C">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《地表水环境质量标准》（GB 3838）；</w:t>
      </w:r>
    </w:p>
    <w:p w14:paraId="440C479B">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《河流悬移质泥沙测验规范》（GB 50159）；</w:t>
      </w:r>
    </w:p>
    <w:p w14:paraId="7F7FA392">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《河流流量测验规范（GB 50179）》；</w:t>
      </w:r>
    </w:p>
    <w:p w14:paraId="04ACEEBF">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《水质 样品的保存和管理技术规定》（HJ 493）；</w:t>
      </w:r>
    </w:p>
    <w:p w14:paraId="60D174D1">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《水质 采样技术指导（HJ 494）》；</w:t>
      </w:r>
    </w:p>
    <w:p w14:paraId="637EAEDC">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《水质 采样方案设计技术规定》（HJ 495）；</w:t>
      </w:r>
    </w:p>
    <w:p w14:paraId="4B43AD9D">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《生物多样性观测技术导则 内陆水域鱼类》（HJ 710.7）；</w:t>
      </w:r>
    </w:p>
    <w:p w14:paraId="4EF24CA4">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《生物多样性观测技术导则 淡水底栖大型无脊椎动物》（HJ 710.8）；</w:t>
      </w:r>
    </w:p>
    <w:p w14:paraId="3209C55A">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《自然保护地人类活动遥感监测技术规范》（HJ 1156）；</w:t>
      </w:r>
    </w:p>
    <w:p w14:paraId="3584B698">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《水生态监测技术指南 河流水生生物监测与评价（试行）》（HJ 1295）；</w:t>
      </w:r>
    </w:p>
    <w:p w14:paraId="0498D413">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《水生态监测技术指南 湖泊和水库水生生物监测与评价（试行）》（HJ 1296）；</w:t>
      </w:r>
    </w:p>
    <w:p w14:paraId="1632D64A">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《水文资料整编规范》（SL/T 247）；</w:t>
      </w:r>
    </w:p>
    <w:p w14:paraId="2D2CF1C9">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《河湖生态环境需水计算规范》（SL/Z 712）；</w:t>
      </w:r>
    </w:p>
    <w:p w14:paraId="2978A0AF">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default"/>
          <w:lang w:val="en-US" w:eastAsia="zh-CN"/>
        </w:rPr>
      </w:pPr>
      <w:r>
        <w:rPr>
          <w:rFonts w:hint="eastAsia"/>
          <w:lang w:val="en-US" w:eastAsia="zh-CN"/>
        </w:rPr>
        <w:t>《河湖健康评估技术导则》（SL/T 793）。</w:t>
      </w:r>
    </w:p>
    <w:p w14:paraId="1EEDE8B8">
      <w:pPr>
        <w:pStyle w:val="2"/>
        <w:bidi w:val="0"/>
        <w:ind w:left="0" w:leftChars="0" w:firstLine="0" w:firstLineChars="0"/>
        <w:rPr>
          <w:rFonts w:hint="eastAsia"/>
          <w:highlight w:val="none"/>
          <w:lang w:val="en-US" w:eastAsia="zh-CN"/>
        </w:rPr>
      </w:pPr>
      <w:bookmarkStart w:id="56" w:name="_Toc15252"/>
      <w:bookmarkStart w:id="57" w:name="_Toc16610"/>
      <w:bookmarkStart w:id="58" w:name="_Toc27815"/>
      <w:bookmarkStart w:id="59" w:name="_Toc3227"/>
      <w:bookmarkStart w:id="60" w:name="_Toc23064"/>
      <w:r>
        <w:rPr>
          <w:rFonts w:hint="eastAsia"/>
          <w:highlight w:val="none"/>
          <w:lang w:val="en-US" w:eastAsia="zh-CN"/>
        </w:rPr>
        <w:t>与现行相关法律、行政法规和其他标准的关系</w:t>
      </w:r>
      <w:bookmarkEnd w:id="56"/>
      <w:bookmarkEnd w:id="57"/>
      <w:bookmarkEnd w:id="58"/>
    </w:p>
    <w:bookmarkEnd w:id="59"/>
    <w:bookmarkEnd w:id="60"/>
    <w:p w14:paraId="726611C8">
      <w:pPr>
        <w:pStyle w:val="3"/>
        <w:bidi w:val="0"/>
        <w:rPr>
          <w:rFonts w:hint="default"/>
          <w:highlight w:val="none"/>
          <w:lang w:val="en-US" w:eastAsia="zh-CN"/>
        </w:rPr>
      </w:pPr>
      <w:bookmarkStart w:id="61" w:name="_Toc31798"/>
      <w:bookmarkStart w:id="62" w:name="_Toc5633"/>
      <w:bookmarkStart w:id="63" w:name="_Toc20123"/>
      <w:bookmarkStart w:id="64" w:name="_Toc5494"/>
      <w:r>
        <w:rPr>
          <w:rFonts w:hint="eastAsia"/>
          <w:highlight w:val="none"/>
          <w:lang w:val="en-US" w:eastAsia="zh-CN"/>
        </w:rPr>
        <w:t>与现行相关法律、行政法规的关系</w:t>
      </w:r>
      <w:bookmarkEnd w:id="61"/>
      <w:bookmarkEnd w:id="62"/>
      <w:bookmarkEnd w:id="63"/>
      <w:bookmarkEnd w:id="64"/>
    </w:p>
    <w:p w14:paraId="0F639A58">
      <w:pPr>
        <w:bidi w:val="0"/>
        <w:rPr>
          <w:rFonts w:hint="default"/>
          <w:highlight w:val="none"/>
          <w:lang w:val="en-US" w:eastAsia="zh-CN"/>
        </w:rPr>
      </w:pPr>
      <w:r>
        <w:rPr>
          <w:rFonts w:hint="eastAsia"/>
          <w:highlight w:val="none"/>
          <w:lang w:val="en-US" w:eastAsia="zh-CN"/>
        </w:rPr>
        <w:t>经全面梳理，将</w:t>
      </w:r>
      <w:r>
        <w:rPr>
          <w:rFonts w:hint="default"/>
          <w:highlight w:val="none"/>
          <w:lang w:val="en-US" w:eastAsia="zh-CN"/>
        </w:rPr>
        <w:t>与本标准密切相关的</w:t>
      </w:r>
      <w:r>
        <w:rPr>
          <w:rFonts w:hint="eastAsia"/>
          <w:highlight w:val="none"/>
          <w:lang w:val="en-US" w:eastAsia="zh-CN"/>
        </w:rPr>
        <w:t>法律、行政法规汇总如下：</w:t>
      </w:r>
    </w:p>
    <w:p w14:paraId="2B05FE4E">
      <w:pPr>
        <w:numPr>
          <w:ilvl w:val="0"/>
          <w:numId w:val="3"/>
        </w:numPr>
        <w:bidi w:val="0"/>
        <w:rPr>
          <w:rFonts w:hint="default"/>
          <w:highlight w:val="none"/>
          <w:lang w:val="en-US" w:eastAsia="zh-CN"/>
        </w:rPr>
      </w:pPr>
      <w:r>
        <w:rPr>
          <w:rFonts w:hint="eastAsia"/>
          <w:highlight w:val="none"/>
          <w:lang w:val="en-US" w:eastAsia="zh-CN"/>
        </w:rPr>
        <w:t>国家相关法律法规、规章</w:t>
      </w:r>
    </w:p>
    <w:p w14:paraId="570C0244">
      <w:pPr>
        <w:numPr>
          <w:ilvl w:val="-1"/>
          <w:numId w:val="0"/>
        </w:numPr>
        <w:bidi w:val="0"/>
        <w:ind w:firstLine="640" w:firstLineChars="200"/>
        <w:rPr>
          <w:rFonts w:hint="default"/>
          <w:highlight w:val="none"/>
          <w:lang w:val="en-US" w:eastAsia="zh-CN"/>
        </w:rPr>
      </w:pPr>
      <w:r>
        <w:rPr>
          <w:rFonts w:hint="default"/>
          <w:highlight w:val="none"/>
          <w:lang w:val="en-US" w:eastAsia="zh-CN"/>
        </w:rPr>
        <w:t>（1）《中华人民共和国环境保护法》；</w:t>
      </w:r>
    </w:p>
    <w:p w14:paraId="175CCD3D">
      <w:pPr>
        <w:numPr>
          <w:ilvl w:val="-1"/>
          <w:numId w:val="0"/>
        </w:numPr>
        <w:bidi w:val="0"/>
        <w:ind w:firstLine="640" w:firstLineChars="200"/>
        <w:rPr>
          <w:rFonts w:hint="default"/>
          <w:highlight w:val="none"/>
          <w:lang w:val="en-US" w:eastAsia="zh-CN"/>
        </w:rPr>
      </w:pPr>
      <w:r>
        <w:rPr>
          <w:rFonts w:hint="default"/>
          <w:highlight w:val="none"/>
          <w:lang w:val="en-US" w:eastAsia="zh-CN"/>
        </w:rPr>
        <w:t>（2）《中华人民共和国水法》；</w:t>
      </w:r>
    </w:p>
    <w:p w14:paraId="72A122E5">
      <w:pPr>
        <w:numPr>
          <w:ilvl w:val="-1"/>
          <w:numId w:val="0"/>
        </w:numPr>
        <w:bidi w:val="0"/>
        <w:ind w:firstLine="640" w:firstLineChars="200"/>
        <w:rPr>
          <w:rFonts w:hint="default"/>
          <w:highlight w:val="none"/>
          <w:lang w:val="en-US" w:eastAsia="zh-CN"/>
        </w:rPr>
      </w:pPr>
      <w:r>
        <w:rPr>
          <w:rFonts w:hint="default"/>
          <w:highlight w:val="none"/>
          <w:lang w:val="en-US" w:eastAsia="zh-CN"/>
        </w:rPr>
        <w:t>（3）《中华人民共和国水土保持法》；</w:t>
      </w:r>
    </w:p>
    <w:p w14:paraId="7994BF29">
      <w:pPr>
        <w:numPr>
          <w:ilvl w:val="-1"/>
          <w:numId w:val="0"/>
        </w:numPr>
        <w:bidi w:val="0"/>
        <w:ind w:firstLine="640" w:firstLineChars="200"/>
        <w:rPr>
          <w:rFonts w:hint="default"/>
          <w:highlight w:val="none"/>
          <w:lang w:val="en-US" w:eastAsia="zh-CN"/>
        </w:rPr>
      </w:pPr>
      <w:r>
        <w:rPr>
          <w:rFonts w:hint="default"/>
          <w:highlight w:val="none"/>
          <w:lang w:val="en-US" w:eastAsia="zh-CN"/>
        </w:rPr>
        <w:t>（4）《中华人民共和国水污染防治法》；</w:t>
      </w:r>
    </w:p>
    <w:p w14:paraId="325A7FDD">
      <w:pPr>
        <w:numPr>
          <w:ilvl w:val="-1"/>
          <w:numId w:val="0"/>
        </w:numPr>
        <w:bidi w:val="0"/>
        <w:ind w:firstLine="640" w:firstLineChars="200"/>
        <w:rPr>
          <w:rFonts w:hint="default"/>
          <w:highlight w:val="none"/>
          <w:lang w:val="en-US" w:eastAsia="zh-CN"/>
        </w:rPr>
      </w:pPr>
      <w:r>
        <w:rPr>
          <w:rFonts w:hint="default"/>
          <w:highlight w:val="none"/>
          <w:lang w:val="en-US" w:eastAsia="zh-CN"/>
        </w:rPr>
        <w:t>（5）《中华人民共和国河道管理条例》；</w:t>
      </w:r>
    </w:p>
    <w:p w14:paraId="7CBB1874">
      <w:pPr>
        <w:numPr>
          <w:ilvl w:val="-1"/>
          <w:numId w:val="0"/>
        </w:numPr>
        <w:bidi w:val="0"/>
        <w:ind w:firstLine="640" w:firstLineChars="200"/>
        <w:rPr>
          <w:rFonts w:hint="default"/>
          <w:highlight w:val="none"/>
          <w:lang w:val="en-US" w:eastAsia="zh-CN"/>
        </w:rPr>
      </w:pPr>
      <w:r>
        <w:rPr>
          <w:rFonts w:hint="default"/>
          <w:highlight w:val="none"/>
          <w:lang w:val="en-US" w:eastAsia="zh-CN"/>
        </w:rPr>
        <w:t>（6）《节约用水条例》</w:t>
      </w:r>
      <w:r>
        <w:rPr>
          <w:rFonts w:hint="eastAsia"/>
          <w:highlight w:val="none"/>
          <w:lang w:val="en-US" w:eastAsia="zh-CN"/>
        </w:rPr>
        <w:t>；</w:t>
      </w:r>
    </w:p>
    <w:p w14:paraId="0E3544FA">
      <w:pPr>
        <w:numPr>
          <w:ilvl w:val="-1"/>
          <w:numId w:val="0"/>
        </w:numPr>
        <w:bidi w:val="0"/>
        <w:ind w:firstLine="640" w:firstLineChars="200"/>
        <w:rPr>
          <w:rFonts w:hint="default"/>
          <w:highlight w:val="none"/>
          <w:lang w:val="en-US" w:eastAsia="zh-CN"/>
        </w:rPr>
      </w:pPr>
      <w:r>
        <w:rPr>
          <w:rFonts w:hint="default"/>
          <w:highlight w:val="none"/>
          <w:lang w:val="en-US" w:eastAsia="zh-CN"/>
        </w:rPr>
        <w:t>（7）《中华人民共和国黄河保护法》;</w:t>
      </w:r>
    </w:p>
    <w:p w14:paraId="6DA06A6A">
      <w:pPr>
        <w:numPr>
          <w:ilvl w:val="-1"/>
          <w:numId w:val="0"/>
        </w:numPr>
        <w:bidi w:val="0"/>
        <w:ind w:firstLine="640" w:firstLineChars="200"/>
        <w:rPr>
          <w:rFonts w:hint="default"/>
          <w:highlight w:val="none"/>
          <w:lang w:val="en-US" w:eastAsia="zh-CN"/>
        </w:rPr>
      </w:pPr>
      <w:r>
        <w:rPr>
          <w:rFonts w:hint="default"/>
          <w:highlight w:val="none"/>
          <w:lang w:val="en-US" w:eastAsia="zh-CN"/>
        </w:rPr>
        <w:t>（8）《中华人民共和国水生野生动物保护实施条例》</w:t>
      </w:r>
      <w:r>
        <w:rPr>
          <w:rFonts w:hint="eastAsia"/>
          <w:highlight w:val="none"/>
          <w:lang w:val="en-US" w:eastAsia="zh-CN"/>
        </w:rPr>
        <w:t>；</w:t>
      </w:r>
    </w:p>
    <w:p w14:paraId="2A3104D5">
      <w:pPr>
        <w:numPr>
          <w:ilvl w:val="-1"/>
          <w:numId w:val="0"/>
        </w:numPr>
        <w:bidi w:val="0"/>
        <w:ind w:firstLine="640" w:firstLineChars="200"/>
        <w:rPr>
          <w:rFonts w:hint="default"/>
          <w:highlight w:val="none"/>
          <w:lang w:val="en-US" w:eastAsia="zh-CN"/>
        </w:rPr>
      </w:pPr>
      <w:r>
        <w:rPr>
          <w:rFonts w:hint="default"/>
          <w:highlight w:val="none"/>
          <w:lang w:val="en-US" w:eastAsia="zh-CN"/>
        </w:rPr>
        <w:t>（9）《中华人民共和国渔业法》</w:t>
      </w:r>
      <w:r>
        <w:rPr>
          <w:rFonts w:hint="eastAsia"/>
          <w:highlight w:val="none"/>
          <w:lang w:val="en-US" w:eastAsia="zh-CN"/>
        </w:rPr>
        <w:t>；</w:t>
      </w:r>
    </w:p>
    <w:p w14:paraId="3109B0DF">
      <w:pPr>
        <w:numPr>
          <w:ilvl w:val="-1"/>
          <w:numId w:val="0"/>
        </w:numPr>
        <w:bidi w:val="0"/>
        <w:ind w:firstLine="640" w:firstLineChars="200"/>
        <w:rPr>
          <w:rFonts w:hint="default"/>
          <w:highlight w:val="none"/>
          <w:lang w:val="en-US" w:eastAsia="zh-CN"/>
        </w:rPr>
      </w:pPr>
      <w:r>
        <w:rPr>
          <w:rFonts w:hint="default"/>
          <w:highlight w:val="none"/>
          <w:lang w:val="en-US" w:eastAsia="zh-CN"/>
        </w:rPr>
        <w:t>（10）《中华人民共和国水生动植物自然保护区管理办法》</w:t>
      </w:r>
      <w:r>
        <w:rPr>
          <w:rFonts w:hint="eastAsia"/>
          <w:highlight w:val="none"/>
          <w:lang w:val="en-US" w:eastAsia="zh-CN"/>
        </w:rPr>
        <w:t>；</w:t>
      </w:r>
    </w:p>
    <w:p w14:paraId="418B16EF">
      <w:pPr>
        <w:numPr>
          <w:ilvl w:val="-1"/>
          <w:numId w:val="0"/>
        </w:numPr>
        <w:bidi w:val="0"/>
        <w:ind w:firstLine="640" w:firstLineChars="200"/>
        <w:rPr>
          <w:rFonts w:hint="default"/>
          <w:highlight w:val="none"/>
          <w:lang w:val="en-US" w:eastAsia="zh-CN"/>
        </w:rPr>
      </w:pPr>
      <w:r>
        <w:rPr>
          <w:rFonts w:hint="eastAsia"/>
          <w:highlight w:val="none"/>
          <w:lang w:val="en-US" w:eastAsia="zh-CN"/>
        </w:rPr>
        <w:t>（11）其他</w:t>
      </w:r>
      <w:r>
        <w:rPr>
          <w:rFonts w:hint="eastAsia" w:ascii="Times New Roman" w:hAnsi="Times New Roman" w:eastAsia="仿宋_GB2312" w:cs="Times New Roman"/>
          <w:kern w:val="0"/>
          <w:sz w:val="32"/>
          <w:szCs w:val="32"/>
          <w:lang w:val="en-US" w:eastAsia="zh-CN"/>
        </w:rPr>
        <w:t>法律法规、规章</w:t>
      </w:r>
      <w:r>
        <w:rPr>
          <w:rFonts w:hint="eastAsia"/>
          <w:highlight w:val="none"/>
          <w:lang w:val="en-US" w:eastAsia="zh-CN"/>
        </w:rPr>
        <w:t>。</w:t>
      </w:r>
    </w:p>
    <w:p w14:paraId="36B5106D">
      <w:pPr>
        <w:numPr>
          <w:ilvl w:val="0"/>
          <w:numId w:val="3"/>
        </w:numPr>
        <w:bidi w:val="0"/>
        <w:rPr>
          <w:rFonts w:hint="eastAsia" w:ascii="Times New Roman" w:hAnsi="Times New Roman"/>
          <w:highlight w:val="none"/>
          <w:lang w:val="en-US" w:eastAsia="zh-CN"/>
        </w:rPr>
      </w:pPr>
      <w:r>
        <w:rPr>
          <w:rFonts w:hint="eastAsia" w:ascii="Times New Roman" w:hAnsi="Times New Roman"/>
          <w:highlight w:val="none"/>
          <w:lang w:val="en-US" w:eastAsia="zh-CN"/>
        </w:rPr>
        <w:t>地方性法规</w:t>
      </w:r>
    </w:p>
    <w:p w14:paraId="106C15E2">
      <w:pPr>
        <w:numPr>
          <w:ilvl w:val="-1"/>
          <w:numId w:val="0"/>
        </w:numPr>
        <w:bidi w:val="0"/>
        <w:ind w:firstLine="640" w:firstLineChars="200"/>
        <w:rPr>
          <w:rFonts w:hint="default"/>
          <w:highlight w:val="none"/>
          <w:lang w:val="en-US" w:eastAsia="zh-CN"/>
        </w:rPr>
      </w:pPr>
      <w:r>
        <w:rPr>
          <w:rFonts w:hint="default"/>
          <w:highlight w:val="none"/>
          <w:lang w:val="en-US" w:eastAsia="zh-CN"/>
        </w:rPr>
        <w:t>（1）《山东省水资源条例》；</w:t>
      </w:r>
    </w:p>
    <w:p w14:paraId="71ED5DCA">
      <w:pPr>
        <w:numPr>
          <w:ilvl w:val="-1"/>
          <w:numId w:val="0"/>
        </w:numPr>
        <w:bidi w:val="0"/>
        <w:ind w:firstLine="640" w:firstLineChars="200"/>
        <w:rPr>
          <w:rFonts w:hint="default"/>
          <w:highlight w:val="none"/>
          <w:lang w:val="en-US" w:eastAsia="zh-CN"/>
        </w:rPr>
      </w:pPr>
      <w:r>
        <w:rPr>
          <w:rFonts w:hint="default"/>
          <w:highlight w:val="none"/>
          <w:lang w:val="en-US" w:eastAsia="zh-CN"/>
        </w:rPr>
        <w:t>（2）《山东省水土保持条例》；</w:t>
      </w:r>
    </w:p>
    <w:p w14:paraId="1B70CE1D">
      <w:pPr>
        <w:numPr>
          <w:ilvl w:val="-1"/>
          <w:numId w:val="0"/>
        </w:numPr>
        <w:bidi w:val="0"/>
        <w:ind w:firstLine="640" w:firstLineChars="200"/>
        <w:rPr>
          <w:rFonts w:hint="default"/>
          <w:highlight w:val="none"/>
          <w:lang w:val="en-US" w:eastAsia="zh-CN"/>
        </w:rPr>
      </w:pPr>
      <w:r>
        <w:rPr>
          <w:rFonts w:hint="default"/>
          <w:highlight w:val="none"/>
          <w:lang w:val="en-US" w:eastAsia="zh-CN"/>
        </w:rPr>
        <w:t>（3）《山东省环境保护条例》；</w:t>
      </w:r>
    </w:p>
    <w:p w14:paraId="5EAECED6">
      <w:pPr>
        <w:numPr>
          <w:ilvl w:val="-1"/>
          <w:numId w:val="0"/>
        </w:numPr>
        <w:bidi w:val="0"/>
        <w:ind w:firstLine="640" w:firstLineChars="200"/>
        <w:rPr>
          <w:rFonts w:hint="default"/>
          <w:highlight w:val="none"/>
          <w:lang w:val="en-US" w:eastAsia="zh-CN"/>
        </w:rPr>
      </w:pPr>
      <w:r>
        <w:rPr>
          <w:rFonts w:hint="default"/>
          <w:highlight w:val="none"/>
          <w:lang w:val="en-US" w:eastAsia="zh-CN"/>
        </w:rPr>
        <w:t>（4）《山东省黄河保护条例》；</w:t>
      </w:r>
    </w:p>
    <w:p w14:paraId="4A78DB9A">
      <w:pPr>
        <w:numPr>
          <w:ilvl w:val="-1"/>
          <w:numId w:val="0"/>
        </w:numPr>
        <w:bidi w:val="0"/>
        <w:ind w:firstLine="640" w:firstLineChars="200"/>
        <w:rPr>
          <w:rFonts w:hint="default"/>
          <w:highlight w:val="none"/>
          <w:lang w:val="en-US" w:eastAsia="zh-CN"/>
        </w:rPr>
      </w:pPr>
      <w:r>
        <w:rPr>
          <w:rFonts w:hint="default"/>
          <w:highlight w:val="none"/>
          <w:lang w:val="en-US" w:eastAsia="zh-CN"/>
        </w:rPr>
        <w:t>（5）《山东省水污染防治条例》;</w:t>
      </w:r>
    </w:p>
    <w:p w14:paraId="227C708E">
      <w:pPr>
        <w:numPr>
          <w:ilvl w:val="-1"/>
          <w:numId w:val="0"/>
        </w:numPr>
        <w:bidi w:val="0"/>
        <w:ind w:firstLine="640" w:firstLineChars="200"/>
        <w:rPr>
          <w:rFonts w:hint="eastAsia"/>
          <w:highlight w:val="none"/>
          <w:lang w:val="en-US" w:eastAsia="zh-CN"/>
        </w:rPr>
      </w:pPr>
      <w:r>
        <w:rPr>
          <w:rFonts w:hint="default"/>
          <w:highlight w:val="none"/>
          <w:lang w:val="en-US" w:eastAsia="zh-CN"/>
        </w:rPr>
        <w:t>（6）《山东省生物多样性保护条例》</w:t>
      </w:r>
      <w:r>
        <w:rPr>
          <w:rFonts w:hint="eastAsia"/>
          <w:highlight w:val="none"/>
          <w:lang w:val="en-US" w:eastAsia="zh-CN"/>
        </w:rPr>
        <w:t>；</w:t>
      </w:r>
    </w:p>
    <w:p w14:paraId="73CC5129">
      <w:pPr>
        <w:numPr>
          <w:ilvl w:val="-1"/>
          <w:numId w:val="0"/>
        </w:numPr>
        <w:bidi w:val="0"/>
        <w:ind w:firstLine="640" w:firstLineChars="200"/>
        <w:rPr>
          <w:rFonts w:hint="default"/>
          <w:highlight w:val="none"/>
          <w:lang w:val="en-US" w:eastAsia="zh-CN"/>
        </w:rPr>
      </w:pPr>
      <w:r>
        <w:rPr>
          <w:rFonts w:hint="eastAsia"/>
          <w:highlight w:val="none"/>
          <w:lang w:val="en-US" w:eastAsia="zh-CN"/>
        </w:rPr>
        <w:t>（7）其他地方性法规</w:t>
      </w:r>
      <w:r>
        <w:rPr>
          <w:rFonts w:hint="default"/>
          <w:highlight w:val="none"/>
          <w:lang w:val="en-US" w:eastAsia="zh-CN"/>
        </w:rPr>
        <w:t>。</w:t>
      </w:r>
    </w:p>
    <w:p w14:paraId="342B29B1">
      <w:pPr>
        <w:numPr>
          <w:ilvl w:val="-1"/>
          <w:numId w:val="0"/>
        </w:numPr>
        <w:bidi w:val="0"/>
        <w:ind w:firstLine="640" w:firstLineChars="200"/>
        <w:rPr>
          <w:rFonts w:hint="eastAsia" w:ascii="Times New Roman" w:hAnsi="Times New Roman"/>
          <w:highlight w:val="none"/>
          <w:lang w:val="en-US" w:eastAsia="zh-CN"/>
        </w:rPr>
      </w:pPr>
      <w:r>
        <w:rPr>
          <w:rFonts w:hint="eastAsia" w:ascii="Times New Roman" w:hAnsi="Times New Roman"/>
          <w:highlight w:val="none"/>
          <w:lang w:val="en-US" w:eastAsia="zh-CN"/>
        </w:rPr>
        <w:t>本标准的修订已与上述法律法规进行</w:t>
      </w:r>
      <w:r>
        <w:rPr>
          <w:rFonts w:hint="eastAsia"/>
          <w:highlight w:val="none"/>
          <w:lang w:val="en-US" w:eastAsia="zh-CN"/>
        </w:rPr>
        <w:t>了</w:t>
      </w:r>
      <w:r>
        <w:rPr>
          <w:rFonts w:hint="eastAsia" w:ascii="Times New Roman" w:hAnsi="Times New Roman"/>
          <w:highlight w:val="none"/>
          <w:lang w:val="en-US" w:eastAsia="zh-CN"/>
        </w:rPr>
        <w:t>衔接，不存在冲突或不协调的内容，技术内容符合相关要求。</w:t>
      </w:r>
    </w:p>
    <w:p w14:paraId="38AC40E2">
      <w:pPr>
        <w:pStyle w:val="3"/>
        <w:bidi w:val="0"/>
        <w:rPr>
          <w:rFonts w:hint="eastAsia"/>
          <w:highlight w:val="none"/>
          <w:lang w:val="en-US" w:eastAsia="zh-CN"/>
        </w:rPr>
      </w:pPr>
      <w:bookmarkStart w:id="65" w:name="_Toc3822"/>
      <w:bookmarkStart w:id="66" w:name="_Toc19028"/>
      <w:bookmarkStart w:id="67" w:name="_Toc9272"/>
      <w:bookmarkStart w:id="68" w:name="_Toc4528"/>
      <w:r>
        <w:rPr>
          <w:rFonts w:hint="eastAsia"/>
          <w:highlight w:val="none"/>
          <w:lang w:val="en-US" w:eastAsia="zh-CN"/>
        </w:rPr>
        <w:t>与其他标准的关系</w:t>
      </w:r>
      <w:bookmarkEnd w:id="65"/>
      <w:bookmarkEnd w:id="66"/>
      <w:bookmarkEnd w:id="67"/>
      <w:bookmarkEnd w:id="68"/>
    </w:p>
    <w:p w14:paraId="1BE3B8F7">
      <w:pPr>
        <w:bidi w:val="0"/>
        <w:rPr>
          <w:rFonts w:hint="eastAsia"/>
          <w:lang w:val="en-US" w:eastAsia="zh-CN"/>
        </w:rPr>
      </w:pPr>
      <w:r>
        <w:rPr>
          <w:rFonts w:hint="eastAsia"/>
          <w:lang w:val="en-US" w:eastAsia="zh-CN"/>
        </w:rPr>
        <w:t>本标准衔接了国家和行业标准，参考或沿用了部分技术内容。同时，为了适应山东省流域水生态保护和管理工作，对筛选指标、指标计算得分、指控措施和报告大纲等内容进行了优化。与同类标准相比，本标准的突出特点主要体现在以下几方面。</w:t>
      </w:r>
    </w:p>
    <w:p w14:paraId="7C9E8BA0">
      <w:pPr>
        <w:rPr>
          <w:rFonts w:hint="default"/>
          <w:highlight w:val="none"/>
          <w:lang w:val="en-US" w:eastAsia="zh-CN"/>
        </w:rPr>
      </w:pPr>
      <w:r>
        <w:rPr>
          <w:rFonts w:hint="eastAsia"/>
          <w:b w:val="0"/>
          <w:bCs w:val="0"/>
          <w:highlight w:val="none"/>
          <w:lang w:val="en-US" w:eastAsia="zh-CN"/>
        </w:rPr>
        <w:t>一是坚持问题导向，筛选确定评价指标。针对</w:t>
      </w:r>
      <w:r>
        <w:rPr>
          <w:rFonts w:hint="eastAsia"/>
          <w:highlight w:val="none"/>
          <w:lang w:val="en-US" w:eastAsia="zh-CN"/>
        </w:rPr>
        <w:t>我省河流流量变异程度大且易出现断流的问题，设置了断流干涸程度指标，引导地方保障河流水量；针对鱼类小型化低龄化现象明显、物种多样性恢复慢等问题，设置了鱼类物种数指标，引导地方开展水生态系统保护与恢复工作。</w:t>
      </w:r>
    </w:p>
    <w:p w14:paraId="24A7A044">
      <w:pPr>
        <w:rPr>
          <w:rFonts w:hint="eastAsia"/>
          <w:highlight w:val="none"/>
          <w:lang w:val="en-US" w:eastAsia="zh-CN"/>
        </w:rPr>
      </w:pPr>
      <w:r>
        <w:rPr>
          <w:rFonts w:hint="eastAsia"/>
          <w:b w:val="0"/>
          <w:bCs w:val="0"/>
          <w:highlight w:val="none"/>
          <w:lang w:val="en-US" w:eastAsia="zh-CN"/>
        </w:rPr>
        <w:t>二是坚持因地制宜，优化指标计算方法。</w:t>
      </w:r>
      <w:r>
        <w:rPr>
          <w:rFonts w:hint="eastAsia"/>
          <w:highlight w:val="none"/>
          <w:lang w:val="en-US" w:eastAsia="zh-CN"/>
        </w:rPr>
        <w:t>针对水体连通性指标，由于我省属于严重缺水地区，闸坝建设有力保障了河水存续，因此，根据山东省河流闸坝分布特点</w:t>
      </w:r>
      <w:r>
        <w:rPr>
          <w:highlight w:val="none"/>
        </w:rPr>
        <w:t>对不同类型的</w:t>
      </w:r>
      <w:r>
        <w:rPr>
          <w:rFonts w:hint="eastAsia"/>
          <w:highlight w:val="none"/>
          <w:lang w:val="en-US" w:eastAsia="zh-CN"/>
        </w:rPr>
        <w:t>闸坝</w:t>
      </w:r>
      <w:r>
        <w:rPr>
          <w:highlight w:val="none"/>
        </w:rPr>
        <w:t>赋予相应的阻隔系数</w:t>
      </w:r>
      <w:r>
        <w:rPr>
          <w:rFonts w:hint="eastAsia"/>
          <w:highlight w:val="none"/>
          <w:lang w:eastAsia="zh-CN"/>
        </w:rPr>
        <w:t>，</w:t>
      </w:r>
      <w:r>
        <w:rPr>
          <w:rFonts w:hint="eastAsia"/>
          <w:highlight w:val="none"/>
          <w:lang w:val="en-US" w:eastAsia="zh-CN"/>
        </w:rPr>
        <w:t>用</w:t>
      </w:r>
      <w:r>
        <w:rPr>
          <w:highlight w:val="none"/>
        </w:rPr>
        <w:t>来</w:t>
      </w:r>
      <w:r>
        <w:rPr>
          <w:rFonts w:hint="eastAsia"/>
          <w:highlight w:val="none"/>
          <w:lang w:val="en-US" w:eastAsia="zh-CN"/>
        </w:rPr>
        <w:t>表征</w:t>
      </w:r>
      <w:r>
        <w:rPr>
          <w:highlight w:val="none"/>
        </w:rPr>
        <w:t>其对河流的阻隔影响</w:t>
      </w:r>
      <w:r>
        <w:rPr>
          <w:rFonts w:hint="eastAsia"/>
          <w:highlight w:val="none"/>
          <w:lang w:eastAsia="zh-CN"/>
        </w:rPr>
        <w:t>。</w:t>
      </w:r>
      <w:r>
        <w:rPr>
          <w:rFonts w:hint="eastAsia"/>
          <w:highlight w:val="none"/>
          <w:lang w:val="en-US" w:eastAsia="zh-CN"/>
        </w:rPr>
        <w:t>针对汛期污染强度指标，结合山东省国控断面2024年汛期监测数据，采用统计学方法，测算其赋分标准，确保指标评价得分更符合实际情况。</w:t>
      </w:r>
    </w:p>
    <w:p w14:paraId="115EAF35">
      <w:pPr>
        <w:rPr>
          <w:rFonts w:hint="eastAsia"/>
          <w:highlight w:val="none"/>
          <w:lang w:val="en-US" w:eastAsia="zh-CN"/>
        </w:rPr>
      </w:pPr>
      <w:r>
        <w:rPr>
          <w:rFonts w:hint="eastAsia"/>
          <w:b w:val="0"/>
          <w:bCs w:val="0"/>
          <w:highlight w:val="none"/>
          <w:lang w:val="en-US" w:eastAsia="zh-CN"/>
        </w:rPr>
        <w:t>三是坚持科学规范，严格质量控制措施。</w:t>
      </w:r>
      <w:r>
        <w:rPr>
          <w:rFonts w:hint="eastAsia"/>
          <w:highlight w:val="none"/>
          <w:lang w:val="en-US" w:eastAsia="zh-CN"/>
        </w:rPr>
        <w:t>准确的</w:t>
      </w:r>
      <w:r>
        <w:rPr>
          <w:rFonts w:hint="eastAsia"/>
          <w:highlight w:val="none"/>
        </w:rPr>
        <w:t>水生</w:t>
      </w:r>
      <w:r>
        <w:rPr>
          <w:rFonts w:hint="eastAsia"/>
          <w:highlight w:val="none"/>
          <w:lang w:val="en-US" w:eastAsia="zh-CN"/>
        </w:rPr>
        <w:t>态调查评价</w:t>
      </w:r>
      <w:r>
        <w:rPr>
          <w:rFonts w:hint="eastAsia"/>
          <w:highlight w:val="none"/>
        </w:rPr>
        <w:t>数据对于</w:t>
      </w:r>
      <w:r>
        <w:rPr>
          <w:rFonts w:hint="eastAsia"/>
          <w:highlight w:val="none"/>
          <w:lang w:val="en-US" w:eastAsia="zh-CN"/>
        </w:rPr>
        <w:t>科学</w:t>
      </w:r>
      <w:r>
        <w:rPr>
          <w:rFonts w:hint="eastAsia"/>
          <w:highlight w:val="none"/>
        </w:rPr>
        <w:t>诊断水生态状况</w:t>
      </w:r>
      <w:r>
        <w:rPr>
          <w:rFonts w:hint="eastAsia"/>
          <w:highlight w:val="none"/>
          <w:lang w:eastAsia="zh-CN"/>
        </w:rPr>
        <w:t>、</w:t>
      </w:r>
      <w:r>
        <w:rPr>
          <w:rFonts w:hint="eastAsia"/>
          <w:highlight w:val="none"/>
        </w:rPr>
        <w:t>制定有效的修复保护措施至关重要。</w:t>
      </w:r>
      <w:r>
        <w:rPr>
          <w:rFonts w:hint="eastAsia" w:ascii="Times New Roman" w:hAnsi="Times New Roman"/>
          <w:highlight w:val="none"/>
          <w:lang w:val="en-US" w:eastAsia="zh-CN"/>
        </w:rPr>
        <w:t>本标准</w:t>
      </w:r>
      <w:r>
        <w:rPr>
          <w:rFonts w:hint="eastAsia"/>
          <w:b w:val="0"/>
          <w:bCs w:val="0"/>
          <w:highlight w:val="none"/>
          <w:lang w:val="en-US" w:eastAsia="zh-CN"/>
        </w:rPr>
        <w:t>增</w:t>
      </w:r>
      <w:r>
        <w:rPr>
          <w:rFonts w:hint="eastAsia"/>
          <w:highlight w:val="none"/>
          <w:lang w:val="en-US" w:eastAsia="zh-CN"/>
        </w:rPr>
        <w:t>加了水生态调查全过程质量管理控制要求，尽可能减少</w:t>
      </w:r>
      <w:r>
        <w:rPr>
          <w:rFonts w:hint="eastAsia"/>
          <w:highlight w:val="none"/>
        </w:rPr>
        <w:t>样品采集、生物鉴定、数据处理</w:t>
      </w:r>
      <w:r>
        <w:rPr>
          <w:rFonts w:hint="eastAsia"/>
          <w:highlight w:val="none"/>
          <w:lang w:val="en-US" w:eastAsia="zh-CN"/>
        </w:rPr>
        <w:t>等</w:t>
      </w:r>
      <w:r>
        <w:rPr>
          <w:rFonts w:hint="eastAsia"/>
          <w:highlight w:val="none"/>
        </w:rPr>
        <w:t>环节</w:t>
      </w:r>
      <w:r>
        <w:rPr>
          <w:rFonts w:hint="eastAsia"/>
          <w:highlight w:val="none"/>
          <w:lang w:val="en-US" w:eastAsia="zh-CN"/>
        </w:rPr>
        <w:t>的人为误差，从而提高数据的准确性和可靠性。</w:t>
      </w:r>
    </w:p>
    <w:p w14:paraId="4CEBF40B">
      <w:pPr>
        <w:rPr>
          <w:rFonts w:hint="eastAsia"/>
          <w:highlight w:val="none"/>
          <w:lang w:val="en-US" w:eastAsia="zh-CN"/>
        </w:rPr>
      </w:pPr>
      <w:r>
        <w:rPr>
          <w:rFonts w:hint="eastAsia"/>
          <w:b w:val="0"/>
          <w:bCs w:val="0"/>
          <w:highlight w:val="none"/>
          <w:lang w:val="en-US" w:eastAsia="zh-CN"/>
        </w:rPr>
        <w:t>四是坚持标准引领，规范报告编制要求。</w:t>
      </w:r>
      <w:r>
        <w:rPr>
          <w:rFonts w:hint="eastAsia"/>
          <w:highlight w:val="none"/>
          <w:lang w:val="en-US" w:eastAsia="zh-CN"/>
        </w:rPr>
        <w:t>目前我省各单位水生态调查评价报告内容侧重不同、详略不一，通过统一规范报告编制内容，可以使得不同河湖库调查评价结果在同一框架下进行比较，强化评价结果应用，实现不同水体的精细化管理。</w:t>
      </w:r>
      <w:bookmarkStart w:id="69" w:name="_Toc31246"/>
      <w:bookmarkStart w:id="70" w:name="_Toc4308"/>
      <w:bookmarkStart w:id="71" w:name="_Toc23024"/>
    </w:p>
    <w:p w14:paraId="788F209A">
      <w:pPr>
        <w:pStyle w:val="2"/>
        <w:bidi w:val="0"/>
        <w:rPr>
          <w:rFonts w:hint="eastAsia"/>
          <w:highlight w:val="none"/>
          <w:lang w:val="en-US" w:eastAsia="zh-CN"/>
        </w:rPr>
      </w:pPr>
      <w:bookmarkStart w:id="72" w:name="_Toc17801"/>
      <w:bookmarkStart w:id="73" w:name="_Toc15789"/>
      <w:r>
        <w:rPr>
          <w:rFonts w:hint="eastAsia"/>
          <w:highlight w:val="none"/>
          <w:lang w:val="en-US" w:eastAsia="zh-CN"/>
        </w:rPr>
        <w:t>标准实施效益分析</w:t>
      </w:r>
      <w:bookmarkEnd w:id="69"/>
      <w:bookmarkEnd w:id="72"/>
      <w:bookmarkEnd w:id="73"/>
    </w:p>
    <w:p w14:paraId="4EE98071">
      <w:pPr>
        <w:bidi w:val="0"/>
        <w:rPr>
          <w:rFonts w:hint="default" w:ascii="Times New Roman" w:hAnsi="Times New Roman"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本标准的发布实施能</w:t>
      </w:r>
      <w:r>
        <w:rPr>
          <w:rFonts w:hint="eastAsia" w:ascii="Times New Roman" w:hAnsi="Times New Roman" w:cs="Times New Roman"/>
          <w:color w:val="000000"/>
          <w:kern w:val="2"/>
          <w:sz w:val="32"/>
          <w:szCs w:val="32"/>
          <w:highlight w:val="none"/>
          <w:lang w:val="en-US" w:eastAsia="zh-CN" w:bidi="ar-SA"/>
        </w:rPr>
        <w:t>规</w:t>
      </w:r>
      <w:r>
        <w:rPr>
          <w:rFonts w:hint="eastAsia" w:cs="Times New Roman"/>
          <w:color w:val="000000"/>
          <w:kern w:val="2"/>
          <w:sz w:val="32"/>
          <w:szCs w:val="32"/>
          <w:highlight w:val="none"/>
          <w:lang w:val="en-US" w:eastAsia="zh-CN" w:bidi="ar-SA"/>
        </w:rPr>
        <w:t>范</w:t>
      </w:r>
      <w:r>
        <w:rPr>
          <w:rFonts w:hint="eastAsia" w:ascii="Times New Roman" w:hAnsi="Times New Roman" w:cs="Times New Roman"/>
          <w:color w:val="000000"/>
          <w:kern w:val="2"/>
          <w:sz w:val="32"/>
          <w:szCs w:val="32"/>
          <w:highlight w:val="none"/>
          <w:lang w:val="en-US" w:eastAsia="zh-CN" w:bidi="ar-SA"/>
        </w:rPr>
        <w:t>我省水生态调查评价工作</w:t>
      </w:r>
      <w:r>
        <w:rPr>
          <w:rFonts w:hint="eastAsia" w:ascii="Times New Roman" w:hAnsi="Times New Roman" w:eastAsia="仿宋_GB2312" w:cs="Times New Roman"/>
          <w:color w:val="000000"/>
          <w:kern w:val="2"/>
          <w:sz w:val="32"/>
          <w:szCs w:val="32"/>
          <w:highlight w:val="none"/>
          <w:lang w:val="en-US" w:eastAsia="zh-CN" w:bidi="ar-SA"/>
        </w:rPr>
        <w:t>，</w:t>
      </w:r>
      <w:r>
        <w:rPr>
          <w:rFonts w:hint="eastAsia" w:ascii="Times New Roman" w:hAnsi="Times New Roman" w:cs="Times New Roman"/>
          <w:color w:val="000000"/>
          <w:kern w:val="2"/>
          <w:sz w:val="32"/>
          <w:szCs w:val="32"/>
          <w:highlight w:val="none"/>
          <w:lang w:val="en-US" w:eastAsia="zh-CN" w:bidi="ar-SA"/>
        </w:rPr>
        <w:t>为</w:t>
      </w:r>
      <w:r>
        <w:rPr>
          <w:rFonts w:hint="eastAsia" w:ascii="Times New Roman" w:hAnsi="Times New Roman" w:eastAsia="仿宋_GB2312" w:cs="Times New Roman"/>
          <w:color w:val="000000"/>
          <w:kern w:val="2"/>
          <w:sz w:val="32"/>
          <w:szCs w:val="32"/>
          <w:highlight w:val="none"/>
          <w:lang w:val="en-US" w:eastAsia="zh-CN" w:bidi="ar-SA"/>
        </w:rPr>
        <w:t>推动</w:t>
      </w:r>
      <w:r>
        <w:rPr>
          <w:rFonts w:hint="eastAsia" w:ascii="Times New Roman" w:hAnsi="Times New Roman" w:cs="Times New Roman"/>
          <w:color w:val="000000"/>
          <w:kern w:val="2"/>
          <w:sz w:val="32"/>
          <w:szCs w:val="32"/>
          <w:highlight w:val="none"/>
          <w:lang w:val="en-US" w:eastAsia="zh-CN" w:bidi="ar-SA"/>
        </w:rPr>
        <w:t>我省水环境质量</w:t>
      </w:r>
      <w:r>
        <w:rPr>
          <w:rFonts w:hint="eastAsia" w:cs="Times New Roman"/>
          <w:color w:val="000000"/>
          <w:kern w:val="2"/>
          <w:sz w:val="32"/>
          <w:szCs w:val="32"/>
          <w:highlight w:val="none"/>
          <w:lang w:val="en-US" w:eastAsia="zh-CN" w:bidi="ar-SA"/>
        </w:rPr>
        <w:t>全面</w:t>
      </w:r>
      <w:r>
        <w:rPr>
          <w:rFonts w:hint="eastAsia" w:ascii="Times New Roman" w:hAnsi="Times New Roman" w:cs="Times New Roman"/>
          <w:color w:val="000000"/>
          <w:kern w:val="2"/>
          <w:sz w:val="32"/>
          <w:szCs w:val="32"/>
          <w:highlight w:val="none"/>
          <w:lang w:val="en-US" w:eastAsia="zh-CN" w:bidi="ar-SA"/>
        </w:rPr>
        <w:t>改善、美丽河湖保护与建设工作奠定基础，</w:t>
      </w:r>
      <w:r>
        <w:rPr>
          <w:rFonts w:hint="eastAsia" w:ascii="Times New Roman" w:hAnsi="Times New Roman" w:eastAsia="仿宋_GB2312" w:cs="Times New Roman"/>
          <w:color w:val="000000"/>
          <w:kern w:val="2"/>
          <w:sz w:val="32"/>
          <w:szCs w:val="32"/>
          <w:highlight w:val="none"/>
          <w:lang w:val="en-US" w:eastAsia="zh-CN" w:bidi="ar-SA"/>
        </w:rPr>
        <w:t>将产生较大的生态效益和经济社会效益。</w:t>
      </w:r>
    </w:p>
    <w:p w14:paraId="651DBBAD">
      <w:pPr>
        <w:bidi w:val="0"/>
        <w:rPr>
          <w:rFonts w:hint="default"/>
          <w:highlight w:val="none"/>
          <w:lang w:val="en-US" w:eastAsia="zh-CN"/>
        </w:rPr>
      </w:pPr>
      <w:r>
        <w:rPr>
          <w:rFonts w:hint="eastAsia"/>
          <w:highlight w:val="none"/>
          <w:lang w:val="en-US" w:eastAsia="zh-CN"/>
        </w:rPr>
        <w:t>生态效益：将有利于识别我省水生态系统突出问题，指导地方开展水生态环境治理与保护，从而推动水生态状况持续改善，构建我省“三水统筹”治理新格局。</w:t>
      </w:r>
    </w:p>
    <w:p w14:paraId="17C09757">
      <w:pPr>
        <w:bidi w:val="0"/>
        <w:rPr>
          <w:rFonts w:hint="eastAsia"/>
          <w:highlight w:val="none"/>
          <w:lang w:eastAsia="zh-CN"/>
        </w:rPr>
      </w:pPr>
      <w:r>
        <w:rPr>
          <w:rFonts w:hint="eastAsia"/>
          <w:highlight w:val="none"/>
          <w:lang w:val="en-US" w:eastAsia="zh-CN"/>
        </w:rPr>
        <w:t>经济社会效益：通过水生态保护和修复，改善流域水质，恢复水生态健康，提升景观环境，增强人民群众获得感、幸福感，从而助推周边产业绿色发展，增加地方政府财政收入，协同推进生态环境高水平保护与经济社会高质量发展。</w:t>
      </w:r>
    </w:p>
    <w:p w14:paraId="2479DA59">
      <w:pPr>
        <w:pStyle w:val="2"/>
        <w:bidi w:val="0"/>
        <w:ind w:left="0" w:leftChars="0" w:firstLine="0" w:firstLineChars="0"/>
        <w:rPr>
          <w:rFonts w:hint="eastAsia"/>
          <w:highlight w:val="none"/>
          <w:lang w:val="en-US" w:eastAsia="zh-CN"/>
        </w:rPr>
      </w:pPr>
      <w:bookmarkStart w:id="74" w:name="_Toc11090"/>
      <w:bookmarkStart w:id="75" w:name="_Toc7607"/>
      <w:bookmarkStart w:id="76" w:name="_Toc20584"/>
      <w:r>
        <w:rPr>
          <w:rFonts w:hint="eastAsia"/>
          <w:highlight w:val="none"/>
          <w:lang w:val="en-US" w:eastAsia="zh-CN"/>
        </w:rPr>
        <w:t>重大分歧意见的处理过程、处理意见及其依据</w:t>
      </w:r>
      <w:bookmarkEnd w:id="74"/>
      <w:bookmarkEnd w:id="75"/>
      <w:bookmarkEnd w:id="76"/>
    </w:p>
    <w:bookmarkEnd w:id="70"/>
    <w:bookmarkEnd w:id="71"/>
    <w:p w14:paraId="470AC200">
      <w:pPr>
        <w:bidi w:val="0"/>
        <w:rPr>
          <w:rFonts w:hint="default"/>
          <w:highlight w:val="none"/>
          <w:lang w:val="en-US" w:eastAsia="zh-CN"/>
        </w:rPr>
      </w:pPr>
      <w:r>
        <w:rPr>
          <w:rFonts w:hint="eastAsia"/>
          <w:highlight w:val="none"/>
          <w:lang w:val="en-US" w:eastAsia="zh-CN"/>
        </w:rPr>
        <w:t>无</w:t>
      </w:r>
    </w:p>
    <w:p w14:paraId="6F987D99">
      <w:pPr>
        <w:pStyle w:val="2"/>
        <w:bidi w:val="0"/>
        <w:ind w:left="0" w:leftChars="0" w:firstLine="0" w:firstLineChars="0"/>
        <w:rPr>
          <w:rFonts w:hint="eastAsia"/>
          <w:highlight w:val="none"/>
          <w:lang w:val="en-US" w:eastAsia="zh-CN"/>
        </w:rPr>
      </w:pPr>
      <w:bookmarkStart w:id="77" w:name="_Toc18034"/>
      <w:bookmarkStart w:id="78" w:name="_Toc11079"/>
      <w:bookmarkStart w:id="79" w:name="_Toc27161"/>
      <w:bookmarkStart w:id="80" w:name="_Toc15075"/>
      <w:bookmarkStart w:id="81" w:name="_Toc31360"/>
      <w:r>
        <w:rPr>
          <w:rFonts w:hint="eastAsia"/>
          <w:highlight w:val="none"/>
          <w:lang w:val="en-US" w:eastAsia="zh-CN"/>
        </w:rPr>
        <w:t>对地方标准自发布日期至实施日期之间的过渡期的建议及理由</w:t>
      </w:r>
      <w:bookmarkEnd w:id="77"/>
      <w:bookmarkEnd w:id="78"/>
      <w:bookmarkEnd w:id="79"/>
    </w:p>
    <w:bookmarkEnd w:id="80"/>
    <w:bookmarkEnd w:id="81"/>
    <w:p w14:paraId="4E0AE5B3">
      <w:pPr>
        <w:ind w:firstLine="640" w:firstLineChars="200"/>
        <w:rPr>
          <w:rFonts w:hint="default"/>
          <w:highlight w:val="none"/>
          <w:lang w:val="en-US" w:eastAsia="zh-CN"/>
        </w:rPr>
      </w:pPr>
      <w:r>
        <w:rPr>
          <w:rFonts w:hint="eastAsia"/>
          <w:highlight w:val="none"/>
          <w:lang w:val="en-US" w:eastAsia="zh-CN"/>
        </w:rPr>
        <w:t>本标准为地方推荐性标准，建议自发布日期至实施日期之间的过渡期为1个月。山东省各级生态环境主管部门是标准实施的主体，为确保其准确理解、掌握和执行标准，标准发布后将向标准实施主体进行推广和宣贯，推动标准的落地实施。预计此项工作需要1个月的时间。</w:t>
      </w:r>
    </w:p>
    <w:p w14:paraId="5C120EAC">
      <w:pPr>
        <w:pStyle w:val="2"/>
        <w:bidi w:val="0"/>
        <w:ind w:left="0" w:leftChars="0" w:firstLine="0" w:firstLineChars="0"/>
        <w:rPr>
          <w:rFonts w:hint="default"/>
          <w:highlight w:val="none"/>
          <w:lang w:val="en-US" w:eastAsia="zh-CN"/>
        </w:rPr>
      </w:pPr>
      <w:bookmarkStart w:id="82" w:name="_Toc4198"/>
      <w:bookmarkStart w:id="83" w:name="_Toc29594"/>
      <w:bookmarkStart w:id="84" w:name="_Toc14906"/>
      <w:bookmarkStart w:id="85" w:name="_Toc8895"/>
      <w:bookmarkStart w:id="86" w:name="_Toc2215"/>
      <w:r>
        <w:rPr>
          <w:rFonts w:hint="eastAsia"/>
          <w:highlight w:val="none"/>
          <w:lang w:val="en-US" w:eastAsia="zh-CN"/>
        </w:rPr>
        <w:t>其他需要说明的内容</w:t>
      </w:r>
      <w:bookmarkEnd w:id="82"/>
      <w:bookmarkEnd w:id="83"/>
      <w:bookmarkEnd w:id="84"/>
      <w:bookmarkEnd w:id="85"/>
      <w:bookmarkEnd w:id="86"/>
    </w:p>
    <w:p w14:paraId="206F105E">
      <w:pPr>
        <w:bidi w:val="0"/>
        <w:rPr>
          <w:highlight w:val="none"/>
        </w:rPr>
      </w:pPr>
      <w:r>
        <w:rPr>
          <w:rFonts w:hint="eastAsia"/>
          <w:highlight w:val="none"/>
          <w:lang w:val="en-US" w:eastAsia="zh-CN"/>
        </w:rPr>
        <w:t>无</w:t>
      </w:r>
      <w:r>
        <w:rPr>
          <w:highlight w:val="none"/>
        </w:rPr>
        <w:t>。</w:t>
      </w:r>
    </w:p>
    <w:p w14:paraId="5EE1C080">
      <w:pPr>
        <w:numPr>
          <w:ilvl w:val="0"/>
          <w:numId w:val="0"/>
        </w:numPr>
        <w:rPr>
          <w:rFonts w:hint="default"/>
          <w:b/>
          <w:bCs/>
          <w:highlight w:val="none"/>
          <w:lang w:val="en-US" w:eastAsia="zh-CN"/>
        </w:rPr>
      </w:pPr>
    </w:p>
    <w:sectPr>
      <w:pgSz w:w="11906" w:h="16838"/>
      <w:pgMar w:top="1440" w:right="1588" w:bottom="1440" w:left="1588"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2F1F58A-CBAA-4970-A7AE-C0301BB7D5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2D55AB0A-B10A-4AB5-8B32-772BA1FC7B94}"/>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roman"/>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embedRegular r:id="rId3" w:fontKey="{881DB96D-E8C6-4FA7-83EE-CABE6295725C}"/>
  </w:font>
  <w:font w:name="楷体_GB2312">
    <w:panose1 w:val="02010609030101010101"/>
    <w:charset w:val="86"/>
    <w:family w:val="modern"/>
    <w:pitch w:val="default"/>
    <w:sig w:usb0="00000001" w:usb1="080E0000" w:usb2="00000000" w:usb3="00000000" w:csb0="00040000" w:csb1="00000000"/>
    <w:embedRegular r:id="rId4" w:fontKey="{4D9570DF-70D5-4504-B2F3-59082F7AD9CB}"/>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64BBE">
    <w:pPr>
      <w:spacing w:line="174" w:lineRule="auto"/>
      <w:ind w:left="4360"/>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9582B">
    <w:pPr>
      <w:spacing w:line="174" w:lineRule="auto"/>
      <w:ind w:left="436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E8E6E6">
                          <w:pPr>
                            <w:pStyle w:val="2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E8E6E6">
                    <w:pPr>
                      <w:pStyle w:val="2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FD228">
    <w:pPr>
      <w:spacing w:line="174" w:lineRule="auto"/>
      <w:ind w:left="436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BCC025">
                          <w:pPr>
                            <w:pStyle w:val="20"/>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4BCC025">
                    <w:pPr>
                      <w:pStyle w:val="20"/>
                    </w:pPr>
                    <w:r>
                      <w:fldChar w:fldCharType="begin"/>
                    </w:r>
                    <w:r>
                      <w:instrText xml:space="preserve"> PAGE  \* MERGEFORMAT </w:instrText>
                    </w:r>
                    <w:r>
                      <w:fldChar w:fldCharType="separate"/>
                    </w:r>
                    <w:r>
                      <w:t>13</w:t>
                    </w:r>
                    <w: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5665FB">
                          <w:pPr>
                            <w:pStyle w:val="20"/>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85665FB">
                    <w:pPr>
                      <w:pStyle w:val="20"/>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C7748B"/>
    <w:multiLevelType w:val="singleLevel"/>
    <w:tmpl w:val="9AC7748B"/>
    <w:lvl w:ilvl="0" w:tentative="0">
      <w:start w:val="1"/>
      <w:numFmt w:val="decimal"/>
      <w:suff w:val="nothing"/>
      <w:lvlText w:val="（%1）"/>
      <w:lvlJc w:val="left"/>
    </w:lvl>
  </w:abstractNum>
  <w:abstractNum w:abstractNumId="1">
    <w:nsid w:val="9FBCC003"/>
    <w:multiLevelType w:val="multilevel"/>
    <w:tmpl w:val="9FBCC003"/>
    <w:lvl w:ilvl="0" w:tentative="0">
      <w:start w:val="1"/>
      <w:numFmt w:val="chineseCounting"/>
      <w:pStyle w:val="2"/>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rPr>
    </w:lvl>
    <w:lvl w:ilvl="2" w:tentative="0">
      <w:start w:val="1"/>
      <w:numFmt w:val="decimal"/>
      <w:pStyle w:val="4"/>
      <w:suff w:val="nothing"/>
      <w:lvlText w:val="%3．"/>
      <w:lvlJc w:val="left"/>
      <w:pPr>
        <w:ind w:left="0" w:firstLine="400"/>
      </w:pPr>
      <w:rPr>
        <w:rFonts w:hint="eastAsia"/>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2">
    <w:nsid w:val="4CD0017D"/>
    <w:multiLevelType w:val="singleLevel"/>
    <w:tmpl w:val="4CD0017D"/>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172A27"/>
    <w:rsid w:val="00043144"/>
    <w:rsid w:val="00635575"/>
    <w:rsid w:val="006D6F3B"/>
    <w:rsid w:val="008D4EE8"/>
    <w:rsid w:val="00A74637"/>
    <w:rsid w:val="00A97848"/>
    <w:rsid w:val="00B35E51"/>
    <w:rsid w:val="0123494C"/>
    <w:rsid w:val="013E0B59"/>
    <w:rsid w:val="01794BAD"/>
    <w:rsid w:val="018C1643"/>
    <w:rsid w:val="01A26771"/>
    <w:rsid w:val="01FA1688"/>
    <w:rsid w:val="026B1D4F"/>
    <w:rsid w:val="02AB5AF9"/>
    <w:rsid w:val="03C2194D"/>
    <w:rsid w:val="03E14A90"/>
    <w:rsid w:val="041A1188"/>
    <w:rsid w:val="04602DF9"/>
    <w:rsid w:val="0475016D"/>
    <w:rsid w:val="04B85E33"/>
    <w:rsid w:val="04D94B9F"/>
    <w:rsid w:val="04F63474"/>
    <w:rsid w:val="053456C4"/>
    <w:rsid w:val="05810B58"/>
    <w:rsid w:val="05AD2488"/>
    <w:rsid w:val="06523DD1"/>
    <w:rsid w:val="06706DAB"/>
    <w:rsid w:val="06CF3A1E"/>
    <w:rsid w:val="076046B2"/>
    <w:rsid w:val="0763172E"/>
    <w:rsid w:val="07EC73A9"/>
    <w:rsid w:val="080D19C3"/>
    <w:rsid w:val="08E7715F"/>
    <w:rsid w:val="09037C18"/>
    <w:rsid w:val="09570722"/>
    <w:rsid w:val="09E23F01"/>
    <w:rsid w:val="09F8131F"/>
    <w:rsid w:val="0A2D72B4"/>
    <w:rsid w:val="0A5627EE"/>
    <w:rsid w:val="0A656ED5"/>
    <w:rsid w:val="0A6A3E38"/>
    <w:rsid w:val="0AB22A53"/>
    <w:rsid w:val="0B1C1BCC"/>
    <w:rsid w:val="0B7E3021"/>
    <w:rsid w:val="0BBE689D"/>
    <w:rsid w:val="0BEB6F66"/>
    <w:rsid w:val="0BF6747C"/>
    <w:rsid w:val="0C637445"/>
    <w:rsid w:val="0CD25103"/>
    <w:rsid w:val="0CDB6B9C"/>
    <w:rsid w:val="0D7731A8"/>
    <w:rsid w:val="0D915E7C"/>
    <w:rsid w:val="0DC77BA1"/>
    <w:rsid w:val="0DEA34EF"/>
    <w:rsid w:val="0E2D7D0A"/>
    <w:rsid w:val="0E375E7E"/>
    <w:rsid w:val="0E4F5ED2"/>
    <w:rsid w:val="0E5139F9"/>
    <w:rsid w:val="0E573A15"/>
    <w:rsid w:val="0E7B2823"/>
    <w:rsid w:val="0E9B3B90"/>
    <w:rsid w:val="0F074E62"/>
    <w:rsid w:val="0F42197C"/>
    <w:rsid w:val="0FE86501"/>
    <w:rsid w:val="0FFE4B77"/>
    <w:rsid w:val="10066A65"/>
    <w:rsid w:val="10463305"/>
    <w:rsid w:val="104D0D25"/>
    <w:rsid w:val="10765998"/>
    <w:rsid w:val="107D459E"/>
    <w:rsid w:val="10CE3347"/>
    <w:rsid w:val="117143B2"/>
    <w:rsid w:val="117E7541"/>
    <w:rsid w:val="119D51A7"/>
    <w:rsid w:val="11A70EA8"/>
    <w:rsid w:val="11B83D8F"/>
    <w:rsid w:val="12A66E32"/>
    <w:rsid w:val="13E420CF"/>
    <w:rsid w:val="1424395D"/>
    <w:rsid w:val="14A800EA"/>
    <w:rsid w:val="14D56A06"/>
    <w:rsid w:val="14F41582"/>
    <w:rsid w:val="1538582E"/>
    <w:rsid w:val="154A307A"/>
    <w:rsid w:val="15A06CAE"/>
    <w:rsid w:val="15FA38E0"/>
    <w:rsid w:val="15FA6724"/>
    <w:rsid w:val="163D0D06"/>
    <w:rsid w:val="163D48A3"/>
    <w:rsid w:val="16D00899"/>
    <w:rsid w:val="16D8458B"/>
    <w:rsid w:val="16EA49EA"/>
    <w:rsid w:val="17084BCB"/>
    <w:rsid w:val="172F1486"/>
    <w:rsid w:val="17FD24FB"/>
    <w:rsid w:val="18137F71"/>
    <w:rsid w:val="18AC5CCF"/>
    <w:rsid w:val="18DE057F"/>
    <w:rsid w:val="19320962"/>
    <w:rsid w:val="19866D20"/>
    <w:rsid w:val="198951F1"/>
    <w:rsid w:val="19C21DDE"/>
    <w:rsid w:val="19E41F02"/>
    <w:rsid w:val="1A023DF9"/>
    <w:rsid w:val="1A4A57A0"/>
    <w:rsid w:val="1A77122D"/>
    <w:rsid w:val="1A7D4EFE"/>
    <w:rsid w:val="1B4C37A8"/>
    <w:rsid w:val="1C3F3BF5"/>
    <w:rsid w:val="1C5A0D1A"/>
    <w:rsid w:val="1C5D5C5E"/>
    <w:rsid w:val="1CC052B0"/>
    <w:rsid w:val="1CD04682"/>
    <w:rsid w:val="1CE43C8A"/>
    <w:rsid w:val="1CF71C0F"/>
    <w:rsid w:val="1D100F23"/>
    <w:rsid w:val="1D92372D"/>
    <w:rsid w:val="1E1467F1"/>
    <w:rsid w:val="1E1A0873"/>
    <w:rsid w:val="1E563531"/>
    <w:rsid w:val="1E5D0198"/>
    <w:rsid w:val="1E60041D"/>
    <w:rsid w:val="1E914259"/>
    <w:rsid w:val="1EBA2C8B"/>
    <w:rsid w:val="1EFB0459"/>
    <w:rsid w:val="1F242A63"/>
    <w:rsid w:val="1F7E7F2B"/>
    <w:rsid w:val="1F947BE9"/>
    <w:rsid w:val="204A1625"/>
    <w:rsid w:val="20AF7A2E"/>
    <w:rsid w:val="20D57615"/>
    <w:rsid w:val="215F7D83"/>
    <w:rsid w:val="219263AA"/>
    <w:rsid w:val="219D0E63"/>
    <w:rsid w:val="21C347B6"/>
    <w:rsid w:val="22B33320"/>
    <w:rsid w:val="230E078D"/>
    <w:rsid w:val="238E2BA1"/>
    <w:rsid w:val="23BA5744"/>
    <w:rsid w:val="240A19EC"/>
    <w:rsid w:val="245D1A20"/>
    <w:rsid w:val="24D71F01"/>
    <w:rsid w:val="24F96101"/>
    <w:rsid w:val="252B661C"/>
    <w:rsid w:val="25357778"/>
    <w:rsid w:val="259D70CC"/>
    <w:rsid w:val="268A7BCD"/>
    <w:rsid w:val="27CE3CD1"/>
    <w:rsid w:val="27EB2370"/>
    <w:rsid w:val="29255E18"/>
    <w:rsid w:val="295025F9"/>
    <w:rsid w:val="2A1F4553"/>
    <w:rsid w:val="2A2B114A"/>
    <w:rsid w:val="2A36356E"/>
    <w:rsid w:val="2A50295E"/>
    <w:rsid w:val="2B326335"/>
    <w:rsid w:val="2B762790"/>
    <w:rsid w:val="2BF11F1F"/>
    <w:rsid w:val="2C5F157F"/>
    <w:rsid w:val="2CAE1BBE"/>
    <w:rsid w:val="2CD0670F"/>
    <w:rsid w:val="2CD1677C"/>
    <w:rsid w:val="2D3B471C"/>
    <w:rsid w:val="2DD218DC"/>
    <w:rsid w:val="2E166B2C"/>
    <w:rsid w:val="2E232138"/>
    <w:rsid w:val="2E374561"/>
    <w:rsid w:val="2F081A5A"/>
    <w:rsid w:val="2F1E74CF"/>
    <w:rsid w:val="2F4A02C4"/>
    <w:rsid w:val="2FAF5BAA"/>
    <w:rsid w:val="2FEE315D"/>
    <w:rsid w:val="30566431"/>
    <w:rsid w:val="30890A4E"/>
    <w:rsid w:val="309C1849"/>
    <w:rsid w:val="30A734F4"/>
    <w:rsid w:val="30F40012"/>
    <w:rsid w:val="310D5422"/>
    <w:rsid w:val="31414E1F"/>
    <w:rsid w:val="31AD4759"/>
    <w:rsid w:val="31C64FD5"/>
    <w:rsid w:val="31D73E68"/>
    <w:rsid w:val="31EA5447"/>
    <w:rsid w:val="3294550E"/>
    <w:rsid w:val="32A56B90"/>
    <w:rsid w:val="32AD13A5"/>
    <w:rsid w:val="32F742BF"/>
    <w:rsid w:val="3312147C"/>
    <w:rsid w:val="333D4EFC"/>
    <w:rsid w:val="334A44D0"/>
    <w:rsid w:val="340F4EAA"/>
    <w:rsid w:val="346539D5"/>
    <w:rsid w:val="34EE34A0"/>
    <w:rsid w:val="3579545F"/>
    <w:rsid w:val="35D80E4C"/>
    <w:rsid w:val="36113FC2"/>
    <w:rsid w:val="361B02C4"/>
    <w:rsid w:val="363B4A32"/>
    <w:rsid w:val="368D02E5"/>
    <w:rsid w:val="36CB2CF1"/>
    <w:rsid w:val="37003F29"/>
    <w:rsid w:val="37757EA8"/>
    <w:rsid w:val="37A20571"/>
    <w:rsid w:val="37B05746"/>
    <w:rsid w:val="37D20E57"/>
    <w:rsid w:val="37E2508A"/>
    <w:rsid w:val="37FE4754"/>
    <w:rsid w:val="38020C03"/>
    <w:rsid w:val="38342599"/>
    <w:rsid w:val="387B47CC"/>
    <w:rsid w:val="38886D1F"/>
    <w:rsid w:val="388F0990"/>
    <w:rsid w:val="38D927FE"/>
    <w:rsid w:val="3925145A"/>
    <w:rsid w:val="39286278"/>
    <w:rsid w:val="39E82BB3"/>
    <w:rsid w:val="3A6D130B"/>
    <w:rsid w:val="3AB24F6F"/>
    <w:rsid w:val="3AF141DF"/>
    <w:rsid w:val="3B286837"/>
    <w:rsid w:val="3B3567F5"/>
    <w:rsid w:val="3B645C5D"/>
    <w:rsid w:val="3C453CBD"/>
    <w:rsid w:val="3D1837B0"/>
    <w:rsid w:val="3D7D3613"/>
    <w:rsid w:val="3DBF182C"/>
    <w:rsid w:val="3E147DEA"/>
    <w:rsid w:val="3E611186"/>
    <w:rsid w:val="3E79027E"/>
    <w:rsid w:val="3F7B2FDB"/>
    <w:rsid w:val="3FEF7C7B"/>
    <w:rsid w:val="40330901"/>
    <w:rsid w:val="40771C18"/>
    <w:rsid w:val="40B21FE0"/>
    <w:rsid w:val="40B97058"/>
    <w:rsid w:val="40BC26A4"/>
    <w:rsid w:val="41F15C06"/>
    <w:rsid w:val="420A5691"/>
    <w:rsid w:val="428B67D2"/>
    <w:rsid w:val="429513FF"/>
    <w:rsid w:val="43052C44"/>
    <w:rsid w:val="43F6396B"/>
    <w:rsid w:val="444D217E"/>
    <w:rsid w:val="44AB315B"/>
    <w:rsid w:val="455924E6"/>
    <w:rsid w:val="45801ED6"/>
    <w:rsid w:val="459267E2"/>
    <w:rsid w:val="45BE0C6C"/>
    <w:rsid w:val="46DF3C82"/>
    <w:rsid w:val="46E56488"/>
    <w:rsid w:val="470B6133"/>
    <w:rsid w:val="470E79D1"/>
    <w:rsid w:val="47150D60"/>
    <w:rsid w:val="472114B3"/>
    <w:rsid w:val="472C640A"/>
    <w:rsid w:val="473A07C7"/>
    <w:rsid w:val="478C7274"/>
    <w:rsid w:val="47D44777"/>
    <w:rsid w:val="47FE7A46"/>
    <w:rsid w:val="481B5CDF"/>
    <w:rsid w:val="4845463A"/>
    <w:rsid w:val="48535728"/>
    <w:rsid w:val="487E54FB"/>
    <w:rsid w:val="4885226D"/>
    <w:rsid w:val="48861F15"/>
    <w:rsid w:val="48D12A65"/>
    <w:rsid w:val="48D34A2F"/>
    <w:rsid w:val="490B41C9"/>
    <w:rsid w:val="492B3BB5"/>
    <w:rsid w:val="494476DB"/>
    <w:rsid w:val="49585677"/>
    <w:rsid w:val="4A8C1339"/>
    <w:rsid w:val="4AB10DA0"/>
    <w:rsid w:val="4B105AC6"/>
    <w:rsid w:val="4B83098E"/>
    <w:rsid w:val="4BA40904"/>
    <w:rsid w:val="4BBE2CA0"/>
    <w:rsid w:val="4BD244CB"/>
    <w:rsid w:val="4BF93AFD"/>
    <w:rsid w:val="4C0D034A"/>
    <w:rsid w:val="4C4B6279"/>
    <w:rsid w:val="4C8C14A2"/>
    <w:rsid w:val="4C9D5A7F"/>
    <w:rsid w:val="4CAC1664"/>
    <w:rsid w:val="4CCD0839"/>
    <w:rsid w:val="4CE0596C"/>
    <w:rsid w:val="4D0C3B83"/>
    <w:rsid w:val="4D221AE1"/>
    <w:rsid w:val="4DCD4142"/>
    <w:rsid w:val="4E0D14A9"/>
    <w:rsid w:val="4E133D67"/>
    <w:rsid w:val="4E4769A2"/>
    <w:rsid w:val="4E50209C"/>
    <w:rsid w:val="4E5D44D8"/>
    <w:rsid w:val="4E6B1D97"/>
    <w:rsid w:val="4ECC7CA4"/>
    <w:rsid w:val="4F3B1580"/>
    <w:rsid w:val="4F7F146C"/>
    <w:rsid w:val="4F7F321A"/>
    <w:rsid w:val="4FF450E6"/>
    <w:rsid w:val="504A4FB9"/>
    <w:rsid w:val="506B19F1"/>
    <w:rsid w:val="51071EFE"/>
    <w:rsid w:val="51DD6BC9"/>
    <w:rsid w:val="52976ACD"/>
    <w:rsid w:val="52F7005F"/>
    <w:rsid w:val="53A70F92"/>
    <w:rsid w:val="53D05745"/>
    <w:rsid w:val="54372D88"/>
    <w:rsid w:val="54AF572A"/>
    <w:rsid w:val="54E12281"/>
    <w:rsid w:val="54EF2BF0"/>
    <w:rsid w:val="55C62F77"/>
    <w:rsid w:val="55FA2598"/>
    <w:rsid w:val="56B22127"/>
    <w:rsid w:val="56B31286"/>
    <w:rsid w:val="579F6C1A"/>
    <w:rsid w:val="57DB56AE"/>
    <w:rsid w:val="583059FA"/>
    <w:rsid w:val="58F237A7"/>
    <w:rsid w:val="590F1AB3"/>
    <w:rsid w:val="598976A2"/>
    <w:rsid w:val="59963AC8"/>
    <w:rsid w:val="59D67A6F"/>
    <w:rsid w:val="5A670607"/>
    <w:rsid w:val="5A6E0A5B"/>
    <w:rsid w:val="5B0F5D9A"/>
    <w:rsid w:val="5C0910A4"/>
    <w:rsid w:val="5C0A47B4"/>
    <w:rsid w:val="5C261BFE"/>
    <w:rsid w:val="5C427DE2"/>
    <w:rsid w:val="5C6B4F55"/>
    <w:rsid w:val="5CB14C2F"/>
    <w:rsid w:val="5D3E2967"/>
    <w:rsid w:val="5DBE7604"/>
    <w:rsid w:val="5DE745B5"/>
    <w:rsid w:val="5E47553D"/>
    <w:rsid w:val="5EF86B45"/>
    <w:rsid w:val="5FBF3344"/>
    <w:rsid w:val="60025ECE"/>
    <w:rsid w:val="6011457E"/>
    <w:rsid w:val="602776E2"/>
    <w:rsid w:val="60C240F1"/>
    <w:rsid w:val="60C45483"/>
    <w:rsid w:val="60E46F4C"/>
    <w:rsid w:val="617A1A94"/>
    <w:rsid w:val="61BC20AC"/>
    <w:rsid w:val="61D05FA7"/>
    <w:rsid w:val="620163FE"/>
    <w:rsid w:val="622F6D22"/>
    <w:rsid w:val="623F6839"/>
    <w:rsid w:val="62533942"/>
    <w:rsid w:val="62DB11A4"/>
    <w:rsid w:val="62E103EB"/>
    <w:rsid w:val="62E73159"/>
    <w:rsid w:val="642108EC"/>
    <w:rsid w:val="64326656"/>
    <w:rsid w:val="64941087"/>
    <w:rsid w:val="659B647C"/>
    <w:rsid w:val="659D21F5"/>
    <w:rsid w:val="661701F9"/>
    <w:rsid w:val="668D2269"/>
    <w:rsid w:val="66A01B84"/>
    <w:rsid w:val="66E87063"/>
    <w:rsid w:val="672E75A8"/>
    <w:rsid w:val="675F2B4B"/>
    <w:rsid w:val="677671A1"/>
    <w:rsid w:val="67DD0FCE"/>
    <w:rsid w:val="681B214E"/>
    <w:rsid w:val="68203CE0"/>
    <w:rsid w:val="686A495D"/>
    <w:rsid w:val="68993147"/>
    <w:rsid w:val="69004F74"/>
    <w:rsid w:val="693A57BA"/>
    <w:rsid w:val="69472D1F"/>
    <w:rsid w:val="69474951"/>
    <w:rsid w:val="6A036897"/>
    <w:rsid w:val="6A321963"/>
    <w:rsid w:val="6A9525EC"/>
    <w:rsid w:val="6ACE4BFE"/>
    <w:rsid w:val="6AFA04F5"/>
    <w:rsid w:val="6AFB0AEC"/>
    <w:rsid w:val="6B1A4EC6"/>
    <w:rsid w:val="6BE648F5"/>
    <w:rsid w:val="6BFF59B7"/>
    <w:rsid w:val="6CA3310B"/>
    <w:rsid w:val="6CC92C88"/>
    <w:rsid w:val="6CF56E0E"/>
    <w:rsid w:val="6D495F89"/>
    <w:rsid w:val="6E123F12"/>
    <w:rsid w:val="6E602011"/>
    <w:rsid w:val="6E641B01"/>
    <w:rsid w:val="6EB74948"/>
    <w:rsid w:val="6F3E0151"/>
    <w:rsid w:val="6F423D82"/>
    <w:rsid w:val="6F60676D"/>
    <w:rsid w:val="6F803AA2"/>
    <w:rsid w:val="6F806FF9"/>
    <w:rsid w:val="6F9E3414"/>
    <w:rsid w:val="6FBE6451"/>
    <w:rsid w:val="6FDB5DF3"/>
    <w:rsid w:val="70934920"/>
    <w:rsid w:val="70D25448"/>
    <w:rsid w:val="71091A03"/>
    <w:rsid w:val="71B72890"/>
    <w:rsid w:val="71C52DC5"/>
    <w:rsid w:val="71FB4EB1"/>
    <w:rsid w:val="7218332F"/>
    <w:rsid w:val="72712A3F"/>
    <w:rsid w:val="72863611"/>
    <w:rsid w:val="729F57FE"/>
    <w:rsid w:val="731474DA"/>
    <w:rsid w:val="7318735E"/>
    <w:rsid w:val="741B0EB4"/>
    <w:rsid w:val="746413E5"/>
    <w:rsid w:val="75092686"/>
    <w:rsid w:val="75157FF9"/>
    <w:rsid w:val="75486C40"/>
    <w:rsid w:val="75D67789"/>
    <w:rsid w:val="75EB5B69"/>
    <w:rsid w:val="768F5B89"/>
    <w:rsid w:val="76BE5699"/>
    <w:rsid w:val="770976EA"/>
    <w:rsid w:val="7769462C"/>
    <w:rsid w:val="77754D7F"/>
    <w:rsid w:val="777D6013"/>
    <w:rsid w:val="77887A97"/>
    <w:rsid w:val="77A3571E"/>
    <w:rsid w:val="77CF63F7"/>
    <w:rsid w:val="788D2C64"/>
    <w:rsid w:val="78B95140"/>
    <w:rsid w:val="78E066B7"/>
    <w:rsid w:val="791B3704"/>
    <w:rsid w:val="79377117"/>
    <w:rsid w:val="796E0C23"/>
    <w:rsid w:val="797A667D"/>
    <w:rsid w:val="79974DFF"/>
    <w:rsid w:val="79C478F8"/>
    <w:rsid w:val="79DE6506"/>
    <w:rsid w:val="79F503F9"/>
    <w:rsid w:val="7A6730A5"/>
    <w:rsid w:val="7A897256"/>
    <w:rsid w:val="7ABF07F0"/>
    <w:rsid w:val="7AE8068D"/>
    <w:rsid w:val="7AF04B69"/>
    <w:rsid w:val="7BB10350"/>
    <w:rsid w:val="7C077F70"/>
    <w:rsid w:val="7C354ADD"/>
    <w:rsid w:val="7C8810B1"/>
    <w:rsid w:val="7C9020F0"/>
    <w:rsid w:val="7D2232B3"/>
    <w:rsid w:val="7D3354C1"/>
    <w:rsid w:val="7D690EE2"/>
    <w:rsid w:val="7D777A3E"/>
    <w:rsid w:val="7E831E97"/>
    <w:rsid w:val="7E9755DB"/>
    <w:rsid w:val="7EC46660"/>
    <w:rsid w:val="7ED14966"/>
    <w:rsid w:val="7EFF7A60"/>
    <w:rsid w:val="7F815141"/>
    <w:rsid w:val="7FC11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42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1"/>
    <w:next w:val="1"/>
    <w:qFormat/>
    <w:uiPriority w:val="0"/>
    <w:pPr>
      <w:keepNext/>
      <w:keepLines/>
      <w:numPr>
        <w:ilvl w:val="0"/>
        <w:numId w:val="1"/>
      </w:numPr>
      <w:spacing w:beforeLines="0" w:beforeAutospacing="0" w:afterLines="0" w:afterAutospacing="0" w:line="600" w:lineRule="exact"/>
      <w:ind w:left="0" w:firstLine="0" w:firstLineChars="0"/>
      <w:outlineLvl w:val="0"/>
    </w:pPr>
    <w:rPr>
      <w:rFonts w:ascii="Times New Roman" w:hAnsi="Times New Roman" w:eastAsia="黑体"/>
      <w:b/>
      <w:kern w:val="44"/>
    </w:rPr>
  </w:style>
  <w:style w:type="paragraph" w:styleId="3">
    <w:name w:val="heading 2"/>
    <w:basedOn w:val="1"/>
    <w:next w:val="1"/>
    <w:unhideWhenUsed/>
    <w:qFormat/>
    <w:uiPriority w:val="0"/>
    <w:pPr>
      <w:keepNext/>
      <w:keepLines/>
      <w:numPr>
        <w:ilvl w:val="1"/>
        <w:numId w:val="1"/>
      </w:numPr>
      <w:spacing w:beforeLines="0" w:beforeAutospacing="0" w:afterLines="0" w:afterAutospacing="0" w:line="600" w:lineRule="exact"/>
      <w:ind w:left="0" w:firstLine="640" w:firstLineChars="200"/>
      <w:outlineLvl w:val="1"/>
    </w:pPr>
    <w:rPr>
      <w:rFonts w:ascii="Times New Roman" w:hAnsi="Times New Roman" w:eastAsia="楷体"/>
    </w:rPr>
  </w:style>
  <w:style w:type="paragraph" w:styleId="4">
    <w:name w:val="heading 3"/>
    <w:basedOn w:val="1"/>
    <w:next w:val="1"/>
    <w:unhideWhenUsed/>
    <w:qFormat/>
    <w:uiPriority w:val="0"/>
    <w:pPr>
      <w:keepNext/>
      <w:keepLines/>
      <w:numPr>
        <w:ilvl w:val="2"/>
        <w:numId w:val="1"/>
      </w:numPr>
      <w:spacing w:beforeLines="0" w:beforeAutospacing="0" w:afterLines="0" w:afterAutospacing="0" w:line="360" w:lineRule="auto"/>
      <w:ind w:left="0" w:firstLine="400" w:firstLineChars="0"/>
      <w:outlineLvl w:val="2"/>
    </w:pPr>
    <w:rPr>
      <w:rFonts w:ascii="Times New Roman" w:hAnsi="Times New Roman"/>
      <w:b/>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0" w:firstLine="402" w:firstLineChars="0"/>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0" w:firstLine="402"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0" w:firstLine="402"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0" w:firstLine="402"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0" w:firstLine="402"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0" w:firstLine="402" w:firstLineChars="0"/>
      <w:outlineLvl w:val="8"/>
    </w:pPr>
    <w:rPr>
      <w:rFonts w:ascii="Arial" w:hAnsi="Arial" w:eastAsia="黑体"/>
      <w:sz w:val="21"/>
    </w:rPr>
  </w:style>
  <w:style w:type="character" w:default="1" w:styleId="27">
    <w:name w:val="Default Paragraph Font"/>
    <w:semiHidden/>
    <w:qFormat/>
    <w:uiPriority w:val="0"/>
  </w:style>
  <w:style w:type="table" w:default="1" w:styleId="25">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spacing w:line="500" w:lineRule="exact"/>
      <w:ind w:firstLine="560" w:firstLineChars="200"/>
    </w:pPr>
    <w:rPr>
      <w:rFonts w:ascii="仿宋_GB2312" w:eastAsia="仿宋_GB2312"/>
      <w:kern w:val="0"/>
      <w:sz w:val="28"/>
      <w:szCs w:val="24"/>
    </w:rPr>
  </w:style>
  <w:style w:type="paragraph" w:styleId="12">
    <w:name w:val="caption"/>
    <w:basedOn w:val="1"/>
    <w:next w:val="1"/>
    <w:qFormat/>
    <w:uiPriority w:val="35"/>
    <w:rPr>
      <w:rFonts w:ascii="等线 Light" w:hAnsi="等线 Light" w:eastAsia="黑体" w:cs="Times New Roman"/>
      <w:sz w:val="20"/>
      <w:szCs w:val="20"/>
    </w:rPr>
  </w:style>
  <w:style w:type="paragraph" w:styleId="13">
    <w:name w:val="annotation text"/>
    <w:basedOn w:val="1"/>
    <w:qFormat/>
    <w:uiPriority w:val="0"/>
    <w:pPr>
      <w:jc w:val="left"/>
    </w:pPr>
  </w:style>
  <w:style w:type="paragraph" w:styleId="14">
    <w:name w:val="Body Text"/>
    <w:basedOn w:val="1"/>
    <w:next w:val="1"/>
    <w:unhideWhenUsed/>
    <w:qFormat/>
    <w:uiPriority w:val="99"/>
  </w:style>
  <w:style w:type="paragraph" w:styleId="15">
    <w:name w:val="Body Text Indent"/>
    <w:basedOn w:val="1"/>
    <w:next w:val="16"/>
    <w:unhideWhenUsed/>
    <w:qFormat/>
    <w:uiPriority w:val="0"/>
    <w:pPr>
      <w:spacing w:after="120"/>
      <w:ind w:left="420" w:leftChars="200"/>
    </w:pPr>
  </w:style>
  <w:style w:type="paragraph" w:styleId="16">
    <w:name w:val="header"/>
    <w:basedOn w:val="1"/>
    <w:next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7">
    <w:name w:val="样式5"/>
    <w:basedOn w:val="18"/>
    <w:unhideWhenUsed/>
    <w:qFormat/>
    <w:uiPriority w:val="0"/>
    <w:pPr>
      <w:tabs>
        <w:tab w:val="left" w:pos="567"/>
      </w:tabs>
      <w:snapToGrid w:val="0"/>
      <w:spacing w:before="62" w:beforeLines="20" w:after="62" w:afterLines="20" w:line="480" w:lineRule="exact"/>
      <w:ind w:firstLine="523" w:firstLineChars="218"/>
    </w:pPr>
    <w:rPr>
      <w:i/>
      <w:sz w:val="24"/>
    </w:rPr>
  </w:style>
  <w:style w:type="paragraph" w:customStyle="1" w:styleId="18">
    <w:name w:val="正文1"/>
    <w:basedOn w:val="1"/>
    <w:next w:val="1"/>
    <w:unhideWhenUsed/>
    <w:qFormat/>
    <w:uiPriority w:val="0"/>
    <w:pPr>
      <w:spacing w:line="240" w:lineRule="atLeast"/>
    </w:pPr>
    <w:rPr>
      <w:szCs w:val="24"/>
    </w:rPr>
  </w:style>
  <w:style w:type="paragraph" w:styleId="19">
    <w:name w:val="List 2"/>
    <w:basedOn w:val="1"/>
    <w:unhideWhenUsed/>
    <w:qFormat/>
    <w:uiPriority w:val="99"/>
    <w:pPr>
      <w:ind w:left="100" w:leftChars="200" w:hanging="200" w:hangingChars="200"/>
    </w:pPr>
    <w:rPr>
      <w:rFonts w:hint="default"/>
      <w:sz w:val="24"/>
      <w:szCs w:val="24"/>
    </w:rPr>
  </w:style>
  <w:style w:type="paragraph" w:styleId="20">
    <w:name w:val="footer"/>
    <w:basedOn w:val="1"/>
    <w:qFormat/>
    <w:uiPriority w:val="0"/>
    <w:pPr>
      <w:tabs>
        <w:tab w:val="center" w:pos="4153"/>
        <w:tab w:val="right" w:pos="8306"/>
      </w:tabs>
      <w:snapToGrid w:val="0"/>
      <w:jc w:val="left"/>
    </w:pPr>
    <w:rPr>
      <w:sz w:val="18"/>
    </w:rPr>
  </w:style>
  <w:style w:type="paragraph" w:styleId="21">
    <w:name w:val="toc 1"/>
    <w:basedOn w:val="1"/>
    <w:next w:val="1"/>
    <w:qFormat/>
    <w:uiPriority w:val="0"/>
  </w:style>
  <w:style w:type="paragraph" w:styleId="22">
    <w:name w:val="toc 2"/>
    <w:basedOn w:val="1"/>
    <w:next w:val="1"/>
    <w:qFormat/>
    <w:uiPriority w:val="0"/>
    <w:pPr>
      <w:ind w:left="420" w:leftChars="200"/>
    </w:pPr>
  </w:style>
  <w:style w:type="paragraph" w:styleId="2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4">
    <w:name w:val="Body Text First Indent 2"/>
    <w:basedOn w:val="15"/>
    <w:next w:val="1"/>
    <w:qFormat/>
    <w:uiPriority w:val="0"/>
    <w:pPr>
      <w:ind w:firstLine="420" w:firstLineChars="200"/>
    </w:pPr>
    <w:rPr>
      <w:rFonts w:ascii="Times New Roman" w:hAnsi="Times New Roman" w:eastAsia="仿宋_GB2312"/>
      <w:sz w:val="28"/>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0"/>
    <w:rPr>
      <w:b/>
    </w:rPr>
  </w:style>
  <w:style w:type="character" w:styleId="29">
    <w:name w:val="Emphasis"/>
    <w:basedOn w:val="27"/>
    <w:qFormat/>
    <w:uiPriority w:val="0"/>
    <w:rPr>
      <w:i/>
    </w:rPr>
  </w:style>
  <w:style w:type="character" w:styleId="30">
    <w:name w:val="Hyperlink"/>
    <w:basedOn w:val="27"/>
    <w:qFormat/>
    <w:uiPriority w:val="0"/>
    <w:rPr>
      <w:color w:val="0000FF"/>
      <w:u w:val="single"/>
    </w:rPr>
  </w:style>
  <w:style w:type="paragraph" w:customStyle="1" w:styleId="31">
    <w:name w:val="总标题"/>
    <w:basedOn w:val="1"/>
    <w:qFormat/>
    <w:uiPriority w:val="0"/>
    <w:pPr>
      <w:spacing w:before="100" w:beforeLines="100" w:after="50" w:afterLines="50" w:line="360" w:lineRule="auto"/>
      <w:jc w:val="center"/>
      <w:outlineLvl w:val="0"/>
    </w:pPr>
    <w:rPr>
      <w:rFonts w:ascii="华文中宋" w:eastAsia="华文中宋"/>
      <w:b/>
      <w:sz w:val="44"/>
      <w:szCs w:val="44"/>
    </w:rPr>
  </w:style>
  <w:style w:type="paragraph" w:customStyle="1" w:styleId="32">
    <w:name w:val="标准文字"/>
    <w:basedOn w:val="1"/>
    <w:qFormat/>
    <w:uiPriority w:val="0"/>
    <w:pPr>
      <w:overflowPunct w:val="0"/>
      <w:spacing w:after="0" w:line="360" w:lineRule="auto"/>
      <w:ind w:firstLine="200" w:firstLineChars="200"/>
    </w:pPr>
    <w:rPr>
      <w:rFonts w:eastAsia="仿宋_GB2312"/>
      <w:sz w:val="32"/>
      <w:szCs w:val="32"/>
    </w:rPr>
  </w:style>
  <w:style w:type="paragraph" w:customStyle="1" w:styleId="33">
    <w:name w:val="Table Text"/>
    <w:basedOn w:val="1"/>
    <w:semiHidden/>
    <w:qFormat/>
    <w:uiPriority w:val="0"/>
    <w:rPr>
      <w:rFonts w:ascii="宋体" w:hAnsi="宋体" w:eastAsia="宋体" w:cs="宋体"/>
      <w:sz w:val="24"/>
      <w:szCs w:val="24"/>
      <w:lang w:val="en-US" w:eastAsia="en-US" w:bidi="ar-SA"/>
    </w:rPr>
  </w:style>
  <w:style w:type="table" w:customStyle="1" w:styleId="34">
    <w:name w:val="Table Normal"/>
    <w:semiHidden/>
    <w:unhideWhenUsed/>
    <w:qFormat/>
    <w:uiPriority w:val="0"/>
    <w:tblPr>
      <w:tblCellMar>
        <w:top w:w="0" w:type="dxa"/>
        <w:left w:w="0" w:type="dxa"/>
        <w:bottom w:w="0" w:type="dxa"/>
        <w:right w:w="0" w:type="dxa"/>
      </w:tblCellMar>
    </w:tblPr>
  </w:style>
  <w:style w:type="paragraph" w:customStyle="1" w:styleId="35">
    <w:name w:val="表头"/>
    <w:basedOn w:val="12"/>
    <w:qFormat/>
    <w:uiPriority w:val="0"/>
    <w:pPr>
      <w:spacing w:before="50" w:beforeLines="50" w:after="50" w:afterLines="50" w:line="240" w:lineRule="auto"/>
      <w:ind w:firstLine="0" w:firstLineChars="0"/>
      <w:jc w:val="center"/>
    </w:pPr>
    <w:rPr>
      <w:rFonts w:ascii="Times New Roman" w:hAnsi="Times New Roman" w:eastAsia="仿宋" w:cs="Times New Roman"/>
      <w:b/>
      <w:sz w:val="24"/>
      <w:szCs w:val="24"/>
    </w:rPr>
  </w:style>
  <w:style w:type="paragraph" w:customStyle="1" w:styleId="36">
    <w:name w:val="表格"/>
    <w:basedOn w:val="1"/>
    <w:qFormat/>
    <w:uiPriority w:val="0"/>
    <w:pPr>
      <w:spacing w:line="240" w:lineRule="auto"/>
      <w:ind w:firstLine="0" w:firstLineChars="0"/>
      <w:jc w:val="center"/>
    </w:pPr>
    <w:rPr>
      <w:sz w:val="21"/>
      <w:szCs w:val="24"/>
    </w:rPr>
  </w:style>
  <w:style w:type="paragraph" w:customStyle="1" w:styleId="37">
    <w:name w:val="5正文细则"/>
    <w:basedOn w:val="1"/>
    <w:autoRedefine/>
    <w:qFormat/>
    <w:uiPriority w:val="0"/>
    <w:pPr>
      <w:adjustRightInd w:val="0"/>
      <w:snapToGrid w:val="0"/>
      <w:spacing w:line="300" w:lineRule="auto"/>
      <w:ind w:firstLine="200" w:firstLineChars="200"/>
    </w:pPr>
    <w:rPr>
      <w:rFonts w:ascii="Times New Roman" w:hAnsi="Times New Roman" w:eastAsia="仿宋_GB2312" w:cs="Times New Roman"/>
      <w:sz w:val="30"/>
      <w:szCs w:val="32"/>
    </w:rPr>
  </w:style>
  <w:style w:type="paragraph" w:customStyle="1" w:styleId="38">
    <w:name w:val="Table Paragraph"/>
    <w:basedOn w:val="1"/>
    <w:qFormat/>
    <w:uiPriority w:val="1"/>
    <w:pPr>
      <w:jc w:val="center"/>
    </w:pPr>
    <w:rPr>
      <w:rFonts w:ascii="宋体" w:hAnsi="宋体" w:eastAsia="宋体" w:cs="宋体"/>
      <w:lang w:val="en-US" w:eastAsia="en-US" w:bidi="en-US"/>
    </w:rPr>
  </w:style>
  <w:style w:type="character" w:customStyle="1" w:styleId="39">
    <w:name w:val="font161"/>
    <w:basedOn w:val="27"/>
    <w:qFormat/>
    <w:uiPriority w:val="0"/>
    <w:rPr>
      <w:rFonts w:hint="default" w:ascii="Arial" w:hAnsi="Arial" w:cs="Arial"/>
      <w:color w:val="000000"/>
      <w:sz w:val="15"/>
      <w:szCs w:val="15"/>
      <w:u w:val="none"/>
    </w:rPr>
  </w:style>
  <w:style w:type="character" w:customStyle="1" w:styleId="40">
    <w:name w:val="font171"/>
    <w:basedOn w:val="27"/>
    <w:qFormat/>
    <w:uiPriority w:val="0"/>
    <w:rPr>
      <w:rFonts w:ascii="宋体" w:hAnsi="宋体" w:eastAsia="宋体" w:cs="宋体"/>
      <w:b/>
      <w:bCs/>
      <w:color w:val="000000"/>
      <w:sz w:val="24"/>
      <w:szCs w:val="24"/>
      <w:u w:val="none"/>
    </w:rPr>
  </w:style>
  <w:style w:type="character" w:customStyle="1" w:styleId="41">
    <w:name w:val="font181"/>
    <w:basedOn w:val="27"/>
    <w:qFormat/>
    <w:uiPriority w:val="0"/>
    <w:rPr>
      <w:rFonts w:ascii="宋体" w:hAnsi="宋体" w:eastAsia="宋体" w:cs="宋体"/>
      <w:color w:val="000000"/>
      <w:sz w:val="24"/>
      <w:szCs w:val="24"/>
      <w:u w:val="none"/>
    </w:rPr>
  </w:style>
  <w:style w:type="character" w:customStyle="1" w:styleId="42">
    <w:name w:val="font191"/>
    <w:basedOn w:val="27"/>
    <w:qFormat/>
    <w:uiPriority w:val="0"/>
    <w:rPr>
      <w:rFonts w:ascii="宋体" w:hAnsi="宋体" w:eastAsia="宋体" w:cs="宋体"/>
      <w:color w:val="008674"/>
      <w:sz w:val="24"/>
      <w:szCs w:val="24"/>
      <w:u w:val="none"/>
    </w:rPr>
  </w:style>
  <w:style w:type="character" w:customStyle="1" w:styleId="43">
    <w:name w:val="font201"/>
    <w:basedOn w:val="27"/>
    <w:qFormat/>
    <w:uiPriority w:val="0"/>
    <w:rPr>
      <w:rFonts w:ascii="宋体" w:hAnsi="宋体" w:eastAsia="宋体" w:cs="宋体"/>
      <w:color w:val="86000D"/>
      <w:sz w:val="24"/>
      <w:szCs w:val="24"/>
      <w:u w:val="none"/>
    </w:rPr>
  </w:style>
  <w:style w:type="character" w:customStyle="1" w:styleId="44">
    <w:name w:val="font52"/>
    <w:basedOn w:val="27"/>
    <w:qFormat/>
    <w:uiPriority w:val="0"/>
    <w:rPr>
      <w:rFonts w:ascii="宋体" w:hAnsi="宋体" w:eastAsia="宋体" w:cs="宋体"/>
      <w:color w:val="8B0005"/>
      <w:sz w:val="24"/>
      <w:szCs w:val="24"/>
      <w:u w:val="none"/>
    </w:rPr>
  </w:style>
  <w:style w:type="character" w:customStyle="1" w:styleId="45">
    <w:name w:val="font212"/>
    <w:basedOn w:val="27"/>
    <w:qFormat/>
    <w:uiPriority w:val="0"/>
    <w:rPr>
      <w:rFonts w:ascii="宋体" w:hAnsi="宋体" w:eastAsia="宋体" w:cs="宋体"/>
      <w:color w:val="AB0006"/>
      <w:sz w:val="24"/>
      <w:szCs w:val="24"/>
      <w:u w:val="none"/>
    </w:rPr>
  </w:style>
  <w:style w:type="character" w:customStyle="1" w:styleId="46">
    <w:name w:val="font61"/>
    <w:basedOn w:val="27"/>
    <w:qFormat/>
    <w:uiPriority w:val="0"/>
    <w:rPr>
      <w:rFonts w:ascii="宋体" w:hAnsi="宋体" w:eastAsia="宋体" w:cs="宋体"/>
      <w:color w:val="B90012"/>
      <w:sz w:val="24"/>
      <w:szCs w:val="24"/>
      <w:u w:val="none"/>
    </w:rPr>
  </w:style>
  <w:style w:type="character" w:customStyle="1" w:styleId="47">
    <w:name w:val="font221"/>
    <w:basedOn w:val="27"/>
    <w:qFormat/>
    <w:uiPriority w:val="0"/>
    <w:rPr>
      <w:rFonts w:ascii="宋体" w:hAnsi="宋体" w:eastAsia="宋体" w:cs="宋体"/>
      <w:color w:val="C50D00"/>
      <w:sz w:val="24"/>
      <w:szCs w:val="24"/>
      <w:u w:val="none"/>
    </w:rPr>
  </w:style>
  <w:style w:type="character" w:customStyle="1" w:styleId="48">
    <w:name w:val="font231"/>
    <w:basedOn w:val="27"/>
    <w:qFormat/>
    <w:uiPriority w:val="0"/>
    <w:rPr>
      <w:rFonts w:ascii="宋体" w:hAnsi="宋体" w:eastAsia="宋体" w:cs="宋体"/>
      <w:color w:val="CE0000"/>
      <w:sz w:val="24"/>
      <w:szCs w:val="24"/>
      <w:u w:val="none"/>
    </w:rPr>
  </w:style>
  <w:style w:type="character" w:customStyle="1" w:styleId="49">
    <w:name w:val="font241"/>
    <w:basedOn w:val="27"/>
    <w:qFormat/>
    <w:uiPriority w:val="0"/>
    <w:rPr>
      <w:rFonts w:ascii="宋体" w:hAnsi="宋体" w:eastAsia="宋体" w:cs="宋体"/>
      <w:color w:val="BB000C"/>
      <w:sz w:val="24"/>
      <w:szCs w:val="24"/>
      <w:u w:val="none"/>
    </w:rPr>
  </w:style>
  <w:style w:type="character" w:customStyle="1" w:styleId="50">
    <w:name w:val="font251"/>
    <w:basedOn w:val="27"/>
    <w:qFormat/>
    <w:uiPriority w:val="0"/>
    <w:rPr>
      <w:rFonts w:ascii="宋体" w:hAnsi="宋体" w:eastAsia="宋体" w:cs="宋体"/>
      <w:color w:val="008775"/>
      <w:sz w:val="24"/>
      <w:szCs w:val="24"/>
      <w:u w:val="none"/>
    </w:rPr>
  </w:style>
  <w:style w:type="character" w:customStyle="1" w:styleId="51">
    <w:name w:val="font261"/>
    <w:basedOn w:val="27"/>
    <w:qFormat/>
    <w:uiPriority w:val="0"/>
    <w:rPr>
      <w:rFonts w:ascii="宋体" w:hAnsi="宋体" w:eastAsia="宋体" w:cs="宋体"/>
      <w:color w:val="C7000D"/>
      <w:sz w:val="24"/>
      <w:szCs w:val="24"/>
      <w:u w:val="none"/>
    </w:rPr>
  </w:style>
  <w:style w:type="character" w:customStyle="1" w:styleId="52">
    <w:name w:val="font271"/>
    <w:basedOn w:val="27"/>
    <w:qFormat/>
    <w:uiPriority w:val="0"/>
    <w:rPr>
      <w:rFonts w:ascii="宋体" w:hAnsi="宋体" w:eastAsia="宋体" w:cs="宋体"/>
      <w:color w:val="00667B"/>
      <w:sz w:val="24"/>
      <w:szCs w:val="24"/>
      <w:u w:val="none"/>
    </w:rPr>
  </w:style>
  <w:style w:type="character" w:customStyle="1" w:styleId="53">
    <w:name w:val="font281"/>
    <w:basedOn w:val="27"/>
    <w:qFormat/>
    <w:uiPriority w:val="0"/>
    <w:rPr>
      <w:rFonts w:ascii="宋体" w:hAnsi="宋体" w:eastAsia="宋体" w:cs="宋体"/>
      <w:color w:val="BE0013"/>
      <w:sz w:val="24"/>
      <w:szCs w:val="24"/>
      <w:u w:val="none"/>
    </w:rPr>
  </w:style>
  <w:style w:type="character" w:customStyle="1" w:styleId="54">
    <w:name w:val="font291"/>
    <w:basedOn w:val="27"/>
    <w:qFormat/>
    <w:uiPriority w:val="0"/>
    <w:rPr>
      <w:rFonts w:ascii="宋体" w:hAnsi="宋体" w:eastAsia="宋体" w:cs="宋体"/>
      <w:color w:val="007773"/>
      <w:sz w:val="24"/>
      <w:szCs w:val="24"/>
      <w:u w:val="none"/>
    </w:rPr>
  </w:style>
  <w:style w:type="character" w:customStyle="1" w:styleId="55">
    <w:name w:val="font301"/>
    <w:basedOn w:val="27"/>
    <w:qFormat/>
    <w:uiPriority w:val="0"/>
    <w:rPr>
      <w:rFonts w:ascii="宋体" w:hAnsi="宋体" w:eastAsia="宋体" w:cs="宋体"/>
      <w:color w:val="C40007"/>
      <w:sz w:val="24"/>
      <w:szCs w:val="24"/>
      <w:u w:val="none"/>
    </w:rPr>
  </w:style>
  <w:style w:type="character" w:customStyle="1" w:styleId="56">
    <w:name w:val="font312"/>
    <w:basedOn w:val="27"/>
    <w:qFormat/>
    <w:uiPriority w:val="0"/>
    <w:rPr>
      <w:rFonts w:ascii="宋体" w:hAnsi="宋体" w:eastAsia="宋体" w:cs="宋体"/>
      <w:color w:val="C1000D"/>
      <w:sz w:val="24"/>
      <w:szCs w:val="24"/>
      <w:u w:val="none"/>
    </w:rPr>
  </w:style>
  <w:style w:type="character" w:customStyle="1" w:styleId="57">
    <w:name w:val="font71"/>
    <w:basedOn w:val="27"/>
    <w:qFormat/>
    <w:uiPriority w:val="0"/>
    <w:rPr>
      <w:rFonts w:ascii="宋体" w:hAnsi="宋体" w:eastAsia="宋体" w:cs="宋体"/>
      <w:color w:val="BF0000"/>
      <w:sz w:val="24"/>
      <w:szCs w:val="24"/>
      <w:u w:val="none"/>
    </w:rPr>
  </w:style>
  <w:style w:type="character" w:customStyle="1" w:styleId="58">
    <w:name w:val="font321"/>
    <w:basedOn w:val="27"/>
    <w:qFormat/>
    <w:uiPriority w:val="0"/>
    <w:rPr>
      <w:rFonts w:ascii="宋体" w:hAnsi="宋体" w:eastAsia="宋体" w:cs="宋体"/>
      <w:color w:val="B1000C"/>
      <w:sz w:val="24"/>
      <w:szCs w:val="24"/>
      <w:u w:val="none"/>
    </w:rPr>
  </w:style>
  <w:style w:type="character" w:customStyle="1" w:styleId="59">
    <w:name w:val="font331"/>
    <w:basedOn w:val="27"/>
    <w:qFormat/>
    <w:uiPriority w:val="0"/>
    <w:rPr>
      <w:rFonts w:ascii="宋体" w:hAnsi="宋体" w:eastAsia="宋体" w:cs="宋体"/>
      <w:color w:val="D10015"/>
      <w:sz w:val="24"/>
      <w:szCs w:val="24"/>
      <w:u w:val="none"/>
    </w:rPr>
  </w:style>
  <w:style w:type="character" w:customStyle="1" w:styleId="60">
    <w:name w:val="font81"/>
    <w:basedOn w:val="27"/>
    <w:qFormat/>
    <w:uiPriority w:val="0"/>
    <w:rPr>
      <w:rFonts w:ascii="宋体" w:hAnsi="宋体" w:eastAsia="宋体" w:cs="宋体"/>
      <w:color w:val="CE0700"/>
      <w:sz w:val="24"/>
      <w:szCs w:val="24"/>
      <w:u w:val="none"/>
    </w:rPr>
  </w:style>
  <w:style w:type="character" w:customStyle="1" w:styleId="61">
    <w:name w:val="font341"/>
    <w:basedOn w:val="27"/>
    <w:qFormat/>
    <w:uiPriority w:val="0"/>
    <w:rPr>
      <w:rFonts w:ascii="宋体" w:hAnsi="宋体" w:eastAsia="宋体" w:cs="宋体"/>
      <w:color w:val="C6000D"/>
      <w:sz w:val="24"/>
      <w:szCs w:val="24"/>
      <w:u w:val="none"/>
    </w:rPr>
  </w:style>
  <w:style w:type="character" w:customStyle="1" w:styleId="62">
    <w:name w:val="font91"/>
    <w:basedOn w:val="27"/>
    <w:qFormat/>
    <w:uiPriority w:val="0"/>
    <w:rPr>
      <w:rFonts w:ascii="宋体" w:hAnsi="宋体" w:eastAsia="宋体" w:cs="宋体"/>
      <w:color w:val="BC0006"/>
      <w:sz w:val="24"/>
      <w:szCs w:val="24"/>
      <w:u w:val="none"/>
    </w:rPr>
  </w:style>
  <w:style w:type="character" w:customStyle="1" w:styleId="63">
    <w:name w:val="font351"/>
    <w:basedOn w:val="27"/>
    <w:qFormat/>
    <w:uiPriority w:val="0"/>
    <w:rPr>
      <w:rFonts w:ascii="宋体" w:hAnsi="宋体" w:eastAsia="宋体" w:cs="宋体"/>
      <w:color w:val="AD000C"/>
      <w:sz w:val="24"/>
      <w:szCs w:val="24"/>
      <w:u w:val="none"/>
    </w:rPr>
  </w:style>
  <w:style w:type="character" w:customStyle="1" w:styleId="64">
    <w:name w:val="font361"/>
    <w:basedOn w:val="27"/>
    <w:qFormat/>
    <w:uiPriority w:val="0"/>
    <w:rPr>
      <w:rFonts w:ascii="宋体" w:hAnsi="宋体" w:eastAsia="宋体" w:cs="宋体"/>
      <w:color w:val="BB0013"/>
      <w:sz w:val="24"/>
      <w:szCs w:val="24"/>
      <w:u w:val="none"/>
    </w:rPr>
  </w:style>
  <w:style w:type="character" w:customStyle="1" w:styleId="65">
    <w:name w:val="font371"/>
    <w:basedOn w:val="27"/>
    <w:qFormat/>
    <w:uiPriority w:val="0"/>
    <w:rPr>
      <w:rFonts w:ascii="宋体" w:hAnsi="宋体" w:eastAsia="宋体" w:cs="宋体"/>
      <w:color w:val="00807C"/>
      <w:sz w:val="24"/>
      <w:szCs w:val="24"/>
      <w:u w:val="none"/>
    </w:rPr>
  </w:style>
  <w:style w:type="character" w:customStyle="1" w:styleId="66">
    <w:name w:val="font381"/>
    <w:basedOn w:val="27"/>
    <w:qFormat/>
    <w:uiPriority w:val="0"/>
    <w:rPr>
      <w:rFonts w:ascii="宋体" w:hAnsi="宋体" w:eastAsia="宋体" w:cs="宋体"/>
      <w:color w:val="A5000B"/>
      <w:sz w:val="24"/>
      <w:szCs w:val="24"/>
      <w:u w:val="none"/>
    </w:rPr>
  </w:style>
  <w:style w:type="character" w:customStyle="1" w:styleId="67">
    <w:name w:val="font391"/>
    <w:basedOn w:val="27"/>
    <w:qFormat/>
    <w:uiPriority w:val="0"/>
    <w:rPr>
      <w:rFonts w:ascii="宋体" w:hAnsi="宋体" w:eastAsia="宋体" w:cs="宋体"/>
      <w:color w:val="009889"/>
      <w:sz w:val="24"/>
      <w:szCs w:val="24"/>
      <w:u w:val="none"/>
    </w:rPr>
  </w:style>
  <w:style w:type="character" w:customStyle="1" w:styleId="68">
    <w:name w:val="font401"/>
    <w:basedOn w:val="27"/>
    <w:qFormat/>
    <w:uiPriority w:val="0"/>
    <w:rPr>
      <w:rFonts w:ascii="宋体" w:hAnsi="宋体" w:eastAsia="宋体" w:cs="宋体"/>
      <w:color w:val="CE000E"/>
      <w:sz w:val="24"/>
      <w:szCs w:val="24"/>
      <w:u w:val="none"/>
    </w:rPr>
  </w:style>
  <w:style w:type="character" w:customStyle="1" w:styleId="69">
    <w:name w:val="font412"/>
    <w:basedOn w:val="27"/>
    <w:qFormat/>
    <w:uiPriority w:val="0"/>
    <w:rPr>
      <w:rFonts w:ascii="宋体" w:hAnsi="宋体" w:eastAsia="宋体" w:cs="宋体"/>
      <w:color w:val="008F7C"/>
      <w:sz w:val="24"/>
      <w:szCs w:val="24"/>
      <w:u w:val="none"/>
    </w:rPr>
  </w:style>
  <w:style w:type="character" w:customStyle="1" w:styleId="70">
    <w:name w:val="font101"/>
    <w:basedOn w:val="27"/>
    <w:qFormat/>
    <w:uiPriority w:val="0"/>
    <w:rPr>
      <w:rFonts w:ascii="宋体" w:hAnsi="宋体" w:eastAsia="宋体" w:cs="宋体"/>
      <w:color w:val="900013"/>
      <w:sz w:val="24"/>
      <w:szCs w:val="24"/>
      <w:u w:val="none"/>
    </w:rPr>
  </w:style>
  <w:style w:type="character" w:customStyle="1" w:styleId="71">
    <w:name w:val="font421"/>
    <w:basedOn w:val="27"/>
    <w:qFormat/>
    <w:uiPriority w:val="0"/>
    <w:rPr>
      <w:rFonts w:ascii="宋体" w:hAnsi="宋体" w:eastAsia="宋体" w:cs="宋体"/>
      <w:color w:val="BF0013"/>
      <w:sz w:val="24"/>
      <w:szCs w:val="24"/>
      <w:u w:val="none"/>
    </w:rPr>
  </w:style>
  <w:style w:type="character" w:customStyle="1" w:styleId="72">
    <w:name w:val="font112"/>
    <w:basedOn w:val="27"/>
    <w:qFormat/>
    <w:uiPriority w:val="0"/>
    <w:rPr>
      <w:rFonts w:ascii="宋体" w:hAnsi="宋体" w:eastAsia="宋体" w:cs="宋体"/>
      <w:color w:val="BB0006"/>
      <w:sz w:val="24"/>
      <w:szCs w:val="24"/>
      <w:u w:val="none"/>
    </w:rPr>
  </w:style>
  <w:style w:type="character" w:customStyle="1" w:styleId="73">
    <w:name w:val="font431"/>
    <w:basedOn w:val="27"/>
    <w:qFormat/>
    <w:uiPriority w:val="0"/>
    <w:rPr>
      <w:rFonts w:ascii="宋体" w:hAnsi="宋体" w:eastAsia="宋体" w:cs="宋体"/>
      <w:color w:val="C0000D"/>
      <w:sz w:val="24"/>
      <w:szCs w:val="24"/>
      <w:u w:val="none"/>
    </w:rPr>
  </w:style>
  <w:style w:type="character" w:customStyle="1" w:styleId="74">
    <w:name w:val="font441"/>
    <w:basedOn w:val="27"/>
    <w:qFormat/>
    <w:uiPriority w:val="0"/>
    <w:rPr>
      <w:rFonts w:ascii="宋体" w:hAnsi="宋体" w:eastAsia="宋体" w:cs="宋体"/>
      <w:color w:val="BF0020"/>
      <w:sz w:val="24"/>
      <w:szCs w:val="24"/>
      <w:u w:val="none"/>
    </w:rPr>
  </w:style>
  <w:style w:type="character" w:customStyle="1" w:styleId="75">
    <w:name w:val="font451"/>
    <w:basedOn w:val="27"/>
    <w:qFormat/>
    <w:uiPriority w:val="0"/>
    <w:rPr>
      <w:rFonts w:ascii="宋体" w:hAnsi="宋体" w:eastAsia="宋体" w:cs="宋体"/>
      <w:color w:val="BB0019"/>
      <w:sz w:val="24"/>
      <w:szCs w:val="24"/>
      <w:u w:val="none"/>
    </w:rPr>
  </w:style>
  <w:style w:type="character" w:customStyle="1" w:styleId="76">
    <w:name w:val="font461"/>
    <w:basedOn w:val="27"/>
    <w:qFormat/>
    <w:uiPriority w:val="0"/>
    <w:rPr>
      <w:rFonts w:ascii="宋体" w:hAnsi="宋体" w:eastAsia="宋体" w:cs="宋体"/>
      <w:color w:val="D00007"/>
      <w:sz w:val="24"/>
      <w:szCs w:val="24"/>
      <w:u w:val="none"/>
    </w:rPr>
  </w:style>
  <w:style w:type="character" w:customStyle="1" w:styleId="77">
    <w:name w:val="font471"/>
    <w:basedOn w:val="27"/>
    <w:qFormat/>
    <w:uiPriority w:val="0"/>
    <w:rPr>
      <w:rFonts w:ascii="宋体" w:hAnsi="宋体" w:eastAsia="宋体" w:cs="宋体"/>
      <w:color w:val="C2000D"/>
      <w:sz w:val="24"/>
      <w:szCs w:val="24"/>
      <w:u w:val="none"/>
    </w:rPr>
  </w:style>
  <w:style w:type="character" w:customStyle="1" w:styleId="78">
    <w:name w:val="font481"/>
    <w:basedOn w:val="27"/>
    <w:qFormat/>
    <w:uiPriority w:val="0"/>
    <w:rPr>
      <w:rFonts w:ascii="宋体" w:hAnsi="宋体" w:eastAsia="宋体" w:cs="宋体"/>
      <w:color w:val="006C65"/>
      <w:sz w:val="24"/>
      <w:szCs w:val="24"/>
      <w:u w:val="none"/>
    </w:rPr>
  </w:style>
  <w:style w:type="character" w:customStyle="1" w:styleId="79">
    <w:name w:val="font491"/>
    <w:basedOn w:val="27"/>
    <w:qFormat/>
    <w:uiPriority w:val="0"/>
    <w:rPr>
      <w:rFonts w:ascii="宋体" w:hAnsi="宋体" w:eastAsia="宋体" w:cs="宋体"/>
      <w:color w:val="AB0011"/>
      <w:sz w:val="24"/>
      <w:szCs w:val="24"/>
      <w:u w:val="none"/>
    </w:rPr>
  </w:style>
  <w:style w:type="character" w:customStyle="1" w:styleId="80">
    <w:name w:val="font131"/>
    <w:basedOn w:val="27"/>
    <w:qFormat/>
    <w:uiPriority w:val="0"/>
    <w:rPr>
      <w:rFonts w:ascii="宋体" w:hAnsi="宋体" w:eastAsia="宋体" w:cs="宋体"/>
      <w:color w:val="008977"/>
      <w:sz w:val="24"/>
      <w:szCs w:val="24"/>
      <w:u w:val="none"/>
    </w:rPr>
  </w:style>
  <w:style w:type="character" w:customStyle="1" w:styleId="81">
    <w:name w:val="font501"/>
    <w:basedOn w:val="27"/>
    <w:qFormat/>
    <w:uiPriority w:val="0"/>
    <w:rPr>
      <w:rFonts w:ascii="宋体" w:hAnsi="宋体" w:eastAsia="宋体" w:cs="宋体"/>
      <w:color w:val="CB0022"/>
      <w:sz w:val="24"/>
      <w:szCs w:val="24"/>
      <w:u w:val="none"/>
    </w:rPr>
  </w:style>
  <w:style w:type="character" w:customStyle="1" w:styleId="82">
    <w:name w:val="font511"/>
    <w:basedOn w:val="27"/>
    <w:qFormat/>
    <w:uiPriority w:val="0"/>
    <w:rPr>
      <w:rFonts w:ascii="宋体" w:hAnsi="宋体" w:eastAsia="宋体" w:cs="宋体"/>
      <w:color w:val="BD0019"/>
      <w:sz w:val="24"/>
      <w:szCs w:val="24"/>
      <w:u w:val="none"/>
    </w:rPr>
  </w:style>
  <w:style w:type="character" w:customStyle="1" w:styleId="83">
    <w:name w:val="font522"/>
    <w:basedOn w:val="27"/>
    <w:qFormat/>
    <w:uiPriority w:val="0"/>
    <w:rPr>
      <w:rFonts w:ascii="宋体" w:hAnsi="宋体" w:eastAsia="宋体" w:cs="宋体"/>
      <w:color w:val="C4000D"/>
      <w:sz w:val="24"/>
      <w:szCs w:val="24"/>
      <w:u w:val="none"/>
    </w:rPr>
  </w:style>
  <w:style w:type="character" w:customStyle="1" w:styleId="84">
    <w:name w:val="font531"/>
    <w:basedOn w:val="27"/>
    <w:qFormat/>
    <w:uiPriority w:val="0"/>
    <w:rPr>
      <w:rFonts w:ascii="宋体" w:hAnsi="宋体" w:eastAsia="宋体" w:cs="宋体"/>
      <w:color w:val="BF0019"/>
      <w:sz w:val="24"/>
      <w:szCs w:val="24"/>
      <w:u w:val="none"/>
    </w:rPr>
  </w:style>
  <w:style w:type="character" w:customStyle="1" w:styleId="85">
    <w:name w:val="font141"/>
    <w:basedOn w:val="27"/>
    <w:qFormat/>
    <w:uiPriority w:val="0"/>
    <w:rPr>
      <w:rFonts w:ascii="宋体" w:hAnsi="宋体" w:eastAsia="宋体" w:cs="宋体"/>
      <w:color w:val="A6000B"/>
      <w:sz w:val="24"/>
      <w:szCs w:val="24"/>
      <w:u w:val="none"/>
    </w:rPr>
  </w:style>
  <w:style w:type="character" w:customStyle="1" w:styleId="86">
    <w:name w:val="font51"/>
    <w:basedOn w:val="27"/>
    <w:qFormat/>
    <w:uiPriority w:val="0"/>
    <w:rPr>
      <w:rFonts w:ascii="宋体" w:hAnsi="宋体" w:eastAsia="宋体" w:cs="宋体"/>
      <w:color w:val="000000"/>
      <w:sz w:val="48"/>
      <w:szCs w:val="48"/>
      <w:u w:val="none"/>
    </w:rPr>
  </w:style>
  <w:style w:type="character" w:customStyle="1" w:styleId="87">
    <w:name w:val="font121"/>
    <w:basedOn w:val="27"/>
    <w:qFormat/>
    <w:uiPriority w:val="0"/>
    <w:rPr>
      <w:rFonts w:ascii="宋体" w:hAnsi="宋体" w:eastAsia="宋体" w:cs="宋体"/>
      <w:color w:val="000000"/>
      <w:sz w:val="26"/>
      <w:szCs w:val="26"/>
      <w:u w:val="none"/>
    </w:rPr>
  </w:style>
  <w:style w:type="paragraph" w:customStyle="1" w:styleId="88">
    <w:name w:val="WPSOffice手动目录 1"/>
    <w:qFormat/>
    <w:uiPriority w:val="0"/>
    <w:pPr>
      <w:ind w:leftChars="0"/>
    </w:pPr>
    <w:rPr>
      <w:rFonts w:ascii="Times New Roman" w:hAnsi="Times New Roman" w:eastAsia="宋体" w:cs="Times New Roman"/>
      <w:sz w:val="20"/>
      <w:szCs w:val="20"/>
    </w:rPr>
  </w:style>
  <w:style w:type="paragraph" w:customStyle="1" w:styleId="8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17510</Words>
  <Characters>18595</Characters>
  <Lines>0</Lines>
  <Paragraphs>0</Paragraphs>
  <TotalTime>18</TotalTime>
  <ScaleCrop>false</ScaleCrop>
  <LinksUpToDate>false</LinksUpToDate>
  <CharactersWithSpaces>18761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2023-09-17T12:57:00Z</dcterms:created>
  <dc:creator>Thinkpad</dc:creator>
  <cp:lastModifiedBy>刘婷</cp:lastModifiedBy>
  <cp:lastPrinted>2024-09-27T08:17:00Z</cp:lastPrinted>
  <dcterms:modified xsi:type="dcterms:W3CDTF">2024-10-12T07:51:31Z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7DC0DCB6A8054B4DA4763DDDD5C1A0D0_13</vt:lpwstr>
  </property>
</Properties>
</file>