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577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C54811E">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996FEEE">
            <w:pPr>
              <w:pStyle w:val="20"/>
              <w:framePr w:wrap="notBeside" w:vAnchor="page" w:hAnchor="page" w:x="1372" w:y="568"/>
              <w:tabs>
                <w:tab w:val="clear" w:pos="4153"/>
                <w:tab w:val="clear" w:pos="8306"/>
              </w:tabs>
              <w:spacing w:line="240" w:lineRule="auto"/>
              <w:jc w:val="both"/>
              <w:rPr>
                <w:rFonts w:hint="default" w:ascii="黑体" w:hAnsi="黑体" w:eastAsia="黑体"/>
                <w:sz w:val="21"/>
                <w:szCs w:val="21"/>
                <w:lang w:val="en-US" w:eastAsia="zh-CN"/>
              </w:rPr>
            </w:pPr>
            <w:r>
              <w:rPr>
                <w:rFonts w:hint="default" w:ascii="Times New Roman" w:hAnsi="Times New Roman" w:eastAsia="黑体" w:cs="Times New Roman"/>
                <w:sz w:val="21"/>
                <w:szCs w:val="21"/>
                <w:lang w:val="en-US" w:eastAsia="zh-CN"/>
              </w:rPr>
              <w:t>XXXX</w:t>
            </w:r>
          </w:p>
        </w:tc>
      </w:tr>
      <w:tr w14:paraId="2A4AA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731957B">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E083F04">
            <w:pPr>
              <w:pStyle w:val="20"/>
              <w:framePr w:wrap="notBeside" w:vAnchor="page" w:hAnchor="page" w:x="1372" w:y="568"/>
              <w:tabs>
                <w:tab w:val="clear" w:pos="4153"/>
                <w:tab w:val="clear" w:pos="8306"/>
              </w:tabs>
              <w:spacing w:before="40" w:line="240" w:lineRule="auto"/>
              <w:jc w:val="left"/>
              <w:rPr>
                <w:rFonts w:hint="default" w:ascii="黑体" w:hAnsi="黑体" w:eastAsia="黑体"/>
                <w:sz w:val="21"/>
                <w:szCs w:val="21"/>
                <w:lang w:val="en-US" w:eastAsia="zh-CN"/>
              </w:rPr>
            </w:pPr>
            <w:r>
              <w:rPr>
                <w:rFonts w:hint="eastAsia" w:ascii="Times New Roman" w:hAnsi="Times New Roman" w:eastAsia="黑体" w:cs="Times New Roman"/>
                <w:sz w:val="21"/>
                <w:szCs w:val="21"/>
                <w:lang w:val="en-US" w:eastAsia="zh-CN"/>
              </w:rPr>
              <w:t>XXXX</w:t>
            </w:r>
          </w:p>
        </w:tc>
      </w:tr>
    </w:tbl>
    <w:tbl>
      <w:tblPr>
        <w:tblStyle w:val="31"/>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E471FC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3AF0A2D">
            <w:pPr>
              <w:pStyle w:val="53"/>
              <w:framePr w:w="0" w:hRule="auto" w:wrap="auto" w:vAnchor="margin" w:hAnchor="text" w:xAlign="left" w:yAlign="inline"/>
              <w:rPr>
                <w:rFonts w:hint="default" w:ascii="宋体" w:hAnsi="宋体" w:eastAsia="宋体"/>
                <w:sz w:val="28"/>
                <w:szCs w:val="28"/>
                <w:lang w:val="en-US" w:eastAsia="zh-CN"/>
              </w:rPr>
            </w:pPr>
            <w:bookmarkStart w:id="0" w:name="_Hlk26473981"/>
            <w:r>
              <w:drawing>
                <wp:inline distT="0" distB="0" distL="0" distR="0">
                  <wp:extent cx="796290" cy="397510"/>
                  <wp:effectExtent l="0" t="0" r="381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rFonts w:hint="eastAsia"/>
                <w:lang w:val="en-US" w:eastAsia="zh-CN"/>
              </w:rPr>
              <w:t>XX</w:t>
            </w:r>
          </w:p>
        </w:tc>
      </w:tr>
    </w:tbl>
    <w:p w14:paraId="47774C17">
      <w:pPr>
        <w:pStyle w:val="54"/>
        <w:framePr w:w="9639" w:h="624" w:hRule="exact" w:hSpace="181" w:vSpace="181" w:hAnchor="page" w:x="1305" w:y="2269"/>
        <w:rPr>
          <w:rFonts w:ascii="黑体" w:hAnsi="黑体" w:eastAsia="黑体"/>
          <w:b w:val="0"/>
          <w:bCs w:val="0"/>
          <w:w w:val="100"/>
          <w:sz w:val="48"/>
          <w:szCs w:val="48"/>
        </w:rPr>
      </w:pPr>
      <w:r>
        <w:rPr>
          <w:rFonts w:hint="eastAsia" w:ascii="黑体" w:hAnsi="黑体" w:eastAsia="黑体"/>
          <w:b w:val="0"/>
          <w:bCs w:val="0"/>
          <w:w w:val="100"/>
          <w:sz w:val="48"/>
          <w:szCs w:val="48"/>
          <w:lang w:val="en-US" w:eastAsia="zh-CN"/>
        </w:rPr>
        <w:t>湖南省</w:t>
      </w:r>
      <w:r>
        <w:rPr>
          <w:rFonts w:hint="eastAsia" w:ascii="黑体" w:hAnsi="黑体" w:eastAsia="黑体"/>
          <w:b w:val="0"/>
          <w:bCs w:val="0"/>
          <w:w w:val="100"/>
          <w:sz w:val="48"/>
          <w:szCs w:val="48"/>
        </w:rPr>
        <w:t>地方标准</w:t>
      </w:r>
    </w:p>
    <w:bookmarkEnd w:id="0"/>
    <w:p w14:paraId="21308AB6">
      <w:pPr>
        <w:pStyle w:val="199"/>
        <w:rPr>
          <w:lang w:val="fr-FR"/>
        </w:rPr>
      </w:pPr>
      <w:r>
        <w:rPr>
          <w:lang w:val="fr-FR"/>
        </w:rPr>
        <w:t>DB</w:t>
      </w:r>
      <w:r>
        <w:rPr>
          <w:rFonts w:hint="eastAsia"/>
          <w:lang w:val="fr-FR"/>
        </w:rPr>
        <w:t xml:space="preserve"> XX/T XXXX—XXXX</w:t>
      </w:r>
    </w:p>
    <w:p w14:paraId="3A768B2C">
      <w:pPr>
        <w:pStyle w:val="200"/>
        <w:rPr>
          <w:rFonts w:hAnsi="黑体"/>
        </w:rPr>
      </w:pPr>
    </w:p>
    <w:p w14:paraId="216C3314">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53015C2">
      <w:pPr>
        <w:pStyle w:val="54"/>
        <w:framePr w:w="9639" w:h="6976" w:hRule="exact" w:hSpace="0" w:vSpace="0" w:hAnchor="page" w:y="6408"/>
        <w:jc w:val="center"/>
        <w:rPr>
          <w:rFonts w:ascii="黑体" w:hAnsi="黑体" w:eastAsia="黑体"/>
          <w:b w:val="0"/>
          <w:bCs w:val="0"/>
          <w:w w:val="100"/>
        </w:rPr>
      </w:pPr>
    </w:p>
    <w:p w14:paraId="475E3004">
      <w:pPr>
        <w:pStyle w:val="201"/>
        <w:framePr w:h="6974" w:hRule="exact" w:x="1419" w:anchorLock="1"/>
        <w:rPr>
          <w:rFonts w:hint="default"/>
          <w:lang w:val="en-US" w:eastAsia="zh-CN"/>
        </w:rPr>
      </w:pPr>
      <w:bookmarkStart w:id="1" w:name="OLE_LINK6"/>
      <w:r>
        <w:rPr>
          <w:rFonts w:hint="default"/>
          <w:lang w:val="en-US" w:eastAsia="zh-CN"/>
        </w:rPr>
        <w:t>中医医疗机构老年病科中医护理</w:t>
      </w:r>
    </w:p>
    <w:p w14:paraId="5E4D9DC7">
      <w:pPr>
        <w:pStyle w:val="201"/>
        <w:framePr w:h="6974" w:hRule="exact" w:x="1419" w:anchorLock="1"/>
      </w:pPr>
      <w:r>
        <w:rPr>
          <w:rFonts w:hint="default"/>
          <w:lang w:val="en-US" w:eastAsia="zh-CN"/>
        </w:rPr>
        <w:t>技术规范</w:t>
      </w:r>
      <w:bookmarkEnd w:id="1"/>
    </w:p>
    <w:p w14:paraId="47C7C3C5">
      <w:pPr>
        <w:framePr w:w="9639" w:h="6974" w:hRule="exact" w:wrap="around" w:vAnchor="page" w:hAnchor="page" w:x="1419" w:y="6408" w:anchorLock="1"/>
        <w:ind w:left="-1418"/>
        <w:jc w:val="center"/>
      </w:pPr>
    </w:p>
    <w:p w14:paraId="11CB0DD8">
      <w:pPr>
        <w:pStyle w:val="129"/>
        <w:framePr w:w="9639" w:h="6974" w:hRule="exact" w:wrap="around" w:vAnchor="page" w:hAnchor="page" w:x="1419" w:y="6408" w:anchorLock="1"/>
        <w:wordWrap w:val="0"/>
        <w:spacing w:before="0" w:beforeLines="-2147483648" w:after="0" w:afterLines="-2147483648" w:line="240" w:lineRule="auto"/>
        <w:textAlignment w:val="bottom"/>
        <w:rPr>
          <w:rFonts w:hint="eastAsia" w:eastAsia="黑体"/>
          <w:color w:val="auto"/>
          <w:szCs w:val="28"/>
          <w:lang w:val="en-US" w:eastAsia="zh-CN"/>
        </w:rPr>
      </w:pPr>
      <w:r>
        <w:rPr>
          <w:rFonts w:hint="eastAsia" w:eastAsia="黑体"/>
          <w:color w:val="auto"/>
          <w:szCs w:val="28"/>
          <w:lang w:val="en-US" w:eastAsia="zh-CN"/>
        </w:rPr>
        <w:t xml:space="preserve">Technical specification of TCM nursing in geriatrics department of </w:t>
      </w:r>
    </w:p>
    <w:p w14:paraId="5E5A49B4">
      <w:pPr>
        <w:pStyle w:val="129"/>
        <w:framePr w:w="9639" w:h="6974" w:hRule="exact" w:wrap="around" w:vAnchor="page" w:hAnchor="page" w:x="1419" w:y="6408" w:anchorLock="1"/>
        <w:wordWrap w:val="0"/>
        <w:spacing w:before="0" w:beforeLines="-2147483648" w:after="0" w:afterLines="-2147483648" w:line="240" w:lineRule="auto"/>
        <w:textAlignment w:val="bottom"/>
        <w:rPr>
          <w:b/>
          <w:sz w:val="21"/>
          <w:szCs w:val="28"/>
        </w:rPr>
      </w:pPr>
      <w:r>
        <w:rPr>
          <w:rFonts w:hint="eastAsia" w:eastAsia="黑体"/>
          <w:color w:val="auto"/>
          <w:szCs w:val="28"/>
          <w:lang w:val="en-US" w:eastAsia="zh-CN"/>
        </w:rPr>
        <w:t>TCM medical institutions</w:t>
      </w:r>
    </w:p>
    <w:p w14:paraId="7C6AF1D4">
      <w:pPr>
        <w:pStyle w:val="197"/>
        <w:framePr w:y="14176"/>
      </w:pPr>
      <w:r>
        <w:rPr>
          <w:rFonts w:hint="eastAsia" w:ascii="黑体" w:hAnsi="黑体" w:eastAsia="黑体" w:cs="黑体"/>
        </w:rPr>
        <w:t>XXXX</w:t>
      </w:r>
      <w:r>
        <w:t xml:space="preserve"> </w:t>
      </w:r>
      <w:r>
        <w:rPr>
          <w:rFonts w:ascii="黑体"/>
        </w:rPr>
        <w:t>-</w:t>
      </w:r>
      <w:r>
        <w:t xml:space="preserve"> </w:t>
      </w:r>
      <w:r>
        <w:rPr>
          <w:rFonts w:hint="eastAsia" w:ascii="黑体" w:hAnsi="黑体" w:eastAsia="黑体" w:cs="黑体"/>
        </w:rPr>
        <w:t>XX</w:t>
      </w:r>
      <w:r>
        <w:t xml:space="preserve"> </w:t>
      </w:r>
      <w:r>
        <w:rPr>
          <w:rFonts w:ascii="黑体"/>
        </w:rPr>
        <w:t>-</w:t>
      </w:r>
      <w:r>
        <w:t xml:space="preserve"> </w:t>
      </w:r>
      <w:r>
        <w:rPr>
          <w:rFonts w:hint="eastAsia" w:ascii="黑体" w:hAnsi="黑体" w:eastAsia="黑体" w:cs="黑体"/>
        </w:rPr>
        <w:t>XX</w:t>
      </w:r>
      <w:r>
        <w:rPr>
          <w:rFonts w:hint="eastAsia"/>
        </w:rPr>
        <w:t>发布</w:t>
      </w:r>
    </w:p>
    <w:p w14:paraId="0251C6A2">
      <w:pPr>
        <w:pStyle w:val="198"/>
        <w:framePr w:y="14176"/>
      </w:pPr>
      <w:r>
        <w:rPr>
          <w:rFonts w:hint="eastAsia" w:ascii="黑体" w:hAnsi="黑体" w:eastAsia="黑体" w:cs="黑体"/>
          <w:sz w:val="28"/>
          <w:lang w:val="en-US" w:eastAsia="zh-CN" w:bidi="ar-SA"/>
        </w:rPr>
        <w:t>XXXX</w:t>
      </w:r>
      <w:r>
        <w:t xml:space="preserve"> </w:t>
      </w:r>
      <w:r>
        <w:rPr>
          <w:rFonts w:ascii="黑体"/>
        </w:rPr>
        <w:t>-</w:t>
      </w:r>
      <w:r>
        <w:t xml:space="preserve"> </w:t>
      </w:r>
      <w:r>
        <w:rPr>
          <w:rFonts w:hint="eastAsia" w:ascii="黑体" w:hAnsi="黑体" w:eastAsia="黑体" w:cs="黑体"/>
          <w:sz w:val="28"/>
          <w:lang w:val="en-US" w:eastAsia="zh-CN" w:bidi="ar-SA"/>
        </w:rPr>
        <w:t>XX</w:t>
      </w:r>
      <w:r>
        <w:t xml:space="preserve"> </w:t>
      </w:r>
      <w:r>
        <w:rPr>
          <w:rFonts w:ascii="黑体"/>
        </w:rPr>
        <w:t>-</w:t>
      </w:r>
      <w:r>
        <w:t xml:space="preserve"> </w:t>
      </w:r>
      <w:r>
        <w:rPr>
          <w:rFonts w:hint="eastAsia" w:ascii="黑体" w:hAnsi="黑体" w:eastAsia="黑体" w:cs="黑体"/>
          <w:sz w:val="28"/>
          <w:lang w:val="en-US" w:eastAsia="zh-CN" w:bidi="ar-SA"/>
        </w:rPr>
        <w:t>XX</w:t>
      </w:r>
      <w:r>
        <w:rPr>
          <w:rFonts w:hint="eastAsia"/>
        </w:rPr>
        <w:t>实施</w:t>
      </w:r>
    </w:p>
    <w:p w14:paraId="178C9AAE">
      <w:pPr>
        <w:pStyle w:val="155"/>
        <w:framePr w:h="584" w:hRule="exact" w:hSpace="181" w:vSpace="181" w:y="15027"/>
        <w:rPr>
          <w:rFonts w:hAnsi="黑体"/>
        </w:rPr>
      </w:pPr>
      <w:bookmarkStart w:id="2" w:name="OLE_LINK14"/>
      <w:r>
        <w:rPr>
          <w:rFonts w:hint="eastAsia" w:ascii="Times New Roman"/>
          <w:w w:val="100"/>
          <w:sz w:val="28"/>
        </w:rPr>
        <w:t>湖南省市场监督管理局</w:t>
      </w:r>
      <w:bookmarkEnd w:id="2"/>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531BA718">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sdt>
      <w:sdtPr>
        <w:rPr>
          <w:rFonts w:hint="eastAsia" w:ascii="黑体" w:hAnsi="黑体" w:eastAsia="黑体" w:cs="黑体"/>
          <w:kern w:val="2"/>
          <w:sz w:val="32"/>
          <w:szCs w:val="32"/>
          <w:lang w:val="en-US" w:eastAsia="zh-CN" w:bidi="ar-SA"/>
        </w:rPr>
        <w:id w:val="147476175"/>
        <w15:color w:val="DBDBDB"/>
        <w:docPartObj>
          <w:docPartGallery w:val="Table of Contents"/>
          <w:docPartUnique/>
        </w:docPartObj>
      </w:sdtPr>
      <w:sdtEndPr>
        <w:rPr>
          <w:rFonts w:hint="eastAsia" w:ascii="黑体" w:hAnsi="黑体" w:eastAsia="黑体" w:cs="黑体"/>
          <w:b/>
          <w:kern w:val="2"/>
          <w:sz w:val="32"/>
          <w:szCs w:val="32"/>
          <w:lang w:val="en-US" w:eastAsia="zh-CN" w:bidi="ar-SA"/>
        </w:rPr>
      </w:sdtEndPr>
      <w:sdtContent>
        <w:p w14:paraId="743C455F">
          <w:pPr>
            <w:spacing w:before="480" w:beforeLines="0" w:after="469" w:afterLines="150" w:line="240" w:lineRule="auto"/>
            <w:ind w:left="0" w:leftChars="0" w:right="0" w:rightChars="0" w:firstLine="0" w:firstLineChars="0"/>
            <w:jc w:val="center"/>
            <w:rPr>
              <w:rFonts w:hint="eastAsia" w:ascii="黑体" w:hAnsi="黑体" w:eastAsia="黑体" w:cs="黑体"/>
              <w:sz w:val="32"/>
              <w:szCs w:val="32"/>
              <w:lang w:val="en-US" w:eastAsia="zh-CN"/>
            </w:rPr>
          </w:pP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次</w:t>
          </w:r>
        </w:p>
        <w:p w14:paraId="47AFE9C3">
          <w:pPr>
            <w:pStyle w:val="21"/>
            <w:tabs>
              <w:tab w:val="right" w:leader="dot" w:pos="9354"/>
            </w:tabs>
          </w:pPr>
          <w:r>
            <w:rPr>
              <w:b/>
            </w:rPr>
            <w:fldChar w:fldCharType="begin"/>
          </w:r>
          <w:r>
            <w:rPr>
              <w:b/>
            </w:rPr>
            <w:instrText xml:space="preserve">TOC \o "1-2" \h \u </w:instrText>
          </w:r>
          <w:r>
            <w:rPr>
              <w:b/>
            </w:rPr>
            <w:fldChar w:fldCharType="separate"/>
          </w:r>
          <w:r>
            <w:fldChar w:fldCharType="begin"/>
          </w:r>
          <w:r>
            <w:instrText xml:space="preserve"> HYPERLINK \l _Toc19142 </w:instrText>
          </w:r>
          <w:r>
            <w:fldChar w:fldCharType="separate"/>
          </w:r>
          <w:r>
            <w:rPr>
              <w:rFonts w:hint="eastAsia"/>
              <w:lang w:val="en-US" w:eastAsia="zh-CN"/>
            </w:rPr>
            <w:t xml:space="preserve">前  </w:t>
          </w:r>
          <w:r>
            <w:t>言</w:t>
          </w:r>
          <w:r>
            <w:tab/>
          </w:r>
          <w:r>
            <w:fldChar w:fldCharType="begin"/>
          </w:r>
          <w:r>
            <w:instrText xml:space="preserve"> PAGEREF _Toc19142 \h </w:instrText>
          </w:r>
          <w:r>
            <w:fldChar w:fldCharType="separate"/>
          </w:r>
          <w:r>
            <w:t>IV</w:t>
          </w:r>
          <w:r>
            <w:fldChar w:fldCharType="end"/>
          </w:r>
          <w:r>
            <w:fldChar w:fldCharType="end"/>
          </w:r>
        </w:p>
        <w:p w14:paraId="2EB2F133">
          <w:pPr>
            <w:pStyle w:val="21"/>
            <w:tabs>
              <w:tab w:val="right" w:leader="dot" w:pos="9354"/>
            </w:tabs>
          </w:pPr>
          <w:r>
            <w:fldChar w:fldCharType="begin"/>
          </w:r>
          <w:r>
            <w:instrText xml:space="preserve"> HYPERLINK \l _Toc29275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_Toc29275 \h </w:instrText>
          </w:r>
          <w:r>
            <w:fldChar w:fldCharType="separate"/>
          </w:r>
          <w:r>
            <w:t>5</w:t>
          </w:r>
          <w:r>
            <w:fldChar w:fldCharType="end"/>
          </w:r>
          <w:r>
            <w:fldChar w:fldCharType="end"/>
          </w:r>
        </w:p>
        <w:p w14:paraId="17EED58E">
          <w:pPr>
            <w:pStyle w:val="21"/>
            <w:tabs>
              <w:tab w:val="right" w:leader="dot" w:pos="9354"/>
            </w:tabs>
          </w:pPr>
          <w:r>
            <w:fldChar w:fldCharType="begin"/>
          </w:r>
          <w:r>
            <w:instrText xml:space="preserve"> HYPERLINK \l _Toc9910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_Toc9910 \h </w:instrText>
          </w:r>
          <w:r>
            <w:fldChar w:fldCharType="separate"/>
          </w:r>
          <w:r>
            <w:t>5</w:t>
          </w:r>
          <w:r>
            <w:fldChar w:fldCharType="end"/>
          </w:r>
          <w:r>
            <w:fldChar w:fldCharType="end"/>
          </w:r>
        </w:p>
        <w:p w14:paraId="65EF2F83">
          <w:pPr>
            <w:pStyle w:val="21"/>
            <w:tabs>
              <w:tab w:val="right" w:leader="dot" w:pos="9354"/>
            </w:tabs>
          </w:pPr>
          <w:r>
            <w:fldChar w:fldCharType="begin"/>
          </w:r>
          <w:r>
            <w:instrText xml:space="preserve"> HYPERLINK \l _Toc6023 </w:instrText>
          </w:r>
          <w: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_Toc6023 \h </w:instrText>
          </w:r>
          <w:r>
            <w:fldChar w:fldCharType="separate"/>
          </w:r>
          <w:r>
            <w:t>5</w:t>
          </w:r>
          <w:r>
            <w:fldChar w:fldCharType="end"/>
          </w:r>
          <w:r>
            <w:fldChar w:fldCharType="end"/>
          </w:r>
        </w:p>
        <w:p w14:paraId="5608DDE8">
          <w:pPr>
            <w:pStyle w:val="21"/>
            <w:tabs>
              <w:tab w:val="right" w:leader="dot" w:pos="9354"/>
            </w:tabs>
          </w:pPr>
          <w:r>
            <w:fldChar w:fldCharType="begin"/>
          </w:r>
          <w:r>
            <w:instrText xml:space="preserve"> HYPERLINK \l _Toc11362 </w:instrText>
          </w:r>
          <w:r>
            <w:fldChar w:fldCharType="separate"/>
          </w:r>
          <w:r>
            <w:rPr>
              <w:rFonts w:hint="eastAsia" w:ascii="黑体" w:eastAsia="黑体"/>
              <w:i w:val="0"/>
              <w:lang w:val="en-US" w:eastAsia="zh-CN"/>
            </w:rPr>
            <w:t xml:space="preserve">4 </w:t>
          </w:r>
          <w:r>
            <w:rPr>
              <w:rFonts w:hint="eastAsia"/>
              <w:lang w:val="en-US" w:eastAsia="zh-CN"/>
            </w:rPr>
            <w:t>总则</w:t>
          </w:r>
          <w:r>
            <w:tab/>
          </w:r>
          <w:r>
            <w:fldChar w:fldCharType="begin"/>
          </w:r>
          <w:r>
            <w:instrText xml:space="preserve"> PAGEREF _Toc11362 \h </w:instrText>
          </w:r>
          <w:r>
            <w:fldChar w:fldCharType="separate"/>
          </w:r>
          <w:r>
            <w:t>6</w:t>
          </w:r>
          <w:r>
            <w:fldChar w:fldCharType="end"/>
          </w:r>
          <w:r>
            <w:fldChar w:fldCharType="end"/>
          </w:r>
        </w:p>
        <w:p w14:paraId="35262B00">
          <w:pPr>
            <w:pStyle w:val="21"/>
            <w:tabs>
              <w:tab w:val="right" w:leader="dot" w:pos="9354"/>
            </w:tabs>
          </w:pPr>
          <w:r>
            <w:fldChar w:fldCharType="begin"/>
          </w:r>
          <w:r>
            <w:instrText xml:space="preserve"> HYPERLINK \l _Toc27025 </w:instrText>
          </w:r>
          <w:r>
            <w:fldChar w:fldCharType="separate"/>
          </w:r>
          <w:r>
            <w:rPr>
              <w:rFonts w:hint="eastAsia" w:ascii="黑体" w:eastAsia="黑体"/>
              <w:i w:val="0"/>
            </w:rPr>
            <w:t xml:space="preserve">5 </w:t>
          </w:r>
          <w:r>
            <w:rPr>
              <w:rFonts w:hint="eastAsia"/>
              <w:lang w:val="en-US" w:eastAsia="zh-CN"/>
            </w:rPr>
            <w:t>建设要求</w:t>
          </w:r>
          <w:r>
            <w:tab/>
          </w:r>
          <w:r>
            <w:fldChar w:fldCharType="begin"/>
          </w:r>
          <w:r>
            <w:instrText xml:space="preserve"> PAGEREF _Toc27025 \h </w:instrText>
          </w:r>
          <w:r>
            <w:fldChar w:fldCharType="separate"/>
          </w:r>
          <w:r>
            <w:t>6</w:t>
          </w:r>
          <w:r>
            <w:fldChar w:fldCharType="end"/>
          </w:r>
          <w:r>
            <w:fldChar w:fldCharType="end"/>
          </w:r>
        </w:p>
        <w:p w14:paraId="1A9ADCC5">
          <w:pPr>
            <w:pStyle w:val="26"/>
            <w:tabs>
              <w:tab w:val="right" w:leader="dot" w:pos="9354"/>
              <w:tab w:val="clear" w:pos="9344"/>
            </w:tabs>
          </w:pPr>
          <w:r>
            <w:fldChar w:fldCharType="begin"/>
          </w:r>
          <w:r>
            <w:instrText xml:space="preserve"> HYPERLINK \l _Toc19310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ligatures w14:val="none"/>
              <w14:numForm w14:val="default"/>
              <w14:numSpacing w14:val="default"/>
            </w:rPr>
            <w:t xml:space="preserve">5.1 </w:t>
          </w:r>
          <w:r>
            <w:rPr>
              <w:rFonts w:hint="eastAsia"/>
              <w:lang w:val="en-US" w:eastAsia="zh-CN"/>
            </w:rPr>
            <w:t>布局要求</w:t>
          </w:r>
          <w:r>
            <w:tab/>
          </w:r>
          <w:r>
            <w:fldChar w:fldCharType="begin"/>
          </w:r>
          <w:r>
            <w:instrText xml:space="preserve"> PAGEREF _Toc19310 \h </w:instrText>
          </w:r>
          <w:r>
            <w:fldChar w:fldCharType="separate"/>
          </w:r>
          <w:r>
            <w:t>6</w:t>
          </w:r>
          <w:r>
            <w:fldChar w:fldCharType="end"/>
          </w:r>
          <w:r>
            <w:fldChar w:fldCharType="end"/>
          </w:r>
        </w:p>
        <w:p w14:paraId="2D08A5F9">
          <w:pPr>
            <w:pStyle w:val="26"/>
            <w:tabs>
              <w:tab w:val="right" w:leader="dot" w:pos="9354"/>
              <w:tab w:val="clear" w:pos="9344"/>
            </w:tabs>
          </w:pPr>
          <w:r>
            <w:fldChar w:fldCharType="begin"/>
          </w:r>
          <w:r>
            <w:instrText xml:space="preserve"> HYPERLINK \l _Toc26591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ligatures w14:val="none"/>
              <w14:numForm w14:val="default"/>
              <w14:numSpacing w14:val="default"/>
            </w:rPr>
            <w:t xml:space="preserve">5.2 </w:t>
          </w:r>
          <w:r>
            <w:rPr>
              <w:rFonts w:hint="eastAsia"/>
              <w:lang w:val="en-US" w:eastAsia="zh-CN"/>
            </w:rPr>
            <w:t>环境条件</w:t>
          </w:r>
          <w:r>
            <w:tab/>
          </w:r>
          <w:r>
            <w:fldChar w:fldCharType="begin"/>
          </w:r>
          <w:r>
            <w:instrText xml:space="preserve"> PAGEREF _Toc26591 \h </w:instrText>
          </w:r>
          <w:r>
            <w:fldChar w:fldCharType="separate"/>
          </w:r>
          <w:r>
            <w:t>6</w:t>
          </w:r>
          <w:r>
            <w:fldChar w:fldCharType="end"/>
          </w:r>
          <w:r>
            <w:fldChar w:fldCharType="end"/>
          </w:r>
        </w:p>
        <w:p w14:paraId="4303E63C">
          <w:pPr>
            <w:pStyle w:val="26"/>
            <w:tabs>
              <w:tab w:val="right" w:leader="dot" w:pos="9354"/>
              <w:tab w:val="clear" w:pos="9344"/>
            </w:tabs>
          </w:pPr>
          <w:r>
            <w:fldChar w:fldCharType="begin"/>
          </w:r>
          <w:r>
            <w:instrText xml:space="preserve"> HYPERLINK \l _Toc10400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ligatures w14:val="none"/>
              <w14:numForm w14:val="default"/>
              <w14:numSpacing w14:val="default"/>
            </w:rPr>
            <w:t xml:space="preserve">5.3 </w:t>
          </w:r>
          <w:r>
            <w:rPr>
              <w:rFonts w:hint="eastAsia"/>
              <w:lang w:val="en-US" w:eastAsia="zh-CN"/>
            </w:rPr>
            <w:t>设施设备</w:t>
          </w:r>
          <w:r>
            <w:tab/>
          </w:r>
          <w:r>
            <w:fldChar w:fldCharType="begin"/>
          </w:r>
          <w:r>
            <w:instrText xml:space="preserve"> PAGEREF _Toc10400 \h </w:instrText>
          </w:r>
          <w:r>
            <w:fldChar w:fldCharType="separate"/>
          </w:r>
          <w:r>
            <w:t>6</w:t>
          </w:r>
          <w:r>
            <w:fldChar w:fldCharType="end"/>
          </w:r>
          <w:r>
            <w:fldChar w:fldCharType="end"/>
          </w:r>
        </w:p>
        <w:p w14:paraId="15E947E9">
          <w:pPr>
            <w:pStyle w:val="26"/>
            <w:tabs>
              <w:tab w:val="right" w:leader="dot" w:pos="9354"/>
              <w:tab w:val="clear" w:pos="9344"/>
            </w:tabs>
          </w:pPr>
          <w:r>
            <w:fldChar w:fldCharType="begin"/>
          </w:r>
          <w:r>
            <w:instrText xml:space="preserve"> HYPERLINK \l _Toc20368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ligatures w14:val="none"/>
              <w14:numForm w14:val="default"/>
              <w14:numSpacing w14:val="default"/>
            </w:rPr>
            <w:t xml:space="preserve">5.4 </w:t>
          </w:r>
          <w:r>
            <w:rPr>
              <w:rFonts w:hint="eastAsia"/>
              <w:lang w:val="en-US" w:eastAsia="zh-CN"/>
            </w:rPr>
            <w:t>无障碍与安全设施</w:t>
          </w:r>
          <w:r>
            <w:tab/>
          </w:r>
          <w:r>
            <w:fldChar w:fldCharType="begin"/>
          </w:r>
          <w:r>
            <w:instrText xml:space="preserve"> PAGEREF _Toc20368 \h </w:instrText>
          </w:r>
          <w:r>
            <w:fldChar w:fldCharType="separate"/>
          </w:r>
          <w:r>
            <w:t>7</w:t>
          </w:r>
          <w:r>
            <w:fldChar w:fldCharType="end"/>
          </w:r>
          <w:r>
            <w:fldChar w:fldCharType="end"/>
          </w:r>
        </w:p>
        <w:p w14:paraId="3CC65EF3">
          <w:pPr>
            <w:pStyle w:val="26"/>
            <w:tabs>
              <w:tab w:val="right" w:leader="dot" w:pos="9354"/>
              <w:tab w:val="clear" w:pos="9344"/>
            </w:tabs>
            <w:ind w:left="0" w:firstLine="210" w:firstLineChars="100"/>
          </w:pPr>
          <w:r>
            <w:fldChar w:fldCharType="begin"/>
          </w:r>
          <w:r>
            <w:instrText xml:space="preserve"> HYPERLINK \l _Toc16575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ligatures w14:val="none"/>
              <w14:numForm w14:val="default"/>
              <w14:numSpacing w14:val="default"/>
            </w:rPr>
            <w:t xml:space="preserve">5.5 </w:t>
          </w:r>
          <w:r>
            <w:rPr>
              <w:rFonts w:hint="eastAsia"/>
              <w:lang w:val="en-US" w:eastAsia="zh-CN"/>
            </w:rPr>
            <w:t>消防设施</w:t>
          </w:r>
          <w:r>
            <w:tab/>
          </w:r>
          <w:r>
            <w:fldChar w:fldCharType="begin"/>
          </w:r>
          <w:r>
            <w:instrText xml:space="preserve"> PAGEREF _Toc16575 \h </w:instrText>
          </w:r>
          <w:r>
            <w:fldChar w:fldCharType="separate"/>
          </w:r>
          <w:r>
            <w:t>7</w:t>
          </w:r>
          <w:r>
            <w:fldChar w:fldCharType="end"/>
          </w:r>
          <w:r>
            <w:fldChar w:fldCharType="end"/>
          </w:r>
        </w:p>
        <w:p w14:paraId="36400DE5">
          <w:pPr>
            <w:pStyle w:val="21"/>
            <w:tabs>
              <w:tab w:val="right" w:leader="dot" w:pos="9354"/>
            </w:tabs>
          </w:pPr>
          <w:r>
            <w:fldChar w:fldCharType="begin"/>
          </w:r>
          <w:r>
            <w:instrText xml:space="preserve"> HYPERLINK \l _Toc12632 </w:instrText>
          </w:r>
          <w:r>
            <w:fldChar w:fldCharType="separate"/>
          </w:r>
          <w:r>
            <w:rPr>
              <w:rFonts w:hint="eastAsia" w:ascii="黑体" w:eastAsia="黑体"/>
              <w:i w:val="0"/>
              <w:lang w:val="en-US" w:eastAsia="zh-CN"/>
            </w:rPr>
            <w:t xml:space="preserve">6 </w:t>
          </w:r>
          <w:r>
            <w:rPr>
              <w:rFonts w:hint="eastAsia"/>
              <w:lang w:val="en-US" w:eastAsia="zh-CN"/>
            </w:rPr>
            <w:t>人员配置</w:t>
          </w:r>
          <w:r>
            <w:tab/>
          </w:r>
          <w:r>
            <w:fldChar w:fldCharType="begin"/>
          </w:r>
          <w:r>
            <w:instrText xml:space="preserve"> PAGEREF _Toc12632 \h </w:instrText>
          </w:r>
          <w:r>
            <w:fldChar w:fldCharType="separate"/>
          </w:r>
          <w:r>
            <w:t>7</w:t>
          </w:r>
          <w:r>
            <w:fldChar w:fldCharType="end"/>
          </w:r>
          <w:r>
            <w:fldChar w:fldCharType="end"/>
          </w:r>
        </w:p>
        <w:p w14:paraId="68AAFCBE">
          <w:pPr>
            <w:pStyle w:val="26"/>
            <w:tabs>
              <w:tab w:val="right" w:leader="dot" w:pos="9354"/>
              <w:tab w:val="clear" w:pos="9344"/>
            </w:tabs>
          </w:pPr>
          <w:r>
            <w:fldChar w:fldCharType="begin"/>
          </w:r>
          <w:r>
            <w:instrText xml:space="preserve"> HYPERLINK \l _Toc2671 </w:instrText>
          </w:r>
          <w:r>
            <w:fldChar w:fldCharType="separate"/>
          </w:r>
          <w:r>
            <w:rPr>
              <w:rFonts w:hint="default" w:ascii="黑体" w:hAnsi="黑体" w:eastAsia="黑体" w:cs="黑体"/>
              <w:szCs w:val="21"/>
              <w:lang w:val="en-US" w:eastAsia="zh-CN"/>
            </w:rPr>
            <w:t xml:space="preserve">6.1 </w:t>
          </w:r>
          <w:r>
            <w:rPr>
              <w:rFonts w:hint="eastAsia"/>
              <w:lang w:val="en-US" w:eastAsia="zh-CN"/>
            </w:rPr>
            <w:t>基本要求</w:t>
          </w:r>
          <w:r>
            <w:tab/>
          </w:r>
          <w:r>
            <w:fldChar w:fldCharType="begin"/>
          </w:r>
          <w:r>
            <w:instrText xml:space="preserve"> PAGEREF _Toc2671 \h </w:instrText>
          </w:r>
          <w:r>
            <w:fldChar w:fldCharType="separate"/>
          </w:r>
          <w:r>
            <w:t>7</w:t>
          </w:r>
          <w:r>
            <w:fldChar w:fldCharType="end"/>
          </w:r>
          <w:r>
            <w:fldChar w:fldCharType="end"/>
          </w:r>
        </w:p>
        <w:p w14:paraId="6B7F80E7">
          <w:pPr>
            <w:pStyle w:val="26"/>
            <w:tabs>
              <w:tab w:val="right" w:leader="dot" w:pos="9354"/>
              <w:tab w:val="clear" w:pos="9344"/>
            </w:tabs>
            <w:ind w:left="0" w:firstLine="210" w:firstLineChars="100"/>
          </w:pPr>
          <w:r>
            <w:fldChar w:fldCharType="begin"/>
          </w:r>
          <w:r>
            <w:instrText xml:space="preserve"> HYPERLINK \l _Toc16372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ligatures w14:val="none"/>
              <w14:numForm w14:val="default"/>
              <w14:numSpacing w14:val="default"/>
            </w:rPr>
            <w:t xml:space="preserve">6.2 </w:t>
          </w:r>
          <w:r>
            <w:rPr>
              <w:rFonts w:hint="eastAsia"/>
              <w:lang w:val="en-US" w:eastAsia="zh-CN"/>
            </w:rPr>
            <w:t>岗位设置</w:t>
          </w:r>
          <w:r>
            <w:tab/>
          </w:r>
          <w:r>
            <w:fldChar w:fldCharType="begin"/>
          </w:r>
          <w:r>
            <w:instrText xml:space="preserve"> PAGEREF _Toc16372 \h </w:instrText>
          </w:r>
          <w:r>
            <w:fldChar w:fldCharType="separate"/>
          </w:r>
          <w:r>
            <w:t>8</w:t>
          </w:r>
          <w:r>
            <w:fldChar w:fldCharType="end"/>
          </w:r>
          <w:r>
            <w:fldChar w:fldCharType="end"/>
          </w:r>
        </w:p>
        <w:p w14:paraId="17577617">
          <w:pPr>
            <w:pStyle w:val="26"/>
            <w:tabs>
              <w:tab w:val="right" w:leader="dot" w:pos="9354"/>
              <w:tab w:val="clear" w:pos="9344"/>
            </w:tabs>
          </w:pPr>
          <w:r>
            <w:fldChar w:fldCharType="begin"/>
          </w:r>
          <w:r>
            <w:instrText xml:space="preserve"> HYPERLINK \l _Toc7630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ligatures w14:val="none"/>
              <w14:numForm w14:val="default"/>
              <w14:numSpacing w14:val="default"/>
            </w:rPr>
            <w:t xml:space="preserve">6.3 </w:t>
          </w:r>
          <w:r>
            <w:rPr>
              <w:rFonts w:hint="eastAsia"/>
              <w:lang w:val="en-US" w:eastAsia="zh-CN"/>
            </w:rPr>
            <w:t>人</w:t>
          </w:r>
          <w:r>
            <w:rPr>
              <w:rFonts w:hint="default"/>
              <w:lang w:val="en-US" w:eastAsia="zh-CN"/>
            </w:rPr>
            <w:t>员管理</w:t>
          </w:r>
          <w:r>
            <w:tab/>
          </w:r>
          <w:r>
            <w:fldChar w:fldCharType="begin"/>
          </w:r>
          <w:r>
            <w:instrText xml:space="preserve"> PAGEREF _Toc7630 \h </w:instrText>
          </w:r>
          <w:r>
            <w:fldChar w:fldCharType="separate"/>
          </w:r>
          <w:r>
            <w:t>8</w:t>
          </w:r>
          <w:r>
            <w:fldChar w:fldCharType="end"/>
          </w:r>
          <w:r>
            <w:fldChar w:fldCharType="end"/>
          </w:r>
        </w:p>
        <w:p w14:paraId="6DA9B1CF">
          <w:pPr>
            <w:pStyle w:val="21"/>
            <w:tabs>
              <w:tab w:val="right" w:leader="dot" w:pos="9354"/>
            </w:tabs>
          </w:pPr>
          <w:r>
            <w:fldChar w:fldCharType="begin"/>
          </w:r>
          <w:r>
            <w:instrText xml:space="preserve"> HYPERLINK \l _Toc24106 </w:instrText>
          </w:r>
          <w:r>
            <w:fldChar w:fldCharType="separate"/>
          </w:r>
          <w:r>
            <w:rPr>
              <w:rFonts w:hint="eastAsia" w:ascii="黑体" w:eastAsia="黑体"/>
              <w:i w:val="0"/>
              <w:lang w:val="en-US" w:eastAsia="zh-CN"/>
            </w:rPr>
            <w:t xml:space="preserve">7 </w:t>
          </w:r>
          <w:r>
            <w:rPr>
              <w:rFonts w:hint="eastAsia"/>
              <w:lang w:val="en-US" w:eastAsia="zh-CN"/>
            </w:rPr>
            <w:t>中医护理技术</w:t>
          </w:r>
          <w:r>
            <w:tab/>
          </w:r>
          <w:r>
            <w:fldChar w:fldCharType="begin"/>
          </w:r>
          <w:r>
            <w:instrText xml:space="preserve"> PAGEREF _Toc24106 \h </w:instrText>
          </w:r>
          <w:r>
            <w:fldChar w:fldCharType="separate"/>
          </w:r>
          <w:r>
            <w:t>8</w:t>
          </w:r>
          <w:r>
            <w:fldChar w:fldCharType="end"/>
          </w:r>
          <w:r>
            <w:fldChar w:fldCharType="end"/>
          </w:r>
        </w:p>
        <w:p w14:paraId="42F9FAB8">
          <w:pPr>
            <w:pStyle w:val="26"/>
            <w:tabs>
              <w:tab w:val="right" w:leader="dot" w:pos="9354"/>
              <w:tab w:val="clear" w:pos="9344"/>
            </w:tabs>
          </w:pPr>
          <w:r>
            <w:fldChar w:fldCharType="begin"/>
          </w:r>
          <w:r>
            <w:instrText xml:space="preserve"> HYPERLINK \l _Toc10925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ligatures w14:val="none"/>
              <w14:numForm w14:val="default"/>
              <w14:numSpacing w14:val="default"/>
            </w:rPr>
            <w:t xml:space="preserve">7.1 </w:t>
          </w:r>
          <w:r>
            <w:rPr>
              <w:rFonts w:hint="eastAsia"/>
              <w:lang w:val="en-US" w:eastAsia="zh-CN"/>
            </w:rPr>
            <w:t>灸法</w:t>
          </w:r>
          <w:r>
            <w:tab/>
          </w:r>
          <w:r>
            <w:fldChar w:fldCharType="begin"/>
          </w:r>
          <w:r>
            <w:instrText xml:space="preserve"> PAGEREF _Toc10925 \h </w:instrText>
          </w:r>
          <w:r>
            <w:fldChar w:fldCharType="separate"/>
          </w:r>
          <w:r>
            <w:t>9</w:t>
          </w:r>
          <w:r>
            <w:fldChar w:fldCharType="end"/>
          </w:r>
          <w:r>
            <w:fldChar w:fldCharType="end"/>
          </w:r>
        </w:p>
        <w:p w14:paraId="5B94A970">
          <w:pPr>
            <w:pStyle w:val="26"/>
            <w:tabs>
              <w:tab w:val="right" w:leader="dot" w:pos="9354"/>
              <w:tab w:val="clear" w:pos="9344"/>
            </w:tabs>
          </w:pPr>
          <w:r>
            <w:fldChar w:fldCharType="begin"/>
          </w:r>
          <w:r>
            <w:instrText xml:space="preserve"> HYPERLINK \l _Toc12326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ligatures w14:val="none"/>
              <w14:numForm w14:val="default"/>
              <w14:numSpacing w14:val="default"/>
            </w:rPr>
            <w:t xml:space="preserve">7.2 </w:t>
          </w:r>
          <w:r>
            <w:rPr>
              <w:rFonts w:hint="eastAsia"/>
              <w:lang w:val="en-US" w:eastAsia="zh-CN"/>
            </w:rPr>
            <w:t>拔罐法</w:t>
          </w:r>
          <w:r>
            <w:tab/>
          </w:r>
          <w:r>
            <w:fldChar w:fldCharType="begin"/>
          </w:r>
          <w:r>
            <w:instrText xml:space="preserve"> PAGEREF _Toc12326 \h </w:instrText>
          </w:r>
          <w:r>
            <w:fldChar w:fldCharType="separate"/>
          </w:r>
          <w:r>
            <w:t>9</w:t>
          </w:r>
          <w:r>
            <w:fldChar w:fldCharType="end"/>
          </w:r>
          <w:r>
            <w:fldChar w:fldCharType="end"/>
          </w:r>
        </w:p>
        <w:p w14:paraId="29B0D729">
          <w:pPr>
            <w:pStyle w:val="26"/>
            <w:tabs>
              <w:tab w:val="right" w:leader="dot" w:pos="9354"/>
              <w:tab w:val="clear" w:pos="9344"/>
            </w:tabs>
          </w:pPr>
          <w:r>
            <w:fldChar w:fldCharType="begin"/>
          </w:r>
          <w:r>
            <w:instrText xml:space="preserve"> HYPERLINK \l _Toc30471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ligatures w14:val="none"/>
              <w14:numForm w14:val="default"/>
              <w14:numSpacing w14:val="default"/>
            </w:rPr>
            <w:t xml:space="preserve">7.3 </w:t>
          </w:r>
          <w:r>
            <w:rPr>
              <w:rFonts w:hint="eastAsia"/>
              <w:lang w:val="en-US" w:eastAsia="zh-CN"/>
            </w:rPr>
            <w:t>刮痧法</w:t>
          </w:r>
          <w:r>
            <w:tab/>
          </w:r>
          <w:r>
            <w:fldChar w:fldCharType="begin"/>
          </w:r>
          <w:r>
            <w:instrText xml:space="preserve"> PAGEREF _Toc30471 \h </w:instrText>
          </w:r>
          <w:r>
            <w:fldChar w:fldCharType="separate"/>
          </w:r>
          <w:r>
            <w:t>10</w:t>
          </w:r>
          <w:r>
            <w:fldChar w:fldCharType="end"/>
          </w:r>
          <w:r>
            <w:fldChar w:fldCharType="end"/>
          </w:r>
        </w:p>
        <w:p w14:paraId="1BB90E66">
          <w:pPr>
            <w:pStyle w:val="26"/>
            <w:tabs>
              <w:tab w:val="right" w:leader="dot" w:pos="9354"/>
              <w:tab w:val="clear" w:pos="9344"/>
            </w:tabs>
          </w:pPr>
          <w:r>
            <w:fldChar w:fldCharType="begin"/>
          </w:r>
          <w:r>
            <w:instrText xml:space="preserve"> HYPERLINK \l _Toc8881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ligatures w14:val="none"/>
              <w14:numForm w14:val="default"/>
              <w14:numSpacing w14:val="default"/>
            </w:rPr>
            <w:t xml:space="preserve">7.4 </w:t>
          </w:r>
          <w:r>
            <w:rPr>
              <w:rFonts w:hint="eastAsia"/>
              <w:lang w:val="en-US" w:eastAsia="zh-CN"/>
            </w:rPr>
            <w:t>耳穴贴压法</w:t>
          </w:r>
          <w:r>
            <w:tab/>
          </w:r>
          <w:r>
            <w:fldChar w:fldCharType="begin"/>
          </w:r>
          <w:r>
            <w:instrText xml:space="preserve"> PAGEREF _Toc8881 \h </w:instrText>
          </w:r>
          <w:r>
            <w:fldChar w:fldCharType="separate"/>
          </w:r>
          <w:r>
            <w:t>11</w:t>
          </w:r>
          <w:r>
            <w:fldChar w:fldCharType="end"/>
          </w:r>
          <w:r>
            <w:fldChar w:fldCharType="end"/>
          </w:r>
        </w:p>
        <w:p w14:paraId="65E45191">
          <w:pPr>
            <w:pStyle w:val="26"/>
            <w:tabs>
              <w:tab w:val="right" w:leader="dot" w:pos="9354"/>
              <w:tab w:val="clear" w:pos="9344"/>
            </w:tabs>
          </w:pPr>
          <w:r>
            <w:fldChar w:fldCharType="begin"/>
          </w:r>
          <w:r>
            <w:instrText xml:space="preserve"> HYPERLINK \l _Toc19519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ligatures w14:val="none"/>
              <w14:numForm w14:val="default"/>
              <w14:numSpacing w14:val="default"/>
            </w:rPr>
            <w:t xml:space="preserve">7.5 </w:t>
          </w:r>
          <w:r>
            <w:rPr>
              <w:rFonts w:hint="eastAsia" w:ascii="宋体" w:hAnsi="宋体" w:eastAsia="宋体" w:cs="宋体"/>
              <w:bCs w:val="0"/>
              <w:lang w:val="en-US" w:eastAsia="zh-CN"/>
            </w:rPr>
            <w:t>敷贴法</w:t>
          </w:r>
          <w:r>
            <w:rPr>
              <w:rFonts w:hint="eastAsia" w:cs="宋体"/>
            </w:rPr>
            <w:tab/>
          </w:r>
          <w:r>
            <w:fldChar w:fldCharType="begin"/>
          </w:r>
          <w:r>
            <w:instrText xml:space="preserve"> PAGEREF _Toc19519 \h </w:instrText>
          </w:r>
          <w:r>
            <w:fldChar w:fldCharType="separate"/>
          </w:r>
          <w:r>
            <w:t>11</w:t>
          </w:r>
          <w:r>
            <w:fldChar w:fldCharType="end"/>
          </w:r>
          <w:r>
            <w:fldChar w:fldCharType="end"/>
          </w:r>
        </w:p>
        <w:p w14:paraId="24339EA6">
          <w:pPr>
            <w:pStyle w:val="26"/>
            <w:tabs>
              <w:tab w:val="right" w:leader="dot" w:pos="9354"/>
              <w:tab w:val="clear" w:pos="9344"/>
            </w:tabs>
          </w:pPr>
          <w:r>
            <w:fldChar w:fldCharType="begin"/>
          </w:r>
          <w:r>
            <w:instrText xml:space="preserve"> HYPERLINK \l _Toc422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ligatures w14:val="none"/>
              <w14:numForm w14:val="default"/>
              <w14:numSpacing w14:val="default"/>
            </w:rPr>
            <w:t xml:space="preserve">7.6 </w:t>
          </w:r>
          <w:r>
            <w:rPr>
              <w:rFonts w:hint="eastAsia"/>
              <w:lang w:val="en-US" w:eastAsia="zh-CN"/>
            </w:rPr>
            <w:t>热熨法</w:t>
          </w:r>
          <w:r>
            <w:tab/>
          </w:r>
          <w:r>
            <w:fldChar w:fldCharType="begin"/>
          </w:r>
          <w:r>
            <w:instrText xml:space="preserve"> PAGEREF _Toc422 \h </w:instrText>
          </w:r>
          <w:r>
            <w:fldChar w:fldCharType="separate"/>
          </w:r>
          <w:r>
            <w:t>12</w:t>
          </w:r>
          <w:r>
            <w:fldChar w:fldCharType="end"/>
          </w:r>
          <w:r>
            <w:fldChar w:fldCharType="end"/>
          </w:r>
        </w:p>
        <w:p w14:paraId="4E1C84F0">
          <w:pPr>
            <w:pStyle w:val="26"/>
            <w:tabs>
              <w:tab w:val="right" w:leader="dot" w:pos="9354"/>
              <w:tab w:val="clear" w:pos="9344"/>
            </w:tabs>
          </w:pPr>
          <w:r>
            <w:fldChar w:fldCharType="begin"/>
          </w:r>
          <w:r>
            <w:instrText xml:space="preserve"> HYPERLINK \l _Toc25643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ligatures w14:val="none"/>
              <w14:numForm w14:val="default"/>
              <w14:numSpacing w14:val="default"/>
            </w:rPr>
            <w:t xml:space="preserve">7.7 </w:t>
          </w:r>
          <w:r>
            <w:rPr>
              <w:rFonts w:hint="eastAsia"/>
              <w:lang w:val="en-US" w:eastAsia="zh-CN"/>
            </w:rPr>
            <w:t>熏洗法</w:t>
          </w:r>
          <w:r>
            <w:tab/>
          </w:r>
          <w:r>
            <w:fldChar w:fldCharType="begin"/>
          </w:r>
          <w:r>
            <w:instrText xml:space="preserve"> PAGEREF _Toc25643 \h </w:instrText>
          </w:r>
          <w:r>
            <w:fldChar w:fldCharType="separate"/>
          </w:r>
          <w:r>
            <w:t>12</w:t>
          </w:r>
          <w:r>
            <w:fldChar w:fldCharType="end"/>
          </w:r>
          <w:r>
            <w:fldChar w:fldCharType="end"/>
          </w:r>
        </w:p>
        <w:p w14:paraId="6A40CC1F">
          <w:pPr>
            <w:pStyle w:val="26"/>
            <w:tabs>
              <w:tab w:val="right" w:leader="dot" w:pos="9354"/>
              <w:tab w:val="clear" w:pos="9344"/>
            </w:tabs>
          </w:pPr>
          <w:r>
            <w:fldChar w:fldCharType="begin"/>
          </w:r>
          <w:r>
            <w:instrText xml:space="preserve"> HYPERLINK \l _Toc10650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ligatures w14:val="none"/>
              <w14:numForm w14:val="default"/>
              <w14:numSpacing w14:val="default"/>
            </w:rPr>
            <w:t xml:space="preserve">7.8 </w:t>
          </w:r>
          <w:r>
            <w:rPr>
              <w:rFonts w:hint="eastAsia"/>
              <w:lang w:val="en-US" w:eastAsia="zh-CN"/>
            </w:rPr>
            <w:t>中药离子导入法</w:t>
          </w:r>
          <w:r>
            <w:tab/>
          </w:r>
          <w:r>
            <w:fldChar w:fldCharType="begin"/>
          </w:r>
          <w:r>
            <w:instrText xml:space="preserve"> PAGEREF _Toc10650 \h </w:instrText>
          </w:r>
          <w:r>
            <w:fldChar w:fldCharType="separate"/>
          </w:r>
          <w:r>
            <w:t>12</w:t>
          </w:r>
          <w:r>
            <w:fldChar w:fldCharType="end"/>
          </w:r>
          <w:r>
            <w:fldChar w:fldCharType="end"/>
          </w:r>
        </w:p>
        <w:p w14:paraId="3F8883BC">
          <w:pPr>
            <w:pStyle w:val="21"/>
            <w:tabs>
              <w:tab w:val="right" w:leader="dot" w:pos="9354"/>
            </w:tabs>
          </w:pPr>
          <w:r>
            <w:fldChar w:fldCharType="begin"/>
          </w:r>
          <w:r>
            <w:instrText xml:space="preserve"> HYPERLINK \l _Toc29383 </w:instrText>
          </w:r>
          <w:r>
            <w:fldChar w:fldCharType="separate"/>
          </w:r>
          <w:r>
            <w:rPr>
              <w:rFonts w:hint="eastAsia" w:ascii="黑体" w:eastAsia="黑体"/>
              <w:i w:val="0"/>
              <w:lang w:val="en-US" w:eastAsia="zh-CN"/>
            </w:rPr>
            <w:t xml:space="preserve">8 </w:t>
          </w:r>
          <w:r>
            <w:rPr>
              <w:rFonts w:hint="eastAsia"/>
              <w:lang w:val="en-US" w:eastAsia="zh-CN"/>
            </w:rPr>
            <w:t>中医护理技术评价</w:t>
          </w:r>
          <w:r>
            <w:tab/>
          </w:r>
          <w:r>
            <w:fldChar w:fldCharType="begin"/>
          </w:r>
          <w:r>
            <w:instrText xml:space="preserve"> PAGEREF _Toc29383 \h </w:instrText>
          </w:r>
          <w:r>
            <w:fldChar w:fldCharType="separate"/>
          </w:r>
          <w:r>
            <w:t>13</w:t>
          </w:r>
          <w:r>
            <w:fldChar w:fldCharType="end"/>
          </w:r>
          <w:r>
            <w:fldChar w:fldCharType="end"/>
          </w:r>
        </w:p>
        <w:p w14:paraId="59C5DB09">
          <w:pPr>
            <w:pStyle w:val="26"/>
            <w:tabs>
              <w:tab w:val="right" w:leader="dot" w:pos="9354"/>
              <w:tab w:val="clear" w:pos="9344"/>
            </w:tabs>
          </w:pPr>
          <w:r>
            <w:fldChar w:fldCharType="begin"/>
          </w:r>
          <w:r>
            <w:instrText xml:space="preserve"> HYPERLINK \l _Toc27016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ligatures w14:val="none"/>
              <w14:numForm w14:val="default"/>
              <w14:numSpacing w14:val="default"/>
            </w:rPr>
            <w:t xml:space="preserve">8.1 </w:t>
          </w:r>
          <w:r>
            <w:rPr>
              <w:rFonts w:hint="eastAsia"/>
              <w:lang w:val="en-US" w:eastAsia="zh-CN"/>
            </w:rPr>
            <w:t>评价方法</w:t>
          </w:r>
          <w:r>
            <w:tab/>
          </w:r>
          <w:r>
            <w:fldChar w:fldCharType="begin"/>
          </w:r>
          <w:r>
            <w:instrText xml:space="preserve"> PAGEREF _Toc27016 \h </w:instrText>
          </w:r>
          <w:r>
            <w:fldChar w:fldCharType="separate"/>
          </w:r>
          <w:r>
            <w:t>13</w:t>
          </w:r>
          <w:r>
            <w:fldChar w:fldCharType="end"/>
          </w:r>
          <w:r>
            <w:fldChar w:fldCharType="end"/>
          </w:r>
        </w:p>
        <w:p w14:paraId="2D5C1D36">
          <w:pPr>
            <w:pStyle w:val="26"/>
            <w:tabs>
              <w:tab w:val="right" w:leader="dot" w:pos="9354"/>
              <w:tab w:val="clear" w:pos="9344"/>
            </w:tabs>
          </w:pPr>
          <w:r>
            <w:fldChar w:fldCharType="begin"/>
          </w:r>
          <w:r>
            <w:instrText xml:space="preserve"> HYPERLINK \l _Toc29276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ligatures w14:val="none"/>
              <w14:numForm w14:val="default"/>
              <w14:numSpacing w14:val="default"/>
            </w:rPr>
            <w:t xml:space="preserve">8.2 </w:t>
          </w:r>
          <w:r>
            <w:rPr>
              <w:rFonts w:hint="eastAsia"/>
              <w:lang w:val="en-US" w:eastAsia="zh-CN"/>
            </w:rPr>
            <w:t>评价指标</w:t>
          </w:r>
          <w:r>
            <w:tab/>
          </w:r>
          <w:r>
            <w:fldChar w:fldCharType="begin"/>
          </w:r>
          <w:r>
            <w:instrText xml:space="preserve"> PAGEREF _Toc29276 \h </w:instrText>
          </w:r>
          <w:r>
            <w:fldChar w:fldCharType="separate"/>
          </w:r>
          <w:r>
            <w:t>13</w:t>
          </w:r>
          <w:r>
            <w:fldChar w:fldCharType="end"/>
          </w:r>
          <w:r>
            <w:fldChar w:fldCharType="end"/>
          </w:r>
        </w:p>
        <w:p w14:paraId="744985CC">
          <w:pPr>
            <w:pStyle w:val="21"/>
            <w:tabs>
              <w:tab w:val="right" w:leader="dot" w:pos="9354"/>
            </w:tabs>
          </w:pPr>
          <w:r>
            <w:fldChar w:fldCharType="begin"/>
          </w:r>
          <w:r>
            <w:instrText xml:space="preserve"> HYPERLINK \l _Toc9417 </w:instrText>
          </w:r>
          <w:r>
            <w:fldChar w:fldCharType="separate"/>
          </w:r>
          <w:r>
            <w:rPr>
              <w:spacing w:val="0"/>
            </w:rPr>
            <w:t>参考文</w:t>
          </w:r>
          <w:r>
            <w:t>献</w:t>
          </w:r>
          <w:r>
            <w:tab/>
          </w:r>
          <w:r>
            <w:fldChar w:fldCharType="begin"/>
          </w:r>
          <w:r>
            <w:instrText xml:space="preserve"> PAGEREF _Toc9417 \h </w:instrText>
          </w:r>
          <w:r>
            <w:fldChar w:fldCharType="separate"/>
          </w:r>
          <w:r>
            <w:t>14</w:t>
          </w:r>
          <w:r>
            <w:fldChar w:fldCharType="end"/>
          </w:r>
          <w:r>
            <w:fldChar w:fldCharType="end"/>
          </w:r>
        </w:p>
        <w:p w14:paraId="79160EAA">
          <w:r>
            <w:fldChar w:fldCharType="end"/>
          </w:r>
        </w:p>
        <w:p w14:paraId="7FEAA642">
          <w:pPr>
            <w:rPr>
              <w:rFonts w:hint="eastAsia" w:ascii="黑体" w:hAnsi="黑体" w:eastAsia="黑体" w:cs="黑体"/>
              <w:b/>
              <w:kern w:val="2"/>
              <w:sz w:val="32"/>
              <w:szCs w:val="32"/>
              <w:lang w:val="en-US" w:eastAsia="zh-CN" w:bidi="ar-SA"/>
            </w:rPr>
          </w:pPr>
          <w:r>
            <w:rPr>
              <w:rFonts w:hint="eastAsia" w:ascii="黑体" w:hAnsi="黑体" w:eastAsia="黑体" w:cs="黑体"/>
              <w:b/>
              <w:kern w:val="2"/>
              <w:sz w:val="32"/>
              <w:szCs w:val="32"/>
              <w:lang w:val="en-US" w:eastAsia="zh-CN" w:bidi="ar-SA"/>
            </w:rPr>
            <w:br w:type="page"/>
          </w:r>
        </w:p>
        <w:p w14:paraId="14B8CCE7">
          <w:pPr>
            <w:rPr>
              <w:b/>
            </w:rPr>
          </w:pPr>
        </w:p>
      </w:sdtContent>
    </w:sdt>
    <w:p w14:paraId="5AB0406C">
      <w:pPr>
        <w:pStyle w:val="93"/>
        <w:keepNext w:val="0"/>
        <w:keepLines w:val="0"/>
        <w:pageBreakBefore w:val="0"/>
        <w:widowControl/>
        <w:kinsoku/>
        <w:wordWrap/>
        <w:overflowPunct/>
        <w:topLinePunct w:val="0"/>
        <w:autoSpaceDE/>
        <w:autoSpaceDN/>
        <w:bidi w:val="0"/>
        <w:adjustRightInd/>
        <w:snapToGrid/>
        <w:spacing w:before="469" w:beforeLines="150" w:after="468"/>
        <w:ind w:left="425" w:hanging="425"/>
        <w:textAlignment w:val="auto"/>
      </w:pPr>
      <w:bookmarkStart w:id="3" w:name="_Toc19142"/>
      <w:bookmarkStart w:id="4" w:name="_Toc169"/>
      <w:bookmarkStart w:id="5" w:name="_Toc25558"/>
      <w:bookmarkStart w:id="6" w:name="_Toc18315"/>
      <w:bookmarkStart w:id="7" w:name="_Toc29389"/>
      <w:bookmarkStart w:id="8" w:name="_Toc11733"/>
      <w:bookmarkStart w:id="9" w:name="_Toc30162"/>
      <w:bookmarkStart w:id="10" w:name="_Toc8568"/>
      <w:bookmarkStart w:id="11" w:name="BookMark2"/>
      <w:r>
        <w:rPr>
          <w:rFonts w:hint="eastAsia"/>
          <w:lang w:val="en-US" w:eastAsia="zh-CN"/>
        </w:rPr>
        <w:t xml:space="preserve">前  </w:t>
      </w:r>
      <w:r>
        <w:t>言</w:t>
      </w:r>
      <w:bookmarkEnd w:id="3"/>
      <w:bookmarkEnd w:id="4"/>
      <w:bookmarkEnd w:id="5"/>
      <w:bookmarkEnd w:id="6"/>
      <w:bookmarkEnd w:id="7"/>
      <w:bookmarkEnd w:id="8"/>
      <w:bookmarkEnd w:id="9"/>
      <w:bookmarkEnd w:id="10"/>
    </w:p>
    <w:p w14:paraId="32188ACE">
      <w:pPr>
        <w:pStyle w:val="60"/>
        <w:ind w:firstLine="420"/>
      </w:pPr>
      <w:r>
        <w:rPr>
          <w:rFonts w:hint="eastAsia"/>
        </w:rPr>
        <w:t>本文件按照按照GB/T 1.1—2020《标准化工作导则  第1部分：标准化文件的结构和起草规则》的规定起草</w:t>
      </w:r>
      <w:r>
        <w:t>。</w:t>
      </w:r>
    </w:p>
    <w:p w14:paraId="433C11A1">
      <w:pPr>
        <w:pStyle w:val="60"/>
        <w:ind w:firstLine="420"/>
      </w:pPr>
      <w:r>
        <w:rPr>
          <w:rFonts w:hint="eastAsia"/>
        </w:rPr>
        <w:t>本文件</w:t>
      </w:r>
      <w:r>
        <w:t>由</w:t>
      </w:r>
      <w:r>
        <w:rPr>
          <w:rFonts w:hint="eastAsia"/>
          <w:lang w:val="en-US" w:eastAsia="zh-CN"/>
        </w:rPr>
        <w:t>湖南省中医药管理局</w:t>
      </w:r>
      <w:r>
        <w:t>提出并归口</w:t>
      </w:r>
      <w:r>
        <w:rPr>
          <w:rFonts w:hint="eastAsia"/>
        </w:rPr>
        <w:t>。</w:t>
      </w:r>
    </w:p>
    <w:p w14:paraId="219E90F1">
      <w:pPr>
        <w:pStyle w:val="60"/>
        <w:ind w:firstLine="420"/>
        <w:rPr>
          <w:rFonts w:hint="eastAsia"/>
        </w:rPr>
      </w:pPr>
      <w:r>
        <w:rPr>
          <w:rFonts w:hint="eastAsia"/>
        </w:rPr>
        <w:t>本文件的主要起草单位：湖南省中西医结合医院（湖南省中医药研究院附属医院）、</w:t>
      </w:r>
      <w:r>
        <w:rPr>
          <w:rFonts w:hint="eastAsia"/>
          <w:lang w:eastAsia="zh-CN"/>
        </w:rPr>
        <w:t>湖南省护理学会、</w:t>
      </w:r>
      <w:r>
        <w:rPr>
          <w:rFonts w:hint="eastAsia"/>
        </w:rPr>
        <w:t>中南大学湘雅医院、湖南中医药大学、长沙市中医医院（长沙市第八医院）、湖南中医药高等专科学校附属第一医院（湖南省直中医医院）、湘西自治州民族中医医院、衡阳市中医医院、湖南中医药大学第一附属医院、湖南中医药大学第二附属医院</w:t>
      </w:r>
    </w:p>
    <w:p w14:paraId="7290465B">
      <w:pPr>
        <w:pStyle w:val="60"/>
        <w:ind w:firstLine="420"/>
        <w:rPr>
          <w:rFonts w:hint="eastAsia"/>
        </w:rPr>
      </w:pPr>
      <w:r>
        <w:rPr>
          <w:rFonts w:hint="eastAsia"/>
        </w:rPr>
        <w:t>本标准的主要起草人：朱海利、</w:t>
      </w:r>
      <w:r>
        <w:rPr>
          <w:rFonts w:hint="eastAsia"/>
          <w:lang w:eastAsia="zh-CN"/>
        </w:rPr>
        <w:t>陈燕、</w:t>
      </w:r>
      <w:r>
        <w:rPr>
          <w:rFonts w:hint="eastAsia"/>
        </w:rPr>
        <w:t>许景灿、张银华、方惠、熊春红、朱冬、谢婉婷、陈必慧、韩倩楠、吴思亮、蒋维、黄琼、彭鸿、夏佩瑶、武晓兰、涂丽、唐江红、谭军、傅涵</w:t>
      </w:r>
    </w:p>
    <w:p w14:paraId="53C66306">
      <w:pPr>
        <w:pStyle w:val="60"/>
        <w:ind w:firstLine="420"/>
        <w:rPr>
          <w:rFonts w:hint="default"/>
          <w:lang w:val="en-US"/>
        </w:rPr>
      </w:pPr>
      <w:r>
        <w:rPr>
          <w:rFonts w:hint="eastAsia"/>
        </w:rPr>
        <w:t>论证专家组</w:t>
      </w:r>
      <w:r>
        <w:rPr>
          <w:rFonts w:hint="eastAsia"/>
          <w:lang w:val="en-US" w:eastAsia="zh-CN"/>
        </w:rPr>
        <w:t>成员</w:t>
      </w:r>
      <w:r>
        <w:rPr>
          <w:rFonts w:hint="eastAsia"/>
        </w:rPr>
        <w:t>：朱翊、杨谦、</w:t>
      </w:r>
      <w:r>
        <w:rPr>
          <w:rFonts w:hint="eastAsia"/>
          <w:lang w:eastAsia="zh-CN"/>
        </w:rPr>
        <w:t>周英球、</w:t>
      </w:r>
      <w:r>
        <w:rPr>
          <w:rFonts w:hint="eastAsia"/>
        </w:rPr>
        <w:t>卜献春、蔡铁如、黄静</w:t>
      </w:r>
    </w:p>
    <w:p w14:paraId="0B94EE4F">
      <w:pPr>
        <w:pStyle w:val="60"/>
        <w:ind w:firstLine="420"/>
      </w:pPr>
    </w:p>
    <w:p w14:paraId="76B06BE9">
      <w:pPr>
        <w:pStyle w:val="60"/>
        <w:ind w:firstLine="420"/>
      </w:pPr>
    </w:p>
    <w:p w14:paraId="13FC180A">
      <w:pPr>
        <w:pStyle w:val="60"/>
        <w:ind w:firstLine="420"/>
      </w:pPr>
    </w:p>
    <w:p w14:paraId="7B62879F">
      <w:pPr>
        <w:pStyle w:val="60"/>
        <w:ind w:firstLine="420"/>
      </w:pPr>
    </w:p>
    <w:p w14:paraId="13B6A46E">
      <w:pPr>
        <w:pStyle w:val="60"/>
        <w:ind w:firstLine="420"/>
      </w:pPr>
    </w:p>
    <w:p w14:paraId="39E6F3CA">
      <w:pPr>
        <w:pStyle w:val="59"/>
        <w:bidi w:val="0"/>
      </w:pPr>
    </w:p>
    <w:p w14:paraId="5C6F2E49">
      <w:pPr>
        <w:rPr>
          <w:rFonts w:hint="eastAsia"/>
          <w:lang w:val="en-US" w:eastAsia="zh-CN"/>
        </w:rPr>
      </w:pPr>
    </w:p>
    <w:p w14:paraId="2D2D493E">
      <w:pPr>
        <w:pStyle w:val="59"/>
        <w:bidi w:val="0"/>
        <w:rPr>
          <w:rFonts w:hint="eastAsia"/>
          <w:lang w:val="en-US" w:eastAsia="zh-CN"/>
        </w:rPr>
      </w:pPr>
    </w:p>
    <w:p w14:paraId="6EA09394">
      <w:pPr>
        <w:pStyle w:val="59"/>
        <w:bidi w:val="0"/>
        <w:rPr>
          <w:rFonts w:hint="default"/>
          <w:lang w:val="en-US" w:eastAsia="zh-CN"/>
        </w:rPr>
      </w:pPr>
      <w:sdt>
        <w:sdtPr>
          <w:rPr>
            <w:rFonts w:hint="eastAsia"/>
            <w:lang w:val="en-US" w:eastAsia="zh-CN"/>
          </w:rPr>
          <w:tag w:val="NEW_STAND_NAME"/>
          <w:id w:val="595910757"/>
          <w:lock w:val="sdtLocked"/>
          <w:placeholder>
            <w:docPart w:val="{f8aea712-6d35-44f4-be01-21bcfc449fd2}"/>
          </w:placeholder>
        </w:sdtPr>
        <w:sdtEndPr>
          <w:rPr>
            <w:rFonts w:hint="eastAsia"/>
            <w:lang w:val="en-US" w:eastAsia="zh-CN"/>
          </w:rPr>
        </w:sdtEndPr>
        <w:sdtContent>
          <w:r>
            <w:rPr>
              <w:rFonts w:hint="eastAsia"/>
              <w:lang w:val="en-US" w:eastAsia="zh-CN"/>
            </w:rPr>
            <w:t xml:space="preserve"> </w:t>
          </w:r>
        </w:sdtContent>
      </w:sdt>
    </w:p>
    <w:p w14:paraId="51AA6828">
      <w:pPr>
        <w:pStyle w:val="59"/>
        <w:bidi w:val="0"/>
        <w:rPr>
          <w:rFonts w:hint="default"/>
          <w:lang w:val="en-US" w:eastAsia="zh-CN"/>
        </w:rPr>
      </w:pPr>
      <w:sdt>
        <w:sdtPr>
          <w:rPr>
            <w:rFonts w:hint="default"/>
            <w:lang w:val="en-US" w:eastAsia="zh-CN"/>
          </w:rPr>
          <w:tag w:val="NEW_STAND_NAME"/>
          <w:id w:val="147463387"/>
          <w:lock w:val="sdtLocked"/>
          <w:placeholder>
            <w:docPart w:val="{3cc71ca9-649e-4269-9391-38ed946f8943}"/>
          </w:placeholder>
        </w:sdtPr>
        <w:sdtEndPr>
          <w:rPr>
            <w:rFonts w:hint="default"/>
            <w:lang w:val="en-US" w:eastAsia="zh-CN"/>
          </w:rPr>
        </w:sdtEndPr>
        <w:sdtContent>
          <w:r>
            <w:rPr>
              <w:rFonts w:hint="eastAsia"/>
              <w:lang w:val="en-US" w:eastAsia="zh-CN"/>
            </w:rPr>
            <w:t xml:space="preserve"> </w:t>
          </w:r>
        </w:sdtContent>
      </w:sdt>
    </w:p>
    <w:p w14:paraId="57A1BA43">
      <w:pPr>
        <w:pStyle w:val="59"/>
        <w:bidi w:val="0"/>
        <w:rPr>
          <w:rFonts w:hint="default"/>
          <w:lang w:val="en-US" w:eastAsia="zh-CN"/>
        </w:rPr>
      </w:pPr>
    </w:p>
    <w:sdt>
      <w:sdtPr>
        <w:rPr>
          <w:rFonts w:hint="default"/>
          <w:lang w:val="en-US" w:eastAsia="zh-CN"/>
        </w:rPr>
        <w:tag w:val="NEW_STAND_NAME"/>
        <w:id w:val="147471115"/>
        <w:lock w:val="sdtLocked"/>
        <w:placeholder>
          <w:docPart w:val="{85b6af46-b803-49bb-824a-e52547dea612}"/>
        </w:placeholder>
      </w:sdtPr>
      <w:sdtEndPr>
        <w:rPr>
          <w:rFonts w:hint="default"/>
          <w:lang w:val="en-US" w:eastAsia="zh-CN"/>
        </w:rPr>
      </w:sdtEndPr>
      <w:sdtContent>
        <w:p w14:paraId="5D7EBAFA">
          <w:pPr>
            <w:pStyle w:val="59"/>
            <w:bidi w:val="0"/>
            <w:rPr>
              <w:rFonts w:hint="default"/>
              <w:lang w:val="en-US" w:eastAsia="zh-CN"/>
            </w:rPr>
            <w:sectPr>
              <w:headerReference r:id="rId9" w:type="default"/>
              <w:footerReference r:id="rId10" w:type="default"/>
              <w:pgSz w:w="11906" w:h="16838"/>
              <w:pgMar w:top="1928" w:right="1134" w:bottom="1134" w:left="1134" w:header="1418" w:footer="1134" w:gutter="284"/>
              <w:pgNumType w:fmt="upperRoman"/>
              <w:cols w:space="425" w:num="1"/>
              <w:formProt w:val="0"/>
              <w:docGrid w:type="lines" w:linePitch="312" w:charSpace="0"/>
            </w:sectPr>
          </w:pPr>
          <w:r>
            <w:rPr>
              <w:rFonts w:hint="eastAsia"/>
              <w:lang w:val="en-US" w:eastAsia="zh-CN"/>
            </w:rPr>
            <w:t xml:space="preserve">   </w:t>
          </w:r>
        </w:p>
      </w:sdtContent>
    </w:sdt>
    <w:bookmarkEnd w:id="11"/>
    <w:p w14:paraId="4243AEF5">
      <w:pPr>
        <w:spacing w:line="20" w:lineRule="exact"/>
        <w:jc w:val="center"/>
        <w:rPr>
          <w:rFonts w:ascii="黑体" w:hAnsi="黑体" w:eastAsia="黑体"/>
          <w:sz w:val="32"/>
          <w:szCs w:val="32"/>
        </w:rPr>
      </w:pPr>
      <w:bookmarkStart w:id="12" w:name="OLE_LINK1"/>
      <w:bookmarkStart w:id="13" w:name="BookMark4"/>
    </w:p>
    <w:p w14:paraId="16AFD385">
      <w:pPr>
        <w:spacing w:line="20" w:lineRule="exact"/>
        <w:jc w:val="center"/>
        <w:rPr>
          <w:rFonts w:ascii="黑体" w:hAnsi="黑体" w:eastAsia="黑体"/>
          <w:sz w:val="32"/>
          <w:szCs w:val="32"/>
        </w:rPr>
      </w:pPr>
    </w:p>
    <w:sdt>
      <w:sdtPr>
        <w:tag w:val="NEW_STAND_NAME"/>
        <w:id w:val="147451782"/>
        <w:lock w:val="sdtLocked"/>
        <w:placeholder>
          <w:docPart w:val="CC77A0AE8C3546B69BED3852E4CE1F5E"/>
        </w:placeholder>
      </w:sdtPr>
      <w:sdtContent>
        <w:p w14:paraId="29B7D92A">
          <w:pPr>
            <w:pStyle w:val="181"/>
            <w:spacing w:before="3" w:beforeLines="1" w:after="686" w:afterLines="220"/>
          </w:pPr>
          <w:bookmarkStart w:id="14" w:name="OLE_LINK2"/>
          <w:bookmarkStart w:id="15" w:name="OLE_LINK19"/>
          <w:bookmarkStart w:id="16" w:name="OLE_LINK4"/>
          <w:bookmarkStart w:id="17" w:name="OLE_LINK9"/>
          <w:bookmarkStart w:id="18" w:name="NEW_STAND_NAME"/>
          <w:r>
            <w:rPr>
              <w:rFonts w:hint="eastAsia"/>
              <w:lang w:val="en-US" w:eastAsia="zh-CN"/>
            </w:rPr>
            <w:t>中医医疗机构</w:t>
          </w:r>
          <w:bookmarkEnd w:id="14"/>
          <w:bookmarkStart w:id="19" w:name="OLE_LINK7"/>
          <w:r>
            <w:rPr>
              <w:rFonts w:hint="eastAsia"/>
              <w:lang w:val="en-US" w:eastAsia="zh-CN"/>
            </w:rPr>
            <w:t>老年病科</w:t>
          </w:r>
          <w:bookmarkEnd w:id="15"/>
          <w:bookmarkEnd w:id="19"/>
          <w:bookmarkStart w:id="20" w:name="OLE_LINK3"/>
          <w:r>
            <w:rPr>
              <w:rFonts w:hint="eastAsia"/>
              <w:lang w:val="en-US" w:eastAsia="zh-CN"/>
            </w:rPr>
            <w:t>中医护理技术规范</w:t>
          </w:r>
          <w:bookmarkEnd w:id="12"/>
          <w:bookmarkEnd w:id="16"/>
          <w:bookmarkEnd w:id="17"/>
          <w:bookmarkEnd w:id="20"/>
        </w:p>
      </w:sdtContent>
    </w:sdt>
    <w:bookmarkEnd w:id="18"/>
    <w:p w14:paraId="08655E83">
      <w:pPr>
        <w:pStyle w:val="108"/>
        <w:spacing w:before="0" w:after="0"/>
      </w:pPr>
      <w:bookmarkStart w:id="21" w:name="_Toc27471"/>
      <w:bookmarkStart w:id="22" w:name="_Toc29275"/>
      <w:bookmarkStart w:id="23" w:name="_Toc17233325"/>
      <w:bookmarkStart w:id="24" w:name="_Toc132387389"/>
      <w:bookmarkStart w:id="25" w:name="_Toc26718930"/>
      <w:bookmarkStart w:id="26" w:name="_Toc26986771"/>
      <w:bookmarkStart w:id="27" w:name="_Toc132534398"/>
      <w:bookmarkStart w:id="28" w:name="_Toc8761"/>
      <w:bookmarkStart w:id="29" w:name="_Toc132534362"/>
      <w:bookmarkStart w:id="30" w:name="_Toc31823"/>
      <w:bookmarkStart w:id="31" w:name="_Toc8237"/>
      <w:bookmarkStart w:id="32" w:name="_Toc24884218"/>
      <w:bookmarkStart w:id="33" w:name="_Toc22431"/>
      <w:bookmarkStart w:id="34" w:name="_Toc17233333"/>
      <w:bookmarkStart w:id="35" w:name="_Toc24884211"/>
      <w:bookmarkStart w:id="36" w:name="_Toc26986530"/>
      <w:bookmarkStart w:id="37" w:name="_Toc97191423"/>
      <w:bookmarkStart w:id="38" w:name="_Toc26648465"/>
      <w:bookmarkStart w:id="39" w:name="_Toc32355"/>
      <w:bookmarkStart w:id="40" w:name="_Toc1087"/>
      <w:r>
        <w:rPr>
          <w:rFonts w:hint="eastAsia"/>
        </w:rPr>
        <w:t>范围</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7E43AA9">
      <w:pPr>
        <w:pStyle w:val="60"/>
        <w:ind w:firstLine="420"/>
      </w:pPr>
      <w:bookmarkStart w:id="41" w:name="_Toc17233326"/>
      <w:bookmarkStart w:id="42" w:name="_Toc26648466"/>
      <w:bookmarkStart w:id="43" w:name="_Toc17233334"/>
      <w:bookmarkStart w:id="44" w:name="_Toc24884219"/>
      <w:bookmarkStart w:id="45" w:name="_Toc24884212"/>
      <w:r>
        <w:rPr>
          <w:rFonts w:hint="eastAsia"/>
        </w:rPr>
        <w:t>本标准规定了</w:t>
      </w:r>
      <w:r>
        <w:rPr>
          <w:rFonts w:hint="eastAsia"/>
          <w:lang w:val="en-US" w:eastAsia="zh-CN"/>
        </w:rPr>
        <w:t>中医医疗机构老年病科的建设要求、人员配置、中医护理技术相关要求</w:t>
      </w:r>
      <w:r>
        <w:rPr>
          <w:rFonts w:hint="eastAsia"/>
        </w:rPr>
        <w:t>。</w:t>
      </w:r>
    </w:p>
    <w:p w14:paraId="5BC01F3B">
      <w:pPr>
        <w:pStyle w:val="60"/>
        <w:ind w:firstLine="420"/>
        <w:rPr>
          <w:rFonts w:hint="default"/>
          <w:lang w:val="en-US"/>
        </w:rPr>
      </w:pPr>
      <w:r>
        <w:rPr>
          <w:rFonts w:hint="eastAsia"/>
        </w:rPr>
        <w:t>本标准适用于中医医疗机构老年病科中医护理技术的开展。</w:t>
      </w:r>
    </w:p>
    <w:p w14:paraId="2AAEB6D5">
      <w:pPr>
        <w:pStyle w:val="108"/>
        <w:spacing w:before="0" w:after="0"/>
      </w:pPr>
      <w:bookmarkStart w:id="46" w:name="_Toc20377"/>
      <w:bookmarkStart w:id="47" w:name="_Toc26718931"/>
      <w:bookmarkStart w:id="48" w:name="_Toc28829"/>
      <w:bookmarkStart w:id="49" w:name="_Toc10361"/>
      <w:bookmarkStart w:id="50" w:name="_Toc2557"/>
      <w:bookmarkStart w:id="51" w:name="_Toc4927"/>
      <w:bookmarkStart w:id="52" w:name="_Toc26986772"/>
      <w:bookmarkStart w:id="53" w:name="_Toc555"/>
      <w:bookmarkStart w:id="54" w:name="_Toc97191424"/>
      <w:bookmarkStart w:id="55" w:name="_Toc132387390"/>
      <w:bookmarkStart w:id="56" w:name="_Toc5387"/>
      <w:bookmarkStart w:id="57" w:name="_Toc132534363"/>
      <w:bookmarkStart w:id="58" w:name="_Toc132534399"/>
      <w:bookmarkStart w:id="59" w:name="_Toc26986531"/>
      <w:bookmarkStart w:id="60" w:name="_Toc9910"/>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17274D3A54F241BC8B95A6839AF6E4F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08C10DB">
          <w:pPr>
            <w:pStyle w:val="6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10D085E">
      <w:pPr>
        <w:pStyle w:val="60"/>
        <w:ind w:firstLine="420"/>
        <w:rPr>
          <w:rFonts w:hint="eastAsia"/>
        </w:rPr>
      </w:pPr>
      <w:r>
        <w:rPr>
          <w:rFonts w:hint="eastAsia"/>
        </w:rPr>
        <w:t>GB 3096</w:t>
      </w:r>
      <w:r>
        <w:rPr>
          <w:rFonts w:hint="eastAsia"/>
          <w:lang w:val="en-US" w:eastAsia="zh-CN"/>
        </w:rPr>
        <w:t xml:space="preserve">  </w:t>
      </w:r>
      <w:r>
        <w:rPr>
          <w:rFonts w:hint="eastAsia"/>
        </w:rPr>
        <w:t>声环境质量标准</w:t>
      </w:r>
    </w:p>
    <w:p w14:paraId="1CCA0612">
      <w:pPr>
        <w:pStyle w:val="60"/>
        <w:ind w:firstLine="420"/>
        <w:rPr>
          <w:rFonts w:hint="eastAsia"/>
        </w:rPr>
      </w:pPr>
      <w:r>
        <w:rPr>
          <w:rFonts w:hint="eastAsia"/>
        </w:rPr>
        <w:t>GB 13495.1  消防安全标志 第1部分：标志</w:t>
      </w:r>
    </w:p>
    <w:p w14:paraId="44230942">
      <w:pPr>
        <w:pStyle w:val="60"/>
        <w:ind w:firstLine="420"/>
        <w:rPr>
          <w:rFonts w:hint="eastAsia"/>
        </w:rPr>
      </w:pPr>
      <w:r>
        <w:rPr>
          <w:rFonts w:hint="eastAsia"/>
        </w:rPr>
        <w:t>GB 50034  建筑照明设计标准</w:t>
      </w:r>
    </w:p>
    <w:p w14:paraId="6AF9A6DD">
      <w:pPr>
        <w:pStyle w:val="60"/>
        <w:ind w:firstLine="420"/>
        <w:rPr>
          <w:rFonts w:hint="eastAsia"/>
        </w:rPr>
      </w:pPr>
      <w:r>
        <w:rPr>
          <w:rFonts w:hint="eastAsia"/>
        </w:rPr>
        <w:t>GB 55019  建筑与市政工程无障碍通用规范</w:t>
      </w:r>
    </w:p>
    <w:p w14:paraId="4B864816">
      <w:pPr>
        <w:pStyle w:val="60"/>
        <w:ind w:firstLine="420"/>
        <w:rPr>
          <w:rFonts w:hint="eastAsia"/>
        </w:rPr>
      </w:pPr>
      <w:r>
        <w:rPr>
          <w:rFonts w:hint="eastAsia"/>
        </w:rPr>
        <w:t>GB/T 10001.1 公共信息图形符号 第1部分：通用符号</w:t>
      </w:r>
    </w:p>
    <w:p w14:paraId="3791D7D6">
      <w:pPr>
        <w:pStyle w:val="60"/>
        <w:ind w:firstLine="420"/>
        <w:rPr>
          <w:rFonts w:hint="eastAsia"/>
        </w:rPr>
      </w:pPr>
      <w:r>
        <w:rPr>
          <w:rFonts w:hint="eastAsia"/>
        </w:rPr>
        <w:t>GB/T 21709</w:t>
      </w:r>
      <w:r>
        <w:rPr>
          <w:rFonts w:hint="eastAsia"/>
          <w:lang w:val="en-US" w:eastAsia="zh-CN"/>
        </w:rPr>
        <w:t xml:space="preserve">.22-2013  </w:t>
      </w:r>
      <w:r>
        <w:rPr>
          <w:rFonts w:hint="eastAsia"/>
        </w:rPr>
        <w:t xml:space="preserve">针灸技术操作规范 第22部分:刮痧 </w:t>
      </w:r>
    </w:p>
    <w:p w14:paraId="1E6053D4">
      <w:pPr>
        <w:pStyle w:val="60"/>
        <w:ind w:firstLine="420"/>
        <w:rPr>
          <w:rFonts w:hint="eastAsia"/>
        </w:rPr>
      </w:pPr>
      <w:r>
        <w:rPr>
          <w:rFonts w:hint="eastAsia"/>
        </w:rPr>
        <w:t>WS 308  医疗机构消防安全管理</w:t>
      </w:r>
    </w:p>
    <w:p w14:paraId="76FCC947">
      <w:pPr>
        <w:pStyle w:val="60"/>
        <w:ind w:firstLine="420"/>
        <w:rPr>
          <w:rFonts w:hint="eastAsia"/>
        </w:rPr>
      </w:pPr>
      <w:r>
        <w:rPr>
          <w:rFonts w:hint="eastAsia"/>
        </w:rPr>
        <w:t>WS 444.2</w:t>
      </w:r>
      <w:r>
        <w:rPr>
          <w:rFonts w:hint="eastAsia"/>
          <w:lang w:val="en-US" w:eastAsia="zh-CN"/>
        </w:rPr>
        <w:t xml:space="preserve">  </w:t>
      </w:r>
      <w:r>
        <w:rPr>
          <w:rFonts w:hint="eastAsia"/>
        </w:rPr>
        <w:t>医疗机构患者活动场所及坐卧设施安全要求 第2部分：坐卧设施</w:t>
      </w:r>
    </w:p>
    <w:p w14:paraId="1D518223">
      <w:pPr>
        <w:pStyle w:val="60"/>
        <w:ind w:firstLine="420"/>
        <w:rPr>
          <w:rFonts w:hint="eastAsia"/>
        </w:rPr>
      </w:pPr>
      <w:r>
        <w:rPr>
          <w:rFonts w:hint="eastAsia"/>
        </w:rPr>
        <w:t>WS/T 312  医院感染监测标准</w:t>
      </w:r>
      <w:bookmarkStart w:id="387" w:name="_GoBack"/>
    </w:p>
    <w:p w14:paraId="0525837F">
      <w:pPr>
        <w:pStyle w:val="60"/>
        <w:ind w:firstLine="420"/>
        <w:rPr>
          <w:rFonts w:hint="eastAsia"/>
        </w:rPr>
      </w:pPr>
      <w:r>
        <w:rPr>
          <w:rFonts w:hint="eastAsia"/>
        </w:rPr>
        <w:t>WS/T 368  医院空气净化管理规范</w:t>
      </w:r>
    </w:p>
    <w:bookmarkEnd w:id="387"/>
    <w:p w14:paraId="6DA080ED">
      <w:pPr>
        <w:pStyle w:val="60"/>
        <w:ind w:firstLine="420"/>
        <w:rPr>
          <w:rFonts w:hint="default" w:eastAsia="宋体"/>
          <w:lang w:val="en-US" w:eastAsia="zh-CN"/>
        </w:rPr>
      </w:pPr>
      <w:r>
        <w:rPr>
          <w:rFonts w:hint="eastAsia"/>
          <w:lang w:val="en-US" w:eastAsia="zh-CN"/>
        </w:rPr>
        <w:t xml:space="preserve">DB11/T </w:t>
      </w:r>
      <w:r>
        <w:rPr>
          <w:rFonts w:hint="eastAsia" w:hAnsi="Times New Roman" w:cs="宋体"/>
        </w:rPr>
        <w:t>1964</w:t>
      </w:r>
      <w:r>
        <w:rPr>
          <w:rFonts w:hint="eastAsia" w:hAnsi="Times New Roman" w:cs="宋体"/>
          <w:lang w:val="en-US" w:eastAsia="zh-CN"/>
        </w:rPr>
        <w:t xml:space="preserve">  老年友善医疗机构评定技术规范</w:t>
      </w:r>
    </w:p>
    <w:p w14:paraId="4EAE2859">
      <w:pPr>
        <w:pStyle w:val="60"/>
        <w:ind w:firstLine="420"/>
        <w:rPr>
          <w:rFonts w:hint="eastAsia"/>
        </w:rPr>
      </w:pPr>
      <w:r>
        <w:rPr>
          <w:rFonts w:hint="eastAsia"/>
        </w:rPr>
        <w:t xml:space="preserve">DB23/T 3276 </w:t>
      </w:r>
      <w:r>
        <w:rPr>
          <w:rFonts w:hint="eastAsia"/>
          <w:lang w:val="en-US" w:eastAsia="zh-CN"/>
        </w:rPr>
        <w:t xml:space="preserve"> </w:t>
      </w:r>
      <w:r>
        <w:rPr>
          <w:rFonts w:hint="eastAsia"/>
        </w:rPr>
        <w:t>老年人综合评估室建设规范</w:t>
      </w:r>
    </w:p>
    <w:p w14:paraId="61724FEF">
      <w:pPr>
        <w:pStyle w:val="60"/>
        <w:ind w:firstLine="420"/>
        <w:rPr>
          <w:rFonts w:hint="default"/>
          <w:lang w:val="en-US" w:eastAsia="zh-CN"/>
        </w:rPr>
      </w:pPr>
      <w:r>
        <w:rPr>
          <w:rFonts w:hint="eastAsia"/>
        </w:rPr>
        <w:t>DB43/T 2058  养老护理员培训规范</w:t>
      </w:r>
    </w:p>
    <w:p w14:paraId="3451BF6C">
      <w:pPr>
        <w:pStyle w:val="108"/>
        <w:spacing w:before="0" w:after="0"/>
      </w:pPr>
      <w:bookmarkStart w:id="61" w:name="_Toc132387391"/>
      <w:bookmarkStart w:id="62" w:name="_Toc17086"/>
      <w:bookmarkStart w:id="63" w:name="_Toc97191425"/>
      <w:bookmarkStart w:id="64" w:name="_Toc3255"/>
      <w:bookmarkStart w:id="65" w:name="_Toc28452"/>
      <w:bookmarkStart w:id="66" w:name="_Toc15286"/>
      <w:bookmarkStart w:id="67" w:name="_Toc132534364"/>
      <w:bookmarkStart w:id="68" w:name="_Toc9621"/>
      <w:bookmarkStart w:id="69" w:name="_Toc6004"/>
      <w:bookmarkStart w:id="70" w:name="_Toc20590"/>
      <w:bookmarkStart w:id="71" w:name="_Toc6023"/>
      <w:bookmarkStart w:id="72" w:name="_Toc132534400"/>
      <w:r>
        <w:rPr>
          <w:rFonts w:hint="eastAsia"/>
        </w:rPr>
        <w:t>术语和定义</w:t>
      </w:r>
      <w:bookmarkEnd w:id="61"/>
      <w:bookmarkEnd w:id="62"/>
      <w:bookmarkEnd w:id="63"/>
      <w:bookmarkEnd w:id="64"/>
      <w:bookmarkEnd w:id="65"/>
      <w:bookmarkEnd w:id="66"/>
      <w:bookmarkEnd w:id="67"/>
      <w:bookmarkEnd w:id="68"/>
      <w:bookmarkEnd w:id="69"/>
      <w:bookmarkEnd w:id="70"/>
      <w:bookmarkEnd w:id="71"/>
      <w:bookmarkEnd w:id="72"/>
    </w:p>
    <w:p w14:paraId="095E3FF3">
      <w:pPr>
        <w:pStyle w:val="60"/>
        <w:ind w:left="420" w:leftChars="200" w:firstLine="0" w:firstLineChars="0"/>
        <w:rPr>
          <w:rFonts w:ascii="黑体" w:hAnsi="黑体" w:eastAsia="黑体"/>
        </w:rPr>
      </w:pPr>
      <w:bookmarkStart w:id="73" w:name="_Toc26986532"/>
      <w:bookmarkEnd w:id="73"/>
      <w:sdt>
        <w:sdtPr>
          <w:id w:val="-1909835108"/>
          <w:placeholder>
            <w:docPart w:val="8A4364C01F1F4882AE1D0150A495BA2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t>下列术语和定义适用于本文件。</w:t>
          </w:r>
        </w:sdtContent>
      </w:sdt>
    </w:p>
    <w:p w14:paraId="6238091C">
      <w:pPr>
        <w:pStyle w:val="109"/>
        <w:spacing w:before="0" w:beforeLines="-2147483648" w:after="0" w:afterLines="-2147483648"/>
        <w:ind w:left="0" w:firstLine="0" w:firstLineChars="0"/>
        <w:rPr>
          <w:rFonts w:ascii="Times New Roman" w:hAnsi="Times New Roman" w:cs="Times New Roman"/>
          <w:b/>
          <w:bCs/>
        </w:rPr>
      </w:pPr>
      <w:bookmarkStart w:id="74" w:name="_Toc132534401"/>
      <w:bookmarkStart w:id="75" w:name="_Toc132534365"/>
      <w:bookmarkStart w:id="76" w:name="_Toc132534422"/>
      <w:bookmarkStart w:id="77" w:name="_Toc11742"/>
      <w:bookmarkStart w:id="78" w:name="_Toc4358"/>
      <w:bookmarkStart w:id="79" w:name="_Toc23178"/>
      <w:bookmarkStart w:id="80" w:name="_Toc10112"/>
      <w:bookmarkStart w:id="81" w:name="_Toc5486"/>
      <w:bookmarkStart w:id="82" w:name="_Toc1908"/>
      <w:r>
        <w:br w:type="textWrapping"/>
      </w:r>
      <w:r>
        <w:rPr>
          <w:rFonts w:hint="eastAsia"/>
          <w:lang w:val="en-US" w:eastAsia="zh-CN"/>
        </w:rPr>
        <w:t xml:space="preserve">    中医医疗机构</w:t>
      </w:r>
      <w:r>
        <w:rPr>
          <w:rFonts w:hint="default" w:ascii="Times New Roman" w:hAnsi="Times New Roman" w:cs="Times New Roman"/>
          <w:b/>
          <w:bCs/>
        </w:rPr>
        <w:t xml:space="preserve"> </w:t>
      </w:r>
      <w:bookmarkEnd w:id="74"/>
      <w:bookmarkEnd w:id="75"/>
      <w:bookmarkEnd w:id="76"/>
      <w:bookmarkStart w:id="83" w:name="_Toc132534366"/>
      <w:bookmarkStart w:id="84" w:name="_Toc132534423"/>
      <w:bookmarkStart w:id="85" w:name="_Toc132534402"/>
      <w:r>
        <w:rPr>
          <w:rFonts w:hint="default" w:ascii="Times New Roman" w:hAnsi="Times New Roman" w:cs="Times New Roman"/>
          <w:b/>
          <w:bCs/>
          <w:lang w:val="en-US" w:eastAsia="zh-CN"/>
        </w:rPr>
        <w:t xml:space="preserve">TCM Medical </w:t>
      </w:r>
      <w:r>
        <w:rPr>
          <w:rFonts w:hint="eastAsia" w:cs="Times New Roman"/>
          <w:b/>
          <w:bCs/>
          <w:lang w:val="en-US" w:eastAsia="zh-CN"/>
        </w:rPr>
        <w:t>I</w:t>
      </w:r>
      <w:r>
        <w:rPr>
          <w:rFonts w:hint="default" w:ascii="Times New Roman" w:hAnsi="Times New Roman" w:cs="Times New Roman"/>
          <w:b/>
          <w:bCs/>
          <w:lang w:val="en-US" w:eastAsia="zh-CN"/>
        </w:rPr>
        <w:t>nstitution</w:t>
      </w:r>
      <w:bookmarkEnd w:id="77"/>
      <w:bookmarkEnd w:id="78"/>
      <w:bookmarkEnd w:id="79"/>
      <w:bookmarkEnd w:id="80"/>
      <w:bookmarkEnd w:id="81"/>
      <w:bookmarkEnd w:id="82"/>
      <w:r>
        <w:rPr>
          <w:rFonts w:hint="default" w:ascii="Times New Roman" w:hAnsi="Times New Roman" w:cs="Times New Roman"/>
          <w:b/>
          <w:bCs/>
          <w:lang w:val="en-US" w:eastAsia="zh-CN"/>
        </w:rPr>
        <w:t xml:space="preserve"> </w:t>
      </w:r>
    </w:p>
    <w:p w14:paraId="41814A1E">
      <w:pPr>
        <w:pStyle w:val="60"/>
        <w:ind w:firstLineChars="200"/>
        <w:rPr>
          <w:rFonts w:hint="default"/>
          <w:lang w:val="en-US" w:eastAsia="zh-CN"/>
        </w:rPr>
      </w:pPr>
      <w:r>
        <w:rPr>
          <w:rFonts w:hint="eastAsia"/>
          <w:lang w:val="en-US" w:eastAsia="zh-CN"/>
        </w:rPr>
        <w:t>即中医类医疗卫生机构，以中医为主的医疗卫生机构。</w:t>
      </w:r>
      <w:r>
        <w:rPr>
          <w:rFonts w:hint="eastAsia"/>
        </w:rPr>
        <w:t>包括中医类医院、中医类门诊部、中医类诊所。</w:t>
      </w:r>
    </w:p>
    <w:p w14:paraId="2A16092C">
      <w:pPr>
        <w:pStyle w:val="109"/>
        <w:rPr>
          <w:rFonts w:hint="eastAsia"/>
          <w:lang w:val="en-US" w:eastAsia="zh-CN"/>
        </w:rPr>
      </w:pPr>
      <w:bookmarkStart w:id="86" w:name="_Toc21610"/>
      <w:bookmarkEnd w:id="86"/>
      <w:bookmarkStart w:id="87" w:name="_Toc20358"/>
      <w:bookmarkEnd w:id="87"/>
      <w:bookmarkStart w:id="88" w:name="_Toc1085"/>
      <w:bookmarkEnd w:id="88"/>
      <w:bookmarkStart w:id="89" w:name="_Toc4284"/>
      <w:bookmarkEnd w:id="89"/>
      <w:bookmarkStart w:id="90" w:name="_Toc14632"/>
      <w:bookmarkEnd w:id="90"/>
      <w:bookmarkStart w:id="91" w:name="_Toc11368"/>
      <w:bookmarkEnd w:id="91"/>
    </w:p>
    <w:p w14:paraId="194CD4F3">
      <w:pPr>
        <w:pStyle w:val="109"/>
        <w:numPr>
          <w:ilvl w:val="-1"/>
          <w:numId w:val="0"/>
        </w:numPr>
        <w:spacing w:before="0" w:beforeLines="0" w:after="0" w:afterLines="0"/>
        <w:ind w:leftChars="0" w:firstLine="420" w:firstLineChars="200"/>
        <w:rPr>
          <w:rFonts w:hint="eastAsia"/>
          <w:b/>
          <w:bCs/>
          <w:highlight w:val="none"/>
          <w:lang w:val="en-US" w:eastAsia="zh-CN"/>
        </w:rPr>
      </w:pPr>
      <w:bookmarkStart w:id="92" w:name="_Toc3953"/>
      <w:bookmarkStart w:id="93" w:name="_Toc24509"/>
      <w:bookmarkStart w:id="94" w:name="_Toc21063"/>
      <w:bookmarkStart w:id="95" w:name="_Toc8087"/>
      <w:bookmarkStart w:id="96" w:name="_Toc26224"/>
      <w:bookmarkStart w:id="97" w:name="_Toc14164"/>
      <w:r>
        <w:rPr>
          <w:rFonts w:hint="eastAsia"/>
          <w:b w:val="0"/>
          <w:bCs w:val="0"/>
          <w:highlight w:val="none"/>
          <w:lang w:val="en-US" w:eastAsia="zh-CN"/>
        </w:rPr>
        <w:t xml:space="preserve">老年病科 </w:t>
      </w:r>
      <w:r>
        <w:rPr>
          <w:rFonts w:hint="eastAsia"/>
          <w:b/>
          <w:bCs/>
          <w:highlight w:val="none"/>
          <w:lang w:val="en-US" w:eastAsia="zh-CN"/>
        </w:rPr>
        <w:t>Geriatrics Department</w:t>
      </w:r>
      <w:bookmarkEnd w:id="92"/>
      <w:bookmarkEnd w:id="93"/>
      <w:bookmarkEnd w:id="94"/>
      <w:bookmarkEnd w:id="95"/>
      <w:bookmarkEnd w:id="96"/>
      <w:bookmarkEnd w:id="97"/>
    </w:p>
    <w:p w14:paraId="5A96311C">
      <w:pPr>
        <w:pStyle w:val="60"/>
        <w:rPr>
          <w:rFonts w:hint="default"/>
          <w:lang w:val="en-US" w:eastAsia="zh-CN"/>
        </w:rPr>
      </w:pPr>
      <w:r>
        <w:rPr>
          <w:rFonts w:hint="eastAsia"/>
          <w:lang w:val="en-US" w:eastAsia="zh-CN"/>
        </w:rPr>
        <w:t>是集老年临床诊疗、老年预防保健、老年康复为一体的临床特色专科科室。</w:t>
      </w:r>
    </w:p>
    <w:p w14:paraId="759C82CF">
      <w:pPr>
        <w:pStyle w:val="109"/>
        <w:spacing w:before="0" w:beforeLines="0" w:after="0" w:afterLines="0"/>
        <w:rPr>
          <w:b w:val="0"/>
          <w:bCs w:val="0"/>
        </w:rPr>
      </w:pPr>
      <w:bookmarkStart w:id="98" w:name="_Toc8381"/>
      <w:bookmarkStart w:id="99" w:name="_Toc9248"/>
      <w:bookmarkStart w:id="100" w:name="_Toc7906"/>
      <w:bookmarkStart w:id="101" w:name="_Toc20060"/>
      <w:bookmarkStart w:id="102" w:name="_Toc15338"/>
      <w:bookmarkStart w:id="103" w:name="_Toc9915"/>
      <w:r>
        <w:rPr>
          <w:b w:val="0"/>
          <w:bCs w:val="0"/>
        </w:rPr>
        <w:br w:type="textWrapping"/>
      </w:r>
      <w:r>
        <w:rPr>
          <w:rFonts w:hint="eastAsia"/>
          <w:b w:val="0"/>
          <w:bCs w:val="0"/>
        </w:rPr>
        <w:t xml:space="preserve"> </w:t>
      </w:r>
      <w:r>
        <w:rPr>
          <w:b w:val="0"/>
          <w:bCs w:val="0"/>
        </w:rPr>
        <w:t xml:space="preserve">   </w:t>
      </w:r>
      <w:r>
        <w:rPr>
          <w:rFonts w:hint="eastAsia"/>
          <w:b w:val="0"/>
          <w:bCs w:val="0"/>
          <w:lang w:val="en-US" w:eastAsia="zh-CN"/>
        </w:rPr>
        <w:t>中医护理技术</w:t>
      </w:r>
      <w:r>
        <w:rPr>
          <w:rFonts w:hint="eastAsia"/>
          <w:b w:val="0"/>
          <w:bCs w:val="0"/>
        </w:rPr>
        <w:t xml:space="preserve"> </w:t>
      </w:r>
      <w:r>
        <w:rPr>
          <w:rFonts w:hint="eastAsia" w:eastAsia="宋体" w:cs="Times New Roman"/>
          <w:b/>
          <w:bCs/>
          <w:szCs w:val="21"/>
          <w:lang w:val="en-US" w:eastAsia="zh-CN"/>
        </w:rPr>
        <w:t>TCM</w:t>
      </w:r>
      <w:r>
        <w:rPr>
          <w:rFonts w:hint="default" w:ascii="Times New Roman" w:hAnsi="Times New Roman" w:eastAsia="宋体" w:cs="Times New Roman"/>
          <w:b/>
          <w:bCs/>
          <w:szCs w:val="21"/>
          <w:lang w:val="en-US" w:eastAsia="zh-CN"/>
        </w:rPr>
        <w:t xml:space="preserve"> Nursing Techni</w:t>
      </w:r>
      <w:r>
        <w:rPr>
          <w:rFonts w:hint="eastAsia" w:eastAsia="宋体" w:cs="Times New Roman"/>
          <w:b/>
          <w:bCs/>
          <w:szCs w:val="21"/>
          <w:lang w:val="en-US" w:eastAsia="zh-CN"/>
        </w:rPr>
        <w:t>que</w:t>
      </w:r>
      <w:r>
        <w:rPr>
          <w:rFonts w:hint="default" w:ascii="Times New Roman" w:hAnsi="Times New Roman" w:eastAsia="宋体" w:cs="Times New Roman"/>
          <w:b/>
          <w:bCs/>
          <w:szCs w:val="21"/>
          <w:lang w:val="en-US" w:eastAsia="zh-CN"/>
        </w:rPr>
        <w:br w:type="textWrapping"/>
      </w:r>
      <w:bookmarkEnd w:id="83"/>
      <w:bookmarkEnd w:id="84"/>
      <w:bookmarkEnd w:id="85"/>
      <w:bookmarkStart w:id="104" w:name="_Toc132534424"/>
      <w:bookmarkStart w:id="105" w:name="_Toc132534367"/>
      <w:bookmarkStart w:id="106" w:name="_Toc132534403"/>
      <w:r>
        <w:rPr>
          <w:rFonts w:hint="eastAsia"/>
          <w:b w:val="0"/>
          <w:bCs w:val="0"/>
        </w:rPr>
        <w:t xml:space="preserve"> </w:t>
      </w:r>
      <w:r>
        <w:rPr>
          <w:b w:val="0"/>
          <w:bCs w:val="0"/>
        </w:rPr>
        <w:t xml:space="preserve">   </w:t>
      </w:r>
      <w:r>
        <w:rPr>
          <w:rStyle w:val="188"/>
          <w:rFonts w:hint="eastAsia" w:ascii="宋体" w:hAnsi="宋体" w:eastAsia="宋体" w:cs="宋体"/>
          <w:b w:val="0"/>
          <w:bCs w:val="0"/>
        </w:rPr>
        <w:t>在中医理论指导下</w:t>
      </w:r>
      <w:r>
        <w:rPr>
          <w:rStyle w:val="188"/>
          <w:rFonts w:hint="eastAsia" w:ascii="宋体" w:hAnsi="宋体" w:eastAsia="宋体" w:cs="宋体"/>
          <w:b w:val="0"/>
          <w:bCs w:val="0"/>
          <w:lang w:eastAsia="zh-CN"/>
        </w:rPr>
        <w:t>，</w:t>
      </w:r>
      <w:r>
        <w:rPr>
          <w:rStyle w:val="188"/>
          <w:rFonts w:hint="eastAsia" w:ascii="宋体" w:hAnsi="宋体" w:eastAsia="宋体" w:cs="宋体"/>
          <w:b w:val="0"/>
          <w:bCs w:val="0"/>
        </w:rPr>
        <w:t>运用传统中医护理技能和方法</w:t>
      </w:r>
      <w:r>
        <w:rPr>
          <w:rStyle w:val="188"/>
          <w:rFonts w:hint="eastAsia" w:ascii="宋体" w:hAnsi="宋体" w:eastAsia="宋体" w:cs="宋体"/>
          <w:b w:val="0"/>
          <w:bCs w:val="0"/>
          <w:lang w:eastAsia="zh-CN"/>
        </w:rPr>
        <w:t>，</w:t>
      </w:r>
      <w:r>
        <w:rPr>
          <w:rStyle w:val="188"/>
          <w:rFonts w:hint="eastAsia" w:ascii="宋体" w:hAnsi="宋体" w:eastAsia="宋体" w:cs="宋体"/>
          <w:b w:val="0"/>
          <w:bCs w:val="0"/>
        </w:rPr>
        <w:t>以达到预防、保健、康复和诊疗等目的的一系列护理技术。</w:t>
      </w:r>
      <w:bookmarkEnd w:id="98"/>
      <w:bookmarkEnd w:id="99"/>
      <w:bookmarkEnd w:id="100"/>
      <w:bookmarkEnd w:id="101"/>
      <w:bookmarkEnd w:id="102"/>
      <w:bookmarkEnd w:id="103"/>
    </w:p>
    <w:bookmarkEnd w:id="104"/>
    <w:bookmarkEnd w:id="105"/>
    <w:bookmarkEnd w:id="106"/>
    <w:p w14:paraId="68979D87">
      <w:pPr>
        <w:pStyle w:val="108"/>
        <w:spacing w:before="0" w:after="0"/>
        <w:rPr>
          <w:rFonts w:hint="eastAsia"/>
          <w:lang w:val="en-US" w:eastAsia="zh-CN"/>
        </w:rPr>
      </w:pPr>
      <w:bookmarkStart w:id="107" w:name="_Toc11362"/>
      <w:bookmarkStart w:id="108" w:name="_Toc13595"/>
      <w:bookmarkStart w:id="109" w:name="_Toc28628"/>
      <w:bookmarkStart w:id="110" w:name="_Toc14701"/>
      <w:bookmarkStart w:id="111" w:name="_Toc13542"/>
      <w:bookmarkStart w:id="112" w:name="_Toc20551"/>
      <w:bookmarkStart w:id="113" w:name="_Toc24007"/>
      <w:bookmarkStart w:id="114" w:name="_Toc20669"/>
      <w:r>
        <w:rPr>
          <w:rFonts w:hint="eastAsia"/>
          <w:lang w:val="en-US" w:eastAsia="zh-CN"/>
        </w:rPr>
        <w:t>总则</w:t>
      </w:r>
      <w:bookmarkEnd w:id="107"/>
      <w:bookmarkEnd w:id="108"/>
      <w:bookmarkEnd w:id="109"/>
      <w:bookmarkEnd w:id="110"/>
      <w:bookmarkEnd w:id="111"/>
      <w:bookmarkEnd w:id="112"/>
      <w:bookmarkEnd w:id="113"/>
      <w:bookmarkEnd w:id="114"/>
    </w:p>
    <w:p w14:paraId="0FF00968">
      <w:pPr>
        <w:pStyle w:val="109"/>
        <w:spacing w:before="0" w:beforeLines="0" w:after="0" w:afterLines="0"/>
        <w:ind w:left="0" w:leftChars="0" w:firstLine="0" w:firstLineChars="0"/>
        <w:rPr>
          <w:rFonts w:hint="eastAsia" w:ascii="宋体" w:hAnsi="宋体" w:eastAsia="宋体" w:cs="宋体"/>
          <w:highlight w:val="none"/>
          <w:lang w:val="en-US" w:eastAsia="zh-CN"/>
        </w:rPr>
      </w:pPr>
      <w:bookmarkStart w:id="115" w:name="_Toc25607"/>
      <w:bookmarkStart w:id="116" w:name="_Toc8970"/>
      <w:bookmarkStart w:id="117" w:name="_Toc12380"/>
      <w:bookmarkStart w:id="118" w:name="_Toc30990"/>
      <w:bookmarkStart w:id="119" w:name="_Toc16837"/>
      <w:bookmarkStart w:id="120" w:name="_Toc23016"/>
      <w:bookmarkStart w:id="121" w:name="_Toc511"/>
      <w:r>
        <w:rPr>
          <w:rFonts w:hint="eastAsia" w:ascii="宋体" w:hAnsi="宋体" w:eastAsia="宋体" w:cs="宋体"/>
          <w:highlight w:val="none"/>
          <w:lang w:val="en-US" w:eastAsia="zh-CN"/>
        </w:rPr>
        <w:t>积极应对人口老龄化，遵循</w:t>
      </w:r>
      <w:r>
        <w:rPr>
          <w:rFonts w:hint="eastAsia" w:ascii="宋体" w:hAnsi="宋体" w:eastAsia="宋体" w:cs="宋体"/>
          <w:highlight w:val="none"/>
        </w:rPr>
        <w:t>早期防护</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因人施护、</w:t>
      </w:r>
      <w:r>
        <w:rPr>
          <w:rFonts w:hint="eastAsia" w:ascii="宋体" w:hAnsi="宋体" w:eastAsia="宋体" w:cs="宋体"/>
          <w:highlight w:val="none"/>
        </w:rPr>
        <w:t>连续照护</w:t>
      </w:r>
      <w:r>
        <w:rPr>
          <w:rFonts w:hint="eastAsia" w:ascii="宋体" w:hAnsi="宋体" w:eastAsia="宋体" w:cs="宋体"/>
          <w:highlight w:val="none"/>
          <w:lang w:val="en-US" w:eastAsia="zh-CN"/>
        </w:rPr>
        <w:t>的护理原则，充分发挥中医药在老年病预防、治疗和康复中的独特优势。</w:t>
      </w:r>
      <w:bookmarkEnd w:id="115"/>
      <w:bookmarkEnd w:id="116"/>
      <w:bookmarkEnd w:id="117"/>
      <w:bookmarkEnd w:id="118"/>
      <w:bookmarkEnd w:id="119"/>
      <w:bookmarkEnd w:id="120"/>
      <w:bookmarkEnd w:id="121"/>
    </w:p>
    <w:p w14:paraId="650B185B">
      <w:pPr>
        <w:pStyle w:val="109"/>
        <w:spacing w:beforeLines="0" w:afterLines="0"/>
        <w:ind w:left="0" w:firstLine="0" w:firstLineChars="0"/>
        <w:rPr>
          <w:rFonts w:hint="eastAsia" w:ascii="宋体" w:hAnsi="宋体" w:eastAsia="宋体" w:cs="宋体"/>
          <w:lang w:val="en-US" w:eastAsia="zh-CN"/>
        </w:rPr>
      </w:pPr>
      <w:bookmarkStart w:id="122" w:name="_Toc27553"/>
      <w:bookmarkStart w:id="123" w:name="_Toc28346"/>
      <w:bookmarkStart w:id="124" w:name="_Toc27528"/>
      <w:bookmarkStart w:id="125" w:name="_Toc32611"/>
      <w:bookmarkStart w:id="126" w:name="_Toc25991"/>
      <w:bookmarkStart w:id="127" w:name="_Toc18540"/>
      <w:bookmarkStart w:id="128" w:name="_Toc29738"/>
      <w:r>
        <w:rPr>
          <w:rFonts w:hint="eastAsia" w:ascii="宋体" w:hAnsi="宋体" w:eastAsia="宋体" w:cs="宋体"/>
          <w:lang w:val="en-US" w:eastAsia="zh-CN"/>
        </w:rPr>
        <w:t>本标准可指导</w:t>
      </w:r>
      <w:r>
        <w:rPr>
          <w:rFonts w:hint="eastAsia" w:ascii="宋体" w:hAnsi="宋体" w:eastAsia="宋体" w:cs="宋体"/>
          <w:highlight w:val="none"/>
          <w:lang w:val="en-US" w:eastAsia="zh-CN"/>
        </w:rPr>
        <w:t>中医医疗机构老年病科管理者加强老年病科规范化建设</w:t>
      </w:r>
      <w:r>
        <w:rPr>
          <w:rFonts w:hint="eastAsia" w:ascii="宋体" w:hAnsi="宋体" w:eastAsia="宋体" w:cs="宋体"/>
          <w:lang w:val="en-US" w:eastAsia="zh-CN"/>
        </w:rPr>
        <w:t>，</w:t>
      </w:r>
      <w:bookmarkEnd w:id="122"/>
      <w:bookmarkEnd w:id="123"/>
      <w:r>
        <w:rPr>
          <w:rFonts w:hint="eastAsia" w:ascii="宋体" w:hAnsi="宋体" w:eastAsia="宋体" w:cs="宋体"/>
          <w:lang w:val="en-US" w:eastAsia="zh-CN"/>
        </w:rPr>
        <w:t>同时可作为中医医疗机构老年病科开展评价工作的参考和依据。</w:t>
      </w:r>
      <w:bookmarkEnd w:id="124"/>
      <w:bookmarkEnd w:id="125"/>
      <w:bookmarkEnd w:id="126"/>
      <w:bookmarkEnd w:id="127"/>
      <w:bookmarkEnd w:id="128"/>
      <w:bookmarkStart w:id="129" w:name="_Toc132534369"/>
      <w:bookmarkStart w:id="130" w:name="_Toc132534405"/>
    </w:p>
    <w:p w14:paraId="4B923936">
      <w:pPr>
        <w:pStyle w:val="109"/>
        <w:spacing w:before="0" w:beforeLines="0" w:after="0" w:afterLines="0"/>
        <w:ind w:leftChars="0" w:firstLineChars="0"/>
        <w:rPr>
          <w:rFonts w:hint="eastAsia" w:ascii="宋体" w:hAnsi="宋体" w:eastAsia="宋体" w:cs="宋体"/>
          <w:lang w:val="en-US" w:eastAsia="zh-CN"/>
        </w:rPr>
      </w:pPr>
      <w:bookmarkStart w:id="131" w:name="_Toc24611"/>
      <w:bookmarkStart w:id="132" w:name="_Toc28156"/>
      <w:bookmarkStart w:id="133" w:name="_Toc16890"/>
      <w:bookmarkStart w:id="134" w:name="_Toc19573"/>
      <w:bookmarkStart w:id="135" w:name="_Toc8858"/>
      <w:bookmarkStart w:id="136" w:name="_Toc9872"/>
      <w:bookmarkStart w:id="137" w:name="_Toc2530"/>
      <w:r>
        <w:rPr>
          <w:rFonts w:hint="eastAsia" w:ascii="宋体" w:hAnsi="宋体" w:eastAsia="宋体" w:cs="宋体"/>
          <w:lang w:val="en-US" w:eastAsia="zh-CN"/>
        </w:rPr>
        <w:t>中医医疗机构老年病科的中医护理技术除应符合本标准的规定外，尚应符合国家现行有关</w:t>
      </w:r>
      <w:bookmarkEnd w:id="131"/>
      <w:bookmarkEnd w:id="132"/>
      <w:bookmarkStart w:id="138" w:name="_Toc30970"/>
      <w:bookmarkStart w:id="139" w:name="_Toc27393"/>
      <w:r>
        <w:rPr>
          <w:rFonts w:hint="eastAsia" w:ascii="宋体" w:hAnsi="宋体" w:eastAsia="宋体" w:cs="宋体"/>
          <w:lang w:val="en-US" w:eastAsia="zh-CN"/>
        </w:rPr>
        <w:t>标准的要求。</w:t>
      </w:r>
      <w:bookmarkEnd w:id="133"/>
      <w:bookmarkEnd w:id="134"/>
      <w:bookmarkEnd w:id="135"/>
      <w:bookmarkEnd w:id="136"/>
      <w:bookmarkEnd w:id="137"/>
      <w:bookmarkEnd w:id="138"/>
      <w:bookmarkEnd w:id="139"/>
    </w:p>
    <w:bookmarkEnd w:id="129"/>
    <w:bookmarkEnd w:id="130"/>
    <w:p w14:paraId="6F4CB8CC">
      <w:pPr>
        <w:pStyle w:val="108"/>
        <w:spacing w:before="0" w:after="0"/>
      </w:pPr>
      <w:bookmarkStart w:id="140" w:name="_Toc31810"/>
      <w:bookmarkStart w:id="141" w:name="_Toc26576"/>
      <w:bookmarkStart w:id="142" w:name="_Toc4889"/>
      <w:bookmarkStart w:id="143" w:name="_Toc23873"/>
      <w:bookmarkStart w:id="144" w:name="_Toc16356"/>
      <w:bookmarkStart w:id="145" w:name="_Toc7168"/>
      <w:bookmarkStart w:id="146" w:name="_Toc27025"/>
      <w:bookmarkStart w:id="147" w:name="_Toc17422"/>
      <w:bookmarkStart w:id="148" w:name="OLE_LINK21"/>
      <w:r>
        <w:rPr>
          <w:rFonts w:hint="eastAsia"/>
          <w:lang w:val="en-US" w:eastAsia="zh-CN"/>
        </w:rPr>
        <w:t>建设</w:t>
      </w:r>
      <w:bookmarkEnd w:id="140"/>
      <w:r>
        <w:rPr>
          <w:rFonts w:hint="eastAsia"/>
          <w:lang w:val="en-US" w:eastAsia="zh-CN"/>
        </w:rPr>
        <w:t>要求</w:t>
      </w:r>
      <w:bookmarkEnd w:id="141"/>
      <w:bookmarkEnd w:id="142"/>
      <w:bookmarkEnd w:id="143"/>
      <w:bookmarkEnd w:id="144"/>
      <w:bookmarkEnd w:id="145"/>
      <w:bookmarkEnd w:id="146"/>
      <w:bookmarkEnd w:id="147"/>
    </w:p>
    <w:bookmarkEnd w:id="148"/>
    <w:p w14:paraId="3BA1188C">
      <w:pPr>
        <w:pStyle w:val="109"/>
        <w:spacing w:before="0" w:after="0"/>
      </w:pPr>
      <w:bookmarkStart w:id="149" w:name="_Toc29013"/>
      <w:bookmarkStart w:id="150" w:name="_Toc16761"/>
      <w:bookmarkStart w:id="151" w:name="_Toc1929"/>
      <w:bookmarkStart w:id="152" w:name="_Toc19310"/>
      <w:bookmarkStart w:id="153" w:name="_Toc12497"/>
      <w:bookmarkStart w:id="154" w:name="_Toc5779"/>
      <w:bookmarkStart w:id="155" w:name="_Toc31982"/>
      <w:bookmarkStart w:id="156" w:name="_Toc23021"/>
      <w:r>
        <w:rPr>
          <w:rFonts w:hint="eastAsia"/>
          <w:lang w:val="en-US" w:eastAsia="zh-CN"/>
        </w:rPr>
        <w:t>布局</w:t>
      </w:r>
      <w:bookmarkEnd w:id="149"/>
      <w:bookmarkEnd w:id="150"/>
      <w:r>
        <w:rPr>
          <w:rFonts w:hint="eastAsia"/>
          <w:lang w:val="en-US" w:eastAsia="zh-CN"/>
        </w:rPr>
        <w:t>要求</w:t>
      </w:r>
      <w:bookmarkEnd w:id="151"/>
      <w:bookmarkEnd w:id="152"/>
      <w:bookmarkEnd w:id="153"/>
      <w:bookmarkEnd w:id="154"/>
      <w:bookmarkEnd w:id="155"/>
      <w:bookmarkEnd w:id="156"/>
    </w:p>
    <w:p w14:paraId="495F55F0">
      <w:pPr>
        <w:pStyle w:val="169"/>
        <w:autoSpaceDE/>
        <w:autoSpaceDN/>
        <w:spacing w:before="0" w:beforeLines="0" w:after="0" w:afterLines="0"/>
        <w:ind w:left="0" w:leftChars="0" w:firstLineChars="0"/>
        <w:jc w:val="left"/>
        <w:rPr>
          <w:rFonts w:hint="eastAsia" w:ascii="宋体" w:hAnsi="宋体" w:eastAsia="宋体" w:cs="宋体"/>
          <w:color w:val="C00000"/>
          <w:highlight w:val="none"/>
          <w:vertAlign w:val="baseline"/>
          <w:lang w:val="en-US" w:eastAsia="zh-CN"/>
        </w:rPr>
      </w:pPr>
      <w:r>
        <w:rPr>
          <w:rFonts w:hint="eastAsia" w:ascii="宋体" w:hAnsi="宋体" w:eastAsia="宋体" w:cs="宋体"/>
          <w:sz w:val="21"/>
          <w:lang w:val="en-US" w:eastAsia="zh-CN" w:bidi="ar-SA"/>
        </w:rPr>
        <w:t>老年病科应布局合理，设置病房</w:t>
      </w:r>
      <w:r>
        <w:rPr>
          <w:rFonts w:hint="eastAsia" w:cs="宋体"/>
          <w:sz w:val="21"/>
          <w:lang w:val="en-US" w:eastAsia="zh-CN" w:bidi="ar-SA"/>
        </w:rPr>
        <w:t>、综合评估室和</w:t>
      </w:r>
      <w:r>
        <w:rPr>
          <w:rFonts w:hint="eastAsia" w:ascii="宋体" w:hAnsi="宋体" w:eastAsia="宋体" w:cs="宋体"/>
          <w:sz w:val="21"/>
          <w:lang w:val="en-US" w:eastAsia="zh-CN" w:bidi="ar-SA"/>
        </w:rPr>
        <w:t>中医治疗室</w:t>
      </w:r>
      <w:r>
        <w:rPr>
          <w:rFonts w:hint="eastAsia" w:cs="宋体"/>
          <w:sz w:val="21"/>
          <w:lang w:val="en-US" w:eastAsia="zh-CN" w:bidi="ar-SA"/>
        </w:rPr>
        <w:t>。符合《</w:t>
      </w:r>
      <w:r>
        <w:rPr>
          <w:rFonts w:hint="eastAsia" w:cs="宋体"/>
        </w:rPr>
        <w:t>老年医学科建设与管理指南（试行）</w:t>
      </w:r>
      <w:r>
        <w:rPr>
          <w:rFonts w:hint="eastAsia" w:cs="宋体"/>
          <w:lang w:eastAsia="zh-CN"/>
        </w:rPr>
        <w:t>》</w:t>
      </w:r>
      <w:r>
        <w:rPr>
          <w:rFonts w:hint="eastAsia" w:cs="宋体"/>
          <w:lang w:val="en-US" w:eastAsia="zh-CN"/>
        </w:rPr>
        <w:t>的相关要求。</w:t>
      </w:r>
    </w:p>
    <w:p w14:paraId="7D0836ED">
      <w:pPr>
        <w:pStyle w:val="169"/>
        <w:autoSpaceDE/>
        <w:autoSpaceDN/>
        <w:spacing w:before="0" w:beforeLines="0" w:after="0" w:afterLines="0"/>
        <w:ind w:left="0" w:leftChars="0" w:firstLineChars="0"/>
        <w:jc w:val="left"/>
        <w:rPr>
          <w:rFonts w:hint="default" w:ascii="宋体" w:hAnsi="宋体" w:eastAsia="宋体" w:cs="宋体"/>
          <w:lang w:val="en-US" w:eastAsia="zh-CN"/>
        </w:rPr>
      </w:pPr>
      <w:r>
        <w:rPr>
          <w:rFonts w:hint="eastAsia" w:cs="宋体"/>
          <w:lang w:val="en-US" w:eastAsia="zh-CN"/>
        </w:rPr>
        <w:t>病房</w:t>
      </w:r>
      <w:r>
        <w:rPr>
          <w:rFonts w:hint="eastAsia" w:cs="宋体"/>
        </w:rPr>
        <w:t>床位数原则上不低于30张</w:t>
      </w:r>
      <w:r>
        <w:rPr>
          <w:rFonts w:hint="eastAsia" w:cs="宋体"/>
          <w:vertAlign w:val="baseline"/>
          <w:lang w:val="en-US" w:eastAsia="zh-CN"/>
        </w:rPr>
        <w:t>,符合《</w:t>
      </w:r>
      <w:r>
        <w:rPr>
          <w:rFonts w:hint="eastAsia" w:cs="宋体"/>
        </w:rPr>
        <w:t>中医医院老年病科建设</w:t>
      </w:r>
      <w:r>
        <w:rPr>
          <w:rFonts w:hint="eastAsia" w:cs="宋体"/>
          <w:lang w:eastAsia="zh-CN"/>
        </w:rPr>
        <w:t>》</w:t>
      </w:r>
      <w:r>
        <w:rPr>
          <w:rFonts w:hint="eastAsia" w:cs="宋体"/>
        </w:rPr>
        <w:t>的</w:t>
      </w:r>
      <w:r>
        <w:rPr>
          <w:rFonts w:hint="eastAsia" w:cs="宋体"/>
          <w:lang w:val="en-US" w:eastAsia="zh-CN"/>
        </w:rPr>
        <w:t>相关要求</w:t>
      </w:r>
      <w:r>
        <w:rPr>
          <w:rFonts w:hint="eastAsia" w:ascii="宋体" w:hAnsi="宋体" w:eastAsia="宋体" w:cs="宋体"/>
          <w:lang w:val="en-US" w:eastAsia="zh-CN"/>
        </w:rPr>
        <w:t>。</w:t>
      </w:r>
    </w:p>
    <w:p w14:paraId="0DEE4016">
      <w:pPr>
        <w:pStyle w:val="169"/>
        <w:spacing w:before="0" w:beforeLines="0" w:after="0" w:afterLines="0"/>
        <w:ind w:leftChars="0"/>
        <w:rPr>
          <w:rFonts w:hint="eastAsia" w:ascii="宋体" w:hAnsi="宋体" w:eastAsia="宋体" w:cs="宋体"/>
          <w:lang w:val="en-US" w:eastAsia="zh-CN"/>
        </w:rPr>
      </w:pPr>
      <w:r>
        <w:rPr>
          <w:rFonts w:hint="eastAsia" w:ascii="宋体" w:hAnsi="宋体" w:eastAsia="宋体" w:cs="宋体"/>
          <w:lang w:val="en-US" w:eastAsia="zh-CN"/>
        </w:rPr>
        <w:t>中医治疗室宜相对独立</w:t>
      </w:r>
      <w:r>
        <w:rPr>
          <w:rFonts w:hint="eastAsia" w:cs="宋体"/>
          <w:lang w:val="en-US" w:eastAsia="zh-CN"/>
        </w:rPr>
        <w:t>，</w:t>
      </w:r>
      <w:r>
        <w:rPr>
          <w:rFonts w:hint="eastAsia" w:ascii="宋体" w:hAnsi="宋体" w:eastAsia="宋体" w:cs="宋体"/>
          <w:lang w:val="en-US" w:eastAsia="zh-CN"/>
        </w:rPr>
        <w:t>总使用面积≥20m</w:t>
      </w:r>
      <w:r>
        <w:rPr>
          <w:rFonts w:hint="default" w:ascii="宋体" w:hAnsi="宋体" w:eastAsia="宋体" w:cs="宋体"/>
          <w:sz w:val="21"/>
          <w:vertAlign w:val="superscript"/>
          <w:lang w:val="en-US" w:eastAsia="zh-CN" w:bidi="ar-SA"/>
        </w:rPr>
        <w:t>2</w:t>
      </w:r>
      <w:r>
        <w:rPr>
          <w:rFonts w:hint="default" w:ascii="宋体" w:hAnsi="宋体" w:eastAsia="宋体" w:cs="宋体"/>
          <w:sz w:val="21"/>
          <w:vertAlign w:val="baseline"/>
          <w:lang w:val="en-US" w:eastAsia="zh-CN" w:bidi="ar-SA"/>
        </w:rPr>
        <w:t>，</w:t>
      </w:r>
      <w:r>
        <w:rPr>
          <w:rFonts w:hint="eastAsia" w:ascii="宋体" w:hAnsi="宋体" w:eastAsia="宋体" w:cs="宋体"/>
          <w:lang w:val="en-US" w:eastAsia="zh-CN"/>
        </w:rPr>
        <w:t>符合</w:t>
      </w:r>
      <w:r>
        <w:rPr>
          <w:rFonts w:ascii="宋体" w:hAnsi="宋体" w:eastAsia="宋体" w:cs="宋体"/>
        </w:rPr>
        <w:t>《中医医院中医综合治疗区（室）基本要求》</w:t>
      </w:r>
      <w:r>
        <w:rPr>
          <w:rFonts w:hint="eastAsia" w:cs="宋体"/>
          <w:lang w:eastAsia="zh-CN"/>
        </w:rPr>
        <w:t>。</w:t>
      </w:r>
    </w:p>
    <w:p w14:paraId="0B10F709">
      <w:pPr>
        <w:pStyle w:val="169"/>
        <w:spacing w:before="0" w:beforeLines="0" w:after="0" w:afterLines="0"/>
        <w:ind w:left="0" w:leftChars="0" w:firstLineChars="0"/>
        <w:rPr>
          <w:rFonts w:hint="eastAsia" w:ascii="宋体" w:hAnsi="宋体" w:eastAsia="宋体" w:cs="宋体"/>
          <w:lang w:val="en-US" w:eastAsia="zh-CN" w:bidi="ar-SA"/>
        </w:rPr>
      </w:pPr>
      <w:r>
        <w:rPr>
          <w:rFonts w:hint="eastAsia" w:ascii="宋体" w:hAnsi="宋体" w:eastAsia="宋体" w:cs="宋体"/>
          <w:lang w:val="en-US" w:eastAsia="zh-CN"/>
        </w:rPr>
        <w:t>各治疗床之间</w:t>
      </w:r>
      <w:r>
        <w:rPr>
          <w:rFonts w:hint="eastAsia" w:cs="宋体"/>
          <w:lang w:val="en-US" w:eastAsia="zh-CN"/>
        </w:rPr>
        <w:t>应</w:t>
      </w:r>
      <w:r>
        <w:rPr>
          <w:rFonts w:hint="eastAsia" w:ascii="宋体" w:hAnsi="宋体" w:eastAsia="宋体" w:cs="宋体"/>
          <w:lang w:val="en-US" w:eastAsia="zh-CN"/>
        </w:rPr>
        <w:t>设置保护患者隐私的装置（全包围床帘、窗帘等），充分保护患者隐私，采光照明通风良好。</w:t>
      </w:r>
    </w:p>
    <w:p w14:paraId="5B91DEF7">
      <w:pPr>
        <w:pStyle w:val="109"/>
        <w:spacing w:before="0" w:after="0"/>
      </w:pPr>
      <w:bookmarkStart w:id="157" w:name="_Toc9548"/>
      <w:bookmarkStart w:id="158" w:name="_Toc25355"/>
      <w:bookmarkStart w:id="159" w:name="_Toc19901"/>
      <w:bookmarkStart w:id="160" w:name="_Toc11491"/>
      <w:bookmarkStart w:id="161" w:name="_Toc22564"/>
      <w:bookmarkStart w:id="162" w:name="_Toc20038"/>
      <w:bookmarkStart w:id="163" w:name="_Toc18346"/>
      <w:bookmarkStart w:id="164" w:name="_Toc26591"/>
      <w:r>
        <w:rPr>
          <w:rFonts w:hint="eastAsia"/>
          <w:lang w:val="en-US" w:eastAsia="zh-CN"/>
        </w:rPr>
        <w:t>环境条件</w:t>
      </w:r>
      <w:bookmarkEnd w:id="157"/>
      <w:bookmarkEnd w:id="158"/>
      <w:bookmarkEnd w:id="159"/>
      <w:bookmarkEnd w:id="160"/>
      <w:bookmarkEnd w:id="161"/>
      <w:bookmarkEnd w:id="162"/>
      <w:bookmarkEnd w:id="163"/>
      <w:bookmarkEnd w:id="164"/>
    </w:p>
    <w:p w14:paraId="64963CF0">
      <w:pPr>
        <w:pStyle w:val="169"/>
        <w:spacing w:before="0" w:beforeLines="0" w:after="0" w:afterLines="0"/>
        <w:ind w:left="0" w:leftChars="0" w:firstLineChars="0"/>
      </w:pPr>
      <w:bookmarkStart w:id="165" w:name="OLE_LINK15"/>
      <w:r>
        <w:rPr>
          <w:rFonts w:hint="eastAsia" w:hAnsi="Times New Roman" w:cs="宋体"/>
          <w:vertAlign w:val="baseline"/>
          <w:lang w:val="en-US" w:eastAsia="zh-CN" w:bidi="ar-SA"/>
        </w:rPr>
        <w:t>病区内环境条件应符合</w:t>
      </w:r>
      <w:r>
        <w:rPr>
          <w:rFonts w:hint="eastAsia" w:hAnsi="Times New Roman" w:cs="宋体"/>
        </w:rPr>
        <w:t>《老年友善医疗机构评定技术规范》DB11/T 1964—2022</w:t>
      </w:r>
      <w:r>
        <w:rPr>
          <w:rFonts w:hint="eastAsia" w:hAnsi="Times New Roman" w:cs="宋体"/>
          <w:lang w:val="en-US" w:eastAsia="zh-CN"/>
        </w:rPr>
        <w:t>的要求。</w:t>
      </w:r>
    </w:p>
    <w:p w14:paraId="592D2BF7">
      <w:pPr>
        <w:pStyle w:val="169"/>
        <w:spacing w:before="0" w:beforeLines="0" w:after="0" w:afterLines="0"/>
        <w:ind w:left="0" w:leftChars="0" w:firstLineChars="0"/>
        <w:rPr>
          <w:rFonts w:hint="default" w:cs="宋体"/>
          <w:lang w:val="en-US" w:eastAsia="zh-CN"/>
        </w:rPr>
      </w:pPr>
      <w:r>
        <w:rPr>
          <w:rFonts w:hint="eastAsia"/>
          <w:lang w:val="en-US" w:eastAsia="zh-CN"/>
        </w:rPr>
        <w:t>病区温度以22～24℃为宜，湿度以50％～60％为宜</w:t>
      </w:r>
      <w:r>
        <w:rPr>
          <w:rFonts w:hint="eastAsia" w:cs="宋体"/>
          <w:lang w:eastAsia="zh-CN"/>
        </w:rPr>
        <w:t>。</w:t>
      </w:r>
    </w:p>
    <w:p w14:paraId="7CF97AB4">
      <w:pPr>
        <w:pStyle w:val="169"/>
        <w:spacing w:before="0" w:beforeLines="0" w:after="0" w:afterLines="0"/>
        <w:ind w:left="0" w:leftChars="0" w:firstLineChars="0"/>
        <w:rPr>
          <w:rFonts w:hint="default" w:cs="宋体"/>
          <w:lang w:val="en-US" w:eastAsia="zh-CN"/>
        </w:rPr>
      </w:pPr>
      <w:r>
        <w:rPr>
          <w:rFonts w:hint="eastAsia" w:cs="宋体"/>
          <w:lang w:val="en-US" w:eastAsia="zh-CN"/>
        </w:rPr>
        <w:t>噪声限值应符合GB 3096-2008</w:t>
      </w:r>
      <w:r>
        <w:rPr>
          <w:rFonts w:cs="宋体"/>
        </w:rPr>
        <w:t>对医疗卫生机构的</w:t>
      </w:r>
      <w:r>
        <w:rPr>
          <w:rFonts w:hint="eastAsia" w:cs="宋体"/>
          <w:lang w:val="en-US" w:eastAsia="zh-CN"/>
        </w:rPr>
        <w:t>相关</w:t>
      </w:r>
      <w:r>
        <w:rPr>
          <w:rFonts w:cs="宋体"/>
        </w:rPr>
        <w:t>规定：</w:t>
      </w:r>
      <w:r>
        <w:rPr>
          <w:rFonts w:hint="eastAsia" w:cs="宋体"/>
        </w:rPr>
        <w:t>昼间</w:t>
      </w:r>
      <w:r>
        <w:rPr>
          <w:rFonts w:hint="eastAsia" w:cs="宋体"/>
          <w:lang w:val="en-US" w:eastAsia="zh-CN"/>
        </w:rPr>
        <w:t>≤</w:t>
      </w:r>
      <w:r>
        <w:rPr>
          <w:rFonts w:hint="eastAsia" w:cs="宋体"/>
        </w:rPr>
        <w:t>55dB(A)</w:t>
      </w:r>
      <w:r>
        <w:rPr>
          <w:rFonts w:hint="eastAsia" w:cs="宋体"/>
          <w:lang w:eastAsia="zh-CN"/>
        </w:rPr>
        <w:t>，</w:t>
      </w:r>
      <w:r>
        <w:rPr>
          <w:rFonts w:hint="eastAsia" w:cs="宋体"/>
        </w:rPr>
        <w:t>夜间</w:t>
      </w:r>
      <w:r>
        <w:rPr>
          <w:rFonts w:hint="eastAsia" w:cs="宋体"/>
          <w:lang w:val="en-US" w:eastAsia="zh-CN"/>
        </w:rPr>
        <w:t>≤</w:t>
      </w:r>
      <w:r>
        <w:rPr>
          <w:rFonts w:hint="eastAsia" w:cs="宋体"/>
        </w:rPr>
        <w:t>45dB(A)</w:t>
      </w:r>
      <w:r>
        <w:rPr>
          <w:rFonts w:hint="eastAsia" w:cs="宋体"/>
          <w:lang w:val="en-US" w:eastAsia="zh-CN"/>
        </w:rPr>
        <w:t>。</w:t>
      </w:r>
    </w:p>
    <w:bookmarkEnd w:id="165"/>
    <w:p w14:paraId="44B76C96">
      <w:pPr>
        <w:pStyle w:val="169"/>
        <w:spacing w:before="0" w:beforeLines="0" w:after="0" w:afterLines="0"/>
        <w:ind w:left="0" w:leftChars="0" w:firstLineChars="0"/>
        <w:rPr>
          <w:rFonts w:hint="default" w:ascii="宋体" w:hAnsi="Times New Roman" w:eastAsia="宋体" w:cs="宋体"/>
          <w:vertAlign w:val="baseline"/>
          <w:lang w:val="en-US" w:eastAsia="zh-CN" w:bidi="ar-SA"/>
        </w:rPr>
      </w:pPr>
      <w:r>
        <w:rPr>
          <w:rFonts w:hint="eastAsia" w:cs="宋体"/>
          <w:lang w:val="en-US" w:eastAsia="zh-CN"/>
        </w:rPr>
        <w:t>病区、走廊、护士站、治疗室应符合GB 50034-2024的医疗建筑照明标准值</w:t>
      </w:r>
    </w:p>
    <w:p w14:paraId="06028A05">
      <w:pPr>
        <w:pStyle w:val="169"/>
        <w:spacing w:before="0" w:beforeLines="0" w:after="0" w:afterLines="0"/>
        <w:ind w:left="0" w:leftChars="0" w:firstLineChars="0"/>
        <w:rPr>
          <w:rFonts w:hint="default" w:ascii="宋体" w:hAnsi="Times New Roman" w:eastAsia="宋体" w:cs="宋体"/>
          <w:vertAlign w:val="baseline"/>
          <w:lang w:val="en-US" w:eastAsia="zh-CN" w:bidi="ar-SA"/>
        </w:rPr>
      </w:pPr>
      <w:r>
        <w:rPr>
          <w:rFonts w:hint="eastAsia" w:cs="宋体"/>
        </w:rPr>
        <w:t>室内空气质量</w:t>
      </w:r>
      <w:r>
        <w:rPr>
          <w:rFonts w:hint="eastAsia" w:cs="宋体"/>
          <w:lang w:val="en-US" w:eastAsia="zh-CN"/>
        </w:rPr>
        <w:t>应</w:t>
      </w:r>
      <w:r>
        <w:rPr>
          <w:rFonts w:hint="eastAsia" w:cs="宋体"/>
        </w:rPr>
        <w:t>符合WS/T</w:t>
      </w:r>
      <w:r>
        <w:rPr>
          <w:rFonts w:hint="eastAsia" w:cs="宋体"/>
          <w:lang w:val="en-US" w:eastAsia="zh-CN"/>
        </w:rPr>
        <w:t xml:space="preserve"> </w:t>
      </w:r>
      <w:r>
        <w:rPr>
          <w:rFonts w:hint="eastAsia" w:cs="宋体"/>
        </w:rPr>
        <w:t>368</w:t>
      </w:r>
      <w:r>
        <w:rPr>
          <w:rFonts w:hint="eastAsia" w:cs="宋体"/>
          <w:lang w:val="en-US" w:eastAsia="zh-CN"/>
        </w:rPr>
        <w:t>-2012中的相关要求</w:t>
      </w:r>
      <w:r>
        <w:rPr>
          <w:rFonts w:hint="eastAsia" w:cs="宋体"/>
          <w:lang w:eastAsia="zh-CN"/>
        </w:rPr>
        <w:t>。</w:t>
      </w:r>
    </w:p>
    <w:p w14:paraId="5051B629">
      <w:pPr>
        <w:pStyle w:val="109"/>
        <w:rPr>
          <w:rFonts w:hint="default"/>
          <w:lang w:val="en-US" w:eastAsia="zh-CN"/>
        </w:rPr>
      </w:pPr>
      <w:r>
        <w:rPr>
          <w:rFonts w:hint="eastAsia"/>
          <w:lang w:val="en-US" w:eastAsia="zh-CN"/>
        </w:rPr>
        <w:t xml:space="preserve"> </w:t>
      </w:r>
      <w:bookmarkStart w:id="166" w:name="_Toc23630"/>
      <w:bookmarkStart w:id="167" w:name="_Toc22301"/>
      <w:bookmarkStart w:id="168" w:name="_Toc29292"/>
      <w:bookmarkStart w:id="169" w:name="_Toc20388"/>
      <w:bookmarkStart w:id="170" w:name="_Toc19467"/>
      <w:bookmarkStart w:id="171" w:name="_Toc18805"/>
      <w:bookmarkStart w:id="172" w:name="_Toc27113"/>
      <w:bookmarkStart w:id="173" w:name="_Toc10400"/>
      <w:r>
        <w:rPr>
          <w:rFonts w:hint="eastAsia"/>
          <w:lang w:val="en-US" w:eastAsia="zh-CN"/>
        </w:rPr>
        <w:t>设施设备</w:t>
      </w:r>
      <w:bookmarkEnd w:id="166"/>
      <w:bookmarkEnd w:id="167"/>
      <w:bookmarkEnd w:id="168"/>
      <w:bookmarkEnd w:id="169"/>
      <w:bookmarkEnd w:id="170"/>
      <w:bookmarkEnd w:id="171"/>
      <w:bookmarkEnd w:id="172"/>
      <w:bookmarkEnd w:id="173"/>
    </w:p>
    <w:p w14:paraId="6B3006EC">
      <w:pPr>
        <w:pStyle w:val="169"/>
        <w:spacing w:before="0" w:beforeLines="0" w:after="0" w:afterLines="0"/>
        <w:rPr>
          <w:rFonts w:hint="default"/>
          <w:lang w:val="en-US" w:eastAsia="zh-CN"/>
        </w:rPr>
      </w:pPr>
      <w:r>
        <w:rPr>
          <w:rFonts w:hint="eastAsia"/>
          <w:lang w:val="en-US" w:eastAsia="zh-CN"/>
        </w:rPr>
        <w:t>老年病科标志标识应符合GB/T 10001.1-2023的相关要求。</w:t>
      </w:r>
    </w:p>
    <w:p w14:paraId="676DFDB6">
      <w:pPr>
        <w:pStyle w:val="169"/>
        <w:spacing w:before="0" w:beforeLines="0" w:after="0" w:afterLines="0"/>
        <w:rPr>
          <w:rFonts w:hint="default"/>
          <w:lang w:val="en-US" w:eastAsia="zh-CN"/>
        </w:rPr>
      </w:pPr>
      <w:r>
        <w:rPr>
          <w:rFonts w:hint="default"/>
          <w:lang w:val="en-US" w:eastAsia="zh-CN"/>
        </w:rPr>
        <w:t>老年病</w:t>
      </w:r>
      <w:r>
        <w:rPr>
          <w:rFonts w:hint="eastAsia"/>
          <w:lang w:val="en-US" w:eastAsia="zh-CN"/>
        </w:rPr>
        <w:t>房</w:t>
      </w:r>
      <w:r>
        <w:rPr>
          <w:rFonts w:hint="default"/>
          <w:lang w:val="en-US" w:eastAsia="zh-CN"/>
        </w:rPr>
        <w:t>应</w:t>
      </w:r>
      <w:r>
        <w:rPr>
          <w:rFonts w:hint="eastAsia"/>
          <w:lang w:val="en-US" w:eastAsia="zh-CN"/>
        </w:rPr>
        <w:t>配置</w:t>
      </w:r>
      <w:r>
        <w:rPr>
          <w:rFonts w:hint="default"/>
          <w:lang w:val="en-US" w:eastAsia="zh-CN"/>
        </w:rPr>
        <w:t>基本设备</w:t>
      </w:r>
      <w:r>
        <w:rPr>
          <w:rFonts w:hint="eastAsia"/>
          <w:lang w:val="en-US" w:eastAsia="zh-CN"/>
        </w:rPr>
        <w:t>、</w:t>
      </w:r>
      <w:r>
        <w:rPr>
          <w:rFonts w:hint="default"/>
          <w:lang w:val="en-US" w:eastAsia="zh-CN"/>
        </w:rPr>
        <w:t>抢救设备以及其他与开展老年</w:t>
      </w:r>
      <w:r>
        <w:rPr>
          <w:rFonts w:hint="eastAsia"/>
          <w:lang w:val="en-US" w:eastAsia="zh-CN"/>
        </w:rPr>
        <w:t>病科</w:t>
      </w:r>
      <w:r>
        <w:rPr>
          <w:rFonts w:hint="default"/>
          <w:lang w:val="en-US" w:eastAsia="zh-CN"/>
        </w:rPr>
        <w:t>诊疗业务相应的设备。</w:t>
      </w:r>
    </w:p>
    <w:p w14:paraId="57BF23C9">
      <w:pPr>
        <w:pStyle w:val="169"/>
        <w:spacing w:before="0" w:beforeLines="0" w:after="0" w:afterLines="0"/>
        <w:rPr>
          <w:rFonts w:hint="default"/>
          <w:lang w:val="en-US" w:eastAsia="zh-CN"/>
        </w:rPr>
      </w:pPr>
      <w:r>
        <w:rPr>
          <w:rFonts w:hint="eastAsia"/>
          <w:lang w:val="en-US" w:eastAsia="zh-CN"/>
        </w:rPr>
        <w:t>综合评估室设施设备应符合</w:t>
      </w:r>
      <w:r>
        <w:rPr>
          <w:rFonts w:hint="eastAsia"/>
        </w:rPr>
        <w:t>DB23/T 3276—2022</w:t>
      </w:r>
      <w:r>
        <w:rPr>
          <w:rFonts w:hint="eastAsia"/>
          <w:lang w:val="en-US" w:eastAsia="zh-CN"/>
        </w:rPr>
        <w:t>的相关要求。</w:t>
      </w:r>
    </w:p>
    <w:p w14:paraId="09DAF25D">
      <w:pPr>
        <w:pStyle w:val="169"/>
        <w:spacing w:before="0" w:beforeLines="0" w:after="0" w:afterLines="0"/>
        <w:rPr>
          <w:rFonts w:hint="default"/>
          <w:lang w:val="en-US" w:eastAsia="zh-CN"/>
        </w:rPr>
      </w:pPr>
      <w:r>
        <w:rPr>
          <w:rFonts w:hint="default"/>
          <w:lang w:val="en-US" w:eastAsia="zh-CN"/>
        </w:rPr>
        <w:t>中医治疗室应根据中医技术开展情况</w:t>
      </w:r>
      <w:r>
        <w:rPr>
          <w:rFonts w:ascii="fangsong_GB2312" w:hAnsi="fangsong_GB2312" w:eastAsia="fangsong_GB2312" w:cs="fangsong_GB2312"/>
          <w:i w:val="0"/>
          <w:iCs w:val="0"/>
          <w:caps w:val="0"/>
          <w:color w:val="000000"/>
          <w:spacing w:val="0"/>
          <w:sz w:val="21"/>
          <w:szCs w:val="21"/>
        </w:rPr>
        <w:t>配置中医诊疗设备</w:t>
      </w:r>
      <w:r>
        <w:rPr>
          <w:rFonts w:hint="eastAsia"/>
          <w:lang w:val="en-US" w:eastAsia="zh-CN"/>
        </w:rPr>
        <w:t>，</w:t>
      </w:r>
      <w:r>
        <w:rPr>
          <w:rFonts w:hint="default"/>
          <w:lang w:val="en-US" w:eastAsia="zh-CN"/>
        </w:rPr>
        <w:t>符合《中医医院医疗设备配置标准（试行）》</w:t>
      </w:r>
      <w:r>
        <w:rPr>
          <w:rFonts w:hint="eastAsia"/>
          <w:lang w:val="en-US" w:eastAsia="zh-CN"/>
        </w:rPr>
        <w:t>的</w:t>
      </w:r>
      <w:r>
        <w:rPr>
          <w:rFonts w:hint="default"/>
          <w:lang w:val="en-US" w:eastAsia="zh-CN"/>
        </w:rPr>
        <w:t>相关要求，中医治疗</w:t>
      </w:r>
      <w:r>
        <w:rPr>
          <w:rFonts w:hint="eastAsia"/>
          <w:lang w:val="en-US" w:eastAsia="zh-CN"/>
        </w:rPr>
        <w:t>室</w:t>
      </w:r>
      <w:r>
        <w:rPr>
          <w:rFonts w:hint="default"/>
          <w:lang w:val="en-US" w:eastAsia="zh-CN"/>
        </w:rPr>
        <w:t>应根据</w:t>
      </w:r>
      <w:r>
        <w:rPr>
          <w:rFonts w:hint="eastAsia"/>
          <w:lang w:val="en-US" w:eastAsia="zh-CN"/>
        </w:rPr>
        <w:t>机构内中</w:t>
      </w:r>
      <w:r>
        <w:rPr>
          <w:rFonts w:hint="default"/>
          <w:lang w:val="en-US" w:eastAsia="zh-CN"/>
        </w:rPr>
        <w:t>医医疗技术开展情况至少配备</w:t>
      </w:r>
      <w:r>
        <w:rPr>
          <w:rFonts w:hint="eastAsia"/>
          <w:lang w:val="en-US" w:eastAsia="zh-CN"/>
        </w:rPr>
        <w:t>6</w:t>
      </w:r>
      <w:r>
        <w:rPr>
          <w:rFonts w:hint="default"/>
          <w:lang w:val="en-US" w:eastAsia="zh-CN"/>
        </w:rPr>
        <w:t>类中医诊疗设备。</w:t>
      </w:r>
    </w:p>
    <w:p w14:paraId="4852D2B0">
      <w:pPr>
        <w:pStyle w:val="169"/>
        <w:spacing w:before="0" w:beforeLines="0" w:after="0" w:afterLines="0"/>
        <w:rPr>
          <w:rFonts w:hint="default"/>
          <w:lang w:val="en-US" w:eastAsia="zh-CN"/>
        </w:rPr>
      </w:pPr>
      <w:r>
        <w:rPr>
          <w:rFonts w:hint="default"/>
          <w:lang w:val="en-US" w:eastAsia="zh-CN"/>
        </w:rPr>
        <w:t>中医治疗室需安装设置机械通风设施（排风扇、吸顶扇等）</w:t>
      </w:r>
      <w:r>
        <w:rPr>
          <w:rFonts w:hint="eastAsia"/>
          <w:lang w:val="en-US" w:eastAsia="zh-CN"/>
        </w:rPr>
        <w:t>，</w:t>
      </w:r>
      <w:r>
        <w:rPr>
          <w:rFonts w:hint="default"/>
          <w:lang w:val="en-US" w:eastAsia="zh-CN"/>
        </w:rPr>
        <w:t>有规范的医疗废物存放容器、医</w:t>
      </w:r>
    </w:p>
    <w:p w14:paraId="525E64B6">
      <w:pPr>
        <w:pStyle w:val="169"/>
        <w:numPr>
          <w:ilvl w:val="-1"/>
          <w:numId w:val="0"/>
        </w:numPr>
        <w:spacing w:before="0" w:beforeLines="0" w:after="0" w:afterLines="0"/>
        <w:rPr>
          <w:rFonts w:hint="default"/>
          <w:lang w:val="en-US" w:eastAsia="zh-CN"/>
        </w:rPr>
      </w:pPr>
      <w:r>
        <w:rPr>
          <w:rFonts w:hint="default"/>
          <w:lang w:val="en-US" w:eastAsia="zh-CN"/>
        </w:rPr>
        <w:t>疗废物专用包装袋、一次性利器盒（数量足够），并有加盖的生活垃圾容器。</w:t>
      </w:r>
    </w:p>
    <w:p w14:paraId="168338B4">
      <w:pPr>
        <w:pStyle w:val="169"/>
        <w:spacing w:before="0" w:beforeLines="0" w:after="0" w:afterLines="0"/>
        <w:rPr>
          <w:rFonts w:hint="default"/>
          <w:lang w:val="en-US" w:eastAsia="zh-CN"/>
        </w:rPr>
      </w:pPr>
      <w:r>
        <w:rPr>
          <w:rFonts w:hint="eastAsia"/>
        </w:rPr>
        <w:t>医院感染监测</w:t>
      </w:r>
      <w:r>
        <w:rPr>
          <w:rFonts w:hint="eastAsia"/>
          <w:lang w:val="en-US" w:eastAsia="zh-CN"/>
        </w:rPr>
        <w:t>应符合</w:t>
      </w:r>
      <w:r>
        <w:rPr>
          <w:rFonts w:hint="default"/>
          <w:lang w:val="en-US" w:eastAsia="zh-CN"/>
        </w:rPr>
        <w:t>WS/T</w:t>
      </w:r>
      <w:r>
        <w:rPr>
          <w:rFonts w:hint="eastAsia"/>
          <w:lang w:val="en-US" w:eastAsia="zh-CN"/>
        </w:rPr>
        <w:t xml:space="preserve"> 3</w:t>
      </w:r>
      <w:r>
        <w:rPr>
          <w:rFonts w:hint="default"/>
          <w:lang w:val="en-US" w:eastAsia="zh-CN"/>
        </w:rPr>
        <w:t>12-20</w:t>
      </w:r>
      <w:r>
        <w:rPr>
          <w:rFonts w:hint="eastAsia"/>
          <w:lang w:val="en-US" w:eastAsia="zh-CN"/>
        </w:rPr>
        <w:t>23中的相关要求。</w:t>
      </w:r>
    </w:p>
    <w:p w14:paraId="23BE48C3">
      <w:pPr>
        <w:pStyle w:val="60"/>
        <w:numPr>
          <w:ilvl w:val="-1"/>
          <w:numId w:val="0"/>
        </w:numPr>
        <w:ind w:firstLine="0" w:firstLineChars="0"/>
        <w:rPr>
          <w:rFonts w:hint="default"/>
          <w:lang w:val="en-US" w:eastAsia="zh-CN"/>
        </w:rPr>
      </w:pPr>
    </w:p>
    <w:p w14:paraId="0B043B76">
      <w:pPr>
        <w:pStyle w:val="60"/>
        <w:numPr>
          <w:ilvl w:val="-1"/>
          <w:numId w:val="0"/>
        </w:numPr>
        <w:ind w:firstLine="0" w:firstLineChars="0"/>
        <w:rPr>
          <w:rFonts w:hint="default"/>
          <w:lang w:val="en-US" w:eastAsia="zh-CN"/>
        </w:rPr>
      </w:pPr>
    </w:p>
    <w:p w14:paraId="0185AFBC">
      <w:pPr>
        <w:pStyle w:val="60"/>
        <w:numPr>
          <w:ilvl w:val="-1"/>
          <w:numId w:val="0"/>
        </w:numPr>
        <w:ind w:firstLine="0" w:firstLineChars="0"/>
        <w:rPr>
          <w:rFonts w:hint="default"/>
          <w:lang w:val="en-US" w:eastAsia="zh-CN"/>
        </w:rPr>
      </w:pPr>
    </w:p>
    <w:p w14:paraId="7BBCBDB3">
      <w:pPr>
        <w:pStyle w:val="60"/>
        <w:numPr>
          <w:ilvl w:val="-1"/>
          <w:numId w:val="0"/>
        </w:numPr>
        <w:ind w:firstLine="0" w:firstLineChars="0"/>
        <w:rPr>
          <w:rFonts w:hint="default"/>
          <w:lang w:val="en-US" w:eastAsia="zh-CN"/>
        </w:rPr>
      </w:pPr>
    </w:p>
    <w:p w14:paraId="4065AFA7">
      <w:pPr>
        <w:pStyle w:val="60"/>
        <w:numPr>
          <w:ilvl w:val="-1"/>
          <w:numId w:val="0"/>
        </w:numPr>
        <w:ind w:firstLine="0" w:firstLineChars="0"/>
        <w:rPr>
          <w:rFonts w:hint="default"/>
          <w:lang w:val="en-US" w:eastAsia="zh-CN"/>
        </w:rPr>
      </w:pPr>
    </w:p>
    <w:p w14:paraId="7FA991B4">
      <w:pPr>
        <w:pStyle w:val="60"/>
        <w:numPr>
          <w:ilvl w:val="-1"/>
          <w:numId w:val="0"/>
        </w:numPr>
        <w:ind w:firstLine="0" w:firstLineChars="0"/>
        <w:rPr>
          <w:rFonts w:hint="default"/>
          <w:lang w:val="en-US" w:eastAsia="zh-CN"/>
        </w:rPr>
      </w:pPr>
    </w:p>
    <w:p w14:paraId="7A7804CC">
      <w:pPr>
        <w:pStyle w:val="60"/>
        <w:numPr>
          <w:ilvl w:val="-1"/>
          <w:numId w:val="0"/>
        </w:numPr>
        <w:ind w:firstLine="0" w:firstLineChars="0"/>
        <w:rPr>
          <w:rFonts w:hint="default"/>
          <w:lang w:val="en-US" w:eastAsia="zh-CN"/>
        </w:rPr>
      </w:pPr>
    </w:p>
    <w:p w14:paraId="21863C4E">
      <w:pPr>
        <w:spacing w:line="360" w:lineRule="auto"/>
        <w:jc w:val="center"/>
        <w:rPr>
          <w:rFonts w:hint="eastAsia" w:ascii="黑体" w:hAnsi="黑体" w:eastAsia="黑体" w:cs="黑体"/>
          <w:lang w:val="en-US" w:eastAsia="zh-CN"/>
        </w:rPr>
      </w:pPr>
      <w:r>
        <w:rPr>
          <w:rFonts w:hint="eastAsia" w:ascii="黑体" w:hAnsi="黑体" w:eastAsia="黑体" w:cs="黑体"/>
          <w:lang w:val="en-US" w:eastAsia="zh-CN"/>
        </w:rPr>
        <w:t>表1  设施设备</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782"/>
        <w:gridCol w:w="6720"/>
      </w:tblGrid>
      <w:tr w14:paraId="1C856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020" w:type="dxa"/>
            <w:shd w:val="clear" w:color="auto" w:fill="auto"/>
            <w:vAlign w:val="center"/>
          </w:tcPr>
          <w:p w14:paraId="6A1D95CA">
            <w:pPr>
              <w:spacing w:line="240" w:lineRule="auto"/>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vertAlign w:val="baseline"/>
                <w:lang w:val="en-US" w:eastAsia="zh-CN"/>
              </w:rPr>
              <w:t>区域</w:t>
            </w:r>
          </w:p>
        </w:tc>
        <w:tc>
          <w:tcPr>
            <w:tcW w:w="7502" w:type="dxa"/>
            <w:gridSpan w:val="2"/>
            <w:vAlign w:val="center"/>
          </w:tcPr>
          <w:p w14:paraId="036BCBF2">
            <w:pPr>
              <w:spacing w:line="24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设备名称</w:t>
            </w:r>
          </w:p>
        </w:tc>
      </w:tr>
      <w:tr w14:paraId="353BD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020" w:type="dxa"/>
            <w:vMerge w:val="restart"/>
            <w:shd w:val="clear" w:color="auto" w:fill="auto"/>
            <w:vAlign w:val="center"/>
          </w:tcPr>
          <w:p w14:paraId="4455A4DE">
            <w:pPr>
              <w:spacing w:line="240" w:lineRule="auto"/>
              <w:jc w:val="center"/>
              <w:rPr>
                <w:rFonts w:hint="eastAsia" w:ascii="宋体" w:hAnsi="宋体" w:eastAsia="宋体" w:cs="宋体"/>
                <w:vertAlign w:val="baseline"/>
                <w:lang w:val="en-US" w:eastAsia="zh-CN"/>
              </w:rPr>
            </w:pPr>
          </w:p>
          <w:p w14:paraId="47F220FC">
            <w:pPr>
              <w:spacing w:line="240" w:lineRule="auto"/>
              <w:jc w:val="center"/>
              <w:rPr>
                <w:rFonts w:hint="eastAsia" w:ascii="宋体" w:hAnsi="宋体" w:eastAsia="宋体" w:cs="宋体"/>
                <w:kern w:val="2"/>
                <w:sz w:val="21"/>
                <w:szCs w:val="21"/>
                <w:vertAlign w:val="baseline"/>
                <w:lang w:val="en-US" w:eastAsia="zh-CN" w:bidi="ar-SA"/>
              </w:rPr>
            </w:pPr>
            <w:r>
              <w:rPr>
                <w:rFonts w:hint="eastAsia" w:ascii="宋体" w:hAnsi="宋体" w:cs="宋体"/>
                <w:vertAlign w:val="baseline"/>
                <w:lang w:val="en-US" w:eastAsia="zh-CN"/>
              </w:rPr>
              <w:t>病房</w:t>
            </w:r>
          </w:p>
        </w:tc>
        <w:tc>
          <w:tcPr>
            <w:tcW w:w="782" w:type="dxa"/>
            <w:vAlign w:val="center"/>
          </w:tcPr>
          <w:p w14:paraId="5B1DA42D">
            <w:pPr>
              <w:spacing w:line="240" w:lineRule="auto"/>
              <w:jc w:val="center"/>
              <w:rPr>
                <w:rFonts w:hint="default" w:ascii="宋体" w:hAnsi="宋体" w:eastAsia="宋体" w:cs="宋体"/>
                <w:vertAlign w:val="baseline"/>
                <w:lang w:val="en-US" w:eastAsia="zh-CN"/>
              </w:rPr>
            </w:pPr>
            <w:r>
              <w:rPr>
                <w:rFonts w:hint="eastAsia" w:ascii="宋体" w:hAnsi="宋体" w:cs="宋体"/>
                <w:vertAlign w:val="baseline"/>
                <w:lang w:val="en-US" w:eastAsia="zh-CN"/>
              </w:rPr>
              <w:t>必配</w:t>
            </w:r>
          </w:p>
        </w:tc>
        <w:tc>
          <w:tcPr>
            <w:tcW w:w="6720" w:type="dxa"/>
            <w:shd w:val="clear" w:color="auto" w:fill="auto"/>
            <w:vAlign w:val="center"/>
          </w:tcPr>
          <w:p w14:paraId="3B2B6028">
            <w:pPr>
              <w:spacing w:line="240" w:lineRule="auto"/>
              <w:jc w:val="both"/>
              <w:rPr>
                <w:rFonts w:hint="eastAsia" w:ascii="宋体" w:hAnsi="宋体" w:eastAsia="宋体" w:cs="宋体"/>
                <w:kern w:val="2"/>
                <w:sz w:val="21"/>
                <w:szCs w:val="21"/>
                <w:vertAlign w:val="baseline"/>
                <w:lang w:val="en-US" w:eastAsia="zh-CN" w:bidi="ar-SA"/>
              </w:rPr>
            </w:pPr>
            <w:r>
              <w:rPr>
                <w:rFonts w:hint="eastAsia" w:ascii="宋体" w:hAnsi="宋体" w:cs="宋体"/>
                <w:lang w:val="en-US" w:eastAsia="zh-CN"/>
              </w:rPr>
              <w:t>转运设备、</w:t>
            </w:r>
            <w:r>
              <w:rPr>
                <w:rFonts w:hint="eastAsia" w:ascii="宋体" w:hAnsi="宋体" w:eastAsia="宋体" w:cs="宋体"/>
                <w:lang w:val="en-US" w:eastAsia="zh-CN"/>
              </w:rPr>
              <w:t>吸引设备、供氧设备、呼叫系统、快速血糖仪、输液泵</w:t>
            </w:r>
            <w:r>
              <w:rPr>
                <w:rFonts w:hint="eastAsia" w:ascii="宋体" w:hAnsi="宋体" w:cs="宋体"/>
                <w:lang w:val="en-US" w:eastAsia="zh-CN"/>
              </w:rPr>
              <w:t>、输液天轨、</w:t>
            </w:r>
            <w:r>
              <w:rPr>
                <w:rFonts w:hint="eastAsia" w:ascii="宋体" w:hAnsi="宋体" w:cs="宋体"/>
              </w:rPr>
              <w:t>简易呼吸器</w:t>
            </w:r>
            <w:r>
              <w:rPr>
                <w:rFonts w:hint="eastAsia" w:ascii="宋体" w:hAnsi="宋体" w:cs="宋体"/>
                <w:lang w:eastAsia="zh-CN"/>
              </w:rPr>
              <w:t>、</w:t>
            </w:r>
            <w:r>
              <w:rPr>
                <w:rFonts w:hint="eastAsia" w:ascii="宋体" w:hAnsi="宋体" w:cs="宋体"/>
              </w:rPr>
              <w:t>心电监护仪、心脏除颤仪等</w:t>
            </w:r>
          </w:p>
        </w:tc>
      </w:tr>
      <w:tr w14:paraId="47B92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Merge w:val="continue"/>
            <w:shd w:val="clear" w:color="auto" w:fill="auto"/>
            <w:vAlign w:val="center"/>
          </w:tcPr>
          <w:p w14:paraId="6875D9B3">
            <w:pPr>
              <w:spacing w:line="240" w:lineRule="auto"/>
              <w:jc w:val="center"/>
              <w:rPr>
                <w:rFonts w:hint="eastAsia" w:ascii="宋体" w:hAnsi="宋体" w:eastAsia="宋体" w:cs="宋体"/>
                <w:kern w:val="2"/>
                <w:sz w:val="21"/>
                <w:szCs w:val="21"/>
                <w:vertAlign w:val="baseline"/>
                <w:lang w:val="en-US" w:eastAsia="zh-CN" w:bidi="ar-SA"/>
              </w:rPr>
            </w:pPr>
          </w:p>
        </w:tc>
        <w:tc>
          <w:tcPr>
            <w:tcW w:w="782" w:type="dxa"/>
            <w:shd w:val="clear" w:color="auto" w:fill="auto"/>
            <w:vAlign w:val="center"/>
          </w:tcPr>
          <w:p w14:paraId="1BE01C84">
            <w:pPr>
              <w:spacing w:line="240" w:lineRule="auto"/>
              <w:jc w:val="center"/>
              <w:rPr>
                <w:rFonts w:hint="eastAsia" w:ascii="宋体" w:hAnsi="宋体" w:eastAsia="宋体" w:cs="宋体"/>
                <w:kern w:val="2"/>
                <w:sz w:val="21"/>
                <w:szCs w:val="21"/>
                <w:vertAlign w:val="baseline"/>
                <w:lang w:val="en-US" w:eastAsia="zh-CN" w:bidi="ar-SA"/>
              </w:rPr>
            </w:pPr>
            <w:r>
              <w:rPr>
                <w:rFonts w:hint="eastAsia" w:ascii="宋体" w:hAnsi="宋体" w:cs="宋体"/>
                <w:vertAlign w:val="baseline"/>
                <w:lang w:val="en-US" w:eastAsia="zh-CN"/>
              </w:rPr>
              <w:t>选配</w:t>
            </w:r>
          </w:p>
        </w:tc>
        <w:tc>
          <w:tcPr>
            <w:tcW w:w="6720" w:type="dxa"/>
            <w:shd w:val="clear" w:color="auto" w:fill="auto"/>
            <w:vAlign w:val="center"/>
          </w:tcPr>
          <w:p w14:paraId="118E7DB6">
            <w:pPr>
              <w:spacing w:line="240" w:lineRule="auto"/>
              <w:jc w:val="both"/>
              <w:rPr>
                <w:rFonts w:hint="eastAsia" w:ascii="宋体" w:hAnsi="宋体" w:eastAsia="宋体" w:cs="宋体"/>
                <w:kern w:val="2"/>
                <w:sz w:val="21"/>
                <w:szCs w:val="21"/>
                <w:vertAlign w:val="baseline"/>
                <w:lang w:val="en-US" w:eastAsia="zh-CN" w:bidi="ar-SA"/>
              </w:rPr>
            </w:pPr>
            <w:r>
              <w:rPr>
                <w:rFonts w:hint="eastAsia" w:ascii="宋体" w:hAnsi="宋体" w:cs="宋体"/>
                <w:vertAlign w:val="baseline"/>
                <w:lang w:val="en-US" w:eastAsia="zh-CN"/>
              </w:rPr>
              <w:t>动脉硬化测试设备、</w:t>
            </w:r>
            <w:r>
              <w:rPr>
                <w:rFonts w:hint="eastAsia" w:ascii="宋体" w:hAnsi="宋体" w:cs="宋体"/>
              </w:rPr>
              <w:t>辅助洗浴设备、电动护理床、自主转运装置</w:t>
            </w:r>
            <w:r>
              <w:rPr>
                <w:rFonts w:hint="eastAsia" w:ascii="宋体" w:hAnsi="宋体" w:cs="宋体"/>
                <w:lang w:val="en-US" w:eastAsia="zh-CN"/>
              </w:rPr>
              <w:t>等</w:t>
            </w:r>
          </w:p>
        </w:tc>
      </w:tr>
      <w:tr w14:paraId="5FE0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Merge w:val="restart"/>
            <w:shd w:val="clear" w:color="auto" w:fill="auto"/>
            <w:vAlign w:val="center"/>
          </w:tcPr>
          <w:p w14:paraId="5BB72CA2">
            <w:pPr>
              <w:spacing w:line="240" w:lineRule="auto"/>
              <w:jc w:val="center"/>
              <w:rPr>
                <w:rFonts w:hint="default" w:ascii="宋体" w:hAnsi="宋体" w:eastAsia="宋体" w:cs="宋体"/>
                <w:kern w:val="2"/>
                <w:sz w:val="21"/>
                <w:szCs w:val="21"/>
                <w:vertAlign w:val="baseline"/>
                <w:lang w:val="en-US" w:eastAsia="zh-CN" w:bidi="ar-SA"/>
              </w:rPr>
            </w:pPr>
            <w:r>
              <w:rPr>
                <w:rFonts w:hint="eastAsia" w:ascii="宋体" w:hAnsi="宋体" w:cs="宋体"/>
                <w:kern w:val="2"/>
                <w:sz w:val="21"/>
                <w:szCs w:val="21"/>
                <w:vertAlign w:val="baseline"/>
                <w:lang w:val="en-US" w:eastAsia="zh-CN" w:bidi="ar-SA"/>
              </w:rPr>
              <w:t>综合评估室</w:t>
            </w:r>
          </w:p>
        </w:tc>
        <w:tc>
          <w:tcPr>
            <w:tcW w:w="782" w:type="dxa"/>
            <w:shd w:val="clear" w:color="auto" w:fill="auto"/>
            <w:vAlign w:val="center"/>
          </w:tcPr>
          <w:p w14:paraId="07C166A1">
            <w:pPr>
              <w:spacing w:line="240" w:lineRule="auto"/>
              <w:jc w:val="center"/>
              <w:rPr>
                <w:rFonts w:hint="eastAsia" w:ascii="宋体" w:hAnsi="宋体" w:eastAsia="宋体" w:cs="宋体"/>
                <w:kern w:val="2"/>
                <w:sz w:val="21"/>
                <w:szCs w:val="21"/>
                <w:vertAlign w:val="baseline"/>
                <w:lang w:val="en-US" w:eastAsia="zh-CN" w:bidi="ar-SA"/>
              </w:rPr>
            </w:pPr>
            <w:r>
              <w:rPr>
                <w:rFonts w:hint="eastAsia" w:ascii="宋体" w:hAnsi="宋体" w:cs="宋体"/>
                <w:vertAlign w:val="baseline"/>
                <w:lang w:val="en-US" w:eastAsia="zh-CN"/>
              </w:rPr>
              <w:t>必配</w:t>
            </w:r>
          </w:p>
        </w:tc>
        <w:tc>
          <w:tcPr>
            <w:tcW w:w="6720" w:type="dxa"/>
            <w:shd w:val="clear" w:color="auto" w:fill="auto"/>
            <w:vAlign w:val="center"/>
          </w:tcPr>
          <w:p w14:paraId="501454F8">
            <w:pPr>
              <w:spacing w:line="240" w:lineRule="auto"/>
              <w:jc w:val="both"/>
              <w:rPr>
                <w:rFonts w:hint="default" w:ascii="宋体" w:hAnsi="宋体" w:eastAsia="宋体" w:cs="宋体"/>
                <w:kern w:val="2"/>
                <w:sz w:val="21"/>
                <w:szCs w:val="21"/>
                <w:vertAlign w:val="baseline"/>
                <w:lang w:val="en-US" w:eastAsia="zh-CN" w:bidi="ar-SA"/>
              </w:rPr>
            </w:pPr>
            <w:r>
              <w:rPr>
                <w:rFonts w:hint="eastAsia" w:ascii="宋体" w:hAnsi="宋体" w:cs="宋体"/>
                <w:kern w:val="2"/>
                <w:sz w:val="21"/>
                <w:szCs w:val="21"/>
                <w:vertAlign w:val="baseline"/>
                <w:lang w:val="en-US" w:eastAsia="zh-CN" w:bidi="ar-SA"/>
              </w:rPr>
              <w:t>桌椅、轮椅/转运车、微型步梯、血压计、视力表、体重秤、评估量表、电脑、打印机等</w:t>
            </w:r>
          </w:p>
        </w:tc>
      </w:tr>
      <w:tr w14:paraId="36CF8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20" w:type="dxa"/>
            <w:vMerge w:val="continue"/>
            <w:shd w:val="clear" w:color="auto" w:fill="auto"/>
            <w:vAlign w:val="center"/>
          </w:tcPr>
          <w:p w14:paraId="22F8E456">
            <w:pPr>
              <w:spacing w:line="240" w:lineRule="auto"/>
              <w:jc w:val="center"/>
              <w:rPr>
                <w:rFonts w:hint="eastAsia" w:ascii="宋体" w:hAnsi="宋体" w:eastAsia="宋体" w:cs="宋体"/>
                <w:vertAlign w:val="baseline"/>
                <w:lang w:val="en-US" w:eastAsia="zh-CN"/>
              </w:rPr>
            </w:pPr>
          </w:p>
        </w:tc>
        <w:tc>
          <w:tcPr>
            <w:tcW w:w="782" w:type="dxa"/>
            <w:shd w:val="clear" w:color="auto" w:fill="auto"/>
            <w:vAlign w:val="center"/>
          </w:tcPr>
          <w:p w14:paraId="05454113">
            <w:pPr>
              <w:spacing w:line="240" w:lineRule="auto"/>
              <w:jc w:val="center"/>
              <w:rPr>
                <w:rFonts w:hint="default" w:ascii="宋体" w:hAnsi="宋体" w:cs="宋体"/>
                <w:vertAlign w:val="baseline"/>
                <w:lang w:val="en-US" w:eastAsia="zh-CN"/>
              </w:rPr>
            </w:pPr>
            <w:r>
              <w:rPr>
                <w:rFonts w:hint="eastAsia" w:ascii="宋体" w:hAnsi="宋体" w:cs="宋体"/>
                <w:vertAlign w:val="baseline"/>
                <w:lang w:val="en-US" w:eastAsia="zh-CN"/>
              </w:rPr>
              <w:t>选配</w:t>
            </w:r>
          </w:p>
        </w:tc>
        <w:tc>
          <w:tcPr>
            <w:tcW w:w="6720" w:type="dxa"/>
            <w:shd w:val="clear" w:color="auto" w:fill="auto"/>
            <w:vAlign w:val="center"/>
          </w:tcPr>
          <w:p w14:paraId="3D117351">
            <w:pPr>
              <w:spacing w:line="240" w:lineRule="auto"/>
              <w:jc w:val="both"/>
              <w:rPr>
                <w:rFonts w:hint="default" w:ascii="宋体" w:hAnsi="宋体" w:eastAsia="宋体" w:cs="宋体"/>
                <w:kern w:val="2"/>
                <w:sz w:val="21"/>
                <w:szCs w:val="21"/>
                <w:vertAlign w:val="baseline"/>
                <w:lang w:val="en-US" w:eastAsia="zh-CN" w:bidi="ar-SA"/>
              </w:rPr>
            </w:pPr>
            <w:r>
              <w:rPr>
                <w:rFonts w:hint="eastAsia" w:ascii="宋体" w:hAnsi="宋体" w:cs="宋体"/>
                <w:kern w:val="2"/>
                <w:sz w:val="21"/>
                <w:szCs w:val="21"/>
                <w:vertAlign w:val="baseline"/>
                <w:lang w:val="en-US" w:eastAsia="zh-CN" w:bidi="ar-SA"/>
              </w:rPr>
              <w:t>助步车、听力音叉、电视、平板电脑等</w:t>
            </w:r>
          </w:p>
        </w:tc>
      </w:tr>
      <w:tr w14:paraId="0AAC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Merge w:val="restart"/>
            <w:shd w:val="clear" w:color="auto" w:fill="auto"/>
            <w:vAlign w:val="center"/>
          </w:tcPr>
          <w:p w14:paraId="10175A15">
            <w:pPr>
              <w:spacing w:line="240" w:lineRule="auto"/>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中医治疗室</w:t>
            </w:r>
          </w:p>
        </w:tc>
        <w:tc>
          <w:tcPr>
            <w:tcW w:w="782" w:type="dxa"/>
            <w:shd w:val="clear" w:color="auto" w:fill="auto"/>
            <w:vAlign w:val="center"/>
          </w:tcPr>
          <w:p w14:paraId="01676630">
            <w:pPr>
              <w:spacing w:line="240" w:lineRule="auto"/>
              <w:jc w:val="center"/>
              <w:rPr>
                <w:rFonts w:hint="eastAsia" w:ascii="宋体" w:hAnsi="宋体" w:cs="宋体"/>
                <w:vertAlign w:val="baseline"/>
                <w:lang w:val="en-US" w:eastAsia="zh-CN"/>
              </w:rPr>
            </w:pPr>
            <w:r>
              <w:rPr>
                <w:rFonts w:hint="eastAsia" w:ascii="宋体" w:hAnsi="宋体" w:cs="宋体"/>
                <w:vertAlign w:val="baseline"/>
                <w:lang w:val="en-US" w:eastAsia="zh-CN"/>
              </w:rPr>
              <w:t>必配</w:t>
            </w:r>
          </w:p>
        </w:tc>
        <w:tc>
          <w:tcPr>
            <w:tcW w:w="6720" w:type="dxa"/>
            <w:shd w:val="clear" w:color="auto" w:fill="auto"/>
            <w:vAlign w:val="center"/>
          </w:tcPr>
          <w:p w14:paraId="1E8B5F10">
            <w:pPr>
              <w:spacing w:line="240" w:lineRule="auto"/>
              <w:jc w:val="both"/>
              <w:rPr>
                <w:rFonts w:hint="eastAsia" w:ascii="宋体" w:hAnsi="宋体" w:cs="宋体"/>
                <w:vertAlign w:val="baseline"/>
                <w:lang w:val="en-US" w:eastAsia="zh-CN"/>
              </w:rPr>
            </w:pPr>
            <w:r>
              <w:rPr>
                <w:rFonts w:hint="eastAsia" w:ascii="宋体" w:hAnsi="宋体" w:cs="宋体"/>
                <w:vertAlign w:val="baseline"/>
                <w:lang w:val="en-US" w:eastAsia="zh-CN"/>
              </w:rPr>
              <w:t>灸疗设备、罐疗器具、刮痧类器具、耳穴贴压类器具、中药熏蒸类设备、中药外治设备、中医电疗设备等</w:t>
            </w:r>
          </w:p>
        </w:tc>
      </w:tr>
      <w:tr w14:paraId="07128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Merge w:val="continue"/>
            <w:shd w:val="clear" w:color="auto" w:fill="auto"/>
            <w:vAlign w:val="center"/>
          </w:tcPr>
          <w:p w14:paraId="114BB71C">
            <w:pPr>
              <w:spacing w:line="240" w:lineRule="auto"/>
              <w:jc w:val="both"/>
              <w:rPr>
                <w:rFonts w:hint="eastAsia" w:ascii="宋体" w:hAnsi="宋体" w:eastAsia="宋体" w:cs="宋体"/>
                <w:vertAlign w:val="baseline"/>
                <w:lang w:val="en-US" w:eastAsia="zh-CN"/>
              </w:rPr>
            </w:pPr>
          </w:p>
        </w:tc>
        <w:tc>
          <w:tcPr>
            <w:tcW w:w="782" w:type="dxa"/>
            <w:shd w:val="clear" w:color="auto" w:fill="auto"/>
            <w:vAlign w:val="center"/>
          </w:tcPr>
          <w:p w14:paraId="7FE1F2C9">
            <w:pPr>
              <w:spacing w:line="240" w:lineRule="auto"/>
              <w:jc w:val="center"/>
              <w:rPr>
                <w:rFonts w:hint="eastAsia" w:ascii="宋体" w:hAnsi="宋体" w:cs="宋体"/>
                <w:vertAlign w:val="baseline"/>
                <w:lang w:val="en-US" w:eastAsia="zh-CN"/>
              </w:rPr>
            </w:pPr>
            <w:r>
              <w:rPr>
                <w:rFonts w:hint="eastAsia" w:ascii="宋体" w:hAnsi="宋体" w:cs="宋体"/>
                <w:vertAlign w:val="baseline"/>
                <w:lang w:val="en-US" w:eastAsia="zh-CN"/>
              </w:rPr>
              <w:t>选配</w:t>
            </w:r>
          </w:p>
        </w:tc>
        <w:tc>
          <w:tcPr>
            <w:tcW w:w="6720" w:type="dxa"/>
            <w:shd w:val="clear" w:color="auto" w:fill="auto"/>
            <w:vAlign w:val="center"/>
          </w:tcPr>
          <w:p w14:paraId="6637D8F6">
            <w:pPr>
              <w:spacing w:line="240" w:lineRule="auto"/>
              <w:jc w:val="both"/>
              <w:rPr>
                <w:rFonts w:hint="eastAsia" w:ascii="宋体" w:hAnsi="宋体" w:cs="宋体"/>
                <w:vertAlign w:val="baseline"/>
                <w:lang w:val="en-US" w:eastAsia="zh-CN"/>
              </w:rPr>
            </w:pPr>
            <w:r>
              <w:rPr>
                <w:rFonts w:hint="eastAsia" w:ascii="宋体" w:hAnsi="宋体" w:cs="宋体"/>
                <w:vertAlign w:val="baseline"/>
                <w:lang w:val="en-US" w:eastAsia="zh-CN"/>
              </w:rPr>
              <w:t>红外热像检测设备、穴位探测设、中医光疗设备、中医磁疗设备、中医超声治疗设备等</w:t>
            </w:r>
          </w:p>
        </w:tc>
      </w:tr>
    </w:tbl>
    <w:p w14:paraId="029E18C8">
      <w:pPr>
        <w:pStyle w:val="109"/>
        <w:rPr>
          <w:rFonts w:hint="default"/>
          <w:lang w:val="en-US" w:eastAsia="zh-CN"/>
        </w:rPr>
      </w:pPr>
      <w:bookmarkStart w:id="174" w:name="_Toc11014"/>
      <w:bookmarkStart w:id="175" w:name="_Toc5547"/>
      <w:bookmarkStart w:id="176" w:name="_Toc23505"/>
      <w:bookmarkStart w:id="177" w:name="_Toc20368"/>
      <w:bookmarkStart w:id="178" w:name="_Toc9582"/>
      <w:bookmarkStart w:id="179" w:name="_Toc11937"/>
      <w:bookmarkStart w:id="180" w:name="_Toc13776"/>
      <w:bookmarkStart w:id="181" w:name="_Toc17832"/>
      <w:r>
        <w:rPr>
          <w:rFonts w:hint="eastAsia"/>
          <w:lang w:val="en-US" w:eastAsia="zh-CN"/>
        </w:rPr>
        <w:t>无障碍与安全设施</w:t>
      </w:r>
      <w:bookmarkEnd w:id="174"/>
      <w:bookmarkEnd w:id="175"/>
      <w:bookmarkEnd w:id="176"/>
      <w:bookmarkEnd w:id="177"/>
      <w:bookmarkEnd w:id="178"/>
      <w:bookmarkEnd w:id="179"/>
      <w:bookmarkEnd w:id="180"/>
      <w:bookmarkEnd w:id="181"/>
    </w:p>
    <w:p w14:paraId="495262C0">
      <w:pPr>
        <w:pStyle w:val="169"/>
        <w:keepNext w:val="0"/>
        <w:keepLines w:val="0"/>
        <w:pageBreakBefore w:val="0"/>
        <w:widowControl w:val="0"/>
        <w:kinsoku/>
        <w:wordWrap/>
        <w:overflowPunct/>
        <w:topLinePunct w:val="0"/>
        <w:autoSpaceDE/>
        <w:autoSpaceDN/>
        <w:bidi w:val="0"/>
        <w:adjustRightInd/>
        <w:snapToGrid/>
        <w:spacing w:before="0" w:beforeLines="0" w:after="0" w:afterLines="0"/>
        <w:ind w:leftChars="0"/>
        <w:textAlignment w:val="auto"/>
        <w:rPr>
          <w:rFonts w:hint="default"/>
          <w:lang w:val="en-US" w:eastAsia="zh-CN"/>
        </w:rPr>
      </w:pPr>
      <w:r>
        <w:rPr>
          <w:rFonts w:hint="eastAsia"/>
          <w:lang w:val="en-US" w:eastAsia="zh-CN"/>
        </w:rPr>
        <w:t>病区内所有无障碍设计</w:t>
      </w:r>
      <w:r>
        <w:rPr>
          <w:rFonts w:hint="default"/>
          <w:lang w:val="en-US" w:eastAsia="zh-CN"/>
        </w:rPr>
        <w:t>应符合</w:t>
      </w:r>
      <w:r>
        <w:rPr>
          <w:rFonts w:hint="eastAsia"/>
        </w:rPr>
        <w:t>GB 55019-2021</w:t>
      </w:r>
      <w:r>
        <w:rPr>
          <w:rFonts w:hint="eastAsia"/>
          <w:lang w:val="en-US" w:eastAsia="zh-CN"/>
        </w:rPr>
        <w:t>的相关要求。</w:t>
      </w:r>
    </w:p>
    <w:p w14:paraId="4711EB2A">
      <w:pPr>
        <w:pStyle w:val="169"/>
        <w:keepNext w:val="0"/>
        <w:keepLines w:val="0"/>
        <w:pageBreakBefore w:val="0"/>
        <w:widowControl w:val="0"/>
        <w:kinsoku/>
        <w:wordWrap/>
        <w:overflowPunct/>
        <w:topLinePunct w:val="0"/>
        <w:autoSpaceDE/>
        <w:autoSpaceDN/>
        <w:bidi w:val="0"/>
        <w:adjustRightInd/>
        <w:snapToGrid/>
        <w:spacing w:before="0" w:beforeLines="0" w:after="0" w:afterLines="0"/>
        <w:ind w:leftChars="0"/>
        <w:textAlignment w:val="auto"/>
        <w:rPr>
          <w:rFonts w:hint="default"/>
          <w:lang w:val="en-US" w:eastAsia="zh-CN"/>
        </w:rPr>
      </w:pPr>
      <w:r>
        <w:rPr>
          <w:rFonts w:hint="eastAsia"/>
          <w:lang w:val="en-US" w:eastAsia="zh-CN"/>
        </w:rPr>
        <w:t>病区内所有坐卧设施</w:t>
      </w:r>
      <w:r>
        <w:rPr>
          <w:rFonts w:hint="default"/>
          <w:lang w:val="en-US" w:eastAsia="zh-CN"/>
        </w:rPr>
        <w:t>应符合</w:t>
      </w:r>
      <w:r>
        <w:rPr>
          <w:rFonts w:hint="eastAsia"/>
        </w:rPr>
        <w:t>WS 444.</w:t>
      </w:r>
      <w:r>
        <w:rPr>
          <w:rFonts w:hint="eastAsia"/>
          <w:lang w:val="en-US" w:eastAsia="zh-CN"/>
        </w:rPr>
        <w:t>2-2014中的相关要求。</w:t>
      </w:r>
    </w:p>
    <w:p w14:paraId="24FABE91">
      <w:pPr>
        <w:pStyle w:val="169"/>
        <w:spacing w:before="0" w:beforeLines="0" w:after="0" w:afterLines="0"/>
        <w:ind w:left="0" w:leftChars="0" w:firstLineChars="0"/>
        <w:rPr>
          <w:rFonts w:hint="default"/>
          <w:lang w:val="en-US" w:eastAsia="zh-CN"/>
        </w:rPr>
      </w:pPr>
      <w:r>
        <w:rPr>
          <w:rFonts w:hint="default"/>
          <w:lang w:val="en-US" w:eastAsia="zh-CN"/>
        </w:rPr>
        <w:t>卫生间</w:t>
      </w:r>
      <w:r>
        <w:rPr>
          <w:rFonts w:hint="eastAsia"/>
          <w:lang w:val="en-US" w:eastAsia="zh-CN"/>
        </w:rPr>
        <w:t>内部应配备</w:t>
      </w:r>
      <w:r>
        <w:rPr>
          <w:rFonts w:hint="default"/>
          <w:lang w:val="en-US" w:eastAsia="zh-CN"/>
        </w:rPr>
        <w:t>防滑设施、辅助洗浴设备</w:t>
      </w:r>
      <w:r>
        <w:rPr>
          <w:rFonts w:hint="eastAsia"/>
          <w:lang w:val="en-US" w:eastAsia="zh-CN"/>
        </w:rPr>
        <w:t>，</w:t>
      </w:r>
      <w:r>
        <w:rPr>
          <w:rFonts w:hint="default"/>
          <w:lang w:val="en-US" w:eastAsia="zh-CN"/>
        </w:rPr>
        <w:t>设置无障碍坐便器、无障碍洗手盆、多功能台、低位挂衣钩和救助呼叫装置。</w:t>
      </w:r>
    </w:p>
    <w:p w14:paraId="5826385F">
      <w:pPr>
        <w:pStyle w:val="169"/>
        <w:spacing w:before="0" w:beforeLines="0" w:after="0" w:afterLines="0"/>
        <w:ind w:left="0" w:leftChars="0" w:firstLineChars="0"/>
        <w:outlineLvl w:val="1"/>
        <w:rPr>
          <w:rFonts w:hint="default"/>
          <w:lang w:val="en-US" w:eastAsia="zh-CN"/>
        </w:rPr>
      </w:pPr>
      <w:bookmarkStart w:id="182" w:name="_Toc783"/>
      <w:bookmarkStart w:id="183" w:name="_Toc18021"/>
      <w:bookmarkStart w:id="184" w:name="_Toc7505"/>
      <w:bookmarkStart w:id="185" w:name="_Toc2667"/>
      <w:bookmarkStart w:id="186" w:name="_Toc31396"/>
      <w:bookmarkStart w:id="187" w:name="_Toc23767"/>
      <w:bookmarkStart w:id="188" w:name="_Toc3310"/>
      <w:r>
        <w:rPr>
          <w:rFonts w:hint="eastAsia"/>
          <w:lang w:val="en-US" w:eastAsia="zh-CN"/>
        </w:rPr>
        <w:t>病床</w:t>
      </w:r>
      <w:r>
        <w:rPr>
          <w:rFonts w:hint="default"/>
          <w:lang w:val="en-US" w:eastAsia="zh-CN"/>
        </w:rPr>
        <w:t>应配备固定栏杆和侧护栏</w:t>
      </w:r>
      <w:r>
        <w:rPr>
          <w:rFonts w:hint="eastAsia"/>
          <w:lang w:val="en-US" w:eastAsia="zh-CN"/>
        </w:rPr>
        <w:t>，床尾应设置防撞设施。</w:t>
      </w:r>
      <w:bookmarkEnd w:id="182"/>
      <w:bookmarkEnd w:id="183"/>
      <w:bookmarkEnd w:id="184"/>
      <w:bookmarkEnd w:id="185"/>
      <w:bookmarkEnd w:id="186"/>
      <w:bookmarkEnd w:id="187"/>
      <w:bookmarkEnd w:id="188"/>
    </w:p>
    <w:p w14:paraId="11591907">
      <w:pPr>
        <w:pStyle w:val="169"/>
        <w:spacing w:before="0" w:beforeLines="0" w:after="0" w:afterLines="0"/>
        <w:ind w:left="0" w:leftChars="0" w:firstLineChars="0"/>
        <w:outlineLvl w:val="1"/>
        <w:rPr>
          <w:rFonts w:hint="eastAsia"/>
        </w:rPr>
      </w:pPr>
      <w:bookmarkStart w:id="189" w:name="_Toc21213"/>
      <w:bookmarkStart w:id="190" w:name="_Toc13746"/>
      <w:bookmarkStart w:id="191" w:name="_Toc26736"/>
      <w:bookmarkStart w:id="192" w:name="_Toc26289"/>
      <w:bookmarkStart w:id="193" w:name="_Toc28502"/>
      <w:bookmarkStart w:id="194" w:name="_Toc12395"/>
      <w:r>
        <w:rPr>
          <w:rFonts w:hint="eastAsia"/>
          <w:lang w:val="en-US" w:eastAsia="zh-CN"/>
        </w:rPr>
        <w:t>中医</w:t>
      </w:r>
      <w:r>
        <w:rPr>
          <w:rFonts w:hint="eastAsia"/>
        </w:rPr>
        <w:t>治疗室内墙壁和走廊</w:t>
      </w:r>
      <w:r>
        <w:rPr>
          <w:rFonts w:hint="eastAsia"/>
          <w:lang w:val="en-US" w:eastAsia="zh-CN"/>
        </w:rPr>
        <w:t>应</w:t>
      </w:r>
      <w:r>
        <w:rPr>
          <w:rFonts w:hint="eastAsia"/>
        </w:rPr>
        <w:t>设置扶手，</w:t>
      </w:r>
      <w:r>
        <w:rPr>
          <w:rFonts w:hint="eastAsia"/>
          <w:lang w:val="en-US" w:eastAsia="zh-CN"/>
        </w:rPr>
        <w:t>扶手应稳固、平滑。</w:t>
      </w:r>
      <w:bookmarkEnd w:id="189"/>
      <w:bookmarkEnd w:id="190"/>
      <w:bookmarkEnd w:id="191"/>
      <w:bookmarkEnd w:id="192"/>
      <w:bookmarkEnd w:id="193"/>
      <w:bookmarkEnd w:id="194"/>
    </w:p>
    <w:p w14:paraId="71A93C10">
      <w:pPr>
        <w:pStyle w:val="169"/>
        <w:spacing w:before="0" w:beforeLines="0" w:after="0" w:afterLines="0"/>
        <w:ind w:left="0" w:leftChars="0" w:firstLineChars="0"/>
        <w:outlineLvl w:val="1"/>
        <w:rPr>
          <w:rFonts w:hint="eastAsia"/>
        </w:rPr>
      </w:pPr>
      <w:bookmarkStart w:id="195" w:name="_Toc28784"/>
      <w:bookmarkStart w:id="196" w:name="_Toc32747"/>
      <w:bookmarkStart w:id="197" w:name="_Toc21567"/>
      <w:bookmarkStart w:id="198" w:name="_Toc13562"/>
      <w:bookmarkStart w:id="199" w:name="_Toc25089"/>
      <w:bookmarkStart w:id="200" w:name="_Toc5867"/>
      <w:r>
        <w:rPr>
          <w:rFonts w:hint="eastAsia"/>
          <w:lang w:val="en-US" w:eastAsia="zh-CN"/>
        </w:rPr>
        <w:t>中医</w:t>
      </w:r>
      <w:r>
        <w:rPr>
          <w:rFonts w:hint="eastAsia"/>
        </w:rPr>
        <w:t>治疗床</w:t>
      </w:r>
      <w:r>
        <w:rPr>
          <w:rFonts w:hint="eastAsia"/>
          <w:lang w:val="en-US" w:eastAsia="zh-CN"/>
        </w:rPr>
        <w:t>宜</w:t>
      </w:r>
      <w:r>
        <w:rPr>
          <w:rFonts w:hint="eastAsia"/>
        </w:rPr>
        <w:t>具备电动或手动调节功能，允许医护人员根据患者的身高、体重和治疗需求调整床的高度</w:t>
      </w:r>
      <w:r>
        <w:rPr>
          <w:rFonts w:hint="eastAsia"/>
          <w:lang w:eastAsia="zh-CN"/>
        </w:rPr>
        <w:t>。</w:t>
      </w:r>
      <w:bookmarkEnd w:id="195"/>
      <w:bookmarkEnd w:id="196"/>
      <w:bookmarkEnd w:id="197"/>
      <w:bookmarkEnd w:id="198"/>
      <w:bookmarkEnd w:id="199"/>
      <w:bookmarkEnd w:id="200"/>
    </w:p>
    <w:p w14:paraId="09D410B6">
      <w:pPr>
        <w:pStyle w:val="169"/>
        <w:spacing w:before="0" w:beforeLines="0" w:after="0" w:afterLines="0"/>
        <w:ind w:left="0" w:leftChars="0" w:firstLineChars="0"/>
        <w:outlineLvl w:val="1"/>
        <w:rPr>
          <w:rFonts w:hint="default"/>
          <w:lang w:val="en-US" w:eastAsia="zh-CN"/>
        </w:rPr>
      </w:pPr>
      <w:bookmarkStart w:id="201" w:name="_Toc6148"/>
      <w:bookmarkStart w:id="202" w:name="_Toc18154"/>
      <w:bookmarkStart w:id="203" w:name="_Toc6406"/>
      <w:bookmarkStart w:id="204" w:name="_Toc27174"/>
      <w:bookmarkStart w:id="205" w:name="_Toc15280"/>
      <w:bookmarkStart w:id="206" w:name="_Toc31454"/>
      <w:r>
        <w:rPr>
          <w:rFonts w:hint="eastAsia"/>
          <w:lang w:val="en-US" w:eastAsia="zh-CN"/>
        </w:rPr>
        <w:t>中医治疗室内宜</w:t>
      </w:r>
      <w:r>
        <w:rPr>
          <w:rFonts w:hint="eastAsia"/>
        </w:rPr>
        <w:t>为听力或视力障碍的</w:t>
      </w:r>
      <w:r>
        <w:rPr>
          <w:rFonts w:hint="eastAsia"/>
          <w:lang w:val="en-US" w:eastAsia="zh-CN"/>
        </w:rPr>
        <w:t>老年</w:t>
      </w:r>
      <w:r>
        <w:rPr>
          <w:rFonts w:hint="eastAsia"/>
        </w:rPr>
        <w:t>患者提供适应性提示，</w:t>
      </w:r>
      <w:r>
        <w:rPr>
          <w:rFonts w:hint="eastAsia"/>
          <w:lang w:val="en-US" w:eastAsia="zh-CN"/>
        </w:rPr>
        <w:t>包括</w:t>
      </w:r>
      <w:r>
        <w:rPr>
          <w:rFonts w:hint="eastAsia"/>
        </w:rPr>
        <w:t>清晰的</w:t>
      </w:r>
      <w:r>
        <w:rPr>
          <w:rFonts w:hint="eastAsia"/>
          <w:lang w:val="en-US" w:eastAsia="zh-CN"/>
        </w:rPr>
        <w:t>指引</w:t>
      </w:r>
      <w:r>
        <w:rPr>
          <w:rFonts w:hint="eastAsia"/>
        </w:rPr>
        <w:t>标志、音频引导等。</w:t>
      </w:r>
      <w:bookmarkEnd w:id="201"/>
      <w:bookmarkEnd w:id="202"/>
      <w:bookmarkEnd w:id="203"/>
      <w:bookmarkEnd w:id="204"/>
      <w:bookmarkEnd w:id="205"/>
      <w:bookmarkEnd w:id="206"/>
    </w:p>
    <w:p w14:paraId="411F59B2">
      <w:pPr>
        <w:pStyle w:val="109"/>
        <w:rPr>
          <w:rFonts w:hint="default"/>
          <w:lang w:val="en-US" w:eastAsia="zh-CN"/>
        </w:rPr>
      </w:pPr>
      <w:bookmarkStart w:id="207" w:name="_Toc526"/>
      <w:bookmarkStart w:id="208" w:name="_Toc29967"/>
      <w:bookmarkStart w:id="209" w:name="_Toc5090"/>
      <w:bookmarkStart w:id="210" w:name="_Toc16575"/>
      <w:bookmarkStart w:id="211" w:name="_Toc15714"/>
      <w:bookmarkStart w:id="212" w:name="_Toc18291"/>
      <w:bookmarkStart w:id="213" w:name="_Toc10965"/>
      <w:bookmarkStart w:id="214" w:name="_Toc9461"/>
      <w:r>
        <w:rPr>
          <w:rFonts w:hint="eastAsia"/>
          <w:lang w:val="en-US" w:eastAsia="zh-CN"/>
        </w:rPr>
        <w:t>消防设施</w:t>
      </w:r>
      <w:bookmarkEnd w:id="207"/>
      <w:bookmarkEnd w:id="208"/>
      <w:bookmarkEnd w:id="209"/>
      <w:bookmarkEnd w:id="210"/>
      <w:bookmarkEnd w:id="211"/>
      <w:bookmarkEnd w:id="212"/>
      <w:bookmarkEnd w:id="213"/>
      <w:bookmarkEnd w:id="214"/>
    </w:p>
    <w:p w14:paraId="6BC9297F">
      <w:pPr>
        <w:pStyle w:val="169"/>
        <w:spacing w:before="0" w:beforeLines="0" w:after="0" w:afterLines="0"/>
        <w:ind w:left="0" w:leftChars="0" w:firstLineChars="0"/>
        <w:rPr>
          <w:rFonts w:hint="eastAsia"/>
          <w:lang w:val="en-US" w:eastAsia="zh-CN"/>
        </w:rPr>
      </w:pPr>
      <w:r>
        <w:rPr>
          <w:rFonts w:hint="eastAsia"/>
          <w:lang w:val="en-US" w:eastAsia="zh-CN"/>
        </w:rPr>
        <w:t>中医医疗机构应贯彻执行WS 308-2019的相关规定。</w:t>
      </w:r>
    </w:p>
    <w:p w14:paraId="64F1F15E">
      <w:pPr>
        <w:pStyle w:val="169"/>
        <w:spacing w:before="0" w:beforeLines="0" w:after="0" w:afterLines="0"/>
        <w:ind w:leftChars="0"/>
        <w:rPr>
          <w:rFonts w:hint="eastAsia"/>
          <w:lang w:val="en-US" w:eastAsia="zh-CN"/>
        </w:rPr>
      </w:pPr>
      <w:r>
        <w:rPr>
          <w:rFonts w:hint="eastAsia"/>
          <w:lang w:val="en-US" w:eastAsia="zh-CN"/>
        </w:rPr>
        <w:t>中医治疗室应设排烟系统，应符合WS 308-2019的排烟规定。实施艾灸、拔罐等中医疗法时应落实全过程火源管控。</w:t>
      </w:r>
    </w:p>
    <w:p w14:paraId="1E7AE587">
      <w:pPr>
        <w:pStyle w:val="169"/>
        <w:spacing w:beforeLines="0" w:afterLines="0"/>
        <w:rPr>
          <w:rFonts w:hint="eastAsia"/>
          <w:lang w:val="en-US" w:eastAsia="zh-CN"/>
        </w:rPr>
      </w:pPr>
      <w:r>
        <w:rPr>
          <w:rFonts w:hint="eastAsia"/>
          <w:lang w:val="en-US" w:eastAsia="zh-CN"/>
        </w:rPr>
        <w:t>消防设施器材应设置规范醒目的标识，用文字或图例标明操作使用方法，消防安全标志应符合 GB 13495.1-2015的相关规定。</w:t>
      </w:r>
    </w:p>
    <w:p w14:paraId="347CAD9E">
      <w:pPr>
        <w:pStyle w:val="169"/>
        <w:spacing w:beforeLines="0" w:afterLines="0"/>
        <w:ind w:leftChars="0"/>
        <w:rPr>
          <w:rFonts w:hint="eastAsia"/>
          <w:color w:val="000000" w:themeColor="text1"/>
          <w:lang w:val="en-US" w:eastAsia="zh-CN"/>
          <w14:textFill>
            <w14:solidFill>
              <w14:schemeClr w14:val="tx1"/>
            </w14:solidFill>
          </w14:textFill>
        </w:rPr>
      </w:pPr>
      <w:r>
        <w:rPr>
          <w:rFonts w:hint="eastAsia"/>
          <w:lang w:val="en-US" w:eastAsia="zh-CN"/>
        </w:rPr>
        <w:t>结合老年患者的认知和行动特点，制定针对性强的灭火和应急疏散预案，应配备相应的轮椅、担架等疏散工具。</w:t>
      </w:r>
      <w:bookmarkEnd w:id="13"/>
      <w:bookmarkStart w:id="215" w:name="BookMark6"/>
    </w:p>
    <w:p w14:paraId="49993E36">
      <w:pPr>
        <w:pStyle w:val="108"/>
        <w:spacing w:before="0" w:after="0"/>
        <w:rPr>
          <w:rFonts w:hint="eastAsia"/>
          <w:lang w:val="en-US" w:eastAsia="zh-CN"/>
        </w:rPr>
      </w:pPr>
      <w:bookmarkStart w:id="216" w:name="_Toc24721"/>
      <w:bookmarkStart w:id="217" w:name="_Toc12632"/>
      <w:bookmarkStart w:id="218" w:name="_Toc25233"/>
      <w:bookmarkStart w:id="219" w:name="_Toc25414"/>
      <w:bookmarkStart w:id="220" w:name="_Toc10947"/>
      <w:bookmarkStart w:id="221" w:name="_Toc9352"/>
      <w:bookmarkStart w:id="222" w:name="_Toc15606"/>
      <w:bookmarkStart w:id="223" w:name="_Toc14664"/>
      <w:bookmarkStart w:id="224" w:name="OLE_LINK22"/>
      <w:r>
        <w:rPr>
          <w:rFonts w:hint="eastAsia"/>
          <w:lang w:val="en-US" w:eastAsia="zh-CN"/>
        </w:rPr>
        <w:t>人员配置</w:t>
      </w:r>
      <w:bookmarkEnd w:id="216"/>
      <w:bookmarkEnd w:id="217"/>
      <w:bookmarkEnd w:id="218"/>
      <w:bookmarkEnd w:id="219"/>
      <w:bookmarkEnd w:id="220"/>
      <w:bookmarkEnd w:id="221"/>
      <w:bookmarkEnd w:id="222"/>
      <w:bookmarkEnd w:id="223"/>
    </w:p>
    <w:bookmarkEnd w:id="224"/>
    <w:p w14:paraId="525E9366">
      <w:pPr>
        <w:pStyle w:val="109"/>
        <w:numPr>
          <w:ilvl w:val="1"/>
          <w:numId w:val="32"/>
        </w:numPr>
        <w:spacing w:before="156" w:after="156"/>
        <w:ind w:left="0" w:leftChars="0" w:firstLine="0" w:firstLineChars="0"/>
        <w:rPr>
          <w:rFonts w:hint="default"/>
          <w:lang w:val="en-US" w:eastAsia="zh-CN"/>
        </w:rPr>
      </w:pPr>
      <w:bookmarkStart w:id="225" w:name="_Toc15489"/>
      <w:bookmarkStart w:id="226" w:name="_Toc32261"/>
      <w:bookmarkStart w:id="227" w:name="_Toc2671"/>
      <w:bookmarkStart w:id="228" w:name="_Toc5180"/>
      <w:bookmarkStart w:id="229" w:name="_Toc7083"/>
      <w:bookmarkStart w:id="230" w:name="_Toc10712"/>
      <w:bookmarkStart w:id="231" w:name="_Toc32090"/>
      <w:bookmarkStart w:id="232" w:name="OLE_LINK23"/>
      <w:r>
        <w:rPr>
          <w:rFonts w:hint="eastAsia"/>
          <w:lang w:val="en-US" w:eastAsia="zh-CN"/>
        </w:rPr>
        <w:t>基本要求</w:t>
      </w:r>
      <w:bookmarkEnd w:id="225"/>
      <w:bookmarkEnd w:id="226"/>
      <w:bookmarkEnd w:id="227"/>
      <w:bookmarkEnd w:id="228"/>
      <w:bookmarkEnd w:id="229"/>
      <w:bookmarkEnd w:id="230"/>
      <w:bookmarkEnd w:id="231"/>
    </w:p>
    <w:bookmarkEnd w:id="232"/>
    <w:p w14:paraId="50925D8F">
      <w:pPr>
        <w:pStyle w:val="169"/>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240" w:lineRule="auto"/>
        <w:ind w:leftChars="0" w:right="0" w:rightChars="0"/>
        <w:jc w:val="left"/>
        <w:textAlignment w:val="auto"/>
        <w:rPr>
          <w:rFonts w:hint="eastAsia"/>
          <w:lang w:val="en-US" w:eastAsia="zh-CN"/>
        </w:rPr>
      </w:pPr>
      <w:r>
        <w:rPr>
          <w:rFonts w:hint="eastAsia"/>
          <w:lang w:val="en-US" w:eastAsia="zh-CN"/>
        </w:rPr>
        <w:t>依据《中华人民共和国医师法》《中华人民共和国护士条例》《中国护理事业发展规划2021-2025》，工作人员应符合上岗的资质要求，各岗位工作人员均应持证上岗，并定期参加有关继续教育培训。</w:t>
      </w:r>
    </w:p>
    <w:p w14:paraId="67DDB7CB">
      <w:pPr>
        <w:pStyle w:val="169"/>
        <w:keepNext w:val="0"/>
        <w:keepLines w:val="0"/>
        <w:pageBreakBefore w:val="0"/>
        <w:widowControl w:val="0"/>
        <w:suppressLineNumbers w:val="0"/>
        <w:pBdr>
          <w:top w:val="none" w:color="auto" w:sz="0" w:space="0"/>
          <w:left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240" w:lineRule="auto"/>
        <w:ind w:left="0" w:leftChars="0" w:right="0" w:firstLineChars="0"/>
        <w:jc w:val="left"/>
        <w:textAlignment w:val="auto"/>
        <w:rPr>
          <w:rFonts w:hint="default"/>
          <w:lang w:val="en-US" w:eastAsia="zh-CN"/>
        </w:rPr>
      </w:pPr>
      <w:r>
        <w:rPr>
          <w:rFonts w:hint="eastAsia"/>
          <w:lang w:val="en-US" w:eastAsia="zh-CN"/>
        </w:rPr>
        <w:t>护理</w:t>
      </w:r>
      <w:r>
        <w:rPr>
          <w:rFonts w:hint="eastAsia"/>
        </w:rPr>
        <w:t>人员</w:t>
      </w:r>
      <w:r>
        <w:rPr>
          <w:rFonts w:hint="eastAsia"/>
          <w:lang w:val="en-US" w:eastAsia="zh-CN"/>
        </w:rPr>
        <w:t>配备</w:t>
      </w:r>
      <w:r>
        <w:rPr>
          <w:rFonts w:hint="eastAsia"/>
        </w:rPr>
        <w:t>应符合</w:t>
      </w:r>
      <w:r>
        <w:rPr>
          <w:rFonts w:hint="eastAsia"/>
          <w:lang w:eastAsia="zh-CN"/>
        </w:rPr>
        <w:t>《</w:t>
      </w:r>
      <w:r>
        <w:rPr>
          <w:rFonts w:hint="eastAsia"/>
        </w:rPr>
        <w:t>中医医院中医护理工作指南（试行）</w:t>
      </w:r>
      <w:r>
        <w:rPr>
          <w:rFonts w:hint="eastAsia"/>
          <w:lang w:eastAsia="zh-CN"/>
        </w:rPr>
        <w:t>》</w:t>
      </w:r>
      <w:r>
        <w:rPr>
          <w:rFonts w:hint="eastAsia"/>
          <w:lang w:val="en-US" w:eastAsia="zh-CN"/>
        </w:rPr>
        <w:t>的相关规定。</w:t>
      </w:r>
    </w:p>
    <w:p w14:paraId="4CDE29E7">
      <w:pPr>
        <w:pStyle w:val="169"/>
        <w:pBdr>
          <w:top w:val="none" w:color="auto" w:sz="0" w:space="0"/>
          <w:left w:val="none" w:color="auto" w:sz="0" w:space="0"/>
          <w:right w:val="none" w:color="auto" w:sz="0" w:space="0"/>
        </w:pBdr>
        <w:spacing w:before="0" w:beforeLines="0" w:after="0" w:afterLines="0"/>
        <w:ind w:left="0" w:leftChars="0" w:firstLineChars="0"/>
        <w:rPr>
          <w:rFonts w:hint="eastAsia"/>
          <w:lang w:val="en-US" w:eastAsia="zh-CN"/>
        </w:rPr>
      </w:pPr>
      <w:r>
        <w:rPr>
          <w:rFonts w:hint="eastAsia"/>
          <w:lang w:val="en-US" w:eastAsia="zh-CN"/>
        </w:rPr>
        <w:t>老年病科每张病床应配备医师≥0.3名，配备护士≥0.6名，鼓励有条件的医院配备康复治师、营养师、心理治疗师、临床药师等人员。</w:t>
      </w:r>
    </w:p>
    <w:p w14:paraId="1AC1D293">
      <w:pPr>
        <w:pStyle w:val="109"/>
        <w:rPr>
          <w:rFonts w:hint="eastAsia"/>
          <w:lang w:val="en-US" w:eastAsia="zh-CN"/>
        </w:rPr>
      </w:pPr>
      <w:bookmarkStart w:id="233" w:name="_Toc18769"/>
      <w:bookmarkStart w:id="234" w:name="_Toc16372"/>
      <w:bookmarkStart w:id="235" w:name="_Toc30494"/>
      <w:bookmarkStart w:id="236" w:name="_Toc21207"/>
      <w:bookmarkStart w:id="237" w:name="_Toc23022"/>
      <w:bookmarkStart w:id="238" w:name="_Toc28444"/>
      <w:bookmarkStart w:id="239" w:name="_Toc24078"/>
      <w:r>
        <w:rPr>
          <w:rFonts w:hint="eastAsia"/>
          <w:lang w:val="en-US" w:eastAsia="zh-CN"/>
        </w:rPr>
        <w:t>岗位设置</w:t>
      </w:r>
      <w:bookmarkEnd w:id="233"/>
      <w:bookmarkEnd w:id="234"/>
      <w:bookmarkEnd w:id="235"/>
      <w:bookmarkEnd w:id="236"/>
      <w:bookmarkEnd w:id="237"/>
      <w:bookmarkEnd w:id="238"/>
      <w:bookmarkEnd w:id="239"/>
    </w:p>
    <w:p w14:paraId="6105919F">
      <w:pPr>
        <w:pStyle w:val="169"/>
        <w:rPr>
          <w:rFonts w:hint="eastAsia" w:ascii="黑体" w:hAnsi="黑体" w:eastAsia="黑体" w:cs="黑体"/>
          <w:lang w:val="en-US" w:eastAsia="zh-CN"/>
        </w:rPr>
      </w:pPr>
      <w:bookmarkStart w:id="240" w:name="_Toc16583"/>
      <w:bookmarkStart w:id="241" w:name="_Toc25897"/>
      <w:bookmarkStart w:id="242" w:name="_Toc21713"/>
      <w:r>
        <w:rPr>
          <w:rFonts w:hint="eastAsia" w:ascii="黑体" w:hAnsi="黑体" w:eastAsia="黑体" w:cs="黑体"/>
          <w:lang w:val="en-US" w:eastAsia="zh-CN"/>
        </w:rPr>
        <w:t>老年病科医师</w:t>
      </w:r>
      <w:bookmarkEnd w:id="240"/>
      <w:bookmarkEnd w:id="241"/>
      <w:bookmarkEnd w:id="242"/>
    </w:p>
    <w:p w14:paraId="167CD627">
      <w:pPr>
        <w:keepNext w:val="0"/>
        <w:keepLines w:val="0"/>
        <w:pageBreakBefore w:val="0"/>
        <w:widowControl w:val="0"/>
        <w:numPr>
          <w:ilvl w:val="3"/>
          <w:numId w:val="33"/>
        </w:numPr>
        <w:kinsoku/>
        <w:wordWrap/>
        <w:overflowPunct/>
        <w:topLinePunct w:val="0"/>
        <w:autoSpaceDE/>
        <w:autoSpaceDN/>
        <w:bidi w:val="0"/>
        <w:adjustRightInd/>
        <w:snapToGrid/>
        <w:spacing w:after="0" w:line="240" w:lineRule="auto"/>
        <w:ind w:left="850" w:leftChars="0" w:hanging="850" w:firstLineChars="0"/>
        <w:jc w:val="both"/>
        <w:textAlignment w:val="auto"/>
        <w:rPr>
          <w:rFonts w:hint="eastAsia" w:ascii="Times New Roman" w:hAnsi="Times New Roman" w:eastAsia="宋体" w:cs="Times New Roman"/>
          <w:b w:val="0"/>
          <w:bCs w:val="0"/>
          <w:i w:val="0"/>
          <w:iCs w:val="0"/>
          <w:caps w:val="0"/>
          <w:color w:val="auto"/>
          <w:spacing w:val="0"/>
          <w:kern w:val="2"/>
          <w:sz w:val="21"/>
          <w:szCs w:val="21"/>
          <w:shd w:val="clear" w:fill="FFFFFF"/>
          <w:lang w:val="en-US" w:eastAsia="zh-CN" w:bidi="ar-SA"/>
        </w:rPr>
      </w:pPr>
      <w:r>
        <w:rPr>
          <w:rFonts w:hint="eastAsia" w:ascii="Times New Roman" w:hAnsi="Times New Roman" w:eastAsia="宋体" w:cs="Times New Roman"/>
          <w:b w:val="0"/>
          <w:bCs w:val="0"/>
          <w:i w:val="0"/>
          <w:iCs w:val="0"/>
          <w:caps w:val="0"/>
          <w:color w:val="auto"/>
          <w:spacing w:val="0"/>
          <w:kern w:val="2"/>
          <w:sz w:val="21"/>
          <w:szCs w:val="21"/>
          <w:shd w:val="clear" w:fill="FFFFFF"/>
          <w:lang w:val="en-US" w:eastAsia="zh-CN" w:bidi="ar-SA"/>
        </w:rPr>
        <w:t>老年病科医师应经卫生健康行政部门注册，取得临床专业执业资格，并经过相关培训，</w:t>
      </w:r>
      <w:r>
        <w:rPr>
          <w:rFonts w:hint="eastAsia" w:ascii="Times New Roman" w:hAnsi="Times New Roman" w:cs="Times New Roman"/>
          <w:b w:val="0"/>
          <w:bCs w:val="0"/>
          <w:i w:val="0"/>
          <w:iCs w:val="0"/>
          <w:caps w:val="0"/>
          <w:color w:val="auto"/>
          <w:spacing w:val="0"/>
          <w:kern w:val="2"/>
          <w:sz w:val="21"/>
          <w:szCs w:val="21"/>
          <w:shd w:val="clear" w:fill="FFFFFF"/>
          <w:lang w:val="en-US" w:eastAsia="zh-CN" w:bidi="ar-SA"/>
        </w:rPr>
        <w:t>从事</w:t>
      </w:r>
    </w:p>
    <w:p w14:paraId="6951F086">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0"/>
        <w:jc w:val="both"/>
        <w:textAlignment w:val="auto"/>
        <w:rPr>
          <w:rFonts w:hint="eastAsia" w:ascii="Times New Roman" w:hAnsi="Times New Roman" w:eastAsia="宋体" w:cs="Times New Roman"/>
          <w:b w:val="0"/>
          <w:bCs w:val="0"/>
          <w:i w:val="0"/>
          <w:iCs w:val="0"/>
          <w:caps w:val="0"/>
          <w:color w:val="auto"/>
          <w:spacing w:val="0"/>
          <w:kern w:val="2"/>
          <w:sz w:val="21"/>
          <w:szCs w:val="21"/>
          <w:shd w:val="clear" w:fill="FFFFFF"/>
          <w:lang w:val="en-US" w:eastAsia="zh-CN" w:bidi="ar-SA"/>
        </w:rPr>
      </w:pPr>
      <w:r>
        <w:rPr>
          <w:rFonts w:hint="eastAsia" w:ascii="Times New Roman" w:hAnsi="Times New Roman" w:cs="Times New Roman"/>
          <w:b w:val="0"/>
          <w:bCs w:val="0"/>
          <w:i w:val="0"/>
          <w:iCs w:val="0"/>
          <w:caps w:val="0"/>
          <w:color w:val="auto"/>
          <w:spacing w:val="0"/>
          <w:kern w:val="2"/>
          <w:sz w:val="21"/>
          <w:szCs w:val="21"/>
          <w:shd w:val="clear" w:fill="FFFFFF"/>
          <w:lang w:val="en-US" w:eastAsia="zh-CN" w:bidi="ar-SA"/>
        </w:rPr>
        <w:t>医</w:t>
      </w:r>
      <w:r>
        <w:rPr>
          <w:rFonts w:hint="eastAsia" w:ascii="Times New Roman" w:hAnsi="Times New Roman" w:eastAsia="宋体" w:cs="Times New Roman"/>
          <w:b w:val="0"/>
          <w:bCs w:val="0"/>
          <w:i w:val="0"/>
          <w:iCs w:val="0"/>
          <w:caps w:val="0"/>
          <w:color w:val="auto"/>
          <w:spacing w:val="0"/>
          <w:kern w:val="2"/>
          <w:sz w:val="21"/>
          <w:szCs w:val="21"/>
          <w:shd w:val="clear" w:fill="FFFFFF"/>
          <w:lang w:val="en-US" w:eastAsia="zh-CN" w:bidi="ar-SA"/>
        </w:rPr>
        <w:t>疗服务的医师。</w:t>
      </w:r>
    </w:p>
    <w:p w14:paraId="0324A77D">
      <w:pPr>
        <w:keepNext w:val="0"/>
        <w:keepLines w:val="0"/>
        <w:pageBreakBefore w:val="0"/>
        <w:widowControl w:val="0"/>
        <w:numPr>
          <w:ilvl w:val="3"/>
          <w:numId w:val="33"/>
        </w:numPr>
        <w:kinsoku/>
        <w:wordWrap/>
        <w:overflowPunct/>
        <w:topLinePunct w:val="0"/>
        <w:autoSpaceDE/>
        <w:autoSpaceDN/>
        <w:bidi w:val="0"/>
        <w:adjustRightInd/>
        <w:snapToGrid/>
        <w:spacing w:after="0" w:line="240" w:lineRule="auto"/>
        <w:ind w:left="850" w:leftChars="0" w:hanging="850" w:firstLineChars="0"/>
        <w:jc w:val="both"/>
        <w:textAlignment w:val="auto"/>
        <w:rPr>
          <w:rFonts w:hint="eastAsia" w:ascii="Times New Roman" w:hAnsi="Times New Roman" w:eastAsia="宋体" w:cs="Times New Roman"/>
          <w:b w:val="0"/>
          <w:bCs w:val="0"/>
          <w:i w:val="0"/>
          <w:iCs w:val="0"/>
          <w:caps w:val="0"/>
          <w:color w:val="auto"/>
          <w:spacing w:val="0"/>
          <w:kern w:val="0"/>
          <w:sz w:val="21"/>
          <w:szCs w:val="21"/>
          <w:shd w:val="clear" w:fill="FFFFFF"/>
          <w:lang w:val="en-US" w:eastAsia="zh-CN" w:bidi="ar"/>
        </w:rPr>
      </w:pPr>
      <w:r>
        <w:rPr>
          <w:rFonts w:hint="eastAsia" w:ascii="Times New Roman" w:hAnsi="Times New Roman" w:eastAsia="宋体" w:cs="Times New Roman"/>
          <w:b w:val="0"/>
          <w:bCs w:val="0"/>
          <w:i w:val="0"/>
          <w:iCs w:val="0"/>
          <w:caps w:val="0"/>
          <w:color w:val="auto"/>
          <w:spacing w:val="0"/>
          <w:kern w:val="2"/>
          <w:sz w:val="21"/>
          <w:szCs w:val="21"/>
          <w:shd w:val="clear" w:fill="FFFFFF"/>
          <w:lang w:val="en-US" w:eastAsia="zh-CN" w:bidi="ar-SA"/>
        </w:rPr>
        <w:t>三级综合医院老年病科主任应由具有副高级以上专业技术资格，且在</w:t>
      </w:r>
      <w:r>
        <w:rPr>
          <w:rFonts w:hint="eastAsia" w:ascii="Times New Roman" w:hAnsi="Times New Roman" w:cs="Times New Roman"/>
          <w:b w:val="0"/>
          <w:bCs w:val="0"/>
          <w:i w:val="0"/>
          <w:iCs w:val="0"/>
          <w:caps w:val="0"/>
          <w:color w:val="auto"/>
          <w:spacing w:val="0"/>
          <w:kern w:val="2"/>
          <w:sz w:val="21"/>
          <w:szCs w:val="21"/>
          <w:shd w:val="clear" w:fill="FFFFFF"/>
          <w:lang w:val="en-US" w:eastAsia="zh-CN" w:bidi="ar-SA"/>
        </w:rPr>
        <w:t>老年病科</w:t>
      </w:r>
      <w:r>
        <w:rPr>
          <w:rFonts w:hint="eastAsia" w:ascii="Times New Roman" w:hAnsi="Times New Roman" w:eastAsia="宋体" w:cs="Times New Roman"/>
          <w:b w:val="0"/>
          <w:bCs w:val="0"/>
          <w:i w:val="0"/>
          <w:iCs w:val="0"/>
          <w:caps w:val="0"/>
          <w:color w:val="auto"/>
          <w:spacing w:val="0"/>
          <w:kern w:val="2"/>
          <w:sz w:val="21"/>
          <w:szCs w:val="21"/>
          <w:shd w:val="clear" w:fill="FFFFFF"/>
          <w:lang w:val="en-US" w:eastAsia="zh-CN" w:bidi="ar-SA"/>
        </w:rPr>
        <w:t>连续工作5</w:t>
      </w:r>
    </w:p>
    <w:p w14:paraId="56B54A6C">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Chars="0"/>
        <w:jc w:val="both"/>
        <w:textAlignment w:val="auto"/>
        <w:rPr>
          <w:rFonts w:hint="eastAsia" w:ascii="Times New Roman" w:hAnsi="Times New Roman" w:eastAsia="宋体" w:cs="Times New Roman"/>
          <w:b w:val="0"/>
          <w:bCs w:val="0"/>
          <w:i w:val="0"/>
          <w:iCs w:val="0"/>
          <w:caps w:val="0"/>
          <w:color w:val="auto"/>
          <w:spacing w:val="0"/>
          <w:kern w:val="0"/>
          <w:sz w:val="21"/>
          <w:szCs w:val="21"/>
          <w:shd w:val="clear" w:fill="FFFFFF"/>
          <w:lang w:val="en-US" w:eastAsia="zh-CN" w:bidi="ar"/>
        </w:rPr>
      </w:pPr>
      <w:r>
        <w:rPr>
          <w:rFonts w:hint="eastAsia" w:ascii="Times New Roman" w:hAnsi="Times New Roman" w:eastAsia="宋体" w:cs="Times New Roman"/>
          <w:b w:val="0"/>
          <w:bCs w:val="0"/>
          <w:i w:val="0"/>
          <w:iCs w:val="0"/>
          <w:caps w:val="0"/>
          <w:color w:val="auto"/>
          <w:spacing w:val="0"/>
          <w:kern w:val="2"/>
          <w:sz w:val="21"/>
          <w:szCs w:val="21"/>
          <w:shd w:val="clear" w:fill="FFFFFF"/>
          <w:lang w:val="en-US" w:eastAsia="zh-CN" w:bidi="ar-SA"/>
        </w:rPr>
        <w:t>年以上的医师担任。</w:t>
      </w:r>
      <w:r>
        <w:rPr>
          <w:rFonts w:hint="eastAsia" w:ascii="Times New Roman" w:hAnsi="Times New Roman"/>
          <w:color w:val="auto"/>
          <w:shd w:val="clear" w:fill="FFFFFF"/>
        </w:rPr>
        <w:t>二级综合医院的老年</w:t>
      </w:r>
      <w:r>
        <w:rPr>
          <w:rFonts w:hint="eastAsia" w:ascii="Times New Roman" w:hAnsi="Times New Roman"/>
          <w:color w:val="auto"/>
          <w:shd w:val="clear" w:fill="FFFFFF"/>
          <w:lang w:val="en-US" w:eastAsia="zh-CN"/>
        </w:rPr>
        <w:t>病</w:t>
      </w:r>
      <w:r>
        <w:rPr>
          <w:rFonts w:hint="eastAsia" w:ascii="Times New Roman" w:hAnsi="Times New Roman"/>
          <w:color w:val="auto"/>
          <w:shd w:val="clear" w:fill="FFFFFF"/>
        </w:rPr>
        <w:t>科主任应由具备中级以上专业技术资格的医师担任。</w:t>
      </w:r>
    </w:p>
    <w:p w14:paraId="7786B129">
      <w:pPr>
        <w:keepNext w:val="0"/>
        <w:keepLines w:val="0"/>
        <w:pageBreakBefore w:val="0"/>
        <w:widowControl w:val="0"/>
        <w:numPr>
          <w:ilvl w:val="3"/>
          <w:numId w:val="33"/>
        </w:numPr>
        <w:kinsoku/>
        <w:wordWrap/>
        <w:overflowPunct/>
        <w:topLinePunct w:val="0"/>
        <w:autoSpaceDE/>
        <w:autoSpaceDN/>
        <w:bidi w:val="0"/>
        <w:adjustRightInd/>
        <w:snapToGrid/>
        <w:spacing w:after="0" w:line="240" w:lineRule="auto"/>
        <w:ind w:left="850" w:leftChars="0" w:hanging="850" w:firstLineChars="0"/>
        <w:jc w:val="both"/>
        <w:textAlignment w:val="auto"/>
        <w:rPr>
          <w:rFonts w:hint="eastAsia" w:ascii="Times New Roman" w:hAnsi="Times New Roman" w:eastAsia="宋体" w:cs="Times New Roman"/>
          <w:b w:val="0"/>
          <w:bCs w:val="0"/>
          <w:i w:val="0"/>
          <w:iCs w:val="0"/>
          <w:caps w:val="0"/>
          <w:color w:val="auto"/>
          <w:spacing w:val="0"/>
          <w:kern w:val="0"/>
          <w:sz w:val="21"/>
          <w:szCs w:val="21"/>
          <w:shd w:val="clear" w:fill="FFFFFF"/>
          <w:lang w:val="en-US" w:eastAsia="zh-CN" w:bidi="ar"/>
        </w:rPr>
      </w:pPr>
      <w:r>
        <w:rPr>
          <w:rFonts w:hint="eastAsia" w:ascii="Times New Roman" w:hAnsi="Times New Roman" w:eastAsia="宋体" w:cs="Times New Roman"/>
          <w:b w:val="0"/>
          <w:bCs w:val="0"/>
          <w:i w:val="0"/>
          <w:iCs w:val="0"/>
          <w:caps w:val="0"/>
          <w:color w:val="auto"/>
          <w:spacing w:val="0"/>
          <w:kern w:val="0"/>
          <w:sz w:val="21"/>
          <w:szCs w:val="21"/>
          <w:shd w:val="clear" w:fill="FFFFFF"/>
          <w:lang w:val="en-US" w:eastAsia="zh-CN" w:bidi="ar"/>
        </w:rPr>
        <w:t>老年病科医师配置应确保三级查房制度。</w:t>
      </w:r>
    </w:p>
    <w:p w14:paraId="14553B8E">
      <w:pPr>
        <w:pStyle w:val="169"/>
        <w:keepNext w:val="0"/>
        <w:keepLines w:val="0"/>
        <w:pageBreakBefore w:val="0"/>
        <w:widowControl w:val="0"/>
        <w:kinsoku/>
        <w:wordWrap/>
        <w:overflowPunct/>
        <w:topLinePunct w:val="0"/>
        <w:autoSpaceDE/>
        <w:autoSpaceDN/>
        <w:bidi w:val="0"/>
        <w:adjustRightInd w:val="0"/>
        <w:snapToGrid/>
        <w:ind w:left="0" w:leftChars="0" w:firstLineChars="0"/>
        <w:jc w:val="both"/>
        <w:textAlignment w:val="auto"/>
        <w:outlineLvl w:val="1"/>
        <w:rPr>
          <w:rFonts w:hint="eastAsia" w:ascii="黑体" w:hAnsi="黑体" w:eastAsia="黑体" w:cs="黑体"/>
          <w:b w:val="0"/>
          <w:bCs w:val="0"/>
          <w:color w:val="000000" w:themeColor="text1"/>
          <w:sz w:val="21"/>
          <w:lang w:val="en-US" w:eastAsia="zh-CN" w:bidi="ar-SA"/>
          <w14:textFill>
            <w14:solidFill>
              <w14:schemeClr w14:val="tx1"/>
            </w14:solidFill>
          </w14:textFill>
        </w:rPr>
      </w:pPr>
      <w:bookmarkStart w:id="243" w:name="_Toc28158"/>
      <w:bookmarkStart w:id="244" w:name="_Toc22709"/>
      <w:bookmarkStart w:id="245" w:name="_Toc12788"/>
      <w:bookmarkStart w:id="246" w:name="_Toc29919"/>
      <w:bookmarkStart w:id="247" w:name="_Toc16656"/>
      <w:bookmarkStart w:id="248" w:name="_Toc16579"/>
      <w:bookmarkStart w:id="249" w:name="_Toc15144"/>
      <w:r>
        <w:rPr>
          <w:rFonts w:hint="eastAsia" w:ascii="黑体" w:hAnsi="黑体" w:eastAsia="黑体" w:cs="黑体"/>
          <w:b w:val="0"/>
          <w:bCs w:val="0"/>
          <w:color w:val="000000" w:themeColor="text1"/>
          <w:sz w:val="21"/>
          <w:lang w:val="en-US" w:eastAsia="zh-CN" w:bidi="ar-SA"/>
          <w14:textFill>
            <w14:solidFill>
              <w14:schemeClr w14:val="tx1"/>
            </w14:solidFill>
          </w14:textFill>
        </w:rPr>
        <w:t>老年病科护士</w:t>
      </w:r>
      <w:bookmarkEnd w:id="243"/>
      <w:bookmarkEnd w:id="244"/>
      <w:bookmarkEnd w:id="245"/>
      <w:bookmarkEnd w:id="246"/>
      <w:bookmarkEnd w:id="247"/>
      <w:bookmarkEnd w:id="248"/>
      <w:bookmarkEnd w:id="249"/>
    </w:p>
    <w:p w14:paraId="02305CCB">
      <w:pPr>
        <w:pStyle w:val="168"/>
        <w:adjustRightInd/>
        <w:spacing w:line="240" w:lineRule="auto"/>
        <w:rPr>
          <w:rFonts w:hint="default" w:ascii="Times New Roman" w:hAnsi="Times New Roman" w:cs="宋体"/>
          <w:color w:val="auto"/>
          <w:lang w:val="en-US" w:eastAsia="zh-CN"/>
        </w:rPr>
      </w:pPr>
      <w:r>
        <w:rPr>
          <w:rFonts w:hint="eastAsia" w:ascii="Times New Roman" w:hAnsi="Times New Roman" w:cs="宋体"/>
          <w:b w:val="0"/>
          <w:bCs w:val="0"/>
          <w:i w:val="0"/>
          <w:iCs w:val="0"/>
          <w:caps w:val="0"/>
          <w:color w:val="auto"/>
          <w:spacing w:val="0"/>
          <w:kern w:val="2"/>
          <w:sz w:val="21"/>
          <w:szCs w:val="21"/>
          <w:shd w:val="clear" w:fill="FFFFFF"/>
          <w:lang w:val="en-US" w:eastAsia="zh-CN" w:bidi="ar-SA"/>
        </w:rPr>
        <w:t>老年病科</w:t>
      </w:r>
      <w:r>
        <w:rPr>
          <w:rFonts w:hint="eastAsia" w:ascii="Times New Roman" w:hAnsi="Times New Roman" w:eastAsia="宋体" w:cs="宋体"/>
          <w:b w:val="0"/>
          <w:bCs w:val="0"/>
          <w:i w:val="0"/>
          <w:iCs w:val="0"/>
          <w:caps w:val="0"/>
          <w:color w:val="auto"/>
          <w:spacing w:val="0"/>
          <w:kern w:val="2"/>
          <w:sz w:val="21"/>
          <w:szCs w:val="21"/>
          <w:shd w:val="clear" w:fill="FFFFFF"/>
          <w:lang w:val="en-US" w:eastAsia="zh-CN" w:bidi="ar-SA"/>
        </w:rPr>
        <w:t>护士应具备全日制大专及以上学历，取得护士职业资格证书并注册，其资质和条件符合国家规定及行业规范</w:t>
      </w:r>
      <w:r>
        <w:rPr>
          <w:rFonts w:hint="eastAsia" w:ascii="Times New Roman" w:hAnsi="Times New Roman" w:cs="宋体"/>
          <w:b w:val="0"/>
          <w:bCs w:val="0"/>
          <w:i w:val="0"/>
          <w:iCs w:val="0"/>
          <w:caps w:val="0"/>
          <w:color w:val="auto"/>
          <w:spacing w:val="0"/>
          <w:kern w:val="2"/>
          <w:sz w:val="21"/>
          <w:szCs w:val="21"/>
          <w:shd w:val="clear" w:fill="FFFFFF"/>
          <w:lang w:val="en-US" w:eastAsia="zh-CN" w:bidi="ar-SA"/>
        </w:rPr>
        <w:t>。</w:t>
      </w:r>
    </w:p>
    <w:p w14:paraId="13C615E8">
      <w:pPr>
        <w:pStyle w:val="168"/>
        <w:keepNext w:val="0"/>
        <w:keepLines w:val="0"/>
        <w:pageBreakBefore w:val="0"/>
        <w:widowControl w:val="0"/>
        <w:kinsoku/>
        <w:wordWrap/>
        <w:overflowPunct/>
        <w:topLinePunct w:val="0"/>
        <w:autoSpaceDE/>
        <w:autoSpaceDN/>
        <w:bidi w:val="0"/>
        <w:adjustRightInd/>
        <w:snapToGrid/>
        <w:spacing w:after="0" w:line="240" w:lineRule="auto"/>
        <w:ind w:left="0" w:leftChars="0" w:firstLineChars="0"/>
        <w:jc w:val="both"/>
        <w:textAlignment w:val="auto"/>
        <w:rPr>
          <w:rFonts w:hint="default" w:ascii="Times New Roman" w:hAnsi="Times New Roman" w:eastAsia="宋体" w:cs="宋体"/>
          <w:b w:val="0"/>
          <w:bCs w:val="0"/>
          <w:i w:val="0"/>
          <w:iCs w:val="0"/>
          <w:caps w:val="0"/>
          <w:color w:val="333333"/>
          <w:spacing w:val="0"/>
          <w:kern w:val="2"/>
          <w:sz w:val="21"/>
          <w:szCs w:val="21"/>
          <w:shd w:val="clear" w:fill="FFFFFF"/>
          <w:lang w:val="en-US" w:eastAsia="zh-CN" w:bidi="ar-SA"/>
        </w:rPr>
      </w:pPr>
      <w:r>
        <w:rPr>
          <w:rFonts w:hint="eastAsia" w:ascii="Times New Roman" w:hAnsi="Times New Roman" w:cs="宋体"/>
          <w:lang w:val="en-US" w:eastAsia="zh-CN"/>
        </w:rPr>
        <w:t>老年病科</w:t>
      </w:r>
      <w:r>
        <w:rPr>
          <w:rFonts w:hint="default" w:ascii="Times New Roman" w:hAnsi="Times New Roman" w:cs="宋体"/>
          <w:lang w:val="en-US" w:eastAsia="zh-CN"/>
        </w:rPr>
        <w:t>系统接受中医知识与技能培训（是指毕业于中医药院校或中医护理专业；或毕业于西医药院校，三年内接受中医药知识和技能岗位培训时间≥100小时）的护士，</w:t>
      </w:r>
      <w:r>
        <w:rPr>
          <w:rFonts w:hint="eastAsia" w:ascii="Times New Roman" w:hAnsi="Times New Roman" w:cs="宋体"/>
          <w:lang w:val="en-US" w:eastAsia="zh-CN"/>
        </w:rPr>
        <w:t>应</w:t>
      </w:r>
      <w:r>
        <w:rPr>
          <w:rFonts w:hint="default" w:ascii="Times New Roman" w:hAnsi="Times New Roman" w:cs="宋体"/>
          <w:lang w:val="en-US" w:eastAsia="zh-CN"/>
        </w:rPr>
        <w:t>达到</w:t>
      </w:r>
      <w:r>
        <w:rPr>
          <w:rFonts w:hint="eastAsia" w:ascii="Times New Roman" w:hAnsi="Times New Roman" w:cs="宋体"/>
          <w:lang w:val="en-US" w:eastAsia="zh-CN"/>
        </w:rPr>
        <w:t>科室</w:t>
      </w:r>
      <w:r>
        <w:rPr>
          <w:rFonts w:hint="default" w:ascii="Times New Roman" w:hAnsi="Times New Roman" w:cs="宋体"/>
          <w:lang w:val="en-US" w:eastAsia="zh-CN"/>
        </w:rPr>
        <w:t>护理人员总数的70%以上。</w:t>
      </w:r>
    </w:p>
    <w:p w14:paraId="10C95F5D">
      <w:pPr>
        <w:pStyle w:val="168"/>
        <w:adjustRightInd/>
        <w:spacing w:after="0" w:line="240" w:lineRule="auto"/>
        <w:rPr>
          <w:rFonts w:hint="default"/>
          <w:color w:val="auto"/>
          <w:lang w:val="en-US" w:eastAsia="zh-CN"/>
        </w:rPr>
      </w:pPr>
      <w:r>
        <w:rPr>
          <w:rFonts w:hint="default" w:ascii="Times New Roman" w:hAnsi="Times New Roman" w:cs="宋体"/>
          <w:b w:val="0"/>
          <w:bCs w:val="0"/>
          <w:i w:val="0"/>
          <w:iCs w:val="0"/>
          <w:caps w:val="0"/>
          <w:color w:val="auto"/>
          <w:spacing w:val="0"/>
          <w:kern w:val="2"/>
          <w:sz w:val="21"/>
          <w:szCs w:val="21"/>
          <w:shd w:val="clear" w:fill="FFFFFF"/>
          <w:lang w:val="en-US" w:eastAsia="zh-CN" w:bidi="ar-SA"/>
        </w:rPr>
        <w:t>老年病科</w:t>
      </w:r>
      <w:r>
        <w:rPr>
          <w:rFonts w:hint="default" w:ascii="Times New Roman" w:hAnsi="Times New Roman" w:eastAsia="宋体" w:cs="宋体"/>
          <w:b w:val="0"/>
          <w:bCs w:val="0"/>
          <w:i w:val="0"/>
          <w:iCs w:val="0"/>
          <w:caps w:val="0"/>
          <w:color w:val="auto"/>
          <w:spacing w:val="0"/>
          <w:kern w:val="2"/>
          <w:sz w:val="21"/>
          <w:szCs w:val="21"/>
          <w:shd w:val="clear" w:fill="FFFFFF"/>
          <w:lang w:val="en-US" w:eastAsia="zh-CN" w:bidi="ar-SA"/>
        </w:rPr>
        <w:t>护士应符合《中医医院中医护理工作指南（试行）》对护理人员的基本要求</w:t>
      </w:r>
      <w:r>
        <w:rPr>
          <w:rFonts w:hint="default" w:ascii="Calibri" w:hAnsi="Calibri" w:eastAsia="宋体" w:cs="宋体"/>
          <w:b w:val="0"/>
          <w:bCs w:val="0"/>
          <w:i w:val="0"/>
          <w:iCs w:val="0"/>
          <w:caps w:val="0"/>
          <w:color w:val="auto"/>
          <w:spacing w:val="0"/>
          <w:kern w:val="2"/>
          <w:sz w:val="21"/>
          <w:szCs w:val="21"/>
          <w:shd w:val="clear" w:fill="FFFFFF"/>
          <w:lang w:val="en-US" w:eastAsia="zh-CN" w:bidi="ar-SA"/>
        </w:rPr>
        <w:t>。</w:t>
      </w:r>
    </w:p>
    <w:p w14:paraId="0356E667">
      <w:pPr>
        <w:pStyle w:val="169"/>
        <w:keepNext w:val="0"/>
        <w:keepLines w:val="0"/>
        <w:pageBreakBefore w:val="0"/>
        <w:widowControl w:val="0"/>
        <w:kinsoku/>
        <w:wordWrap/>
        <w:overflowPunct/>
        <w:topLinePunct w:val="0"/>
        <w:autoSpaceDE/>
        <w:autoSpaceDN/>
        <w:bidi w:val="0"/>
        <w:adjustRightInd w:val="0"/>
        <w:snapToGrid/>
        <w:ind w:left="0" w:leftChars="0" w:firstLineChars="0"/>
        <w:jc w:val="both"/>
        <w:textAlignment w:val="auto"/>
        <w:outlineLvl w:val="1"/>
        <w:rPr>
          <w:rFonts w:hint="eastAsia" w:ascii="黑体" w:hAnsi="黑体" w:eastAsia="黑体" w:cs="黑体"/>
          <w:color w:val="000000" w:themeColor="text1"/>
          <w:sz w:val="21"/>
          <w:lang w:val="en-US" w:eastAsia="zh-CN" w:bidi="ar-SA"/>
          <w14:textFill>
            <w14:solidFill>
              <w14:schemeClr w14:val="tx1"/>
            </w14:solidFill>
          </w14:textFill>
        </w:rPr>
      </w:pPr>
      <w:bookmarkStart w:id="250" w:name="_Toc2360"/>
      <w:bookmarkStart w:id="251" w:name="_Toc12152"/>
      <w:bookmarkStart w:id="252" w:name="_Toc32075"/>
      <w:bookmarkStart w:id="253" w:name="_Toc2842"/>
      <w:bookmarkStart w:id="254" w:name="_Toc16778"/>
      <w:bookmarkStart w:id="255" w:name="_Toc25962"/>
      <w:bookmarkStart w:id="256" w:name="_Toc27871"/>
      <w:r>
        <w:rPr>
          <w:rFonts w:hint="eastAsia" w:ascii="黑体" w:hAnsi="黑体" w:eastAsia="黑体" w:cs="黑体"/>
          <w:color w:val="000000" w:themeColor="text1"/>
          <w:sz w:val="21"/>
          <w:lang w:val="en-US" w:eastAsia="zh-CN" w:bidi="ar-SA"/>
          <w14:textFill>
            <w14:solidFill>
              <w14:schemeClr w14:val="tx1"/>
            </w14:solidFill>
          </w14:textFill>
        </w:rPr>
        <w:t>养老照护人员</w:t>
      </w:r>
      <w:bookmarkEnd w:id="250"/>
      <w:bookmarkEnd w:id="251"/>
      <w:bookmarkEnd w:id="252"/>
      <w:bookmarkEnd w:id="253"/>
      <w:bookmarkEnd w:id="254"/>
      <w:bookmarkEnd w:id="255"/>
      <w:bookmarkEnd w:id="256"/>
    </w:p>
    <w:p w14:paraId="25019706">
      <w:pPr>
        <w:pStyle w:val="168"/>
        <w:spacing w:after="0" w:line="240" w:lineRule="auto"/>
        <w:ind w:left="0" w:leftChars="0"/>
        <w:outlineLvl w:val="1"/>
        <w:rPr>
          <w:rFonts w:hint="default" w:ascii="宋体" w:hAnsi="宋体" w:cs="宋体"/>
          <w:lang w:val="en-US" w:eastAsia="zh-CN"/>
        </w:rPr>
      </w:pPr>
      <w:bookmarkStart w:id="257" w:name="_Toc3284"/>
      <w:bookmarkStart w:id="258" w:name="_Toc20113"/>
      <w:bookmarkStart w:id="259" w:name="_Toc18511"/>
      <w:bookmarkStart w:id="260" w:name="_Toc4281"/>
      <w:bookmarkStart w:id="261" w:name="_Toc8529"/>
      <w:bookmarkStart w:id="262" w:name="_Toc17372"/>
      <w:bookmarkStart w:id="263" w:name="_Toc1516"/>
      <w:r>
        <w:rPr>
          <w:rFonts w:hint="default" w:ascii="Times New Roman" w:hAnsi="Times New Roman" w:cs="Times New Roman"/>
          <w:lang w:val="en-US" w:eastAsia="zh-CN"/>
        </w:rPr>
        <w:t>养</w:t>
      </w:r>
      <w:r>
        <w:rPr>
          <w:rFonts w:hint="default" w:ascii="宋体" w:hAnsi="宋体" w:cs="宋体"/>
          <w:lang w:val="en-US" w:eastAsia="zh-CN"/>
        </w:rPr>
        <w:t>老照护人员应包括但不限于医疗护理员、养老护理员，应符合《医疗护理员国家职业标准（2024 年版）》和DB43/T 2058-2021的相关规定，经相应培训合格后，对老年人生活进行照料、护理的服务人员。</w:t>
      </w:r>
      <w:bookmarkEnd w:id="257"/>
      <w:bookmarkEnd w:id="258"/>
      <w:bookmarkEnd w:id="259"/>
      <w:bookmarkEnd w:id="260"/>
      <w:bookmarkEnd w:id="261"/>
      <w:bookmarkEnd w:id="262"/>
      <w:bookmarkEnd w:id="263"/>
    </w:p>
    <w:p w14:paraId="7C23E933">
      <w:pPr>
        <w:pStyle w:val="109"/>
        <w:rPr>
          <w:rFonts w:hint="default"/>
          <w:lang w:val="en-US" w:eastAsia="zh-CN"/>
        </w:rPr>
      </w:pPr>
      <w:bookmarkStart w:id="264" w:name="_Toc18262"/>
      <w:bookmarkStart w:id="265" w:name="_Toc10129"/>
      <w:bookmarkStart w:id="266" w:name="_Toc31445"/>
      <w:bookmarkStart w:id="267" w:name="_Toc9162"/>
      <w:bookmarkStart w:id="268" w:name="_Toc7523"/>
      <w:bookmarkStart w:id="269" w:name="_Toc7630"/>
      <w:bookmarkStart w:id="270" w:name="_Toc14228"/>
      <w:r>
        <w:rPr>
          <w:rFonts w:hint="eastAsia"/>
          <w:lang w:val="en-US" w:eastAsia="zh-CN"/>
        </w:rPr>
        <w:t>人</w:t>
      </w:r>
      <w:r>
        <w:rPr>
          <w:rFonts w:hint="default"/>
          <w:lang w:val="en-US" w:eastAsia="zh-CN"/>
        </w:rPr>
        <w:t>员管理</w:t>
      </w:r>
      <w:bookmarkEnd w:id="264"/>
      <w:bookmarkEnd w:id="265"/>
      <w:bookmarkEnd w:id="266"/>
      <w:bookmarkEnd w:id="267"/>
      <w:bookmarkEnd w:id="268"/>
      <w:bookmarkEnd w:id="269"/>
      <w:bookmarkEnd w:id="270"/>
    </w:p>
    <w:p w14:paraId="365EEF5A">
      <w:pPr>
        <w:pStyle w:val="109"/>
        <w:numPr>
          <w:ilvl w:val="2"/>
          <w:numId w:val="34"/>
        </w:numPr>
        <w:spacing w:before="0" w:beforeLines="0" w:after="0" w:afterLines="0"/>
        <w:ind w:left="0" w:firstLine="0"/>
        <w:rPr>
          <w:rFonts w:hint="eastAsia"/>
          <w:color w:val="auto"/>
          <w:lang w:val="en-US" w:eastAsia="zh-CN"/>
        </w:rPr>
      </w:pPr>
      <w:bookmarkStart w:id="271" w:name="_Toc16907"/>
      <w:bookmarkStart w:id="272" w:name="_Toc3675"/>
      <w:bookmarkStart w:id="273" w:name="_Toc13571"/>
      <w:bookmarkStart w:id="274" w:name="_Toc21739"/>
      <w:bookmarkStart w:id="275" w:name="_Toc5100"/>
      <w:bookmarkStart w:id="276" w:name="_Toc15360"/>
      <w:bookmarkStart w:id="277" w:name="_Toc22446"/>
      <w:r>
        <w:rPr>
          <w:rFonts w:hint="eastAsia" w:ascii="宋体" w:hAnsi="宋体" w:eastAsia="宋体" w:cs="宋体"/>
          <w:b w:val="0"/>
          <w:bCs w:val="0"/>
          <w:i w:val="0"/>
          <w:iCs w:val="0"/>
          <w:caps w:val="0"/>
          <w:color w:val="auto"/>
          <w:spacing w:val="0"/>
          <w:kern w:val="2"/>
          <w:sz w:val="21"/>
          <w:szCs w:val="21"/>
          <w:shd w:val="clear" w:fill="FFFFFF"/>
          <w:lang w:val="en-US" w:eastAsia="zh-CN" w:bidi="ar-SA"/>
        </w:rPr>
        <w:t>应确保老年病科可持续发展，从业人员梯队完整、结构合理、分工明确，团队协作</w:t>
      </w:r>
      <w:bookmarkEnd w:id="271"/>
      <w:bookmarkEnd w:id="272"/>
      <w:bookmarkEnd w:id="273"/>
      <w:r>
        <w:rPr>
          <w:rFonts w:hint="eastAsia" w:ascii="宋体" w:hAnsi="宋体" w:eastAsia="宋体" w:cs="宋体"/>
          <w:b w:val="0"/>
          <w:bCs w:val="0"/>
          <w:i w:val="0"/>
          <w:iCs w:val="0"/>
          <w:caps w:val="0"/>
          <w:color w:val="auto"/>
          <w:spacing w:val="0"/>
          <w:kern w:val="2"/>
          <w:sz w:val="21"/>
          <w:szCs w:val="21"/>
          <w:shd w:val="clear" w:fill="FFFFFF"/>
          <w:lang w:val="en-US" w:eastAsia="zh-CN" w:bidi="ar-SA"/>
        </w:rPr>
        <w:t>。</w:t>
      </w:r>
      <w:bookmarkEnd w:id="274"/>
      <w:bookmarkEnd w:id="275"/>
      <w:bookmarkEnd w:id="276"/>
      <w:bookmarkEnd w:id="277"/>
    </w:p>
    <w:p w14:paraId="397B745F">
      <w:pPr>
        <w:pStyle w:val="109"/>
        <w:numPr>
          <w:ilvl w:val="2"/>
          <w:numId w:val="34"/>
        </w:numPr>
        <w:spacing w:beforeLines="0" w:afterLines="0"/>
        <w:rPr>
          <w:rFonts w:hint="default" w:ascii="宋体" w:hAnsi="宋体" w:eastAsia="宋体" w:cs="宋体"/>
          <w:b w:val="0"/>
          <w:bCs w:val="0"/>
          <w:i w:val="0"/>
          <w:iCs w:val="0"/>
          <w:caps w:val="0"/>
          <w:color w:val="auto"/>
          <w:spacing w:val="0"/>
          <w:kern w:val="2"/>
          <w:sz w:val="21"/>
          <w:szCs w:val="21"/>
          <w:shd w:val="clear" w:fill="FFFFFF"/>
          <w:lang w:val="en-US" w:eastAsia="zh-CN" w:bidi="ar-SA"/>
        </w:rPr>
      </w:pPr>
      <w:bookmarkStart w:id="278" w:name="_Toc31029"/>
      <w:bookmarkStart w:id="279" w:name="_Toc19532"/>
      <w:bookmarkStart w:id="280" w:name="_Toc17532"/>
      <w:bookmarkStart w:id="281" w:name="_Toc13822"/>
      <w:bookmarkStart w:id="282" w:name="_Toc16287"/>
      <w:bookmarkStart w:id="283" w:name="_Toc452"/>
      <w:bookmarkStart w:id="284" w:name="_Toc7776"/>
      <w:r>
        <w:rPr>
          <w:rFonts w:hint="eastAsia" w:ascii="宋体" w:hAnsi="宋体" w:eastAsia="宋体" w:cs="宋体"/>
          <w:b w:val="0"/>
          <w:bCs w:val="0"/>
          <w:i w:val="0"/>
          <w:iCs w:val="0"/>
          <w:caps w:val="0"/>
          <w:color w:val="auto"/>
          <w:spacing w:val="0"/>
          <w:kern w:val="2"/>
          <w:sz w:val="21"/>
          <w:szCs w:val="21"/>
          <w:shd w:val="clear" w:fill="FFFFFF"/>
          <w:lang w:val="en-US" w:eastAsia="zh-CN" w:bidi="ar-SA"/>
        </w:rPr>
        <w:t>应科学制订老年病科人才培养目标以及岗位培训计划，定期实践考核，不断提高老年病科专业人员的素质和水平。</w:t>
      </w:r>
      <w:bookmarkEnd w:id="278"/>
      <w:bookmarkEnd w:id="279"/>
      <w:bookmarkEnd w:id="280"/>
      <w:bookmarkEnd w:id="281"/>
      <w:bookmarkEnd w:id="282"/>
      <w:bookmarkEnd w:id="283"/>
      <w:bookmarkEnd w:id="284"/>
    </w:p>
    <w:p w14:paraId="2B937DEC">
      <w:pPr>
        <w:pStyle w:val="109"/>
        <w:numPr>
          <w:ilvl w:val="2"/>
          <w:numId w:val="34"/>
        </w:numPr>
        <w:spacing w:beforeLines="0" w:afterLines="0"/>
        <w:rPr>
          <w:rFonts w:hint="default" w:ascii="宋体" w:hAnsi="宋体" w:eastAsia="宋体" w:cs="宋体"/>
          <w:b w:val="0"/>
          <w:bCs w:val="0"/>
          <w:i w:val="0"/>
          <w:iCs w:val="0"/>
          <w:caps w:val="0"/>
          <w:color w:val="auto"/>
          <w:spacing w:val="0"/>
          <w:kern w:val="2"/>
          <w:sz w:val="21"/>
          <w:szCs w:val="21"/>
          <w:shd w:val="clear" w:fill="FFFFFF"/>
          <w:lang w:val="en-US" w:eastAsia="zh-CN" w:bidi="ar-SA"/>
        </w:rPr>
      </w:pPr>
      <w:bookmarkStart w:id="285" w:name="_Toc23459"/>
      <w:bookmarkStart w:id="286" w:name="_Toc12325"/>
      <w:bookmarkStart w:id="287" w:name="_Toc15578"/>
      <w:bookmarkStart w:id="288" w:name="_Toc19537"/>
      <w:bookmarkStart w:id="289" w:name="_Toc29704"/>
      <w:bookmarkStart w:id="290" w:name="_Toc29062"/>
      <w:bookmarkStart w:id="291" w:name="_Toc30711"/>
      <w:r>
        <w:rPr>
          <w:rFonts w:hint="default" w:ascii="宋体" w:hAnsi="宋体" w:eastAsia="宋体" w:cs="宋体"/>
          <w:b w:val="0"/>
          <w:bCs w:val="0"/>
          <w:i w:val="0"/>
          <w:iCs w:val="0"/>
          <w:caps w:val="0"/>
          <w:color w:val="auto"/>
          <w:spacing w:val="0"/>
          <w:kern w:val="2"/>
          <w:sz w:val="21"/>
          <w:szCs w:val="21"/>
          <w:shd w:val="clear" w:fill="FFFFFF"/>
          <w:lang w:val="en-US" w:eastAsia="zh-CN" w:bidi="ar-SA"/>
        </w:rPr>
        <w:t>老年</w:t>
      </w:r>
      <w:r>
        <w:rPr>
          <w:rFonts w:hint="eastAsia" w:ascii="宋体" w:hAnsi="宋体" w:eastAsia="宋体" w:cs="宋体"/>
          <w:b w:val="0"/>
          <w:bCs w:val="0"/>
          <w:i w:val="0"/>
          <w:iCs w:val="0"/>
          <w:caps w:val="0"/>
          <w:color w:val="auto"/>
          <w:spacing w:val="0"/>
          <w:kern w:val="2"/>
          <w:sz w:val="21"/>
          <w:szCs w:val="21"/>
          <w:shd w:val="clear" w:fill="FFFFFF"/>
          <w:lang w:val="en-US" w:eastAsia="zh-CN" w:bidi="ar-SA"/>
        </w:rPr>
        <w:t>病</w:t>
      </w:r>
      <w:r>
        <w:rPr>
          <w:rFonts w:hint="default" w:ascii="宋体" w:hAnsi="宋体" w:eastAsia="宋体" w:cs="宋体"/>
          <w:b w:val="0"/>
          <w:bCs w:val="0"/>
          <w:i w:val="0"/>
          <w:iCs w:val="0"/>
          <w:caps w:val="0"/>
          <w:color w:val="auto"/>
          <w:spacing w:val="0"/>
          <w:kern w:val="2"/>
          <w:sz w:val="21"/>
          <w:szCs w:val="21"/>
          <w:shd w:val="clear" w:fill="FFFFFF"/>
          <w:lang w:val="en-US" w:eastAsia="zh-CN" w:bidi="ar-SA"/>
        </w:rPr>
        <w:t>科应建立健全</w:t>
      </w:r>
      <w:r>
        <w:rPr>
          <w:rFonts w:hint="eastAsia" w:ascii="宋体" w:hAnsi="宋体" w:eastAsia="宋体" w:cs="宋体"/>
          <w:b w:val="0"/>
          <w:bCs w:val="0"/>
          <w:i w:val="0"/>
          <w:iCs w:val="0"/>
          <w:caps w:val="0"/>
          <w:color w:val="auto"/>
          <w:spacing w:val="0"/>
          <w:kern w:val="2"/>
          <w:sz w:val="21"/>
          <w:szCs w:val="21"/>
          <w:shd w:val="clear" w:fill="FFFFFF"/>
          <w:lang w:val="en-US" w:eastAsia="zh-CN" w:bidi="ar-SA"/>
        </w:rPr>
        <w:t>的</w:t>
      </w:r>
      <w:r>
        <w:rPr>
          <w:rFonts w:hint="default" w:ascii="宋体" w:hAnsi="宋体" w:eastAsia="宋体" w:cs="宋体"/>
          <w:b w:val="0"/>
          <w:bCs w:val="0"/>
          <w:i w:val="0"/>
          <w:iCs w:val="0"/>
          <w:caps w:val="0"/>
          <w:color w:val="auto"/>
          <w:spacing w:val="0"/>
          <w:kern w:val="2"/>
          <w:sz w:val="21"/>
          <w:szCs w:val="21"/>
          <w:shd w:val="clear" w:fill="FFFFFF"/>
          <w:lang w:val="en-US" w:eastAsia="zh-CN" w:bidi="ar-SA"/>
        </w:rPr>
        <w:t>规章制度、</w:t>
      </w:r>
      <w:r>
        <w:rPr>
          <w:rFonts w:hint="eastAsia" w:ascii="宋体" w:hAnsi="宋体" w:eastAsia="宋体" w:cs="宋体"/>
          <w:b w:val="0"/>
          <w:bCs w:val="0"/>
          <w:i w:val="0"/>
          <w:iCs w:val="0"/>
          <w:caps w:val="0"/>
          <w:color w:val="auto"/>
          <w:spacing w:val="0"/>
          <w:kern w:val="2"/>
          <w:sz w:val="21"/>
          <w:szCs w:val="21"/>
          <w:shd w:val="clear" w:fill="FFFFFF"/>
          <w:lang w:val="en-US" w:eastAsia="zh-CN" w:bidi="ar-SA"/>
        </w:rPr>
        <w:t>从业人员</w:t>
      </w:r>
      <w:r>
        <w:rPr>
          <w:rFonts w:hint="default" w:ascii="宋体" w:hAnsi="宋体" w:eastAsia="宋体" w:cs="宋体"/>
          <w:b w:val="0"/>
          <w:bCs w:val="0"/>
          <w:i w:val="0"/>
          <w:iCs w:val="0"/>
          <w:caps w:val="0"/>
          <w:color w:val="auto"/>
          <w:spacing w:val="0"/>
          <w:kern w:val="2"/>
          <w:sz w:val="21"/>
          <w:szCs w:val="21"/>
          <w:shd w:val="clear" w:fill="FFFFFF"/>
          <w:lang w:val="en-US" w:eastAsia="zh-CN" w:bidi="ar-SA"/>
        </w:rPr>
        <w:t>严格遵守</w:t>
      </w:r>
      <w:r>
        <w:rPr>
          <w:rFonts w:hint="eastAsia" w:ascii="宋体" w:hAnsi="宋体" w:eastAsia="宋体" w:cs="宋体"/>
          <w:b w:val="0"/>
          <w:bCs w:val="0"/>
          <w:i w:val="0"/>
          <w:iCs w:val="0"/>
          <w:caps w:val="0"/>
          <w:color w:val="auto"/>
          <w:spacing w:val="0"/>
          <w:kern w:val="2"/>
          <w:sz w:val="21"/>
          <w:szCs w:val="21"/>
          <w:shd w:val="clear" w:fill="FFFFFF"/>
          <w:lang w:val="en-US" w:eastAsia="zh-CN" w:bidi="ar-SA"/>
        </w:rPr>
        <w:t>并</w:t>
      </w:r>
      <w:r>
        <w:rPr>
          <w:rFonts w:hint="default" w:ascii="宋体" w:hAnsi="宋体" w:eastAsia="宋体" w:cs="宋体"/>
          <w:b w:val="0"/>
          <w:bCs w:val="0"/>
          <w:i w:val="0"/>
          <w:iCs w:val="0"/>
          <w:caps w:val="0"/>
          <w:color w:val="auto"/>
          <w:spacing w:val="0"/>
          <w:kern w:val="2"/>
          <w:sz w:val="21"/>
          <w:szCs w:val="21"/>
          <w:shd w:val="clear" w:fill="FFFFFF"/>
          <w:lang w:val="en-US" w:eastAsia="zh-CN" w:bidi="ar-SA"/>
        </w:rPr>
        <w:t>执行</w:t>
      </w:r>
      <w:r>
        <w:rPr>
          <w:rFonts w:hint="eastAsia" w:ascii="宋体" w:hAnsi="宋体" w:eastAsia="宋体" w:cs="宋体"/>
          <w:b w:val="0"/>
          <w:bCs w:val="0"/>
          <w:i w:val="0"/>
          <w:iCs w:val="0"/>
          <w:caps w:val="0"/>
          <w:color w:val="auto"/>
          <w:spacing w:val="0"/>
          <w:kern w:val="2"/>
          <w:sz w:val="21"/>
          <w:szCs w:val="21"/>
          <w:shd w:val="clear" w:fill="FFFFFF"/>
          <w:lang w:val="en-US" w:eastAsia="zh-CN" w:bidi="ar-SA"/>
        </w:rPr>
        <w:t>。</w:t>
      </w:r>
      <w:bookmarkEnd w:id="285"/>
      <w:bookmarkEnd w:id="286"/>
      <w:bookmarkEnd w:id="287"/>
      <w:bookmarkEnd w:id="288"/>
      <w:bookmarkEnd w:id="289"/>
      <w:bookmarkEnd w:id="290"/>
      <w:bookmarkEnd w:id="291"/>
    </w:p>
    <w:p w14:paraId="0A0B63E9">
      <w:pPr>
        <w:pStyle w:val="108"/>
        <w:spacing w:before="0" w:after="0"/>
        <w:rPr>
          <w:rFonts w:hint="eastAsia"/>
          <w:color w:val="auto"/>
          <w:lang w:val="en-US" w:eastAsia="zh-CN"/>
        </w:rPr>
      </w:pPr>
      <w:bookmarkStart w:id="292" w:name="_Toc21155"/>
      <w:bookmarkStart w:id="293" w:name="_Toc5450"/>
      <w:bookmarkStart w:id="294" w:name="_Toc15476"/>
      <w:bookmarkStart w:id="295" w:name="_Toc24106"/>
      <w:bookmarkStart w:id="296" w:name="_Toc15704"/>
      <w:bookmarkStart w:id="297" w:name="_Toc10470"/>
      <w:bookmarkStart w:id="298" w:name="_Toc25146"/>
      <w:bookmarkStart w:id="299" w:name="_Toc27223"/>
      <w:r>
        <w:rPr>
          <w:rFonts w:hint="eastAsia"/>
          <w:color w:val="auto"/>
          <w:lang w:val="en-US" w:eastAsia="zh-CN"/>
        </w:rPr>
        <w:t>中医护理技术</w:t>
      </w:r>
      <w:bookmarkEnd w:id="292"/>
      <w:bookmarkEnd w:id="293"/>
      <w:bookmarkEnd w:id="294"/>
      <w:bookmarkEnd w:id="295"/>
      <w:bookmarkEnd w:id="296"/>
      <w:bookmarkEnd w:id="297"/>
      <w:bookmarkEnd w:id="298"/>
      <w:bookmarkEnd w:id="299"/>
    </w:p>
    <w:p w14:paraId="6FC34588">
      <w:pPr>
        <w:pStyle w:val="60"/>
        <w:spacing w:before="0" w:beforeLines="0" w:after="0" w:afterLines="0"/>
        <w:ind w:leftChars="0" w:firstLineChars="200"/>
        <w:jc w:val="both"/>
        <w:outlineLvl w:val="0"/>
        <w:rPr>
          <w:rFonts w:hint="default"/>
          <w:lang w:val="en-US" w:eastAsia="zh-CN"/>
        </w:rPr>
      </w:pPr>
      <w:bookmarkStart w:id="300" w:name="_Toc28864"/>
      <w:bookmarkStart w:id="301" w:name="_Toc25133"/>
      <w:bookmarkStart w:id="302" w:name="_Toc23930"/>
      <w:bookmarkStart w:id="303" w:name="_Toc9953"/>
      <w:bookmarkStart w:id="304" w:name="_Toc20738"/>
      <w:bookmarkStart w:id="305" w:name="_Toc31794"/>
      <w:bookmarkStart w:id="306" w:name="_Toc31760"/>
      <w:r>
        <w:rPr>
          <w:lang w:val="en-US" w:eastAsia="zh-CN"/>
        </w:rPr>
        <w:t>根据本科室特色</w:t>
      </w:r>
      <w:r>
        <w:rPr>
          <w:rFonts w:hint="default"/>
          <w:lang w:val="en-US" w:eastAsia="zh-CN"/>
        </w:rPr>
        <w:t>开展</w:t>
      </w:r>
      <w:r>
        <w:rPr>
          <w:lang w:val="en-US" w:eastAsia="zh-CN"/>
        </w:rPr>
        <w:t>老年病科常用</w:t>
      </w:r>
      <w:r>
        <w:rPr>
          <w:rFonts w:hint="default"/>
          <w:lang w:val="en-US" w:eastAsia="zh-CN"/>
        </w:rPr>
        <w:t>中医护理技术：</w:t>
      </w:r>
      <w:bookmarkEnd w:id="300"/>
      <w:bookmarkEnd w:id="301"/>
      <w:bookmarkEnd w:id="302"/>
      <w:bookmarkEnd w:id="303"/>
      <w:bookmarkEnd w:id="304"/>
      <w:bookmarkEnd w:id="305"/>
      <w:bookmarkEnd w:id="306"/>
    </w:p>
    <w:p w14:paraId="7D245111">
      <w:pPr>
        <w:pStyle w:val="60"/>
        <w:spacing w:before="0" w:beforeLines="0" w:after="0" w:afterLines="0"/>
        <w:ind w:leftChars="0" w:firstLineChars="200"/>
        <w:jc w:val="both"/>
        <w:outlineLvl w:val="0"/>
        <w:rPr>
          <w:rFonts w:hint="default"/>
          <w:lang w:val="en-US" w:eastAsia="zh-CN"/>
        </w:rPr>
      </w:pPr>
      <w:bookmarkStart w:id="307" w:name="_Toc9673"/>
      <w:bookmarkStart w:id="308" w:name="_Toc29660"/>
      <w:bookmarkStart w:id="309" w:name="_Toc7121"/>
      <w:bookmarkStart w:id="310" w:name="_Toc28448"/>
      <w:bookmarkStart w:id="311" w:name="_Toc17567"/>
      <w:bookmarkStart w:id="312" w:name="_Toc877"/>
      <w:bookmarkStart w:id="313" w:name="_Toc10160"/>
      <w:r>
        <w:rPr>
          <w:rFonts w:hint="default"/>
          <w:lang w:val="en-US" w:eastAsia="zh-CN"/>
        </w:rPr>
        <w:t>—包括但不限于灸</w:t>
      </w:r>
      <w:r>
        <w:rPr>
          <w:rFonts w:hint="eastAsia"/>
          <w:lang w:val="en-US" w:eastAsia="zh-CN"/>
        </w:rPr>
        <w:t>法</w:t>
      </w:r>
      <w:r>
        <w:rPr>
          <w:rFonts w:hint="default"/>
          <w:lang w:val="en-US" w:eastAsia="zh-CN"/>
        </w:rPr>
        <w:t>、拔罐</w:t>
      </w:r>
      <w:r>
        <w:rPr>
          <w:rFonts w:hint="eastAsia"/>
          <w:lang w:val="en-US" w:eastAsia="zh-CN"/>
        </w:rPr>
        <w:t>法</w:t>
      </w:r>
      <w:r>
        <w:rPr>
          <w:rFonts w:hint="default"/>
          <w:lang w:val="en-US" w:eastAsia="zh-CN"/>
        </w:rPr>
        <w:t>、刮痧</w:t>
      </w:r>
      <w:r>
        <w:rPr>
          <w:rFonts w:hint="eastAsia"/>
          <w:lang w:val="en-US" w:eastAsia="zh-CN"/>
        </w:rPr>
        <w:t>法</w:t>
      </w:r>
      <w:r>
        <w:rPr>
          <w:rFonts w:hint="default"/>
          <w:lang w:val="en-US" w:eastAsia="zh-CN"/>
        </w:rPr>
        <w:t>、耳穴</w:t>
      </w:r>
      <w:r>
        <w:rPr>
          <w:rFonts w:hint="eastAsia"/>
          <w:lang w:val="en-US" w:eastAsia="zh-CN"/>
        </w:rPr>
        <w:t>贴压法</w:t>
      </w:r>
      <w:r>
        <w:rPr>
          <w:rFonts w:hint="default"/>
          <w:lang w:val="en-US" w:eastAsia="zh-CN"/>
        </w:rPr>
        <w:t>、</w:t>
      </w:r>
      <w:r>
        <w:rPr>
          <w:rFonts w:hint="eastAsia"/>
          <w:lang w:val="en-US" w:eastAsia="zh-CN"/>
        </w:rPr>
        <w:t>敷贴法</w:t>
      </w:r>
      <w:r>
        <w:rPr>
          <w:rFonts w:hint="default"/>
          <w:lang w:val="en-US" w:eastAsia="zh-CN"/>
        </w:rPr>
        <w:t>、</w:t>
      </w:r>
      <w:r>
        <w:rPr>
          <w:rFonts w:hint="eastAsia"/>
          <w:lang w:val="en-US" w:eastAsia="zh-CN"/>
        </w:rPr>
        <w:t>热熨法、熏洗法、中药离子导入法</w:t>
      </w:r>
      <w:r>
        <w:rPr>
          <w:lang w:val="en-US" w:eastAsia="zh-CN"/>
        </w:rPr>
        <w:t>等</w:t>
      </w:r>
      <w:r>
        <w:rPr>
          <w:rFonts w:hint="default"/>
          <w:lang w:val="en-US" w:eastAsia="zh-CN"/>
        </w:rPr>
        <w:t>。</w:t>
      </w:r>
      <w:bookmarkEnd w:id="307"/>
      <w:bookmarkEnd w:id="308"/>
      <w:bookmarkEnd w:id="309"/>
      <w:bookmarkEnd w:id="310"/>
      <w:bookmarkEnd w:id="311"/>
      <w:bookmarkEnd w:id="312"/>
      <w:bookmarkEnd w:id="313"/>
    </w:p>
    <w:p w14:paraId="4DEAD8E5">
      <w:pPr>
        <w:pStyle w:val="60"/>
        <w:spacing w:before="0" w:beforeLines="0" w:after="0" w:afterLines="0"/>
        <w:ind w:leftChars="0" w:firstLineChars="200"/>
        <w:jc w:val="both"/>
        <w:outlineLvl w:val="0"/>
        <w:rPr>
          <w:rFonts w:hint="default"/>
          <w:lang w:val="en-US" w:eastAsia="zh-CN"/>
        </w:rPr>
      </w:pPr>
      <w:bookmarkStart w:id="314" w:name="_Toc10350"/>
      <w:bookmarkStart w:id="315" w:name="_Toc9768"/>
      <w:bookmarkStart w:id="316" w:name="_Toc27586"/>
      <w:bookmarkStart w:id="317" w:name="_Toc5550"/>
      <w:bookmarkStart w:id="318" w:name="_Toc12081"/>
      <w:bookmarkStart w:id="319" w:name="_Toc30318"/>
      <w:bookmarkStart w:id="320" w:name="_Toc28795"/>
      <w:r>
        <w:rPr>
          <w:rFonts w:hint="default"/>
          <w:lang w:val="en-US" w:eastAsia="zh-CN"/>
        </w:rPr>
        <w:t>—操作方法和注意事项参照</w:t>
      </w:r>
      <w:r>
        <w:rPr>
          <w:lang w:val="en-US" w:eastAsia="zh-CN"/>
        </w:rPr>
        <w:t>《护理人员中医技术使用手册》</w:t>
      </w:r>
      <w:r>
        <w:rPr>
          <w:rFonts w:hint="default"/>
          <w:lang w:val="en-US" w:eastAsia="zh-CN"/>
        </w:rPr>
        <w:t>（</w:t>
      </w:r>
      <w:r>
        <w:rPr>
          <w:lang w:val="en-US" w:eastAsia="zh-CN"/>
        </w:rPr>
        <w:t>国中医药医政医管便函〔2015〕89号</w:t>
      </w:r>
      <w:r>
        <w:rPr>
          <w:rFonts w:hint="default"/>
          <w:lang w:val="en-US" w:eastAsia="zh-CN"/>
        </w:rPr>
        <w:t>）。</w:t>
      </w:r>
      <w:bookmarkEnd w:id="314"/>
      <w:bookmarkEnd w:id="315"/>
      <w:bookmarkEnd w:id="316"/>
      <w:bookmarkEnd w:id="317"/>
      <w:bookmarkEnd w:id="318"/>
      <w:bookmarkEnd w:id="319"/>
      <w:bookmarkEnd w:id="320"/>
    </w:p>
    <w:p w14:paraId="6076F616">
      <w:pPr>
        <w:pStyle w:val="109"/>
        <w:keepNext/>
        <w:keepLines/>
        <w:pageBreakBefore w:val="0"/>
        <w:widowControl w:val="0"/>
        <w:kinsoku/>
        <w:wordWrap/>
        <w:overflowPunct/>
        <w:topLinePunct w:val="0"/>
        <w:autoSpaceDE/>
        <w:autoSpaceDN/>
        <w:bidi w:val="0"/>
        <w:adjustRightInd/>
        <w:snapToGrid/>
        <w:spacing w:before="157" w:beforeLines="50" w:beforeAutospacing="0" w:after="157" w:afterLines="50" w:afterAutospacing="0" w:line="240" w:lineRule="auto"/>
        <w:ind w:left="0" w:leftChars="0" w:firstLineChars="0"/>
        <w:jc w:val="both"/>
        <w:textAlignment w:val="auto"/>
        <w:outlineLvl w:val="1"/>
        <w:rPr>
          <w:rFonts w:hint="eastAsia"/>
          <w:lang w:val="en-US" w:eastAsia="zh-CN"/>
        </w:rPr>
      </w:pPr>
      <w:bookmarkStart w:id="321" w:name="_Toc13124"/>
      <w:bookmarkStart w:id="322" w:name="_Toc14038"/>
      <w:bookmarkStart w:id="323" w:name="_Toc12559"/>
      <w:bookmarkStart w:id="324" w:name="_Toc10925"/>
      <w:bookmarkStart w:id="325" w:name="_Toc11690"/>
      <w:bookmarkStart w:id="326" w:name="_Toc12629"/>
      <w:bookmarkStart w:id="327" w:name="_Toc6461"/>
      <w:r>
        <w:rPr>
          <w:rFonts w:hint="eastAsia"/>
          <w:lang w:val="en-US" w:eastAsia="zh-CN"/>
        </w:rPr>
        <w:t>灸法</w:t>
      </w:r>
      <w:bookmarkEnd w:id="321"/>
      <w:bookmarkEnd w:id="322"/>
      <w:bookmarkEnd w:id="323"/>
      <w:bookmarkEnd w:id="324"/>
    </w:p>
    <w:p w14:paraId="364D9896">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分类</w:t>
      </w:r>
    </w:p>
    <w:p w14:paraId="453ED0E9">
      <w:pPr>
        <w:pStyle w:val="168"/>
        <w:rPr>
          <w:rFonts w:hint="eastAsia" w:ascii="黑体" w:hAnsi="黑体" w:eastAsia="黑体" w:cs="黑体"/>
          <w:b w:val="0"/>
          <w:bCs w:val="0"/>
          <w:lang w:val="en-US" w:eastAsia="zh-CN"/>
        </w:rPr>
      </w:pPr>
      <w:r>
        <w:rPr>
          <w:rFonts w:hint="eastAsia" w:ascii="黑体" w:hAnsi="黑体" w:eastAsia="黑体" w:cs="黑体"/>
          <w:b w:val="0"/>
          <w:bCs w:val="0"/>
          <w:lang w:val="en-US" w:eastAsia="zh-CN"/>
        </w:rPr>
        <w:t>艾灸</w:t>
      </w:r>
    </w:p>
    <w:p w14:paraId="0297CB87">
      <w:pPr>
        <w:pStyle w:val="60"/>
        <w:rPr>
          <w:rFonts w:hint="eastAsia"/>
          <w:b w:val="0"/>
          <w:bCs w:val="0"/>
          <w:lang w:val="en-US" w:eastAsia="zh-CN"/>
        </w:rPr>
      </w:pPr>
      <w:r>
        <w:rPr>
          <w:rFonts w:hint="default"/>
          <w:b w:val="0"/>
          <w:bCs w:val="0"/>
          <w:lang w:val="en-US" w:eastAsia="zh-CN"/>
        </w:rPr>
        <w:t>包括但不限于</w:t>
      </w:r>
      <w:r>
        <w:rPr>
          <w:rFonts w:hint="eastAsia"/>
          <w:b w:val="0"/>
          <w:bCs w:val="0"/>
          <w:lang w:val="en-US" w:eastAsia="zh-CN"/>
        </w:rPr>
        <w:t>艾柱灸、艾条灸、温灸器灸等。</w:t>
      </w:r>
    </w:p>
    <w:p w14:paraId="6EB3841B">
      <w:pPr>
        <w:pStyle w:val="168"/>
        <w:rPr>
          <w:rFonts w:hint="eastAsia" w:ascii="黑体" w:hAnsi="黑体" w:eastAsia="黑体" w:cs="黑体"/>
          <w:b w:val="0"/>
          <w:bCs w:val="0"/>
          <w:lang w:val="en-US" w:eastAsia="zh-CN"/>
        </w:rPr>
      </w:pPr>
      <w:r>
        <w:rPr>
          <w:rFonts w:hint="eastAsia" w:ascii="黑体" w:hAnsi="黑体" w:eastAsia="黑体" w:cs="黑体"/>
          <w:b w:val="0"/>
          <w:bCs w:val="0"/>
          <w:lang w:val="en-US" w:eastAsia="zh-CN"/>
        </w:rPr>
        <w:t>其他灸法</w:t>
      </w:r>
    </w:p>
    <w:p w14:paraId="7154EE5B">
      <w:pPr>
        <w:pStyle w:val="60"/>
        <w:rPr>
          <w:rFonts w:hint="eastAsia"/>
          <w:b w:val="0"/>
          <w:bCs w:val="0"/>
          <w:lang w:val="en-US" w:eastAsia="zh-CN"/>
        </w:rPr>
      </w:pPr>
      <w:r>
        <w:rPr>
          <w:rFonts w:hint="eastAsia"/>
          <w:lang w:val="en-US" w:eastAsia="zh-CN"/>
        </w:rPr>
        <w:t>包括但不限于灯火灸、雷火灸、天灸等。</w:t>
      </w:r>
    </w:p>
    <w:p w14:paraId="7F3FC57A">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适应证</w:t>
      </w:r>
    </w:p>
    <w:p w14:paraId="3E710787">
      <w:pPr>
        <w:pStyle w:val="168"/>
        <w:rPr>
          <w:rFonts w:hint="eastAsia"/>
          <w:lang w:val="en-US" w:eastAsia="zh-CN"/>
        </w:rPr>
      </w:pPr>
      <w:r>
        <w:rPr>
          <w:rFonts w:hint="eastAsia"/>
          <w:lang w:val="en-US" w:eastAsia="zh-CN"/>
        </w:rPr>
        <w:t>风寒湿痹和寒邪所致胃脘痛、腹痛、泄泻、痢疾。</w:t>
      </w:r>
    </w:p>
    <w:p w14:paraId="54FE8124">
      <w:pPr>
        <w:pStyle w:val="168"/>
        <w:rPr>
          <w:rFonts w:hint="eastAsia"/>
          <w:lang w:val="en-US" w:eastAsia="zh-CN"/>
        </w:rPr>
      </w:pPr>
      <w:r>
        <w:rPr>
          <w:rFonts w:hint="eastAsia"/>
          <w:lang w:val="en-US" w:eastAsia="zh-CN"/>
        </w:rPr>
        <w:t>气血凝滞所致的乳痈初起、瘰疬、瘿瘤。</w:t>
      </w:r>
    </w:p>
    <w:p w14:paraId="6036D189">
      <w:pPr>
        <w:pStyle w:val="168"/>
        <w:rPr>
          <w:rFonts w:hint="eastAsia"/>
          <w:lang w:val="en-US" w:eastAsia="zh-CN"/>
        </w:rPr>
      </w:pPr>
      <w:r>
        <w:rPr>
          <w:rFonts w:hint="eastAsia"/>
          <w:lang w:val="en-US" w:eastAsia="zh-CN"/>
        </w:rPr>
        <w:t>虚寒证、寒厥证、虚脱证和中气不足、阳气下陷而引起的遗尿、脱肛、阴挺、崩漏、带下。</w:t>
      </w:r>
    </w:p>
    <w:p w14:paraId="308DC0AC">
      <w:pPr>
        <w:pStyle w:val="168"/>
        <w:rPr>
          <w:rFonts w:hint="eastAsia"/>
          <w:lang w:val="en-US" w:eastAsia="zh-CN"/>
        </w:rPr>
      </w:pPr>
      <w:r>
        <w:rPr>
          <w:rFonts w:hint="eastAsia"/>
          <w:lang w:val="en-US" w:eastAsia="zh-CN"/>
        </w:rPr>
        <w:t>某些热性病，如疖肿、带状疱疹、丹毒、甲沟炎。</w:t>
      </w:r>
    </w:p>
    <w:p w14:paraId="45962D0C">
      <w:pPr>
        <w:pStyle w:val="168"/>
        <w:rPr>
          <w:rFonts w:hint="eastAsia"/>
          <w:lang w:val="en-US" w:eastAsia="zh-CN"/>
        </w:rPr>
      </w:pPr>
      <w:r>
        <w:rPr>
          <w:rFonts w:hint="eastAsia"/>
          <w:lang w:val="en-US" w:eastAsia="zh-CN"/>
        </w:rPr>
        <w:t>无病时施灸可防病保健。</w:t>
      </w:r>
    </w:p>
    <w:p w14:paraId="6CF1E12F">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禁忌证</w:t>
      </w:r>
    </w:p>
    <w:p w14:paraId="3DE69DAF">
      <w:pPr>
        <w:pStyle w:val="168"/>
        <w:rPr>
          <w:rFonts w:hint="eastAsia"/>
          <w:lang w:val="en-US" w:eastAsia="zh-CN"/>
        </w:rPr>
      </w:pPr>
      <w:r>
        <w:rPr>
          <w:rFonts w:hint="eastAsia"/>
          <w:lang w:val="en-US" w:eastAsia="zh-CN"/>
        </w:rPr>
        <w:t>头面部或重要脏器、大血管附近、关节、肌腱处、乳头、外生殖器官应尽量避免直接灸，或选择适宜的灸法。</w:t>
      </w:r>
    </w:p>
    <w:p w14:paraId="459E96F3">
      <w:pPr>
        <w:pStyle w:val="168"/>
        <w:rPr>
          <w:rFonts w:hint="eastAsia"/>
          <w:lang w:val="en-US" w:eastAsia="zh-CN"/>
        </w:rPr>
      </w:pPr>
      <w:r>
        <w:rPr>
          <w:rFonts w:hint="eastAsia"/>
          <w:lang w:val="en-US" w:eastAsia="zh-CN"/>
        </w:rPr>
        <w:t>中暑、高血压危象、肺结核晚期大量咯血、高热、抽搐等不宜使用灸法。</w:t>
      </w:r>
    </w:p>
    <w:p w14:paraId="46602403">
      <w:pPr>
        <w:pStyle w:val="168"/>
        <w:rPr>
          <w:rFonts w:hint="eastAsia"/>
          <w:lang w:val="en-US" w:eastAsia="zh-CN"/>
        </w:rPr>
      </w:pPr>
      <w:r>
        <w:rPr>
          <w:rFonts w:hint="eastAsia"/>
          <w:lang w:val="en-US" w:eastAsia="zh-CN"/>
        </w:rPr>
        <w:t>老年虚弱患者不宜使用瘢痕灸，少腹部及腰骶部禁灸。</w:t>
      </w:r>
    </w:p>
    <w:p w14:paraId="617D9F27">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操作步骤与要求</w:t>
      </w:r>
    </w:p>
    <w:p w14:paraId="39CF49EF">
      <w:pPr>
        <w:pStyle w:val="60"/>
        <w:bidi w:val="0"/>
        <w:adjustRightInd/>
        <w:spacing w:line="240" w:lineRule="auto"/>
        <w:ind w:firstLineChars="200"/>
        <w:rPr>
          <w:rFonts w:hint="eastAsia"/>
          <w:lang w:val="en-US" w:eastAsia="zh-CN"/>
        </w:rPr>
      </w:pPr>
      <w:r>
        <w:rPr>
          <w:rFonts w:hint="eastAsia"/>
          <w:lang w:val="en-US" w:eastAsia="zh-CN"/>
        </w:rPr>
        <w:t>应符合T/CACM 1075-2018要求。</w:t>
      </w:r>
    </w:p>
    <w:p w14:paraId="1E03A18F">
      <w:pPr>
        <w:pStyle w:val="169"/>
        <w:rPr>
          <w:rFonts w:hint="eastAsia" w:ascii="黑体" w:hAnsi="黑体" w:eastAsia="黑体" w:cs="黑体"/>
          <w:lang w:val="en-US" w:eastAsia="zh-CN"/>
        </w:rPr>
      </w:pPr>
      <w:r>
        <w:rPr>
          <w:rFonts w:hint="eastAsia" w:ascii="黑体" w:hAnsi="黑体" w:eastAsia="黑体" w:cs="黑体"/>
          <w:lang w:val="en-US" w:eastAsia="zh-CN"/>
        </w:rPr>
        <w:t>注意事项</w:t>
      </w:r>
    </w:p>
    <w:p w14:paraId="59BE91C2">
      <w:pPr>
        <w:pStyle w:val="168"/>
        <w:rPr>
          <w:rFonts w:hint="eastAsia"/>
          <w:lang w:val="en-US" w:eastAsia="zh-CN"/>
        </w:rPr>
      </w:pPr>
      <w:r>
        <w:rPr>
          <w:rFonts w:hint="eastAsia"/>
          <w:lang w:val="en-US" w:eastAsia="zh-CN"/>
        </w:rPr>
        <w:t>体质强壮者，可灸量大；久病、体质虚弱、老年受术者，灸量宜小。</w:t>
      </w:r>
    </w:p>
    <w:p w14:paraId="7ECCD1C0">
      <w:pPr>
        <w:pStyle w:val="168"/>
        <w:rPr>
          <w:rFonts w:hint="eastAsia"/>
          <w:lang w:val="en-US" w:eastAsia="zh-CN"/>
        </w:rPr>
      </w:pPr>
      <w:r>
        <w:rPr>
          <w:rFonts w:hint="eastAsia"/>
          <w:lang w:val="en-US" w:eastAsia="zh-CN"/>
        </w:rPr>
        <w:t>取穴应准确，灸穴不宜过多，施灸火力应均匀。</w:t>
      </w:r>
    </w:p>
    <w:p w14:paraId="384C08F2">
      <w:pPr>
        <w:pStyle w:val="168"/>
        <w:rPr>
          <w:rFonts w:hint="eastAsia"/>
          <w:lang w:val="en-US" w:eastAsia="zh-CN"/>
        </w:rPr>
      </w:pPr>
      <w:r>
        <w:rPr>
          <w:rFonts w:hint="eastAsia"/>
          <w:lang w:val="en-US" w:eastAsia="zh-CN"/>
        </w:rPr>
        <w:t>直接灸操作部位应注意预防感染。</w:t>
      </w:r>
    </w:p>
    <w:p w14:paraId="610C187F">
      <w:pPr>
        <w:pStyle w:val="168"/>
        <w:rPr>
          <w:rFonts w:hint="eastAsia"/>
          <w:lang w:val="en-US" w:eastAsia="zh-CN"/>
        </w:rPr>
      </w:pPr>
      <w:r>
        <w:rPr>
          <w:rFonts w:hint="eastAsia"/>
          <w:lang w:val="en-US" w:eastAsia="zh-CN"/>
        </w:rPr>
        <w:t>警惕晕灸的发生，若发生晕灸后应立即停止艾灸。</w:t>
      </w:r>
    </w:p>
    <w:p w14:paraId="253711F1">
      <w:pPr>
        <w:pStyle w:val="168"/>
        <w:rPr>
          <w:rFonts w:hint="eastAsia"/>
          <w:lang w:val="en-US" w:eastAsia="zh-CN"/>
        </w:rPr>
      </w:pPr>
      <w:r>
        <w:rPr>
          <w:rFonts w:hint="eastAsia"/>
          <w:lang w:val="en-US" w:eastAsia="zh-CN"/>
        </w:rPr>
        <w:t>注意防止艾灰脱落或艾炷倾倒而烫伤皮肤或烧坏衣被。</w:t>
      </w:r>
    </w:p>
    <w:p w14:paraId="64FB88DC">
      <w:pPr>
        <w:pStyle w:val="168"/>
        <w:rPr>
          <w:rFonts w:hint="eastAsia" w:ascii="宋体" w:hAnsi="宋体" w:eastAsia="宋体" w:cs="宋体"/>
          <w:lang w:val="en-US" w:eastAsia="zh-CN"/>
        </w:rPr>
      </w:pPr>
      <w:r>
        <w:rPr>
          <w:rFonts w:hint="eastAsia" w:ascii="宋体" w:hAnsi="宋体" w:eastAsia="宋体" w:cs="宋体"/>
          <w:lang w:val="en-US" w:eastAsia="zh-CN"/>
        </w:rPr>
        <w:t>其他注意事项应符合T/CACM 1075-2018要求。</w:t>
      </w:r>
    </w:p>
    <w:p w14:paraId="610010CB">
      <w:pPr>
        <w:pStyle w:val="109"/>
        <w:keepNext/>
        <w:keepLines/>
        <w:pageBreakBefore w:val="0"/>
        <w:widowControl w:val="0"/>
        <w:kinsoku/>
        <w:wordWrap/>
        <w:overflowPunct/>
        <w:topLinePunct w:val="0"/>
        <w:autoSpaceDE/>
        <w:autoSpaceDN/>
        <w:bidi w:val="0"/>
        <w:adjustRightInd/>
        <w:snapToGrid/>
        <w:spacing w:before="157" w:beforeLines="50" w:beforeAutospacing="0" w:after="157" w:afterLines="50" w:afterAutospacing="0" w:line="240" w:lineRule="auto"/>
        <w:ind w:left="0" w:leftChars="0" w:firstLineChars="0"/>
        <w:jc w:val="both"/>
        <w:textAlignment w:val="auto"/>
        <w:outlineLvl w:val="1"/>
        <w:rPr>
          <w:rFonts w:hint="eastAsia"/>
          <w:lang w:val="en-US" w:eastAsia="zh-CN"/>
        </w:rPr>
      </w:pPr>
      <w:bookmarkStart w:id="328" w:name="_Toc12091"/>
      <w:bookmarkStart w:id="329" w:name="_Toc13910"/>
      <w:bookmarkStart w:id="330" w:name="_Toc12326"/>
      <w:bookmarkStart w:id="331" w:name="_Toc18157"/>
      <w:r>
        <w:rPr>
          <w:rFonts w:hint="eastAsia"/>
          <w:lang w:val="en-US" w:eastAsia="zh-CN"/>
        </w:rPr>
        <w:t>拔罐</w:t>
      </w:r>
      <w:bookmarkEnd w:id="328"/>
      <w:r>
        <w:rPr>
          <w:rFonts w:hint="eastAsia"/>
          <w:lang w:val="en-US" w:eastAsia="zh-CN"/>
        </w:rPr>
        <w:t>法</w:t>
      </w:r>
      <w:bookmarkEnd w:id="329"/>
      <w:bookmarkEnd w:id="330"/>
      <w:bookmarkEnd w:id="331"/>
    </w:p>
    <w:p w14:paraId="254F86D2">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分类</w:t>
      </w:r>
    </w:p>
    <w:p w14:paraId="57AF581E">
      <w:pPr>
        <w:pStyle w:val="60"/>
        <w:rPr>
          <w:rFonts w:hint="eastAsia"/>
          <w:lang w:val="en-US" w:eastAsia="zh-CN"/>
        </w:rPr>
      </w:pPr>
      <w:r>
        <w:rPr>
          <w:rFonts w:hint="eastAsia"/>
          <w:lang w:val="en-US" w:eastAsia="zh-CN"/>
        </w:rPr>
        <w:t>包括但不限于竹罐、陶土罐、玻璃罐、抽气罐等。</w:t>
      </w:r>
    </w:p>
    <w:p w14:paraId="5A8CCF88">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适应证</w:t>
      </w:r>
    </w:p>
    <w:p w14:paraId="77490A9A">
      <w:pPr>
        <w:pStyle w:val="168"/>
        <w:rPr>
          <w:rFonts w:hint="eastAsia"/>
          <w:lang w:val="en-US" w:eastAsia="zh-CN"/>
        </w:rPr>
      </w:pPr>
      <w:r>
        <w:rPr>
          <w:rFonts w:hint="eastAsia"/>
          <w:lang w:val="en-US" w:eastAsia="zh-CN"/>
        </w:rPr>
        <w:t>伤风感冒、头痛、面瘫、咳嗽、哮喘、消化不良、泄泻、月经不调、痛经等。</w:t>
      </w:r>
    </w:p>
    <w:p w14:paraId="739693F5">
      <w:pPr>
        <w:pStyle w:val="168"/>
        <w:rPr>
          <w:rFonts w:hint="eastAsia"/>
          <w:lang w:val="en-US" w:eastAsia="zh-CN"/>
        </w:rPr>
      </w:pPr>
      <w:r>
        <w:rPr>
          <w:rFonts w:hint="eastAsia"/>
          <w:lang w:val="en-US" w:eastAsia="zh-CN"/>
        </w:rPr>
        <w:t>颈肩腰腿痛、关节痛、软组织损伤、目赤肿痛、麦粒肿、丹毒、疮疡初起未溃等外科病。</w:t>
      </w:r>
    </w:p>
    <w:p w14:paraId="3F24D21B">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禁忌证</w:t>
      </w:r>
    </w:p>
    <w:p w14:paraId="05BD29B5">
      <w:pPr>
        <w:pStyle w:val="168"/>
        <w:rPr>
          <w:rFonts w:hint="eastAsia"/>
          <w:lang w:val="en-US" w:eastAsia="zh-CN"/>
        </w:rPr>
      </w:pPr>
      <w:r>
        <w:rPr>
          <w:rFonts w:hint="eastAsia"/>
          <w:lang w:val="en-US" w:eastAsia="zh-CN"/>
        </w:rPr>
        <w:t>心衰、呼吸衰竭、肾衰、肺结核活动期病情严重者不宜拔罐。</w:t>
      </w:r>
    </w:p>
    <w:p w14:paraId="35AEB71E">
      <w:pPr>
        <w:pStyle w:val="168"/>
        <w:rPr>
          <w:rFonts w:hint="eastAsia"/>
          <w:lang w:val="en-US" w:eastAsia="zh-CN"/>
        </w:rPr>
      </w:pPr>
      <w:r>
        <w:rPr>
          <w:rFonts w:hint="eastAsia"/>
          <w:lang w:val="en-US" w:eastAsia="zh-CN"/>
        </w:rPr>
        <w:t>凝血机制障碍者不宜拔罐。</w:t>
      </w:r>
    </w:p>
    <w:p w14:paraId="36ABCA30">
      <w:pPr>
        <w:pStyle w:val="168"/>
        <w:rPr>
          <w:rFonts w:hint="eastAsia"/>
          <w:lang w:val="en-US" w:eastAsia="zh-CN"/>
        </w:rPr>
      </w:pPr>
      <w:r>
        <w:rPr>
          <w:rFonts w:hint="eastAsia"/>
          <w:lang w:val="en-US" w:eastAsia="zh-CN"/>
        </w:rPr>
        <w:t>重度神经质、抽搐、狂躁不安、不合作者，不宜拔罐。</w:t>
      </w:r>
    </w:p>
    <w:p w14:paraId="0864E706">
      <w:pPr>
        <w:pStyle w:val="168"/>
        <w:rPr>
          <w:rFonts w:hint="eastAsia"/>
          <w:lang w:val="en-US" w:eastAsia="zh-CN"/>
        </w:rPr>
      </w:pPr>
      <w:r>
        <w:rPr>
          <w:rFonts w:hint="eastAsia"/>
          <w:lang w:val="en-US" w:eastAsia="zh-CN"/>
        </w:rPr>
        <w:t>皮肤高度过敏者、接触性传染病以及皮肤肿瘤（肿块）部位、皮肤溃烂部位不宜拔罐。</w:t>
      </w:r>
    </w:p>
    <w:p w14:paraId="63E36709">
      <w:pPr>
        <w:pStyle w:val="168"/>
        <w:rPr>
          <w:rFonts w:hint="eastAsia"/>
          <w:lang w:val="en-US" w:eastAsia="zh-CN"/>
        </w:rPr>
      </w:pPr>
      <w:r>
        <w:rPr>
          <w:rFonts w:hint="eastAsia"/>
          <w:lang w:val="en-US" w:eastAsia="zh-CN"/>
        </w:rPr>
        <w:t>五官及前后二阴不宜拔罐。</w:t>
      </w:r>
    </w:p>
    <w:p w14:paraId="259EA0A6">
      <w:pPr>
        <w:pStyle w:val="168"/>
        <w:rPr>
          <w:rFonts w:hint="eastAsia"/>
          <w:lang w:val="en-US" w:eastAsia="zh-CN"/>
        </w:rPr>
      </w:pPr>
      <w:r>
        <w:rPr>
          <w:rFonts w:hint="eastAsia"/>
          <w:lang w:val="en-US" w:eastAsia="zh-CN"/>
        </w:rPr>
        <w:t>醉酒、过饥、过饱、过渴、过劳者，慎用拔罐。</w:t>
      </w:r>
    </w:p>
    <w:p w14:paraId="5D7730AD">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操作步骤与要求</w:t>
      </w:r>
    </w:p>
    <w:p w14:paraId="76DADD55">
      <w:pPr>
        <w:pStyle w:val="60"/>
        <w:ind w:firstLineChars="200"/>
        <w:rPr>
          <w:rFonts w:hint="eastAsia" w:ascii="黑体" w:hAnsi="黑体" w:eastAsia="黑体" w:cs="黑体"/>
          <w:lang w:val="en-US" w:eastAsia="zh-CN"/>
        </w:rPr>
      </w:pPr>
      <w:r>
        <w:rPr>
          <w:rFonts w:hint="eastAsia"/>
          <w:lang w:val="en-US" w:eastAsia="zh-CN"/>
        </w:rPr>
        <w:t>应符合T/CACM 1078-2018的要求。</w:t>
      </w:r>
    </w:p>
    <w:p w14:paraId="1EE96E8C">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注意事项</w:t>
      </w:r>
    </w:p>
    <w:p w14:paraId="4ED5B62F">
      <w:pPr>
        <w:pStyle w:val="168"/>
        <w:rPr>
          <w:rFonts w:hint="eastAsia"/>
          <w:lang w:val="en-US" w:eastAsia="zh-CN"/>
        </w:rPr>
      </w:pPr>
      <w:r>
        <w:rPr>
          <w:rFonts w:hint="eastAsia"/>
          <w:lang w:val="en-US" w:eastAsia="zh-CN"/>
        </w:rPr>
        <w:t>年老者、体质虚弱及初次接受拔罐者，拔罐数量宜少，留罐时间宜短。</w:t>
      </w:r>
    </w:p>
    <w:p w14:paraId="71FF42E5">
      <w:pPr>
        <w:pStyle w:val="168"/>
        <w:rPr>
          <w:rFonts w:hint="eastAsia"/>
          <w:lang w:val="en-US" w:eastAsia="zh-CN"/>
        </w:rPr>
      </w:pPr>
      <w:r>
        <w:rPr>
          <w:rFonts w:hint="eastAsia"/>
          <w:lang w:val="en-US" w:eastAsia="zh-CN"/>
        </w:rPr>
        <w:t>拔罐部位宜充分暴露，施术过程应注意保暖。</w:t>
      </w:r>
    </w:p>
    <w:p w14:paraId="4F67CA75">
      <w:pPr>
        <w:pStyle w:val="168"/>
        <w:rPr>
          <w:rFonts w:hint="eastAsia"/>
          <w:lang w:val="en-US" w:eastAsia="zh-CN"/>
        </w:rPr>
      </w:pPr>
      <w:r>
        <w:rPr>
          <w:rFonts w:hint="eastAsia"/>
          <w:lang w:val="en-US" w:eastAsia="zh-CN"/>
        </w:rPr>
        <w:t>拔罐手法应熟练，动作轻、快、稳、准。</w:t>
      </w:r>
    </w:p>
    <w:p w14:paraId="6BFD0398">
      <w:pPr>
        <w:pStyle w:val="168"/>
        <w:rPr>
          <w:rFonts w:hint="eastAsia"/>
          <w:lang w:val="en-US" w:eastAsia="zh-CN"/>
        </w:rPr>
      </w:pPr>
      <w:r>
        <w:rPr>
          <w:rFonts w:hint="eastAsia"/>
          <w:lang w:val="en-US" w:eastAsia="zh-CN"/>
        </w:rPr>
        <w:t>拔罐过程中如果出现拔罐局部疼痛难忍，宜减压放气，或立即起罐。</w:t>
      </w:r>
    </w:p>
    <w:p w14:paraId="30DE119B">
      <w:pPr>
        <w:pStyle w:val="168"/>
        <w:rPr>
          <w:rFonts w:hint="eastAsia" w:ascii="宋体" w:hAnsi="宋体" w:eastAsia="宋体" w:cs="宋体"/>
          <w:lang w:val="en-US" w:eastAsia="zh-CN"/>
        </w:rPr>
      </w:pPr>
      <w:r>
        <w:rPr>
          <w:rFonts w:hint="eastAsia"/>
          <w:lang w:val="en-US" w:eastAsia="zh-CN"/>
        </w:rPr>
        <w:t>其他注意事项应</w:t>
      </w:r>
      <w:r>
        <w:rPr>
          <w:rFonts w:hint="eastAsia" w:ascii="宋体" w:hAnsi="宋体" w:eastAsia="宋体" w:cs="宋体"/>
          <w:lang w:val="en-US" w:eastAsia="zh-CN"/>
        </w:rPr>
        <w:t>符合T/CACM 1078-2018的要求。</w:t>
      </w:r>
    </w:p>
    <w:p w14:paraId="42008BC5">
      <w:pPr>
        <w:pStyle w:val="109"/>
        <w:keepNext/>
        <w:keepLines/>
        <w:pageBreakBefore w:val="0"/>
        <w:widowControl w:val="0"/>
        <w:kinsoku/>
        <w:wordWrap/>
        <w:overflowPunct/>
        <w:topLinePunct w:val="0"/>
        <w:autoSpaceDE/>
        <w:autoSpaceDN/>
        <w:bidi w:val="0"/>
        <w:adjustRightInd/>
        <w:snapToGrid/>
        <w:spacing w:before="157" w:beforeLines="50" w:beforeAutospacing="0" w:after="157" w:afterLines="50" w:afterAutospacing="0" w:line="240" w:lineRule="auto"/>
        <w:ind w:left="0" w:leftChars="0" w:firstLineChars="0"/>
        <w:jc w:val="both"/>
        <w:textAlignment w:val="auto"/>
        <w:outlineLvl w:val="1"/>
        <w:rPr>
          <w:rFonts w:hint="eastAsia"/>
          <w:lang w:val="en-US" w:eastAsia="zh-CN"/>
        </w:rPr>
      </w:pPr>
      <w:bookmarkStart w:id="332" w:name="_Toc23283"/>
      <w:bookmarkStart w:id="333" w:name="_Toc29184"/>
      <w:bookmarkStart w:id="334" w:name="_Toc11884"/>
      <w:bookmarkStart w:id="335" w:name="_Toc30471"/>
      <w:r>
        <w:rPr>
          <w:rFonts w:hint="eastAsia"/>
          <w:lang w:val="en-US" w:eastAsia="zh-CN"/>
        </w:rPr>
        <w:t>刮痧</w:t>
      </w:r>
      <w:bookmarkEnd w:id="332"/>
      <w:r>
        <w:rPr>
          <w:rFonts w:hint="eastAsia"/>
          <w:lang w:val="en-US" w:eastAsia="zh-CN"/>
        </w:rPr>
        <w:t>法</w:t>
      </w:r>
      <w:bookmarkEnd w:id="333"/>
      <w:bookmarkEnd w:id="334"/>
      <w:bookmarkEnd w:id="335"/>
    </w:p>
    <w:p w14:paraId="4E3D588D">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适应证</w:t>
      </w:r>
    </w:p>
    <w:p w14:paraId="11222E27">
      <w:pPr>
        <w:pStyle w:val="60"/>
        <w:spacing w:after="0"/>
        <w:ind w:left="0" w:leftChars="0" w:firstLineChars="200"/>
        <w:rPr>
          <w:rFonts w:hint="eastAsia"/>
          <w:lang w:val="en-US" w:eastAsia="zh-CN"/>
        </w:rPr>
      </w:pPr>
      <w:r>
        <w:rPr>
          <w:rFonts w:hint="eastAsia"/>
          <w:lang w:val="en-US" w:eastAsia="zh-CN"/>
        </w:rPr>
        <w:t>颈肩痛、腰腿痛、头痛、感冒、咳嗽、失眠、便秘等及夏秋季节发生的各种急性疾病，如中暑、霍乱、痢疾等，同时还具有保健、美容功效。</w:t>
      </w:r>
    </w:p>
    <w:p w14:paraId="4A10EC2C">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禁忌证</w:t>
      </w:r>
    </w:p>
    <w:p w14:paraId="3F500B9F">
      <w:pPr>
        <w:pStyle w:val="168"/>
        <w:rPr>
          <w:rFonts w:hint="eastAsia"/>
          <w:lang w:val="en-US" w:eastAsia="zh-CN"/>
        </w:rPr>
      </w:pPr>
      <w:r>
        <w:rPr>
          <w:rFonts w:hint="eastAsia"/>
          <w:lang w:val="en-US" w:eastAsia="zh-CN"/>
        </w:rPr>
        <w:t>凡危重病证，如急性传染病、严重心脏病、肾功能衰竭、肝硬化腹水、全身重度浮肿等禁刮。</w:t>
      </w:r>
    </w:p>
    <w:p w14:paraId="405E115E">
      <w:pPr>
        <w:pStyle w:val="168"/>
        <w:rPr>
          <w:rFonts w:hint="eastAsia"/>
          <w:lang w:val="en-US" w:eastAsia="zh-CN"/>
        </w:rPr>
      </w:pPr>
      <w:r>
        <w:rPr>
          <w:rFonts w:hint="eastAsia"/>
          <w:lang w:val="en-US" w:eastAsia="zh-CN"/>
        </w:rPr>
        <w:t>有出血倾向疾病禁刮。</w:t>
      </w:r>
    </w:p>
    <w:p w14:paraId="3816424F">
      <w:pPr>
        <w:pStyle w:val="168"/>
        <w:rPr>
          <w:rFonts w:hint="eastAsia"/>
          <w:lang w:val="en-US" w:eastAsia="zh-CN"/>
        </w:rPr>
      </w:pPr>
      <w:r>
        <w:rPr>
          <w:rFonts w:hint="eastAsia"/>
          <w:lang w:val="en-US" w:eastAsia="zh-CN"/>
        </w:rPr>
        <w:t>传染性皮肤病、皮肤高度过敏、新发生骨折部位、外科手术后瘢痕、皮下有不明原因包块、大血管显现处等，相应部位禁刮。</w:t>
      </w:r>
    </w:p>
    <w:p w14:paraId="5A138BA4">
      <w:pPr>
        <w:pStyle w:val="168"/>
        <w:rPr>
          <w:rFonts w:hint="eastAsia"/>
          <w:lang w:val="en-US" w:eastAsia="zh-CN"/>
        </w:rPr>
      </w:pPr>
      <w:r>
        <w:rPr>
          <w:rFonts w:hint="eastAsia"/>
          <w:lang w:val="en-US" w:eastAsia="zh-CN"/>
        </w:rPr>
        <w:t>体形过于消瘦、过度疲劳、过饥过饱者均不宜刮痧。</w:t>
      </w:r>
    </w:p>
    <w:p w14:paraId="070F5B2C">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操作步骤与要求</w:t>
      </w:r>
    </w:p>
    <w:p w14:paraId="157E1E69">
      <w:pPr>
        <w:pStyle w:val="60"/>
        <w:rPr>
          <w:rFonts w:hint="eastAsia"/>
          <w:lang w:val="en-US" w:eastAsia="zh-CN"/>
        </w:rPr>
      </w:pPr>
      <w:r>
        <w:rPr>
          <w:rFonts w:hint="eastAsia"/>
          <w:lang w:val="en-US" w:eastAsia="zh-CN"/>
        </w:rPr>
        <w:t>应符合GB/T 21709.22-2013的要求。</w:t>
      </w:r>
    </w:p>
    <w:p w14:paraId="73ABCB5B">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注意事项</w:t>
      </w:r>
    </w:p>
    <w:p w14:paraId="4BAFF44D">
      <w:pPr>
        <w:pStyle w:val="168"/>
        <w:rPr>
          <w:rFonts w:hint="eastAsia" w:ascii="宋体" w:hAnsi="宋体" w:eastAsia="宋体" w:cs="宋体"/>
          <w:lang w:val="en-US" w:eastAsia="zh-CN"/>
        </w:rPr>
      </w:pPr>
      <w:r>
        <w:rPr>
          <w:rFonts w:hint="eastAsia" w:ascii="宋体" w:hAnsi="宋体" w:eastAsia="宋体" w:cs="宋体"/>
          <w:lang w:val="en-US" w:eastAsia="zh-CN"/>
        </w:rPr>
        <w:t>年迈体弱、对疼痛较敏感的患者宜用轻刮法刮拭。</w:t>
      </w:r>
    </w:p>
    <w:p w14:paraId="54269DE1">
      <w:pPr>
        <w:pStyle w:val="168"/>
        <w:rPr>
          <w:rFonts w:hint="eastAsia" w:ascii="宋体" w:hAnsi="宋体" w:eastAsia="宋体" w:cs="宋体"/>
          <w:lang w:val="en-US" w:eastAsia="zh-CN"/>
        </w:rPr>
      </w:pPr>
      <w:r>
        <w:rPr>
          <w:rFonts w:hint="eastAsia" w:ascii="宋体" w:hAnsi="宋体" w:eastAsia="宋体" w:cs="宋体"/>
          <w:lang w:val="en-US" w:eastAsia="zh-CN"/>
        </w:rPr>
        <w:t>刮痧治疗时应注意室内保暖。</w:t>
      </w:r>
    </w:p>
    <w:p w14:paraId="2B3FFF0E">
      <w:pPr>
        <w:pStyle w:val="168"/>
        <w:rPr>
          <w:rFonts w:hint="eastAsia" w:ascii="宋体" w:hAnsi="宋体" w:eastAsia="宋体" w:cs="宋体"/>
          <w:lang w:val="en-US" w:eastAsia="zh-CN"/>
        </w:rPr>
      </w:pPr>
      <w:r>
        <w:rPr>
          <w:rFonts w:hint="eastAsia" w:ascii="宋体" w:hAnsi="宋体" w:eastAsia="宋体" w:cs="宋体"/>
          <w:lang w:val="en-US" w:eastAsia="zh-CN"/>
        </w:rPr>
        <w:t>刮痧器具边缘应光滑，操作过程中用力均勾，勿损伤皮肤。</w:t>
      </w:r>
    </w:p>
    <w:p w14:paraId="0966635B">
      <w:pPr>
        <w:pStyle w:val="168"/>
        <w:rPr>
          <w:rFonts w:hint="eastAsia" w:ascii="宋体" w:hAnsi="宋体" w:eastAsia="宋体" w:cs="宋体"/>
          <w:lang w:val="en-US" w:eastAsia="zh-CN"/>
        </w:rPr>
      </w:pPr>
      <w:r>
        <w:rPr>
          <w:rFonts w:hint="eastAsia" w:ascii="宋体" w:hAnsi="宋体" w:eastAsia="宋体" w:cs="宋体"/>
          <w:lang w:val="en-US" w:eastAsia="zh-CN"/>
        </w:rPr>
        <w:t>刮痧后宜饮用300～400mL温开水，15分钟内不宜外出，30分钟内忌洗凉水澡。</w:t>
      </w:r>
    </w:p>
    <w:p w14:paraId="1D540F17">
      <w:pPr>
        <w:pStyle w:val="168"/>
        <w:rPr>
          <w:rFonts w:hint="eastAsia" w:ascii="宋体" w:hAnsi="宋体" w:eastAsia="宋体" w:cs="宋体"/>
          <w:lang w:val="en-US" w:eastAsia="zh-CN"/>
        </w:rPr>
      </w:pPr>
      <w:r>
        <w:rPr>
          <w:rFonts w:hint="eastAsia" w:ascii="宋体" w:hAnsi="宋体" w:eastAsia="宋体" w:cs="宋体"/>
          <w:lang w:val="en-US" w:eastAsia="zh-CN"/>
        </w:rPr>
        <w:t>刮痧过程中要随时观察病情变化，如出现头晕、面色苍白、心慌、冷汗、恶心呕吐等症状，应立即停刮，报告医师，配合处理。</w:t>
      </w:r>
    </w:p>
    <w:p w14:paraId="68FC1FED">
      <w:pPr>
        <w:pStyle w:val="168"/>
        <w:rPr>
          <w:rFonts w:hint="eastAsia"/>
          <w:lang w:val="en-US" w:eastAsia="zh-CN"/>
        </w:rPr>
      </w:pPr>
      <w:r>
        <w:rPr>
          <w:rFonts w:hint="eastAsia" w:ascii="宋体" w:hAnsi="宋体" w:eastAsia="宋体" w:cs="宋体"/>
          <w:lang w:val="en-US" w:eastAsia="zh-CN"/>
        </w:rPr>
        <w:t>其他注意事项应符合</w:t>
      </w:r>
      <w:r>
        <w:rPr>
          <w:rFonts w:hint="eastAsia" w:ascii="宋体" w:hAnsi="宋体" w:cs="宋体"/>
        </w:rPr>
        <w:t>GB/T 21709.22-2013</w:t>
      </w:r>
      <w:r>
        <w:rPr>
          <w:rFonts w:hint="eastAsia" w:ascii="宋体" w:hAnsi="宋体" w:eastAsia="宋体" w:cs="宋体"/>
          <w:lang w:val="en-US" w:eastAsia="zh-CN"/>
        </w:rPr>
        <w:t>的要求。</w:t>
      </w:r>
    </w:p>
    <w:p w14:paraId="3EF8E53D">
      <w:pPr>
        <w:pStyle w:val="109"/>
        <w:keepNext/>
        <w:keepLines/>
        <w:pageBreakBefore w:val="0"/>
        <w:widowControl w:val="0"/>
        <w:kinsoku/>
        <w:wordWrap/>
        <w:overflowPunct/>
        <w:topLinePunct w:val="0"/>
        <w:autoSpaceDE/>
        <w:autoSpaceDN/>
        <w:bidi w:val="0"/>
        <w:adjustRightInd/>
        <w:snapToGrid/>
        <w:spacing w:before="157" w:beforeLines="50" w:beforeAutospacing="0" w:after="157" w:afterLines="50" w:afterAutospacing="0" w:line="240" w:lineRule="auto"/>
        <w:ind w:left="0" w:leftChars="0" w:firstLineChars="0"/>
        <w:jc w:val="both"/>
        <w:textAlignment w:val="auto"/>
        <w:outlineLvl w:val="1"/>
        <w:rPr>
          <w:rFonts w:hint="eastAsia"/>
          <w:lang w:val="en-US" w:eastAsia="zh-CN"/>
        </w:rPr>
      </w:pPr>
      <w:bookmarkStart w:id="336" w:name="_Toc4190"/>
      <w:bookmarkStart w:id="337" w:name="_Toc219"/>
      <w:bookmarkStart w:id="338" w:name="_Toc31922"/>
      <w:bookmarkStart w:id="339" w:name="_Toc8881"/>
      <w:r>
        <w:rPr>
          <w:rFonts w:hint="eastAsia"/>
          <w:lang w:val="en-US" w:eastAsia="zh-CN"/>
        </w:rPr>
        <w:t>耳穴贴压</w:t>
      </w:r>
      <w:bookmarkEnd w:id="336"/>
      <w:r>
        <w:rPr>
          <w:rFonts w:hint="eastAsia"/>
          <w:lang w:val="en-US" w:eastAsia="zh-CN"/>
        </w:rPr>
        <w:t>法</w:t>
      </w:r>
      <w:bookmarkEnd w:id="337"/>
      <w:bookmarkEnd w:id="338"/>
      <w:bookmarkEnd w:id="339"/>
    </w:p>
    <w:p w14:paraId="1AF0107C">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适应证</w:t>
      </w:r>
    </w:p>
    <w:p w14:paraId="1DA8D835">
      <w:pPr>
        <w:pStyle w:val="168"/>
        <w:rPr>
          <w:rFonts w:hint="eastAsia"/>
          <w:lang w:val="en-US" w:eastAsia="zh-CN"/>
        </w:rPr>
      </w:pPr>
      <w:r>
        <w:rPr>
          <w:rFonts w:hint="eastAsia"/>
          <w:lang w:val="en-US" w:eastAsia="zh-CN"/>
        </w:rPr>
        <w:t>疼痛性疾病，如各种扭挫伤、头痛、神经痛等。</w:t>
      </w:r>
    </w:p>
    <w:p w14:paraId="30CBE30A">
      <w:pPr>
        <w:pStyle w:val="168"/>
        <w:rPr>
          <w:rFonts w:hint="eastAsia"/>
          <w:lang w:val="en-US" w:eastAsia="zh-CN"/>
        </w:rPr>
      </w:pPr>
      <w:r>
        <w:rPr>
          <w:rFonts w:hint="eastAsia"/>
          <w:lang w:val="en-US" w:eastAsia="zh-CN"/>
        </w:rPr>
        <w:t>炎性疾病及传染病，如急慢性结肠炎、牙周炎、咽炎等。</w:t>
      </w:r>
    </w:p>
    <w:p w14:paraId="49100441">
      <w:pPr>
        <w:pStyle w:val="168"/>
        <w:rPr>
          <w:rFonts w:hint="eastAsia"/>
          <w:lang w:val="en-US" w:eastAsia="zh-CN"/>
        </w:rPr>
      </w:pPr>
      <w:r>
        <w:rPr>
          <w:rFonts w:hint="eastAsia"/>
          <w:lang w:val="en-US" w:eastAsia="zh-CN"/>
        </w:rPr>
        <w:t>功能紊乱性疾病，如胃肠神经官能症、心律不齐、高血压、神经衰弱等。</w:t>
      </w:r>
    </w:p>
    <w:p w14:paraId="005F324E">
      <w:pPr>
        <w:pStyle w:val="168"/>
        <w:rPr>
          <w:rFonts w:hint="eastAsia"/>
          <w:lang w:val="en-US" w:eastAsia="zh-CN"/>
        </w:rPr>
      </w:pPr>
      <w:r>
        <w:rPr>
          <w:rFonts w:hint="eastAsia"/>
          <w:lang w:val="en-US" w:eastAsia="zh-CN"/>
        </w:rPr>
        <w:t>过敏及变态反应性疾病，如哮喘、过敏性鼻炎、荨麻疹等。</w:t>
      </w:r>
    </w:p>
    <w:p w14:paraId="1824AB3F">
      <w:pPr>
        <w:pStyle w:val="168"/>
        <w:rPr>
          <w:rFonts w:hint="eastAsia"/>
          <w:lang w:val="en-US" w:eastAsia="zh-CN"/>
        </w:rPr>
      </w:pPr>
      <w:r>
        <w:rPr>
          <w:rFonts w:hint="eastAsia"/>
          <w:lang w:val="en-US" w:eastAsia="zh-CN"/>
        </w:rPr>
        <w:t>内分泌代谢紊乱性疾病，如糖尿病。</w:t>
      </w:r>
    </w:p>
    <w:p w14:paraId="46023D87">
      <w:pPr>
        <w:pStyle w:val="168"/>
        <w:rPr>
          <w:rFonts w:hint="eastAsia"/>
          <w:lang w:val="en-US" w:eastAsia="zh-CN"/>
        </w:rPr>
      </w:pPr>
      <w:r>
        <w:rPr>
          <w:rFonts w:hint="eastAsia"/>
          <w:lang w:val="en-US" w:eastAsia="zh-CN"/>
        </w:rPr>
        <w:t>预防感冒、晕车、晕船及预防和处理输血、输液反应。</w:t>
      </w:r>
    </w:p>
    <w:p w14:paraId="59201FC2">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禁忌证</w:t>
      </w:r>
    </w:p>
    <w:p w14:paraId="07665F0E">
      <w:pPr>
        <w:pStyle w:val="168"/>
        <w:rPr>
          <w:rFonts w:hint="eastAsia"/>
          <w:lang w:val="en-US" w:eastAsia="zh-CN"/>
        </w:rPr>
      </w:pPr>
      <w:r>
        <w:rPr>
          <w:rFonts w:hint="eastAsia"/>
          <w:lang w:val="en-US" w:eastAsia="zh-CN"/>
        </w:rPr>
        <w:t>严重器质性疾病者慎用。</w:t>
      </w:r>
    </w:p>
    <w:p w14:paraId="3F98BFF2">
      <w:pPr>
        <w:pStyle w:val="168"/>
        <w:rPr>
          <w:rFonts w:hint="eastAsia"/>
          <w:lang w:val="en-US" w:eastAsia="zh-CN"/>
        </w:rPr>
      </w:pPr>
      <w:r>
        <w:rPr>
          <w:rFonts w:hint="eastAsia"/>
          <w:lang w:val="en-US" w:eastAsia="zh-CN"/>
        </w:rPr>
        <w:t>耳郭如有明显炎症或病变，包括冻疮破溃、感染、溃疡及湿疹等，不宜采用本法。</w:t>
      </w:r>
    </w:p>
    <w:p w14:paraId="2893FF12">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操作步骤与要求</w:t>
      </w:r>
    </w:p>
    <w:p w14:paraId="40F7DF8B">
      <w:pPr>
        <w:pStyle w:val="60"/>
        <w:rPr>
          <w:rFonts w:hint="eastAsia"/>
          <w:lang w:val="en-US" w:eastAsia="zh-CN"/>
        </w:rPr>
      </w:pPr>
      <w:r>
        <w:rPr>
          <w:rFonts w:hint="eastAsia"/>
          <w:lang w:val="en-US" w:eastAsia="zh-CN"/>
        </w:rPr>
        <w:t>应符合T/CACM 1088-2018的要求。</w:t>
      </w:r>
    </w:p>
    <w:p w14:paraId="4D9DE625">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注意事项</w:t>
      </w:r>
    </w:p>
    <w:p w14:paraId="32D57303">
      <w:pPr>
        <w:pStyle w:val="168"/>
        <w:rPr>
          <w:rFonts w:hint="eastAsia" w:ascii="宋体" w:hAnsi="宋体" w:eastAsia="宋体" w:cs="宋体"/>
          <w:lang w:val="en-US" w:eastAsia="zh-CN"/>
        </w:rPr>
      </w:pPr>
      <w:r>
        <w:rPr>
          <w:rFonts w:hint="eastAsia" w:ascii="宋体" w:hAnsi="宋体" w:eastAsia="宋体" w:cs="宋体"/>
          <w:lang w:val="en-US" w:eastAsia="zh-CN"/>
        </w:rPr>
        <w:t>严格执行无菌操作，预防感染。</w:t>
      </w:r>
    </w:p>
    <w:p w14:paraId="6F2BF5F4">
      <w:pPr>
        <w:pStyle w:val="168"/>
        <w:rPr>
          <w:rFonts w:hint="eastAsia" w:ascii="宋体" w:hAnsi="宋体" w:eastAsia="宋体" w:cs="宋体"/>
          <w:lang w:val="en-US" w:eastAsia="zh-CN"/>
        </w:rPr>
      </w:pPr>
      <w:r>
        <w:rPr>
          <w:rFonts w:hint="eastAsia" w:ascii="宋体" w:hAnsi="宋体" w:eastAsia="宋体" w:cs="宋体"/>
          <w:lang w:val="en-US" w:eastAsia="zh-CN"/>
        </w:rPr>
        <w:t>材料应选用光滑、大小和硬度适宜的种籽。</w:t>
      </w:r>
    </w:p>
    <w:p w14:paraId="01D85C37">
      <w:pPr>
        <w:pStyle w:val="168"/>
        <w:rPr>
          <w:rFonts w:hint="eastAsia" w:ascii="宋体" w:hAnsi="宋体" w:eastAsia="宋体" w:cs="宋体"/>
          <w:lang w:val="en-US" w:eastAsia="zh-CN"/>
        </w:rPr>
      </w:pPr>
      <w:r>
        <w:rPr>
          <w:rFonts w:hint="eastAsia" w:ascii="宋体" w:hAnsi="宋体" w:eastAsia="宋体" w:cs="宋体"/>
          <w:lang w:val="en-US" w:eastAsia="zh-CN"/>
        </w:rPr>
        <w:t>贴压过程中，按压时压力不可过大，切勿揉搓，以免搓破皮肤，造成感染，并防止胶布潮湿或污染。对胶布过敏者，可缩短贴压时间并加压肾上腺、风溪穴，或改用黏合纸代之。</w:t>
      </w:r>
    </w:p>
    <w:p w14:paraId="3AEEEE21">
      <w:pPr>
        <w:pStyle w:val="168"/>
        <w:rPr>
          <w:rFonts w:hint="eastAsia" w:ascii="宋体" w:hAnsi="宋体" w:eastAsia="宋体" w:cs="宋体"/>
          <w:lang w:val="en-US" w:eastAsia="zh-CN"/>
        </w:rPr>
      </w:pPr>
      <w:r>
        <w:rPr>
          <w:rFonts w:hint="eastAsia" w:ascii="宋体" w:hAnsi="宋体" w:eastAsia="宋体" w:cs="宋体"/>
          <w:lang w:val="en-US" w:eastAsia="zh-CN"/>
        </w:rPr>
        <w:t>留籽时间视季节气候而定。夏天天气炎热，易出汗，贴压放置时间不宜过长，宜1</w:t>
      </w:r>
      <w:r>
        <w:rPr>
          <w:rFonts w:hint="eastAsia"/>
          <w:lang w:val="en-US" w:eastAsia="zh-CN"/>
        </w:rPr>
        <w:t>～</w:t>
      </w:r>
      <w:r>
        <w:rPr>
          <w:rFonts w:hint="eastAsia" w:ascii="宋体" w:hAnsi="宋体" w:eastAsia="宋体" w:cs="宋体"/>
          <w:lang w:val="en-US" w:eastAsia="zh-CN"/>
        </w:rPr>
        <w:t>3天，春秋季3</w:t>
      </w:r>
      <w:r>
        <w:rPr>
          <w:rFonts w:hint="eastAsia"/>
          <w:lang w:val="en-US" w:eastAsia="zh-CN"/>
        </w:rPr>
        <w:t>～</w:t>
      </w:r>
      <w:r>
        <w:rPr>
          <w:rFonts w:hint="eastAsia" w:ascii="宋体" w:hAnsi="宋体" w:eastAsia="宋体" w:cs="宋体"/>
          <w:lang w:val="en-US" w:eastAsia="zh-CN"/>
        </w:rPr>
        <w:t>5天，冬季5</w:t>
      </w:r>
      <w:r>
        <w:rPr>
          <w:rFonts w:hint="eastAsia"/>
          <w:lang w:val="en-US" w:eastAsia="zh-CN"/>
        </w:rPr>
        <w:t>～</w:t>
      </w:r>
      <w:r>
        <w:rPr>
          <w:rFonts w:hint="eastAsia" w:ascii="宋体" w:hAnsi="宋体" w:eastAsia="宋体" w:cs="宋体"/>
          <w:lang w:val="en-US" w:eastAsia="zh-CN"/>
        </w:rPr>
        <w:t>7天。在留置期间应密切观察患者有无不适等情况。</w:t>
      </w:r>
    </w:p>
    <w:p w14:paraId="0AAE6474">
      <w:pPr>
        <w:pStyle w:val="168"/>
        <w:rPr>
          <w:rFonts w:hint="eastAsia" w:ascii="宋体" w:hAnsi="宋体" w:eastAsia="宋体" w:cs="宋体"/>
          <w:lang w:val="en-US" w:eastAsia="zh-CN"/>
        </w:rPr>
      </w:pPr>
      <w:r>
        <w:rPr>
          <w:rFonts w:hint="eastAsia" w:ascii="宋体" w:hAnsi="宋体" w:eastAsia="宋体" w:cs="宋体"/>
          <w:lang w:val="en-US" w:eastAsia="zh-CN"/>
        </w:rPr>
        <w:t>刺激强度视患者情况而定，年迈体弱、神经衰弱者用轻刺激法；急性疼痛性病证宜用强刺激法。</w:t>
      </w:r>
    </w:p>
    <w:p w14:paraId="7F00238C">
      <w:pPr>
        <w:pStyle w:val="168"/>
        <w:rPr>
          <w:rFonts w:hint="eastAsia" w:ascii="宋体" w:hAnsi="宋体" w:eastAsia="宋体" w:cs="宋体"/>
          <w:lang w:val="en-US" w:eastAsia="zh-CN"/>
        </w:rPr>
      </w:pPr>
      <w:r>
        <w:rPr>
          <w:rFonts w:hint="eastAsia" w:ascii="宋体" w:hAnsi="宋体" w:eastAsia="宋体" w:cs="宋体"/>
          <w:lang w:val="en-US" w:eastAsia="zh-CN"/>
        </w:rPr>
        <w:t>有运动障碍的患者，按压埋籽后耳郭充血发热时，宜适当活动患部，并在患部按摩、艾灸等，以提高疗效。</w:t>
      </w:r>
    </w:p>
    <w:bookmarkEnd w:id="325"/>
    <w:bookmarkEnd w:id="326"/>
    <w:bookmarkEnd w:id="327"/>
    <w:p w14:paraId="20018517">
      <w:pPr>
        <w:pStyle w:val="109"/>
        <w:keepNext/>
        <w:keepLines/>
        <w:pageBreakBefore w:val="0"/>
        <w:widowControl w:val="0"/>
        <w:kinsoku/>
        <w:wordWrap/>
        <w:overflowPunct/>
        <w:topLinePunct w:val="0"/>
        <w:autoSpaceDE/>
        <w:autoSpaceDN/>
        <w:bidi w:val="0"/>
        <w:adjustRightInd/>
        <w:snapToGrid/>
        <w:spacing w:before="157" w:beforeLines="50" w:beforeAutospacing="0" w:after="157" w:afterLines="50" w:afterAutospacing="0" w:line="240" w:lineRule="auto"/>
        <w:ind w:left="0" w:leftChars="0" w:firstLineChars="0"/>
        <w:jc w:val="both"/>
        <w:textAlignment w:val="auto"/>
        <w:outlineLvl w:val="1"/>
        <w:rPr>
          <w:rFonts w:hint="eastAsia" w:ascii="黑体" w:hAnsi="黑体" w:cs="黑体"/>
          <w:lang w:val="en-US" w:eastAsia="zh-CN"/>
        </w:rPr>
      </w:pPr>
      <w:bookmarkStart w:id="340" w:name="_Toc16405"/>
      <w:bookmarkStart w:id="341" w:name="_Toc774"/>
      <w:bookmarkStart w:id="342" w:name="_Toc19519"/>
      <w:bookmarkStart w:id="343" w:name="_Toc15915"/>
      <w:r>
        <w:rPr>
          <w:rFonts w:hint="eastAsia" w:ascii="黑体" w:hAnsi="黑体" w:eastAsia="黑体" w:cs="黑体"/>
          <w:b w:val="0"/>
          <w:bCs w:val="0"/>
          <w:lang w:val="en-US" w:eastAsia="zh-CN"/>
        </w:rPr>
        <w:t>敷贴法</w:t>
      </w:r>
      <w:bookmarkEnd w:id="340"/>
      <w:bookmarkEnd w:id="341"/>
      <w:bookmarkEnd w:id="342"/>
      <w:bookmarkEnd w:id="343"/>
    </w:p>
    <w:p w14:paraId="08224B34">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适应证</w:t>
      </w:r>
    </w:p>
    <w:p w14:paraId="431BC556">
      <w:pPr>
        <w:pStyle w:val="60"/>
        <w:rPr>
          <w:rFonts w:hint="eastAsia"/>
          <w:lang w:val="en-US" w:eastAsia="zh-CN"/>
        </w:rPr>
      </w:pPr>
      <w:r>
        <w:rPr>
          <w:rFonts w:hint="eastAsia"/>
          <w:lang w:val="en-US" w:eastAsia="zh-CN"/>
        </w:rPr>
        <w:t>适用于哮喘、肺痈、高血压、面瘫、头痛等。</w:t>
      </w:r>
    </w:p>
    <w:p w14:paraId="07C48EE9">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 xml:space="preserve">禁忌证  </w:t>
      </w:r>
    </w:p>
    <w:p w14:paraId="6B1A6FA0">
      <w:pPr>
        <w:pStyle w:val="168"/>
        <w:rPr>
          <w:rFonts w:hint="eastAsia"/>
          <w:lang w:val="en-US" w:eastAsia="zh-CN"/>
        </w:rPr>
      </w:pPr>
      <w:r>
        <w:rPr>
          <w:rFonts w:hint="eastAsia"/>
          <w:lang w:val="en-US" w:eastAsia="zh-CN"/>
        </w:rPr>
        <w:t>患者眼部、唇部、皮肤破溃处慎用。</w:t>
      </w:r>
    </w:p>
    <w:p w14:paraId="4B6E1770">
      <w:pPr>
        <w:pStyle w:val="168"/>
        <w:rPr>
          <w:rFonts w:hint="eastAsia"/>
          <w:lang w:val="en-US" w:eastAsia="zh-CN"/>
        </w:rPr>
      </w:pPr>
      <w:r>
        <w:rPr>
          <w:rFonts w:hint="eastAsia"/>
          <w:lang w:val="en-US" w:eastAsia="zh-CN"/>
        </w:rPr>
        <w:t>对所敷药物过敏者。</w:t>
      </w:r>
    </w:p>
    <w:p w14:paraId="53DEEE05">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b w:val="0"/>
          <w:bCs w:val="0"/>
          <w:lang w:val="en-US" w:eastAsia="zh-CN"/>
        </w:rPr>
      </w:pPr>
      <w:r>
        <w:rPr>
          <w:rFonts w:hint="eastAsia" w:ascii="黑体" w:hAnsi="黑体" w:eastAsia="黑体" w:cs="黑体"/>
          <w:b w:val="0"/>
          <w:bCs w:val="0"/>
          <w:lang w:val="en-US" w:eastAsia="zh-CN"/>
        </w:rPr>
        <w:t>操作步骤与要求</w:t>
      </w:r>
    </w:p>
    <w:p w14:paraId="02174C19">
      <w:pPr>
        <w:pStyle w:val="60"/>
        <w:rPr>
          <w:rFonts w:hint="eastAsia"/>
          <w:lang w:val="en-US" w:eastAsia="zh-CN"/>
        </w:rPr>
      </w:pPr>
      <w:r>
        <w:rPr>
          <w:rFonts w:hint="eastAsia"/>
          <w:lang w:val="en-US" w:eastAsia="zh-CN"/>
        </w:rPr>
        <w:t>应符合</w:t>
      </w:r>
      <w:r>
        <w:rPr>
          <w:rFonts w:hint="eastAsia"/>
        </w:rPr>
        <w:t>T/CACM 1090-2018</w:t>
      </w:r>
      <w:r>
        <w:rPr>
          <w:rFonts w:hint="eastAsia"/>
          <w:lang w:val="en-US" w:eastAsia="zh-CN"/>
        </w:rPr>
        <w:t>的要求</w:t>
      </w:r>
      <w:r>
        <w:rPr>
          <w:rFonts w:hint="eastAsia"/>
          <w:lang w:eastAsia="zh-CN"/>
        </w:rPr>
        <w:t>。</w:t>
      </w:r>
    </w:p>
    <w:p w14:paraId="6E0F2E38">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b w:val="0"/>
          <w:bCs w:val="0"/>
          <w:lang w:val="en-US" w:eastAsia="zh-CN"/>
        </w:rPr>
      </w:pPr>
      <w:r>
        <w:rPr>
          <w:rFonts w:hint="eastAsia" w:ascii="黑体" w:hAnsi="黑体" w:eastAsia="黑体" w:cs="黑体"/>
          <w:b w:val="0"/>
          <w:bCs w:val="0"/>
          <w:lang w:val="en-US" w:eastAsia="zh-CN"/>
        </w:rPr>
        <w:t>注意事项</w:t>
      </w:r>
    </w:p>
    <w:p w14:paraId="1BE9FF2F">
      <w:pPr>
        <w:pStyle w:val="168"/>
        <w:rPr>
          <w:rFonts w:hint="eastAsia" w:ascii="宋体" w:hAnsi="宋体" w:eastAsia="宋体" w:cs="宋体"/>
          <w:lang w:val="en-US" w:eastAsia="zh-CN"/>
        </w:rPr>
      </w:pPr>
      <w:r>
        <w:rPr>
          <w:rFonts w:hint="eastAsia" w:ascii="宋体" w:hAnsi="宋体" w:eastAsia="宋体" w:cs="宋体"/>
          <w:lang w:val="en-US" w:eastAsia="zh-CN"/>
        </w:rPr>
        <w:t>敷药面积应大于患处，超过肿块1</w:t>
      </w:r>
      <w:r>
        <w:rPr>
          <w:rFonts w:hint="eastAsia"/>
          <w:lang w:val="en-US" w:eastAsia="zh-CN"/>
        </w:rPr>
        <w:t>～</w:t>
      </w:r>
      <w:r>
        <w:rPr>
          <w:rFonts w:hint="eastAsia" w:ascii="宋体" w:hAnsi="宋体" w:eastAsia="宋体" w:cs="宋体"/>
          <w:lang w:val="en-US" w:eastAsia="zh-CN"/>
        </w:rPr>
        <w:t>2cm，且保持一定湿度。</w:t>
      </w:r>
    </w:p>
    <w:p w14:paraId="57C2EC7E">
      <w:pPr>
        <w:pStyle w:val="168"/>
        <w:rPr>
          <w:rFonts w:hint="eastAsia" w:ascii="宋体" w:hAnsi="宋体" w:eastAsia="宋体" w:cs="宋体"/>
          <w:lang w:val="en-US" w:eastAsia="zh-CN"/>
        </w:rPr>
      </w:pPr>
      <w:r>
        <w:rPr>
          <w:rFonts w:hint="eastAsia" w:ascii="宋体" w:hAnsi="宋体" w:eastAsia="宋体" w:cs="宋体"/>
          <w:lang w:val="en-US" w:eastAsia="zh-CN"/>
        </w:rPr>
        <w:t>观察局部及全身情况，若出现红疹、瘙痒、水疱等过敏现象，及时停止使用。</w:t>
      </w:r>
    </w:p>
    <w:p w14:paraId="07F0F202">
      <w:pPr>
        <w:pStyle w:val="168"/>
        <w:rPr>
          <w:rFonts w:hint="eastAsia" w:ascii="宋体" w:hAnsi="宋体" w:eastAsia="宋体" w:cs="宋体"/>
          <w:lang w:val="en-US" w:eastAsia="zh-CN"/>
        </w:rPr>
      </w:pPr>
      <w:r>
        <w:rPr>
          <w:rFonts w:hint="eastAsia" w:ascii="宋体" w:hAnsi="宋体" w:eastAsia="宋体" w:cs="宋体"/>
          <w:lang w:val="en-US" w:eastAsia="zh-CN"/>
        </w:rPr>
        <w:t>敷贴选穴不可过多，少选关节或其他活动度较大的穴位，以免脱落。</w:t>
      </w:r>
    </w:p>
    <w:p w14:paraId="1CDE52FB">
      <w:pPr>
        <w:pStyle w:val="109"/>
        <w:keepNext/>
        <w:keepLines/>
        <w:pageBreakBefore w:val="0"/>
        <w:widowControl w:val="0"/>
        <w:kinsoku/>
        <w:wordWrap/>
        <w:overflowPunct/>
        <w:topLinePunct w:val="0"/>
        <w:autoSpaceDE/>
        <w:autoSpaceDN/>
        <w:bidi w:val="0"/>
        <w:adjustRightInd/>
        <w:snapToGrid/>
        <w:spacing w:before="157" w:beforeLines="50" w:beforeAutospacing="0" w:after="157" w:afterLines="50" w:afterAutospacing="0" w:line="240" w:lineRule="auto"/>
        <w:ind w:left="0" w:leftChars="0" w:firstLineChars="0"/>
        <w:jc w:val="both"/>
        <w:textAlignment w:val="auto"/>
        <w:outlineLvl w:val="1"/>
        <w:rPr>
          <w:rFonts w:hint="eastAsia"/>
          <w:lang w:val="en-US" w:eastAsia="zh-CN"/>
        </w:rPr>
      </w:pPr>
      <w:bookmarkStart w:id="344" w:name="_Toc24182"/>
      <w:bookmarkStart w:id="345" w:name="_Toc11183"/>
      <w:bookmarkStart w:id="346" w:name="_Toc31320"/>
      <w:bookmarkStart w:id="347" w:name="_Toc5114"/>
      <w:bookmarkStart w:id="348" w:name="_Toc9708"/>
      <w:bookmarkStart w:id="349" w:name="_Toc422"/>
      <w:bookmarkStart w:id="350" w:name="_Toc24126"/>
      <w:r>
        <w:rPr>
          <w:rFonts w:hint="eastAsia"/>
          <w:lang w:val="en-US" w:eastAsia="zh-CN"/>
        </w:rPr>
        <w:t>热熨法</w:t>
      </w:r>
      <w:bookmarkEnd w:id="344"/>
      <w:bookmarkEnd w:id="345"/>
      <w:bookmarkEnd w:id="346"/>
      <w:bookmarkEnd w:id="347"/>
      <w:bookmarkEnd w:id="348"/>
      <w:bookmarkEnd w:id="349"/>
      <w:bookmarkEnd w:id="350"/>
    </w:p>
    <w:p w14:paraId="714B2DDB">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适应证</w:t>
      </w:r>
    </w:p>
    <w:p w14:paraId="2FCC7ED1">
      <w:pPr>
        <w:pStyle w:val="168"/>
        <w:rPr>
          <w:rFonts w:hint="eastAsia"/>
          <w:lang w:val="en-US" w:eastAsia="zh-CN"/>
        </w:rPr>
      </w:pPr>
      <w:r>
        <w:rPr>
          <w:rFonts w:hint="eastAsia"/>
          <w:lang w:val="en-US" w:eastAsia="zh-CN"/>
        </w:rPr>
        <w:t>脾胃虚寒引起的胃脘疼痛、腹冷泄泻、寒性呕吐。</w:t>
      </w:r>
    </w:p>
    <w:p w14:paraId="6F97EE10">
      <w:pPr>
        <w:pStyle w:val="168"/>
        <w:rPr>
          <w:rFonts w:hint="eastAsia"/>
          <w:lang w:val="en-US" w:eastAsia="zh-CN"/>
        </w:rPr>
      </w:pPr>
      <w:r>
        <w:rPr>
          <w:rFonts w:hint="eastAsia"/>
          <w:lang w:val="en-US" w:eastAsia="zh-CN"/>
        </w:rPr>
        <w:t>扭伤引起的腰背不适、行动不便。</w:t>
      </w:r>
    </w:p>
    <w:p w14:paraId="5E7AF280">
      <w:pPr>
        <w:pStyle w:val="168"/>
        <w:rPr>
          <w:rFonts w:hint="eastAsia"/>
          <w:lang w:val="en-US" w:eastAsia="zh-CN"/>
        </w:rPr>
      </w:pPr>
      <w:r>
        <w:rPr>
          <w:rFonts w:hint="eastAsia"/>
          <w:lang w:val="en-US" w:eastAsia="zh-CN"/>
        </w:rPr>
        <w:t>风湿痹症引起的关节冷痛、麻木、沉重、酸胀等。</w:t>
      </w:r>
    </w:p>
    <w:p w14:paraId="600B71C2">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禁忌证</w:t>
      </w:r>
    </w:p>
    <w:p w14:paraId="44F08F6B">
      <w:pPr>
        <w:pStyle w:val="168"/>
        <w:rPr>
          <w:rFonts w:hint="eastAsia"/>
          <w:lang w:val="en-US" w:eastAsia="zh-CN"/>
        </w:rPr>
      </w:pPr>
      <w:r>
        <w:rPr>
          <w:rFonts w:hint="eastAsia"/>
          <w:lang w:val="en-US" w:eastAsia="zh-CN"/>
        </w:rPr>
        <w:t>疼痛原因不明者。</w:t>
      </w:r>
    </w:p>
    <w:p w14:paraId="1DAA56A7">
      <w:pPr>
        <w:pStyle w:val="168"/>
        <w:rPr>
          <w:rFonts w:hint="eastAsia"/>
          <w:lang w:val="en-US" w:eastAsia="zh-CN"/>
        </w:rPr>
      </w:pPr>
      <w:r>
        <w:rPr>
          <w:rFonts w:hint="eastAsia"/>
          <w:lang w:val="en-US" w:eastAsia="zh-CN"/>
        </w:rPr>
        <w:t>腹部包块性质不明者。</w:t>
      </w:r>
    </w:p>
    <w:p w14:paraId="6CEE2A6B">
      <w:pPr>
        <w:pStyle w:val="168"/>
        <w:rPr>
          <w:rFonts w:hint="eastAsia"/>
          <w:lang w:val="en-US" w:eastAsia="zh-CN"/>
        </w:rPr>
      </w:pPr>
      <w:r>
        <w:rPr>
          <w:rFonts w:hint="eastAsia"/>
          <w:lang w:val="en-US" w:eastAsia="zh-CN"/>
        </w:rPr>
        <w:t>皮肤有破损处及病变部位感觉障碍者。</w:t>
      </w:r>
    </w:p>
    <w:p w14:paraId="2B9E9AF0">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操作步骤与要求</w:t>
      </w:r>
    </w:p>
    <w:p w14:paraId="0B885BFB">
      <w:pPr>
        <w:pStyle w:val="60"/>
        <w:rPr>
          <w:rFonts w:hint="eastAsia"/>
          <w:lang w:val="en-US" w:eastAsia="zh-CN"/>
        </w:rPr>
      </w:pPr>
      <w:r>
        <w:rPr>
          <w:rFonts w:hint="eastAsia"/>
          <w:lang w:val="en-US" w:eastAsia="zh-CN"/>
        </w:rPr>
        <w:t>应符合</w:t>
      </w:r>
      <w:r>
        <w:rPr>
          <w:rFonts w:hint="eastAsia"/>
        </w:rPr>
        <w:t>《护理人员中医技术使用手册》</w:t>
      </w:r>
      <w:r>
        <w:rPr>
          <w:rFonts w:hint="eastAsia"/>
          <w:lang w:val="en-US" w:eastAsia="zh-CN"/>
        </w:rPr>
        <w:t>的要求。</w:t>
      </w:r>
    </w:p>
    <w:p w14:paraId="4833C5E0">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注意事项</w:t>
      </w:r>
    </w:p>
    <w:p w14:paraId="7B9325BE">
      <w:pPr>
        <w:pStyle w:val="168"/>
        <w:spacing w:line="240" w:lineRule="auto"/>
        <w:rPr>
          <w:rFonts w:hint="eastAsia" w:ascii="宋体" w:hAnsi="宋体" w:eastAsia="宋体" w:cs="宋体"/>
          <w:lang w:val="en-US" w:eastAsia="zh-CN"/>
        </w:rPr>
      </w:pPr>
      <w:r>
        <w:rPr>
          <w:rFonts w:hint="eastAsia"/>
          <w:lang w:val="en-US" w:eastAsia="zh-CN"/>
        </w:rPr>
        <w:t>老年人及感觉障碍者</w:t>
      </w:r>
      <w:r>
        <w:rPr>
          <w:rFonts w:hint="eastAsia" w:ascii="宋体" w:hAnsi="宋体" w:eastAsia="宋体" w:cs="宋体"/>
          <w:lang w:val="en-US" w:eastAsia="zh-CN"/>
        </w:rPr>
        <w:t>，热熨温度不宜超过50℃。</w:t>
      </w:r>
    </w:p>
    <w:p w14:paraId="7C88529D">
      <w:pPr>
        <w:pStyle w:val="168"/>
        <w:spacing w:line="240" w:lineRule="auto"/>
        <w:rPr>
          <w:rFonts w:hint="eastAsia" w:ascii="宋体" w:hAnsi="宋体" w:eastAsia="宋体" w:cs="宋体"/>
          <w:lang w:val="en-US" w:eastAsia="zh-CN"/>
        </w:rPr>
      </w:pPr>
      <w:r>
        <w:rPr>
          <w:rFonts w:hint="eastAsia" w:ascii="宋体" w:hAnsi="宋体" w:eastAsia="宋体" w:cs="宋体"/>
          <w:lang w:val="en-US" w:eastAsia="zh-CN"/>
        </w:rPr>
        <w:t>热熨中保持药袋温度，冷却后应及时更换或加热。</w:t>
      </w:r>
    </w:p>
    <w:p w14:paraId="2080A5DC">
      <w:pPr>
        <w:pStyle w:val="168"/>
        <w:keepNext/>
        <w:keepLines/>
        <w:widowControl w:val="0"/>
        <w:bidi w:val="0"/>
        <w:spacing w:beforeLines="0" w:beforeAutospacing="0" w:afterLines="0" w:afterAutospacing="0" w:line="240" w:lineRule="auto"/>
        <w:ind w:left="0" w:leftChars="0" w:firstLineChars="0"/>
        <w:jc w:val="both"/>
        <w:outlineLvl w:val="2"/>
        <w:rPr>
          <w:rFonts w:hint="eastAsia" w:ascii="宋体" w:hAnsi="宋体" w:eastAsia="宋体" w:cs="宋体"/>
          <w:lang w:val="en-US" w:eastAsia="zh-CN"/>
        </w:rPr>
      </w:pPr>
      <w:r>
        <w:rPr>
          <w:rFonts w:hint="eastAsia" w:ascii="宋体" w:hAnsi="宋体" w:eastAsia="宋体" w:cs="宋体"/>
          <w:lang w:val="en-US" w:eastAsia="zh-CN"/>
        </w:rPr>
        <w:t>热熨中若患者感到疼痛或局部皮肤出现红疹、瘙痒、水疱时，立即停止操作。</w:t>
      </w:r>
    </w:p>
    <w:p w14:paraId="54980253">
      <w:pPr>
        <w:pStyle w:val="109"/>
        <w:rPr>
          <w:rFonts w:hint="eastAsia"/>
          <w:lang w:val="en-US" w:eastAsia="zh-CN"/>
        </w:rPr>
      </w:pPr>
      <w:bookmarkStart w:id="351" w:name="_Toc25643"/>
      <w:bookmarkStart w:id="352" w:name="_Toc29610"/>
      <w:r>
        <w:rPr>
          <w:rFonts w:hint="eastAsia"/>
          <w:lang w:val="en-US" w:eastAsia="zh-CN"/>
        </w:rPr>
        <w:t>熏洗法</w:t>
      </w:r>
      <w:bookmarkEnd w:id="351"/>
      <w:bookmarkEnd w:id="352"/>
    </w:p>
    <w:p w14:paraId="1B22CC3F">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分类</w:t>
      </w:r>
    </w:p>
    <w:p w14:paraId="78BB0F3C">
      <w:pPr>
        <w:pStyle w:val="60"/>
        <w:rPr>
          <w:rFonts w:hint="eastAsia"/>
          <w:lang w:val="en-US" w:eastAsia="zh-CN"/>
        </w:rPr>
      </w:pPr>
      <w:r>
        <w:rPr>
          <w:rFonts w:hint="eastAsia"/>
          <w:lang w:val="en-US" w:eastAsia="zh-CN"/>
        </w:rPr>
        <w:t>包括但不限于肢体熏洗法、眼部熏洗法、坐浴法等。</w:t>
      </w:r>
    </w:p>
    <w:p w14:paraId="631F13F4">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适应证</w:t>
      </w:r>
    </w:p>
    <w:p w14:paraId="3577D499">
      <w:pPr>
        <w:pStyle w:val="60"/>
        <w:rPr>
          <w:rFonts w:hint="eastAsia"/>
          <w:lang w:val="en-US" w:eastAsia="zh-CN"/>
        </w:rPr>
      </w:pPr>
      <w:r>
        <w:rPr>
          <w:rFonts w:hint="eastAsia"/>
          <w:lang w:val="en-US" w:eastAsia="zh-CN"/>
        </w:rPr>
        <w:t>适用于感冒、咳嗽、哮喘、肺痈、中风、头痛、腹胀、便秘等。</w:t>
      </w:r>
    </w:p>
    <w:p w14:paraId="523E8973">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禁忌证</w:t>
      </w:r>
    </w:p>
    <w:p w14:paraId="49F7BEC2">
      <w:pPr>
        <w:pStyle w:val="168"/>
        <w:rPr>
          <w:rFonts w:hint="eastAsia" w:ascii="宋体" w:hAnsi="宋体" w:eastAsia="宋体" w:cs="宋体"/>
          <w:lang w:val="en-US" w:eastAsia="zh-CN"/>
        </w:rPr>
      </w:pPr>
      <w:r>
        <w:rPr>
          <w:rFonts w:hint="eastAsia" w:ascii="宋体" w:hAnsi="宋体" w:eastAsia="宋体" w:cs="宋体"/>
          <w:lang w:val="en-US" w:eastAsia="zh-CN"/>
        </w:rPr>
        <w:t>严重心脏病、重症高血压、心肺功能不全、严重肾脏病、过敏性哮喘、呼吸困难及有出血倾向者。</w:t>
      </w:r>
    </w:p>
    <w:p w14:paraId="45CF3010">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操作步骤与要求</w:t>
      </w:r>
    </w:p>
    <w:p w14:paraId="546E77BB">
      <w:pPr>
        <w:pStyle w:val="60"/>
        <w:rPr>
          <w:rFonts w:hint="eastAsia"/>
          <w:lang w:val="en-US" w:eastAsia="zh-CN"/>
        </w:rPr>
      </w:pPr>
      <w:r>
        <w:rPr>
          <w:rFonts w:hint="eastAsia"/>
          <w:lang w:val="en-US" w:eastAsia="zh-CN"/>
        </w:rPr>
        <w:t>应符合T/CACM 1076-2018的要求。</w:t>
      </w:r>
    </w:p>
    <w:p w14:paraId="7716E5EC">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注意事项</w:t>
      </w:r>
    </w:p>
    <w:p w14:paraId="6B26D85E">
      <w:pPr>
        <w:pStyle w:val="168"/>
        <w:rPr>
          <w:rFonts w:hint="eastAsia" w:ascii="宋体" w:hAnsi="宋体" w:eastAsia="宋体" w:cs="宋体"/>
          <w:lang w:val="en-US" w:eastAsia="zh-CN"/>
        </w:rPr>
      </w:pPr>
      <w:r>
        <w:rPr>
          <w:rFonts w:hint="eastAsia" w:ascii="宋体" w:hAnsi="宋体" w:eastAsia="宋体" w:cs="宋体"/>
          <w:lang w:val="en-US" w:eastAsia="zh-CN"/>
        </w:rPr>
        <w:t>年老体弱者及反应较差者熏洗温度不宜超过50℃。</w:t>
      </w:r>
    </w:p>
    <w:p w14:paraId="693A7902">
      <w:pPr>
        <w:pStyle w:val="168"/>
        <w:rPr>
          <w:rFonts w:hint="default" w:ascii="宋体" w:hAnsi="宋体" w:eastAsia="宋体" w:cs="宋体"/>
          <w:lang w:val="en-US" w:eastAsia="zh-CN"/>
        </w:rPr>
      </w:pPr>
      <w:r>
        <w:rPr>
          <w:rFonts w:hint="eastAsia" w:ascii="宋体" w:hAnsi="宋体" w:eastAsia="宋体" w:cs="宋体"/>
          <w:lang w:val="en-US" w:eastAsia="zh-CN"/>
        </w:rPr>
        <w:t>不宜空腹熏洗，进餐前后半个小时内不宜熏洗，熏洗后宜静卧休息半个小时。</w:t>
      </w:r>
    </w:p>
    <w:p w14:paraId="7BB2F46D">
      <w:pPr>
        <w:pStyle w:val="168"/>
        <w:rPr>
          <w:rFonts w:hint="default" w:ascii="宋体" w:hAnsi="宋体" w:eastAsia="宋体" w:cs="宋体"/>
          <w:lang w:val="en-US" w:eastAsia="zh-CN"/>
        </w:rPr>
      </w:pPr>
      <w:r>
        <w:rPr>
          <w:rFonts w:hint="eastAsia" w:ascii="宋体" w:hAnsi="宋体" w:eastAsia="宋体" w:cs="宋体"/>
          <w:lang w:val="en-US" w:eastAsia="zh-CN"/>
        </w:rPr>
        <w:t>对年老体弱和肢体活动不利者，应协助熏洗并密切观察。</w:t>
      </w:r>
    </w:p>
    <w:p w14:paraId="41A9E578">
      <w:pPr>
        <w:pStyle w:val="109"/>
        <w:rPr>
          <w:rFonts w:hint="eastAsia"/>
          <w:lang w:val="en-US" w:eastAsia="zh-CN"/>
        </w:rPr>
      </w:pPr>
      <w:bookmarkStart w:id="353" w:name="_Toc10650"/>
      <w:r>
        <w:rPr>
          <w:rFonts w:hint="eastAsia"/>
          <w:lang w:val="en-US" w:eastAsia="zh-CN"/>
        </w:rPr>
        <w:t>中药离子导入法</w:t>
      </w:r>
      <w:bookmarkEnd w:id="353"/>
    </w:p>
    <w:p w14:paraId="194B8CB8">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适应证</w:t>
      </w:r>
    </w:p>
    <w:p w14:paraId="1279BEAE">
      <w:pPr>
        <w:pStyle w:val="60"/>
        <w:rPr>
          <w:rFonts w:hint="eastAsia"/>
          <w:lang w:val="en-US" w:eastAsia="zh-CN"/>
        </w:rPr>
      </w:pPr>
      <w:r>
        <w:rPr>
          <w:rFonts w:hint="eastAsia"/>
          <w:lang w:val="en-US" w:eastAsia="zh-CN"/>
        </w:rPr>
        <w:t>适用于风寒湿痹、关节肿痛、腰背痛、颈肩痛、神经痛、神经麻痹等。</w:t>
      </w:r>
    </w:p>
    <w:p w14:paraId="143EE4E5">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禁忌证</w:t>
      </w:r>
    </w:p>
    <w:p w14:paraId="4B26291C">
      <w:pPr>
        <w:pStyle w:val="168"/>
        <w:rPr>
          <w:rFonts w:hint="eastAsia" w:ascii="宋体" w:hAnsi="宋体" w:eastAsia="宋体" w:cs="宋体"/>
          <w:lang w:val="en-US" w:eastAsia="zh-CN"/>
        </w:rPr>
      </w:pPr>
      <w:r>
        <w:rPr>
          <w:rFonts w:hint="eastAsia" w:ascii="宋体" w:hAnsi="宋体" w:eastAsia="宋体" w:cs="宋体"/>
          <w:lang w:val="en-US" w:eastAsia="zh-CN"/>
        </w:rPr>
        <w:t>高热、出血疾患、严重心功能不全者。</w:t>
      </w:r>
    </w:p>
    <w:p w14:paraId="28F2177F">
      <w:pPr>
        <w:pStyle w:val="168"/>
        <w:rPr>
          <w:rFonts w:hint="eastAsia" w:ascii="宋体" w:hAnsi="宋体" w:eastAsia="宋体" w:cs="宋体"/>
          <w:lang w:val="en-US" w:eastAsia="zh-CN"/>
        </w:rPr>
      </w:pPr>
      <w:r>
        <w:rPr>
          <w:rFonts w:hint="eastAsia" w:ascii="宋体" w:hAnsi="宋体" w:eastAsia="宋体" w:cs="宋体"/>
          <w:lang w:val="en-US" w:eastAsia="zh-CN"/>
        </w:rPr>
        <w:t>治疗部位有金属异物或带有心脏起搏器患者。</w:t>
      </w:r>
    </w:p>
    <w:p w14:paraId="7A069B88">
      <w:pPr>
        <w:pStyle w:val="168"/>
        <w:rPr>
          <w:rFonts w:hint="eastAsia"/>
          <w:lang w:val="en-US" w:eastAsia="zh-CN"/>
        </w:rPr>
      </w:pPr>
      <w:r>
        <w:rPr>
          <w:rFonts w:hint="eastAsia" w:ascii="宋体" w:hAnsi="宋体" w:eastAsia="宋体" w:cs="宋体"/>
          <w:lang w:val="en-US" w:eastAsia="zh-CN"/>
        </w:rPr>
        <w:t>对电刺激不能耐受者，皮肤感觉迟钝或障碍者。</w:t>
      </w:r>
    </w:p>
    <w:p w14:paraId="3BD0CC38">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操作步骤与要求</w:t>
      </w:r>
    </w:p>
    <w:p w14:paraId="20A02E56">
      <w:pPr>
        <w:pStyle w:val="60"/>
        <w:rPr>
          <w:rFonts w:hint="eastAsia"/>
          <w:lang w:val="en-US" w:eastAsia="zh-CN"/>
        </w:rPr>
      </w:pPr>
      <w:r>
        <w:rPr>
          <w:rFonts w:hint="eastAsia"/>
          <w:lang w:val="en-US" w:eastAsia="zh-CN"/>
        </w:rPr>
        <w:t>应符合</w:t>
      </w:r>
      <w:r>
        <w:rPr>
          <w:rFonts w:hint="eastAsia"/>
        </w:rPr>
        <w:t>《护理人员中医技术使用手册》</w:t>
      </w:r>
      <w:r>
        <w:rPr>
          <w:rFonts w:hint="eastAsia"/>
          <w:lang w:val="en-US" w:eastAsia="zh-CN"/>
        </w:rPr>
        <w:t>的要求。</w:t>
      </w:r>
    </w:p>
    <w:p w14:paraId="74661F12">
      <w:pPr>
        <w:pStyle w:val="169"/>
        <w:keepNext/>
        <w:keepLines/>
        <w:widowControl w:val="0"/>
        <w:bidi w:val="0"/>
        <w:spacing w:before="157" w:beforeLines="50" w:beforeAutospacing="0" w:after="157" w:afterLines="50" w:afterAutospacing="0" w:line="240" w:lineRule="auto"/>
        <w:ind w:left="0" w:leftChars="0" w:firstLineChars="0"/>
        <w:jc w:val="both"/>
        <w:outlineLvl w:val="2"/>
        <w:rPr>
          <w:rFonts w:hint="eastAsia" w:ascii="黑体" w:hAnsi="黑体" w:eastAsia="黑体" w:cs="黑体"/>
          <w:lang w:val="en-US" w:eastAsia="zh-CN"/>
        </w:rPr>
      </w:pPr>
      <w:r>
        <w:rPr>
          <w:rFonts w:hint="eastAsia" w:ascii="黑体" w:hAnsi="黑体" w:eastAsia="黑体" w:cs="黑体"/>
          <w:lang w:val="en-US" w:eastAsia="zh-CN"/>
        </w:rPr>
        <w:t>注意事项</w:t>
      </w:r>
    </w:p>
    <w:p w14:paraId="5868211F">
      <w:pPr>
        <w:pStyle w:val="168"/>
        <w:rPr>
          <w:rFonts w:hint="default" w:ascii="宋体" w:hAnsi="宋体" w:eastAsia="宋体" w:cs="宋体"/>
          <w:lang w:val="en-US" w:eastAsia="zh-CN"/>
        </w:rPr>
      </w:pPr>
      <w:r>
        <w:rPr>
          <w:rFonts w:hint="eastAsia" w:ascii="宋体" w:hAnsi="宋体" w:eastAsia="宋体" w:cs="宋体"/>
          <w:lang w:val="en-US" w:eastAsia="zh-CN"/>
        </w:rPr>
        <w:t>告知患者不可自行调节电流开关，不要随意更换体位。</w:t>
      </w:r>
    </w:p>
    <w:p w14:paraId="58F46988">
      <w:pPr>
        <w:pStyle w:val="168"/>
        <w:rPr>
          <w:rFonts w:hint="default"/>
          <w:lang w:val="en-US" w:eastAsia="zh-CN"/>
        </w:rPr>
      </w:pPr>
      <w:r>
        <w:rPr>
          <w:rFonts w:hint="eastAsia" w:ascii="宋体" w:hAnsi="宋体" w:eastAsia="宋体" w:cs="宋体"/>
          <w:lang w:val="en-US" w:eastAsia="zh-CN"/>
        </w:rPr>
        <w:t>操作前检查设备是否完好，各部位连接是否正确。</w:t>
      </w:r>
    </w:p>
    <w:p w14:paraId="241F7FD4">
      <w:pPr>
        <w:pStyle w:val="168"/>
        <w:numPr>
          <w:ilvl w:val="4"/>
          <w:numId w:val="2"/>
        </w:numPr>
        <w:ind w:firstLineChars="0"/>
        <w:jc w:val="left"/>
        <w:rPr>
          <w:rFonts w:hint="eastAsia"/>
          <w:lang w:val="en-US" w:eastAsia="zh-CN"/>
        </w:rPr>
      </w:pPr>
      <w:r>
        <w:rPr>
          <w:rFonts w:hint="eastAsia" w:ascii="宋体" w:hAnsi="宋体" w:eastAsia="宋体" w:cs="宋体"/>
          <w:lang w:val="en-US" w:eastAsia="zh-CN"/>
        </w:rPr>
        <w:t>治疗中不能离开患者，需随时观察患者反应，及时调节合适电流量，以防止电灼伤。</w:t>
      </w:r>
    </w:p>
    <w:p w14:paraId="54329277">
      <w:pPr>
        <w:pStyle w:val="108"/>
        <w:spacing w:before="0" w:after="0"/>
        <w:rPr>
          <w:rFonts w:hint="default"/>
          <w:lang w:val="en-US" w:eastAsia="zh-CN"/>
        </w:rPr>
      </w:pPr>
      <w:bookmarkStart w:id="354" w:name="_Toc13921"/>
      <w:bookmarkStart w:id="355" w:name="_Toc11768"/>
      <w:bookmarkStart w:id="356" w:name="_Toc29383"/>
      <w:bookmarkStart w:id="357" w:name="_Toc586"/>
      <w:bookmarkStart w:id="358" w:name="_Toc142"/>
      <w:bookmarkStart w:id="359" w:name="_Toc7597"/>
      <w:bookmarkStart w:id="360" w:name="_Toc8086"/>
      <w:bookmarkStart w:id="361" w:name="_Toc19297"/>
      <w:r>
        <w:rPr>
          <w:rFonts w:hint="eastAsia"/>
          <w:lang w:val="en-US" w:eastAsia="zh-CN"/>
        </w:rPr>
        <w:t>中医护理技术评价</w:t>
      </w:r>
      <w:bookmarkEnd w:id="354"/>
      <w:bookmarkEnd w:id="355"/>
      <w:bookmarkEnd w:id="356"/>
      <w:bookmarkEnd w:id="357"/>
      <w:bookmarkEnd w:id="358"/>
      <w:bookmarkEnd w:id="359"/>
      <w:bookmarkEnd w:id="360"/>
      <w:bookmarkEnd w:id="361"/>
    </w:p>
    <w:p w14:paraId="4F2A8784">
      <w:pPr>
        <w:pStyle w:val="109"/>
        <w:keepNext/>
        <w:keepLines/>
        <w:pageBreakBefore w:val="0"/>
        <w:widowControl w:val="0"/>
        <w:kinsoku/>
        <w:wordWrap/>
        <w:overflowPunct/>
        <w:topLinePunct w:val="0"/>
        <w:autoSpaceDE/>
        <w:autoSpaceDN/>
        <w:bidi w:val="0"/>
        <w:adjustRightInd w:val="0"/>
        <w:snapToGrid/>
        <w:spacing w:before="157" w:beforeLines="50" w:beforeAutospacing="0" w:after="157" w:afterLines="50" w:afterAutospacing="0" w:line="240" w:lineRule="auto"/>
        <w:ind w:left="0" w:leftChars="0" w:firstLineChars="0"/>
        <w:jc w:val="both"/>
        <w:textAlignment w:val="auto"/>
        <w:outlineLvl w:val="1"/>
        <w:rPr>
          <w:rFonts w:hint="eastAsia"/>
          <w:lang w:val="en-US" w:eastAsia="zh-CN"/>
        </w:rPr>
      </w:pPr>
      <w:bookmarkStart w:id="362" w:name="_Toc362"/>
      <w:bookmarkStart w:id="363" w:name="_Toc27016"/>
      <w:bookmarkStart w:id="364" w:name="_Toc24404"/>
      <w:bookmarkStart w:id="365" w:name="_Toc12409"/>
      <w:bookmarkStart w:id="366" w:name="_Toc22798"/>
      <w:bookmarkStart w:id="367" w:name="_Toc14284"/>
      <w:bookmarkStart w:id="368" w:name="_Toc12249"/>
      <w:r>
        <w:rPr>
          <w:rFonts w:hint="eastAsia"/>
          <w:lang w:val="en-US" w:eastAsia="zh-CN"/>
        </w:rPr>
        <w:t>评价方法</w:t>
      </w:r>
      <w:bookmarkEnd w:id="362"/>
      <w:bookmarkEnd w:id="363"/>
      <w:bookmarkEnd w:id="364"/>
      <w:bookmarkEnd w:id="365"/>
      <w:bookmarkEnd w:id="366"/>
      <w:bookmarkEnd w:id="367"/>
      <w:bookmarkEnd w:id="368"/>
    </w:p>
    <w:p w14:paraId="708A52F2">
      <w:pPr>
        <w:pStyle w:val="60"/>
        <w:keepNext w:val="0"/>
        <w:keepLines w:val="0"/>
        <w:pageBreakBefore w:val="0"/>
        <w:widowControl w:val="0"/>
        <w:kinsoku/>
        <w:wordWrap/>
        <w:overflowPunct/>
        <w:topLinePunct w:val="0"/>
        <w:autoSpaceDE/>
        <w:autoSpaceDN/>
        <w:bidi w:val="0"/>
        <w:adjustRightInd/>
        <w:snapToGrid/>
        <w:spacing w:line="240" w:lineRule="auto"/>
        <w:ind w:right="0" w:rightChars="0" w:firstLineChars="200"/>
        <w:jc w:val="left"/>
        <w:textAlignment w:val="auto"/>
        <w:rPr>
          <w:rFonts w:hint="eastAsia"/>
          <w:lang w:val="en-US" w:eastAsia="zh-CN"/>
        </w:rPr>
      </w:pPr>
      <w:r>
        <w:rPr>
          <w:rFonts w:hint="eastAsia"/>
          <w:lang w:val="en-US" w:eastAsia="zh-CN"/>
        </w:rPr>
        <w:t>定期开展机构内质量检查与考核，采取日常检查、定期检查、不定期抽查、专项检查等方式进行内部评价，宜邀请相关专家或第三方专业机构，对质量进行评价。</w:t>
      </w:r>
    </w:p>
    <w:p w14:paraId="7A908A9E">
      <w:pPr>
        <w:pStyle w:val="109"/>
        <w:keepNext/>
        <w:keepLines/>
        <w:pageBreakBefore w:val="0"/>
        <w:widowControl w:val="0"/>
        <w:kinsoku/>
        <w:wordWrap/>
        <w:overflowPunct/>
        <w:topLinePunct w:val="0"/>
        <w:autoSpaceDE/>
        <w:autoSpaceDN/>
        <w:bidi w:val="0"/>
        <w:adjustRightInd w:val="0"/>
        <w:snapToGrid/>
        <w:spacing w:before="157" w:beforeLines="50" w:beforeAutospacing="0" w:after="157" w:afterLines="50" w:afterAutospacing="0" w:line="240" w:lineRule="auto"/>
        <w:ind w:left="0" w:leftChars="0" w:firstLineChars="0"/>
        <w:jc w:val="both"/>
        <w:textAlignment w:val="auto"/>
        <w:outlineLvl w:val="1"/>
        <w:rPr>
          <w:rFonts w:hint="eastAsia"/>
          <w:lang w:val="en-US" w:eastAsia="zh-CN"/>
        </w:rPr>
      </w:pPr>
      <w:bookmarkStart w:id="369" w:name="_Toc13077"/>
      <w:bookmarkStart w:id="370" w:name="_Toc28653"/>
      <w:bookmarkStart w:id="371" w:name="_Toc21534"/>
      <w:bookmarkStart w:id="372" w:name="_Toc13491"/>
      <w:bookmarkStart w:id="373" w:name="_Toc5910"/>
      <w:bookmarkStart w:id="374" w:name="_Toc29276"/>
      <w:bookmarkStart w:id="375" w:name="_Toc9053"/>
      <w:r>
        <w:rPr>
          <w:rFonts w:hint="eastAsia"/>
          <w:lang w:val="en-US" w:eastAsia="zh-CN"/>
        </w:rPr>
        <w:t>评价指标</w:t>
      </w:r>
      <w:bookmarkEnd w:id="369"/>
      <w:bookmarkEnd w:id="370"/>
      <w:bookmarkEnd w:id="371"/>
      <w:bookmarkEnd w:id="372"/>
      <w:bookmarkEnd w:id="373"/>
      <w:bookmarkEnd w:id="374"/>
      <w:bookmarkEnd w:id="375"/>
    </w:p>
    <w:p w14:paraId="1D4F88D7">
      <w:pPr>
        <w:pStyle w:val="169"/>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Chars="0"/>
        <w:jc w:val="left"/>
        <w:textAlignment w:val="auto"/>
        <w:rPr>
          <w:rFonts w:hint="eastAsia"/>
          <w:lang w:val="en-US" w:eastAsia="zh-CN"/>
        </w:rPr>
      </w:pPr>
      <w:r>
        <w:rPr>
          <w:rFonts w:hint="eastAsia"/>
          <w:lang w:val="en-US" w:eastAsia="zh-CN"/>
        </w:rPr>
        <w:t>结构指标：床护比、环境设施、人员配置、制度职责。</w:t>
      </w:r>
    </w:p>
    <w:p w14:paraId="1D019AFC">
      <w:pPr>
        <w:pStyle w:val="169"/>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Chars="0"/>
        <w:jc w:val="left"/>
        <w:textAlignment w:val="auto"/>
        <w:rPr>
          <w:rFonts w:hint="default"/>
          <w:lang w:val="en-US" w:eastAsia="zh-CN"/>
        </w:rPr>
      </w:pPr>
      <w:r>
        <w:rPr>
          <w:rFonts w:hint="eastAsia"/>
          <w:lang w:val="en-US" w:eastAsia="zh-CN"/>
        </w:rPr>
        <w:t>过程指标：诊疗流程管理、技术考核、护理实践管理。</w:t>
      </w:r>
    </w:p>
    <w:p w14:paraId="2FDD42B7">
      <w:pPr>
        <w:pStyle w:val="169"/>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Chars="0"/>
        <w:jc w:val="left"/>
        <w:textAlignment w:val="auto"/>
        <w:rPr>
          <w:rFonts w:hint="default"/>
          <w:lang w:val="en-US" w:eastAsia="zh-CN"/>
        </w:rPr>
      </w:pPr>
      <w:r>
        <w:rPr>
          <w:rFonts w:hint="eastAsia"/>
          <w:lang w:val="en-US" w:eastAsia="zh-CN"/>
        </w:rPr>
        <w:t>结果指标：不良事件发生情况、患者满意度、卫生效益指标。</w:t>
      </w:r>
    </w:p>
    <w:p w14:paraId="70F4B354">
      <w:pPr>
        <w:pStyle w:val="29"/>
        <w:rPr>
          <w:rFonts w:hint="eastAsia"/>
          <w:lang w:val="en-US" w:eastAsia="zh-CN"/>
        </w:rPr>
      </w:pPr>
    </w:p>
    <w:p w14:paraId="79F46A93">
      <w:pPr>
        <w:pStyle w:val="29"/>
        <w:rPr>
          <w:rFonts w:hint="default"/>
          <w:lang w:val="en-US" w:eastAsia="zh-CN"/>
        </w:rPr>
      </w:pPr>
    </w:p>
    <w:p w14:paraId="4908C1D9">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jc w:val="left"/>
        <w:textAlignment w:val="auto"/>
        <w:rPr>
          <w:rFonts w:hint="default" w:ascii="宋体" w:hAnsi="宋体" w:eastAsia="宋体" w:cs="宋体"/>
          <w:position w:val="6"/>
          <w:sz w:val="21"/>
          <w:szCs w:val="21"/>
          <w:lang w:val="en-US" w:eastAsia="zh-CN"/>
        </w:rPr>
      </w:pPr>
    </w:p>
    <w:p w14:paraId="33FE61DA">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jc w:val="left"/>
        <w:textAlignment w:val="auto"/>
        <w:rPr>
          <w:rFonts w:hint="default" w:ascii="宋体" w:hAnsi="宋体" w:eastAsia="宋体" w:cs="宋体"/>
          <w:position w:val="6"/>
          <w:sz w:val="21"/>
          <w:szCs w:val="21"/>
          <w:lang w:val="en-US" w:eastAsia="zh-CN"/>
        </w:rPr>
      </w:pPr>
    </w:p>
    <w:p w14:paraId="7E797ABC">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both"/>
        <w:textAlignment w:val="auto"/>
        <w:rPr>
          <w:rFonts w:hint="eastAsia" w:ascii="宋体" w:hAnsi="宋体" w:eastAsia="宋体" w:cs="宋体"/>
          <w:b w:val="0"/>
          <w:bCs w:val="0"/>
          <w:i w:val="0"/>
          <w:iCs w:val="0"/>
          <w:caps w:val="0"/>
          <w:color w:val="333333"/>
          <w:spacing w:val="0"/>
          <w:kern w:val="2"/>
          <w:sz w:val="20"/>
          <w:szCs w:val="20"/>
          <w:shd w:val="clear" w:fill="FFFFFF"/>
          <w:lang w:val="en-US" w:eastAsia="zh-CN" w:bidi="ar-SA"/>
        </w:rPr>
      </w:pPr>
    </w:p>
    <w:p w14:paraId="755034C0">
      <w:pPr>
        <w:pStyle w:val="60"/>
        <w:numPr>
          <w:ilvl w:val="0"/>
          <w:numId w:val="0"/>
        </w:numPr>
        <w:ind w:leftChars="0"/>
        <w:rPr>
          <w:rFonts w:hint="eastAsia"/>
          <w:color w:val="000000" w:themeColor="text1"/>
          <w:sz w:val="20"/>
          <w:szCs w:val="18"/>
          <w:lang w:val="en-US" w:eastAsia="zh-CN"/>
          <w14:textFill>
            <w14:solidFill>
              <w14:schemeClr w14:val="tx1"/>
            </w14:solidFill>
          </w14:textFill>
        </w:rPr>
      </w:pPr>
    </w:p>
    <w:p w14:paraId="06F6849F">
      <w:pPr>
        <w:pStyle w:val="60"/>
        <w:numPr>
          <w:ilvl w:val="0"/>
          <w:numId w:val="0"/>
        </w:numPr>
        <w:ind w:leftChars="0"/>
        <w:rPr>
          <w:rFonts w:hint="eastAsia"/>
          <w:color w:val="000000" w:themeColor="text1"/>
          <w:sz w:val="20"/>
          <w:szCs w:val="18"/>
          <w:lang w:val="en-US" w:eastAsia="zh-CN"/>
          <w14:textFill>
            <w14:solidFill>
              <w14:schemeClr w14:val="tx1"/>
            </w14:solidFill>
          </w14:textFill>
        </w:rPr>
      </w:pPr>
    </w:p>
    <w:p w14:paraId="2019B406">
      <w:pPr>
        <w:pStyle w:val="60"/>
        <w:numPr>
          <w:ilvl w:val="0"/>
          <w:numId w:val="0"/>
        </w:numPr>
        <w:ind w:leftChars="0"/>
        <w:rPr>
          <w:rFonts w:hint="eastAsia"/>
          <w:color w:val="000000" w:themeColor="text1"/>
          <w:lang w:val="en-US" w:eastAsia="zh-CN"/>
          <w14:textFill>
            <w14:solidFill>
              <w14:schemeClr w14:val="tx1"/>
            </w14:solidFill>
          </w14:textFill>
        </w:rPr>
      </w:pPr>
    </w:p>
    <w:p w14:paraId="6D22B01C">
      <w:pPr>
        <w:pStyle w:val="60"/>
        <w:numPr>
          <w:ilvl w:val="0"/>
          <w:numId w:val="0"/>
        </w:numPr>
        <w:ind w:leftChars="0"/>
        <w:rPr>
          <w:rFonts w:hint="eastAsia"/>
          <w:color w:val="000000" w:themeColor="text1"/>
          <w:lang w:val="en-US" w:eastAsia="zh-CN"/>
          <w14:textFill>
            <w14:solidFill>
              <w14:schemeClr w14:val="tx1"/>
            </w14:solidFill>
          </w14:textFill>
        </w:rPr>
      </w:pPr>
    </w:p>
    <w:p w14:paraId="28C47367">
      <w:pPr>
        <w:pStyle w:val="60"/>
        <w:numPr>
          <w:ilvl w:val="0"/>
          <w:numId w:val="0"/>
        </w:numPr>
        <w:ind w:leftChars="0"/>
        <w:rPr>
          <w:rFonts w:hint="eastAsia"/>
          <w:color w:val="000000" w:themeColor="text1"/>
          <w:lang w:val="en-US" w:eastAsia="zh-CN"/>
          <w14:textFill>
            <w14:solidFill>
              <w14:schemeClr w14:val="tx1"/>
            </w14:solidFill>
          </w14:textFill>
        </w:rPr>
      </w:pPr>
    </w:p>
    <w:p w14:paraId="01AE5A41">
      <w:pPr>
        <w:spacing w:after="156"/>
        <w:rPr>
          <w:spacing w:val="105"/>
        </w:rPr>
      </w:pPr>
      <w:bookmarkStart w:id="376" w:name="_Toc483"/>
      <w:bookmarkStart w:id="377" w:name="_Toc132534410"/>
      <w:bookmarkStart w:id="378" w:name="_Toc31773"/>
      <w:bookmarkStart w:id="379" w:name="_Toc26344"/>
      <w:bookmarkStart w:id="380" w:name="_Toc5705"/>
      <w:bookmarkStart w:id="381" w:name="_Toc6871"/>
      <w:bookmarkStart w:id="382" w:name="_Toc22554"/>
      <w:bookmarkStart w:id="383" w:name="_Toc21743"/>
      <w:bookmarkStart w:id="384" w:name="_Toc132534374"/>
      <w:r>
        <w:rPr>
          <w:spacing w:val="105"/>
        </w:rPr>
        <w:br w:type="page"/>
      </w:r>
    </w:p>
    <w:p w14:paraId="183B3A90">
      <w:pPr>
        <w:pStyle w:val="67"/>
        <w:spacing w:after="156"/>
      </w:pPr>
      <w:bookmarkStart w:id="385" w:name="_Toc9417"/>
      <w:r>
        <w:rPr>
          <w:spacing w:val="105"/>
        </w:rPr>
        <w:t>参考文</w:t>
      </w:r>
      <w:r>
        <w:t>献</w:t>
      </w:r>
      <w:bookmarkEnd w:id="376"/>
      <w:bookmarkEnd w:id="377"/>
      <w:bookmarkEnd w:id="378"/>
      <w:bookmarkEnd w:id="379"/>
      <w:bookmarkEnd w:id="380"/>
      <w:bookmarkEnd w:id="381"/>
      <w:bookmarkEnd w:id="382"/>
      <w:bookmarkEnd w:id="383"/>
      <w:bookmarkEnd w:id="384"/>
      <w:bookmarkEnd w:id="385"/>
    </w:p>
    <w:p w14:paraId="5579F088"/>
    <w:bookmarkEnd w:id="215"/>
    <w:p w14:paraId="7C1244B8">
      <w:pPr>
        <w:numPr>
          <w:ilvl w:val="-1"/>
          <w:numId w:val="0"/>
        </w:numPr>
        <w:adjustRightInd/>
        <w:spacing w:line="240" w:lineRule="auto"/>
        <w:rPr>
          <w:rFonts w:hint="default" w:ascii="Times New Roman" w:hAnsi="Times New Roman"/>
          <w:szCs w:val="24"/>
        </w:rPr>
      </w:pPr>
      <w:bookmarkStart w:id="386" w:name="BookMark8"/>
      <w:r>
        <w:rPr>
          <w:rFonts w:hint="default" w:ascii="Times New Roman" w:hAnsi="Times New Roman"/>
          <w:szCs w:val="24"/>
        </w:rPr>
        <w:t>[</w:t>
      </w:r>
      <w:r>
        <w:rPr>
          <w:rFonts w:hint="eastAsia" w:ascii="Times New Roman" w:hAnsi="Times New Roman"/>
          <w:szCs w:val="24"/>
          <w:lang w:val="en-US" w:eastAsia="zh-CN"/>
        </w:rPr>
        <w:t>1</w:t>
      </w:r>
      <w:r>
        <w:rPr>
          <w:rFonts w:hint="default" w:ascii="Times New Roman" w:hAnsi="Times New Roman"/>
          <w:szCs w:val="24"/>
        </w:rPr>
        <w:t>]</w:t>
      </w:r>
      <w:r>
        <w:rPr>
          <w:rFonts w:hint="eastAsia" w:ascii="Times New Roman" w:hAnsi="Times New Roman"/>
          <w:szCs w:val="24"/>
          <w:lang w:val="en-US" w:eastAsia="zh-CN"/>
        </w:rPr>
        <w:t xml:space="preserve">  </w:t>
      </w:r>
      <w:r>
        <w:rPr>
          <w:rFonts w:hint="default" w:ascii="Times New Roman" w:hAnsi="Times New Roman"/>
          <w:szCs w:val="24"/>
        </w:rPr>
        <w:t>T/CACM 1075-2018</w:t>
      </w:r>
      <w:r>
        <w:rPr>
          <w:rFonts w:hint="eastAsia" w:ascii="Times New Roman" w:hAnsi="Times New Roman"/>
          <w:szCs w:val="24"/>
          <w:lang w:val="en-US" w:eastAsia="zh-CN"/>
        </w:rPr>
        <w:t xml:space="preserve">  </w:t>
      </w:r>
      <w:r>
        <w:rPr>
          <w:rFonts w:hint="default" w:ascii="Times New Roman" w:hAnsi="Times New Roman"/>
          <w:szCs w:val="24"/>
        </w:rPr>
        <w:t>中医治未病技术操作规范 艾灸</w:t>
      </w:r>
    </w:p>
    <w:p w14:paraId="7E68D554">
      <w:pPr>
        <w:numPr>
          <w:ilvl w:val="-1"/>
          <w:numId w:val="0"/>
        </w:numPr>
        <w:adjustRightInd/>
        <w:spacing w:line="240" w:lineRule="auto"/>
        <w:rPr>
          <w:rFonts w:hint="default" w:ascii="Times New Roman" w:hAnsi="Times New Roman"/>
          <w:szCs w:val="24"/>
        </w:rPr>
      </w:pPr>
      <w:r>
        <w:rPr>
          <w:rFonts w:hint="default" w:ascii="Times New Roman" w:hAnsi="Times New Roman"/>
          <w:szCs w:val="24"/>
        </w:rPr>
        <w:t>[2]</w:t>
      </w:r>
      <w:r>
        <w:rPr>
          <w:rFonts w:hint="eastAsia" w:ascii="Times New Roman" w:hAnsi="Times New Roman"/>
          <w:szCs w:val="24"/>
          <w:lang w:val="en-US" w:eastAsia="zh-CN"/>
        </w:rPr>
        <w:t xml:space="preserve">  </w:t>
      </w:r>
      <w:r>
        <w:rPr>
          <w:rFonts w:hint="default" w:ascii="Times New Roman" w:hAnsi="Times New Roman"/>
          <w:szCs w:val="24"/>
        </w:rPr>
        <w:t>T/CACM 1078-2018</w:t>
      </w:r>
      <w:r>
        <w:rPr>
          <w:rFonts w:hint="eastAsia" w:ascii="Times New Roman" w:hAnsi="Times New Roman"/>
          <w:szCs w:val="24"/>
          <w:lang w:val="en-US" w:eastAsia="zh-CN"/>
        </w:rPr>
        <w:t xml:space="preserve">  </w:t>
      </w:r>
      <w:r>
        <w:rPr>
          <w:rFonts w:hint="default" w:ascii="Times New Roman" w:hAnsi="Times New Roman"/>
          <w:szCs w:val="24"/>
        </w:rPr>
        <w:t>中医治未病技术操作规范 拔罐</w:t>
      </w:r>
    </w:p>
    <w:p w14:paraId="274C22CD">
      <w:pPr>
        <w:numPr>
          <w:ilvl w:val="-1"/>
          <w:numId w:val="0"/>
        </w:numPr>
        <w:adjustRightInd/>
        <w:spacing w:line="240" w:lineRule="auto"/>
        <w:rPr>
          <w:rFonts w:hint="default" w:ascii="Times New Roman" w:hAnsi="Times New Roman"/>
          <w:szCs w:val="24"/>
        </w:rPr>
      </w:pPr>
      <w:r>
        <w:rPr>
          <w:rFonts w:hint="default" w:ascii="Times New Roman" w:hAnsi="Times New Roman"/>
          <w:szCs w:val="24"/>
        </w:rPr>
        <w:t>[</w:t>
      </w:r>
      <w:r>
        <w:rPr>
          <w:rFonts w:hint="eastAsia" w:ascii="Times New Roman" w:hAnsi="Times New Roman"/>
          <w:szCs w:val="24"/>
          <w:lang w:val="en-US" w:eastAsia="zh-CN"/>
        </w:rPr>
        <w:t>3</w:t>
      </w:r>
      <w:r>
        <w:rPr>
          <w:rFonts w:hint="default" w:ascii="Times New Roman" w:hAnsi="Times New Roman"/>
          <w:szCs w:val="24"/>
        </w:rPr>
        <w:t>]</w:t>
      </w:r>
      <w:r>
        <w:rPr>
          <w:rFonts w:hint="eastAsia" w:ascii="Times New Roman" w:hAnsi="Times New Roman"/>
          <w:szCs w:val="24"/>
          <w:lang w:val="en-US" w:eastAsia="zh-CN"/>
        </w:rPr>
        <w:t xml:space="preserve">  </w:t>
      </w:r>
      <w:r>
        <w:rPr>
          <w:rFonts w:hint="default" w:ascii="Times New Roman" w:hAnsi="Times New Roman"/>
          <w:szCs w:val="24"/>
        </w:rPr>
        <w:t xml:space="preserve">T/CACM 1088-2018 </w:t>
      </w:r>
      <w:r>
        <w:rPr>
          <w:rFonts w:hint="eastAsia" w:ascii="Times New Roman" w:hAnsi="Times New Roman"/>
          <w:szCs w:val="24"/>
          <w:lang w:val="en-US" w:eastAsia="zh-CN"/>
        </w:rPr>
        <w:t xml:space="preserve"> </w:t>
      </w:r>
      <w:r>
        <w:rPr>
          <w:rFonts w:hint="default" w:ascii="Times New Roman" w:hAnsi="Times New Roman"/>
          <w:szCs w:val="24"/>
        </w:rPr>
        <w:t>中医治未病技术操作规范 耳穴</w:t>
      </w:r>
    </w:p>
    <w:p w14:paraId="5D0A5CAF">
      <w:pPr>
        <w:numPr>
          <w:ilvl w:val="-1"/>
          <w:numId w:val="0"/>
        </w:numPr>
        <w:adjustRightInd/>
        <w:spacing w:line="240" w:lineRule="auto"/>
        <w:rPr>
          <w:rFonts w:hint="default" w:ascii="Times New Roman" w:hAnsi="Times New Roman"/>
          <w:szCs w:val="24"/>
        </w:rPr>
      </w:pPr>
      <w:r>
        <w:rPr>
          <w:rFonts w:hint="eastAsia" w:ascii="Times New Roman" w:hAnsi="Times New Roman"/>
          <w:szCs w:val="24"/>
          <w:lang w:val="en-US" w:eastAsia="zh-CN"/>
        </w:rPr>
        <w:t xml:space="preserve">[4]  </w:t>
      </w:r>
      <w:r>
        <w:rPr>
          <w:rFonts w:hint="default" w:ascii="Times New Roman" w:hAnsi="Times New Roman"/>
          <w:szCs w:val="24"/>
        </w:rPr>
        <w:t>T/CACM 1090-2018</w:t>
      </w:r>
      <w:r>
        <w:rPr>
          <w:rFonts w:hint="eastAsia" w:ascii="Times New Roman" w:hAnsi="Times New Roman"/>
          <w:szCs w:val="24"/>
          <w:lang w:val="en-US" w:eastAsia="zh-CN"/>
        </w:rPr>
        <w:t xml:space="preserve">  </w:t>
      </w:r>
      <w:r>
        <w:rPr>
          <w:rFonts w:hint="default" w:ascii="Times New Roman" w:hAnsi="Times New Roman"/>
          <w:szCs w:val="24"/>
        </w:rPr>
        <w:t>中医治未病技术操作规范</w:t>
      </w:r>
      <w:r>
        <w:rPr>
          <w:rFonts w:hint="eastAsia" w:ascii="Times New Roman" w:hAnsi="Times New Roman"/>
          <w:szCs w:val="24"/>
          <w:lang w:val="en-US" w:eastAsia="zh-CN"/>
        </w:rPr>
        <w:t xml:space="preserve"> </w:t>
      </w:r>
      <w:r>
        <w:rPr>
          <w:rFonts w:hint="default" w:ascii="Times New Roman" w:hAnsi="Times New Roman"/>
          <w:szCs w:val="24"/>
        </w:rPr>
        <w:t>穴位敷贴</w:t>
      </w:r>
    </w:p>
    <w:p w14:paraId="70FEAEED">
      <w:pPr>
        <w:numPr>
          <w:ilvl w:val="-1"/>
          <w:numId w:val="0"/>
        </w:numPr>
        <w:adjustRightInd/>
        <w:spacing w:line="240" w:lineRule="auto"/>
        <w:rPr>
          <w:rFonts w:hint="default" w:ascii="Times New Roman" w:hAnsi="Times New Roman"/>
          <w:szCs w:val="24"/>
        </w:rPr>
      </w:pPr>
      <w:r>
        <w:rPr>
          <w:rFonts w:hint="default" w:ascii="Times New Roman" w:hAnsi="Times New Roman"/>
          <w:szCs w:val="24"/>
        </w:rPr>
        <w:t>[</w:t>
      </w:r>
      <w:r>
        <w:rPr>
          <w:rFonts w:hint="eastAsia" w:ascii="Times New Roman" w:hAnsi="Times New Roman"/>
          <w:szCs w:val="24"/>
          <w:lang w:val="en-US" w:eastAsia="zh-CN"/>
        </w:rPr>
        <w:t>5</w:t>
      </w:r>
      <w:r>
        <w:rPr>
          <w:rFonts w:hint="default" w:ascii="Times New Roman" w:hAnsi="Times New Roman"/>
          <w:szCs w:val="24"/>
        </w:rPr>
        <w:t>]</w:t>
      </w:r>
      <w:r>
        <w:rPr>
          <w:rFonts w:hint="eastAsia" w:ascii="Times New Roman" w:hAnsi="Times New Roman"/>
          <w:szCs w:val="24"/>
          <w:lang w:val="en-US" w:eastAsia="zh-CN"/>
        </w:rPr>
        <w:t xml:space="preserve">  </w:t>
      </w:r>
      <w:r>
        <w:rPr>
          <w:rFonts w:hint="eastAsia" w:ascii="Times New Roman" w:hAnsi="Times New Roman"/>
          <w:szCs w:val="24"/>
        </w:rPr>
        <w:t>T/CACM 1076-2018  中医治未病技术操作规范 熏洗</w:t>
      </w:r>
    </w:p>
    <w:p w14:paraId="6A79C4BF">
      <w:pPr>
        <w:numPr>
          <w:ilvl w:val="0"/>
          <w:numId w:val="0"/>
        </w:numPr>
        <w:adjustRightInd/>
        <w:spacing w:line="240" w:lineRule="auto"/>
        <w:rPr>
          <w:rFonts w:hint="default" w:ascii="Times New Roman" w:hAnsi="Times New Roman"/>
          <w:szCs w:val="24"/>
          <w:lang w:val="en-US" w:eastAsia="zh-CN"/>
        </w:rPr>
      </w:pPr>
      <w:r>
        <w:rPr>
          <w:rFonts w:hint="default" w:ascii="Times New Roman" w:hAnsi="Times New Roman"/>
          <w:szCs w:val="24"/>
        </w:rPr>
        <w:t>[</w:t>
      </w:r>
      <w:r>
        <w:rPr>
          <w:rFonts w:hint="eastAsia" w:ascii="Times New Roman" w:hAnsi="Times New Roman"/>
          <w:szCs w:val="24"/>
          <w:lang w:val="en-US" w:eastAsia="zh-CN"/>
        </w:rPr>
        <w:t>6</w:t>
      </w:r>
      <w:r>
        <w:rPr>
          <w:rFonts w:hint="default" w:ascii="Times New Roman" w:hAnsi="Times New Roman"/>
          <w:szCs w:val="24"/>
        </w:rPr>
        <w:t>]</w:t>
      </w:r>
      <w:r>
        <w:rPr>
          <w:rFonts w:hint="eastAsia" w:ascii="Times New Roman" w:hAnsi="Times New Roman"/>
          <w:szCs w:val="24"/>
          <w:lang w:val="en-US" w:eastAsia="zh-CN"/>
        </w:rPr>
        <w:t xml:space="preserve"> </w:t>
      </w:r>
      <w:r>
        <w:rPr>
          <w:rFonts w:hint="eastAsia" w:ascii="Times New Roman" w:hAnsi="Times New Roman"/>
          <w:szCs w:val="24"/>
        </w:rPr>
        <w:t>《老年医学科建设与管理指南（试行）</w:t>
      </w:r>
      <w:r>
        <w:rPr>
          <w:rFonts w:hint="eastAsia" w:ascii="Times New Roman" w:hAnsi="Times New Roman"/>
          <w:szCs w:val="24"/>
          <w:lang w:eastAsia="zh-CN"/>
        </w:rPr>
        <w:t>》</w:t>
      </w:r>
      <w:r>
        <w:rPr>
          <w:rFonts w:hint="eastAsia" w:ascii="Times New Roman" w:hAnsi="Times New Roman"/>
          <w:szCs w:val="24"/>
          <w:lang w:val="en-US" w:eastAsia="zh-CN"/>
        </w:rPr>
        <w:t xml:space="preserve">  </w:t>
      </w:r>
      <w:r>
        <w:rPr>
          <w:rFonts w:hint="eastAsia" w:ascii="Times New Roman" w:hAnsi="Times New Roman"/>
          <w:szCs w:val="24"/>
        </w:rPr>
        <w:t xml:space="preserve">国家卫生健康委 </w:t>
      </w:r>
    </w:p>
    <w:p w14:paraId="066EAA40">
      <w:pPr>
        <w:numPr>
          <w:ilvl w:val="0"/>
          <w:numId w:val="0"/>
        </w:numPr>
        <w:adjustRightInd/>
        <w:spacing w:line="240" w:lineRule="auto"/>
        <w:rPr>
          <w:rFonts w:hint="default" w:ascii="Times New Roman" w:hAnsi="Times New Roman"/>
          <w:szCs w:val="24"/>
        </w:rPr>
      </w:pPr>
      <w:r>
        <w:rPr>
          <w:rFonts w:hint="default" w:ascii="Times New Roman" w:hAnsi="Times New Roman"/>
          <w:szCs w:val="24"/>
        </w:rPr>
        <w:t>[</w:t>
      </w:r>
      <w:r>
        <w:rPr>
          <w:rFonts w:hint="eastAsia" w:ascii="Times New Roman" w:hAnsi="Times New Roman"/>
          <w:szCs w:val="24"/>
          <w:lang w:val="en-US" w:eastAsia="zh-CN"/>
        </w:rPr>
        <w:t>7</w:t>
      </w:r>
      <w:r>
        <w:rPr>
          <w:rFonts w:hint="default" w:ascii="Times New Roman" w:hAnsi="Times New Roman"/>
          <w:szCs w:val="24"/>
        </w:rPr>
        <w:t>]</w:t>
      </w:r>
      <w:r>
        <w:rPr>
          <w:rFonts w:hint="eastAsia" w:ascii="Times New Roman" w:hAnsi="Times New Roman"/>
          <w:szCs w:val="24"/>
          <w:lang w:val="en-US" w:eastAsia="zh-CN"/>
        </w:rPr>
        <w:t xml:space="preserve"> </w:t>
      </w:r>
      <w:r>
        <w:rPr>
          <w:rFonts w:hint="default" w:ascii="Times New Roman" w:hAnsi="Times New Roman"/>
          <w:szCs w:val="24"/>
        </w:rPr>
        <w:t>《中医医院老年病科建设</w:t>
      </w:r>
      <w:r>
        <w:rPr>
          <w:rFonts w:hint="eastAsia" w:ascii="Times New Roman" w:hAnsi="Times New Roman"/>
          <w:szCs w:val="24"/>
          <w:lang w:eastAsia="zh-CN"/>
        </w:rPr>
        <w:t>》</w:t>
      </w:r>
      <w:r>
        <w:rPr>
          <w:rFonts w:hint="eastAsia" w:ascii="Times New Roman" w:hAnsi="Times New Roman"/>
          <w:szCs w:val="24"/>
          <w:lang w:val="en-US" w:eastAsia="zh-CN"/>
        </w:rPr>
        <w:t xml:space="preserve">  </w:t>
      </w:r>
      <w:r>
        <w:rPr>
          <w:rFonts w:hint="default" w:ascii="Times New Roman" w:hAnsi="Times New Roman"/>
          <w:szCs w:val="24"/>
        </w:rPr>
        <w:t>国家中医药管理局</w:t>
      </w:r>
    </w:p>
    <w:p w14:paraId="2F455565">
      <w:pPr>
        <w:numPr>
          <w:ilvl w:val="-1"/>
          <w:numId w:val="0"/>
        </w:numPr>
        <w:adjustRightInd/>
        <w:spacing w:line="240" w:lineRule="auto"/>
        <w:rPr>
          <w:rFonts w:hint="default" w:ascii="Times New Roman" w:hAnsi="Times New Roman"/>
          <w:szCs w:val="24"/>
        </w:rPr>
      </w:pPr>
      <w:r>
        <w:rPr>
          <w:rFonts w:hint="default" w:ascii="Times New Roman" w:hAnsi="Times New Roman"/>
          <w:szCs w:val="24"/>
        </w:rPr>
        <w:t>[</w:t>
      </w:r>
      <w:r>
        <w:rPr>
          <w:rFonts w:hint="eastAsia" w:ascii="Times New Roman" w:hAnsi="Times New Roman"/>
          <w:szCs w:val="24"/>
          <w:lang w:val="en-US" w:eastAsia="zh-CN"/>
        </w:rPr>
        <w:t>8</w:t>
      </w:r>
      <w:r>
        <w:rPr>
          <w:rFonts w:hint="default" w:ascii="Times New Roman" w:hAnsi="Times New Roman"/>
          <w:szCs w:val="24"/>
        </w:rPr>
        <w:t>] 《中医医院中医综合治疗区（室）基本要求》</w:t>
      </w:r>
      <w:r>
        <w:rPr>
          <w:rFonts w:hint="eastAsia" w:ascii="Times New Roman" w:hAnsi="Times New Roman"/>
          <w:szCs w:val="24"/>
          <w:lang w:val="en-US" w:eastAsia="zh-CN"/>
        </w:rPr>
        <w:t xml:space="preserve">  </w:t>
      </w:r>
      <w:r>
        <w:rPr>
          <w:rFonts w:hint="default" w:ascii="Times New Roman" w:hAnsi="Times New Roman"/>
          <w:szCs w:val="24"/>
        </w:rPr>
        <w:t>国家中医药管理局</w:t>
      </w:r>
    </w:p>
    <w:p w14:paraId="40B4E145">
      <w:pPr>
        <w:numPr>
          <w:ilvl w:val="-1"/>
          <w:numId w:val="0"/>
        </w:numPr>
        <w:adjustRightInd/>
        <w:spacing w:line="240" w:lineRule="auto"/>
        <w:rPr>
          <w:rFonts w:hint="default" w:ascii="Times New Roman" w:hAnsi="Times New Roman"/>
          <w:szCs w:val="24"/>
        </w:rPr>
      </w:pPr>
      <w:r>
        <w:rPr>
          <w:rFonts w:hint="default" w:ascii="Times New Roman" w:hAnsi="Times New Roman"/>
          <w:szCs w:val="24"/>
        </w:rPr>
        <w:t>[</w:t>
      </w:r>
      <w:r>
        <w:rPr>
          <w:rFonts w:hint="eastAsia" w:ascii="Times New Roman" w:hAnsi="Times New Roman"/>
          <w:szCs w:val="24"/>
          <w:lang w:val="en-US" w:eastAsia="zh-CN"/>
        </w:rPr>
        <w:t>9</w:t>
      </w:r>
      <w:r>
        <w:rPr>
          <w:rFonts w:hint="default" w:ascii="Times New Roman" w:hAnsi="Times New Roman"/>
          <w:szCs w:val="24"/>
        </w:rPr>
        <w:t>] 《关于开展建设老年友善医疗机构工作的通知</w:t>
      </w:r>
      <w:r>
        <w:rPr>
          <w:rFonts w:hint="eastAsia" w:ascii="Times New Roman" w:hAnsi="Times New Roman"/>
          <w:szCs w:val="24"/>
          <w:lang w:eastAsia="zh-CN"/>
        </w:rPr>
        <w:t>》</w:t>
      </w:r>
      <w:r>
        <w:rPr>
          <w:rFonts w:hint="eastAsia" w:ascii="Times New Roman" w:hAnsi="Times New Roman"/>
          <w:szCs w:val="24"/>
          <w:lang w:val="en-US" w:eastAsia="zh-CN"/>
        </w:rPr>
        <w:t xml:space="preserve">  </w:t>
      </w:r>
      <w:r>
        <w:rPr>
          <w:rFonts w:hint="default" w:ascii="Times New Roman" w:hAnsi="Times New Roman"/>
          <w:szCs w:val="24"/>
        </w:rPr>
        <w:t>国家卫生健康委</w:t>
      </w:r>
      <w:r>
        <w:rPr>
          <w:rFonts w:hint="eastAsia" w:ascii="Times New Roman" w:hAnsi="Times New Roman"/>
          <w:szCs w:val="24"/>
          <w:lang w:val="en-US" w:eastAsia="zh-CN"/>
        </w:rPr>
        <w:t xml:space="preserve"> </w:t>
      </w:r>
      <w:r>
        <w:rPr>
          <w:rFonts w:hint="default" w:ascii="Times New Roman" w:hAnsi="Times New Roman"/>
          <w:szCs w:val="24"/>
        </w:rPr>
        <w:t>国家中医药管理局</w:t>
      </w:r>
    </w:p>
    <w:p w14:paraId="7FB2429C">
      <w:pPr>
        <w:numPr>
          <w:ilvl w:val="-1"/>
          <w:numId w:val="0"/>
        </w:numPr>
        <w:adjustRightInd/>
        <w:spacing w:line="240" w:lineRule="auto"/>
        <w:rPr>
          <w:rFonts w:hint="default" w:ascii="Times New Roman" w:hAnsi="Times New Roman"/>
          <w:szCs w:val="24"/>
        </w:rPr>
      </w:pPr>
      <w:r>
        <w:rPr>
          <w:rFonts w:hint="default" w:ascii="Times New Roman" w:hAnsi="Times New Roman"/>
          <w:szCs w:val="24"/>
        </w:rPr>
        <w:t>[</w:t>
      </w:r>
      <w:r>
        <w:rPr>
          <w:rFonts w:hint="eastAsia" w:ascii="Times New Roman" w:hAnsi="Times New Roman"/>
          <w:szCs w:val="24"/>
          <w:lang w:val="en-US" w:eastAsia="zh-CN"/>
        </w:rPr>
        <w:t>10</w:t>
      </w:r>
      <w:r>
        <w:rPr>
          <w:rFonts w:hint="default" w:ascii="Times New Roman" w:hAnsi="Times New Roman"/>
          <w:szCs w:val="24"/>
        </w:rPr>
        <w:t>] 《中医医院医疗设备配置标准（试行）》  国家中医药管理局</w:t>
      </w:r>
    </w:p>
    <w:p w14:paraId="1F3B5F52">
      <w:pPr>
        <w:numPr>
          <w:ilvl w:val="-1"/>
          <w:numId w:val="0"/>
        </w:numPr>
        <w:adjustRightInd/>
        <w:spacing w:line="240" w:lineRule="auto"/>
        <w:rPr>
          <w:rFonts w:hint="default" w:ascii="Times New Roman" w:hAnsi="Times New Roman"/>
          <w:szCs w:val="24"/>
        </w:rPr>
      </w:pPr>
      <w:r>
        <w:rPr>
          <w:rFonts w:hint="default" w:ascii="Times New Roman" w:hAnsi="Times New Roman"/>
          <w:szCs w:val="24"/>
        </w:rPr>
        <w:t>[</w:t>
      </w:r>
      <w:r>
        <w:rPr>
          <w:rFonts w:hint="eastAsia" w:ascii="Times New Roman" w:hAnsi="Times New Roman"/>
          <w:szCs w:val="24"/>
          <w:lang w:val="en-US" w:eastAsia="zh-CN"/>
        </w:rPr>
        <w:t>11</w:t>
      </w:r>
      <w:r>
        <w:rPr>
          <w:rFonts w:hint="default" w:ascii="Times New Roman" w:hAnsi="Times New Roman"/>
          <w:szCs w:val="24"/>
        </w:rPr>
        <w:t>] 《中华人民共和国医师法》  全国人民代表大会常务委员会</w:t>
      </w:r>
    </w:p>
    <w:p w14:paraId="09470578">
      <w:pPr>
        <w:numPr>
          <w:ilvl w:val="-1"/>
          <w:numId w:val="0"/>
        </w:numPr>
        <w:adjustRightInd/>
        <w:spacing w:line="240" w:lineRule="auto"/>
        <w:rPr>
          <w:rFonts w:hint="default" w:ascii="Times New Roman" w:hAnsi="Times New Roman"/>
          <w:szCs w:val="24"/>
        </w:rPr>
      </w:pPr>
      <w:r>
        <w:rPr>
          <w:rFonts w:hint="default" w:ascii="Times New Roman" w:hAnsi="Times New Roman"/>
          <w:szCs w:val="24"/>
        </w:rPr>
        <w:t>[</w:t>
      </w:r>
      <w:r>
        <w:rPr>
          <w:rFonts w:hint="eastAsia" w:ascii="Times New Roman" w:hAnsi="Times New Roman"/>
          <w:szCs w:val="24"/>
          <w:lang w:val="en-US" w:eastAsia="zh-CN"/>
        </w:rPr>
        <w:t>12</w:t>
      </w:r>
      <w:r>
        <w:rPr>
          <w:rFonts w:hint="default" w:ascii="Times New Roman" w:hAnsi="Times New Roman"/>
          <w:szCs w:val="24"/>
        </w:rPr>
        <w:t>] 《中华人民共和国护士条例》</w:t>
      </w:r>
      <w:r>
        <w:rPr>
          <w:rFonts w:hint="eastAsia" w:ascii="Times New Roman" w:hAnsi="Times New Roman"/>
          <w:szCs w:val="24"/>
          <w:lang w:val="en-US" w:eastAsia="zh-CN"/>
        </w:rPr>
        <w:t xml:space="preserve">  </w:t>
      </w:r>
      <w:r>
        <w:rPr>
          <w:rFonts w:hint="default" w:ascii="Times New Roman" w:hAnsi="Times New Roman"/>
          <w:szCs w:val="24"/>
        </w:rPr>
        <w:t>中华人民共和国国务院</w:t>
      </w:r>
    </w:p>
    <w:p w14:paraId="62955762">
      <w:pPr>
        <w:numPr>
          <w:ilvl w:val="-1"/>
          <w:numId w:val="0"/>
        </w:numPr>
        <w:adjustRightInd/>
        <w:spacing w:line="240" w:lineRule="auto"/>
        <w:rPr>
          <w:rFonts w:hint="default" w:ascii="Times New Roman" w:hAnsi="Times New Roman"/>
          <w:szCs w:val="24"/>
        </w:rPr>
      </w:pPr>
      <w:r>
        <w:rPr>
          <w:rFonts w:hint="default" w:ascii="Times New Roman" w:hAnsi="Times New Roman"/>
          <w:szCs w:val="24"/>
        </w:rPr>
        <w:t>[</w:t>
      </w:r>
      <w:r>
        <w:rPr>
          <w:rFonts w:hint="eastAsia" w:ascii="Times New Roman" w:hAnsi="Times New Roman"/>
          <w:szCs w:val="24"/>
          <w:lang w:val="en-US" w:eastAsia="zh-CN"/>
        </w:rPr>
        <w:t>13</w:t>
      </w:r>
      <w:r>
        <w:rPr>
          <w:rFonts w:hint="default" w:ascii="Times New Roman" w:hAnsi="Times New Roman"/>
          <w:szCs w:val="24"/>
        </w:rPr>
        <w:t>] 《中国护理事业发展规划2021-2025》  国家卫生健康委</w:t>
      </w:r>
    </w:p>
    <w:p w14:paraId="1D61D7AB">
      <w:pPr>
        <w:numPr>
          <w:ilvl w:val="-1"/>
          <w:numId w:val="0"/>
        </w:numPr>
        <w:adjustRightInd/>
        <w:spacing w:line="240" w:lineRule="auto"/>
        <w:rPr>
          <w:rFonts w:hint="default" w:ascii="Times New Roman" w:hAnsi="Times New Roman"/>
          <w:szCs w:val="24"/>
        </w:rPr>
      </w:pPr>
      <w:r>
        <w:rPr>
          <w:rFonts w:hint="default" w:ascii="Times New Roman" w:hAnsi="Times New Roman"/>
          <w:szCs w:val="24"/>
        </w:rPr>
        <w:t>[</w:t>
      </w:r>
      <w:r>
        <w:rPr>
          <w:rFonts w:hint="eastAsia" w:ascii="Times New Roman" w:hAnsi="Times New Roman"/>
          <w:szCs w:val="24"/>
          <w:lang w:val="en-US" w:eastAsia="zh-CN"/>
        </w:rPr>
        <w:t>14</w:t>
      </w:r>
      <w:r>
        <w:rPr>
          <w:rFonts w:hint="default" w:ascii="Times New Roman" w:hAnsi="Times New Roman"/>
          <w:szCs w:val="24"/>
        </w:rPr>
        <w:t>] 《中医医院中医护理工作指南（试行）》  国家中医药管理局</w:t>
      </w:r>
    </w:p>
    <w:p w14:paraId="63717F6A">
      <w:pPr>
        <w:numPr>
          <w:ilvl w:val="-1"/>
          <w:numId w:val="0"/>
        </w:numPr>
        <w:adjustRightInd/>
        <w:spacing w:line="240" w:lineRule="auto"/>
        <w:rPr>
          <w:rFonts w:hint="default" w:ascii="Times New Roman" w:hAnsi="Times New Roman"/>
          <w:szCs w:val="24"/>
        </w:rPr>
      </w:pPr>
      <w:r>
        <w:rPr>
          <w:rFonts w:hint="default" w:ascii="Times New Roman" w:hAnsi="Times New Roman"/>
          <w:szCs w:val="24"/>
        </w:rPr>
        <w:t>[</w:t>
      </w:r>
      <w:r>
        <w:rPr>
          <w:rFonts w:hint="eastAsia" w:ascii="Times New Roman" w:hAnsi="Times New Roman"/>
          <w:szCs w:val="24"/>
          <w:lang w:val="en-US" w:eastAsia="zh-CN"/>
        </w:rPr>
        <w:t>15</w:t>
      </w:r>
      <w:r>
        <w:rPr>
          <w:rFonts w:hint="default" w:ascii="Times New Roman" w:hAnsi="Times New Roman"/>
          <w:szCs w:val="24"/>
        </w:rPr>
        <w:t>] 《医疗护理员国家职业标准（2024 年版）》  国家卫生健康委</w:t>
      </w:r>
    </w:p>
    <w:p w14:paraId="4B88A54A">
      <w:pPr>
        <w:adjustRightInd/>
        <w:spacing w:line="240" w:lineRule="auto"/>
        <w:rPr>
          <w:rFonts w:hint="default" w:ascii="Times New Roman" w:hAnsi="Times New Roman" w:eastAsia="宋体" w:cs="Times New Roman"/>
          <w:szCs w:val="24"/>
          <w:lang w:val="en-US" w:eastAsia="zh-CN"/>
        </w:rPr>
      </w:pPr>
      <w:r>
        <w:rPr>
          <w:rFonts w:hint="default" w:ascii="Times New Roman" w:hAnsi="Times New Roman"/>
          <w:szCs w:val="24"/>
        </w:rPr>
        <w:t>[1</w:t>
      </w:r>
      <w:r>
        <w:rPr>
          <w:rFonts w:hint="eastAsia" w:ascii="Times New Roman" w:hAnsi="Times New Roman"/>
          <w:szCs w:val="24"/>
          <w:lang w:val="en-US" w:eastAsia="zh-CN"/>
        </w:rPr>
        <w:t>6</w:t>
      </w:r>
      <w:r>
        <w:rPr>
          <w:rFonts w:hint="default" w:ascii="Times New Roman" w:hAnsi="Times New Roman"/>
          <w:szCs w:val="24"/>
        </w:rPr>
        <w:t>] 《护理人员中医技术使用手册》  国家中医药管理局</w:t>
      </w:r>
    </w:p>
    <w:p w14:paraId="2DEC3B0A">
      <w:pPr>
        <w:pStyle w:val="60"/>
        <w:ind w:firstLine="0" w:firstLineChars="0"/>
        <w:jc w:val="center"/>
      </w:pPr>
      <w:r>
        <w:rPr>
          <w:rFonts w:hint="eastAsia"/>
        </w:rPr>
        <w:drawing>
          <wp:inline distT="0" distB="0" distL="0" distR="0">
            <wp:extent cx="1485900" cy="317500"/>
            <wp:effectExtent l="0" t="0" r="0" b="6350"/>
            <wp:docPr id="1212385030" name="图片 1"/>
            <wp:cNvGraphicFramePr/>
            <a:graphic xmlns:a="http://schemas.openxmlformats.org/drawingml/2006/main">
              <a:graphicData uri="http://schemas.openxmlformats.org/drawingml/2006/picture">
                <pic:pic xmlns:pic="http://schemas.openxmlformats.org/drawingml/2006/picture">
                  <pic:nvPicPr>
                    <pic:cNvPr id="1212385030" name="图片 1"/>
                    <pic:cNvPicPr/>
                  </pic:nvPicPr>
                  <pic:blipFill>
                    <a:blip r:embed="rId1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86"/>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fangsong_GB2312">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36483">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E203C">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8DFAD">
    <w:pPr>
      <w:pStyle w:val="56"/>
    </w:pPr>
    <w:r>
      <w:fldChar w:fldCharType="begin"/>
    </w:r>
    <w:r>
      <w:instrText xml:space="preserve">PAGE   \* MERGEFORMAT</w:instrText>
    </w:r>
    <w:r>
      <w:fldChar w:fldCharType="separate"/>
    </w:r>
    <w:r>
      <w:rPr>
        <w:lang w:val="zh-CN"/>
      </w:rPr>
      <w:t>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9040E">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C7796">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16810">
    <w:pPr>
      <w:pStyle w:val="65"/>
    </w:pPr>
    <w:r>
      <w:fldChar w:fldCharType="begin"/>
    </w:r>
    <w:r>
      <w:instrText xml:space="preserve"> STYLEREF  标准文件_文件编号  \* MERGEFORMAT </w:instrText>
    </w:r>
    <w:r>
      <w:fldChar w:fldCharType="separate"/>
    </w:r>
    <w: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15378D"/>
    <w:multiLevelType w:val="multilevel"/>
    <w:tmpl w:val="BF15378D"/>
    <w:lvl w:ilvl="0" w:tentative="0">
      <w:start w:val="6"/>
      <w:numFmt w:val="decimal"/>
      <w:lvlText w:val="%1"/>
      <w:lvlJc w:val="left"/>
      <w:pPr>
        <w:ind w:left="425" w:hanging="425"/>
      </w:pPr>
      <w:rPr>
        <w:rFonts w:hint="default" w:ascii="黑体" w:hAnsi="黑体" w:eastAsia="黑体" w:cs="黑体"/>
      </w:rPr>
    </w:lvl>
    <w:lvl w:ilvl="1" w:tentative="0">
      <w:start w:val="2"/>
      <w:numFmt w:val="decimal"/>
      <w:lvlText w:val="%1.%2"/>
      <w:lvlJc w:val="left"/>
      <w:pPr>
        <w:ind w:left="567" w:hanging="567"/>
      </w:pPr>
      <w:rPr>
        <w:rFonts w:hint="default" w:ascii="黑体" w:hAnsi="黑体" w:eastAsia="黑体" w:cs="黑体"/>
        <w:sz w:val="21"/>
        <w:szCs w:val="21"/>
      </w:rPr>
    </w:lvl>
    <w:lvl w:ilvl="2" w:tentative="0">
      <w:start w:val="1"/>
      <w:numFmt w:val="decimal"/>
      <w:lvlText w:val="%1.%2.%3"/>
      <w:lvlJc w:val="left"/>
      <w:pPr>
        <w:ind w:left="709" w:hanging="709"/>
      </w:pPr>
      <w:rPr>
        <w:rFonts w:hint="default" w:ascii="黑体" w:hAnsi="黑体" w:eastAsia="黑体" w:cs="黑体"/>
      </w:rPr>
    </w:lvl>
    <w:lvl w:ilvl="3" w:tentative="0">
      <w:start w:val="1"/>
      <w:numFmt w:val="decimal"/>
      <w:lvlText w:val="%1.%2.%3.%4"/>
      <w:lvlJc w:val="left"/>
      <w:pPr>
        <w:ind w:left="850" w:hanging="850"/>
      </w:pPr>
      <w:rPr>
        <w:rFonts w:hint="default" w:ascii="黑体" w:hAnsi="黑体" w:eastAsia="黑体" w:cs="黑体"/>
        <w:sz w:val="21"/>
        <w:szCs w:val="21"/>
      </w:rPr>
    </w:lvl>
    <w:lvl w:ilvl="4" w:tentative="0">
      <w:start w:val="8"/>
      <w:numFmt w:val="decimal"/>
      <w:lvlText w:val="%1.%2.%3.%4.%5"/>
      <w:lvlJc w:val="left"/>
      <w:pPr>
        <w:ind w:left="991" w:hanging="991"/>
      </w:pPr>
      <w:rPr>
        <w:rFonts w:hint="default" w:ascii="黑体" w:hAnsi="黑体" w:eastAsia="黑体" w:cs="黑体"/>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013003B8"/>
    <w:multiLevelType w:val="multilevel"/>
    <w:tmpl w:val="013003B8"/>
    <w:lvl w:ilvl="0" w:tentative="0">
      <w:start w:val="6"/>
      <w:numFmt w:val="decimal"/>
      <w:lvlText w:val="%1"/>
      <w:lvlJc w:val="left"/>
      <w:pPr>
        <w:ind w:left="425" w:hanging="425"/>
      </w:pPr>
      <w:rPr>
        <w:rFonts w:hint="default"/>
      </w:rPr>
    </w:lvl>
    <w:lvl w:ilvl="1" w:tentative="0">
      <w:start w:val="1"/>
      <w:numFmt w:val="decimal"/>
      <w:lvlText w:val="%1.%2"/>
      <w:lvlJc w:val="left"/>
      <w:pPr>
        <w:ind w:left="567" w:hanging="567"/>
      </w:pPr>
      <w:rPr>
        <w:rFonts w:hint="default" w:ascii="黑体" w:hAnsi="黑体" w:eastAsia="黑体" w:cs="黑体"/>
        <w:sz w:val="21"/>
        <w:szCs w:val="21"/>
      </w:rPr>
    </w:lvl>
    <w:lvl w:ilvl="2" w:tentative="0">
      <w:start w:val="1"/>
      <w:numFmt w:val="decimal"/>
      <w:lvlText w:val="%1.%2.%3"/>
      <w:lvlJc w:val="left"/>
      <w:pPr>
        <w:ind w:left="709" w:hanging="709"/>
      </w:pPr>
      <w:rPr>
        <w:rFonts w:hint="default" w:ascii="黑体" w:hAnsi="黑体" w:eastAsia="黑体" w:cs="黑体"/>
        <w:sz w:val="21"/>
        <w:szCs w:val="21"/>
      </w:rPr>
    </w:lvl>
    <w:lvl w:ilvl="3" w:tentative="0">
      <w:start w:val="1"/>
      <w:numFmt w:val="decimal"/>
      <w:lvlText w:val="%1.%2.%3.%4"/>
      <w:lvlJc w:val="left"/>
      <w:pPr>
        <w:ind w:left="850" w:hanging="850"/>
      </w:pPr>
      <w:rPr>
        <w:rFonts w:hint="default" w:ascii="黑体" w:hAnsi="黑体" w:eastAsia="黑体" w:cs="黑体"/>
        <w:sz w:val="21"/>
        <w:szCs w:val="21"/>
      </w:rPr>
    </w:lvl>
    <w:lvl w:ilvl="4" w:tentative="0">
      <w:start w:val="8"/>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02837933"/>
    <w:multiLevelType w:val="multilevel"/>
    <w:tmpl w:val="02837933"/>
    <w:lvl w:ilvl="0" w:tentative="0">
      <w:start w:val="1"/>
      <w:numFmt w:val="decimal"/>
      <w:pStyle w:val="68"/>
      <w:lvlText w:val="[%1]"/>
      <w:lvlJc w:val="left"/>
      <w:pPr>
        <w:tabs>
          <w:tab w:val="left" w:pos="5474"/>
        </w:tabs>
        <w:ind w:left="5474" w:hanging="648"/>
      </w:pPr>
    </w:lvl>
    <w:lvl w:ilvl="1" w:tentative="0">
      <w:start w:val="1"/>
      <w:numFmt w:val="lowerLetter"/>
      <w:lvlText w:val="%2)"/>
      <w:lvlJc w:val="left"/>
      <w:pPr>
        <w:tabs>
          <w:tab w:val="left" w:pos="5666"/>
        </w:tabs>
        <w:ind w:left="5666" w:hanging="420"/>
      </w:pPr>
    </w:lvl>
    <w:lvl w:ilvl="2" w:tentative="0">
      <w:start w:val="1"/>
      <w:numFmt w:val="lowerRoman"/>
      <w:lvlText w:val="%3."/>
      <w:lvlJc w:val="right"/>
      <w:pPr>
        <w:tabs>
          <w:tab w:val="left" w:pos="6086"/>
        </w:tabs>
        <w:ind w:left="6086" w:hanging="420"/>
      </w:pPr>
    </w:lvl>
    <w:lvl w:ilvl="3" w:tentative="0">
      <w:start w:val="1"/>
      <w:numFmt w:val="decimal"/>
      <w:lvlText w:val="%4."/>
      <w:lvlJc w:val="left"/>
      <w:pPr>
        <w:tabs>
          <w:tab w:val="left" w:pos="6506"/>
        </w:tabs>
        <w:ind w:left="6506" w:hanging="420"/>
      </w:pPr>
    </w:lvl>
    <w:lvl w:ilvl="4" w:tentative="0">
      <w:start w:val="1"/>
      <w:numFmt w:val="lowerLetter"/>
      <w:lvlText w:val="%5)"/>
      <w:lvlJc w:val="left"/>
      <w:pPr>
        <w:tabs>
          <w:tab w:val="left" w:pos="6926"/>
        </w:tabs>
        <w:ind w:left="6926" w:hanging="420"/>
      </w:pPr>
    </w:lvl>
    <w:lvl w:ilvl="5" w:tentative="0">
      <w:start w:val="1"/>
      <w:numFmt w:val="lowerRoman"/>
      <w:lvlText w:val="%6."/>
      <w:lvlJc w:val="right"/>
      <w:pPr>
        <w:tabs>
          <w:tab w:val="left" w:pos="7346"/>
        </w:tabs>
        <w:ind w:left="7346" w:hanging="420"/>
      </w:pPr>
    </w:lvl>
    <w:lvl w:ilvl="6" w:tentative="0">
      <w:start w:val="1"/>
      <w:numFmt w:val="decimal"/>
      <w:lvlText w:val="%7."/>
      <w:lvlJc w:val="left"/>
      <w:pPr>
        <w:tabs>
          <w:tab w:val="left" w:pos="7766"/>
        </w:tabs>
        <w:ind w:left="7766" w:hanging="420"/>
      </w:pPr>
    </w:lvl>
    <w:lvl w:ilvl="7" w:tentative="0">
      <w:start w:val="1"/>
      <w:numFmt w:val="lowerLetter"/>
      <w:lvlText w:val="%8)"/>
      <w:lvlJc w:val="left"/>
      <w:pPr>
        <w:tabs>
          <w:tab w:val="left" w:pos="8186"/>
        </w:tabs>
        <w:ind w:left="8186" w:hanging="420"/>
      </w:pPr>
    </w:lvl>
    <w:lvl w:ilvl="8" w:tentative="0">
      <w:start w:val="1"/>
      <w:numFmt w:val="lowerRoman"/>
      <w:lvlText w:val="%9."/>
      <w:lvlJc w:val="right"/>
      <w:pPr>
        <w:tabs>
          <w:tab w:val="left" w:pos="8606"/>
        </w:tabs>
        <w:ind w:left="8606"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3B58CAEF"/>
    <w:multiLevelType w:val="multilevel"/>
    <w:tmpl w:val="3B58CAEF"/>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pStyle w:val="69"/>
      <w:suff w:val="nothing"/>
      <w:lvlText w:val="%1%2.%3.%4　"/>
      <w:lvlJc w:val="left"/>
      <w:pPr>
        <w:ind w:left="0" w:firstLine="0"/>
      </w:pPr>
      <w:rPr>
        <w:rFonts w:hint="default" w:ascii="黑体" w:eastAsia="黑体"/>
        <w:b w:val="0"/>
        <w:i w:val="0"/>
        <w:color w:val="auto"/>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1559"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5E2DA256"/>
    <w:multiLevelType w:val="multilevel"/>
    <w:tmpl w:val="5E2DA256"/>
    <w:lvl w:ilvl="0" w:tentative="0">
      <w:start w:val="6"/>
      <w:numFmt w:val="decimal"/>
      <w:lvlText w:val="%1"/>
      <w:lvlJc w:val="left"/>
      <w:pPr>
        <w:ind w:left="425" w:hanging="425"/>
      </w:pPr>
      <w:rPr>
        <w:rFonts w:hint="default"/>
      </w:rPr>
    </w:lvl>
    <w:lvl w:ilvl="1" w:tentative="0">
      <w:start w:val="3"/>
      <w:numFmt w:val="decimal"/>
      <w:lvlText w:val="%1.%2"/>
      <w:lvlJc w:val="left"/>
      <w:pPr>
        <w:ind w:left="567" w:hanging="567"/>
      </w:pPr>
      <w:rPr>
        <w:rFonts w:hint="default" w:ascii="黑体" w:hAnsi="黑体" w:eastAsia="黑体" w:cs="黑体"/>
        <w:sz w:val="21"/>
        <w:szCs w:val="21"/>
      </w:rPr>
    </w:lvl>
    <w:lvl w:ilvl="2" w:tentative="0">
      <w:start w:val="1"/>
      <w:numFmt w:val="decimal"/>
      <w:suff w:val="space"/>
      <w:lvlText w:val="%1.%2.%3"/>
      <w:lvlJc w:val="left"/>
      <w:pPr>
        <w:ind w:left="0" w:leftChars="0" w:firstLine="0" w:firstLineChars="0"/>
      </w:pPr>
      <w:rPr>
        <w:rFonts w:hint="default" w:ascii="黑体" w:hAnsi="黑体" w:eastAsia="黑体" w:cs="黑体"/>
        <w:sz w:val="21"/>
        <w:szCs w:val="21"/>
      </w:rPr>
    </w:lvl>
    <w:lvl w:ilvl="3" w:tentative="0">
      <w:start w:val="1"/>
      <w:numFmt w:val="decimal"/>
      <w:lvlText w:val="%1.%2.%3.%4"/>
      <w:lvlJc w:val="left"/>
      <w:pPr>
        <w:ind w:left="850" w:hanging="850"/>
      </w:pPr>
      <w:rPr>
        <w:rFonts w:hint="default" w:ascii="黑体" w:hAnsi="黑体" w:eastAsia="黑体" w:cs="黑体"/>
        <w:sz w:val="21"/>
        <w:szCs w:val="21"/>
      </w:rPr>
    </w:lvl>
    <w:lvl w:ilvl="4" w:tentative="0">
      <w:start w:val="8"/>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4">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6">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9">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4"/>
  </w:num>
  <w:num w:numId="3">
    <w:abstractNumId w:val="7"/>
  </w:num>
  <w:num w:numId="4">
    <w:abstractNumId w:val="27"/>
  </w:num>
  <w:num w:numId="5">
    <w:abstractNumId w:val="21"/>
  </w:num>
  <w:num w:numId="6">
    <w:abstractNumId w:val="16"/>
  </w:num>
  <w:num w:numId="7">
    <w:abstractNumId w:val="10"/>
  </w:num>
  <w:num w:numId="8">
    <w:abstractNumId w:val="5"/>
  </w:num>
  <w:num w:numId="9">
    <w:abstractNumId w:val="11"/>
  </w:num>
  <w:num w:numId="10">
    <w:abstractNumId w:val="19"/>
  </w:num>
  <w:num w:numId="11">
    <w:abstractNumId w:val="29"/>
  </w:num>
  <w:num w:numId="12">
    <w:abstractNumId w:val="13"/>
  </w:num>
  <w:num w:numId="13">
    <w:abstractNumId w:val="15"/>
  </w:num>
  <w:num w:numId="14">
    <w:abstractNumId w:val="9"/>
  </w:num>
  <w:num w:numId="15">
    <w:abstractNumId w:val="22"/>
  </w:num>
  <w:num w:numId="16">
    <w:abstractNumId w:val="25"/>
  </w:num>
  <w:num w:numId="17">
    <w:abstractNumId w:val="20"/>
  </w:num>
  <w:num w:numId="18">
    <w:abstractNumId w:val="32"/>
  </w:num>
  <w:num w:numId="19">
    <w:abstractNumId w:val="18"/>
  </w:num>
  <w:num w:numId="20">
    <w:abstractNumId w:val="3"/>
  </w:num>
  <w:num w:numId="21">
    <w:abstractNumId w:val="12"/>
  </w:num>
  <w:num w:numId="22">
    <w:abstractNumId w:val="33"/>
  </w:num>
  <w:num w:numId="23">
    <w:abstractNumId w:val="24"/>
  </w:num>
  <w:num w:numId="24">
    <w:abstractNumId w:val="8"/>
  </w:num>
  <w:num w:numId="25">
    <w:abstractNumId w:val="30"/>
  </w:num>
  <w:num w:numId="26">
    <w:abstractNumId w:val="31"/>
  </w:num>
  <w:num w:numId="27">
    <w:abstractNumId w:val="4"/>
  </w:num>
  <w:num w:numId="28">
    <w:abstractNumId w:val="6"/>
  </w:num>
  <w:num w:numId="29">
    <w:abstractNumId w:val="17"/>
  </w:num>
  <w:num w:numId="30">
    <w:abstractNumId w:val="28"/>
  </w:num>
  <w:num w:numId="31">
    <w:abstractNumId w:val="26"/>
  </w:num>
  <w:num w:numId="32">
    <w:abstractNumId w:val="1"/>
  </w:num>
  <w:num w:numId="33">
    <w:abstractNumId w:val="0"/>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hZjYxY2ZlMDA3OWZjMDNhMTUxNmVhM2YzNmE4ZmEifQ=="/>
  </w:docVars>
  <w:rsids>
    <w:rsidRoot w:val="00695EC7"/>
    <w:rsid w:val="0000040A"/>
    <w:rsid w:val="00000A94"/>
    <w:rsid w:val="00001972"/>
    <w:rsid w:val="00001D9A"/>
    <w:rsid w:val="00006064"/>
    <w:rsid w:val="00007B3A"/>
    <w:rsid w:val="000107E0"/>
    <w:rsid w:val="00011FDE"/>
    <w:rsid w:val="00012FFD"/>
    <w:rsid w:val="00014162"/>
    <w:rsid w:val="00014340"/>
    <w:rsid w:val="00016A9C"/>
    <w:rsid w:val="00022184"/>
    <w:rsid w:val="00022762"/>
    <w:rsid w:val="000238E0"/>
    <w:rsid w:val="000249DB"/>
    <w:rsid w:val="0002595E"/>
    <w:rsid w:val="000303C3"/>
    <w:rsid w:val="0003165C"/>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D69"/>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B39"/>
    <w:rsid w:val="00225CF8"/>
    <w:rsid w:val="0022794E"/>
    <w:rsid w:val="0023286F"/>
    <w:rsid w:val="00233D64"/>
    <w:rsid w:val="0023482A"/>
    <w:rsid w:val="002359CB"/>
    <w:rsid w:val="00243540"/>
    <w:rsid w:val="0024497B"/>
    <w:rsid w:val="0024510C"/>
    <w:rsid w:val="0024515B"/>
    <w:rsid w:val="00246021"/>
    <w:rsid w:val="0024666E"/>
    <w:rsid w:val="00247F52"/>
    <w:rsid w:val="00250B25"/>
    <w:rsid w:val="00250BBE"/>
    <w:rsid w:val="00251488"/>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B20"/>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18E"/>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6EA7"/>
    <w:rsid w:val="003F0841"/>
    <w:rsid w:val="003F23D3"/>
    <w:rsid w:val="003F3F08"/>
    <w:rsid w:val="003F49F1"/>
    <w:rsid w:val="003F6272"/>
    <w:rsid w:val="00400E72"/>
    <w:rsid w:val="00401400"/>
    <w:rsid w:val="00404869"/>
    <w:rsid w:val="00404969"/>
    <w:rsid w:val="00405884"/>
    <w:rsid w:val="00405F8D"/>
    <w:rsid w:val="00407D39"/>
    <w:rsid w:val="00411160"/>
    <w:rsid w:val="0041477A"/>
    <w:rsid w:val="004167A3"/>
    <w:rsid w:val="00421FB8"/>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9A0"/>
    <w:rsid w:val="00555044"/>
    <w:rsid w:val="00561475"/>
    <w:rsid w:val="0056487B"/>
    <w:rsid w:val="00564FB9"/>
    <w:rsid w:val="00573D9E"/>
    <w:rsid w:val="005801E3"/>
    <w:rsid w:val="0058088D"/>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32E5"/>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A56"/>
    <w:rsid w:val="005E3C18"/>
    <w:rsid w:val="005E6812"/>
    <w:rsid w:val="005E7881"/>
    <w:rsid w:val="005E78E0"/>
    <w:rsid w:val="005F0D9C"/>
    <w:rsid w:val="005F284E"/>
    <w:rsid w:val="005F4712"/>
    <w:rsid w:val="006015CE"/>
    <w:rsid w:val="0060212C"/>
    <w:rsid w:val="00604784"/>
    <w:rsid w:val="00604B76"/>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050"/>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23F"/>
    <w:rsid w:val="00685AAB"/>
    <w:rsid w:val="00695D22"/>
    <w:rsid w:val="00695EC7"/>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4BE0"/>
    <w:rsid w:val="006F6284"/>
    <w:rsid w:val="007002C5"/>
    <w:rsid w:val="00703A59"/>
    <w:rsid w:val="00704387"/>
    <w:rsid w:val="00707669"/>
    <w:rsid w:val="00711CBA"/>
    <w:rsid w:val="00711FB5"/>
    <w:rsid w:val="00712A01"/>
    <w:rsid w:val="00714F58"/>
    <w:rsid w:val="00717686"/>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10A"/>
    <w:rsid w:val="00776599"/>
    <w:rsid w:val="0078114B"/>
    <w:rsid w:val="00781DD2"/>
    <w:rsid w:val="00783ECF"/>
    <w:rsid w:val="0078413A"/>
    <w:rsid w:val="007959E8"/>
    <w:rsid w:val="00795E9C"/>
    <w:rsid w:val="00796F6B"/>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6177"/>
    <w:rsid w:val="007D06C4"/>
    <w:rsid w:val="007D1352"/>
    <w:rsid w:val="007D2508"/>
    <w:rsid w:val="007D346A"/>
    <w:rsid w:val="007D5A99"/>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2E4"/>
    <w:rsid w:val="008373D3"/>
    <w:rsid w:val="00840617"/>
    <w:rsid w:val="00840F84"/>
    <w:rsid w:val="0084244C"/>
    <w:rsid w:val="00842A47"/>
    <w:rsid w:val="00843C13"/>
    <w:rsid w:val="008454F8"/>
    <w:rsid w:val="0085173A"/>
    <w:rsid w:val="008527CB"/>
    <w:rsid w:val="008550A3"/>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0DC4"/>
    <w:rsid w:val="008B166D"/>
    <w:rsid w:val="008B17F4"/>
    <w:rsid w:val="008B3615"/>
    <w:rsid w:val="008B4AC4"/>
    <w:rsid w:val="008B50C8"/>
    <w:rsid w:val="008B5281"/>
    <w:rsid w:val="008B7B4D"/>
    <w:rsid w:val="008B7E05"/>
    <w:rsid w:val="008C1797"/>
    <w:rsid w:val="008C219C"/>
    <w:rsid w:val="008C475E"/>
    <w:rsid w:val="008C619A"/>
    <w:rsid w:val="008D0CE8"/>
    <w:rsid w:val="008D126C"/>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3CCB"/>
    <w:rsid w:val="00945180"/>
    <w:rsid w:val="00945428"/>
    <w:rsid w:val="0094607B"/>
    <w:rsid w:val="00953604"/>
    <w:rsid w:val="0095496B"/>
    <w:rsid w:val="009610DC"/>
    <w:rsid w:val="00961490"/>
    <w:rsid w:val="0096381A"/>
    <w:rsid w:val="00965E04"/>
    <w:rsid w:val="009674AD"/>
    <w:rsid w:val="00970CDC"/>
    <w:rsid w:val="00974840"/>
    <w:rsid w:val="00977010"/>
    <w:rsid w:val="00977D02"/>
    <w:rsid w:val="0098014C"/>
    <w:rsid w:val="009809BB"/>
    <w:rsid w:val="0098364B"/>
    <w:rsid w:val="0098522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7C76"/>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A1E"/>
    <w:rsid w:val="00A3597D"/>
    <w:rsid w:val="00A36DD1"/>
    <w:rsid w:val="00A4006C"/>
    <w:rsid w:val="00A40091"/>
    <w:rsid w:val="00A4030F"/>
    <w:rsid w:val="00A41C79"/>
    <w:rsid w:val="00A41CB5"/>
    <w:rsid w:val="00A42CDF"/>
    <w:rsid w:val="00A4452E"/>
    <w:rsid w:val="00A4472C"/>
    <w:rsid w:val="00A44E69"/>
    <w:rsid w:val="00A4661E"/>
    <w:rsid w:val="00A5564C"/>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CA7"/>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38FF"/>
    <w:rsid w:val="00B86677"/>
    <w:rsid w:val="00B87131"/>
    <w:rsid w:val="00B939B1"/>
    <w:rsid w:val="00B96D40"/>
    <w:rsid w:val="00B97386"/>
    <w:rsid w:val="00B9756A"/>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07B"/>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73B0"/>
    <w:rsid w:val="00CF048A"/>
    <w:rsid w:val="00CF155A"/>
    <w:rsid w:val="00CF2947"/>
    <w:rsid w:val="00CF4472"/>
    <w:rsid w:val="00CF686F"/>
    <w:rsid w:val="00CF6E60"/>
    <w:rsid w:val="00CF7BCA"/>
    <w:rsid w:val="00D0069B"/>
    <w:rsid w:val="00D008FD"/>
    <w:rsid w:val="00D0321C"/>
    <w:rsid w:val="00D035EC"/>
    <w:rsid w:val="00D06AB1"/>
    <w:rsid w:val="00D072ED"/>
    <w:rsid w:val="00D07A16"/>
    <w:rsid w:val="00D1067E"/>
    <w:rsid w:val="00D10F50"/>
    <w:rsid w:val="00D11272"/>
    <w:rsid w:val="00D126F5"/>
    <w:rsid w:val="00D1301D"/>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482D"/>
    <w:rsid w:val="00D4514F"/>
    <w:rsid w:val="00D451E2"/>
    <w:rsid w:val="00D455B1"/>
    <w:rsid w:val="00D45E89"/>
    <w:rsid w:val="00D45E8D"/>
    <w:rsid w:val="00D466AE"/>
    <w:rsid w:val="00D4734F"/>
    <w:rsid w:val="00D51BF3"/>
    <w:rsid w:val="00D63401"/>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A35"/>
    <w:rsid w:val="00DD4FE5"/>
    <w:rsid w:val="00DD54B0"/>
    <w:rsid w:val="00DD57EE"/>
    <w:rsid w:val="00DD6BCC"/>
    <w:rsid w:val="00DE0A4B"/>
    <w:rsid w:val="00DE2410"/>
    <w:rsid w:val="00DE2939"/>
    <w:rsid w:val="00DE4088"/>
    <w:rsid w:val="00DE43CB"/>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040"/>
    <w:rsid w:val="00E60C63"/>
    <w:rsid w:val="00E62FF9"/>
    <w:rsid w:val="00E635D6"/>
    <w:rsid w:val="00E639BC"/>
    <w:rsid w:val="00E664CC"/>
    <w:rsid w:val="00E70388"/>
    <w:rsid w:val="00E70F92"/>
    <w:rsid w:val="00E73F5F"/>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017"/>
    <w:rsid w:val="00E95D13"/>
    <w:rsid w:val="00E95DD3"/>
    <w:rsid w:val="00E969D5"/>
    <w:rsid w:val="00EA58D1"/>
    <w:rsid w:val="00EA61BC"/>
    <w:rsid w:val="00EA681A"/>
    <w:rsid w:val="00EA732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77C"/>
    <w:rsid w:val="00F07B9D"/>
    <w:rsid w:val="00F11586"/>
    <w:rsid w:val="00F1183B"/>
    <w:rsid w:val="00F11C9F"/>
    <w:rsid w:val="00F12263"/>
    <w:rsid w:val="00F1409D"/>
    <w:rsid w:val="00F14214"/>
    <w:rsid w:val="00F157A9"/>
    <w:rsid w:val="00F20EF7"/>
    <w:rsid w:val="00F25BB6"/>
    <w:rsid w:val="00F26B7E"/>
    <w:rsid w:val="00F27A3B"/>
    <w:rsid w:val="00F33817"/>
    <w:rsid w:val="00F40F94"/>
    <w:rsid w:val="00F420D5"/>
    <w:rsid w:val="00F451EA"/>
    <w:rsid w:val="00F45447"/>
    <w:rsid w:val="00F456C6"/>
    <w:rsid w:val="00F4577B"/>
    <w:rsid w:val="00F46496"/>
    <w:rsid w:val="00F474D0"/>
    <w:rsid w:val="00F47DAA"/>
    <w:rsid w:val="00F50179"/>
    <w:rsid w:val="00F515EE"/>
    <w:rsid w:val="00F56511"/>
    <w:rsid w:val="00F6194E"/>
    <w:rsid w:val="00F623AC"/>
    <w:rsid w:val="00F634F1"/>
    <w:rsid w:val="00F6412A"/>
    <w:rsid w:val="00F65893"/>
    <w:rsid w:val="00F66A4A"/>
    <w:rsid w:val="00F71E22"/>
    <w:rsid w:val="00F71FE7"/>
    <w:rsid w:val="00F72142"/>
    <w:rsid w:val="00F72AE7"/>
    <w:rsid w:val="00F77F6B"/>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2A4E2C"/>
    <w:rsid w:val="016C53D1"/>
    <w:rsid w:val="02142B45"/>
    <w:rsid w:val="023A109F"/>
    <w:rsid w:val="03B66504"/>
    <w:rsid w:val="03BE185C"/>
    <w:rsid w:val="03FF434E"/>
    <w:rsid w:val="04425FE9"/>
    <w:rsid w:val="044F5F01"/>
    <w:rsid w:val="04E7469E"/>
    <w:rsid w:val="04F27A0F"/>
    <w:rsid w:val="064369EE"/>
    <w:rsid w:val="06A41A0E"/>
    <w:rsid w:val="08146A21"/>
    <w:rsid w:val="08386081"/>
    <w:rsid w:val="087D3A94"/>
    <w:rsid w:val="08AA6893"/>
    <w:rsid w:val="09A57661"/>
    <w:rsid w:val="0A2166A1"/>
    <w:rsid w:val="0A451564"/>
    <w:rsid w:val="0A821835"/>
    <w:rsid w:val="0AC344F6"/>
    <w:rsid w:val="0B0E3A7D"/>
    <w:rsid w:val="0B2B3C7B"/>
    <w:rsid w:val="0B70282A"/>
    <w:rsid w:val="0BED6AFF"/>
    <w:rsid w:val="0C8A49D1"/>
    <w:rsid w:val="0D074274"/>
    <w:rsid w:val="0EEC1973"/>
    <w:rsid w:val="10000183"/>
    <w:rsid w:val="11DC5CCF"/>
    <w:rsid w:val="11F12DFD"/>
    <w:rsid w:val="12DC3AAD"/>
    <w:rsid w:val="142B0848"/>
    <w:rsid w:val="148B7538"/>
    <w:rsid w:val="14AE5471"/>
    <w:rsid w:val="14D5618A"/>
    <w:rsid w:val="154D47EE"/>
    <w:rsid w:val="15CA4090"/>
    <w:rsid w:val="16BF5CFC"/>
    <w:rsid w:val="18165883"/>
    <w:rsid w:val="181D2B9D"/>
    <w:rsid w:val="183D6D9C"/>
    <w:rsid w:val="18A24E51"/>
    <w:rsid w:val="192F6304"/>
    <w:rsid w:val="193A59C5"/>
    <w:rsid w:val="19AD4D95"/>
    <w:rsid w:val="1A023DF9"/>
    <w:rsid w:val="1A120A17"/>
    <w:rsid w:val="1A4E34E2"/>
    <w:rsid w:val="1A516B2E"/>
    <w:rsid w:val="1AC92B69"/>
    <w:rsid w:val="1B6B102C"/>
    <w:rsid w:val="1C823059"/>
    <w:rsid w:val="1CDA105D"/>
    <w:rsid w:val="1D8E3BF5"/>
    <w:rsid w:val="1DEF0B38"/>
    <w:rsid w:val="1E761D08"/>
    <w:rsid w:val="1F394761"/>
    <w:rsid w:val="210151EF"/>
    <w:rsid w:val="21374CD0"/>
    <w:rsid w:val="21C83B7A"/>
    <w:rsid w:val="228E4DC3"/>
    <w:rsid w:val="22C94FDA"/>
    <w:rsid w:val="23077BA4"/>
    <w:rsid w:val="23AD041B"/>
    <w:rsid w:val="257412A4"/>
    <w:rsid w:val="26971D6D"/>
    <w:rsid w:val="269E110E"/>
    <w:rsid w:val="270E71A6"/>
    <w:rsid w:val="274E5CF2"/>
    <w:rsid w:val="28D948BF"/>
    <w:rsid w:val="292A74AB"/>
    <w:rsid w:val="297063F7"/>
    <w:rsid w:val="29891E41"/>
    <w:rsid w:val="29AF4E2F"/>
    <w:rsid w:val="29C36720"/>
    <w:rsid w:val="29D87A35"/>
    <w:rsid w:val="29E928DF"/>
    <w:rsid w:val="2A102562"/>
    <w:rsid w:val="2A235B3A"/>
    <w:rsid w:val="2BC777A2"/>
    <w:rsid w:val="2C053032"/>
    <w:rsid w:val="2C1C17F1"/>
    <w:rsid w:val="2CA348AE"/>
    <w:rsid w:val="2CC43190"/>
    <w:rsid w:val="2D044DCB"/>
    <w:rsid w:val="2D471B7A"/>
    <w:rsid w:val="2E003F30"/>
    <w:rsid w:val="2E2A34C6"/>
    <w:rsid w:val="2F2148C9"/>
    <w:rsid w:val="30B8125D"/>
    <w:rsid w:val="317152C6"/>
    <w:rsid w:val="31A9007F"/>
    <w:rsid w:val="31E651EC"/>
    <w:rsid w:val="323B0398"/>
    <w:rsid w:val="334D2035"/>
    <w:rsid w:val="33915222"/>
    <w:rsid w:val="34000F51"/>
    <w:rsid w:val="34806536"/>
    <w:rsid w:val="352E5F92"/>
    <w:rsid w:val="35831E3A"/>
    <w:rsid w:val="360A255B"/>
    <w:rsid w:val="3623304A"/>
    <w:rsid w:val="367D0CA0"/>
    <w:rsid w:val="374B3CDC"/>
    <w:rsid w:val="37BA635A"/>
    <w:rsid w:val="37EF13FC"/>
    <w:rsid w:val="388D302F"/>
    <w:rsid w:val="38A411AB"/>
    <w:rsid w:val="38EA0422"/>
    <w:rsid w:val="390C2A26"/>
    <w:rsid w:val="392F4087"/>
    <w:rsid w:val="3A5B5878"/>
    <w:rsid w:val="3A916DA7"/>
    <w:rsid w:val="3A9E1353"/>
    <w:rsid w:val="3C512E44"/>
    <w:rsid w:val="3CE004B8"/>
    <w:rsid w:val="3D1837B0"/>
    <w:rsid w:val="3D6B0253"/>
    <w:rsid w:val="3DC636E0"/>
    <w:rsid w:val="3E5C6B50"/>
    <w:rsid w:val="3F116709"/>
    <w:rsid w:val="3F3A78A4"/>
    <w:rsid w:val="3F966C0E"/>
    <w:rsid w:val="3FF34060"/>
    <w:rsid w:val="401C35B7"/>
    <w:rsid w:val="40405EFF"/>
    <w:rsid w:val="412E3412"/>
    <w:rsid w:val="415D3E87"/>
    <w:rsid w:val="4191768D"/>
    <w:rsid w:val="41F540C0"/>
    <w:rsid w:val="420B38E3"/>
    <w:rsid w:val="42703746"/>
    <w:rsid w:val="429F5DD9"/>
    <w:rsid w:val="42D17FA2"/>
    <w:rsid w:val="4326646F"/>
    <w:rsid w:val="43DD5834"/>
    <w:rsid w:val="44A0754E"/>
    <w:rsid w:val="454A4722"/>
    <w:rsid w:val="463112DE"/>
    <w:rsid w:val="469264B1"/>
    <w:rsid w:val="47051432"/>
    <w:rsid w:val="47884406"/>
    <w:rsid w:val="47F50DC0"/>
    <w:rsid w:val="47F72214"/>
    <w:rsid w:val="487F1C8E"/>
    <w:rsid w:val="48C649D7"/>
    <w:rsid w:val="493955DE"/>
    <w:rsid w:val="4961203A"/>
    <w:rsid w:val="49806216"/>
    <w:rsid w:val="49E57802"/>
    <w:rsid w:val="49F033BE"/>
    <w:rsid w:val="4A031344"/>
    <w:rsid w:val="4A5D250E"/>
    <w:rsid w:val="4A840773"/>
    <w:rsid w:val="4AAE5753"/>
    <w:rsid w:val="4B6E36B4"/>
    <w:rsid w:val="4BB73F6C"/>
    <w:rsid w:val="4BE36E91"/>
    <w:rsid w:val="4CE53B77"/>
    <w:rsid w:val="4CEF074A"/>
    <w:rsid w:val="4E4168DE"/>
    <w:rsid w:val="4E4C6F6C"/>
    <w:rsid w:val="4EA604F0"/>
    <w:rsid w:val="4F7800DE"/>
    <w:rsid w:val="4F795B2A"/>
    <w:rsid w:val="4FA40ED3"/>
    <w:rsid w:val="51585737"/>
    <w:rsid w:val="51597A9B"/>
    <w:rsid w:val="529E1C09"/>
    <w:rsid w:val="541859EC"/>
    <w:rsid w:val="54EB0202"/>
    <w:rsid w:val="552D54C7"/>
    <w:rsid w:val="56575D42"/>
    <w:rsid w:val="575C5EBF"/>
    <w:rsid w:val="57A5742F"/>
    <w:rsid w:val="57C31E0F"/>
    <w:rsid w:val="58E320FD"/>
    <w:rsid w:val="59D95C1D"/>
    <w:rsid w:val="5A427C66"/>
    <w:rsid w:val="5A557999"/>
    <w:rsid w:val="5AD05272"/>
    <w:rsid w:val="5B32552D"/>
    <w:rsid w:val="5BD26A17"/>
    <w:rsid w:val="5CC76201"/>
    <w:rsid w:val="5D610403"/>
    <w:rsid w:val="5E8E1127"/>
    <w:rsid w:val="60536729"/>
    <w:rsid w:val="60A15362"/>
    <w:rsid w:val="60DF1D6B"/>
    <w:rsid w:val="60F03F78"/>
    <w:rsid w:val="61AD00BB"/>
    <w:rsid w:val="62C03E1E"/>
    <w:rsid w:val="630737FB"/>
    <w:rsid w:val="63DC64F5"/>
    <w:rsid w:val="6421269A"/>
    <w:rsid w:val="64525D3C"/>
    <w:rsid w:val="64C84453"/>
    <w:rsid w:val="64C9205D"/>
    <w:rsid w:val="65907AD8"/>
    <w:rsid w:val="65B732B6"/>
    <w:rsid w:val="66495ED8"/>
    <w:rsid w:val="670B6CBD"/>
    <w:rsid w:val="68556DB7"/>
    <w:rsid w:val="696D1EDE"/>
    <w:rsid w:val="6A2B50FF"/>
    <w:rsid w:val="6BA057F7"/>
    <w:rsid w:val="6BC24763"/>
    <w:rsid w:val="6BF312DA"/>
    <w:rsid w:val="6C424FE5"/>
    <w:rsid w:val="6C89702F"/>
    <w:rsid w:val="6C9205D9"/>
    <w:rsid w:val="6DF80B77"/>
    <w:rsid w:val="6E1312A6"/>
    <w:rsid w:val="6E260FF9"/>
    <w:rsid w:val="6F8162DB"/>
    <w:rsid w:val="6FF45107"/>
    <w:rsid w:val="70AD3C34"/>
    <w:rsid w:val="71671F0D"/>
    <w:rsid w:val="7185070D"/>
    <w:rsid w:val="718E4ED8"/>
    <w:rsid w:val="719F706F"/>
    <w:rsid w:val="72D57472"/>
    <w:rsid w:val="72FF629D"/>
    <w:rsid w:val="735D2337"/>
    <w:rsid w:val="73AD3F4B"/>
    <w:rsid w:val="73D34D2B"/>
    <w:rsid w:val="75343617"/>
    <w:rsid w:val="7544443B"/>
    <w:rsid w:val="75BC0475"/>
    <w:rsid w:val="75F93477"/>
    <w:rsid w:val="761F5AC0"/>
    <w:rsid w:val="77571D8A"/>
    <w:rsid w:val="77EB7A4D"/>
    <w:rsid w:val="78317CB5"/>
    <w:rsid w:val="792C5912"/>
    <w:rsid w:val="79894B12"/>
    <w:rsid w:val="79AB4A88"/>
    <w:rsid w:val="79B37DE1"/>
    <w:rsid w:val="79EE0E19"/>
    <w:rsid w:val="79FC3CBB"/>
    <w:rsid w:val="7A1C2D2D"/>
    <w:rsid w:val="7A392094"/>
    <w:rsid w:val="7B5641E6"/>
    <w:rsid w:val="7B5A2BED"/>
    <w:rsid w:val="7BE352EA"/>
    <w:rsid w:val="7C3509EB"/>
    <w:rsid w:val="7C66738C"/>
    <w:rsid w:val="7CCA791B"/>
    <w:rsid w:val="7D161BAF"/>
    <w:rsid w:val="7D2232B3"/>
    <w:rsid w:val="7DB66366"/>
    <w:rsid w:val="7DEF6A10"/>
    <w:rsid w:val="7E931F95"/>
    <w:rsid w:val="7F9A3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2">
    <w:name w:val="Default Paragraph Font"/>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90"/>
    <w:qFormat/>
    <w:uiPriority w:val="0"/>
    <w:pPr>
      <w:spacing w:after="120"/>
    </w:pPr>
  </w:style>
  <w:style w:type="paragraph" w:styleId="15">
    <w:name w:val="Body Text Indent"/>
    <w:basedOn w:val="1"/>
    <w:qFormat/>
    <w:uiPriority w:val="0"/>
    <w:pPr>
      <w:spacing w:after="120"/>
      <w:ind w:left="420" w:leftChars="20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9"/>
    <w:semiHidden/>
    <w:unhideWhenUsed/>
    <w:qFormat/>
    <w:uiPriority w:val="99"/>
    <w:rPr>
      <w:sz w:val="18"/>
      <w:szCs w:val="18"/>
    </w:rPr>
  </w:style>
  <w:style w:type="paragraph" w:styleId="19">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7"/>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hAnsi="宋体" w:eastAsia="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hAnsi="宋体" w:eastAsia="宋体"/>
    </w:rPr>
  </w:style>
  <w:style w:type="paragraph" w:styleId="2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paragraph" w:styleId="29">
    <w:name w:val="Body Text First Indent 2"/>
    <w:basedOn w:val="15"/>
    <w:unhideWhenUsed/>
    <w:qFormat/>
    <w:uiPriority w:val="0"/>
    <w:pPr>
      <w:ind w:firstLine="420" w:firstLineChars="200"/>
    </w:pPr>
    <w:rPr>
      <w:rFonts w:ascii="Calibri" w:hAnsi="Calibri" w:eastAsia="宋体" w:cs="Times New Roman"/>
    </w:rPr>
  </w:style>
  <w:style w:type="table" w:styleId="31">
    <w:name w:val="Table Grid"/>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Strong"/>
    <w:basedOn w:val="32"/>
    <w:qFormat/>
    <w:uiPriority w:val="22"/>
    <w:rPr>
      <w:b/>
      <w:bCs/>
    </w:rPr>
  </w:style>
  <w:style w:type="character" w:styleId="34">
    <w:name w:val="page number"/>
    <w:qFormat/>
    <w:uiPriority w:val="0"/>
    <w:rPr>
      <w:rFonts w:ascii="宋体" w:hAnsi="Times New Roman" w:eastAsia="宋体"/>
      <w:sz w:val="18"/>
    </w:rPr>
  </w:style>
  <w:style w:type="character" w:styleId="35">
    <w:name w:val="Emphasis"/>
    <w:qFormat/>
    <w:uiPriority w:val="20"/>
    <w:rPr>
      <w:i/>
      <w:iCs/>
    </w:rPr>
  </w:style>
  <w:style w:type="character" w:styleId="36">
    <w:name w:val="Hyperlink"/>
    <w:qFormat/>
    <w:uiPriority w:val="99"/>
    <w:rPr>
      <w:rFonts w:ascii="宋体" w:hAnsi="Times New Roman" w:eastAsia="宋体"/>
      <w:color w:val="auto"/>
      <w:spacing w:val="0"/>
      <w:w w:val="100"/>
      <w:position w:val="0"/>
      <w:sz w:val="21"/>
      <w:u w:val="none"/>
      <w:vertAlign w:val="baseline"/>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Char"/>
    <w:link w:val="2"/>
    <w:qFormat/>
    <w:uiPriority w:val="0"/>
    <w:rPr>
      <w:b/>
      <w:bCs/>
      <w:kern w:val="44"/>
      <w:sz w:val="44"/>
      <w:szCs w:val="44"/>
    </w:rPr>
  </w:style>
  <w:style w:type="character" w:customStyle="1" w:styleId="39">
    <w:name w:val="标题 2 Char"/>
    <w:link w:val="3"/>
    <w:qFormat/>
    <w:uiPriority w:val="0"/>
    <w:rPr>
      <w:rFonts w:ascii="Arial" w:hAnsi="Arial" w:eastAsia="黑体"/>
      <w:b/>
      <w:bCs/>
      <w:kern w:val="2"/>
      <w:sz w:val="32"/>
      <w:szCs w:val="32"/>
    </w:rPr>
  </w:style>
  <w:style w:type="character" w:customStyle="1" w:styleId="40">
    <w:name w:val="标题 3 Char"/>
    <w:link w:val="4"/>
    <w:qFormat/>
    <w:uiPriority w:val="0"/>
    <w:rPr>
      <w:b/>
      <w:bCs/>
      <w:kern w:val="2"/>
      <w:sz w:val="32"/>
      <w:szCs w:val="32"/>
    </w:rPr>
  </w:style>
  <w:style w:type="character" w:customStyle="1" w:styleId="41">
    <w:name w:val="标题 4 Char"/>
    <w:link w:val="5"/>
    <w:qFormat/>
    <w:uiPriority w:val="0"/>
    <w:rPr>
      <w:rFonts w:ascii="Arial" w:hAnsi="Arial" w:eastAsia="黑体"/>
      <w:b/>
      <w:bCs/>
      <w:kern w:val="2"/>
      <w:sz w:val="28"/>
      <w:szCs w:val="28"/>
    </w:rPr>
  </w:style>
  <w:style w:type="character" w:customStyle="1" w:styleId="42">
    <w:name w:val="标题 5 Char"/>
    <w:link w:val="6"/>
    <w:qFormat/>
    <w:uiPriority w:val="0"/>
    <w:rPr>
      <w:b/>
      <w:bCs/>
      <w:kern w:val="2"/>
      <w:sz w:val="28"/>
      <w:szCs w:val="28"/>
    </w:rPr>
  </w:style>
  <w:style w:type="character" w:customStyle="1" w:styleId="43">
    <w:name w:val="标题 6 Char"/>
    <w:link w:val="7"/>
    <w:qFormat/>
    <w:uiPriority w:val="0"/>
    <w:rPr>
      <w:rFonts w:ascii="Arial" w:hAnsi="Arial" w:eastAsia="黑体"/>
      <w:b/>
      <w:bCs/>
      <w:kern w:val="2"/>
      <w:sz w:val="24"/>
      <w:szCs w:val="24"/>
    </w:rPr>
  </w:style>
  <w:style w:type="character" w:customStyle="1" w:styleId="44">
    <w:name w:val="标题 7 Char"/>
    <w:link w:val="8"/>
    <w:qFormat/>
    <w:uiPriority w:val="0"/>
    <w:rPr>
      <w:b/>
      <w:bCs/>
      <w:kern w:val="2"/>
      <w:sz w:val="24"/>
      <w:szCs w:val="24"/>
    </w:rPr>
  </w:style>
  <w:style w:type="character" w:customStyle="1" w:styleId="45">
    <w:name w:val="标题 8 Char"/>
    <w:link w:val="9"/>
    <w:qFormat/>
    <w:uiPriority w:val="0"/>
    <w:rPr>
      <w:rFonts w:ascii="Arial" w:hAnsi="Arial" w:eastAsia="黑体"/>
      <w:kern w:val="2"/>
      <w:sz w:val="24"/>
      <w:szCs w:val="24"/>
    </w:rPr>
  </w:style>
  <w:style w:type="character" w:customStyle="1" w:styleId="46">
    <w:name w:val="标题 9 Char"/>
    <w:link w:val="10"/>
    <w:qFormat/>
    <w:uiPriority w:val="0"/>
    <w:rPr>
      <w:rFonts w:ascii="Arial" w:hAnsi="Arial" w:eastAsia="黑体"/>
      <w:kern w:val="2"/>
      <w:sz w:val="21"/>
      <w:szCs w:val="21"/>
    </w:rPr>
  </w:style>
  <w:style w:type="character" w:customStyle="1" w:styleId="47">
    <w:name w:val="页眉 Char"/>
    <w:link w:val="20"/>
    <w:qFormat/>
    <w:uiPriority w:val="99"/>
    <w:rPr>
      <w:kern w:val="2"/>
      <w:sz w:val="18"/>
      <w:szCs w:val="18"/>
    </w:rPr>
  </w:style>
  <w:style w:type="character" w:customStyle="1" w:styleId="48">
    <w:name w:val="页脚 Char"/>
    <w:link w:val="19"/>
    <w:qFormat/>
    <w:uiPriority w:val="99"/>
    <w:rPr>
      <w:rFonts w:ascii="宋体"/>
      <w:kern w:val="2"/>
      <w:sz w:val="18"/>
      <w:szCs w:val="18"/>
    </w:rPr>
  </w:style>
  <w:style w:type="character" w:customStyle="1" w:styleId="49">
    <w:name w:val="批注框文本 Char"/>
    <w:link w:val="18"/>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Char"/>
    <w:link w:val="50"/>
    <w:qFormat/>
    <w:uiPriority w:val="29"/>
    <w:rPr>
      <w:i/>
      <w:iCs/>
      <w:color w:val="000000"/>
      <w:kern w:val="2"/>
      <w:sz w:val="21"/>
      <w:szCs w:val="21"/>
    </w:rPr>
  </w:style>
  <w:style w:type="character" w:customStyle="1" w:styleId="52">
    <w:name w:val="标题 Char"/>
    <w:link w:val="28"/>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宋体" w:eastAsia="宋体" w:cs="宋体"/>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Char"/>
    <w:link w:val="14"/>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Char"/>
    <w:link w:val="23"/>
    <w:semiHidden/>
    <w:qFormat/>
    <w:uiPriority w:val="0"/>
    <w:rPr>
      <w:rFonts w:ascii="宋体"/>
      <w:kern w:val="2"/>
      <w:sz w:val="18"/>
      <w:szCs w:val="18"/>
    </w:rPr>
  </w:style>
  <w:style w:type="paragraph" w:customStyle="1" w:styleId="104">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黑体" w:eastAsia="黑体" w:cs="Times New Roman"/>
      <w:sz w:val="21"/>
      <w:lang w:val="en-US" w:eastAsia="zh-CN" w:bidi="ar-SA"/>
    </w:rPr>
  </w:style>
  <w:style w:type="paragraph" w:customStyle="1" w:styleId="109">
    <w:name w:val="标准文件_一级条标题"/>
    <w:basedOn w:val="108"/>
    <w:next w:val="60"/>
    <w:link w:val="240"/>
    <w:qFormat/>
    <w:uiPriority w:val="0"/>
    <w:pPr>
      <w:numPr>
        <w:ilvl w:val="2"/>
      </w:numPr>
      <w:spacing w:before="50" w:beforeLines="50" w:after="50" w:afterLines="50"/>
      <w:outlineLvl w:val="1"/>
    </w:pPr>
    <w:rPr>
      <w:rFonts w:ascii="Times New Roman" w:hAnsi="Times New Roman"/>
    </w:r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link w:val="235"/>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Calibri" w:hAnsi="Calibri" w:eastAsia="宋体"/>
    </w:rPr>
  </w:style>
  <w:style w:type="paragraph" w:customStyle="1" w:styleId="169">
    <w:name w:val="标准文件_二级无标题"/>
    <w:basedOn w:val="69"/>
    <w:qFormat/>
    <w:uiPriority w:val="0"/>
    <w:pPr>
      <w:spacing w:before="50" w:beforeLines="50" w:after="50" w:afterLines="50"/>
      <w:outlineLvl w:val="9"/>
    </w:pPr>
    <w:rPr>
      <w:rFonts w:ascii="宋体" w:hAns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宋体" w:eastAsia="宋体" w:cs="宋体"/>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2"/>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link w:val="241"/>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2"/>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vAnchor="page" w:hAnchor="page" w:x="1419" w:y="14097"/>
    </w:pPr>
  </w:style>
  <w:style w:type="paragraph" w:customStyle="1" w:styleId="198">
    <w:name w:val="其他实施日期"/>
    <w:basedOn w:val="158"/>
    <w:qFormat/>
    <w:uiPriority w:val="0"/>
    <w:pPr>
      <w:framePr w:w="3997" w:h="471" w:hRule="exact" w:vSpace="181" w:vAnchor="page" w:hAnchor="page" w:x="7089" w:y="14097"/>
    </w:pPr>
  </w:style>
  <w:style w:type="paragraph" w:customStyle="1" w:styleId="199">
    <w:name w:val="标准文件_文件编号"/>
    <w:basedOn w:val="60"/>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2"/>
    <w:qFormat/>
    <w:uiPriority w:val="0"/>
    <w:rPr>
      <w:rFonts w:ascii="黑体" w:eastAsia="黑体"/>
      <w:spacing w:val="85"/>
      <w:w w:val="100"/>
      <w:position w:val="3"/>
      <w:sz w:val="28"/>
      <w:szCs w:val="28"/>
    </w:rPr>
  </w:style>
  <w:style w:type="paragraph" w:customStyle="1" w:styleId="234">
    <w:name w:val="体质调理方法（续）"/>
    <w:basedOn w:val="116"/>
    <w:link w:val="236"/>
    <w:qFormat/>
    <w:uiPriority w:val="0"/>
    <w:pPr>
      <w:spacing w:before="156" w:after="156"/>
    </w:pPr>
  </w:style>
  <w:style w:type="character" w:customStyle="1" w:styleId="235">
    <w:name w:val="标准文件_正文表标题 字符"/>
    <w:basedOn w:val="32"/>
    <w:link w:val="116"/>
    <w:qFormat/>
    <w:uiPriority w:val="0"/>
    <w:rPr>
      <w:rFonts w:ascii="黑体" w:hAnsi="Times New Roman" w:eastAsia="黑体"/>
      <w:sz w:val="21"/>
    </w:rPr>
  </w:style>
  <w:style w:type="character" w:customStyle="1" w:styleId="236">
    <w:name w:val="体质调理方法（续） 字符"/>
    <w:basedOn w:val="235"/>
    <w:link w:val="234"/>
    <w:qFormat/>
    <w:uiPriority w:val="0"/>
    <w:rPr>
      <w:rFonts w:ascii="黑体" w:hAnsi="Times New Roman" w:eastAsia="黑体"/>
      <w:sz w:val="21"/>
    </w:rPr>
  </w:style>
  <w:style w:type="paragraph" w:customStyle="1" w:styleId="237">
    <w:name w:val="表1  体质调理方法（续）"/>
    <w:basedOn w:val="182"/>
    <w:qFormat/>
    <w:uiPriority w:val="0"/>
  </w:style>
  <w:style w:type="paragraph" w:customStyle="1" w:styleId="238">
    <w:name w:val="WPSOffice手动目录 1"/>
    <w:qFormat/>
    <w:uiPriority w:val="0"/>
    <w:pPr>
      <w:ind w:leftChars="0"/>
    </w:pPr>
    <w:rPr>
      <w:rFonts w:ascii="Times New Roman" w:hAnsi="Times New Roman" w:eastAsia="宋体" w:cs="Times New Roman"/>
      <w:sz w:val="20"/>
      <w:szCs w:val="20"/>
    </w:rPr>
  </w:style>
  <w:style w:type="paragraph" w:customStyle="1" w:styleId="239">
    <w:name w:val="WPSOffice手动目录 2"/>
    <w:qFormat/>
    <w:uiPriority w:val="0"/>
    <w:pPr>
      <w:ind w:leftChars="200"/>
    </w:pPr>
    <w:rPr>
      <w:rFonts w:ascii="Times New Roman" w:hAnsi="Times New Roman" w:eastAsia="宋体" w:cs="Times New Roman"/>
      <w:sz w:val="20"/>
      <w:szCs w:val="20"/>
    </w:rPr>
  </w:style>
  <w:style w:type="character" w:customStyle="1" w:styleId="240">
    <w:name w:val="标准文件_一级条标题 Char"/>
    <w:link w:val="109"/>
    <w:qFormat/>
    <w:uiPriority w:val="0"/>
    <w:rPr>
      <w:rFonts w:ascii="Times New Roman" w:hAnsi="Times New Roman" w:eastAsia="黑体"/>
      <w:sz w:val="21"/>
      <w:lang w:val="en-US" w:eastAsia="zh-CN" w:bidi="ar-SA"/>
    </w:rPr>
  </w:style>
  <w:style w:type="character" w:customStyle="1" w:styleId="241">
    <w:name w:val="标准文件_一级项2 Char"/>
    <w:link w:val="193"/>
    <w:qFormat/>
    <w:uiPriority w:val="0"/>
    <w:rPr>
      <w:rFonts w:ascii="Times New Roma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jpeg"/><Relationship Id="rId12" Type="http://schemas.openxmlformats.org/officeDocument/2006/relationships/image" Target="media/image1.tif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C77A0AE8C3546B69BED3852E4CE1F5E"/>
        <w:style w:val=""/>
        <w:category>
          <w:name w:val="常规"/>
          <w:gallery w:val="placeholder"/>
        </w:category>
        <w:types>
          <w:type w:val="bbPlcHdr"/>
        </w:types>
        <w:behaviors>
          <w:behavior w:val="content"/>
        </w:behaviors>
        <w:description w:val=""/>
        <w:guid w:val="{CDE6E17E-551D-4B3A-A92F-CDC76B1D5400}"/>
      </w:docPartPr>
      <w:docPartBody>
        <w:p w14:paraId="438E0423">
          <w:pPr>
            <w:pStyle w:val="5"/>
          </w:pPr>
          <w:r>
            <w:rPr>
              <w:rStyle w:val="4"/>
              <w:rFonts w:hint="eastAsia"/>
            </w:rPr>
            <w:t>单击或点击此处输入文字。</w:t>
          </w:r>
        </w:p>
      </w:docPartBody>
    </w:docPart>
    <w:docPart>
      <w:docPartPr>
        <w:name w:val="17274D3A54F241BC8B95A6839AF6E4F9"/>
        <w:style w:val=""/>
        <w:category>
          <w:name w:val="常规"/>
          <w:gallery w:val="placeholder"/>
        </w:category>
        <w:types>
          <w:type w:val="bbPlcHdr"/>
        </w:types>
        <w:behaviors>
          <w:behavior w:val="content"/>
        </w:behaviors>
        <w:description w:val=""/>
        <w:guid w:val="{18C63D46-576F-4A7B-B38D-3C6B5548B6C5}"/>
      </w:docPartPr>
      <w:docPartBody>
        <w:p w14:paraId="5F99F5A7">
          <w:pPr>
            <w:pStyle w:val="6"/>
          </w:pPr>
          <w:r>
            <w:rPr>
              <w:rStyle w:val="4"/>
              <w:rFonts w:hint="eastAsia"/>
            </w:rPr>
            <w:t>选择一项。</w:t>
          </w:r>
        </w:p>
      </w:docPartBody>
    </w:docPart>
    <w:docPart>
      <w:docPartPr>
        <w:name w:val="8A4364C01F1F4882AE1D0150A495BA21"/>
        <w:style w:val=""/>
        <w:category>
          <w:name w:val="常规"/>
          <w:gallery w:val="placeholder"/>
        </w:category>
        <w:types>
          <w:type w:val="bbPlcHdr"/>
        </w:types>
        <w:behaviors>
          <w:behavior w:val="content"/>
        </w:behaviors>
        <w:description w:val=""/>
        <w:guid w:val="{D81CB3C6-0E3A-48D2-9742-E0784AAB1AFB}"/>
      </w:docPartPr>
      <w:docPartBody>
        <w:p w14:paraId="03FDCA3C">
          <w:pPr>
            <w:pStyle w:val="7"/>
          </w:pPr>
          <w:r>
            <w:rPr>
              <w:rStyle w:val="4"/>
              <w:rFonts w:hint="eastAsia"/>
            </w:rPr>
            <w:t>选择一项。</w:t>
          </w:r>
        </w:p>
      </w:docPartBody>
    </w:docPart>
    <w:docPart>
      <w:docPartPr>
        <w:name w:val="{f8aea712-6d35-44f4-be01-21bcfc449fd2}"/>
        <w:style w:val=""/>
        <w:category>
          <w:name w:val="常规"/>
          <w:gallery w:val="placeholder"/>
        </w:category>
        <w:types>
          <w:type w:val="bbPlcHdr"/>
        </w:types>
        <w:behaviors>
          <w:behavior w:val="content"/>
        </w:behaviors>
        <w:description w:val=""/>
        <w:guid w:val="{f8aea712-6d35-44f4-be01-21bcfc449fd2}"/>
      </w:docPartPr>
      <w:docPartBody>
        <w:p w14:paraId="4047F3C8">
          <w:pPr>
            <w:pStyle w:val="5"/>
          </w:pPr>
          <w:r>
            <w:rPr>
              <w:rStyle w:val="4"/>
              <w:rFonts w:hint="eastAsia"/>
            </w:rPr>
            <w:t>单击或点击此处输入文字。</w:t>
          </w:r>
        </w:p>
      </w:docPartBody>
    </w:docPart>
    <w:docPart>
      <w:docPartPr>
        <w:name w:val="{3cc71ca9-649e-4269-9391-38ed946f8943}"/>
        <w:style w:val=""/>
        <w:category>
          <w:name w:val="常规"/>
          <w:gallery w:val="placeholder"/>
        </w:category>
        <w:types>
          <w:type w:val="bbPlcHdr"/>
        </w:types>
        <w:behaviors>
          <w:behavior w:val="content"/>
        </w:behaviors>
        <w:description w:val=""/>
        <w:guid w:val="{3cc71ca9-649e-4269-9391-38ed946f8943}"/>
      </w:docPartPr>
      <w:docPartBody>
        <w:p w14:paraId="1CF3E3C3">
          <w:pPr>
            <w:pStyle w:val="5"/>
          </w:pPr>
          <w:r>
            <w:rPr>
              <w:rStyle w:val="4"/>
              <w:rFonts w:hint="eastAsia"/>
            </w:rPr>
            <w:t>单击或点击此处输入文字。</w:t>
          </w:r>
        </w:p>
      </w:docPartBody>
    </w:docPart>
    <w:docPart>
      <w:docPartPr>
        <w:name w:val="{85b6af46-b803-49bb-824a-e52547dea612}"/>
        <w:style w:val=""/>
        <w:category>
          <w:name w:val="常规"/>
          <w:gallery w:val="placeholder"/>
        </w:category>
        <w:types>
          <w:type w:val="bbPlcHdr"/>
        </w:types>
        <w:behaviors>
          <w:behavior w:val="content"/>
        </w:behaviors>
        <w:description w:val=""/>
        <w:guid w:val="{85b6af46-b803-49bb-824a-e52547dea612}"/>
      </w:docPartPr>
      <w:docPartBody>
        <w:p w14:paraId="34595B33">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0B4"/>
    <w:rsid w:val="001E6112"/>
    <w:rsid w:val="002A5BD3"/>
    <w:rsid w:val="002B0CE0"/>
    <w:rsid w:val="003150B4"/>
    <w:rsid w:val="004133F1"/>
    <w:rsid w:val="00470D35"/>
    <w:rsid w:val="00814F6D"/>
    <w:rsid w:val="00A0372F"/>
    <w:rsid w:val="00A63254"/>
    <w:rsid w:val="00C46B88"/>
    <w:rsid w:val="00C94DED"/>
    <w:rsid w:val="00D94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C77A0AE8C3546B69BED3852E4CE1F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7274D3A54F241BC8B95A6839AF6E4F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A4364C01F1F4882AE1D0150A495BA2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E7D84B-0F9F-440C-B8A4-B01A40D77698}">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13</Pages>
  <Words>6860</Words>
  <Characters>7745</Characters>
  <Lines>147</Lines>
  <Paragraphs>41</Paragraphs>
  <TotalTime>53</TotalTime>
  <ScaleCrop>false</ScaleCrop>
  <LinksUpToDate>false</LinksUpToDate>
  <CharactersWithSpaces>8187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2023-08-11T06:37:00Z</dcterms:created>
  <dc:creator>DELL</dc:creator>
  <dc:description>&lt;config cover="true" show_menu="true" version="1.0.0" doctype="SDKXY"&gt;_x000d_
&lt;/config&gt;</dc:description>
  <cp:lastModifiedBy>hailey</cp:lastModifiedBy>
  <cp:lastPrinted>2020-08-30T10:00:00Z</cp:lastPrinted>
  <dcterms:modified xsi:type="dcterms:W3CDTF">2024-09-24T05:41:11Z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F0F6BD87DC5442F4BBCC05F7387F338A_13</vt:lpwstr>
  </property>
</Properties>
</file>