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framePr w:wrap="around"/>
      </w:pPr>
      <w:r>
        <w:rPr>
          <w:rFonts w:ascii="Times New Roman"/>
        </w:rPr>
        <w:t>ICS</w:t>
      </w:r>
      <w:r>
        <w:rPr>
          <w:rFonts w:hint="eastAsia"/>
        </w:rPr>
        <w:t> </w:t>
      </w:r>
    </w:p>
    <w:p>
      <w:pPr>
        <w:pStyle w:val="117"/>
        <w:framePr w:wrap="around"/>
      </w:pPr>
      <w:r>
        <w:rPr>
          <w:rFonts w:hint="eastAsia"/>
        </w:rPr>
        <w:t xml:space="preserve">CCS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3" w:type="dxa"/>
            <w:tcBorders>
              <w:top w:val="nil"/>
              <w:left w:val="nil"/>
              <w:bottom w:val="nil"/>
              <w:right w:val="nil"/>
            </w:tcBorders>
          </w:tcPr>
          <w:p>
            <w:pPr>
              <w:pStyle w:val="117"/>
              <w:framePr w:wrap="around"/>
            </w:pPr>
            <w: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wrap="square" upright="1"/>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ri/s1QAAAAcBAAAPAAAAAAAAAAEAIAAAACIAAABkcnMvZG93bnJldi54bWxQSwECFAAUAAAACACH&#10;TuJAgMHi27UBAAByAwAADgAAAAAAAAABACAAAAAkAQAAZHJzL2Uyb0RvYy54bWxQSwUGAAAAAAYA&#10;BgBZAQAASwUAAAAA&#10;">
                      <v:fill on="t" focussize="0,0"/>
                      <v:stroke on="f"/>
                      <v:imagedata o:title=""/>
                      <o:lock v:ext="edit" aspectratio="f"/>
                      <v:textbox>
                        <w:txbxContent>
                          <w:p/>
                        </w:txbxContent>
                      </v:textbox>
                    </v:rect>
                  </w:pict>
                </mc:Fallback>
              </mc:AlternateContent>
            </w:r>
            <w:r>
              <w:rPr>
                <w:rFonts w:hint="eastAsia"/>
              </w:rPr>
              <w:fldChar w:fldCharType="begin">
                <w:ffData>
                  <w:name w:val="BAH"/>
                  <w:enabled/>
                  <w:calcOnExit w:val="0"/>
                  <w:textInput/>
                </w:ffData>
              </w:fldChar>
            </w:r>
            <w:bookmarkStart w:id="0" w:name="BAH"/>
            <w:r>
              <w:rPr>
                <w:rFonts w:hint="eastAsia"/>
              </w:rPr>
              <w:instrText xml:space="preserve">FORMTEXT</w:instrText>
            </w:r>
            <w:r>
              <w:rPr>
                <w:rFonts w:hint="eastAsia"/>
              </w:rPr>
              <w:fldChar w:fldCharType="separate"/>
            </w:r>
            <w:r>
              <w:t>     </w:t>
            </w:r>
            <w:r>
              <w:rPr>
                <w:rFonts w:hint="eastAsia"/>
              </w:rPr>
              <w:fldChar w:fldCharType="end"/>
            </w:r>
            <w:bookmarkEnd w:id="0"/>
          </w:p>
        </w:tc>
      </w:tr>
    </w:tbl>
    <w:p>
      <w:pPr>
        <w:pStyle w:val="123"/>
        <w:framePr w:wrap="around"/>
      </w:pPr>
      <w:r>
        <w:rPr>
          <w:rFonts w:hint="eastAsia"/>
        </w:rPr>
        <w:t>DB</w:t>
      </w:r>
      <w:r>
        <w:rPr>
          <w:rFonts w:hint="eastAsia"/>
        </w:rPr>
        <w:fldChar w:fldCharType="begin">
          <w:ffData>
            <w:name w:val="c3"/>
            <w:enabled/>
            <w:calcOnExit w:val="0"/>
            <w:textInput>
              <w:maxLength w:val="2"/>
            </w:textInput>
          </w:ffData>
        </w:fldChar>
      </w:r>
      <w:bookmarkStart w:id="1" w:name="c3"/>
      <w:r>
        <w:rPr>
          <w:rFonts w:hint="eastAsia"/>
        </w:rPr>
        <w:instrText xml:space="preserve">FORMTEXT</w:instrText>
      </w:r>
      <w:r>
        <w:rPr>
          <w:rFonts w:hint="eastAsia"/>
        </w:rPr>
        <w:fldChar w:fldCharType="separate"/>
      </w:r>
      <w:r>
        <w:rPr>
          <w:rFonts w:hint="eastAsia"/>
        </w:rPr>
        <w:t>43</w:t>
      </w:r>
      <w:r>
        <w:rPr>
          <w:rFonts w:hint="eastAsia"/>
        </w:rPr>
        <w:fldChar w:fldCharType="end"/>
      </w:r>
      <w:bookmarkEnd w:id="1"/>
    </w:p>
    <w:p>
      <w:pPr>
        <w:pStyle w:val="159"/>
        <w:framePr w:wrap="around"/>
      </w:pPr>
      <w:bookmarkStart w:id="2" w:name="c4"/>
      <w:r>
        <w:rPr>
          <w:rFonts w:hint="eastAsia"/>
        </w:rPr>
        <w:fldChar w:fldCharType="begin">
          <w:ffData>
            <w:name w:val="c4"/>
            <w:enabled/>
            <w:calcOnExit w:val="0"/>
            <w:textInput>
              <w:default w:val="湖南省"/>
            </w:textInput>
          </w:ffData>
        </w:fldChar>
      </w:r>
      <w:r>
        <w:rPr>
          <w:rFonts w:hint="eastAsia"/>
        </w:rPr>
        <w:instrText xml:space="preserve">FORMTEXT</w:instrText>
      </w:r>
      <w:r>
        <w:rPr>
          <w:rFonts w:hint="eastAsia"/>
        </w:rPr>
        <w:fldChar w:fldCharType="separate"/>
      </w:r>
      <w:r>
        <w:rPr>
          <w:rFonts w:hint="eastAsia"/>
        </w:rPr>
        <w:t>湖南省</w:t>
      </w:r>
      <w:r>
        <w:rPr>
          <w:rFonts w:hint="eastAsia"/>
        </w:rPr>
        <w:fldChar w:fldCharType="end"/>
      </w:r>
      <w:bookmarkEnd w:id="2"/>
      <w:r>
        <w:rPr>
          <w:rFonts w:hint="eastAsia"/>
        </w:rPr>
        <w:t>地方标准</w:t>
      </w:r>
    </w:p>
    <w:p>
      <w:pPr>
        <w:pStyle w:val="113"/>
        <w:framePr w:wrap="around"/>
        <w:wordWrap w:val="0"/>
        <w:rPr>
          <w:rFonts w:hint="eastAsia" w:ascii="Times New Roman"/>
        </w:rPr>
      </w:pPr>
      <w:r>
        <w:rPr>
          <w:rFonts w:ascii="Times New Roman"/>
        </w:rPr>
        <w:t xml:space="preserve">DB </w:t>
      </w:r>
      <w:r>
        <w:rPr>
          <w:rFonts w:hint="eastAsia" w:hAnsi="黑体" w:cs="黑体"/>
          <w:lang w:val="en-US" w:eastAsia="zh-CN"/>
        </w:rPr>
        <w:t>43</w:t>
      </w:r>
      <w:r>
        <w:rPr>
          <w:rFonts w:hint="eastAsia" w:ascii="黑体" w:hAnsi="黑体" w:eastAsia="黑体" w:cs="黑体"/>
        </w:rPr>
        <w:t>/</w:t>
      </w:r>
      <w:r>
        <w:rPr>
          <w:rFonts w:hint="eastAsia" w:hAnsi="黑体" w:cs="黑体"/>
          <w:lang w:val="en-US" w:eastAsia="zh-CN"/>
        </w:rPr>
        <w:t xml:space="preserve">T </w:t>
      </w:r>
      <w:r>
        <w:rPr>
          <w:rFonts w:hint="eastAsia" w:ascii="黑体" w:hAnsi="黑体" w:eastAsia="黑体" w:cs="黑体"/>
        </w:rPr>
        <w:fldChar w:fldCharType="begin">
          <w:ffData>
            <w:name w:val="StdNo1"/>
            <w:enabled/>
            <w:calcOnExit w:val="0"/>
            <w:textInput>
              <w:default w:val="XXXXX"/>
            </w:textInput>
          </w:ffData>
        </w:fldChar>
      </w:r>
      <w:r>
        <w:rPr>
          <w:rFonts w:hint="eastAsia" w:ascii="黑体" w:hAnsi="黑体" w:eastAsia="黑体" w:cs="黑体"/>
        </w:rPr>
        <w:instrText xml:space="preserve">FORMTEXT</w:instrText>
      </w:r>
      <w:r>
        <w:rPr>
          <w:rFonts w:hint="eastAsia" w:ascii="黑体" w:hAnsi="黑体" w:eastAsia="黑体" w:cs="黑体"/>
        </w:rPr>
        <w:fldChar w:fldCharType="separate"/>
      </w:r>
      <w:r>
        <w:rPr>
          <w:rFonts w:hint="eastAsia" w:ascii="黑体" w:hAnsi="黑体" w:eastAsia="黑体" w:cs="黑体"/>
        </w:rPr>
        <w:t>XXXXX</w:t>
      </w:r>
      <w:r>
        <w:rPr>
          <w:rFonts w:hint="eastAsia" w:ascii="黑体" w:hAnsi="黑体" w:eastAsia="黑体" w:cs="黑体"/>
        </w:rPr>
        <w:fldChar w:fldCharType="end"/>
      </w:r>
      <w:r>
        <w:rPr>
          <w:rFonts w:hint="eastAsia" w:ascii="黑体" w:hAnsi="黑体" w:eastAsia="黑体" w:cs="黑体"/>
        </w:rPr>
        <w:t>—</w:t>
      </w:r>
      <w:r>
        <w:rPr>
          <w:rFonts w:hint="eastAsia" w:ascii="黑体" w:hAnsi="黑体" w:eastAsia="黑体" w:cs="黑体"/>
        </w:rPr>
        <w:fldChar w:fldCharType="begin">
          <w:ffData>
            <w:name w:val="StdNo2"/>
            <w:enabled/>
            <w:calcOnExit w:val="0"/>
            <w:textInput>
              <w:default w:val="XXXX"/>
              <w:maxLength w:val="4"/>
            </w:textInput>
          </w:ffData>
        </w:fldChar>
      </w:r>
      <w:r>
        <w:rPr>
          <w:rFonts w:hint="eastAsia" w:ascii="黑体" w:hAnsi="黑体" w:eastAsia="黑体" w:cs="黑体"/>
        </w:rPr>
        <w:instrText xml:space="preserve">FORMTEXT</w:instrText>
      </w:r>
      <w:r>
        <w:rPr>
          <w:rFonts w:hint="eastAsia" w:ascii="黑体" w:hAnsi="黑体" w:eastAsia="黑体" w:cs="黑体"/>
        </w:rPr>
        <w:fldChar w:fldCharType="separate"/>
      </w:r>
      <w:r>
        <w:rPr>
          <w:rFonts w:hint="eastAsia" w:ascii="黑体" w:hAnsi="黑体" w:eastAsia="黑体" w:cs="黑体"/>
        </w:rPr>
        <w:t>XXXX</w:t>
      </w:r>
      <w:r>
        <w:rPr>
          <w:rFonts w:hint="eastAsia" w:ascii="黑体" w:hAnsi="黑体" w:eastAsia="黑体" w:cs="黑体"/>
        </w:rPr>
        <w:fldChar w:fldCharType="end"/>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nil"/>
              <w:left w:val="nil"/>
              <w:bottom w:val="single" w:color="auto" w:sz="4" w:space="0"/>
              <w:right w:val="nil"/>
            </w:tcBorders>
            <w:noWrap w:val="0"/>
            <w:vAlign w:val="top"/>
          </w:tcPr>
          <w:p>
            <w:pPr>
              <w:pStyle w:val="147"/>
              <w:framePr w:wrap="around"/>
              <w:rPr>
                <w:rFonts w:hint="eastAsia" w:ascii="Times New Roman"/>
              </w:rPr>
            </w:pPr>
            <w:r>
              <mc:AlternateContent>
                <mc:Choice Requires="wps">
                  <w:drawing>
                    <wp:anchor distT="0" distB="0" distL="114300" distR="114300" simplePos="0" relativeHeight="251667456" behindDoc="1" locked="0" layoutInCell="1" allowOverlap="1">
                      <wp:simplePos x="0" y="0"/>
                      <wp:positionH relativeFrom="column">
                        <wp:posOffset>4735195</wp:posOffset>
                      </wp:positionH>
                      <wp:positionV relativeFrom="paragraph">
                        <wp:posOffset>34290</wp:posOffset>
                      </wp:positionV>
                      <wp:extent cx="1143000" cy="228600"/>
                      <wp:effectExtent l="0" t="0" r="0" b="0"/>
                      <wp:wrapNone/>
                      <wp:docPr id="15" name="矩形 15"/>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372.85pt;margin-top:2.7pt;height:18pt;width:90pt;z-index:-251649024;mso-width-relative:page;mso-height-relative:page;" fillcolor="#FFFFFF" filled="t" stroked="f" coordsize="21600,21600" o:gfxdata="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KSNbeLWAAAACAEAAA8AAAAAAAAAAQAgAAAAIgAAAGRycy9kb3ducmV2LnhtbFBLAQIUABQAAAAI&#10;AIdO4kDb0UM0tgEAAGwDAAAOAAAAAAAAAAEAIAAAACUBAABkcnMvZTJvRG9jLnhtbFBLBQYAAAAA&#10;BgAGAFkBAABNBQAAAAA=&#10;">
                      <v:fill on="t" focussize="0,0"/>
                      <v:stroke on="f"/>
                      <v:imagedata o:title=""/>
                      <o:lock v:ext="edit" aspectratio="f"/>
                      <v:textbox>
                        <w:txbxContent>
                          <w:p/>
                        </w:txbxContent>
                      </v:textbox>
                    </v:rect>
                  </w:pict>
                </mc:Fallback>
              </mc:AlternateContent>
            </w:r>
            <w:r>
              <w:rPr>
                <w:rFonts w:hint="eastAsia" w:ascii="Times New Roman"/>
              </w:rPr>
              <w:fldChar w:fldCharType="begin">
                <w:ffData>
                  <w:name w:val="DT"/>
                  <w:enabled/>
                  <w:calcOnExit w:val="0"/>
                  <w:textInput/>
                </w:ffData>
              </w:fldChar>
            </w:r>
            <w:r>
              <w:rPr>
                <w:rFonts w:hint="eastAsia" w:ascii="Times New Roman"/>
              </w:rPr>
              <w:instrText xml:space="preserve">FORMTEXT</w:instrText>
            </w:r>
            <w:r>
              <w:rPr>
                <w:rFonts w:hint="eastAsia" w:ascii="Times New Roman"/>
              </w:rPr>
              <w:fldChar w:fldCharType="separate"/>
            </w:r>
            <w:r>
              <w:rPr>
                <w:rFonts w:ascii="Times New Roman"/>
              </w:rPr>
              <w:t>     </w:t>
            </w:r>
            <w:r>
              <w:rPr>
                <w:rFonts w:hint="eastAsia" w:ascii="Times New Roman"/>
              </w:rPr>
              <w:fldChar w:fldCharType="end"/>
            </w:r>
          </w:p>
        </w:tc>
      </w:tr>
    </w:tbl>
    <w:p>
      <w:pPr>
        <w:pStyle w:val="113"/>
        <w:framePr w:wrap="around"/>
        <w:rPr>
          <w:rFonts w:hint="eastAsia" w:ascii="Times New Roman"/>
        </w:rPr>
      </w:pPr>
    </w:p>
    <w:p>
      <w:pPr>
        <w:pStyle w:val="113"/>
        <w:framePr w:wrap="around"/>
        <w:rPr>
          <w:rFonts w:hint="eastAsia" w:ascii="Times New Roman"/>
        </w:rPr>
      </w:pPr>
    </w:p>
    <w:p>
      <w:pPr>
        <w:pStyle w:val="113"/>
        <w:framePr w:wrap="around"/>
        <w:wordWrap w:val="0"/>
        <w:rPr>
          <w:rFonts w:ascii="Times New Roman"/>
        </w:rPr>
      </w:pPr>
      <w:r>
        <w:rPr>
          <w:rFonts w:ascii="Times New Roman"/>
        </w:rPr>
        <w:t xml:space="preserve">DB </w:t>
      </w:r>
      <w:r>
        <w:rPr>
          <w:rFonts w:ascii="Times New Roman"/>
        </w:rPr>
        <w:fldChar w:fldCharType="begin">
          <w:ffData>
            <w:name w:val="StdNo0"/>
            <w:enabled/>
            <w:calcOnExit w:val="0"/>
            <w:textInput>
              <w:default w:val="XX"/>
              <w:maxLength w:val="2"/>
            </w:textInput>
          </w:ffData>
        </w:fldChar>
      </w:r>
      <w:bookmarkStart w:id="3" w:name="StdNo0"/>
      <w:r>
        <w:rPr>
          <w:rFonts w:ascii="Times New Roman"/>
        </w:rPr>
        <w:instrText xml:space="preserve">FORMTEXT</w:instrText>
      </w:r>
      <w:r>
        <w:rPr>
          <w:rFonts w:ascii="Times New Roman"/>
        </w:rPr>
        <w:fldChar w:fldCharType="separate"/>
      </w:r>
      <w:r>
        <w:rPr>
          <w:rFonts w:hint="eastAsia" w:ascii="Times New Roman"/>
        </w:rPr>
        <w:t>43</w:t>
      </w:r>
      <w:r>
        <w:rPr>
          <w:rFonts w:ascii="Times New Roman"/>
        </w:rPr>
        <w:fldChar w:fldCharType="end"/>
      </w:r>
      <w:bookmarkEnd w:id="3"/>
      <w:r>
        <w:rPr>
          <w:rFonts w:hint="eastAsia" w:ascii="Times New Roman"/>
        </w:rPr>
        <w:t>/</w:t>
      </w:r>
      <w:r>
        <w:rPr>
          <w:rFonts w:hint="eastAsia" w:ascii="Times New Roman"/>
        </w:rPr>
        <w:fldChar w:fldCharType="begin">
          <w:ffData>
            <w:name w:val="StdNo1"/>
            <w:enabled/>
            <w:calcOnExit w:val="0"/>
            <w:textInput>
              <w:default w:val="XXXXX"/>
            </w:textInput>
          </w:ffData>
        </w:fldChar>
      </w:r>
      <w:bookmarkStart w:id="4" w:name="StdNo1"/>
      <w:r>
        <w:rPr>
          <w:rFonts w:hint="eastAsia" w:ascii="Times New Roman"/>
        </w:rPr>
        <w:instrText xml:space="preserve">FORMTEXT</w:instrText>
      </w:r>
      <w:r>
        <w:rPr>
          <w:rFonts w:hint="eastAsia" w:ascii="Times New Roman"/>
        </w:rPr>
        <w:fldChar w:fldCharType="separate"/>
      </w:r>
      <w:r>
        <w:rPr>
          <w:rFonts w:hint="eastAsia" w:ascii="Times New Roman"/>
        </w:rPr>
        <w:t>T XXXXX</w:t>
      </w:r>
      <w:r>
        <w:rPr>
          <w:rFonts w:hint="eastAsia" w:ascii="Times New Roman"/>
        </w:rPr>
        <w:fldChar w:fldCharType="end"/>
      </w:r>
      <w:bookmarkEnd w:id="4"/>
      <w:r>
        <w:rPr>
          <w:rFonts w:hint="eastAsia" w:ascii="Times New Roman"/>
        </w:rPr>
        <w:t>—</w:t>
      </w:r>
      <w:r>
        <w:rPr>
          <w:rFonts w:hint="eastAsia" w:ascii="Times New Roman"/>
        </w:rPr>
        <w:fldChar w:fldCharType="begin">
          <w:ffData>
            <w:name w:val="StdNo2"/>
            <w:enabled/>
            <w:calcOnExit w:val="0"/>
            <w:textInput>
              <w:default w:val="XXXX"/>
              <w:maxLength w:val="4"/>
            </w:textInput>
          </w:ffData>
        </w:fldChar>
      </w:r>
      <w:bookmarkStart w:id="5" w:name="StdNo2"/>
      <w:r>
        <w:rPr>
          <w:rFonts w:hint="eastAsia" w:ascii="Times New Roman"/>
        </w:rPr>
        <w:instrText xml:space="preserve">FORMTEXT</w:instrText>
      </w:r>
      <w:r>
        <w:rPr>
          <w:rFonts w:hint="eastAsia" w:ascii="Times New Roman"/>
        </w:rPr>
        <w:fldChar w:fldCharType="separate"/>
      </w:r>
      <w:r>
        <w:rPr>
          <w:rFonts w:hint="eastAsia" w:ascii="Times New Roman"/>
        </w:rPr>
        <w:t>XXXX</w:t>
      </w:r>
      <w:r>
        <w:rPr>
          <w:rFonts w:hint="eastAsia" w:ascii="Times New Roman"/>
        </w:rPr>
        <w:fldChar w:fldCharType="end"/>
      </w:r>
      <w:bookmarkEnd w:id="5"/>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6" w:type="dxa"/>
            <w:tcBorders>
              <w:top w:val="nil"/>
              <w:left w:val="nil"/>
              <w:bottom w:val="nil"/>
              <w:right w:val="nil"/>
            </w:tcBorders>
          </w:tcPr>
          <w:p>
            <w:pPr>
              <w:pStyle w:val="147"/>
              <w:framePr w:wrap="around"/>
              <w:rPr>
                <w:rFonts w:ascii="Times New Roman"/>
              </w:rPr>
            </w:pPr>
            <w:r>
              <mc:AlternateContent>
                <mc:Choice Requires="wps">
                  <w:drawing>
                    <wp:anchor distT="0" distB="0" distL="114300" distR="114300" simplePos="0" relativeHeight="251660288" behindDoc="1" locked="0" layoutInCell="1" allowOverlap="1">
                      <wp:simplePos x="0" y="0"/>
                      <wp:positionH relativeFrom="column">
                        <wp:posOffset>4735195</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wrap="square" upright="1"/>
                          </wps:wsp>
                        </a:graphicData>
                      </a:graphic>
                    </wp:anchor>
                  </w:drawing>
                </mc:Choice>
                <mc:Fallback>
                  <w:pict>
                    <v:rect id="DT" o:spid="_x0000_s1026" o:spt="1" style="position:absolute;left:0pt;margin-left:372.85pt;margin-top:2.7pt;height:18pt;width:90pt;z-index:-251656192;mso-width-relative:page;mso-height-relative:page;" fillcolor="#FFFFFF" filled="t" stroked="f" coordsize="21600,21600" o:gfxdata="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pI1t4tYA&#10;AAAIAQAADwAAAAAAAAABACAAAAAiAAAAZHJzL2Rvd25yZXYueG1sUEsBAhQAFAAAAAgAh07iQMUf&#10;+8+vAQAAcgMAAA4AAAAAAAAAAQAgAAAAJQEAAGRycy9lMm9Eb2MueG1sUEsFBgAAAAAGAAYAWQEA&#10;AEYFAAAAAA==&#10;">
                      <v:fill on="t" focussize="0,0"/>
                      <v:stroke on="f"/>
                      <v:imagedata o:title=""/>
                      <o:lock v:ext="edit" aspectratio="f"/>
                      <v:textbox>
                        <w:txbxContent>
                          <w:p/>
                        </w:txbxContent>
                      </v:textbox>
                    </v:rect>
                  </w:pict>
                </mc:Fallback>
              </mc:AlternateContent>
            </w:r>
            <w:r>
              <w:rPr>
                <w:rFonts w:hint="eastAsia" w:ascii="Times New Roman"/>
                <w:lang w:val="en-US" w:eastAsia="zh-CN"/>
              </w:rPr>
              <w:t xml:space="preserve">                                                                                  </w:t>
            </w:r>
            <w:r>
              <w:rPr>
                <w:rFonts w:hint="eastAsia" w:ascii="Times New Roman"/>
              </w:rPr>
              <w:fldChar w:fldCharType="begin">
                <w:ffData>
                  <w:name w:val="DT"/>
                  <w:enabled/>
                  <w:calcOnExit w:val="0"/>
                  <w:textInput/>
                </w:ffData>
              </w:fldChar>
            </w:r>
            <w:bookmarkStart w:id="6" w:name="DT"/>
            <w:r>
              <w:rPr>
                <w:rFonts w:hint="eastAsia" w:ascii="Times New Roman"/>
              </w:rPr>
              <w:instrText xml:space="preserve">FORMTEXT</w:instrText>
            </w:r>
            <w:r>
              <w:rPr>
                <w:rFonts w:hint="eastAsia" w:ascii="Times New Roman"/>
              </w:rPr>
              <w:fldChar w:fldCharType="separate"/>
            </w:r>
            <w:r>
              <w:rPr>
                <w:rFonts w:ascii="Times New Roman"/>
              </w:rPr>
              <w:t>     </w:t>
            </w:r>
            <w:r>
              <w:rPr>
                <w:rFonts w:hint="eastAsia" w:ascii="Times New Roman"/>
              </w:rPr>
              <w:fldChar w:fldCharType="end"/>
            </w:r>
            <w:bookmarkEnd w:id="6"/>
          </w:p>
        </w:tc>
      </w:tr>
    </w:tbl>
    <w:p>
      <w:pPr>
        <w:pStyle w:val="113"/>
        <w:framePr w:wrap="around"/>
        <w:rPr>
          <w:rFonts w:ascii="Times New Roman"/>
        </w:rPr>
      </w:pPr>
    </w:p>
    <w:p>
      <w:pPr>
        <w:pStyle w:val="113"/>
        <w:framePr w:wrap="around"/>
        <w:rPr>
          <w:rFonts w:ascii="Times New Roman"/>
        </w:rPr>
      </w:pPr>
    </w:p>
    <w:p>
      <w:pPr>
        <w:pStyle w:val="107"/>
        <w:framePr w:wrap="around" w:vAnchor="margin" w:x="1427" w:y="6158"/>
        <w:rPr>
          <w:rFonts w:ascii="Times New Roman"/>
        </w:rPr>
      </w:pPr>
      <w:bookmarkStart w:id="7" w:name="StdName"/>
      <w:r>
        <w:rPr>
          <w:rFonts w:hint="eastAsia" w:ascii="Times New Roman"/>
        </w:rPr>
        <w:fldChar w:fldCharType="begin">
          <w:ffData>
            <w:name w:val="StdName"/>
            <w:enabled/>
            <w:calcOnExit w:val="0"/>
            <w:textInput>
              <w:default w:val="轨道交通车辆铝合金车体焊接同步激光清洗"/>
            </w:textInput>
          </w:ffData>
        </w:fldChar>
      </w:r>
      <w:r>
        <w:rPr>
          <w:rFonts w:hint="eastAsia" w:ascii="Times New Roman"/>
        </w:rPr>
        <w:instrText xml:space="preserve">FORMTEXT</w:instrText>
      </w:r>
      <w:r>
        <w:rPr>
          <w:rFonts w:hint="eastAsia" w:ascii="Times New Roman"/>
        </w:rPr>
        <w:fldChar w:fldCharType="separate"/>
      </w:r>
      <w:r>
        <w:rPr>
          <w:rFonts w:hint="eastAsia" w:ascii="Times New Roman"/>
        </w:rPr>
        <w:t>轨道交通车辆铝合金车体焊接同步激光清洗</w:t>
      </w:r>
      <w:r>
        <w:rPr>
          <w:rFonts w:hint="eastAsia" w:ascii="Times New Roman"/>
        </w:rPr>
        <w:fldChar w:fldCharType="end"/>
      </w:r>
      <w:bookmarkEnd w:id="7"/>
      <w:r>
        <w:rPr>
          <w:rFonts w:hint="eastAsia" w:ascii="Times New Roman"/>
        </w:rPr>
        <w:t>技术规范</w:t>
      </w:r>
    </w:p>
    <w:p>
      <w:pPr>
        <w:pStyle w:val="105"/>
        <w:framePr w:wrap="around" w:vAnchor="margin" w:x="1427" w:y="6158"/>
        <w:rPr>
          <w:highlight w:val="yellow"/>
        </w:rPr>
      </w:pPr>
      <w:bookmarkStart w:id="8" w:name="YZBS"/>
      <w:r>
        <w:rPr>
          <w:rFonts w:hint="eastAsia"/>
        </w:rPr>
        <w:fldChar w:fldCharType="begin">
          <w:ffData>
            <w:name w:val="YZBS"/>
            <w:enabled/>
            <w:calcOnExit w:val="0"/>
            <w:textInput>
              <w:default w:val="Technical specification for welding synchronous laser cleaning of aluminum alloy body of rail transit vehicle"/>
            </w:textInput>
          </w:ffData>
        </w:fldChar>
      </w:r>
      <w:r>
        <w:rPr>
          <w:rFonts w:hint="eastAsia"/>
        </w:rPr>
        <w:instrText xml:space="preserve">FORMTEXT</w:instrText>
      </w:r>
      <w:r>
        <w:rPr>
          <w:rFonts w:hint="eastAsia"/>
        </w:rPr>
        <w:fldChar w:fldCharType="separate"/>
      </w:r>
      <w:r>
        <w:rPr>
          <w:rFonts w:hint="eastAsia"/>
        </w:rPr>
        <w:t>Technical specification for welding synchronous laser cleaning of aluminum alloy body of rail transit vehicle</w:t>
      </w:r>
      <w:r>
        <w:rPr>
          <w:rFonts w:hint="eastAsia"/>
        </w:rPr>
        <w:fldChar w:fldCharType="end"/>
      </w:r>
      <w:bookmarkEnd w:id="8"/>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pPr>
              <w:pStyle w:val="115"/>
              <w:framePr w:wrap="around" w:vAnchor="margin" w:x="1427" w:y="6158"/>
            </w:pPr>
            <w:r>
              <mc:AlternateContent>
                <mc:Choice Requires="wps">
                  <w:drawing>
                    <wp:anchor distT="0" distB="0" distL="114300" distR="114300" simplePos="0" relativeHeight="251662336" behindDoc="1" locked="1" layoutInCell="1" allowOverlap="1">
                      <wp:simplePos x="0" y="0"/>
                      <wp:positionH relativeFrom="column">
                        <wp:posOffset>2201545</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wrap="square" upright="1"/>
                          </wps:wsp>
                        </a:graphicData>
                      </a:graphic>
                    </wp:anchor>
                  </w:drawing>
                </mc:Choice>
                <mc:Fallback>
                  <w:pict>
                    <v:rect id="RQ" o:spid="_x0000_s1026" o:spt="1" style="position:absolute;left:0pt;margin-left:173.35pt;margin-top:45.15pt;height:20pt;width:150pt;z-index:-251654144;mso-width-relative:page;mso-height-relative:page;" fillcolor="#FFFFFF" filled="t" stroked="f" coordsize="21600,21600" o:gfxdata="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VFyNMNYA&#10;AAAKAQAADwAAAAAAAAABACAAAAAiAAAAZHJzL2Rvd25yZXYueG1sUEsBAhQAFAAAAAgAh07iQL1L&#10;wzivAQAAcgMAAA4AAAAAAAAAAQAgAAAAJQEAAGRycy9lMm9Eb2MueG1sUEsFBgAAAAAGAAYAWQEA&#10;AEYFAAAAAA==&#10;">
                      <v:fill on="t" focussize="0,0"/>
                      <v:stroke on="f"/>
                      <v:imagedata o:title=""/>
                      <o:lock v:ext="edit" aspectratio="f"/>
                      <v:textbox>
                        <w:txbxContent>
                          <w:p/>
                        </w:txbxContent>
                      </v:textbox>
                      <w10:anchorlock/>
                    </v:rect>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2455545</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wrap="square" upright="1"/>
                          </wps:wsp>
                        </a:graphicData>
                      </a:graphic>
                    </wp:anchor>
                  </w:drawing>
                </mc:Choice>
                <mc:Fallback>
                  <w:pict>
                    <v:rect id="LB" o:spid="_x0000_s1026" o:spt="1" style="position:absolute;left:0pt;margin-left:193.35pt;margin-top:20.15pt;height:24pt;width:100pt;z-index:-251655168;mso-width-relative:page;mso-height-relative:page;" fillcolor="#FFFFFF" filled="t" stroked="f" coordsize="21600,21600" o:gfxdata="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CDCL6HX&#10;AAAACQEAAA8AAAAAAAAAAQAgAAAAIgAAAGRycy9kb3ducmV2LnhtbFBLAQIUABQAAAAIAIdO4kBd&#10;D6UBrwEAAHIDAAAOAAAAAAAAAAEAIAAAACYBAABkcnMvZTJvRG9jLnhtbFBLBQYAAAAABgAGAFkB&#10;AABHBQAAAAA=&#10;">
                      <v:fill on="t" focussize="0,0"/>
                      <v:stroke on="f"/>
                      <v:imagedata o:title=""/>
                      <o:lock v:ext="edit" aspectratio="f"/>
                      <v:textbox>
                        <w:txbxContent>
                          <w:p/>
                        </w:txbxContent>
                      </v:textbox>
                    </v:rect>
                  </w:pict>
                </mc:Fallback>
              </mc:AlternateContent>
            </w:r>
            <w:bookmarkStart w:id="9" w:name="LB"/>
            <w:r>
              <w:rPr>
                <w:rFonts w:hint="eastAsia"/>
              </w:rPr>
              <w:fldChar w:fldCharType="begin">
                <w:ffData>
                  <w:name w:val="LB"/>
                  <w:enabled/>
                  <w:calcOnExit w:val="0"/>
                  <w:ddList>
                    <w:listEntry w:val="（征求意见稿）"/>
                    <w:listEntry w:val="（草案）"/>
                    <w:listEntry w:val="（送审稿）"/>
                    <w:listEntry w:val="文稿版次选择"/>
                    <w:listEntry w:val="（工作组讨论稿）"/>
                    <w:listEntry w:val="（送审讨论稿）"/>
                    <w:listEntry w:val="（报批稿）"/>
                    <w:listEntry w:val="征求意见稿"/>
                  </w:ddList>
                </w:ffData>
              </w:fldChar>
            </w:r>
            <w:r>
              <w:rPr>
                <w:rFonts w:hint="eastAsia"/>
              </w:rPr>
              <w:instrText xml:space="preserve">FORMDROPDOWN</w:instrText>
            </w:r>
            <w:r>
              <w:rPr>
                <w:rFonts w:hint="eastAsia"/>
              </w:rPr>
              <w:fldChar w:fldCharType="separate"/>
            </w:r>
            <w:r>
              <w:rPr>
                <w:rFonts w:hint="eastAsia"/>
              </w:rPr>
              <w:fldChar w:fldCharType="end"/>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pPr>
              <w:pStyle w:val="146"/>
              <w:framePr w:wrap="around" w:vAnchor="margin" w:x="1427" w:y="6158"/>
            </w:pPr>
            <w:bookmarkStart w:id="10" w:name="WCRQ"/>
            <w:r>
              <w:rPr>
                <w:rFonts w:hint="eastAsia"/>
              </w:rPr>
              <w:fldChar w:fldCharType="begin">
                <w:ffData>
                  <w:name w:val="WCRQ"/>
                  <w:enabled/>
                  <w:calcOnExit w:val="0"/>
                  <w:textInput>
                    <w:default w:val="（本稿完成时间：2024.8）"/>
                  </w:textInput>
                </w:ffData>
              </w:fldChar>
            </w:r>
            <w:r>
              <w:rPr>
                <w:rFonts w:hint="eastAsia"/>
              </w:rPr>
              <w:instrText xml:space="preserve">FORMTEXT</w:instrText>
            </w:r>
            <w:r>
              <w:rPr>
                <w:rFonts w:hint="eastAsia"/>
              </w:rPr>
              <w:fldChar w:fldCharType="separate"/>
            </w:r>
            <w:r>
              <w:rPr>
                <w:rFonts w:hint="eastAsia"/>
              </w:rPr>
              <w:t>（本稿完成时间：2024.8）</w:t>
            </w:r>
            <w:r>
              <w:rPr>
                <w:rFonts w:hint="eastAsia"/>
              </w:rPr>
              <w:fldChar w:fldCharType="end"/>
            </w:r>
            <w:bookmarkEnd w:id="10"/>
          </w:p>
          <w:p>
            <w:pPr>
              <w:framePr w:wrap="around" w:vAnchor="margin" w:hAnchor="text" w:x="1427" w:y="6158"/>
            </w:pPr>
          </w:p>
          <w:p>
            <w:pPr>
              <w:framePr w:wrap="around" w:vAnchor="margin" w:hAnchor="text" w:x="1427" w:y="6158"/>
              <w:tabs>
                <w:tab w:val="left" w:pos="4198"/>
              </w:tabs>
              <w:jc w:val="center"/>
            </w:pPr>
            <w:r>
              <w:rPr>
                <w:rFonts w:cs="宋体"/>
                <w:szCs w:val="21"/>
              </w:rPr>
              <w:t>在提交反馈意见时，请将您知道的相关专利连同支持性文件一并附上</w:t>
            </w:r>
          </w:p>
        </w:tc>
      </w:tr>
    </w:tbl>
    <w:p>
      <w:pPr>
        <w:pStyle w:val="88"/>
        <w:framePr w:wrap="around" w:vAnchor="page" w:hAnchor="page" w:x="1438" w:y="14051"/>
      </w:pPr>
      <w:bookmarkStart w:id="11" w:name="FY"/>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mc:AlternateContent>
          <mc:Choice Requires="wps">
            <w:drawing>
              <wp:anchor distT="0" distB="0" distL="114300" distR="114300" simplePos="0" relativeHeight="251664384" behindDoc="0" locked="1" layoutInCell="1" allowOverlap="1">
                <wp:simplePos x="0" y="0"/>
                <wp:positionH relativeFrom="column">
                  <wp:posOffset>-11430</wp:posOffset>
                </wp:positionH>
                <wp:positionV relativeFrom="page">
                  <wp:posOffset>9253220</wp:posOffset>
                </wp:positionV>
                <wp:extent cx="6121400" cy="635"/>
                <wp:effectExtent l="0" t="0" r="0" b="0"/>
                <wp:wrapNone/>
                <wp:docPr id="5" name="直线 10"/>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9pt;margin-top:728.6pt;height:0.05pt;width:482pt;mso-position-vertical-relative:page;z-index:251664384;mso-width-relative:page;mso-height-relative:page;" filled="f" stroked="t" coordsize="21600,21600" o:gfxdata="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NHiyTZAAAADAEA&#10;AA8AAAAAAAAAAQAgAAAAIgAAAGRycy9kb3ducmV2LnhtbFBLAQIUABQAAAAIAIdO4kCuAA+i4AEA&#10;ANIDAAAOAAAAAAAAAAEAIAAAACgBAABkcnMvZTJvRG9jLnhtbFBLBQYAAAAABgAGAFkBAAB6BQAA&#10;AAA=&#10;">
                <v:fill on="f" focussize="0,0"/>
                <v:stroke color="#000000" joinstyle="round"/>
                <v:imagedata o:title=""/>
                <o:lock v:ext="edit" aspectratio="f"/>
                <w10:anchorlock/>
              </v:line>
            </w:pict>
          </mc:Fallback>
        </mc:AlternateContent>
      </w:r>
      <w:r>
        <w:rPr>
          <w:rFonts w:hint="eastAsia"/>
        </w:rPr>
        <w:t xml:space="preserve"> </w:t>
      </w:r>
      <w:r>
        <w:rPr>
          <w:rFonts w:hint="eastAsia" w:ascii="黑体"/>
        </w:rPr>
        <w:t>-</w:t>
      </w:r>
      <w:r>
        <w:rPr>
          <w:rFonts w:hint="eastAsia"/>
        </w:rPr>
        <w:t xml:space="preserve">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hint="eastAsia"/>
        </w:rPr>
        <w:t xml:space="preserve"> </w:t>
      </w:r>
      <w:r>
        <w:rPr>
          <w:rFonts w:hint="eastAsia" w:ascii="黑体"/>
        </w:rPr>
        <w:t>-</w:t>
      </w:r>
      <w:r>
        <w:rPr>
          <w:rFonts w:hint="eastAsia"/>
        </w:rPr>
        <w:t xml:space="preserve"> </w:t>
      </w:r>
      <w:r>
        <w:rPr>
          <w:rFonts w:hint="eastAsia" w:ascii="黑体"/>
        </w:rPr>
        <w:fldChar w:fldCharType="begin">
          <w:ffData>
            <w:name w:val="FD"/>
            <w:enabled/>
            <w:calcOnExit w:val="0"/>
            <w:textInput>
              <w:default w:val="XX"/>
              <w:maxLength w:val="2"/>
            </w:textInput>
          </w:ffData>
        </w:fldChar>
      </w:r>
      <w:bookmarkStart w:id="12" w:name="FD"/>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12"/>
      <w:r>
        <w:rPr>
          <w:rFonts w:hint="eastAsia"/>
        </w:rPr>
        <w:t>发布</w:t>
      </w:r>
    </w:p>
    <w:p>
      <w:pPr>
        <w:pStyle w:val="93"/>
        <w:framePr w:wrap="around" w:vAnchor="page" w:hAnchor="page" w:x="7015" w:y="14074"/>
      </w:pPr>
      <w:r>
        <w:rPr>
          <w:rFonts w:hint="eastAsia" w:ascii="黑体"/>
        </w:rPr>
        <w:fldChar w:fldCharType="begin">
          <w:ffData>
            <w:name w:val="SY"/>
            <w:enabled/>
            <w:calcOnExit w:val="0"/>
            <w:textInput>
              <w:default w:val="XXXX"/>
              <w:maxLength w:val="4"/>
            </w:textInput>
          </w:ffData>
        </w:fldChar>
      </w:r>
      <w:bookmarkStart w:id="13" w:name="SY"/>
      <w:r>
        <w:rPr>
          <w:rFonts w:hint="eastAsia" w:ascii="黑体"/>
        </w:rPr>
        <w:instrText xml:space="preserve">FORMTEXT</w:instrText>
      </w:r>
      <w:r>
        <w:rPr>
          <w:rFonts w:hint="eastAsia" w:ascii="黑体"/>
        </w:rPr>
        <w:fldChar w:fldCharType="separate"/>
      </w:r>
      <w:r>
        <w:rPr>
          <w:rFonts w:hint="eastAsia" w:ascii="黑体"/>
        </w:rPr>
        <w:t>XXXX</w:t>
      </w:r>
      <w:r>
        <w:rPr>
          <w:rFonts w:hint="eastAsia" w:ascii="黑体"/>
        </w:rPr>
        <w:fldChar w:fldCharType="end"/>
      </w:r>
      <w:bookmarkEnd w:id="13"/>
      <w:r>
        <w:rPr>
          <w:rFonts w:hint="eastAsia"/>
        </w:rPr>
        <w:t xml:space="preserve"> </w:t>
      </w:r>
      <w:r>
        <w:rPr>
          <w:rFonts w:hint="eastAsia" w:ascii="黑体"/>
        </w:rPr>
        <w:t>-</w:t>
      </w:r>
      <w:r>
        <w:rPr>
          <w:rFonts w:hint="eastAsia"/>
        </w:rPr>
        <w:t xml:space="preserve"> </w:t>
      </w:r>
      <w:r>
        <w:rPr>
          <w:rFonts w:hint="eastAsia" w:ascii="黑体"/>
        </w:rPr>
        <w:fldChar w:fldCharType="begin">
          <w:ffData>
            <w:name w:val="SM"/>
            <w:enabled/>
            <w:calcOnExit w:val="0"/>
            <w:textInput>
              <w:default w:val="XX"/>
              <w:maxLength w:val="2"/>
            </w:textInput>
          </w:ffData>
        </w:fldChar>
      </w:r>
      <w:bookmarkStart w:id="14" w:name="SM"/>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14"/>
      <w:r>
        <w:rPr>
          <w:rFonts w:hint="eastAsia"/>
        </w:rPr>
        <w:t xml:space="preserve"> </w:t>
      </w:r>
      <w:r>
        <w:rPr>
          <w:rFonts w:hint="eastAsia" w:ascii="黑体"/>
        </w:rPr>
        <w:t>-</w:t>
      </w:r>
      <w:r>
        <w:rPr>
          <w:rFonts w:hint="eastAsia"/>
        </w:rPr>
        <w:t xml:space="preserve"> </w:t>
      </w:r>
      <w:r>
        <w:rPr>
          <w:rFonts w:hint="eastAsia" w:ascii="黑体"/>
        </w:rPr>
        <w:fldChar w:fldCharType="begin">
          <w:ffData>
            <w:name w:val="SD"/>
            <w:enabled/>
            <w:calcOnExit w:val="0"/>
            <w:textInput>
              <w:default w:val="XX"/>
              <w:maxLength w:val="2"/>
            </w:textInput>
          </w:ffData>
        </w:fldChar>
      </w:r>
      <w:bookmarkStart w:id="15" w:name="SD"/>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15"/>
      <w:r>
        <w:rPr>
          <w:rFonts w:hint="eastAsia"/>
        </w:rPr>
        <w:t>实施</w:t>
      </w:r>
    </w:p>
    <w:p>
      <w:pPr>
        <w:pStyle w:val="143"/>
        <w:framePr w:wrap="around"/>
        <w:sectPr>
          <w:headerReference r:id="rId3" w:type="even"/>
          <w:footerReference r:id="rId4" w:type="even"/>
          <w:pgSz w:w="11906" w:h="16838"/>
          <w:pgMar w:top="567" w:right="1134" w:bottom="1134" w:left="1417" w:header="0" w:footer="0" w:gutter="0"/>
          <w:pgBorders>
            <w:top w:val="none" w:sz="0" w:space="0"/>
            <w:left w:val="none" w:sz="0" w:space="0"/>
            <w:bottom w:val="none" w:sz="0" w:space="0"/>
            <w:right w:val="none" w:sz="0" w:space="0"/>
          </w:pgBorders>
          <w:pgNumType w:fmt="upperRoman" w:start="1"/>
          <w:cols w:space="720" w:num="1"/>
          <w:docGrid w:type="lines" w:linePitch="312" w:charSpace="0"/>
        </w:sectPr>
      </w:pPr>
      <w:r>
        <w:rPr>
          <w:rFonts w:hint="eastAsia"/>
        </w:rPr>
        <w:fldChar w:fldCharType="begin">
          <w:ffData>
            <w:name w:val="fm"/>
            <w:enabled/>
            <w:calcOnExit w:val="0"/>
            <w:textInput/>
          </w:ffData>
        </w:fldChar>
      </w:r>
      <w:bookmarkStart w:id="16" w:name="fm"/>
      <w:r>
        <w:rPr>
          <w:rFonts w:hint="eastAsia"/>
        </w:rPr>
        <w:instrText xml:space="preserve">FORMTEXT</w:instrText>
      </w:r>
      <w:r>
        <w:rPr>
          <w:rFonts w:hint="eastAsia"/>
        </w:rPr>
        <w:fldChar w:fldCharType="separate"/>
      </w:r>
      <w:r>
        <w:rPr>
          <w:rFonts w:hint="eastAsia"/>
        </w:rPr>
        <w:t>湖南省市场监督管</w:t>
      </w:r>
      <w:r>
        <mc:AlternateContent>
          <mc:Choice Requires="wps">
            <w:drawing>
              <wp:anchor distT="0" distB="0" distL="114300" distR="114300" simplePos="0" relativeHeight="251666432" behindDoc="0" locked="1" layoutInCell="1" allowOverlap="1">
                <wp:simplePos x="0" y="0"/>
                <wp:positionH relativeFrom="column">
                  <wp:posOffset>-462280</wp:posOffset>
                </wp:positionH>
                <wp:positionV relativeFrom="page">
                  <wp:posOffset>-7150100</wp:posOffset>
                </wp:positionV>
                <wp:extent cx="6121400" cy="635"/>
                <wp:effectExtent l="0" t="0" r="0" b="0"/>
                <wp:wrapNone/>
                <wp:docPr id="7" name="直线 17"/>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7" o:spid="_x0000_s1026" o:spt="20" style="position:absolute;left:0pt;margin-left:-36.4pt;margin-top:-563pt;height:0.05pt;width:482pt;mso-position-vertical-relative:page;z-index:251666432;mso-width-relative:page;mso-height-relative:page;" filled="f" stroked="t" coordsize="21600,21600" o:gfxdata="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rp49/bAAAA&#10;DwEAAA8AAAAAAAAAAQAgAAAAIgAAAGRycy9kb3ducmV2LnhtbFBLAQIUABQAAAAIAIdO4kDzE7PO&#10;4QEAANIDAAAOAAAAAAAAAAEAIAAAACoBAABkcnMvZTJvRG9jLnhtbFBLBQYAAAAABgAGAFkBAAB9&#10;BQAAAAA=&#10;">
                <v:fill on="f" focussize="0,0"/>
                <v:stroke color="#000000" joinstyle="round"/>
                <v:imagedata o:title=""/>
                <o:lock v:ext="edit" aspectratio="f"/>
                <w10:anchorlock/>
              </v:line>
            </w:pict>
          </mc:Fallback>
        </mc:AlternateContent>
      </w:r>
      <w:r>
        <w:rPr>
          <w:rFonts w:hint="eastAsia"/>
        </w:rPr>
        <w:t>理局</w:t>
      </w:r>
      <w:r>
        <w:rPr>
          <w:rFonts w:hint="eastAsia"/>
        </w:rPr>
        <w:fldChar w:fldCharType="end"/>
      </w:r>
      <w:bookmarkEnd w:id="16"/>
      <w:r>
        <w:rPr>
          <w:rFonts w:hint="eastAsia"/>
        </w:rPr>
        <w:t>   </w:t>
      </w:r>
      <w:r>
        <w:rPr>
          <w:rStyle w:val="66"/>
          <w:rFonts w:hint="eastAsia"/>
        </w:rPr>
        <w:t>发布</w:t>
      </w:r>
      <w:r>
        <mc:AlternateContent>
          <mc:Choice Requires="wps">
            <w:drawing>
              <wp:anchor distT="0" distB="0" distL="114300" distR="114300" simplePos="0" relativeHeight="251665408" behindDoc="0" locked="0" layoutInCell="1" allowOverlap="1">
                <wp:simplePos x="0" y="0"/>
                <wp:positionH relativeFrom="column">
                  <wp:posOffset>-11430</wp:posOffset>
                </wp:positionH>
                <wp:positionV relativeFrom="paragraph">
                  <wp:posOffset>2332355</wp:posOffset>
                </wp:positionV>
                <wp:extent cx="6121400" cy="635"/>
                <wp:effectExtent l="0" t="0" r="0" b="0"/>
                <wp:wrapNone/>
                <wp:docPr id="6" name="直线 11"/>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0.9pt;margin-top:183.65pt;height:0.05pt;width:482pt;z-index:251665408;mso-width-relative:page;mso-height-relative:page;" filled="f" stroked="t" coordsize="21600,21600" o:gfxdata="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pPnxtgAAAAKAQAA&#10;DwAAAAAAAAABACAAAAAiAAAAZHJzL2Rvd25yZXYueG1sUEsBAhQAFAAAAAgAh07iQF6u5cHgAQAA&#10;0gMAAA4AAAAAAAAAAQAgAAAAJwEAAGRycy9lMm9Eb2MueG1sUEsFBgAAAAAGAAYAWQEAAHkFAAAA&#10;AA==&#10;">
                <v:fill on="f" focussize="0,0"/>
                <v:stroke color="#000000" joinstyle="round"/>
                <v:imagedata o:title=""/>
                <o:lock v:ext="edit" aspectratio="f"/>
              </v:line>
            </w:pict>
          </mc:Fallback>
        </mc:AlternateContent>
      </w:r>
    </w:p>
    <w:p>
      <w:pPr>
        <w:pStyle w:val="162"/>
        <w:spacing w:before="567" w:after="680"/>
      </w:pPr>
      <w:bookmarkStart w:id="17" w:name="_Toc13058"/>
      <w:bookmarkStart w:id="18" w:name="_Toc30411"/>
      <w:bookmarkStart w:id="19" w:name="_Toc18817"/>
      <w:bookmarkStart w:id="20" w:name="_Toc32427"/>
      <w:bookmarkStart w:id="21" w:name="_Toc1391"/>
      <w:bookmarkStart w:id="22" w:name="_Toc7414"/>
      <w:bookmarkStart w:id="23" w:name="_Toc1210"/>
      <w:bookmarkStart w:id="24" w:name="_Toc31720"/>
      <w:bookmarkStart w:id="25" w:name="_Toc104963272"/>
      <w:bookmarkStart w:id="26" w:name="_Toc33008023"/>
      <w:bookmarkStart w:id="27" w:name="_Toc33102845"/>
      <w:bookmarkStart w:id="28" w:name="_Toc2754"/>
      <w:bookmarkStart w:id="29" w:name="_Toc18970"/>
      <w:r>
        <w:rPr>
          <w:rFonts w:hint="eastAsia"/>
        </w:rPr>
        <w:t>目</w:t>
      </w:r>
      <w:bookmarkStart w:id="30" w:name="BKML"/>
      <w:r>
        <w:rPr>
          <w:rFonts w:hint="eastAsia"/>
        </w:rPr>
        <w:t>  次</w:t>
      </w:r>
      <w:bookmarkEnd w:id="17"/>
      <w:bookmarkEnd w:id="18"/>
      <w:bookmarkEnd w:id="19"/>
      <w:bookmarkEnd w:id="20"/>
      <w:bookmarkEnd w:id="21"/>
      <w:bookmarkEnd w:id="22"/>
      <w:bookmarkEnd w:id="23"/>
      <w:bookmarkEnd w:id="24"/>
      <w:bookmarkEnd w:id="25"/>
      <w:bookmarkEnd w:id="30"/>
    </w:p>
    <w:p>
      <w:pPr>
        <w:pStyle w:val="24"/>
        <w:tabs>
          <w:tab w:val="right" w:leader="dot" w:pos="9355"/>
          <w:tab w:val="clear" w:pos="9242"/>
        </w:tabs>
      </w:pPr>
      <w:r>
        <w:rPr>
          <w:rFonts w:hint="eastAsia" w:hAnsi="宋体" w:cs="宋体"/>
        </w:rPr>
        <w:fldChar w:fldCharType="begin"/>
      </w:r>
      <w:r>
        <w:rPr>
          <w:rFonts w:hint="eastAsia" w:hAnsi="宋体" w:cs="宋体"/>
        </w:rPr>
        <w:instrText xml:space="preserve">TOC \o "1-3" \h \u </w:instrText>
      </w:r>
      <w:r>
        <w:rPr>
          <w:rFonts w:hint="eastAsia" w:hAnsi="宋体" w:cs="宋体"/>
        </w:rPr>
        <w:fldChar w:fldCharType="separate"/>
      </w:r>
      <w:r>
        <w:rPr>
          <w:rFonts w:hint="eastAsia" w:hAnsi="宋体" w:cs="宋体"/>
        </w:rPr>
        <w:fldChar w:fldCharType="begin"/>
      </w:r>
      <w:r>
        <w:rPr>
          <w:rFonts w:hint="eastAsia" w:hAnsi="宋体" w:cs="宋体"/>
        </w:rPr>
        <w:instrText xml:space="preserve"> HYPERLINK \l _Toc12758 </w:instrText>
      </w:r>
      <w:r>
        <w:rPr>
          <w:rFonts w:hint="eastAsia" w:hAnsi="宋体" w:cs="宋体"/>
        </w:rPr>
        <w:fldChar w:fldCharType="separate"/>
      </w:r>
      <w:r>
        <w:rPr>
          <w:rFonts w:hint="eastAsia"/>
        </w:rPr>
        <w:t>前  言</w:t>
      </w:r>
      <w:r>
        <w:tab/>
      </w:r>
      <w:r>
        <w:fldChar w:fldCharType="begin"/>
      </w:r>
      <w:r>
        <w:instrText xml:space="preserve"> PAGEREF _Toc7414 \h </w:instrText>
      </w:r>
      <w:r>
        <w:fldChar w:fldCharType="separate"/>
      </w:r>
      <w:r>
        <w:t>I</w:t>
      </w:r>
      <w:r>
        <w:fldChar w:fldCharType="end"/>
      </w:r>
      <w:r>
        <w:fldChar w:fldCharType="begin"/>
      </w:r>
      <w:r>
        <w:instrText xml:space="preserve"> PAGEREF _Toc12758 \h </w:instrText>
      </w:r>
      <w:r>
        <w:fldChar w:fldCharType="separate"/>
      </w:r>
      <w:r>
        <w:t>II</w:t>
      </w:r>
      <w:r>
        <w:fldChar w:fldCharType="end"/>
      </w:r>
      <w:r>
        <w:rPr>
          <w:rFonts w:hint="eastAsia" w:hAnsi="宋体" w:cs="宋体"/>
        </w:rPr>
        <w:fldChar w:fldCharType="end"/>
      </w:r>
    </w:p>
    <w:p>
      <w:pPr>
        <w:pStyle w:val="33"/>
        <w:tabs>
          <w:tab w:val="right" w:leader="dot" w:pos="9355"/>
          <w:tab w:val="clear" w:pos="9242"/>
        </w:tabs>
      </w:pPr>
      <w:r>
        <w:rPr>
          <w:rFonts w:hint="eastAsia" w:hAnsi="宋体" w:cs="宋体"/>
        </w:rPr>
        <w:fldChar w:fldCharType="begin"/>
      </w:r>
      <w:r>
        <w:rPr>
          <w:rFonts w:hint="eastAsia" w:hAnsi="宋体" w:cs="宋体"/>
        </w:rPr>
        <w:instrText xml:space="preserve"> HYPERLINK \l _Toc17534 </w:instrText>
      </w:r>
      <w:r>
        <w:rPr>
          <w:rFonts w:hint="eastAsia" w:hAnsi="宋体" w:cs="宋体"/>
        </w:rP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_Toc17534 \h </w:instrText>
      </w:r>
      <w:r>
        <w:fldChar w:fldCharType="separate"/>
      </w:r>
      <w:r>
        <w:t>1</w:t>
      </w:r>
      <w:r>
        <w:fldChar w:fldCharType="end"/>
      </w:r>
      <w:r>
        <w:rPr>
          <w:rFonts w:hint="eastAsia" w:hAnsi="宋体" w:cs="宋体"/>
        </w:rPr>
        <w:fldChar w:fldCharType="end"/>
      </w:r>
    </w:p>
    <w:p>
      <w:pPr>
        <w:pStyle w:val="33"/>
        <w:tabs>
          <w:tab w:val="right" w:leader="dot" w:pos="9355"/>
          <w:tab w:val="clear" w:pos="9242"/>
        </w:tabs>
      </w:pPr>
      <w:r>
        <w:rPr>
          <w:rFonts w:hint="eastAsia" w:hAnsi="宋体" w:cs="宋体"/>
        </w:rPr>
        <w:fldChar w:fldCharType="begin"/>
      </w:r>
      <w:r>
        <w:rPr>
          <w:rFonts w:hint="eastAsia" w:hAnsi="宋体" w:cs="宋体"/>
        </w:rPr>
        <w:instrText xml:space="preserve"> HYPERLINK \l _Toc11865 </w:instrText>
      </w:r>
      <w:r>
        <w:rPr>
          <w:rFonts w:hint="eastAsia" w:hAnsi="宋体" w:cs="宋体"/>
        </w:rP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_Toc11865 \h </w:instrText>
      </w:r>
      <w:r>
        <w:fldChar w:fldCharType="separate"/>
      </w:r>
      <w:r>
        <w:t>1</w:t>
      </w:r>
      <w:r>
        <w:fldChar w:fldCharType="end"/>
      </w:r>
      <w:r>
        <w:rPr>
          <w:rFonts w:hint="eastAsia" w:hAnsi="宋体" w:cs="宋体"/>
        </w:rPr>
        <w:fldChar w:fldCharType="end"/>
      </w:r>
    </w:p>
    <w:p>
      <w:pPr>
        <w:pStyle w:val="33"/>
        <w:tabs>
          <w:tab w:val="right" w:leader="dot" w:pos="9355"/>
          <w:tab w:val="clear" w:pos="9242"/>
        </w:tabs>
      </w:pPr>
      <w:r>
        <w:rPr>
          <w:rFonts w:hint="eastAsia" w:hAnsi="宋体" w:cs="宋体"/>
        </w:rPr>
        <w:fldChar w:fldCharType="begin"/>
      </w:r>
      <w:r>
        <w:rPr>
          <w:rFonts w:hint="eastAsia" w:hAnsi="宋体" w:cs="宋体"/>
        </w:rPr>
        <w:instrText xml:space="preserve"> HYPERLINK \l _Toc2623 </w:instrText>
      </w:r>
      <w:r>
        <w:rPr>
          <w:rFonts w:hint="eastAsia" w:hAnsi="宋体" w:cs="宋体"/>
        </w:rP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_Toc2623 \h </w:instrText>
      </w:r>
      <w:r>
        <w:fldChar w:fldCharType="separate"/>
      </w:r>
      <w:r>
        <w:t>1</w:t>
      </w:r>
      <w:r>
        <w:fldChar w:fldCharType="end"/>
      </w:r>
      <w:r>
        <w:rPr>
          <w:rFonts w:hint="eastAsia" w:hAnsi="宋体" w:cs="宋体"/>
        </w:rPr>
        <w:fldChar w:fldCharType="end"/>
      </w:r>
    </w:p>
    <w:p>
      <w:pPr>
        <w:pStyle w:val="33"/>
        <w:tabs>
          <w:tab w:val="right" w:leader="dot" w:pos="9355"/>
          <w:tab w:val="clear" w:pos="9242"/>
        </w:tabs>
      </w:pPr>
      <w:r>
        <w:rPr>
          <w:rFonts w:hint="eastAsia" w:hAnsi="宋体" w:cs="宋体"/>
        </w:rPr>
        <w:fldChar w:fldCharType="begin"/>
      </w:r>
      <w:r>
        <w:rPr>
          <w:rFonts w:hint="eastAsia" w:hAnsi="宋体" w:cs="宋体"/>
        </w:rPr>
        <w:instrText xml:space="preserve"> HYPERLINK \l _Toc27992 </w:instrText>
      </w:r>
      <w:r>
        <w:rPr>
          <w:rFonts w:hint="eastAsia" w:hAnsi="宋体" w:cs="宋体"/>
        </w:rPr>
        <w:fldChar w:fldCharType="separate"/>
      </w:r>
      <w:r>
        <w:rPr>
          <w:rFonts w:hint="eastAsia" w:ascii="黑体" w:hAnsi="Times New Roman" w:eastAsia="黑体"/>
          <w:i w:val="0"/>
          <w:szCs w:val="21"/>
        </w:rPr>
        <w:t xml:space="preserve">4 </w:t>
      </w:r>
      <w:r>
        <w:rPr>
          <w:rFonts w:hint="eastAsia"/>
        </w:rPr>
        <w:t>基本要求</w:t>
      </w:r>
      <w:r>
        <w:tab/>
      </w:r>
      <w:r>
        <w:fldChar w:fldCharType="begin"/>
      </w:r>
      <w:r>
        <w:instrText xml:space="preserve"> PAGEREF _Toc27992 \h </w:instrText>
      </w:r>
      <w:r>
        <w:fldChar w:fldCharType="separate"/>
      </w:r>
      <w:r>
        <w:t>2</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_Toc22046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4.1 </w:t>
      </w:r>
      <w:r>
        <w:rPr>
          <w:rFonts w:hint="eastAsia" w:hAnsi="黑体" w:cs="黑体"/>
          <w:shd w:val="clear" w:color="auto" w:fill="FFFFFF"/>
        </w:rPr>
        <w:t>操作人员</w:t>
      </w:r>
      <w:r>
        <w:tab/>
      </w:r>
      <w:r>
        <w:fldChar w:fldCharType="begin"/>
      </w:r>
      <w:r>
        <w:instrText xml:space="preserve"> PAGEREF _Toc22046 \h </w:instrText>
      </w:r>
      <w:r>
        <w:fldChar w:fldCharType="separate"/>
      </w:r>
      <w:r>
        <w:t>2</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_Toc16974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4.2 </w:t>
      </w:r>
      <w:r>
        <w:rPr>
          <w:rFonts w:hint="eastAsia" w:hAnsi="黑体" w:cs="黑体"/>
          <w:shd w:val="clear" w:color="auto" w:fill="FFFFFF"/>
        </w:rPr>
        <w:t>作业环境</w:t>
      </w:r>
      <w:r>
        <w:tab/>
      </w:r>
      <w:r>
        <w:fldChar w:fldCharType="begin"/>
      </w:r>
      <w:r>
        <w:instrText xml:space="preserve"> PAGEREF _Toc16974 \h </w:instrText>
      </w:r>
      <w:r>
        <w:fldChar w:fldCharType="separate"/>
      </w:r>
      <w:r>
        <w:t>2</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_Toc13352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4.3 </w:t>
      </w:r>
      <w:r>
        <w:rPr>
          <w:rFonts w:hint="eastAsia" w:hAnsi="黑体" w:cs="黑体"/>
          <w:shd w:val="clear" w:color="auto" w:fill="FFFFFF"/>
        </w:rPr>
        <w:t>工作电压</w:t>
      </w:r>
      <w:r>
        <w:tab/>
      </w:r>
      <w:r>
        <w:fldChar w:fldCharType="begin"/>
      </w:r>
      <w:r>
        <w:instrText xml:space="preserve"> PAGEREF _Toc13352 \h </w:instrText>
      </w:r>
      <w:r>
        <w:fldChar w:fldCharType="separate"/>
      </w:r>
      <w:r>
        <w:t>2</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_Toc32137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4.4 </w:t>
      </w:r>
      <w:r>
        <w:rPr>
          <w:rFonts w:hint="eastAsia" w:hAnsi="黑体" w:cs="黑体"/>
          <w:shd w:val="clear" w:color="auto" w:fill="FFFFFF"/>
        </w:rPr>
        <w:t>设备集成</w:t>
      </w:r>
      <w:r>
        <w:tab/>
      </w:r>
      <w:r>
        <w:fldChar w:fldCharType="begin"/>
      </w:r>
      <w:r>
        <w:instrText xml:space="preserve"> PAGEREF _Toc32137 \h </w:instrText>
      </w:r>
      <w:r>
        <w:fldChar w:fldCharType="separate"/>
      </w:r>
      <w:r>
        <w:t>2</w:t>
      </w:r>
      <w:r>
        <w:fldChar w:fldCharType="end"/>
      </w:r>
      <w:r>
        <w:rPr>
          <w:rFonts w:hint="eastAsia" w:hAnsi="宋体" w:cs="宋体"/>
        </w:rPr>
        <w:fldChar w:fldCharType="end"/>
      </w:r>
    </w:p>
    <w:p>
      <w:pPr>
        <w:pStyle w:val="33"/>
        <w:tabs>
          <w:tab w:val="right" w:leader="dot" w:pos="9355"/>
          <w:tab w:val="clear" w:pos="9242"/>
        </w:tabs>
      </w:pPr>
      <w:r>
        <w:rPr>
          <w:rFonts w:hint="eastAsia" w:hAnsi="宋体" w:cs="宋体"/>
        </w:rPr>
        <w:fldChar w:fldCharType="begin"/>
      </w:r>
      <w:r>
        <w:rPr>
          <w:rFonts w:hint="eastAsia" w:hAnsi="宋体" w:cs="宋体"/>
        </w:rPr>
        <w:instrText xml:space="preserve"> HYPERLINK \l _Toc15880 </w:instrText>
      </w:r>
      <w:r>
        <w:rPr>
          <w:rFonts w:hint="eastAsia" w:hAnsi="宋体" w:cs="宋体"/>
        </w:rPr>
        <w:fldChar w:fldCharType="separate"/>
      </w:r>
      <w:r>
        <w:rPr>
          <w:rFonts w:hint="eastAsia" w:ascii="黑体" w:hAnsi="Times New Roman" w:eastAsia="黑体"/>
          <w:i w:val="0"/>
          <w:szCs w:val="21"/>
        </w:rPr>
        <w:t xml:space="preserve">5 </w:t>
      </w:r>
      <w:r>
        <w:rPr>
          <w:rFonts w:hint="eastAsia"/>
        </w:rPr>
        <w:t>工艺准备</w:t>
      </w:r>
      <w:r>
        <w:tab/>
      </w:r>
      <w:r>
        <w:fldChar w:fldCharType="begin"/>
      </w:r>
      <w:r>
        <w:instrText xml:space="preserve"> PAGEREF _Toc15880 \h </w:instrText>
      </w:r>
      <w:r>
        <w:fldChar w:fldCharType="separate"/>
      </w:r>
      <w:r>
        <w:t>4</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_Toc31318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5.1 </w:t>
      </w:r>
      <w:r>
        <w:rPr>
          <w:rFonts w:hint="eastAsia" w:hAnsi="黑体" w:cs="黑体"/>
          <w:shd w:val="clear" w:color="auto" w:fill="FFFFFF"/>
        </w:rPr>
        <w:t>工艺准备内容</w:t>
      </w:r>
      <w:r>
        <w:tab/>
      </w:r>
      <w:r>
        <w:fldChar w:fldCharType="begin"/>
      </w:r>
      <w:r>
        <w:instrText xml:space="preserve"> PAGEREF _Toc31318 \h </w:instrText>
      </w:r>
      <w:r>
        <w:fldChar w:fldCharType="separate"/>
      </w:r>
      <w:r>
        <w:t>4</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_Toc4344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5.2 </w:t>
      </w:r>
      <w:r>
        <w:rPr>
          <w:rFonts w:hint="eastAsia" w:hAnsi="黑体" w:cs="黑体"/>
          <w:shd w:val="clear" w:color="auto" w:fill="FFFFFF"/>
        </w:rPr>
        <w:t>工艺试验验证</w:t>
      </w:r>
      <w:r>
        <w:tab/>
      </w:r>
      <w:r>
        <w:fldChar w:fldCharType="begin"/>
      </w:r>
      <w:r>
        <w:instrText xml:space="preserve"> PAGEREF _Toc4344 \h </w:instrText>
      </w:r>
      <w:r>
        <w:fldChar w:fldCharType="separate"/>
      </w:r>
      <w:r>
        <w:t>4</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_Toc23458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5.3 </w:t>
      </w:r>
      <w:r>
        <w:rPr>
          <w:rFonts w:hint="eastAsia" w:hAnsi="黑体" w:cs="黑体"/>
          <w:shd w:val="clear" w:color="auto" w:fill="FFFFFF"/>
        </w:rPr>
        <w:t>工艺评定</w:t>
      </w:r>
      <w:r>
        <w:tab/>
      </w:r>
      <w:r>
        <w:fldChar w:fldCharType="begin"/>
      </w:r>
      <w:r>
        <w:instrText xml:space="preserve"> PAGEREF _Toc23458 \h </w:instrText>
      </w:r>
      <w:r>
        <w:fldChar w:fldCharType="separate"/>
      </w:r>
      <w:r>
        <w:t>4</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_Toc15460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5.4 </w:t>
      </w:r>
      <w:r>
        <w:rPr>
          <w:rFonts w:hint="eastAsia" w:hAnsi="黑体" w:cs="黑体"/>
          <w:shd w:val="clear" w:color="auto" w:fill="FFFFFF"/>
        </w:rPr>
        <w:t>工艺规程编制</w:t>
      </w:r>
      <w:r>
        <w:tab/>
      </w:r>
      <w:r>
        <w:fldChar w:fldCharType="begin"/>
      </w:r>
      <w:r>
        <w:instrText xml:space="preserve"> PAGEREF _Toc15460 \h </w:instrText>
      </w:r>
      <w:r>
        <w:fldChar w:fldCharType="separate"/>
      </w:r>
      <w:r>
        <w:t>5</w:t>
      </w:r>
      <w:r>
        <w:fldChar w:fldCharType="end"/>
      </w:r>
      <w:r>
        <w:rPr>
          <w:rFonts w:hint="eastAsia" w:hAnsi="宋体" w:cs="宋体"/>
        </w:rPr>
        <w:fldChar w:fldCharType="end"/>
      </w:r>
    </w:p>
    <w:p>
      <w:pPr>
        <w:pStyle w:val="33"/>
        <w:tabs>
          <w:tab w:val="right" w:leader="dot" w:pos="9355"/>
          <w:tab w:val="clear" w:pos="9242"/>
        </w:tabs>
      </w:pPr>
      <w:r>
        <w:rPr>
          <w:rFonts w:hint="eastAsia" w:hAnsi="宋体" w:cs="宋体"/>
        </w:rPr>
        <w:fldChar w:fldCharType="begin"/>
      </w:r>
      <w:r>
        <w:rPr>
          <w:rFonts w:hint="eastAsia" w:hAnsi="宋体" w:cs="宋体"/>
        </w:rPr>
        <w:instrText xml:space="preserve"> HYPERLINK \l _Toc21135 </w:instrText>
      </w:r>
      <w:r>
        <w:rPr>
          <w:rFonts w:hint="eastAsia" w:hAnsi="宋体" w:cs="宋体"/>
        </w:rPr>
        <w:fldChar w:fldCharType="separate"/>
      </w:r>
      <w:r>
        <w:rPr>
          <w:rFonts w:hint="eastAsia" w:ascii="黑体" w:hAnsi="Times New Roman" w:eastAsia="黑体" w:cs="黑体"/>
          <w:i w:val="0"/>
          <w:szCs w:val="21"/>
          <w:shd w:val="clear" w:fill="FFFFFF"/>
        </w:rPr>
        <w:t xml:space="preserve">6 </w:t>
      </w:r>
      <w:r>
        <w:rPr>
          <w:rFonts w:hint="eastAsia" w:hAnsi="黑体" w:cs="黑体"/>
          <w:shd w:val="clear" w:color="auto" w:fill="FFFFFF"/>
        </w:rPr>
        <w:t>焊接同步激光清洗程序</w:t>
      </w:r>
      <w:r>
        <w:tab/>
      </w:r>
      <w:r>
        <w:fldChar w:fldCharType="begin"/>
      </w:r>
      <w:r>
        <w:instrText xml:space="preserve"> PAGEREF _Toc21135 \h </w:instrText>
      </w:r>
      <w:r>
        <w:fldChar w:fldCharType="separate"/>
      </w:r>
      <w:r>
        <w:t>5</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_Toc13988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6.1 </w:t>
      </w:r>
      <w:r>
        <w:rPr>
          <w:rFonts w:hint="eastAsia" w:hAnsi="黑体" w:cs="黑体"/>
          <w:shd w:val="clear" w:color="auto" w:fill="FFFFFF"/>
        </w:rPr>
        <w:t>焊接同步激光清洗准备</w:t>
      </w:r>
      <w:r>
        <w:tab/>
      </w:r>
      <w:r>
        <w:fldChar w:fldCharType="begin"/>
      </w:r>
      <w:r>
        <w:instrText xml:space="preserve"> PAGEREF _Toc13988 \h </w:instrText>
      </w:r>
      <w:r>
        <w:fldChar w:fldCharType="separate"/>
      </w:r>
      <w:r>
        <w:t>5</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_Toc26323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6.2 </w:t>
      </w:r>
      <w:r>
        <w:rPr>
          <w:rFonts w:hint="eastAsia" w:hAnsi="黑体" w:cs="黑体"/>
          <w:shd w:val="clear" w:color="auto" w:fill="FFFFFF"/>
        </w:rPr>
        <w:t>焊接同步激光清洗过程</w:t>
      </w:r>
      <w:r>
        <w:tab/>
      </w:r>
      <w:r>
        <w:fldChar w:fldCharType="begin"/>
      </w:r>
      <w:r>
        <w:instrText xml:space="preserve"> PAGEREF _Toc26323 \h </w:instrText>
      </w:r>
      <w:r>
        <w:fldChar w:fldCharType="separate"/>
      </w:r>
      <w:r>
        <w:t>5</w:t>
      </w:r>
      <w:r>
        <w:fldChar w:fldCharType="end"/>
      </w:r>
      <w:r>
        <w:rPr>
          <w:rFonts w:hint="eastAsia" w:hAnsi="宋体" w:cs="宋体"/>
        </w:rPr>
        <w:fldChar w:fldCharType="end"/>
      </w:r>
    </w:p>
    <w:p>
      <w:pPr>
        <w:pStyle w:val="33"/>
        <w:tabs>
          <w:tab w:val="right" w:leader="dot" w:pos="9355"/>
          <w:tab w:val="clear" w:pos="9242"/>
        </w:tabs>
      </w:pPr>
      <w:r>
        <w:rPr>
          <w:rFonts w:hint="eastAsia" w:hAnsi="宋体" w:cs="宋体"/>
        </w:rPr>
        <w:fldChar w:fldCharType="begin"/>
      </w:r>
      <w:r>
        <w:rPr>
          <w:rFonts w:hint="eastAsia" w:hAnsi="宋体" w:cs="宋体"/>
        </w:rPr>
        <w:instrText xml:space="preserve"> HYPERLINK \l _Toc4206 </w:instrText>
      </w:r>
      <w:r>
        <w:rPr>
          <w:rFonts w:hint="eastAsia" w:hAnsi="宋体" w:cs="宋体"/>
        </w:rPr>
        <w:fldChar w:fldCharType="separate"/>
      </w:r>
      <w:r>
        <w:rPr>
          <w:rFonts w:hint="eastAsia" w:ascii="黑体" w:hAnsi="Times New Roman" w:eastAsia="黑体" w:cs="黑体"/>
          <w:i w:val="0"/>
          <w:szCs w:val="21"/>
          <w:shd w:val="clear" w:fill="FFFFFF"/>
        </w:rPr>
        <w:t xml:space="preserve">7 </w:t>
      </w:r>
      <w:r>
        <w:rPr>
          <w:rFonts w:hint="eastAsia" w:hAnsi="黑体" w:cs="黑体"/>
          <w:shd w:val="clear" w:color="auto" w:fill="FFFFFF"/>
        </w:rPr>
        <w:t>质量控制</w:t>
      </w:r>
      <w:r>
        <w:tab/>
      </w:r>
      <w:r>
        <w:fldChar w:fldCharType="begin"/>
      </w:r>
      <w:r>
        <w:instrText xml:space="preserve"> PAGEREF _Toc4206 \h </w:instrText>
      </w:r>
      <w:r>
        <w:fldChar w:fldCharType="separate"/>
      </w:r>
      <w:r>
        <w:t>5</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_Toc14035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7.1 </w:t>
      </w:r>
      <w:r>
        <w:rPr>
          <w:rFonts w:hint="eastAsia" w:hAnsi="黑体" w:cs="黑体"/>
          <w:shd w:val="clear" w:color="auto" w:fill="FFFFFF"/>
        </w:rPr>
        <w:t>基本要求</w:t>
      </w:r>
      <w:r>
        <w:tab/>
      </w:r>
      <w:r>
        <w:fldChar w:fldCharType="begin"/>
      </w:r>
      <w:r>
        <w:instrText xml:space="preserve"> PAGEREF _Toc14035 \h </w:instrText>
      </w:r>
      <w:r>
        <w:fldChar w:fldCharType="separate"/>
      </w:r>
      <w:r>
        <w:t>5</w:t>
      </w:r>
      <w:r>
        <w:fldChar w:fldCharType="end"/>
      </w:r>
      <w:r>
        <w:rPr>
          <w:rFonts w:hint="eastAsia" w:hAnsi="宋体" w:cs="宋体"/>
        </w:rPr>
        <w:fldChar w:fldCharType="end"/>
      </w:r>
    </w:p>
    <w:p>
      <w:pPr>
        <w:pStyle w:val="16"/>
        <w:tabs>
          <w:tab w:val="right" w:leader="dot" w:pos="9355"/>
          <w:tab w:val="clear" w:pos="9242"/>
        </w:tabs>
      </w:pPr>
      <w:r>
        <w:rPr>
          <w:rFonts w:hint="eastAsia" w:hAnsi="宋体" w:cs="宋体"/>
        </w:rPr>
        <w:fldChar w:fldCharType="begin"/>
      </w:r>
      <w:r>
        <w:rPr>
          <w:rFonts w:hint="eastAsia" w:hAnsi="宋体" w:cs="宋体"/>
        </w:rPr>
        <w:instrText xml:space="preserve"> HYPERLINK \l _Toc9458 </w:instrText>
      </w:r>
      <w:r>
        <w:rPr>
          <w:rFonts w:hint="eastAsia" w:hAnsi="宋体" w:cs="宋体"/>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shd w:val="clear" w:fill="FFFFFF"/>
          <w:vertAlign w:val="baseline"/>
        </w:rPr>
        <w:t xml:space="preserve">7.2 </w:t>
      </w:r>
      <w:r>
        <w:rPr>
          <w:rFonts w:hint="eastAsia" w:hAnsi="黑体" w:cs="黑体"/>
          <w:shd w:val="clear" w:color="auto" w:fill="FFFFFF"/>
        </w:rPr>
        <w:t>检验方法</w:t>
      </w:r>
      <w:r>
        <w:tab/>
      </w:r>
      <w:r>
        <w:fldChar w:fldCharType="begin"/>
      </w:r>
      <w:r>
        <w:instrText xml:space="preserve"> PAGEREF _Toc9458 \h </w:instrText>
      </w:r>
      <w:r>
        <w:fldChar w:fldCharType="separate"/>
      </w:r>
      <w:r>
        <w:t>5</w:t>
      </w:r>
      <w:r>
        <w:fldChar w:fldCharType="end"/>
      </w:r>
      <w:r>
        <w:rPr>
          <w:rFonts w:hint="eastAsia" w:hAnsi="宋体" w:cs="宋体"/>
        </w:rPr>
        <w:fldChar w:fldCharType="end"/>
      </w:r>
    </w:p>
    <w:p>
      <w:pPr>
        <w:pStyle w:val="24"/>
        <w:tabs>
          <w:tab w:val="right" w:leader="dot" w:pos="9355"/>
          <w:tab w:val="clear" w:pos="9242"/>
        </w:tabs>
        <w:spacing w:before="78" w:after="78"/>
      </w:pPr>
      <w:r>
        <w:rPr>
          <w:rFonts w:hint="eastAsia" w:hAnsi="宋体" w:cs="宋体"/>
        </w:rPr>
        <w:fldChar w:fldCharType="end"/>
      </w:r>
    </w:p>
    <w:p>
      <w:pPr>
        <w:pStyle w:val="116"/>
        <w:spacing w:before="567" w:after="680"/>
      </w:pPr>
      <w:bookmarkStart w:id="31" w:name="_Toc21924"/>
      <w:bookmarkStart w:id="32" w:name="_Toc12758"/>
      <w:bookmarkStart w:id="33" w:name="_Toc20929"/>
      <w:bookmarkStart w:id="34" w:name="_Toc104963273"/>
      <w:r>
        <w:rPr>
          <w:rFonts w:hint="eastAsia"/>
        </w:rPr>
        <w:t>前</w:t>
      </w:r>
      <w:bookmarkStart w:id="35" w:name="BKQY"/>
      <w:r>
        <w:rPr>
          <w:rFonts w:hint="eastAsia"/>
        </w:rPr>
        <w:t>  言</w:t>
      </w:r>
      <w:bookmarkEnd w:id="26"/>
      <w:bookmarkEnd w:id="27"/>
      <w:bookmarkEnd w:id="28"/>
      <w:bookmarkEnd w:id="29"/>
      <w:bookmarkEnd w:id="31"/>
      <w:bookmarkEnd w:id="32"/>
      <w:bookmarkEnd w:id="33"/>
      <w:bookmarkEnd w:id="34"/>
      <w:bookmarkEnd w:id="35"/>
    </w:p>
    <w:p>
      <w:pPr>
        <w:pStyle w:val="28"/>
        <w:rPr>
          <w:rFonts w:hint="eastAsia"/>
          <w:szCs w:val="21"/>
        </w:rPr>
      </w:pPr>
      <w:r>
        <w:rPr>
          <w:rFonts w:hint="eastAsia"/>
          <w:szCs w:val="21"/>
        </w:rPr>
        <w:t>本文件按照GB/T　1.1</w:t>
      </w:r>
      <w:r>
        <w:rPr>
          <w:szCs w:val="21"/>
        </w:rPr>
        <w:t>-</w:t>
      </w:r>
      <w:r>
        <w:rPr>
          <w:rFonts w:hint="eastAsia"/>
          <w:szCs w:val="21"/>
        </w:rPr>
        <w:t>2020《标准化工作导则　第1部分：标准化文件的结构和起草规则》的规定起草。</w:t>
      </w:r>
    </w:p>
    <w:p>
      <w:pPr>
        <w:pStyle w:val="28"/>
        <w:rPr>
          <w:rFonts w:hint="eastAsia"/>
          <w:szCs w:val="21"/>
        </w:rPr>
      </w:pPr>
      <w:r>
        <w:rPr>
          <w:rFonts w:hint="eastAsia"/>
          <w:szCs w:val="21"/>
        </w:rPr>
        <w:t>请注意本文件的某些内容可能涉及专利。本文件的发布机构不承担识别专利的责任。</w:t>
      </w:r>
    </w:p>
    <w:p>
      <w:pPr>
        <w:pStyle w:val="28"/>
      </w:pPr>
      <w:r>
        <w:rPr>
          <w:rFonts w:hint="eastAsia"/>
        </w:rPr>
        <w:t>本</w:t>
      </w:r>
      <w:r>
        <w:rPr>
          <w:rFonts w:hint="eastAsia"/>
          <w:szCs w:val="21"/>
        </w:rPr>
        <w:t>文件</w:t>
      </w:r>
      <w:r>
        <w:rPr>
          <w:rFonts w:hint="eastAsia"/>
        </w:rPr>
        <w:t>由</w:t>
      </w:r>
      <w:r>
        <w:rPr>
          <w:rFonts w:hint="eastAsia"/>
          <w:szCs w:val="22"/>
        </w:rPr>
        <w:t>湖南省工业和信息化厅</w:t>
      </w:r>
      <w:r>
        <w:rPr>
          <w:rFonts w:hint="eastAsia"/>
        </w:rPr>
        <w:t>提出并归口。</w:t>
      </w:r>
    </w:p>
    <w:p>
      <w:pPr>
        <w:pStyle w:val="28"/>
      </w:pPr>
      <w:r>
        <w:rPr>
          <w:rFonts w:hint="eastAsia"/>
          <w:szCs w:val="22"/>
        </w:rPr>
        <w:t>本</w:t>
      </w:r>
      <w:r>
        <w:rPr>
          <w:rFonts w:hint="eastAsia"/>
          <w:szCs w:val="21"/>
        </w:rPr>
        <w:t>文件</w:t>
      </w:r>
      <w:r>
        <w:rPr>
          <w:rFonts w:hint="eastAsia"/>
          <w:szCs w:val="22"/>
        </w:rPr>
        <w:t>起草单位：株洲国创轨道科技有限公司、中车株洲电力机车有限公司、中车株洲电力机车研究所有限公司。</w:t>
      </w:r>
    </w:p>
    <w:p>
      <w:pPr>
        <w:pStyle w:val="28"/>
        <w:rPr>
          <w:rFonts w:hint="eastAsia" w:hAnsi="宋体" w:cs="宋体"/>
          <w:szCs w:val="21"/>
          <w:lang w:bidi="zh-CN"/>
        </w:rPr>
      </w:pPr>
      <w:r>
        <w:rPr>
          <w:rFonts w:hint="eastAsia"/>
          <w:szCs w:val="21"/>
        </w:rPr>
        <w:t>本文件主要起草人</w:t>
      </w:r>
      <w:r>
        <w:rPr>
          <w:rFonts w:hint="eastAsia" w:hAnsi="宋体" w:cs="宋体"/>
          <w:szCs w:val="21"/>
          <w:lang w:bidi="zh-CN"/>
        </w:rPr>
        <w:t>：张月来、杨帆、赵江农、郭韬、李林、杨颖、</w:t>
      </w:r>
      <w:r>
        <w:rPr>
          <w:rFonts w:hint="eastAsia" w:hAnsi="宋体" w:cs="宋体"/>
          <w:szCs w:val="21"/>
          <w:lang w:val="en-US" w:bidi="zh-CN"/>
        </w:rPr>
        <w:t>唐微、</w:t>
      </w:r>
      <w:r>
        <w:rPr>
          <w:rFonts w:hint="eastAsia" w:hAnsi="宋体" w:cs="宋体"/>
          <w:szCs w:val="21"/>
          <w:lang w:bidi="zh-CN"/>
        </w:rPr>
        <w:t>沈振字、肖黎亚、黄志华、邓闹、廖宁宁、马明明、姚杞、刘海涛、彭章祝、焦锐、王禹、何清和、李凌、罗彭澎、叶晨、张弛、张</w:t>
      </w:r>
      <w:r>
        <w:rPr>
          <w:rFonts w:hint="eastAsia" w:hAnsi="宋体" w:cs="宋体"/>
          <w:szCs w:val="21"/>
          <w:lang w:val="en-US" w:bidi="zh-CN"/>
        </w:rPr>
        <w:t>晶</w:t>
      </w:r>
      <w:r>
        <w:rPr>
          <w:rFonts w:hint="eastAsia" w:hAnsi="宋体" w:cs="宋体"/>
          <w:szCs w:val="21"/>
          <w:lang w:bidi="zh-CN"/>
        </w:rPr>
        <w:t>福、林敏、方昕、谭玉、李莎、龙维峰、梁喜成、毛斌、陈艳、谢紫华、罗君、剡苏荣、唐林波、肖飞。</w:t>
      </w:r>
    </w:p>
    <w:p>
      <w:pPr>
        <w:pStyle w:val="28"/>
        <w:rPr>
          <w:rFonts w:hint="eastAsia" w:hAnsi="宋体" w:cs="宋体"/>
          <w:szCs w:val="21"/>
          <w:lang w:bidi="zh-CN"/>
        </w:rPr>
        <w:sectPr>
          <w:headerReference r:id="rId5" w:type="default"/>
          <w:footerReference r:id="rId6" w:type="default"/>
          <w:pgSz w:w="11906" w:h="16838"/>
          <w:pgMar w:top="1417" w:right="1134" w:bottom="1134" w:left="1134" w:header="1418" w:footer="1134" w:gutter="283"/>
          <w:pgBorders>
            <w:top w:val="none" w:sz="0" w:space="0"/>
            <w:left w:val="none" w:sz="0" w:space="0"/>
            <w:bottom w:val="none" w:sz="0" w:space="0"/>
            <w:right w:val="none" w:sz="0" w:space="0"/>
          </w:pgBorders>
          <w:pgNumType w:fmt="upperRoman" w:start="1"/>
          <w:cols w:space="720" w:num="1"/>
          <w:formProt w:val="0"/>
          <w:docGrid w:type="lines" w:linePitch="312" w:charSpace="0"/>
        </w:sectPr>
      </w:pPr>
    </w:p>
    <w:p>
      <w:pPr>
        <w:pStyle w:val="35"/>
        <w:widowControl/>
        <w:shd w:val="clear" w:color="auto" w:fill="FFFFFF"/>
        <w:wordWrap w:val="0"/>
        <w:spacing w:before="567" w:beforeAutospacing="0" w:after="680" w:afterAutospacing="0"/>
        <w:jc w:val="center"/>
        <w:rPr>
          <w:rFonts w:ascii="宋体" w:hAnsi="宋体" w:eastAsia="黑体" w:cs="宋体"/>
          <w:sz w:val="28"/>
          <w:szCs w:val="28"/>
          <w:shd w:val="clear" w:color="auto" w:fill="FFFFFF"/>
        </w:rPr>
      </w:pPr>
      <w:r>
        <w:rPr>
          <w:rFonts w:hint="eastAsia" w:ascii="黑体" w:eastAsia="黑体"/>
          <w:sz w:val="32"/>
          <w:szCs w:val="20"/>
        </w:rPr>
        <w:t>轨道交通车辆铝合金车体焊接同步激光清洗技术规范</w:t>
      </w:r>
    </w:p>
    <w:p>
      <w:pPr>
        <w:pStyle w:val="87"/>
      </w:pPr>
      <w:bookmarkStart w:id="36" w:name="_Toc33008024"/>
      <w:bookmarkStart w:id="37" w:name="_Toc1542"/>
      <w:bookmarkStart w:id="38" w:name="_Toc104963274"/>
      <w:bookmarkStart w:id="39" w:name="_Toc12646"/>
      <w:bookmarkStart w:id="40" w:name="_Toc33102846"/>
      <w:bookmarkStart w:id="41" w:name="_Toc26562"/>
      <w:bookmarkStart w:id="42" w:name="_Toc8371"/>
      <w:bookmarkStart w:id="43" w:name="_Toc6649"/>
      <w:bookmarkStart w:id="44" w:name="_Toc17534"/>
      <w:r>
        <w:rPr>
          <w:rFonts w:hint="eastAsia"/>
        </w:rPr>
        <w:t>范围</w:t>
      </w:r>
      <w:bookmarkEnd w:id="36"/>
      <w:bookmarkEnd w:id="37"/>
      <w:bookmarkEnd w:id="38"/>
      <w:bookmarkEnd w:id="39"/>
      <w:bookmarkEnd w:id="40"/>
      <w:bookmarkEnd w:id="41"/>
      <w:bookmarkEnd w:id="42"/>
      <w:bookmarkEnd w:id="43"/>
      <w:bookmarkEnd w:id="44"/>
    </w:p>
    <w:p>
      <w:pPr>
        <w:pStyle w:val="28"/>
      </w:pPr>
      <w:r>
        <w:rPr>
          <w:rFonts w:hint="eastAsia"/>
        </w:rPr>
        <w:t>本文件</w:t>
      </w:r>
      <w:r>
        <w:rPr>
          <w:rFonts w:hint="eastAsia"/>
          <w:szCs w:val="22"/>
        </w:rPr>
        <w:t>规定</w:t>
      </w:r>
      <w:r>
        <w:rPr>
          <w:rFonts w:hint="eastAsia"/>
        </w:rPr>
        <w:t>了轨道交通车辆铝合金车体焊接同步激光清洗的基本要求、工艺准备、作业程序、质量控制要求。</w:t>
      </w:r>
    </w:p>
    <w:p>
      <w:pPr>
        <w:pStyle w:val="28"/>
        <w:rPr>
          <w:rFonts w:hAnsi="宋体" w:cs="宋体"/>
          <w:sz w:val="28"/>
          <w:szCs w:val="28"/>
          <w:shd w:val="clear" w:color="auto" w:fill="FFFFFF"/>
        </w:rPr>
      </w:pPr>
      <w:r>
        <w:rPr>
          <w:rFonts w:hint="eastAsia"/>
        </w:rPr>
        <w:t>本文件</w:t>
      </w:r>
      <w:r>
        <w:rPr>
          <w:rFonts w:hint="eastAsia"/>
          <w:szCs w:val="22"/>
        </w:rPr>
        <w:t>适用</w:t>
      </w:r>
      <w:r>
        <w:rPr>
          <w:rFonts w:hint="eastAsia"/>
        </w:rPr>
        <w:t>于轨道交通车辆铝合金车体部件典型铝合金焊接结构自动电弧焊接前的表面氧化膜和油污激光清洗，激光清洗头与电弧焊枪位置相对固定且集成安装于焊接机械手末端轴，焊接作业时激光清洗在前，焊接在后，激光清洗与焊接同步进行。</w:t>
      </w:r>
    </w:p>
    <w:p>
      <w:pPr>
        <w:pStyle w:val="87"/>
      </w:pPr>
      <w:bookmarkStart w:id="45" w:name="_Toc19822"/>
      <w:bookmarkStart w:id="46" w:name="_Toc10288"/>
      <w:bookmarkStart w:id="47" w:name="_Toc11948"/>
      <w:bookmarkStart w:id="48" w:name="_Toc33102847"/>
      <w:bookmarkStart w:id="49" w:name="_Toc22049"/>
      <w:bookmarkStart w:id="50" w:name="_Toc33008025"/>
      <w:bookmarkStart w:id="51" w:name="_Toc17088"/>
      <w:bookmarkStart w:id="52" w:name="_Toc11865"/>
      <w:bookmarkStart w:id="53" w:name="_Toc104963275"/>
      <w:r>
        <w:rPr>
          <w:rFonts w:hint="eastAsia"/>
        </w:rPr>
        <w:t>规范性引用文件</w:t>
      </w:r>
      <w:bookmarkEnd w:id="45"/>
      <w:bookmarkEnd w:id="46"/>
      <w:bookmarkEnd w:id="47"/>
      <w:bookmarkEnd w:id="48"/>
      <w:bookmarkEnd w:id="49"/>
      <w:bookmarkEnd w:id="50"/>
      <w:bookmarkEnd w:id="51"/>
      <w:bookmarkEnd w:id="52"/>
      <w:bookmarkEnd w:id="53"/>
    </w:p>
    <w:p>
      <w:pPr>
        <w:pStyle w:val="28"/>
        <w:rPr>
          <w:rFonts w:hAnsi="宋体" w:cs="宋体"/>
          <w:szCs w:val="21"/>
        </w:rPr>
      </w:pPr>
      <w:r>
        <w:rPr>
          <w:rFonts w:hint="eastAsia" w:hAnsi="宋体" w:cs="宋体"/>
          <w:szCs w:val="21"/>
        </w:rPr>
        <w:t>下列文件对于本文件的应用是必不可少的。凡是注日期的引用文件，仅注日期的版本适用于本文件。凡是不注日期的引用文件，其最新版本（包括所有的修改单）适用于本文件。</w:t>
      </w:r>
    </w:p>
    <w:p>
      <w:pPr>
        <w:pStyle w:val="28"/>
        <w:rPr>
          <w:rFonts w:hAnsi="宋体" w:cs="宋体"/>
          <w:szCs w:val="21"/>
        </w:rPr>
      </w:pPr>
      <w:r>
        <w:rPr>
          <w:rFonts w:hint="eastAsia" w:hAnsi="宋体" w:cs="宋体"/>
          <w:szCs w:val="21"/>
        </w:rPr>
        <w:t>GB 2894 安全标志及其使用导则</w:t>
      </w:r>
    </w:p>
    <w:p>
      <w:pPr>
        <w:pStyle w:val="28"/>
        <w:rPr>
          <w:rFonts w:hAnsi="宋体" w:cs="宋体"/>
          <w:szCs w:val="21"/>
        </w:rPr>
      </w:pPr>
      <w:r>
        <w:rPr>
          <w:rFonts w:hint="eastAsia" w:hAnsi="宋体" w:cs="宋体"/>
          <w:szCs w:val="21"/>
        </w:rPr>
        <w:t>GB/T 5226.1 机械电气安全 机械电气设备   第1部分：通用技术条件</w:t>
      </w:r>
    </w:p>
    <w:p>
      <w:pPr>
        <w:pStyle w:val="28"/>
        <w:rPr>
          <w:rFonts w:hAnsi="宋体" w:cs="宋体"/>
          <w:szCs w:val="21"/>
        </w:rPr>
      </w:pPr>
      <w:r>
        <w:rPr>
          <w:rFonts w:hint="eastAsia" w:hAnsi="宋体" w:cs="宋体"/>
          <w:szCs w:val="21"/>
        </w:rPr>
        <w:t>GB 7247.1-2012 激光产品的安全   第1部分:设备分类、要求</w:t>
      </w:r>
    </w:p>
    <w:p>
      <w:pPr>
        <w:pStyle w:val="28"/>
        <w:rPr>
          <w:rFonts w:hAnsi="宋体" w:cs="宋体"/>
          <w:szCs w:val="21"/>
        </w:rPr>
      </w:pPr>
      <w:r>
        <w:rPr>
          <w:rFonts w:hint="eastAsia" w:hAnsi="宋体" w:cs="宋体"/>
          <w:szCs w:val="21"/>
        </w:rPr>
        <w:t>GB/T 7247.14 激光产品的安全   第14 部分:用户指南</w:t>
      </w:r>
    </w:p>
    <w:p>
      <w:pPr>
        <w:pStyle w:val="28"/>
        <w:rPr>
          <w:rFonts w:hAnsi="宋体" w:cs="宋体"/>
          <w:szCs w:val="21"/>
        </w:rPr>
      </w:pPr>
      <w:r>
        <w:rPr>
          <w:rFonts w:hint="eastAsia" w:hAnsi="宋体" w:cs="宋体"/>
          <w:szCs w:val="21"/>
        </w:rPr>
        <w:t>GB/T 15313 激光术语</w:t>
      </w:r>
    </w:p>
    <w:p>
      <w:pPr>
        <w:pStyle w:val="28"/>
        <w:rPr>
          <w:rFonts w:hAnsi="宋体" w:cs="宋体"/>
          <w:szCs w:val="21"/>
        </w:rPr>
      </w:pPr>
      <w:r>
        <w:rPr>
          <w:rFonts w:hint="eastAsia" w:hAnsi="宋体" w:cs="宋体"/>
          <w:szCs w:val="21"/>
        </w:rPr>
        <w:t>GB/T 17359 微束分析   能谱法定量分析</w:t>
      </w:r>
    </w:p>
    <w:p>
      <w:pPr>
        <w:pStyle w:val="28"/>
        <w:rPr>
          <w:rFonts w:hAnsi="宋体" w:cs="宋体"/>
        </w:rPr>
      </w:pPr>
      <w:r>
        <w:rPr>
          <w:rFonts w:hint="eastAsia" w:hAnsi="宋体" w:cs="宋体"/>
          <w:szCs w:val="21"/>
        </w:rPr>
        <w:t>GB/T 18490.1 机械安全 激光加工机   第1部分:通用安全要求</w:t>
      </w:r>
    </w:p>
    <w:p>
      <w:pPr>
        <w:pStyle w:val="28"/>
        <w:rPr>
          <w:rFonts w:hAnsi="宋体" w:cs="宋体"/>
          <w:szCs w:val="21"/>
        </w:rPr>
      </w:pPr>
      <w:r>
        <w:rPr>
          <w:rFonts w:hint="eastAsia" w:hAnsi="宋体" w:cs="宋体"/>
          <w:szCs w:val="21"/>
        </w:rPr>
        <w:t>GB/T 19869.2 铝及铝合金的焊接工艺评定试验</w:t>
      </w:r>
    </w:p>
    <w:p>
      <w:pPr>
        <w:pStyle w:val="28"/>
        <w:rPr>
          <w:rFonts w:hint="eastAsia" w:hAnsi="宋体" w:cs="宋体"/>
          <w:szCs w:val="21"/>
        </w:rPr>
      </w:pPr>
      <w:r>
        <w:rPr>
          <w:rFonts w:hint="eastAsia" w:hAnsi="宋体" w:cs="宋体"/>
          <w:szCs w:val="21"/>
        </w:rPr>
        <w:t>GB/T 41735 绿色制造　激光表面清洗技术规范</w:t>
      </w:r>
    </w:p>
    <w:p>
      <w:pPr>
        <w:pStyle w:val="28"/>
        <w:autoSpaceDE/>
        <w:autoSpaceDN/>
        <w:rPr>
          <w:rFonts w:hint="eastAsia" w:hAnsi="宋体" w:cs="宋体"/>
          <w:szCs w:val="21"/>
        </w:rPr>
      </w:pPr>
      <w:r>
        <w:rPr>
          <w:rFonts w:hint="eastAsia" w:hAnsi="宋体" w:cs="宋体"/>
          <w:szCs w:val="21"/>
        </w:rPr>
        <w:t>TB/T 3259 动车组用铝及铝合金焊接技术条件</w:t>
      </w:r>
    </w:p>
    <w:p>
      <w:pPr>
        <w:pStyle w:val="87"/>
      </w:pPr>
      <w:bookmarkStart w:id="54" w:name="_Toc31117"/>
      <w:bookmarkEnd w:id="54"/>
      <w:bookmarkStart w:id="55" w:name="_Toc33102848"/>
      <w:bookmarkStart w:id="56" w:name="_Toc2290656"/>
      <w:bookmarkStart w:id="57" w:name="_Toc6269134"/>
      <w:bookmarkStart w:id="58" w:name="_Toc26481"/>
      <w:bookmarkStart w:id="59" w:name="_Toc32626"/>
      <w:bookmarkStart w:id="60" w:name="_Toc2118062"/>
      <w:bookmarkStart w:id="61" w:name="_Toc2289946"/>
      <w:bookmarkStart w:id="62" w:name="_Toc104963276"/>
      <w:bookmarkStart w:id="63" w:name="_Toc33008026"/>
      <w:bookmarkStart w:id="64" w:name="_Toc2289448"/>
      <w:bookmarkStart w:id="65" w:name="_Toc2118410"/>
      <w:bookmarkStart w:id="66" w:name="_Toc2205002"/>
      <w:bookmarkStart w:id="67" w:name="_Toc2284756"/>
      <w:bookmarkStart w:id="68" w:name="_Toc2202737"/>
      <w:bookmarkStart w:id="69" w:name="_Toc2290114"/>
      <w:bookmarkStart w:id="70" w:name="_Toc11560"/>
      <w:bookmarkStart w:id="71" w:name="_Toc2623"/>
      <w:bookmarkStart w:id="72" w:name="_Toc27441"/>
      <w:bookmarkStart w:id="73" w:name="_Toc6266796"/>
      <w:r>
        <w:rPr>
          <w:rFonts w:hint="eastAsia"/>
        </w:rPr>
        <w:t>术语和定义</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pStyle w:val="28"/>
      </w:pPr>
      <w:r>
        <w:rPr>
          <w:rFonts w:hint="eastAsia"/>
        </w:rPr>
        <w:t>GB/T 15313、GB/T 41735界定的以及下列术语和定义适用于本文件。</w:t>
      </w:r>
      <w:bookmarkStart w:id="74" w:name="_Toc404761077"/>
      <w:bookmarkEnd w:id="74"/>
      <w:bookmarkStart w:id="75" w:name="_Toc2118063"/>
      <w:bookmarkEnd w:id="75"/>
      <w:bookmarkStart w:id="76" w:name="_Toc17795"/>
      <w:bookmarkEnd w:id="76"/>
      <w:bookmarkStart w:id="77" w:name="_Toc11772"/>
      <w:bookmarkEnd w:id="77"/>
      <w:bookmarkStart w:id="78" w:name="_Toc405797490"/>
      <w:bookmarkEnd w:id="78"/>
      <w:bookmarkStart w:id="79" w:name="_Toc404764760"/>
      <w:bookmarkEnd w:id="79"/>
      <w:bookmarkStart w:id="80" w:name="_Toc33102849"/>
      <w:bookmarkEnd w:id="80"/>
    </w:p>
    <w:p>
      <w:pPr>
        <w:pStyle w:val="28"/>
        <w:numPr>
          <w:ilvl w:val="1"/>
          <w:numId w:val="5"/>
        </w:numPr>
        <w:spacing w:after="156" w:afterLines="50"/>
        <w:ind w:firstLineChars="0"/>
        <w:rPr>
          <w:rFonts w:ascii="黑体" w:hAnsi="黑体" w:eastAsia="黑体" w:cs="黑体"/>
        </w:rPr>
      </w:pPr>
    </w:p>
    <w:p>
      <w:pPr>
        <w:pStyle w:val="28"/>
        <w:spacing w:after="156" w:afterLines="50"/>
        <w:rPr>
          <w:rFonts w:ascii="黑体" w:hAnsi="黑体" w:eastAsia="黑体" w:cs="黑体"/>
        </w:rPr>
      </w:pPr>
      <w:r>
        <w:rPr>
          <w:rFonts w:hint="eastAsia" w:ascii="黑体" w:hAnsi="黑体" w:eastAsia="黑体" w:cs="黑体"/>
        </w:rPr>
        <w:t>焦距 focal length</w:t>
      </w:r>
    </w:p>
    <w:p>
      <w:pPr>
        <w:pStyle w:val="28"/>
        <w:rPr>
          <w:rFonts w:ascii="Times New Roman"/>
        </w:rPr>
      </w:pPr>
      <w:r>
        <w:rPr>
          <w:rFonts w:hint="eastAsia" w:ascii="Times New Roman"/>
        </w:rPr>
        <w:t>透镜中心到光聚集焦点的距离。</w:t>
      </w:r>
    </w:p>
    <w:p>
      <w:pPr>
        <w:pStyle w:val="28"/>
        <w:numPr>
          <w:ilvl w:val="1"/>
          <w:numId w:val="5"/>
        </w:numPr>
        <w:spacing w:after="156" w:afterLines="50"/>
        <w:ind w:firstLineChars="0"/>
        <w:rPr>
          <w:rFonts w:ascii="Times New Roman"/>
        </w:rPr>
      </w:pPr>
    </w:p>
    <w:p>
      <w:pPr>
        <w:pStyle w:val="28"/>
        <w:spacing w:after="156" w:afterLines="50"/>
        <w:ind w:firstLineChars="0"/>
        <w:rPr>
          <w:rFonts w:ascii="黑体" w:hAnsi="黑体" w:eastAsia="黑体" w:cs="黑体"/>
        </w:rPr>
      </w:pPr>
      <w:r>
        <w:rPr>
          <w:rFonts w:hint="eastAsia" w:ascii="黑体" w:hAnsi="黑体" w:eastAsia="黑体" w:cs="黑体"/>
        </w:rPr>
        <w:t>振镜 g</w:t>
      </w:r>
      <w:r>
        <w:t>alvo scanner</w:t>
      </w:r>
    </w:p>
    <w:p>
      <w:pPr>
        <w:pStyle w:val="28"/>
        <w:spacing w:after="156" w:afterLines="50"/>
        <w:ind w:firstLineChars="0"/>
        <w:rPr>
          <w:rFonts w:ascii="黑体" w:hAnsi="黑体" w:eastAsia="黑体" w:cs="黑体"/>
        </w:rPr>
      </w:pPr>
      <w:r>
        <w:t>通过驱动放大电路驱动光学扫描头,控制激光</w:t>
      </w:r>
      <w:r>
        <w:rPr>
          <w:rFonts w:hint="eastAsia"/>
        </w:rPr>
        <w:t>在</w:t>
      </w:r>
      <w:r>
        <w:t>平面</w:t>
      </w:r>
      <w:r>
        <w:rPr>
          <w:rFonts w:hint="eastAsia"/>
        </w:rPr>
        <w:t>内高速往复</w:t>
      </w:r>
      <w:r>
        <w:t>偏转</w:t>
      </w:r>
      <w:r>
        <w:rPr>
          <w:rFonts w:hint="eastAsia"/>
        </w:rPr>
        <w:t>的光学装置</w:t>
      </w:r>
      <w:r>
        <w:t>。</w:t>
      </w:r>
    </w:p>
    <w:p>
      <w:pPr>
        <w:pStyle w:val="28"/>
        <w:numPr>
          <w:ilvl w:val="1"/>
          <w:numId w:val="5"/>
        </w:numPr>
        <w:spacing w:after="156" w:afterLines="50"/>
        <w:ind w:firstLineChars="0"/>
        <w:rPr>
          <w:rFonts w:ascii="黑体" w:hAnsi="黑体" w:eastAsia="黑体" w:cs="黑体"/>
        </w:rPr>
      </w:pPr>
    </w:p>
    <w:p>
      <w:pPr>
        <w:pStyle w:val="28"/>
        <w:spacing w:after="156" w:afterLines="50"/>
        <w:rPr>
          <w:rFonts w:ascii="黑体" w:hAnsi="黑体" w:eastAsia="黑体" w:cs="黑体"/>
        </w:rPr>
      </w:pPr>
      <w:r>
        <w:rPr>
          <w:rFonts w:hint="eastAsia" w:ascii="黑体" w:hAnsi="黑体" w:eastAsia="黑体" w:cs="黑体"/>
        </w:rPr>
        <w:t>扫描宽度 laser line width</w:t>
      </w:r>
    </w:p>
    <w:p>
      <w:pPr>
        <w:adjustRightInd w:val="0"/>
        <w:snapToGrid w:val="0"/>
        <w:spacing w:line="360" w:lineRule="auto"/>
        <w:ind w:firstLine="420" w:firstLineChars="200"/>
      </w:pPr>
      <w:r>
        <w:rPr>
          <w:rFonts w:hint="eastAsia"/>
        </w:rPr>
        <w:t>激光在焦平面上的线性宽度。</w:t>
      </w:r>
    </w:p>
    <w:p>
      <w:pPr>
        <w:pStyle w:val="28"/>
        <w:numPr>
          <w:ilvl w:val="1"/>
          <w:numId w:val="5"/>
        </w:numPr>
        <w:spacing w:after="156" w:afterLines="50"/>
        <w:ind w:firstLineChars="0"/>
        <w:rPr>
          <w:rFonts w:ascii="黑体" w:hAnsi="黑体" w:eastAsia="黑体" w:cs="黑体"/>
          <w:szCs w:val="22"/>
        </w:rPr>
      </w:pPr>
    </w:p>
    <w:p>
      <w:pPr>
        <w:pStyle w:val="28"/>
        <w:spacing w:after="156" w:afterLines="50"/>
        <w:rPr>
          <w:rFonts w:ascii="黑体" w:hAnsi="黑体" w:eastAsia="黑体" w:cs="黑体"/>
          <w:szCs w:val="22"/>
        </w:rPr>
      </w:pPr>
      <w:r>
        <w:rPr>
          <w:rFonts w:hint="eastAsia" w:ascii="黑体" w:hAnsi="黑体" w:eastAsia="黑体" w:cs="黑体"/>
          <w:szCs w:val="22"/>
        </w:rPr>
        <w:t>扫描频率 scan frequency</w:t>
      </w:r>
    </w:p>
    <w:p>
      <w:pPr>
        <w:pStyle w:val="28"/>
        <w:rPr>
          <w:rFonts w:ascii="Times New Roman"/>
        </w:rPr>
      </w:pPr>
      <w:r>
        <w:rPr>
          <w:rFonts w:hint="eastAsia" w:ascii="Times New Roman"/>
        </w:rPr>
        <w:t>振镜在一秒内所摆动的次数。</w:t>
      </w:r>
    </w:p>
    <w:p>
      <w:pPr>
        <w:pStyle w:val="28"/>
        <w:numPr>
          <w:ilvl w:val="1"/>
          <w:numId w:val="5"/>
        </w:numPr>
        <w:spacing w:after="156" w:afterLines="50"/>
        <w:ind w:firstLineChars="0"/>
        <w:rPr>
          <w:rFonts w:ascii="黑体" w:hAnsi="黑体" w:eastAsia="黑体" w:cs="黑体"/>
          <w:szCs w:val="22"/>
        </w:rPr>
      </w:pPr>
    </w:p>
    <w:p>
      <w:pPr>
        <w:pStyle w:val="28"/>
        <w:spacing w:after="156" w:afterLines="50"/>
        <w:rPr>
          <w:rFonts w:ascii="黑体" w:hAnsi="黑体" w:eastAsia="黑体" w:cs="黑体"/>
          <w:szCs w:val="22"/>
        </w:rPr>
      </w:pPr>
      <w:r>
        <w:rPr>
          <w:rFonts w:hint="eastAsia" w:ascii="黑体" w:hAnsi="黑体" w:eastAsia="黑体" w:cs="黑体"/>
          <w:szCs w:val="22"/>
        </w:rPr>
        <w:t>光斑搭接</w:t>
      </w:r>
      <w:r>
        <w:rPr>
          <w:rFonts w:ascii="黑体" w:hAnsi="黑体" w:eastAsia="黑体" w:cs="黑体"/>
          <w:szCs w:val="22"/>
        </w:rPr>
        <w:t xml:space="preserve"> </w:t>
      </w:r>
      <w:r>
        <w:rPr>
          <w:rFonts w:hint="eastAsia" w:ascii="黑体" w:hAnsi="黑体" w:eastAsia="黑体" w:cs="黑体"/>
          <w:szCs w:val="22"/>
        </w:rPr>
        <w:t>spot overlap</w:t>
      </w:r>
    </w:p>
    <w:p>
      <w:pPr>
        <w:pStyle w:val="28"/>
        <w:rPr>
          <w:rFonts w:ascii="Times New Roman"/>
        </w:rPr>
      </w:pPr>
      <w:r>
        <w:rPr>
          <w:rFonts w:hint="eastAsia" w:ascii="Times New Roman"/>
        </w:rPr>
        <w:t>激光通过振镜扫描，聚焦光斑在焦平面的重叠程度。</w:t>
      </w:r>
    </w:p>
    <w:p>
      <w:pPr>
        <w:pStyle w:val="87"/>
      </w:pPr>
      <w:bookmarkStart w:id="81" w:name="_Toc6043"/>
      <w:bookmarkEnd w:id="81"/>
      <w:bookmarkStart w:id="82" w:name="_Toc22814"/>
      <w:bookmarkEnd w:id="82"/>
      <w:bookmarkStart w:id="83" w:name="_Toc31725"/>
      <w:bookmarkEnd w:id="83"/>
      <w:bookmarkStart w:id="84" w:name="_Toc2907"/>
      <w:bookmarkEnd w:id="84"/>
      <w:bookmarkStart w:id="85" w:name="_Toc190"/>
      <w:bookmarkEnd w:id="85"/>
      <w:bookmarkStart w:id="86" w:name="_Toc2596"/>
      <w:bookmarkEnd w:id="86"/>
      <w:bookmarkStart w:id="87" w:name="_Toc10124"/>
      <w:bookmarkEnd w:id="87"/>
      <w:bookmarkStart w:id="88" w:name="_Toc33102853"/>
      <w:bookmarkEnd w:id="88"/>
      <w:bookmarkStart w:id="89" w:name="_Toc33102855"/>
      <w:bookmarkEnd w:id="89"/>
      <w:bookmarkStart w:id="90" w:name="_Toc33102856"/>
      <w:bookmarkEnd w:id="90"/>
      <w:bookmarkStart w:id="91" w:name="_Toc518317625"/>
      <w:bookmarkEnd w:id="91"/>
      <w:bookmarkStart w:id="92" w:name="_Toc518317808"/>
      <w:bookmarkEnd w:id="92"/>
      <w:bookmarkStart w:id="93" w:name="_Toc14826"/>
      <w:bookmarkEnd w:id="93"/>
      <w:bookmarkStart w:id="94" w:name="_Toc30072"/>
      <w:bookmarkEnd w:id="94"/>
      <w:bookmarkStart w:id="95" w:name="_Toc2126"/>
      <w:bookmarkEnd w:id="95"/>
      <w:bookmarkStart w:id="96" w:name="_Toc24122"/>
      <w:bookmarkEnd w:id="96"/>
      <w:bookmarkStart w:id="97" w:name="_Toc9460"/>
      <w:bookmarkEnd w:id="97"/>
      <w:bookmarkStart w:id="98" w:name="_Toc33102857"/>
      <w:bookmarkEnd w:id="98"/>
      <w:bookmarkStart w:id="99" w:name="_Toc27992"/>
      <w:bookmarkStart w:id="100" w:name="_Toc26842"/>
      <w:r>
        <w:rPr>
          <w:rFonts w:hint="eastAsia"/>
        </w:rPr>
        <w:t>基本要求</w:t>
      </w:r>
      <w:bookmarkEnd w:id="99"/>
    </w:p>
    <w:p>
      <w:pPr>
        <w:pStyle w:val="76"/>
        <w:rPr>
          <w:rFonts w:hAnsi="黑体" w:cs="黑体"/>
          <w:shd w:val="clear" w:color="auto" w:fill="FFFFFF"/>
        </w:rPr>
      </w:pPr>
      <w:bookmarkStart w:id="101" w:name="_Toc22046"/>
      <w:r>
        <w:rPr>
          <w:rFonts w:hint="eastAsia" w:hAnsi="黑体" w:cs="黑体"/>
          <w:shd w:val="clear" w:color="auto" w:fill="FFFFFF"/>
        </w:rPr>
        <w:t>操作人员</w:t>
      </w:r>
      <w:bookmarkEnd w:id="101"/>
    </w:p>
    <w:p>
      <w:pPr>
        <w:pStyle w:val="28"/>
        <w:rPr>
          <w:rFonts w:hAnsi="宋体" w:cs="宋体"/>
        </w:rPr>
      </w:pPr>
      <w:r>
        <w:rPr>
          <w:rFonts w:hint="eastAsia" w:ascii="Times New Roman"/>
        </w:rPr>
        <w:t>从事铝合金车体焊接同步激光清洗的操作人员需具备焊接设备操作资格证，且经过相关工艺、焊接同步激光清洗设备使用操作及安全培训后方可上岗。操作人员作业时必须佩戴能够屏蔽激光器发射的整个波长范围内激光的安全防护眼镜。</w:t>
      </w:r>
    </w:p>
    <w:p>
      <w:pPr>
        <w:pStyle w:val="76"/>
        <w:rPr>
          <w:rFonts w:hAnsi="黑体" w:cs="黑体"/>
          <w:shd w:val="clear" w:color="auto" w:fill="FFFFFF"/>
        </w:rPr>
      </w:pPr>
      <w:bookmarkStart w:id="102" w:name="_Toc16974"/>
      <w:r>
        <w:rPr>
          <w:rFonts w:hint="eastAsia" w:hAnsi="黑体" w:cs="黑体"/>
          <w:shd w:val="clear" w:color="auto" w:fill="FFFFFF"/>
        </w:rPr>
        <w:t>作业环境</w:t>
      </w:r>
      <w:bookmarkEnd w:id="102"/>
    </w:p>
    <w:p>
      <w:pPr>
        <w:pStyle w:val="28"/>
        <w:ind w:firstLine="0" w:firstLineChars="0"/>
        <w:rPr>
          <w:rFonts w:hAnsi="宋体" w:cs="宋体"/>
        </w:rPr>
      </w:pPr>
      <w:r>
        <w:rPr>
          <w:rFonts w:hint="eastAsia" w:hAnsi="宋体" w:cs="宋体"/>
        </w:rPr>
        <w:t>4.2.1 铝合金车体焊接同步激光清洗作业环境满足TB/T 3259和铝合金电弧焊接作业环境要求。</w:t>
      </w:r>
    </w:p>
    <w:p>
      <w:pPr>
        <w:pStyle w:val="28"/>
        <w:ind w:firstLine="0" w:firstLineChars="0"/>
        <w:rPr>
          <w:rFonts w:hAnsi="宋体" w:cs="宋体"/>
        </w:rPr>
      </w:pPr>
      <w:r>
        <w:rPr>
          <w:rFonts w:hint="eastAsia" w:hAnsi="宋体" w:cs="宋体"/>
        </w:rPr>
        <w:t>4.2.2 焊接同步激光清洗的场地按照GB 2894的规定设有明显的安全标志，并设置警示带或栅栏，防止与工作无关人员误入工作区。</w:t>
      </w:r>
    </w:p>
    <w:p>
      <w:pPr>
        <w:pStyle w:val="76"/>
        <w:rPr>
          <w:rFonts w:hAnsi="黑体" w:cs="黑体"/>
          <w:shd w:val="clear" w:color="auto" w:fill="FFFFFF"/>
        </w:rPr>
      </w:pPr>
      <w:bookmarkStart w:id="103" w:name="_Toc13352"/>
      <w:r>
        <w:rPr>
          <w:rFonts w:hint="eastAsia" w:hAnsi="黑体" w:cs="黑体"/>
          <w:shd w:val="clear" w:color="auto" w:fill="FFFFFF"/>
        </w:rPr>
        <w:t>工作电压</w:t>
      </w:r>
      <w:bookmarkEnd w:id="103"/>
    </w:p>
    <w:p>
      <w:pPr>
        <w:pStyle w:val="28"/>
        <w:rPr>
          <w:rFonts w:ascii="Times New Roman"/>
        </w:rPr>
      </w:pPr>
      <w:r>
        <w:rPr>
          <w:rFonts w:ascii="Times New Roman"/>
        </w:rPr>
        <w:t>电源电压采用输入电压</w:t>
      </w:r>
      <w:r>
        <w:rPr>
          <w:rFonts w:hint="eastAsia" w:ascii="Times New Roman"/>
        </w:rPr>
        <w:t>单相</w:t>
      </w:r>
      <w:r>
        <w:rPr>
          <w:rFonts w:ascii="Times New Roman"/>
        </w:rPr>
        <w:t>AC 220</w:t>
      </w:r>
      <w:r>
        <w:rPr>
          <w:rFonts w:hint="eastAsia" w:ascii="Times New Roman"/>
        </w:rPr>
        <w:t>±10%</w:t>
      </w:r>
      <w:r>
        <w:rPr>
          <w:rFonts w:ascii="Times New Roman"/>
        </w:rPr>
        <w:t>V、50</w:t>
      </w:r>
      <w:r>
        <w:rPr>
          <w:rFonts w:hint="eastAsia" w:ascii="Times New Roman"/>
        </w:rPr>
        <w:t>±</w:t>
      </w:r>
      <w:r>
        <w:rPr>
          <w:rFonts w:ascii="Times New Roman"/>
        </w:rPr>
        <w:t>1H</w:t>
      </w:r>
      <w:r>
        <w:rPr>
          <w:rFonts w:hint="eastAsia" w:ascii="Times New Roman"/>
        </w:rPr>
        <w:t>z</w:t>
      </w:r>
      <w:r>
        <w:rPr>
          <w:rFonts w:ascii="Times New Roman"/>
        </w:rPr>
        <w:t>或</w:t>
      </w:r>
      <w:r>
        <w:rPr>
          <w:rFonts w:hint="eastAsia" w:ascii="Times New Roman"/>
        </w:rPr>
        <w:t>三相</w:t>
      </w:r>
      <w:r>
        <w:rPr>
          <w:rFonts w:ascii="Times New Roman"/>
        </w:rPr>
        <w:t>AC 380</w:t>
      </w:r>
      <w:r>
        <w:rPr>
          <w:rFonts w:hint="eastAsia" w:ascii="Times New Roman"/>
        </w:rPr>
        <w:t>±10%</w:t>
      </w:r>
      <w:r>
        <w:rPr>
          <w:rFonts w:ascii="Times New Roman"/>
        </w:rPr>
        <w:t>V、50</w:t>
      </w:r>
      <w:r>
        <w:rPr>
          <w:rFonts w:hint="eastAsia" w:ascii="Times New Roman"/>
        </w:rPr>
        <w:t>±</w:t>
      </w:r>
      <w:r>
        <w:rPr>
          <w:rFonts w:ascii="Times New Roman"/>
        </w:rPr>
        <w:t>1H</w:t>
      </w:r>
      <w:r>
        <w:rPr>
          <w:rFonts w:hint="eastAsia" w:ascii="Times New Roman"/>
        </w:rPr>
        <w:t>z。</w:t>
      </w:r>
    </w:p>
    <w:p>
      <w:pPr>
        <w:pStyle w:val="76"/>
        <w:rPr>
          <w:rFonts w:hAnsi="黑体" w:cs="黑体"/>
          <w:shd w:val="clear" w:color="auto" w:fill="FFFFFF"/>
        </w:rPr>
      </w:pPr>
      <w:bookmarkStart w:id="104" w:name="_Toc32137"/>
      <w:r>
        <w:rPr>
          <w:rFonts w:hint="eastAsia" w:hAnsi="黑体" w:cs="黑体"/>
          <w:shd w:val="clear" w:color="auto" w:fill="FFFFFF"/>
        </w:rPr>
        <w:t>设备集成</w:t>
      </w:r>
      <w:bookmarkEnd w:id="104"/>
    </w:p>
    <w:p>
      <w:pPr>
        <w:pStyle w:val="28"/>
        <w:ind w:firstLine="0" w:firstLineChars="0"/>
        <w:rPr>
          <w:rFonts w:hAnsi="宋体" w:cs="宋体"/>
        </w:rPr>
      </w:pPr>
      <w:r>
        <w:rPr>
          <w:rFonts w:hint="eastAsia" w:hAnsi="宋体" w:cs="宋体"/>
        </w:rPr>
        <w:t>4.4.1 焊接同步激光清洗设备是将激光清洗装置集成在自动电弧焊接设备上而成。激光清洗装置主要包括激光器主机、激光清洗头和控制系统。</w:t>
      </w:r>
    </w:p>
    <w:p>
      <w:pPr>
        <w:pStyle w:val="28"/>
        <w:ind w:firstLine="0" w:firstLineChars="0"/>
        <w:rPr>
          <w:rFonts w:hAnsi="宋体" w:cs="宋体"/>
        </w:rPr>
      </w:pPr>
      <w:r>
        <w:rPr>
          <w:rFonts w:hint="eastAsia" w:hAnsi="宋体" w:cs="宋体"/>
        </w:rPr>
        <w:t>4.4.2 激光器主机主要包括激光发生器和冷却装置，并整体机械固定在自动电弧焊接设备龙门架或其他合适位置。激光发生器采用高峰值功率脉冲激光发生器，其产生的激光通过光纤传输到激光清洗头，且光纤在安装和设备运行过程中需避免超过光纤最小弯曲半径的过度弯曲。</w:t>
      </w:r>
    </w:p>
    <w:p>
      <w:pPr>
        <w:pStyle w:val="28"/>
        <w:ind w:firstLine="0" w:firstLineChars="0"/>
        <w:rPr>
          <w:rFonts w:hAnsi="宋体" w:cs="宋体"/>
        </w:rPr>
      </w:pPr>
      <w:r>
        <w:rPr>
          <w:rFonts w:hint="eastAsia" w:hAnsi="宋体" w:cs="宋体"/>
        </w:rPr>
        <w:t>4.4.3 激光清洗头应在自动电弧焊接机械手的有效负载内进行轻量化设计，激光清洗头采用一维或者二维振镜实现激光高速扫描，最大扫描宽度大于工艺要求的焊缝两侧氧化膜去除宽度，激光焦距综合考虑能量密度和待焊工件结构特点确定。激光清洗头与电弧焊枪保持一定距离且激光清洗头镜头前端需安装正压防尘腔和挡光防尘板，防止弧焊飞溅及烟尘污染激光清洗头保护镜片和避免温度过高报警，激光清洗头结构示意图如图1所示。</w:t>
      </w:r>
    </w:p>
    <w:p>
      <w:pPr>
        <w:pStyle w:val="28"/>
        <w:ind w:firstLine="0" w:firstLineChars="0"/>
        <w:jc w:val="center"/>
      </w:pPr>
      <w:r>
        <w:drawing>
          <wp:inline distT="0" distB="0" distL="114300" distR="114300">
            <wp:extent cx="1997075" cy="2879725"/>
            <wp:effectExtent l="0" t="0" r="3175" b="1587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1997075" cy="2879725"/>
                    </a:xfrm>
                    <a:prstGeom prst="rect">
                      <a:avLst/>
                    </a:prstGeom>
                    <a:noFill/>
                    <a:ln>
                      <a:noFill/>
                    </a:ln>
                  </pic:spPr>
                </pic:pic>
              </a:graphicData>
            </a:graphic>
          </wp:inline>
        </w:drawing>
      </w:r>
    </w:p>
    <w:p>
      <w:pPr>
        <w:pStyle w:val="28"/>
        <w:ind w:firstLine="0" w:firstLineChars="0"/>
        <w:jc w:val="center"/>
      </w:pPr>
      <w:r>
        <w:t>图1 激光清洗头结构示意图</w:t>
      </w:r>
    </w:p>
    <w:p>
      <w:pPr>
        <w:pStyle w:val="28"/>
        <w:rPr>
          <w:rFonts w:hAnsi="宋体" w:cs="宋体"/>
        </w:rPr>
      </w:pPr>
      <w:r>
        <w:rPr>
          <w:rFonts w:hAnsi="宋体" w:cs="宋体"/>
        </w:rPr>
        <w:t>激光清洗头通过夹具固定在自动电弧焊接机械手末端轴上，激光清洗头集成示意图如图2所示，该夹具需具备激光清洗头X、Y、Z三向手动调节功能，以适应因焊缝结构不同和产品装配误差引起的尺寸变化。</w:t>
      </w:r>
    </w:p>
    <w:p>
      <w:pPr>
        <w:pStyle w:val="28"/>
        <w:ind w:firstLine="0" w:firstLineChars="0"/>
        <w:jc w:val="center"/>
      </w:pPr>
      <w:r>
        <w:drawing>
          <wp:inline distT="0" distB="0" distL="114300" distR="114300">
            <wp:extent cx="3869055" cy="2879725"/>
            <wp:effectExtent l="0" t="0" r="17145" b="1587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2"/>
                    <a:stretch>
                      <a:fillRect/>
                    </a:stretch>
                  </pic:blipFill>
                  <pic:spPr>
                    <a:xfrm>
                      <a:off x="0" y="0"/>
                      <a:ext cx="3869055" cy="2879725"/>
                    </a:xfrm>
                    <a:prstGeom prst="rect">
                      <a:avLst/>
                    </a:prstGeom>
                    <a:noFill/>
                    <a:ln>
                      <a:noFill/>
                    </a:ln>
                  </pic:spPr>
                </pic:pic>
              </a:graphicData>
            </a:graphic>
          </wp:inline>
        </w:drawing>
      </w:r>
    </w:p>
    <w:p>
      <w:pPr>
        <w:pStyle w:val="28"/>
        <w:ind w:firstLine="0" w:firstLineChars="0"/>
        <w:jc w:val="center"/>
      </w:pPr>
      <w:r>
        <w:rPr>
          <w:rFonts w:hint="eastAsia"/>
        </w:rPr>
        <w:t>图2 激光清洗头集成示意图</w:t>
      </w:r>
    </w:p>
    <w:p>
      <w:pPr>
        <w:pStyle w:val="28"/>
        <w:ind w:firstLine="0" w:firstLineChars="0"/>
        <w:jc w:val="left"/>
      </w:pPr>
      <w:r>
        <w:rPr>
          <w:rFonts w:hint="eastAsia"/>
        </w:rPr>
        <w:t>4.4.4 激光清洗装置控制系统能对激光器和振镜等各参数进行设置、存储和调用。如果激光清洗装置控制系统未集成到自动电弧焊接示教器内则需配置有线或者遥控手柄，该手柄至少具备激光启动/关闭及设备急停功能。</w:t>
      </w:r>
    </w:p>
    <w:p>
      <w:pPr>
        <w:pStyle w:val="28"/>
        <w:ind w:firstLine="0" w:firstLineChars="0"/>
        <w:jc w:val="left"/>
      </w:pPr>
      <w:r>
        <w:rPr>
          <w:rFonts w:hint="eastAsia"/>
        </w:rPr>
        <w:t>4.4.5 焊接同步激光清洗设备辐射安全符合GB 7247.1-2012第4章的要求,并按照GB 7247.1-2012第5章的要求对激光辐射安全进行标记。</w:t>
      </w:r>
    </w:p>
    <w:p>
      <w:pPr>
        <w:pStyle w:val="28"/>
        <w:ind w:firstLine="0" w:firstLineChars="0"/>
        <w:jc w:val="left"/>
      </w:pPr>
      <w:r>
        <w:rPr>
          <w:rFonts w:hint="eastAsia"/>
        </w:rPr>
        <w:t>4.4.6 其他安全防护按照GB 2894、GB/T 5226.1、GB/T 7247.14、GB/T 18490.1的规定执行。</w:t>
      </w:r>
    </w:p>
    <w:bookmarkEnd w:id="100"/>
    <w:p>
      <w:pPr>
        <w:pStyle w:val="87"/>
      </w:pPr>
      <w:bookmarkStart w:id="105" w:name="_Toc15880"/>
      <w:r>
        <w:rPr>
          <w:rFonts w:hint="eastAsia"/>
        </w:rPr>
        <w:t>工艺准备</w:t>
      </w:r>
      <w:bookmarkEnd w:id="105"/>
    </w:p>
    <w:p>
      <w:pPr>
        <w:pStyle w:val="76"/>
        <w:ind w:left="0"/>
        <w:rPr>
          <w:rFonts w:hAnsi="黑体" w:cs="黑体"/>
          <w:shd w:val="clear" w:color="auto" w:fill="FFFFFF"/>
        </w:rPr>
      </w:pPr>
      <w:bookmarkStart w:id="106" w:name="_Toc31318"/>
      <w:r>
        <w:rPr>
          <w:rFonts w:hint="eastAsia" w:hAnsi="黑体" w:cs="黑体"/>
          <w:shd w:val="clear" w:color="auto" w:fill="FFFFFF"/>
        </w:rPr>
        <w:t>工艺准备内容</w:t>
      </w:r>
      <w:bookmarkEnd w:id="106"/>
    </w:p>
    <w:p>
      <w:pPr>
        <w:pStyle w:val="28"/>
        <w:rPr>
          <w:rFonts w:hAnsi="宋体" w:cs="宋体"/>
        </w:rPr>
      </w:pPr>
      <w:r>
        <w:rPr>
          <w:rFonts w:hint="eastAsia" w:hAnsi="宋体" w:cs="宋体"/>
        </w:rPr>
        <w:t>工艺准备包括工艺试验验证、工艺评定和工艺规程编制。</w:t>
      </w:r>
    </w:p>
    <w:p>
      <w:pPr>
        <w:pStyle w:val="76"/>
        <w:ind w:left="0"/>
        <w:rPr>
          <w:rFonts w:hAnsi="黑体" w:cs="黑体"/>
          <w:shd w:val="clear" w:color="auto" w:fill="FFFFFF"/>
        </w:rPr>
      </w:pPr>
      <w:bookmarkStart w:id="107" w:name="_Toc4344"/>
      <w:r>
        <w:rPr>
          <w:rFonts w:hint="eastAsia" w:hAnsi="黑体" w:cs="黑体"/>
          <w:shd w:val="clear" w:color="auto" w:fill="FFFFFF"/>
        </w:rPr>
        <w:t>工艺试验验证</w:t>
      </w:r>
      <w:bookmarkEnd w:id="107"/>
    </w:p>
    <w:p>
      <w:pPr>
        <w:pStyle w:val="110"/>
        <w:ind w:left="0"/>
        <w:rPr>
          <w:rFonts w:hAnsi="宋体" w:cs="宋体"/>
        </w:rPr>
      </w:pPr>
      <w:r>
        <w:rPr>
          <w:rFonts w:hint="eastAsia" w:hAnsi="宋体" w:cs="宋体"/>
        </w:rPr>
        <w:t>可通过焊接同步激光清洗试验，确定激光能量密度阈值范围。激光能量密度可参考公式(1)计算:</w:t>
      </w:r>
    </w:p>
    <w:p>
      <w:pPr>
        <w:pStyle w:val="110"/>
        <w:numPr>
          <w:ilvl w:val="0"/>
          <w:numId w:val="0"/>
        </w:numPr>
        <w:jc w:val="right"/>
        <w:rPr>
          <w:rFonts w:hAnsi="宋体" w:cs="宋体"/>
        </w:rPr>
      </w:pPr>
      <m:oMath>
        <m:r>
          <m:rPr>
            <m:sty m:val="p"/>
          </m:rPr>
          <w:rPr>
            <w:rFonts w:ascii="Cambria Math" w:hAnsi="Cambria Math" w:cs="宋体"/>
          </w:rPr>
          <m:t>E=</m:t>
        </m:r>
        <m:f>
          <m:fPr>
            <m:ctrlPr>
              <w:rPr>
                <w:rFonts w:ascii="Cambria Math" w:hAnsi="Cambria Math" w:cs="宋体"/>
              </w:rPr>
            </m:ctrlPr>
          </m:fPr>
          <m:num>
            <m:r>
              <m:rPr>
                <m:sty m:val="p"/>
              </m:rPr>
              <w:rPr>
                <w:rFonts w:ascii="Cambria Math" w:hAnsi="Cambria Math" w:cs="宋体"/>
              </w:rPr>
              <m:t>P</m:t>
            </m:r>
            <m:ctrlPr>
              <w:rPr>
                <w:rFonts w:ascii="Cambria Math" w:hAnsi="Cambria Math" w:cs="宋体"/>
              </w:rPr>
            </m:ctrlPr>
          </m:num>
          <m:den>
            <m:r>
              <m:rPr>
                <m:sty m:val="p"/>
              </m:rPr>
              <w:rPr>
                <w:rFonts w:ascii="Cambria Math" w:hAnsi="Cambria Math" w:cs="宋体"/>
              </w:rPr>
              <m:t>S</m:t>
            </m:r>
            <m:r>
              <m:rPr>
                <m:sty m:val="p"/>
              </m:rPr>
              <w:rPr>
                <w:rFonts w:hint="eastAsia" w:ascii="Cambria Math" w:hAnsi="Cambria Math" w:cs="宋体"/>
              </w:rPr>
              <m:t>×</m:t>
            </m:r>
            <m:r>
              <m:rPr>
                <m:sty m:val="p"/>
              </m:rPr>
              <w:rPr>
                <w:rFonts w:ascii="Cambria Math" w:hAnsi="Cambria Math" w:cs="宋体"/>
              </w:rPr>
              <m:t>F</m:t>
            </m:r>
            <m:ctrlPr>
              <w:rPr>
                <w:rFonts w:ascii="Cambria Math" w:hAnsi="Cambria Math" w:cs="宋体"/>
              </w:rPr>
            </m:ctrlPr>
          </m:den>
        </m:f>
      </m:oMath>
      <w:r>
        <w:rPr>
          <w:rFonts w:hint="eastAsia" w:hAnsi="宋体" w:cs="宋体"/>
        </w:rPr>
        <w:t xml:space="preserve">                                     (1)</w:t>
      </w:r>
    </w:p>
    <w:p>
      <w:pPr>
        <w:pStyle w:val="110"/>
        <w:numPr>
          <w:ilvl w:val="0"/>
          <w:numId w:val="0"/>
        </w:numPr>
        <w:rPr>
          <w:rFonts w:hAnsi="宋体" w:cs="宋体"/>
        </w:rPr>
      </w:pPr>
      <w:r>
        <w:rPr>
          <w:rFonts w:hAnsi="宋体" w:cs="宋体"/>
        </w:rPr>
        <w:t>式中：</w:t>
      </w:r>
    </w:p>
    <w:p>
      <w:pPr>
        <w:pStyle w:val="110"/>
        <w:numPr>
          <w:ilvl w:val="0"/>
          <w:numId w:val="0"/>
        </w:numPr>
        <w:rPr>
          <w:rFonts w:hAnsi="宋体" w:cs="宋体"/>
        </w:rPr>
      </w:pPr>
      <w:r>
        <w:rPr>
          <w:rFonts w:hAnsi="宋体" w:cs="宋体"/>
        </w:rPr>
        <w:t>E—激光能量密度，单位为焦耳每平方厘米(J/cm</w:t>
      </w:r>
      <w:r>
        <w:rPr>
          <w:rFonts w:hAnsi="宋体" w:cs="宋体"/>
          <w:vertAlign w:val="superscript"/>
        </w:rPr>
        <w:t>2</w:t>
      </w:r>
      <w:r>
        <w:rPr>
          <w:rFonts w:hAnsi="宋体" w:cs="宋体"/>
        </w:rPr>
        <w:t>)；</w:t>
      </w:r>
    </w:p>
    <w:p>
      <w:pPr>
        <w:pStyle w:val="110"/>
        <w:numPr>
          <w:ilvl w:val="0"/>
          <w:numId w:val="0"/>
        </w:numPr>
        <w:rPr>
          <w:rFonts w:hAnsi="宋体" w:cs="宋体"/>
        </w:rPr>
      </w:pPr>
      <w:r>
        <w:rPr>
          <w:rFonts w:hAnsi="宋体" w:cs="宋体"/>
        </w:rPr>
        <w:t>P—激光平均功率，单位为瓦特(W)；</w:t>
      </w:r>
    </w:p>
    <w:p>
      <w:pPr>
        <w:pStyle w:val="110"/>
        <w:numPr>
          <w:ilvl w:val="0"/>
          <w:numId w:val="0"/>
        </w:numPr>
        <w:rPr>
          <w:rFonts w:hAnsi="宋体" w:cs="宋体"/>
        </w:rPr>
      </w:pPr>
      <w:r>
        <w:rPr>
          <w:rFonts w:hAnsi="宋体" w:cs="宋体"/>
        </w:rPr>
        <w:t>S—光斑面积，单位为平方厘米(cm</w:t>
      </w:r>
      <w:r>
        <w:rPr>
          <w:rFonts w:hAnsi="宋体" w:cs="宋体"/>
          <w:vertAlign w:val="superscript"/>
        </w:rPr>
        <w:t>2</w:t>
      </w:r>
      <w:r>
        <w:rPr>
          <w:rFonts w:hAnsi="宋体" w:cs="宋体"/>
        </w:rPr>
        <w:t>)</w:t>
      </w:r>
      <w:r>
        <w:rPr>
          <w:rFonts w:hint="eastAsia" w:hAnsi="宋体" w:cs="宋体"/>
        </w:rPr>
        <w:t>；</w:t>
      </w:r>
    </w:p>
    <w:p>
      <w:pPr>
        <w:pStyle w:val="110"/>
        <w:numPr>
          <w:ilvl w:val="0"/>
          <w:numId w:val="0"/>
        </w:numPr>
        <w:rPr>
          <w:rFonts w:hAnsi="宋体" w:cs="宋体"/>
        </w:rPr>
      </w:pPr>
      <w:r>
        <w:rPr>
          <w:rFonts w:hAnsi="宋体" w:cs="宋体"/>
        </w:rPr>
        <w:t>F—脉冲重复频率，单位为千赫兹(kHz)</w:t>
      </w:r>
      <w:r>
        <w:rPr>
          <w:rFonts w:hint="eastAsia" w:hAnsi="宋体" w:cs="宋体"/>
        </w:rPr>
        <w:t>。</w:t>
      </w:r>
    </w:p>
    <w:p>
      <w:pPr>
        <w:pStyle w:val="110"/>
        <w:ind w:left="0"/>
        <w:rPr>
          <w:rFonts w:hAnsi="宋体" w:cs="宋体"/>
        </w:rPr>
      </w:pPr>
      <w:r>
        <w:rPr>
          <w:rFonts w:hint="eastAsia" w:hAnsi="宋体" w:cs="宋体"/>
        </w:rPr>
        <w:t>在进行焊接同步激光清洗试验时逐渐增加激光能量密度，根据氧化膜去除量和表面残余状态测试出清洗阈值和损伤阈值，测试时以氧化膜开始减少的数值作为激光能量密度下限即清洗阈值，当氧化膜全部去掉时，以铝合金材料开始减少的数值作为激光能量密度上限即损伤阈值，当激光能量密度超出损伤阈值且铝合金基材损伤深度达到1</w:t>
      </w:r>
      <w:r>
        <w:rPr>
          <w:rFonts w:hAnsi="宋体" w:cs="宋体"/>
        </w:rPr>
        <w:t>0</w:t>
      </w:r>
      <w:r>
        <w:rPr>
          <w:rFonts w:hint="eastAsia" w:hAnsi="宋体" w:cs="宋体"/>
        </w:rPr>
        <w:t>um时，不再继续测试。为提高清洗效率和便于作业后的外观检查，激光清洗的能量密度可达到损伤阈值，但铝合金基材损伤深度不超过1</w:t>
      </w:r>
      <w:r>
        <w:rPr>
          <w:rFonts w:hAnsi="宋体" w:cs="宋体"/>
        </w:rPr>
        <w:t>0</w:t>
      </w:r>
      <w:r>
        <w:rPr>
          <w:rFonts w:hint="eastAsia" w:hAnsi="宋体" w:cs="宋体"/>
        </w:rPr>
        <w:t>um。</w:t>
      </w:r>
    </w:p>
    <w:p>
      <w:pPr>
        <w:pStyle w:val="110"/>
        <w:ind w:left="0"/>
        <w:rPr>
          <w:rFonts w:hAnsi="宋体" w:cs="宋体"/>
        </w:rPr>
      </w:pPr>
      <w:r>
        <w:rPr>
          <w:rFonts w:hint="eastAsia" w:hAnsi="宋体" w:cs="宋体"/>
        </w:rPr>
        <w:t>为达到最高效率和避免过度损伤，推荐激光清洗头焦距选择210mm或254mm，并设置和优化激光平均功率、清洗速度、作业光斑直径、扫描宽度等关键工艺参数，常见铝合金焊接同步激光清洗工艺参数可参考表1进行选取。</w:t>
      </w:r>
    </w:p>
    <w:p>
      <w:pPr>
        <w:pStyle w:val="110"/>
        <w:numPr>
          <w:ilvl w:val="0"/>
          <w:numId w:val="0"/>
        </w:numPr>
        <w:jc w:val="center"/>
        <w:rPr>
          <w:rFonts w:hAnsi="宋体" w:cs="宋体"/>
        </w:rPr>
      </w:pPr>
      <w:r>
        <w:rPr>
          <w:rFonts w:hint="eastAsia" w:hAnsi="宋体" w:cs="宋体"/>
        </w:rPr>
        <w:t>表1 铝合金焊接同步激光清洗推荐工艺参数</w:t>
      </w:r>
    </w:p>
    <w:tbl>
      <w:tblPr>
        <w:tblStyle w:val="38"/>
        <w:tblW w:w="499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89"/>
        <w:gridCol w:w="3189"/>
        <w:gridCol w:w="318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序号</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工艺参数</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范围</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1</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激光平均功率（W）</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100~200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2</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清洗速度（m/min）</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0.45~1.2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3</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扫描宽度（mm）</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40~50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4</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作业光斑直径（μm）</w:t>
            </w:r>
          </w:p>
        </w:tc>
        <w:tc>
          <w:tcPr>
            <w:tcW w:w="16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40~120</w:t>
            </w:r>
          </w:p>
        </w:tc>
      </w:tr>
    </w:tbl>
    <w:p>
      <w:pPr>
        <w:pStyle w:val="110"/>
        <w:ind w:left="0"/>
        <w:rPr>
          <w:rFonts w:hAnsi="宋体" w:cs="宋体"/>
        </w:rPr>
      </w:pPr>
      <w:r>
        <w:rPr>
          <w:rFonts w:hint="eastAsia" w:hAnsi="宋体" w:cs="宋体"/>
        </w:rPr>
        <w:t>取与铝合金车体焊接结构同种状态的试件，进行工艺参数验证，并检查清洗质量是否满足要求。</w:t>
      </w:r>
    </w:p>
    <w:p>
      <w:pPr>
        <w:pStyle w:val="76"/>
        <w:ind w:left="0"/>
        <w:rPr>
          <w:rFonts w:hAnsi="黑体" w:cs="黑体"/>
          <w:shd w:val="clear" w:color="auto" w:fill="FFFFFF"/>
        </w:rPr>
      </w:pPr>
      <w:bookmarkStart w:id="108" w:name="_Toc23458"/>
      <w:r>
        <w:rPr>
          <w:rFonts w:hint="eastAsia" w:hAnsi="黑体" w:cs="黑体"/>
          <w:shd w:val="clear" w:color="auto" w:fill="FFFFFF"/>
        </w:rPr>
        <w:t>工艺评定</w:t>
      </w:r>
      <w:bookmarkEnd w:id="108"/>
    </w:p>
    <w:p>
      <w:pPr>
        <w:pStyle w:val="110"/>
        <w:ind w:left="0"/>
        <w:rPr>
          <w:rFonts w:hAnsi="宋体" w:cs="宋体"/>
        </w:rPr>
      </w:pPr>
      <w:r>
        <w:rPr>
          <w:rFonts w:hint="eastAsia" w:hAnsi="宋体" w:cs="宋体"/>
        </w:rPr>
        <w:t>评定条件及要求</w:t>
      </w:r>
    </w:p>
    <w:p>
      <w:pPr>
        <w:pStyle w:val="110"/>
        <w:numPr>
          <w:ilvl w:val="3"/>
          <w:numId w:val="5"/>
        </w:numPr>
        <w:rPr>
          <w:rFonts w:hAnsi="宋体" w:cs="宋体"/>
        </w:rPr>
      </w:pPr>
      <w:r>
        <w:rPr>
          <w:rFonts w:hint="eastAsia" w:hAnsi="宋体" w:cs="宋体"/>
        </w:rPr>
        <w:t>当发生以下情况应进行工艺评定：</w:t>
      </w:r>
    </w:p>
    <w:p>
      <w:pPr>
        <w:pStyle w:val="110"/>
        <w:numPr>
          <w:ilvl w:val="0"/>
          <w:numId w:val="0"/>
        </w:numPr>
        <w:rPr>
          <w:rFonts w:hAnsi="宋体" w:cs="宋体"/>
        </w:rPr>
      </w:pPr>
      <w:r>
        <w:rPr>
          <w:rFonts w:hAnsi="宋体" w:cs="宋体"/>
        </w:rPr>
        <w:t>a</w:t>
      </w:r>
      <w:r>
        <w:rPr>
          <w:rFonts w:hint="eastAsia" w:hAnsi="宋体" w:cs="宋体"/>
        </w:rPr>
        <w:t>）</w:t>
      </w:r>
      <w:r>
        <w:rPr>
          <w:rFonts w:hAnsi="宋体" w:cs="宋体"/>
        </w:rPr>
        <w:t>铝合金车体部件各类型焊缝结构首次应用</w:t>
      </w:r>
      <w:r>
        <w:rPr>
          <w:rFonts w:hint="eastAsia" w:hAnsi="宋体" w:cs="宋体"/>
        </w:rPr>
        <w:t>焊接同步激光清洗</w:t>
      </w:r>
      <w:r>
        <w:rPr>
          <w:rFonts w:hAnsi="宋体" w:cs="宋体"/>
        </w:rPr>
        <w:t>时；</w:t>
      </w:r>
    </w:p>
    <w:p>
      <w:pPr>
        <w:pStyle w:val="110"/>
        <w:numPr>
          <w:ilvl w:val="0"/>
          <w:numId w:val="0"/>
        </w:numPr>
        <w:rPr>
          <w:rFonts w:hAnsi="宋体" w:cs="宋体"/>
        </w:rPr>
      </w:pPr>
      <w:r>
        <w:rPr>
          <w:rFonts w:hAnsi="宋体" w:cs="宋体"/>
        </w:rPr>
        <w:t>b</w:t>
      </w:r>
      <w:r>
        <w:rPr>
          <w:rFonts w:hint="eastAsia" w:hAnsi="宋体" w:cs="宋体"/>
        </w:rPr>
        <w:t>）</w:t>
      </w:r>
      <w:r>
        <w:rPr>
          <w:rFonts w:hAnsi="宋体" w:cs="宋体"/>
        </w:rPr>
        <w:t>焊接同步激光清洗设备有</w:t>
      </w:r>
      <w:r>
        <w:rPr>
          <w:rFonts w:hint="eastAsia" w:hAnsi="宋体" w:cs="宋体"/>
        </w:rPr>
        <w:t>重大</w:t>
      </w:r>
      <w:r>
        <w:rPr>
          <w:rFonts w:hAnsi="宋体" w:cs="宋体"/>
        </w:rPr>
        <w:t>变更或大修后；</w:t>
      </w:r>
    </w:p>
    <w:p>
      <w:pPr>
        <w:pStyle w:val="110"/>
        <w:numPr>
          <w:ilvl w:val="0"/>
          <w:numId w:val="0"/>
        </w:numPr>
        <w:rPr>
          <w:rFonts w:hAnsi="宋体" w:cs="宋体"/>
        </w:rPr>
      </w:pPr>
      <w:r>
        <w:rPr>
          <w:rFonts w:hAnsi="宋体" w:cs="宋体"/>
        </w:rPr>
        <w:t>c</w:t>
      </w:r>
      <w:r>
        <w:rPr>
          <w:rFonts w:hint="eastAsia" w:hAnsi="宋体" w:cs="宋体"/>
        </w:rPr>
        <w:t>）客户</w:t>
      </w:r>
      <w:r>
        <w:rPr>
          <w:rFonts w:hAnsi="宋体" w:cs="宋体"/>
        </w:rPr>
        <w:t>有要求时。</w:t>
      </w:r>
    </w:p>
    <w:p>
      <w:pPr>
        <w:pStyle w:val="110"/>
        <w:numPr>
          <w:ilvl w:val="0"/>
          <w:numId w:val="0"/>
        </w:numPr>
        <w:rPr>
          <w:rFonts w:hAnsi="宋体" w:cs="宋体"/>
        </w:rPr>
      </w:pPr>
      <w:r>
        <w:rPr>
          <w:rFonts w:hint="eastAsia" w:hAnsi="宋体" w:cs="宋体"/>
        </w:rPr>
        <w:t>5.3.1.2 工艺评定项目</w:t>
      </w:r>
    </w:p>
    <w:p>
      <w:pPr>
        <w:pStyle w:val="110"/>
        <w:numPr>
          <w:ilvl w:val="0"/>
          <w:numId w:val="0"/>
        </w:numPr>
        <w:rPr>
          <w:rFonts w:hAnsi="宋体" w:cs="宋体"/>
        </w:rPr>
      </w:pPr>
      <w:r>
        <w:rPr>
          <w:rFonts w:hAnsi="宋体" w:cs="宋体"/>
        </w:rPr>
        <w:t>激光清洗检验项目包括外观、光斑搭接、表面氧含量，各检验项目要求见7.2部分，</w:t>
      </w:r>
      <w:r>
        <w:rPr>
          <w:rFonts w:hint="eastAsia" w:hAnsi="宋体" w:cs="宋体"/>
        </w:rPr>
        <w:t>焊接工艺评定试验按照</w:t>
      </w:r>
      <w:r>
        <w:rPr>
          <w:rFonts w:hAnsi="宋体" w:cs="宋体"/>
        </w:rPr>
        <w:t>GB/T 19869.2的要求执行。</w:t>
      </w:r>
    </w:p>
    <w:p>
      <w:pPr>
        <w:pStyle w:val="110"/>
        <w:ind w:left="0"/>
        <w:rPr>
          <w:rFonts w:hAnsi="宋体" w:cs="宋体"/>
        </w:rPr>
      </w:pPr>
      <w:r>
        <w:rPr>
          <w:rFonts w:hint="eastAsia" w:hAnsi="宋体" w:cs="宋体"/>
        </w:rPr>
        <w:t>报告</w:t>
      </w:r>
    </w:p>
    <w:p>
      <w:pPr>
        <w:pStyle w:val="110"/>
        <w:numPr>
          <w:ilvl w:val="0"/>
          <w:numId w:val="0"/>
        </w:numPr>
        <w:ind w:left="0" w:firstLine="420" w:firstLineChars="200"/>
        <w:rPr>
          <w:rFonts w:hAnsi="宋体" w:cs="宋体"/>
        </w:rPr>
      </w:pPr>
      <w:r>
        <w:rPr>
          <w:rFonts w:hAnsi="宋体" w:cs="宋体"/>
        </w:rPr>
        <w:t>工艺评定后，完成工艺评定报告，报告内容至少包括以下内容：</w:t>
      </w:r>
    </w:p>
    <w:p>
      <w:pPr>
        <w:pStyle w:val="110"/>
        <w:numPr>
          <w:ilvl w:val="0"/>
          <w:numId w:val="0"/>
        </w:numPr>
        <w:rPr>
          <w:rFonts w:hAnsi="宋体" w:cs="宋体"/>
        </w:rPr>
      </w:pPr>
      <w:r>
        <w:rPr>
          <w:rFonts w:hAnsi="宋体" w:cs="宋体"/>
        </w:rPr>
        <w:t>a</w:t>
      </w:r>
      <w:r>
        <w:rPr>
          <w:rFonts w:hint="eastAsia" w:hAnsi="宋体" w:cs="宋体"/>
        </w:rPr>
        <w:t>）</w:t>
      </w:r>
      <w:r>
        <w:rPr>
          <w:rFonts w:hAnsi="宋体" w:cs="宋体"/>
        </w:rPr>
        <w:t>焊接同步激光清洗作业车间的名称和地址；</w:t>
      </w:r>
    </w:p>
    <w:p>
      <w:pPr>
        <w:pStyle w:val="110"/>
        <w:numPr>
          <w:ilvl w:val="0"/>
          <w:numId w:val="0"/>
        </w:numPr>
        <w:rPr>
          <w:rFonts w:hAnsi="宋体" w:cs="宋体"/>
        </w:rPr>
      </w:pPr>
      <w:r>
        <w:rPr>
          <w:rFonts w:hAnsi="宋体" w:cs="宋体"/>
        </w:rPr>
        <w:t>b</w:t>
      </w:r>
      <w:r>
        <w:rPr>
          <w:rFonts w:hint="eastAsia" w:hAnsi="宋体" w:cs="宋体"/>
        </w:rPr>
        <w:t>）</w:t>
      </w:r>
      <w:r>
        <w:rPr>
          <w:rFonts w:hAnsi="宋体" w:cs="宋体"/>
        </w:rPr>
        <w:t>工艺操作过程；</w:t>
      </w:r>
    </w:p>
    <w:p>
      <w:pPr>
        <w:pStyle w:val="110"/>
        <w:numPr>
          <w:ilvl w:val="0"/>
          <w:numId w:val="0"/>
        </w:numPr>
        <w:rPr>
          <w:rFonts w:hAnsi="宋体" w:cs="宋体"/>
        </w:rPr>
      </w:pPr>
      <w:r>
        <w:rPr>
          <w:rFonts w:hAnsi="宋体" w:cs="宋体"/>
        </w:rPr>
        <w:t>c</w:t>
      </w:r>
      <w:r>
        <w:rPr>
          <w:rFonts w:hint="eastAsia" w:hAnsi="宋体" w:cs="宋体"/>
        </w:rPr>
        <w:t>）</w:t>
      </w:r>
      <w:r>
        <w:rPr>
          <w:rFonts w:hAnsi="宋体" w:cs="宋体"/>
        </w:rPr>
        <w:t>作业日期和测试日期；</w:t>
      </w:r>
    </w:p>
    <w:p>
      <w:pPr>
        <w:pStyle w:val="110"/>
        <w:numPr>
          <w:ilvl w:val="0"/>
          <w:numId w:val="0"/>
        </w:numPr>
        <w:rPr>
          <w:rFonts w:hAnsi="宋体" w:cs="宋体"/>
        </w:rPr>
      </w:pPr>
      <w:r>
        <w:rPr>
          <w:rFonts w:hAnsi="宋体" w:cs="宋体"/>
        </w:rPr>
        <w:t>d</w:t>
      </w:r>
      <w:r>
        <w:rPr>
          <w:rFonts w:hint="eastAsia" w:hAnsi="宋体" w:cs="宋体"/>
        </w:rPr>
        <w:t>）</w:t>
      </w:r>
      <w:r>
        <w:rPr>
          <w:rFonts w:hAnsi="宋体" w:cs="宋体"/>
        </w:rPr>
        <w:t>详细的工艺参数；</w:t>
      </w:r>
    </w:p>
    <w:p>
      <w:pPr>
        <w:pStyle w:val="110"/>
        <w:numPr>
          <w:ilvl w:val="0"/>
          <w:numId w:val="0"/>
        </w:numPr>
        <w:rPr>
          <w:rFonts w:hAnsi="宋体" w:cs="宋体"/>
        </w:rPr>
      </w:pPr>
      <w:r>
        <w:rPr>
          <w:rFonts w:hAnsi="宋体" w:cs="宋体"/>
        </w:rPr>
        <w:t>e</w:t>
      </w:r>
      <w:r>
        <w:rPr>
          <w:rFonts w:hint="eastAsia" w:hAnsi="宋体" w:cs="宋体"/>
        </w:rPr>
        <w:t>）</w:t>
      </w:r>
      <w:r>
        <w:rPr>
          <w:rFonts w:hAnsi="宋体" w:cs="宋体"/>
        </w:rPr>
        <w:t>测试方法、测试</w:t>
      </w:r>
      <w:r>
        <w:rPr>
          <w:rFonts w:hint="eastAsia" w:hAnsi="宋体" w:cs="宋体"/>
        </w:rPr>
        <w:t>条件</w:t>
      </w:r>
      <w:r>
        <w:rPr>
          <w:rFonts w:hAnsi="宋体" w:cs="宋体"/>
        </w:rPr>
        <w:t>等</w:t>
      </w:r>
      <w:r>
        <w:rPr>
          <w:rFonts w:hint="eastAsia" w:hAnsi="宋体" w:cs="宋体"/>
          <w:lang w:eastAsia="zh-CN"/>
        </w:rPr>
        <w:t>；</w:t>
      </w:r>
    </w:p>
    <w:p>
      <w:pPr>
        <w:pStyle w:val="110"/>
        <w:numPr>
          <w:ilvl w:val="0"/>
          <w:numId w:val="0"/>
        </w:numPr>
        <w:rPr>
          <w:rFonts w:hAnsi="宋体" w:cs="宋体"/>
        </w:rPr>
      </w:pPr>
      <w:r>
        <w:rPr>
          <w:rFonts w:hAnsi="宋体" w:cs="宋体"/>
        </w:rPr>
        <w:t>f</w:t>
      </w:r>
      <w:r>
        <w:rPr>
          <w:rFonts w:hint="eastAsia" w:hAnsi="宋体" w:cs="宋体"/>
        </w:rPr>
        <w:t>）</w:t>
      </w:r>
      <w:r>
        <w:rPr>
          <w:rFonts w:hAnsi="宋体" w:cs="宋体"/>
        </w:rPr>
        <w:t>测试结果的详细报告，</w:t>
      </w:r>
      <w:r>
        <w:rPr>
          <w:rFonts w:hint="eastAsia" w:hAnsi="宋体" w:cs="宋体"/>
        </w:rPr>
        <w:t>对于目视检查，应提供焊接同步激光清洗试样图片</w:t>
      </w:r>
      <w:r>
        <w:rPr>
          <w:rFonts w:hAnsi="宋体" w:cs="宋体"/>
        </w:rPr>
        <w:t>；</w:t>
      </w:r>
    </w:p>
    <w:p>
      <w:pPr>
        <w:pStyle w:val="110"/>
        <w:numPr>
          <w:ilvl w:val="0"/>
          <w:numId w:val="0"/>
        </w:numPr>
        <w:rPr>
          <w:rFonts w:hint="eastAsia" w:hAnsi="宋体" w:cs="宋体"/>
        </w:rPr>
      </w:pPr>
      <w:r>
        <w:rPr>
          <w:rFonts w:hAnsi="宋体" w:cs="宋体"/>
        </w:rPr>
        <w:t>g</w:t>
      </w:r>
      <w:r>
        <w:rPr>
          <w:rFonts w:hint="eastAsia" w:hAnsi="宋体" w:cs="宋体"/>
        </w:rPr>
        <w:t>）焊接工艺评定报告作为附录（如有必要）。</w:t>
      </w:r>
    </w:p>
    <w:p>
      <w:pPr>
        <w:pStyle w:val="110"/>
        <w:numPr>
          <w:ilvl w:val="0"/>
          <w:numId w:val="0"/>
        </w:numPr>
        <w:ind w:firstLine="420" w:firstLineChars="200"/>
        <w:rPr>
          <w:rFonts w:hint="eastAsia" w:hAnsi="宋体" w:cs="宋体"/>
        </w:rPr>
      </w:pPr>
      <w:r>
        <w:rPr>
          <w:rFonts w:hint="default" w:hAnsi="宋体" w:cs="宋体"/>
          <w:color w:val="auto"/>
          <w:kern w:val="0"/>
          <w:sz w:val="21"/>
          <w:highlight w:val="none"/>
          <w:lang w:val="en-US" w:eastAsia="zh-CN" w:bidi="ar-SA"/>
        </w:rPr>
        <w:t>工艺评定报告格式参见附录A。</w:t>
      </w:r>
    </w:p>
    <w:p>
      <w:pPr>
        <w:pStyle w:val="76"/>
        <w:ind w:left="0"/>
        <w:rPr>
          <w:rFonts w:hAnsi="黑体" w:cs="黑体"/>
          <w:shd w:val="clear" w:color="auto" w:fill="FFFFFF"/>
        </w:rPr>
      </w:pPr>
      <w:bookmarkStart w:id="109" w:name="_Toc15460"/>
      <w:r>
        <w:rPr>
          <w:rFonts w:hint="eastAsia" w:hAnsi="黑体" w:cs="黑体"/>
          <w:shd w:val="clear" w:color="auto" w:fill="FFFFFF"/>
        </w:rPr>
        <w:t>工艺规程编制</w:t>
      </w:r>
      <w:bookmarkEnd w:id="109"/>
    </w:p>
    <w:p>
      <w:pPr>
        <w:pStyle w:val="110"/>
        <w:numPr>
          <w:ilvl w:val="0"/>
          <w:numId w:val="0"/>
        </w:numPr>
        <w:ind w:firstLine="420" w:firstLineChars="200"/>
        <w:rPr>
          <w:rFonts w:hAnsi="宋体" w:cs="宋体"/>
        </w:rPr>
      </w:pPr>
      <w:r>
        <w:rPr>
          <w:rFonts w:hint="eastAsia" w:hAnsi="宋体" w:cs="宋体"/>
        </w:rPr>
        <w:t>应依据工艺试验验证和工艺评定及相关技术文件要求编制焊接同步激光清洗工艺规程。</w:t>
      </w:r>
    </w:p>
    <w:p>
      <w:pPr>
        <w:pStyle w:val="87"/>
        <w:rPr>
          <w:rFonts w:hAnsi="黑体" w:cs="黑体"/>
          <w:shd w:val="clear" w:color="auto" w:fill="FFFFFF"/>
        </w:rPr>
      </w:pPr>
      <w:bookmarkStart w:id="110" w:name="_Toc15431"/>
      <w:r>
        <w:rPr>
          <w:rFonts w:hint="eastAsia" w:hAnsi="黑体" w:cs="黑体"/>
          <w:shd w:val="clear" w:color="auto" w:fill="FFFFFF"/>
        </w:rPr>
        <w:t xml:space="preserve"> </w:t>
      </w:r>
      <w:bookmarkStart w:id="111" w:name="_Toc21135"/>
      <w:r>
        <w:rPr>
          <w:rFonts w:hint="eastAsia" w:hAnsi="黑体" w:cs="黑体"/>
          <w:shd w:val="clear" w:color="auto" w:fill="FFFFFF"/>
        </w:rPr>
        <w:t>焊接同步激光清洗程序</w:t>
      </w:r>
      <w:bookmarkEnd w:id="111"/>
    </w:p>
    <w:bookmarkEnd w:id="110"/>
    <w:p>
      <w:pPr>
        <w:pStyle w:val="76"/>
        <w:ind w:left="0"/>
        <w:rPr>
          <w:rFonts w:hAnsi="黑体" w:cs="黑体"/>
          <w:shd w:val="clear" w:color="auto" w:fill="FFFFFF"/>
        </w:rPr>
      </w:pPr>
      <w:bookmarkStart w:id="112" w:name="_Toc13988"/>
      <w:r>
        <w:rPr>
          <w:rFonts w:hint="eastAsia" w:hAnsi="黑体" w:cs="黑体"/>
          <w:shd w:val="clear" w:color="auto" w:fill="FFFFFF"/>
        </w:rPr>
        <w:t>焊接同步激光清洗准备</w:t>
      </w:r>
      <w:bookmarkEnd w:id="112"/>
    </w:p>
    <w:p>
      <w:pPr>
        <w:pStyle w:val="110"/>
        <w:numPr>
          <w:ilvl w:val="0"/>
          <w:numId w:val="0"/>
        </w:numPr>
        <w:ind w:firstLine="420" w:firstLineChars="200"/>
        <w:rPr>
          <w:rFonts w:hAnsi="宋体" w:cs="宋体"/>
        </w:rPr>
      </w:pPr>
      <w:r>
        <w:rPr>
          <w:rFonts w:hint="eastAsia" w:hAnsi="宋体" w:cs="宋体"/>
        </w:rPr>
        <w:t>实施焊接同步激光清洗作业前，操作人员检查作业环境，确保激光传输光路无异常，佩戴好激光防护眼镜，按操作规程启动焊接同步激光清洗设备，调整激光清洗头角度和位置，确保光斑聚焦在待清洗平面。</w:t>
      </w:r>
    </w:p>
    <w:p>
      <w:pPr>
        <w:pStyle w:val="76"/>
        <w:ind w:left="0"/>
        <w:rPr>
          <w:rFonts w:hAnsi="黑体" w:cs="黑体"/>
          <w:shd w:val="clear" w:color="auto" w:fill="FFFFFF"/>
        </w:rPr>
      </w:pPr>
      <w:r>
        <w:rPr>
          <w:rFonts w:hint="eastAsia" w:hAnsi="黑体" w:cs="黑体"/>
          <w:shd w:val="clear" w:color="auto" w:fill="FFFFFF"/>
        </w:rPr>
        <w:t xml:space="preserve"> </w:t>
      </w:r>
      <w:bookmarkStart w:id="113" w:name="_Toc26323"/>
      <w:r>
        <w:rPr>
          <w:rFonts w:hint="eastAsia" w:hAnsi="黑体" w:cs="黑体"/>
          <w:shd w:val="clear" w:color="auto" w:fill="FFFFFF"/>
        </w:rPr>
        <w:t>焊接同步激光清洗过程</w:t>
      </w:r>
      <w:bookmarkEnd w:id="113"/>
    </w:p>
    <w:p>
      <w:pPr>
        <w:pStyle w:val="110"/>
        <w:ind w:left="0"/>
        <w:rPr>
          <w:rFonts w:hAnsi="宋体" w:cs="宋体"/>
        </w:rPr>
      </w:pPr>
      <w:r>
        <w:rPr>
          <w:rFonts w:hint="eastAsia" w:hAnsi="宋体" w:cs="宋体"/>
        </w:rPr>
        <w:t>铝合金车体部件典型焊缝结构的焊接同步激光清洗过程应根据工艺规程文件进行。</w:t>
      </w:r>
    </w:p>
    <w:p>
      <w:pPr>
        <w:pStyle w:val="110"/>
        <w:ind w:left="0"/>
        <w:rPr>
          <w:rFonts w:hAnsi="宋体" w:cs="宋体"/>
        </w:rPr>
      </w:pPr>
      <w:r>
        <w:rPr>
          <w:rFonts w:hint="eastAsia" w:hAnsi="宋体" w:cs="宋体"/>
        </w:rPr>
        <w:t>焊接同步激光清洗时遵循激光清洗匹配和辅助焊接工艺要求的原则。</w:t>
      </w:r>
    </w:p>
    <w:p>
      <w:pPr>
        <w:pStyle w:val="110"/>
        <w:ind w:left="0"/>
        <w:rPr>
          <w:rFonts w:hAnsi="宋体" w:cs="宋体"/>
        </w:rPr>
      </w:pPr>
      <w:r>
        <w:rPr>
          <w:rFonts w:hint="eastAsia" w:hAnsi="宋体" w:cs="宋体"/>
        </w:rPr>
        <w:t>由于激光清洗头聚焦光束与电弧焊枪存在一定间距，焊接起弧位置附近</w:t>
      </w:r>
      <w:r>
        <w:rPr>
          <w:rFonts w:hint="eastAsia" w:hAnsi="宋体" w:cs="宋体"/>
          <w:lang w:val="en-US" w:eastAsia="zh-CN"/>
        </w:rPr>
        <w:t>应</w:t>
      </w:r>
      <w:r>
        <w:rPr>
          <w:rFonts w:hint="eastAsia" w:hAnsi="宋体" w:cs="宋体"/>
        </w:rPr>
        <w:t>在焊接同步激光清洗前采用人工打磨的方式对焊缝区域进行处理或</w:t>
      </w:r>
      <w:r>
        <w:rPr>
          <w:rFonts w:hint="eastAsia" w:hAnsi="宋体" w:cs="宋体"/>
          <w:lang w:val="en-US" w:eastAsia="zh-CN"/>
        </w:rPr>
        <w:t>者</w:t>
      </w:r>
      <w:r>
        <w:rPr>
          <w:rFonts w:hint="eastAsia" w:hAnsi="宋体" w:cs="宋体"/>
        </w:rPr>
        <w:t>提前编程进行激光清洗处理。</w:t>
      </w:r>
    </w:p>
    <w:p>
      <w:pPr>
        <w:pStyle w:val="110"/>
        <w:ind w:left="0"/>
        <w:rPr>
          <w:rFonts w:hAnsi="宋体" w:cs="宋体"/>
        </w:rPr>
      </w:pPr>
      <w:r>
        <w:rPr>
          <w:rFonts w:hint="eastAsia" w:hAnsi="宋体" w:cs="宋体"/>
        </w:rPr>
        <w:t>焊接同步激光清洗作业前要确保激光正常出光，作业后要外观检查确认清洗表面存在明显的清洗痕迹。</w:t>
      </w:r>
    </w:p>
    <w:p>
      <w:pPr>
        <w:pStyle w:val="87"/>
        <w:rPr>
          <w:rFonts w:hAnsi="黑体" w:cs="黑体"/>
          <w:shd w:val="clear" w:color="auto" w:fill="FFFFFF"/>
        </w:rPr>
      </w:pPr>
      <w:r>
        <w:rPr>
          <w:rFonts w:hint="eastAsia" w:hAnsi="黑体" w:cs="黑体"/>
          <w:shd w:val="clear" w:color="auto" w:fill="FFFFFF"/>
        </w:rPr>
        <w:t xml:space="preserve"> </w:t>
      </w:r>
      <w:bookmarkStart w:id="114" w:name="_Toc4206"/>
      <w:r>
        <w:rPr>
          <w:rFonts w:hint="eastAsia" w:hAnsi="黑体" w:cs="黑体"/>
          <w:shd w:val="clear" w:color="auto" w:fill="FFFFFF"/>
        </w:rPr>
        <w:t>质量控制</w:t>
      </w:r>
      <w:bookmarkEnd w:id="114"/>
    </w:p>
    <w:p>
      <w:pPr>
        <w:pStyle w:val="76"/>
        <w:ind w:left="0"/>
        <w:rPr>
          <w:rFonts w:hAnsi="黑体" w:cs="黑体"/>
          <w:shd w:val="clear" w:color="auto" w:fill="FFFFFF"/>
        </w:rPr>
      </w:pPr>
      <w:r>
        <w:rPr>
          <w:rFonts w:hint="eastAsia" w:hAnsi="黑体" w:cs="黑体"/>
          <w:shd w:val="clear" w:color="auto" w:fill="FFFFFF"/>
        </w:rPr>
        <w:t xml:space="preserve"> </w:t>
      </w:r>
      <w:bookmarkStart w:id="115" w:name="_Toc14035"/>
      <w:r>
        <w:rPr>
          <w:rFonts w:hint="eastAsia" w:hAnsi="黑体" w:cs="黑体"/>
          <w:shd w:val="clear" w:color="auto" w:fill="FFFFFF"/>
        </w:rPr>
        <w:t>基本要求</w:t>
      </w:r>
      <w:bookmarkEnd w:id="115"/>
    </w:p>
    <w:p>
      <w:pPr>
        <w:pStyle w:val="28"/>
        <w:rPr>
          <w:rFonts w:hAnsi="黑体" w:cs="黑体"/>
          <w:shd w:val="clear" w:color="auto" w:fill="FFFFFF"/>
        </w:rPr>
      </w:pPr>
      <w:r>
        <w:rPr>
          <w:rFonts w:hint="eastAsia" w:hAnsi="黑体" w:cs="黑体"/>
          <w:shd w:val="clear" w:color="auto" w:fill="FFFFFF"/>
        </w:rPr>
        <w:t>工艺人员根据铝合金车体部件焊接工艺要求或用户特殊要求等对清洗质量进行有效控制，制定相应质量控制文件，明确检验项目和检验要求等。</w:t>
      </w:r>
    </w:p>
    <w:p>
      <w:pPr>
        <w:pStyle w:val="76"/>
        <w:ind w:left="0"/>
        <w:rPr>
          <w:rFonts w:hAnsi="黑体" w:cs="黑体"/>
          <w:shd w:val="clear" w:color="auto" w:fill="FFFFFF"/>
        </w:rPr>
      </w:pPr>
      <w:r>
        <w:rPr>
          <w:rFonts w:hint="eastAsia" w:hAnsi="黑体" w:cs="黑体"/>
          <w:shd w:val="clear" w:color="auto" w:fill="FFFFFF"/>
        </w:rPr>
        <w:t xml:space="preserve"> </w:t>
      </w:r>
      <w:bookmarkStart w:id="116" w:name="_Toc9458"/>
      <w:r>
        <w:rPr>
          <w:rFonts w:hint="eastAsia" w:hAnsi="黑体" w:cs="黑体"/>
          <w:shd w:val="clear" w:color="auto" w:fill="FFFFFF"/>
        </w:rPr>
        <w:t>检验方法</w:t>
      </w:r>
      <w:bookmarkEnd w:id="116"/>
    </w:p>
    <w:p>
      <w:pPr>
        <w:pStyle w:val="110"/>
        <w:ind w:left="0"/>
        <w:rPr>
          <w:rFonts w:hAnsi="宋体" w:cs="宋体"/>
        </w:rPr>
      </w:pPr>
      <w:r>
        <w:rPr>
          <w:rFonts w:hint="eastAsia" w:hAnsi="宋体" w:cs="宋体"/>
        </w:rPr>
        <w:t>一般要求</w:t>
      </w:r>
    </w:p>
    <w:p>
      <w:pPr>
        <w:pStyle w:val="28"/>
        <w:rPr>
          <w:rFonts w:hAnsi="黑体" w:cs="黑体"/>
          <w:shd w:val="clear" w:color="auto" w:fill="FFFFFF"/>
        </w:rPr>
      </w:pPr>
      <w:r>
        <w:rPr>
          <w:rFonts w:hAnsi="黑体" w:cs="黑体"/>
          <w:shd w:val="clear" w:color="auto" w:fill="FFFFFF"/>
        </w:rPr>
        <w:t>根据铝合金车体部件要求，工艺评定时对焊接同步激光清洗作业后的部件进行全面检验，检验方法符合7.2.2</w:t>
      </w:r>
      <w:r>
        <w:rPr>
          <w:rFonts w:hint="eastAsia" w:hAnsi="黑体" w:cs="黑体"/>
          <w:shd w:val="clear" w:color="auto" w:fill="FFFFFF"/>
        </w:rPr>
        <w:t>～</w:t>
      </w:r>
      <w:r>
        <w:rPr>
          <w:rFonts w:hAnsi="黑体" w:cs="黑体"/>
          <w:shd w:val="clear" w:color="auto" w:fill="FFFFFF"/>
        </w:rPr>
        <w:t>7.2.4的要求。日常作业时一般只按照7.2.2进行外观检查。</w:t>
      </w:r>
    </w:p>
    <w:p>
      <w:pPr>
        <w:pStyle w:val="110"/>
        <w:ind w:left="0"/>
        <w:rPr>
          <w:rFonts w:hAnsi="黑体" w:cs="黑体"/>
          <w:shd w:val="clear" w:color="auto" w:fill="FFFFFF"/>
        </w:rPr>
      </w:pPr>
      <w:r>
        <w:rPr>
          <w:rFonts w:hint="eastAsia" w:hAnsi="黑体" w:cs="黑体"/>
          <w:shd w:val="clear" w:color="auto" w:fill="FFFFFF"/>
        </w:rPr>
        <w:t>外观</w:t>
      </w:r>
    </w:p>
    <w:p>
      <w:pPr>
        <w:pStyle w:val="28"/>
        <w:rPr>
          <w:rFonts w:hAnsi="黑体" w:cs="黑体"/>
          <w:shd w:val="clear" w:color="auto" w:fill="FFFFFF"/>
        </w:rPr>
      </w:pPr>
      <w:r>
        <w:rPr>
          <w:rFonts w:hAnsi="黑体" w:cs="黑体"/>
          <w:shd w:val="clear" w:color="auto" w:fill="FFFFFF"/>
        </w:rPr>
        <w:t>用肉眼或放大镜观察，焊接同步激光清洗后的部件表面有明显的清洗痕迹。为便于实际操作，可以根据工艺试验验证结果编制表面清洗痕迹对比卡进行比较。</w:t>
      </w:r>
    </w:p>
    <w:p>
      <w:pPr>
        <w:pStyle w:val="110"/>
        <w:ind w:left="0"/>
        <w:rPr>
          <w:rFonts w:hAnsi="宋体" w:cs="宋体"/>
        </w:rPr>
      </w:pPr>
      <w:r>
        <w:rPr>
          <w:rFonts w:hint="eastAsia" w:hAnsi="宋体" w:cs="宋体"/>
        </w:rPr>
        <w:t>光斑搭接</w:t>
      </w:r>
    </w:p>
    <w:p>
      <w:pPr>
        <w:pStyle w:val="28"/>
        <w:rPr>
          <w:rFonts w:hAnsi="黑体" w:cs="黑体"/>
          <w:shd w:val="clear" w:color="auto" w:fill="FFFFFF"/>
        </w:rPr>
      </w:pPr>
      <w:r>
        <w:rPr>
          <w:rFonts w:hAnsi="黑体" w:cs="黑体"/>
          <w:shd w:val="clear" w:color="auto" w:fill="FFFFFF"/>
        </w:rPr>
        <w:t>通过不低于500倍的光学显微镜观察激光清洗后试样表面，在一个单程的折返</w:t>
      </w:r>
      <w:r>
        <w:rPr>
          <w:rFonts w:hint="eastAsia" w:hAnsi="黑体" w:cs="黑体"/>
          <w:shd w:val="clear" w:color="auto" w:fill="FFFFFF"/>
        </w:rPr>
        <w:t>扫描</w:t>
      </w:r>
      <w:r>
        <w:rPr>
          <w:rFonts w:hAnsi="黑体" w:cs="黑体"/>
          <w:shd w:val="clear" w:color="auto" w:fill="FFFFFF"/>
        </w:rPr>
        <w:t>下，起始光斑和折返光斑</w:t>
      </w:r>
      <w:r>
        <w:rPr>
          <w:rFonts w:hint="eastAsia" w:hAnsi="黑体" w:cs="黑体"/>
          <w:shd w:val="clear" w:color="auto" w:fill="FFFFFF"/>
        </w:rPr>
        <w:t>均能重叠则为光斑有效搭接，满足激光清洗要求，其示意图如图3a）所示。当</w:t>
      </w:r>
      <w:r>
        <w:rPr>
          <w:rFonts w:hAnsi="黑体" w:cs="黑体"/>
          <w:shd w:val="clear" w:color="auto" w:fill="FFFFFF"/>
        </w:rPr>
        <w:t>起始光斑和折返光斑正好相切</w:t>
      </w:r>
      <w:r>
        <w:rPr>
          <w:rFonts w:hint="eastAsia" w:hAnsi="黑体" w:cs="黑体"/>
          <w:shd w:val="clear" w:color="auto" w:fill="FFFFFF"/>
        </w:rPr>
        <w:t>时为光斑极限搭接</w:t>
      </w:r>
      <w:r>
        <w:rPr>
          <w:rFonts w:hAnsi="黑体" w:cs="黑体"/>
          <w:shd w:val="clear" w:color="auto" w:fill="FFFFFF"/>
        </w:rPr>
        <w:t>，</w:t>
      </w:r>
      <w:r>
        <w:rPr>
          <w:rFonts w:hint="eastAsia" w:hAnsi="黑体" w:cs="黑体"/>
          <w:shd w:val="clear" w:color="auto" w:fill="FFFFFF"/>
        </w:rPr>
        <w:t>其示意图如图3b）所示</w:t>
      </w:r>
      <w:r>
        <w:rPr>
          <w:rFonts w:hAnsi="黑体" w:cs="黑体"/>
          <w:shd w:val="clear" w:color="auto" w:fill="FFFFFF"/>
        </w:rPr>
        <w:t>。</w:t>
      </w:r>
      <w:r>
        <w:rPr>
          <w:rFonts w:hint="eastAsia" w:hAnsi="黑体" w:cs="黑体"/>
          <w:shd w:val="clear" w:color="auto" w:fill="FFFFFF"/>
        </w:rPr>
        <w:t>当</w:t>
      </w:r>
      <w:r>
        <w:rPr>
          <w:rFonts w:hAnsi="黑体" w:cs="黑体"/>
          <w:shd w:val="clear" w:color="auto" w:fill="FFFFFF"/>
        </w:rPr>
        <w:t>起始光斑和折返光斑</w:t>
      </w:r>
      <w:r>
        <w:rPr>
          <w:rFonts w:hint="eastAsia" w:hAnsi="黑体" w:cs="黑体"/>
          <w:shd w:val="clear" w:color="auto" w:fill="FFFFFF"/>
        </w:rPr>
        <w:t>不能</w:t>
      </w:r>
      <w:r>
        <w:rPr>
          <w:rFonts w:hAnsi="黑体" w:cs="黑体"/>
          <w:shd w:val="clear" w:color="auto" w:fill="FFFFFF"/>
        </w:rPr>
        <w:t>相切</w:t>
      </w:r>
      <w:r>
        <w:rPr>
          <w:rFonts w:hint="eastAsia" w:hAnsi="黑体" w:cs="黑体"/>
          <w:shd w:val="clear" w:color="auto" w:fill="FFFFFF"/>
        </w:rPr>
        <w:t>时则不满足要求。</w:t>
      </w:r>
    </w:p>
    <w:p>
      <w:pPr>
        <w:pStyle w:val="28"/>
        <w:rPr>
          <w:rFonts w:hint="eastAsia" w:hAnsi="黑体" w:cs="黑体"/>
          <w:shd w:val="clear" w:color="auto" w:fill="FFFFFF"/>
        </w:rPr>
      </w:pPr>
    </w:p>
    <w:p>
      <w:pPr>
        <w:pStyle w:val="28"/>
        <w:jc w:val="center"/>
      </w:pPr>
      <w:r>
        <w:drawing>
          <wp:inline distT="0" distB="0" distL="114300" distR="114300">
            <wp:extent cx="4319905" cy="1152525"/>
            <wp:effectExtent l="0" t="0" r="4445" b="952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3"/>
                    <a:stretch>
                      <a:fillRect/>
                    </a:stretch>
                  </pic:blipFill>
                  <pic:spPr>
                    <a:xfrm>
                      <a:off x="0" y="0"/>
                      <a:ext cx="4319905" cy="1152525"/>
                    </a:xfrm>
                    <a:prstGeom prst="rect">
                      <a:avLst/>
                    </a:prstGeom>
                    <a:noFill/>
                    <a:ln>
                      <a:noFill/>
                    </a:ln>
                  </pic:spPr>
                </pic:pic>
              </a:graphicData>
            </a:graphic>
          </wp:inline>
        </w:drawing>
      </w:r>
    </w:p>
    <w:p>
      <w:pPr>
        <w:pStyle w:val="28"/>
        <w:ind w:firstLine="0" w:firstLineChars="0"/>
        <w:jc w:val="center"/>
      </w:pPr>
      <w:r>
        <w:rPr>
          <w:rFonts w:hint="eastAsia"/>
        </w:rPr>
        <w:t>a）光斑有效搭接示意图</w:t>
      </w:r>
    </w:p>
    <w:p>
      <w:pPr>
        <w:pStyle w:val="28"/>
        <w:ind w:firstLine="0" w:firstLineChars="0"/>
        <w:jc w:val="center"/>
      </w:pPr>
      <w:r>
        <w:drawing>
          <wp:inline distT="0" distB="0" distL="114300" distR="114300">
            <wp:extent cx="4319905" cy="1398905"/>
            <wp:effectExtent l="0" t="0" r="4445" b="1079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4"/>
                    <a:stretch>
                      <a:fillRect/>
                    </a:stretch>
                  </pic:blipFill>
                  <pic:spPr>
                    <a:xfrm>
                      <a:off x="0" y="0"/>
                      <a:ext cx="4319905" cy="1398905"/>
                    </a:xfrm>
                    <a:prstGeom prst="rect">
                      <a:avLst/>
                    </a:prstGeom>
                    <a:noFill/>
                    <a:ln>
                      <a:noFill/>
                    </a:ln>
                  </pic:spPr>
                </pic:pic>
              </a:graphicData>
            </a:graphic>
          </wp:inline>
        </w:drawing>
      </w:r>
    </w:p>
    <w:p>
      <w:pPr>
        <w:pStyle w:val="28"/>
        <w:jc w:val="center"/>
      </w:pPr>
      <w:r>
        <w:rPr>
          <w:rFonts w:hint="eastAsia"/>
        </w:rPr>
        <w:t>b）光斑极限搭接示意图</w:t>
      </w:r>
    </w:p>
    <w:p>
      <w:pPr>
        <w:pStyle w:val="28"/>
        <w:jc w:val="center"/>
      </w:pPr>
      <w:r>
        <w:rPr>
          <w:rFonts w:hint="eastAsia"/>
        </w:rPr>
        <w:t>图3 光斑搭接范围示意图</w:t>
      </w:r>
    </w:p>
    <w:p>
      <w:pPr>
        <w:pStyle w:val="110"/>
        <w:ind w:left="0"/>
        <w:rPr>
          <w:rFonts w:hAnsi="宋体" w:cs="宋体"/>
        </w:rPr>
      </w:pPr>
      <w:r>
        <w:rPr>
          <w:rFonts w:hint="eastAsia" w:hAnsi="宋体" w:cs="宋体"/>
        </w:rPr>
        <w:t>氧含量检测</w:t>
      </w:r>
    </w:p>
    <w:p>
      <w:pPr>
        <w:pStyle w:val="28"/>
        <w:rPr>
          <w:rFonts w:hint="eastAsia" w:hAnsi="黑体" w:cs="黑体"/>
          <w:shd w:val="clear" w:color="auto" w:fill="FFFFFF"/>
        </w:rPr>
      </w:pPr>
      <w:r>
        <w:rPr>
          <w:rFonts w:hint="eastAsia" w:hAnsi="黑体" w:cs="黑体"/>
          <w:shd w:val="clear" w:color="auto" w:fill="FFFFFF"/>
        </w:rPr>
        <w:t>焊接同步激光清洗作业后部件表面氧元素质量分数含量降低到2.5%以下，氧含量检验试验按GB/T 17359的要求执行。</w:t>
      </w: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pStyle w:val="28"/>
        <w:rPr>
          <w:rFonts w:hint="eastAsia" w:hAnsi="黑体" w:cs="黑体"/>
          <w:shd w:val="clear" w:color="auto" w:fill="FFFFFF"/>
        </w:rPr>
      </w:pPr>
    </w:p>
    <w:p>
      <w:pPr>
        <w:spacing w:before="68" w:line="330" w:lineRule="exact"/>
        <w:ind w:left="0"/>
        <w:jc w:val="center"/>
        <w:rPr>
          <w:rFonts w:ascii="黑体" w:hAnsi="黑体" w:eastAsia="黑体" w:cs="黑体"/>
          <w:sz w:val="21"/>
          <w:szCs w:val="21"/>
        </w:rPr>
      </w:pPr>
      <w:r>
        <w:rPr>
          <w:rFonts w:ascii="黑体" w:hAnsi="黑体" w:eastAsia="黑体" w:cs="黑体"/>
          <w:b/>
          <w:bCs/>
          <w:spacing w:val="-13"/>
          <w:position w:val="8"/>
          <w:sz w:val="21"/>
          <w:szCs w:val="21"/>
        </w:rPr>
        <w:t>附</w:t>
      </w:r>
      <w:r>
        <w:rPr>
          <w:rFonts w:ascii="黑体" w:hAnsi="黑体" w:eastAsia="黑体" w:cs="黑体"/>
          <w:spacing w:val="106"/>
          <w:position w:val="8"/>
          <w:sz w:val="21"/>
          <w:szCs w:val="21"/>
        </w:rPr>
        <w:t xml:space="preserve"> </w:t>
      </w:r>
      <w:r>
        <w:rPr>
          <w:rFonts w:ascii="黑体" w:hAnsi="黑体" w:eastAsia="黑体" w:cs="黑体"/>
          <w:b/>
          <w:bCs/>
          <w:spacing w:val="-13"/>
          <w:position w:val="8"/>
          <w:sz w:val="21"/>
          <w:szCs w:val="21"/>
        </w:rPr>
        <w:t>录</w:t>
      </w:r>
      <w:r>
        <w:rPr>
          <w:rFonts w:ascii="黑体" w:hAnsi="黑体" w:eastAsia="黑体" w:cs="黑体"/>
          <w:spacing w:val="95"/>
          <w:position w:val="8"/>
          <w:sz w:val="21"/>
          <w:szCs w:val="21"/>
        </w:rPr>
        <w:t xml:space="preserve"> </w:t>
      </w:r>
      <w:r>
        <w:rPr>
          <w:rFonts w:ascii="黑体" w:hAnsi="黑体" w:eastAsia="黑体" w:cs="黑体"/>
          <w:b/>
          <w:bCs/>
          <w:spacing w:val="-13"/>
          <w:position w:val="8"/>
          <w:sz w:val="21"/>
          <w:szCs w:val="21"/>
        </w:rPr>
        <w:t>A</w:t>
      </w:r>
    </w:p>
    <w:p>
      <w:pPr>
        <w:spacing w:line="221" w:lineRule="auto"/>
        <w:ind w:left="0"/>
        <w:jc w:val="center"/>
        <w:rPr>
          <w:rFonts w:ascii="黑体" w:hAnsi="黑体" w:eastAsia="黑体" w:cs="黑体"/>
          <w:sz w:val="21"/>
          <w:szCs w:val="21"/>
        </w:rPr>
      </w:pPr>
      <w:r>
        <w:rPr>
          <w:rFonts w:ascii="黑体" w:hAnsi="黑体" w:eastAsia="黑体" w:cs="黑体"/>
          <w:b/>
          <w:bCs/>
          <w:spacing w:val="-6"/>
          <w:sz w:val="21"/>
          <w:szCs w:val="21"/>
        </w:rPr>
        <w:t>(资料性附录)</w:t>
      </w:r>
    </w:p>
    <w:p>
      <w:pPr>
        <w:spacing w:before="77" w:line="222" w:lineRule="auto"/>
        <w:ind w:left="0"/>
        <w:jc w:val="center"/>
        <w:rPr>
          <w:rFonts w:ascii="黑体" w:hAnsi="黑体" w:eastAsia="黑体" w:cs="黑体"/>
          <w:sz w:val="21"/>
          <w:szCs w:val="21"/>
        </w:rPr>
      </w:pPr>
      <w:r>
        <w:rPr>
          <w:rFonts w:ascii="黑体" w:hAnsi="黑体" w:eastAsia="黑体" w:cs="黑体"/>
          <w:b/>
          <w:bCs/>
          <w:spacing w:val="-7"/>
          <w:sz w:val="21"/>
          <w:szCs w:val="21"/>
        </w:rPr>
        <w:t>工艺评定报告格式</w:t>
      </w:r>
    </w:p>
    <w:p>
      <w:pPr>
        <w:spacing w:before="209" w:line="218" w:lineRule="auto"/>
        <w:rPr>
          <w:rFonts w:ascii="宋体" w:hAnsi="宋体" w:eastAsia="宋体" w:cs="宋体"/>
          <w:spacing w:val="-3"/>
          <w:sz w:val="21"/>
          <w:szCs w:val="21"/>
        </w:rPr>
      </w:pPr>
      <w:r>
        <w:rPr>
          <w:rFonts w:ascii="宋体" w:hAnsi="宋体" w:eastAsia="宋体" w:cs="宋体"/>
          <w:spacing w:val="-3"/>
          <w:sz w:val="21"/>
          <w:szCs w:val="21"/>
        </w:rPr>
        <w:t>工艺评定一试验报告</w:t>
      </w:r>
    </w:p>
    <w:p>
      <w:pPr>
        <w:spacing w:before="63" w:line="360" w:lineRule="auto"/>
        <w:rPr>
          <w:rFonts w:ascii="宋体" w:hAnsi="宋体" w:eastAsia="宋体" w:cs="宋体"/>
          <w:sz w:val="21"/>
          <w:szCs w:val="21"/>
        </w:rPr>
      </w:pPr>
      <w:r>
        <w:rPr>
          <w:rFonts w:ascii="宋体" w:hAnsi="宋体" w:eastAsia="宋体" w:cs="宋体"/>
          <w:spacing w:val="-10"/>
          <w:position w:val="1"/>
          <w:sz w:val="21"/>
          <w:szCs w:val="21"/>
        </w:rPr>
        <w:t>制造商的</w:t>
      </w:r>
      <w:r>
        <w:rPr>
          <w:rFonts w:hint="default" w:ascii="宋体" w:hAnsi="宋体" w:cs="宋体"/>
          <w:spacing w:val="-10"/>
          <w:position w:val="1"/>
          <w:sz w:val="21"/>
          <w:szCs w:val="21"/>
          <w:lang w:val="en-US" w:eastAsia="zh-CN"/>
        </w:rPr>
        <w:t>工艺评定</w:t>
      </w:r>
      <w:r>
        <w:rPr>
          <w:rFonts w:ascii="宋体" w:hAnsi="宋体" w:eastAsia="宋体" w:cs="宋体"/>
          <w:spacing w:val="-10"/>
          <w:position w:val="1"/>
          <w:sz w:val="21"/>
          <w:szCs w:val="21"/>
        </w:rPr>
        <w:t>编号：</w:t>
      </w:r>
      <w:r>
        <w:rPr>
          <w:rFonts w:ascii="宋体" w:hAnsi="宋体" w:eastAsia="宋体" w:cs="宋体"/>
          <w:spacing w:val="2"/>
          <w:position w:val="1"/>
          <w:sz w:val="21"/>
          <w:szCs w:val="21"/>
        </w:rPr>
        <w:t xml:space="preserve">                          </w:t>
      </w:r>
      <w:r>
        <w:rPr>
          <w:rFonts w:ascii="宋体" w:hAnsi="宋体" w:eastAsia="宋体" w:cs="宋体"/>
          <w:spacing w:val="-10"/>
          <w:position w:val="-1"/>
          <w:sz w:val="21"/>
          <w:szCs w:val="21"/>
        </w:rPr>
        <w:t>考官或考试机构：</w:t>
      </w:r>
    </w:p>
    <w:p>
      <w:pPr>
        <w:spacing w:before="34" w:line="360" w:lineRule="auto"/>
        <w:rPr>
          <w:rFonts w:ascii="宋体" w:hAnsi="宋体" w:eastAsia="宋体" w:cs="宋体"/>
          <w:sz w:val="21"/>
          <w:szCs w:val="21"/>
        </w:rPr>
      </w:pPr>
      <w:r>
        <w:rPr>
          <w:rFonts w:ascii="宋体" w:hAnsi="宋体" w:eastAsia="宋体" w:cs="宋体"/>
          <w:spacing w:val="-21"/>
          <w:sz w:val="21"/>
          <w:szCs w:val="21"/>
        </w:rPr>
        <w:t>制造商：</w:t>
      </w:r>
      <w:r>
        <w:rPr>
          <w:rFonts w:ascii="宋体" w:hAnsi="宋体" w:eastAsia="宋体" w:cs="宋体"/>
          <w:sz w:val="21"/>
          <w:szCs w:val="21"/>
        </w:rPr>
        <w:t xml:space="preserve">                                      </w:t>
      </w:r>
      <w:r>
        <w:rPr>
          <w:rFonts w:hint="eastAsia" w:ascii="宋体" w:hAnsi="宋体" w:cs="宋体"/>
          <w:sz w:val="21"/>
          <w:szCs w:val="21"/>
          <w:lang w:val="en-US" w:eastAsia="zh-CN"/>
        </w:rPr>
        <w:t xml:space="preserve">   </w:t>
      </w:r>
      <w:r>
        <w:rPr>
          <w:rFonts w:ascii="宋体" w:hAnsi="宋体" w:eastAsia="宋体" w:cs="宋体"/>
          <w:spacing w:val="-21"/>
          <w:position w:val="-1"/>
          <w:sz w:val="21"/>
          <w:szCs w:val="21"/>
        </w:rPr>
        <w:t>代号：</w:t>
      </w:r>
    </w:p>
    <w:p>
      <w:pPr>
        <w:spacing w:before="51" w:line="360" w:lineRule="auto"/>
        <w:rPr>
          <w:rFonts w:ascii="宋体" w:hAnsi="宋体" w:eastAsia="宋体" w:cs="宋体"/>
          <w:sz w:val="21"/>
          <w:szCs w:val="21"/>
        </w:rPr>
      </w:pPr>
      <w:r>
        <w:rPr>
          <w:rFonts w:ascii="宋体" w:hAnsi="宋体" w:eastAsia="宋体" w:cs="宋体"/>
          <w:spacing w:val="-8"/>
          <w:sz w:val="21"/>
          <w:szCs w:val="21"/>
        </w:rPr>
        <w:t>地址：</w:t>
      </w:r>
    </w:p>
    <w:p>
      <w:pPr>
        <w:spacing w:before="40" w:line="360" w:lineRule="auto"/>
        <w:rPr>
          <w:rFonts w:ascii="宋体" w:hAnsi="宋体" w:eastAsia="宋体" w:cs="宋体"/>
          <w:sz w:val="21"/>
          <w:szCs w:val="21"/>
        </w:rPr>
      </w:pPr>
      <w:r>
        <w:rPr>
          <w:rFonts w:ascii="宋体" w:hAnsi="宋体" w:eastAsia="宋体" w:cs="宋体"/>
          <w:spacing w:val="-7"/>
          <w:position w:val="7"/>
          <w:sz w:val="21"/>
          <w:szCs w:val="21"/>
        </w:rPr>
        <w:t>规程/试验标准：</w:t>
      </w:r>
      <w:bookmarkStart w:id="117" w:name="_GoBack"/>
      <w:bookmarkEnd w:id="117"/>
    </w:p>
    <w:p>
      <w:pPr>
        <w:spacing w:before="1" w:line="360" w:lineRule="auto"/>
        <w:rPr>
          <w:rFonts w:hint="default" w:ascii="宋体" w:hAnsi="宋体" w:cs="宋体"/>
          <w:spacing w:val="-7"/>
          <w:sz w:val="21"/>
          <w:szCs w:val="21"/>
          <w:lang w:val="en-US" w:eastAsia="zh-CN"/>
        </w:rPr>
      </w:pPr>
      <w:r>
        <w:rPr>
          <w:rFonts w:hint="default" w:ascii="宋体" w:hAnsi="宋体" w:cs="宋体"/>
          <w:spacing w:val="-7"/>
          <w:sz w:val="21"/>
          <w:szCs w:val="21"/>
          <w:lang w:val="en-US" w:eastAsia="zh-CN"/>
        </w:rPr>
        <w:t>作业日期：</w:t>
      </w:r>
    </w:p>
    <w:p>
      <w:pPr>
        <w:spacing w:before="1" w:line="360" w:lineRule="auto"/>
        <w:rPr>
          <w:rFonts w:hint="default" w:ascii="宋体" w:hAnsi="宋体" w:cs="宋体"/>
          <w:spacing w:val="-7"/>
          <w:sz w:val="21"/>
          <w:szCs w:val="21"/>
          <w:lang w:val="en-US" w:eastAsia="zh-CN"/>
        </w:rPr>
      </w:pPr>
    </w:p>
    <w:p>
      <w:pPr>
        <w:spacing w:before="69" w:line="310" w:lineRule="exact"/>
      </w:pPr>
      <w:r>
        <w:rPr>
          <w:rFonts w:ascii="宋体" w:hAnsi="宋体" w:eastAsia="宋体" w:cs="宋体"/>
          <w:spacing w:val="-2"/>
          <w:position w:val="7"/>
          <w:sz w:val="21"/>
          <w:szCs w:val="21"/>
        </w:rPr>
        <w:t>认可范围</w:t>
      </w:r>
    </w:p>
    <w:p>
      <w:pPr>
        <w:spacing w:before="1" w:line="360" w:lineRule="auto"/>
        <w:rPr>
          <w:rFonts w:hint="default" w:ascii="宋体" w:hAnsi="宋体" w:cs="宋体"/>
          <w:spacing w:val="-7"/>
          <w:sz w:val="21"/>
          <w:szCs w:val="21"/>
          <w:lang w:val="en-US" w:eastAsia="zh-CN"/>
        </w:rPr>
      </w:pPr>
      <w:r>
        <w:rPr>
          <w:rFonts w:hint="default" w:ascii="宋体" w:hAnsi="宋体" w:cs="宋体"/>
          <w:spacing w:val="-7"/>
          <w:sz w:val="21"/>
          <w:szCs w:val="21"/>
          <w:lang w:val="en-US" w:eastAsia="zh-CN"/>
        </w:rPr>
        <w:t>焊接同步激光清洗作业车间名称及地址：</w:t>
      </w:r>
    </w:p>
    <w:p>
      <w:pPr>
        <w:spacing w:before="1" w:line="360" w:lineRule="auto"/>
        <w:rPr>
          <w:rFonts w:ascii="宋体" w:hAnsi="宋体" w:eastAsia="宋体" w:cs="宋体"/>
          <w:spacing w:val="-7"/>
          <w:sz w:val="21"/>
          <w:szCs w:val="21"/>
        </w:rPr>
      </w:pPr>
      <w:r>
        <w:rPr>
          <w:rFonts w:hint="default" w:ascii="宋体" w:hAnsi="宋体" w:cs="宋体"/>
          <w:spacing w:val="-7"/>
          <w:position w:val="0"/>
          <w:sz w:val="21"/>
          <w:szCs w:val="21"/>
          <w:lang w:val="en-US" w:eastAsia="zh-CN"/>
        </w:rPr>
        <w:t>工艺操作过程</w:t>
      </w:r>
      <w:r>
        <w:rPr>
          <w:rFonts w:ascii="宋体" w:hAnsi="宋体" w:eastAsia="宋体" w:cs="宋体"/>
          <w:spacing w:val="-7"/>
          <w:position w:val="0"/>
          <w:sz w:val="21"/>
          <w:szCs w:val="21"/>
        </w:rPr>
        <w:t>：</w:t>
      </w:r>
    </w:p>
    <w:p>
      <w:pPr>
        <w:spacing w:before="1" w:line="360" w:lineRule="auto"/>
        <w:rPr>
          <w:rFonts w:hint="default" w:ascii="宋体" w:hAnsi="宋体" w:eastAsia="宋体" w:cs="宋体"/>
          <w:spacing w:val="-7"/>
          <w:sz w:val="21"/>
          <w:szCs w:val="21"/>
          <w:lang w:val="en-US" w:eastAsia="zh-CN"/>
        </w:rPr>
      </w:pPr>
      <w:r>
        <w:rPr>
          <w:rFonts w:hint="default" w:ascii="宋体" w:hAnsi="宋体" w:cs="宋体"/>
          <w:spacing w:val="-7"/>
          <w:sz w:val="21"/>
          <w:szCs w:val="21"/>
          <w:lang w:val="en-US" w:eastAsia="zh-CN"/>
        </w:rPr>
        <w:t>测试日期：</w:t>
      </w:r>
    </w:p>
    <w:p>
      <w:pPr>
        <w:spacing w:before="1" w:line="360" w:lineRule="auto"/>
        <w:rPr>
          <w:rFonts w:hint="default" w:ascii="宋体" w:hAnsi="宋体" w:eastAsia="宋体" w:cs="宋体"/>
          <w:spacing w:val="-7"/>
          <w:sz w:val="21"/>
          <w:szCs w:val="21"/>
          <w:lang w:val="en-US" w:eastAsia="zh-CN"/>
        </w:rPr>
      </w:pPr>
      <w:r>
        <w:rPr>
          <w:rFonts w:hint="default" w:ascii="宋体" w:hAnsi="宋体" w:cs="宋体"/>
          <w:spacing w:val="-7"/>
          <w:sz w:val="21"/>
          <w:szCs w:val="21"/>
          <w:lang w:val="en-US" w:eastAsia="zh-CN"/>
        </w:rPr>
        <w:t>详细工艺参数：</w:t>
      </w:r>
    </w:p>
    <w:p>
      <w:pPr>
        <w:spacing w:before="1" w:line="360" w:lineRule="auto"/>
        <w:rPr>
          <w:rFonts w:hint="default" w:ascii="宋体" w:hAnsi="宋体" w:cs="宋体"/>
          <w:spacing w:val="-7"/>
          <w:position w:val="0"/>
          <w:sz w:val="21"/>
          <w:szCs w:val="21"/>
          <w:lang w:val="en-US" w:eastAsia="zh-CN"/>
        </w:rPr>
      </w:pPr>
      <w:r>
        <w:rPr>
          <w:rFonts w:hint="default" w:ascii="宋体" w:hAnsi="宋体" w:cs="宋体"/>
          <w:spacing w:val="-7"/>
          <w:position w:val="0"/>
          <w:sz w:val="21"/>
          <w:szCs w:val="21"/>
          <w:lang w:val="en-US" w:eastAsia="zh-CN"/>
        </w:rPr>
        <w:t>测试方法：</w:t>
      </w:r>
    </w:p>
    <w:p>
      <w:pPr>
        <w:spacing w:before="1" w:line="360" w:lineRule="auto"/>
        <w:rPr>
          <w:rFonts w:hint="default" w:ascii="宋体" w:hAnsi="宋体" w:cs="宋体"/>
          <w:spacing w:val="-7"/>
          <w:position w:val="0"/>
          <w:sz w:val="21"/>
          <w:szCs w:val="21"/>
          <w:lang w:val="en-US" w:eastAsia="zh-CN"/>
        </w:rPr>
      </w:pPr>
      <w:r>
        <w:rPr>
          <w:rFonts w:hint="default" w:ascii="宋体" w:hAnsi="宋体" w:cs="宋体"/>
          <w:spacing w:val="-7"/>
          <w:position w:val="0"/>
          <w:sz w:val="21"/>
          <w:szCs w:val="21"/>
          <w:lang w:val="en-US" w:eastAsia="zh-CN"/>
        </w:rPr>
        <w:t>测试条件：</w:t>
      </w:r>
    </w:p>
    <w:p>
      <w:pPr>
        <w:spacing w:before="1" w:line="360" w:lineRule="auto"/>
        <w:rPr>
          <w:rFonts w:ascii="Arial"/>
          <w:sz w:val="21"/>
        </w:rPr>
      </w:pPr>
      <w:r>
        <w:rPr>
          <w:rFonts w:hint="default" w:ascii="宋体" w:hAnsi="宋体" w:cs="宋体"/>
          <w:spacing w:val="-7"/>
          <w:position w:val="0"/>
          <w:sz w:val="21"/>
          <w:szCs w:val="21"/>
          <w:lang w:val="en-US" w:eastAsia="zh-CN"/>
        </w:rPr>
        <w:t>测试结果的详细报告</w:t>
      </w:r>
      <w:r>
        <w:rPr>
          <w:rFonts w:ascii="宋体" w:hAnsi="宋体" w:eastAsia="宋体" w:cs="宋体"/>
          <w:spacing w:val="-7"/>
          <w:position w:val="0"/>
          <w:sz w:val="21"/>
          <w:szCs w:val="21"/>
        </w:rPr>
        <w:t>：</w:t>
      </w:r>
    </w:p>
    <w:p>
      <w:pPr>
        <w:spacing w:line="305" w:lineRule="auto"/>
        <w:rPr>
          <w:rFonts w:hint="default" w:ascii="Arial" w:eastAsia="宋体"/>
          <w:sz w:val="21"/>
          <w:lang w:val="en-US" w:eastAsia="zh-CN"/>
        </w:rPr>
      </w:pPr>
      <w:r>
        <w:rPr>
          <w:rFonts w:hint="eastAsia" w:ascii="Arial"/>
          <w:sz w:val="21"/>
          <w:lang w:val="en-US" w:eastAsia="zh-CN"/>
        </w:rPr>
        <w:t>（试样图片）</w:t>
      </w:r>
    </w:p>
    <w:p>
      <w:pPr>
        <w:pStyle w:val="13"/>
        <w:ind w:left="0" w:leftChars="0"/>
      </w:pPr>
    </w:p>
    <w:p>
      <w:pPr>
        <w:pStyle w:val="13"/>
        <w:ind w:left="0" w:leftChars="0"/>
      </w:pPr>
    </w:p>
    <w:p>
      <w:pPr>
        <w:pStyle w:val="13"/>
        <w:ind w:left="0" w:leftChars="0"/>
      </w:pPr>
    </w:p>
    <w:p>
      <w:pPr>
        <w:spacing w:before="69" w:line="219" w:lineRule="auto"/>
        <w:rPr>
          <w:rFonts w:ascii="Arial"/>
          <w:sz w:val="21"/>
        </w:rPr>
      </w:pPr>
      <w:r>
        <w:rPr>
          <w:rFonts w:ascii="宋体" w:hAnsi="宋体" w:eastAsia="宋体" w:cs="宋体"/>
          <w:spacing w:val="-6"/>
          <w:sz w:val="21"/>
          <w:szCs w:val="21"/>
        </w:rPr>
        <w:t>兹证明考试</w:t>
      </w:r>
      <w:r>
        <w:rPr>
          <w:rFonts w:hint="eastAsia" w:ascii="宋体" w:hAnsi="宋体" w:cs="宋体"/>
          <w:spacing w:val="-6"/>
          <w:sz w:val="21"/>
          <w:szCs w:val="21"/>
          <w:lang w:val="en-US" w:eastAsia="zh-CN"/>
        </w:rPr>
        <w:t>焊接同步激光清洗试样</w:t>
      </w:r>
      <w:r>
        <w:rPr>
          <w:rFonts w:ascii="宋体" w:hAnsi="宋体" w:eastAsia="宋体" w:cs="宋体"/>
          <w:spacing w:val="-6"/>
          <w:sz w:val="21"/>
          <w:szCs w:val="21"/>
        </w:rPr>
        <w:t>的制备及检验符合上述规程/</w:t>
      </w:r>
      <w:r>
        <w:rPr>
          <w:rFonts w:ascii="宋体" w:hAnsi="宋体" w:eastAsia="宋体" w:cs="宋体"/>
          <w:spacing w:val="-7"/>
          <w:sz w:val="21"/>
          <w:szCs w:val="21"/>
        </w:rPr>
        <w:t>考核标准的要求。</w:t>
      </w:r>
    </w:p>
    <w:p>
      <w:pPr>
        <w:spacing w:line="306" w:lineRule="auto"/>
        <w:rPr>
          <w:rFonts w:ascii="Arial"/>
          <w:sz w:val="21"/>
        </w:rPr>
      </w:pPr>
    </w:p>
    <w:p>
      <w:pPr>
        <w:pStyle w:val="13"/>
        <w:ind w:left="0" w:leftChars="0"/>
      </w:pPr>
    </w:p>
    <w:p>
      <w:pPr>
        <w:pStyle w:val="13"/>
        <w:ind w:left="0" w:leftChars="0"/>
      </w:pPr>
    </w:p>
    <w:p>
      <w:pPr>
        <w:spacing w:before="69" w:line="226" w:lineRule="auto"/>
        <w:rPr>
          <w:rFonts w:hint="eastAsia" w:ascii="宋体" w:hAnsi="宋体" w:eastAsia="宋体" w:cs="宋体"/>
          <w:sz w:val="21"/>
          <w:szCs w:val="21"/>
          <w:lang w:eastAsia="zh-CN"/>
        </w:rPr>
      </w:pPr>
      <w:r>
        <w:rPr>
          <w:rFonts w:ascii="宋体" w:hAnsi="宋体" w:eastAsia="宋体" w:cs="宋体"/>
          <w:spacing w:val="-18"/>
          <w:sz w:val="21"/>
          <w:szCs w:val="21"/>
        </w:rPr>
        <w:t>地点</w:t>
      </w:r>
      <w:r>
        <w:rPr>
          <w:rFonts w:hint="eastAsia" w:ascii="宋体" w:hAnsi="宋体" w:cs="宋体"/>
          <w:spacing w:val="-18"/>
          <w:sz w:val="21"/>
          <w:szCs w:val="21"/>
          <w:lang w:eastAsia="zh-CN"/>
        </w:rPr>
        <w:t>：</w:t>
      </w:r>
      <w:r>
        <w:rPr>
          <w:rFonts w:ascii="宋体" w:hAnsi="宋体" w:eastAsia="宋体" w:cs="宋体"/>
          <w:spacing w:val="6"/>
          <w:sz w:val="21"/>
          <w:szCs w:val="21"/>
        </w:rPr>
        <w:t xml:space="preserve">              </w:t>
      </w:r>
      <w:r>
        <w:rPr>
          <w:rFonts w:ascii="宋体" w:hAnsi="宋体" w:eastAsia="宋体" w:cs="宋体"/>
          <w:spacing w:val="-18"/>
          <w:sz w:val="21"/>
          <w:szCs w:val="21"/>
        </w:rPr>
        <w:t>颁发日期</w:t>
      </w:r>
      <w:r>
        <w:rPr>
          <w:rFonts w:hint="eastAsia" w:ascii="宋体" w:hAnsi="宋体" w:cs="宋体"/>
          <w:spacing w:val="-18"/>
          <w:sz w:val="21"/>
          <w:szCs w:val="21"/>
          <w:lang w:eastAsia="zh-CN"/>
        </w:rPr>
        <w:t>：</w:t>
      </w:r>
      <w:r>
        <w:rPr>
          <w:rFonts w:ascii="宋体" w:hAnsi="宋体" w:eastAsia="宋体" w:cs="宋体"/>
          <w:spacing w:val="5"/>
          <w:sz w:val="21"/>
          <w:szCs w:val="21"/>
        </w:rPr>
        <w:t xml:space="preserve">                   </w:t>
      </w:r>
      <w:r>
        <w:rPr>
          <w:rFonts w:ascii="宋体" w:hAnsi="宋体" w:eastAsia="宋体" w:cs="宋体"/>
          <w:spacing w:val="-18"/>
          <w:sz w:val="21"/>
          <w:szCs w:val="21"/>
        </w:rPr>
        <w:t>考官或考试机构</w:t>
      </w:r>
      <w:r>
        <w:rPr>
          <w:rFonts w:hint="eastAsia" w:ascii="宋体" w:hAnsi="宋体" w:cs="宋体"/>
          <w:spacing w:val="-18"/>
          <w:sz w:val="21"/>
          <w:szCs w:val="21"/>
          <w:lang w:eastAsia="zh-CN"/>
        </w:rPr>
        <w:t>：</w:t>
      </w:r>
    </w:p>
    <w:p>
      <w:pPr>
        <w:spacing w:before="68" w:line="222" w:lineRule="auto"/>
        <w:ind w:left="4113" w:firstLine="1274" w:firstLineChars="700"/>
        <w:rPr>
          <w:rFonts w:hint="eastAsia" w:hAnsi="黑体" w:cs="黑体"/>
          <w:shd w:val="clear" w:color="auto" w:fill="FFFFFF"/>
        </w:rPr>
      </w:pPr>
      <w:r>
        <w:rPr>
          <w:rFonts w:ascii="宋体" w:hAnsi="宋体" w:eastAsia="宋体" w:cs="宋体"/>
          <w:spacing w:val="-14"/>
          <w:sz w:val="21"/>
          <w:szCs w:val="21"/>
        </w:rPr>
        <w:t>姓名、日期及签名</w:t>
      </w:r>
    </w:p>
    <w:sectPr>
      <w:footerReference r:id="rId8" w:type="default"/>
      <w:headerReference r:id="rId7" w:type="even"/>
      <w:footerReference r:id="rId9" w:type="even"/>
      <w:pgSz w:w="11906" w:h="16838"/>
      <w:pgMar w:top="1417" w:right="1134" w:bottom="1134" w:left="1134" w:header="1418" w:footer="1134" w:gutter="283"/>
      <w:pgBorders>
        <w:top w:val="none" w:sz="0" w:space="0"/>
        <w:left w:val="none" w:sz="0" w:space="0"/>
        <w:bottom w:val="none" w:sz="0" w:space="0"/>
        <w:right w:val="none" w:sz="0" w:space="0"/>
      </w:pgBorders>
      <w:pgNumType w:fmt="decimal"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erif">
    <w:altName w:val="Segoe Print"/>
    <w:panose1 w:val="00000000000000000000"/>
    <w:charset w:val="00"/>
    <w:family w:val="auto"/>
    <w:pitch w:val="default"/>
    <w:sig w:usb0="00000000" w:usb1="00000000" w:usb2="00000000" w:usb3="00000000" w:csb0="00040001" w:csb1="00000000"/>
  </w:font>
  <w:font w:name="CIDFont+F2">
    <w:altName w:val="Cambria"/>
    <w:panose1 w:val="00000000000000000000"/>
    <w:charset w:val="00"/>
    <w:family w:val="roman"/>
    <w:pitch w:val="default"/>
    <w:sig w:usb0="00000000" w:usb1="00000000" w:usb2="00000000" w:usb3="00000000" w:csb0="00040001" w:csb1="00000000"/>
  </w:font>
  <w:font w:name="CIDFont+F3">
    <w:altName w:val="Cambria"/>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8"/>
      <w:jc w:val="left"/>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8"/>
                            <w:jc w:val="left"/>
                          </w:pPr>
                          <w:r>
                            <w:rPr>
                              <w:rFonts w:hint="eastAsia" w:ascii="宋体" w:hAnsi="宋体" w:eastAsia="宋体" w:cs="宋体"/>
                            </w:rPr>
                            <w:t>Ⅱ</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58"/>
                      <w:jc w:val="left"/>
                    </w:pPr>
                    <w:r>
                      <w:rPr>
                        <w:rFonts w:hint="eastAsia" w:ascii="宋体" w:hAnsi="宋体" w:eastAsia="宋体" w:cs="宋体"/>
                      </w:rPr>
                      <w:t>Ⅱ</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8"/>
    </w:pPr>
    <w:r>
      <w:rPr>
        <w:sz w:val="1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8"/>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I</w:t>
                    </w:r>
                    <w:r>
                      <w:fldChar w:fldCharType="end"/>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left"/>
      <w:rPr>
        <w:rFonts w:ascii="宋体" w:hAnsi="宋体" w:cs="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left"/>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4</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22"/>
                      <w:jc w:val="left"/>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4</w:t>
                    </w:r>
                    <w:r>
                      <w:rPr>
                        <w:rFonts w:hint="eastAsia" w:ascii="宋体" w:hAnsi="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spacing w:after="283"/>
      <w:jc w:val="left"/>
    </w:pPr>
    <w:r>
      <w:rPr>
        <w:rFonts w:hint="eastAsia"/>
      </w:rPr>
      <w:t>DB43/T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spacing w:after="283"/>
    </w:pPr>
    <w:r>
      <w:rPr>
        <w:rFonts w:hint="eastAsia"/>
      </w:rPr>
      <w:t>DB43/T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spacing w:after="283"/>
      <w:jc w:val="left"/>
      <w:rPr>
        <w:rFonts w:hAnsi="黑体" w:cs="黑体"/>
      </w:rPr>
    </w:pPr>
    <w:r>
      <w:rPr>
        <w:rFonts w:hint="eastAsia"/>
      </w:rPr>
      <w:t>DB43/T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C7B43"/>
    <w:multiLevelType w:val="multilevel"/>
    <w:tmpl w:val="D71C7B43"/>
    <w:lvl w:ilvl="0" w:tentative="0">
      <w:start w:val="1"/>
      <w:numFmt w:val="lowerLetter"/>
      <w:pStyle w:val="13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3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79102AD"/>
    <w:multiLevelType w:val="multilevel"/>
    <w:tmpl w:val="079102AD"/>
    <w:lvl w:ilvl="0" w:tentative="0">
      <w:start w:val="1"/>
      <w:numFmt w:val="decimal"/>
      <w:pStyle w:val="8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6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13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983844"/>
    <w:multiLevelType w:val="multilevel"/>
    <w:tmpl w:val="0D983844"/>
    <w:lvl w:ilvl="0" w:tentative="0">
      <w:start w:val="1"/>
      <w:numFmt w:val="decimal"/>
      <w:pStyle w:val="9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DDE2B46"/>
    <w:multiLevelType w:val="multilevel"/>
    <w:tmpl w:val="0DDE2B46"/>
    <w:lvl w:ilvl="0" w:tentative="0">
      <w:start w:val="1"/>
      <w:numFmt w:val="lowerLetter"/>
      <w:pStyle w:val="96"/>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12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8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6"/>
      <w:suff w:val="nothing"/>
      <w:lvlText w:val="%1.%2　"/>
      <w:lvlJc w:val="left"/>
      <w:pPr>
        <w:ind w:left="284"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75"/>
      <w:suff w:val="nothing"/>
      <w:lvlText w:val="%1.%2.%3　"/>
      <w:lvlJc w:val="left"/>
      <w:pPr>
        <w:ind w:left="2410" w:firstLine="0"/>
      </w:pPr>
      <w:rPr>
        <w:rFonts w:hint="default" w:ascii="宋体" w:hAnsi="宋体" w:eastAsia="宋体" w:cs="宋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73"/>
      <w:suff w:val="nothing"/>
      <w:lvlText w:val="%1.%2.%3.%4.%5　"/>
      <w:lvlJc w:val="left"/>
      <w:pPr>
        <w:ind w:left="0" w:firstLine="0"/>
      </w:pPr>
      <w:rPr>
        <w:rFonts w:hint="eastAsia" w:ascii="黑体" w:hAnsi="Times New Roman" w:eastAsia="黑体"/>
        <w:b w:val="0"/>
        <w:i w:val="0"/>
        <w:sz w:val="21"/>
      </w:rPr>
    </w:lvl>
    <w:lvl w:ilvl="5" w:tentative="0">
      <w:start w:val="1"/>
      <w:numFmt w:val="decimal"/>
      <w:pStyle w:val="9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15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95"/>
      <w:suff w:val="space"/>
      <w:lvlText w:val="%1"/>
      <w:lvlJc w:val="left"/>
      <w:pPr>
        <w:ind w:left="623" w:hanging="425"/>
      </w:pPr>
      <w:rPr>
        <w:rFonts w:hint="eastAsia"/>
      </w:rPr>
    </w:lvl>
    <w:lvl w:ilvl="1" w:tentative="0">
      <w:start w:val="1"/>
      <w:numFmt w:val="decimal"/>
      <w:pStyle w:val="13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84"/>
      <w:suff w:val="nothing"/>
      <w:lvlText w:val="%1——"/>
      <w:lvlJc w:val="left"/>
      <w:pPr>
        <w:ind w:left="833" w:hanging="408"/>
      </w:pPr>
      <w:rPr>
        <w:rFonts w:hint="eastAsia"/>
      </w:rPr>
    </w:lvl>
    <w:lvl w:ilvl="1" w:tentative="0">
      <w:start w:val="1"/>
      <w:numFmt w:val="bullet"/>
      <w:pStyle w:val="85"/>
      <w:lvlText w:val=""/>
      <w:lvlJc w:val="left"/>
      <w:pPr>
        <w:tabs>
          <w:tab w:val="left" w:pos="760"/>
        </w:tabs>
        <w:ind w:left="1264" w:hanging="413"/>
      </w:pPr>
      <w:rPr>
        <w:rFonts w:hint="default" w:ascii="Symbol" w:hAnsi="Symbol"/>
        <w:color w:val="auto"/>
      </w:rPr>
    </w:lvl>
    <w:lvl w:ilvl="2" w:tentative="0">
      <w:start w:val="1"/>
      <w:numFmt w:val="bullet"/>
      <w:pStyle w:val="6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12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160"/>
      <w:lvlText w:val="%1"/>
      <w:lvlJc w:val="left"/>
      <w:pPr>
        <w:tabs>
          <w:tab w:val="left" w:pos="0"/>
        </w:tabs>
        <w:ind w:left="0" w:hanging="425"/>
      </w:pPr>
      <w:rPr>
        <w:rFonts w:hint="eastAsia"/>
      </w:rPr>
    </w:lvl>
    <w:lvl w:ilvl="1" w:tentative="0">
      <w:start w:val="1"/>
      <w:numFmt w:val="decimal"/>
      <w:pStyle w:val="12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0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3"/>
      <w:suff w:val="nothing"/>
      <w:lvlText w:val="%1.%2.%3　"/>
      <w:lvlJc w:val="left"/>
      <w:pPr>
        <w:ind w:left="0" w:firstLine="0"/>
      </w:pPr>
      <w:rPr>
        <w:rFonts w:hint="eastAsia" w:ascii="黑体" w:hAnsi="Times New Roman" w:eastAsia="黑体"/>
        <w:b w:val="0"/>
        <w:i w:val="0"/>
        <w:sz w:val="21"/>
      </w:rPr>
    </w:lvl>
    <w:lvl w:ilvl="3" w:tentative="0">
      <w:start w:val="1"/>
      <w:numFmt w:val="decimal"/>
      <w:pStyle w:val="77"/>
      <w:suff w:val="nothing"/>
      <w:lvlText w:val="%1.%2.%3.%4　"/>
      <w:lvlJc w:val="left"/>
      <w:pPr>
        <w:ind w:left="0" w:firstLine="0"/>
      </w:pPr>
      <w:rPr>
        <w:rFonts w:hint="eastAsia" w:ascii="黑体" w:hAnsi="Times New Roman" w:eastAsia="黑体"/>
        <w:b w:val="0"/>
        <w:i w:val="0"/>
        <w:sz w:val="21"/>
      </w:rPr>
    </w:lvl>
    <w:lvl w:ilvl="4" w:tentative="0">
      <w:start w:val="1"/>
      <w:numFmt w:val="decimal"/>
      <w:pStyle w:val="79"/>
      <w:suff w:val="nothing"/>
      <w:lvlText w:val="%1.%2.%3.%4.%5　"/>
      <w:lvlJc w:val="left"/>
      <w:pPr>
        <w:ind w:left="0" w:firstLine="0"/>
      </w:pPr>
      <w:rPr>
        <w:rFonts w:hint="eastAsia" w:ascii="黑体" w:hAnsi="Times New Roman" w:eastAsia="黑体"/>
        <w:b w:val="0"/>
        <w:i w:val="0"/>
        <w:sz w:val="21"/>
      </w:rPr>
    </w:lvl>
    <w:lvl w:ilvl="5" w:tentative="0">
      <w:start w:val="1"/>
      <w:numFmt w:val="decimal"/>
      <w:pStyle w:val="80"/>
      <w:suff w:val="nothing"/>
      <w:lvlText w:val="%1.%2.%3.%4.%5.%6　"/>
      <w:lvlJc w:val="left"/>
      <w:pPr>
        <w:ind w:left="0" w:firstLine="0"/>
      </w:pPr>
      <w:rPr>
        <w:rFonts w:hint="eastAsia" w:ascii="黑体" w:hAnsi="Times New Roman" w:eastAsia="黑体"/>
        <w:b w:val="0"/>
        <w:i w:val="0"/>
        <w:sz w:val="21"/>
      </w:rPr>
    </w:lvl>
    <w:lvl w:ilvl="6" w:tentative="0">
      <w:start w:val="1"/>
      <w:numFmt w:val="decimal"/>
      <w:pStyle w:val="8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29"/>
      <w:lvlText w:val="%1)"/>
      <w:lvlJc w:val="left"/>
      <w:pPr>
        <w:tabs>
          <w:tab w:val="left" w:pos="839"/>
        </w:tabs>
        <w:ind w:left="839" w:hanging="419"/>
      </w:pPr>
      <w:rPr>
        <w:rFonts w:hint="eastAsia" w:ascii="宋体" w:eastAsia="宋体"/>
        <w:b w:val="0"/>
        <w:i w:val="0"/>
        <w:sz w:val="21"/>
      </w:rPr>
    </w:lvl>
    <w:lvl w:ilvl="1" w:tentative="0">
      <w:start w:val="1"/>
      <w:numFmt w:val="decimal"/>
      <w:pStyle w:val="15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14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2"/>
  </w:num>
  <w:num w:numId="3">
    <w:abstractNumId w:val="10"/>
  </w:num>
  <w:num w:numId="4">
    <w:abstractNumId w:val="15"/>
  </w:num>
  <w:num w:numId="5">
    <w:abstractNumId w:val="7"/>
  </w:num>
  <w:num w:numId="6">
    <w:abstractNumId w:val="1"/>
  </w:num>
  <w:num w:numId="7">
    <w:abstractNumId w:val="4"/>
  </w:num>
  <w:num w:numId="8">
    <w:abstractNumId w:val="9"/>
  </w:num>
  <w:num w:numId="9">
    <w:abstractNumId w:val="5"/>
  </w:num>
  <w:num w:numId="10">
    <w:abstractNumId w:val="14"/>
  </w:num>
  <w:num w:numId="11">
    <w:abstractNumId w:val="12"/>
  </w:num>
  <w:num w:numId="12">
    <w:abstractNumId w:val="13"/>
  </w:num>
  <w:num w:numId="13">
    <w:abstractNumId w:val="6"/>
  </w:num>
  <w:num w:numId="14">
    <w:abstractNumId w:val="16"/>
  </w:num>
  <w:num w:numId="15">
    <w:abstractNumId w:val="3"/>
  </w:num>
  <w:num w:numId="16">
    <w:abstractNumId w:val="0"/>
  </w:num>
  <w:num w:numId="17">
    <w:abstractNumId w:val="1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form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4NzJlNmQyNWU5NmQ1OTA4OWYyMTdlODlmNGJjZDEifQ=="/>
  </w:docVars>
  <w:rsids>
    <w:rsidRoot w:val="00035925"/>
    <w:rsid w:val="00000244"/>
    <w:rsid w:val="0000185F"/>
    <w:rsid w:val="00003D27"/>
    <w:rsid w:val="00004674"/>
    <w:rsid w:val="0000586F"/>
    <w:rsid w:val="00006922"/>
    <w:rsid w:val="00013D86"/>
    <w:rsid w:val="00013E02"/>
    <w:rsid w:val="0002143C"/>
    <w:rsid w:val="000225B8"/>
    <w:rsid w:val="000230B0"/>
    <w:rsid w:val="00025497"/>
    <w:rsid w:val="00025743"/>
    <w:rsid w:val="00025A65"/>
    <w:rsid w:val="00026C31"/>
    <w:rsid w:val="00027280"/>
    <w:rsid w:val="000320A7"/>
    <w:rsid w:val="00033CBD"/>
    <w:rsid w:val="00035925"/>
    <w:rsid w:val="00053DC8"/>
    <w:rsid w:val="00055C12"/>
    <w:rsid w:val="0006664D"/>
    <w:rsid w:val="00067CDF"/>
    <w:rsid w:val="00074C17"/>
    <w:rsid w:val="00074D86"/>
    <w:rsid w:val="00074FBE"/>
    <w:rsid w:val="0008120F"/>
    <w:rsid w:val="00083A09"/>
    <w:rsid w:val="0009005E"/>
    <w:rsid w:val="00092857"/>
    <w:rsid w:val="0009713E"/>
    <w:rsid w:val="000A20A9"/>
    <w:rsid w:val="000A48B1"/>
    <w:rsid w:val="000A4DD4"/>
    <w:rsid w:val="000A6DB9"/>
    <w:rsid w:val="000A7905"/>
    <w:rsid w:val="000B3143"/>
    <w:rsid w:val="000C6B05"/>
    <w:rsid w:val="000C6DD6"/>
    <w:rsid w:val="000C73D4"/>
    <w:rsid w:val="000D2CF3"/>
    <w:rsid w:val="000D3D4C"/>
    <w:rsid w:val="000D4F51"/>
    <w:rsid w:val="000D718B"/>
    <w:rsid w:val="000E0C46"/>
    <w:rsid w:val="000F030C"/>
    <w:rsid w:val="000F129C"/>
    <w:rsid w:val="000F6FA7"/>
    <w:rsid w:val="0010485C"/>
    <w:rsid w:val="001056DE"/>
    <w:rsid w:val="001118E0"/>
    <w:rsid w:val="001124C0"/>
    <w:rsid w:val="00122A5B"/>
    <w:rsid w:val="00127E98"/>
    <w:rsid w:val="001304FD"/>
    <w:rsid w:val="0013175F"/>
    <w:rsid w:val="001512B4"/>
    <w:rsid w:val="00152E54"/>
    <w:rsid w:val="001620A5"/>
    <w:rsid w:val="001646A9"/>
    <w:rsid w:val="00164E53"/>
    <w:rsid w:val="0016699D"/>
    <w:rsid w:val="001669E1"/>
    <w:rsid w:val="0016757B"/>
    <w:rsid w:val="00172DF8"/>
    <w:rsid w:val="00175159"/>
    <w:rsid w:val="00176208"/>
    <w:rsid w:val="00181168"/>
    <w:rsid w:val="0018211B"/>
    <w:rsid w:val="001840D3"/>
    <w:rsid w:val="001900F8"/>
    <w:rsid w:val="00191258"/>
    <w:rsid w:val="00192680"/>
    <w:rsid w:val="00193037"/>
    <w:rsid w:val="00193A2C"/>
    <w:rsid w:val="001945F6"/>
    <w:rsid w:val="001965B3"/>
    <w:rsid w:val="001A2015"/>
    <w:rsid w:val="001A288E"/>
    <w:rsid w:val="001B26E3"/>
    <w:rsid w:val="001B4164"/>
    <w:rsid w:val="001B6DC2"/>
    <w:rsid w:val="001C1241"/>
    <w:rsid w:val="001C149C"/>
    <w:rsid w:val="001C21AC"/>
    <w:rsid w:val="001C2E35"/>
    <w:rsid w:val="001C47BA"/>
    <w:rsid w:val="001C59EA"/>
    <w:rsid w:val="001C75DE"/>
    <w:rsid w:val="001D0B90"/>
    <w:rsid w:val="001D406C"/>
    <w:rsid w:val="001D41EE"/>
    <w:rsid w:val="001E0380"/>
    <w:rsid w:val="001E13B1"/>
    <w:rsid w:val="001E2E9B"/>
    <w:rsid w:val="001E4DAF"/>
    <w:rsid w:val="001E6975"/>
    <w:rsid w:val="001F13BA"/>
    <w:rsid w:val="001F3A19"/>
    <w:rsid w:val="00200DCF"/>
    <w:rsid w:val="00211977"/>
    <w:rsid w:val="00214A03"/>
    <w:rsid w:val="00223527"/>
    <w:rsid w:val="00234467"/>
    <w:rsid w:val="00234C9C"/>
    <w:rsid w:val="00237D8D"/>
    <w:rsid w:val="00241DA2"/>
    <w:rsid w:val="00245D7F"/>
    <w:rsid w:val="002462C0"/>
    <w:rsid w:val="00247FEE"/>
    <w:rsid w:val="00250E7D"/>
    <w:rsid w:val="002565D5"/>
    <w:rsid w:val="002611A5"/>
    <w:rsid w:val="002622C0"/>
    <w:rsid w:val="002778AE"/>
    <w:rsid w:val="0028269A"/>
    <w:rsid w:val="00283590"/>
    <w:rsid w:val="00286973"/>
    <w:rsid w:val="00286BDF"/>
    <w:rsid w:val="00294E70"/>
    <w:rsid w:val="002A1924"/>
    <w:rsid w:val="002A1BE9"/>
    <w:rsid w:val="002A4033"/>
    <w:rsid w:val="002A50C7"/>
    <w:rsid w:val="002A63B6"/>
    <w:rsid w:val="002A6FF2"/>
    <w:rsid w:val="002A7420"/>
    <w:rsid w:val="002B0F12"/>
    <w:rsid w:val="002B1308"/>
    <w:rsid w:val="002B4554"/>
    <w:rsid w:val="002B558E"/>
    <w:rsid w:val="002C72D8"/>
    <w:rsid w:val="002D11FA"/>
    <w:rsid w:val="002E0DDF"/>
    <w:rsid w:val="002E2906"/>
    <w:rsid w:val="002E363B"/>
    <w:rsid w:val="002E5635"/>
    <w:rsid w:val="002E64C3"/>
    <w:rsid w:val="002E65A3"/>
    <w:rsid w:val="002E6A2C"/>
    <w:rsid w:val="002F1D8C"/>
    <w:rsid w:val="002F21DA"/>
    <w:rsid w:val="002F2BAA"/>
    <w:rsid w:val="003009B8"/>
    <w:rsid w:val="00301F39"/>
    <w:rsid w:val="003059A2"/>
    <w:rsid w:val="00311985"/>
    <w:rsid w:val="00314F35"/>
    <w:rsid w:val="00325926"/>
    <w:rsid w:val="00327A8A"/>
    <w:rsid w:val="00336204"/>
    <w:rsid w:val="00336610"/>
    <w:rsid w:val="00343F73"/>
    <w:rsid w:val="00345060"/>
    <w:rsid w:val="0035323B"/>
    <w:rsid w:val="003609D2"/>
    <w:rsid w:val="00361F5B"/>
    <w:rsid w:val="00363F22"/>
    <w:rsid w:val="00366017"/>
    <w:rsid w:val="003753DB"/>
    <w:rsid w:val="00375564"/>
    <w:rsid w:val="00375F03"/>
    <w:rsid w:val="00383191"/>
    <w:rsid w:val="00386DED"/>
    <w:rsid w:val="003912E7"/>
    <w:rsid w:val="00391683"/>
    <w:rsid w:val="00393947"/>
    <w:rsid w:val="003A2275"/>
    <w:rsid w:val="003A695A"/>
    <w:rsid w:val="003A6A4F"/>
    <w:rsid w:val="003A7088"/>
    <w:rsid w:val="003B00DF"/>
    <w:rsid w:val="003B1275"/>
    <w:rsid w:val="003B1778"/>
    <w:rsid w:val="003C11CB"/>
    <w:rsid w:val="003C2069"/>
    <w:rsid w:val="003C4F9A"/>
    <w:rsid w:val="003C75F3"/>
    <w:rsid w:val="003C78A3"/>
    <w:rsid w:val="003D1CAF"/>
    <w:rsid w:val="003D2598"/>
    <w:rsid w:val="003E1867"/>
    <w:rsid w:val="003E1CF0"/>
    <w:rsid w:val="003E5729"/>
    <w:rsid w:val="003F4EE0"/>
    <w:rsid w:val="00402153"/>
    <w:rsid w:val="00402FC1"/>
    <w:rsid w:val="00414DFC"/>
    <w:rsid w:val="004166DE"/>
    <w:rsid w:val="00425082"/>
    <w:rsid w:val="00430A6E"/>
    <w:rsid w:val="00431DEB"/>
    <w:rsid w:val="00432F19"/>
    <w:rsid w:val="00433DBD"/>
    <w:rsid w:val="00445C08"/>
    <w:rsid w:val="00446B29"/>
    <w:rsid w:val="00453F9A"/>
    <w:rsid w:val="00456C11"/>
    <w:rsid w:val="00460F4B"/>
    <w:rsid w:val="004627AB"/>
    <w:rsid w:val="00464E1C"/>
    <w:rsid w:val="004717ED"/>
    <w:rsid w:val="00471E91"/>
    <w:rsid w:val="00474675"/>
    <w:rsid w:val="0047470C"/>
    <w:rsid w:val="004872EC"/>
    <w:rsid w:val="004A2FEA"/>
    <w:rsid w:val="004A35F9"/>
    <w:rsid w:val="004A7A66"/>
    <w:rsid w:val="004B24C1"/>
    <w:rsid w:val="004B43BC"/>
    <w:rsid w:val="004C292F"/>
    <w:rsid w:val="004C2CA6"/>
    <w:rsid w:val="004C3D1C"/>
    <w:rsid w:val="004C4392"/>
    <w:rsid w:val="004E3599"/>
    <w:rsid w:val="004E74D9"/>
    <w:rsid w:val="005000DF"/>
    <w:rsid w:val="00510280"/>
    <w:rsid w:val="00513D73"/>
    <w:rsid w:val="005142AE"/>
    <w:rsid w:val="00514A43"/>
    <w:rsid w:val="005174E5"/>
    <w:rsid w:val="00522393"/>
    <w:rsid w:val="00522620"/>
    <w:rsid w:val="00525656"/>
    <w:rsid w:val="005268B3"/>
    <w:rsid w:val="005317A5"/>
    <w:rsid w:val="00534C02"/>
    <w:rsid w:val="0054264B"/>
    <w:rsid w:val="00543786"/>
    <w:rsid w:val="00545264"/>
    <w:rsid w:val="005533D7"/>
    <w:rsid w:val="005703DE"/>
    <w:rsid w:val="0058464E"/>
    <w:rsid w:val="005868C4"/>
    <w:rsid w:val="00593B48"/>
    <w:rsid w:val="00597A43"/>
    <w:rsid w:val="005A01CB"/>
    <w:rsid w:val="005A2A3F"/>
    <w:rsid w:val="005A553A"/>
    <w:rsid w:val="005A58FF"/>
    <w:rsid w:val="005A5EAF"/>
    <w:rsid w:val="005A64C0"/>
    <w:rsid w:val="005B3C11"/>
    <w:rsid w:val="005C1C28"/>
    <w:rsid w:val="005C64C6"/>
    <w:rsid w:val="005C6DB5"/>
    <w:rsid w:val="005D4A67"/>
    <w:rsid w:val="005E19E7"/>
    <w:rsid w:val="005E4BD9"/>
    <w:rsid w:val="005E5BCE"/>
    <w:rsid w:val="005F0D35"/>
    <w:rsid w:val="0060249D"/>
    <w:rsid w:val="0060338A"/>
    <w:rsid w:val="0061716C"/>
    <w:rsid w:val="00620C0B"/>
    <w:rsid w:val="006243A1"/>
    <w:rsid w:val="006264BB"/>
    <w:rsid w:val="006276CA"/>
    <w:rsid w:val="00630D8E"/>
    <w:rsid w:val="00632E56"/>
    <w:rsid w:val="00635CBA"/>
    <w:rsid w:val="00642EE6"/>
    <w:rsid w:val="0064338B"/>
    <w:rsid w:val="006452EC"/>
    <w:rsid w:val="00646542"/>
    <w:rsid w:val="006504F4"/>
    <w:rsid w:val="00654BC9"/>
    <w:rsid w:val="00654DBE"/>
    <w:rsid w:val="006552FD"/>
    <w:rsid w:val="006617DD"/>
    <w:rsid w:val="00663AF3"/>
    <w:rsid w:val="00666B6C"/>
    <w:rsid w:val="0067219D"/>
    <w:rsid w:val="00674C2F"/>
    <w:rsid w:val="006801E3"/>
    <w:rsid w:val="00682682"/>
    <w:rsid w:val="00682702"/>
    <w:rsid w:val="00682CAE"/>
    <w:rsid w:val="00692368"/>
    <w:rsid w:val="006942F5"/>
    <w:rsid w:val="006A2EBC"/>
    <w:rsid w:val="006A5EA0"/>
    <w:rsid w:val="006A783B"/>
    <w:rsid w:val="006A7B33"/>
    <w:rsid w:val="006A7BD0"/>
    <w:rsid w:val="006B4E13"/>
    <w:rsid w:val="006B75DD"/>
    <w:rsid w:val="006B76E1"/>
    <w:rsid w:val="006C2179"/>
    <w:rsid w:val="006C67E0"/>
    <w:rsid w:val="006C7ABA"/>
    <w:rsid w:val="006D0D60"/>
    <w:rsid w:val="006D1122"/>
    <w:rsid w:val="006D3C00"/>
    <w:rsid w:val="006D6CF4"/>
    <w:rsid w:val="006E3675"/>
    <w:rsid w:val="006E4366"/>
    <w:rsid w:val="006E4A7F"/>
    <w:rsid w:val="006E56A8"/>
    <w:rsid w:val="006E6B2E"/>
    <w:rsid w:val="006F02EC"/>
    <w:rsid w:val="00704DF6"/>
    <w:rsid w:val="0070651C"/>
    <w:rsid w:val="007103DF"/>
    <w:rsid w:val="0071277C"/>
    <w:rsid w:val="007132A3"/>
    <w:rsid w:val="00716421"/>
    <w:rsid w:val="0072132F"/>
    <w:rsid w:val="00721F0D"/>
    <w:rsid w:val="00724EFB"/>
    <w:rsid w:val="00733884"/>
    <w:rsid w:val="007419C3"/>
    <w:rsid w:val="0074362E"/>
    <w:rsid w:val="00744F22"/>
    <w:rsid w:val="00745324"/>
    <w:rsid w:val="007467A7"/>
    <w:rsid w:val="007469DD"/>
    <w:rsid w:val="0074741B"/>
    <w:rsid w:val="0074759E"/>
    <w:rsid w:val="007478EA"/>
    <w:rsid w:val="0075415C"/>
    <w:rsid w:val="00754874"/>
    <w:rsid w:val="00763502"/>
    <w:rsid w:val="007913AB"/>
    <w:rsid w:val="007914F7"/>
    <w:rsid w:val="007B1625"/>
    <w:rsid w:val="007B1ECE"/>
    <w:rsid w:val="007B4AAC"/>
    <w:rsid w:val="007B706E"/>
    <w:rsid w:val="007B71EB"/>
    <w:rsid w:val="007C240B"/>
    <w:rsid w:val="007C6205"/>
    <w:rsid w:val="007C686A"/>
    <w:rsid w:val="007C728E"/>
    <w:rsid w:val="007D2C53"/>
    <w:rsid w:val="007D3D60"/>
    <w:rsid w:val="007E0A3A"/>
    <w:rsid w:val="007E1980"/>
    <w:rsid w:val="007E2EF7"/>
    <w:rsid w:val="007E4B76"/>
    <w:rsid w:val="007E5EA8"/>
    <w:rsid w:val="007F0CF1"/>
    <w:rsid w:val="007F12A5"/>
    <w:rsid w:val="007F14A6"/>
    <w:rsid w:val="007F4CF1"/>
    <w:rsid w:val="007F758D"/>
    <w:rsid w:val="007F7D52"/>
    <w:rsid w:val="0080654C"/>
    <w:rsid w:val="00806CB3"/>
    <w:rsid w:val="008071C6"/>
    <w:rsid w:val="00817A00"/>
    <w:rsid w:val="00834CDA"/>
    <w:rsid w:val="00835DB3"/>
    <w:rsid w:val="0083617B"/>
    <w:rsid w:val="008371BD"/>
    <w:rsid w:val="00841FE8"/>
    <w:rsid w:val="008504A8"/>
    <w:rsid w:val="0085282E"/>
    <w:rsid w:val="0085764D"/>
    <w:rsid w:val="00857EC0"/>
    <w:rsid w:val="00865E16"/>
    <w:rsid w:val="0087198C"/>
    <w:rsid w:val="00872C1F"/>
    <w:rsid w:val="00873B42"/>
    <w:rsid w:val="00883EC9"/>
    <w:rsid w:val="008856D8"/>
    <w:rsid w:val="00886960"/>
    <w:rsid w:val="00892E82"/>
    <w:rsid w:val="00893028"/>
    <w:rsid w:val="008B7871"/>
    <w:rsid w:val="008C1B58"/>
    <w:rsid w:val="008C39AE"/>
    <w:rsid w:val="008C590D"/>
    <w:rsid w:val="008E031B"/>
    <w:rsid w:val="008E2E3B"/>
    <w:rsid w:val="008E7029"/>
    <w:rsid w:val="008E7EF6"/>
    <w:rsid w:val="008F1F3E"/>
    <w:rsid w:val="008F1F98"/>
    <w:rsid w:val="008F6758"/>
    <w:rsid w:val="0090004B"/>
    <w:rsid w:val="00901735"/>
    <w:rsid w:val="0090288E"/>
    <w:rsid w:val="00902A28"/>
    <w:rsid w:val="009040DD"/>
    <w:rsid w:val="00905B47"/>
    <w:rsid w:val="0091331C"/>
    <w:rsid w:val="009200CA"/>
    <w:rsid w:val="00922AD3"/>
    <w:rsid w:val="0092352D"/>
    <w:rsid w:val="009279DE"/>
    <w:rsid w:val="00930116"/>
    <w:rsid w:val="009324CD"/>
    <w:rsid w:val="00940F25"/>
    <w:rsid w:val="0094212C"/>
    <w:rsid w:val="009524CD"/>
    <w:rsid w:val="00952AB7"/>
    <w:rsid w:val="00954689"/>
    <w:rsid w:val="0095778E"/>
    <w:rsid w:val="009617C9"/>
    <w:rsid w:val="00961C93"/>
    <w:rsid w:val="00965324"/>
    <w:rsid w:val="0097091E"/>
    <w:rsid w:val="00971A88"/>
    <w:rsid w:val="009760D3"/>
    <w:rsid w:val="00977132"/>
    <w:rsid w:val="009804E0"/>
    <w:rsid w:val="00981A4B"/>
    <w:rsid w:val="00982501"/>
    <w:rsid w:val="009877D3"/>
    <w:rsid w:val="00994E8F"/>
    <w:rsid w:val="009951DC"/>
    <w:rsid w:val="009959BB"/>
    <w:rsid w:val="00997158"/>
    <w:rsid w:val="00997E01"/>
    <w:rsid w:val="009A3A7C"/>
    <w:rsid w:val="009A3AFC"/>
    <w:rsid w:val="009B2ADB"/>
    <w:rsid w:val="009B44F4"/>
    <w:rsid w:val="009B58C7"/>
    <w:rsid w:val="009B603A"/>
    <w:rsid w:val="009B7E3F"/>
    <w:rsid w:val="009C2D0E"/>
    <w:rsid w:val="009C3DAC"/>
    <w:rsid w:val="009C42E0"/>
    <w:rsid w:val="009D5362"/>
    <w:rsid w:val="009D7B45"/>
    <w:rsid w:val="009E1415"/>
    <w:rsid w:val="009E2814"/>
    <w:rsid w:val="009E6116"/>
    <w:rsid w:val="009F05DF"/>
    <w:rsid w:val="009F3CA1"/>
    <w:rsid w:val="00A02E43"/>
    <w:rsid w:val="00A065F9"/>
    <w:rsid w:val="00A07F34"/>
    <w:rsid w:val="00A22154"/>
    <w:rsid w:val="00A25C38"/>
    <w:rsid w:val="00A36BBE"/>
    <w:rsid w:val="00A36FDC"/>
    <w:rsid w:val="00A42400"/>
    <w:rsid w:val="00A427B2"/>
    <w:rsid w:val="00A4307A"/>
    <w:rsid w:val="00A47EBB"/>
    <w:rsid w:val="00A51A10"/>
    <w:rsid w:val="00A51CDD"/>
    <w:rsid w:val="00A57FA0"/>
    <w:rsid w:val="00A6136D"/>
    <w:rsid w:val="00A6244D"/>
    <w:rsid w:val="00A640CE"/>
    <w:rsid w:val="00A6730D"/>
    <w:rsid w:val="00A70FDB"/>
    <w:rsid w:val="00A71625"/>
    <w:rsid w:val="00A71B9B"/>
    <w:rsid w:val="00A751C7"/>
    <w:rsid w:val="00A77DB3"/>
    <w:rsid w:val="00A84E18"/>
    <w:rsid w:val="00A861E2"/>
    <w:rsid w:val="00A86243"/>
    <w:rsid w:val="00A877B5"/>
    <w:rsid w:val="00A87844"/>
    <w:rsid w:val="00A92F75"/>
    <w:rsid w:val="00A9692B"/>
    <w:rsid w:val="00AA038C"/>
    <w:rsid w:val="00AA26A5"/>
    <w:rsid w:val="00AA4318"/>
    <w:rsid w:val="00AA7A09"/>
    <w:rsid w:val="00AB3B50"/>
    <w:rsid w:val="00AC05B1"/>
    <w:rsid w:val="00AD356C"/>
    <w:rsid w:val="00AE2914"/>
    <w:rsid w:val="00AE6D15"/>
    <w:rsid w:val="00AE6E58"/>
    <w:rsid w:val="00AF0534"/>
    <w:rsid w:val="00AF6225"/>
    <w:rsid w:val="00B000A6"/>
    <w:rsid w:val="00B03102"/>
    <w:rsid w:val="00B04182"/>
    <w:rsid w:val="00B07AE3"/>
    <w:rsid w:val="00B11430"/>
    <w:rsid w:val="00B14A35"/>
    <w:rsid w:val="00B30E99"/>
    <w:rsid w:val="00B353EB"/>
    <w:rsid w:val="00B439C4"/>
    <w:rsid w:val="00B4535E"/>
    <w:rsid w:val="00B52A8C"/>
    <w:rsid w:val="00B53D8A"/>
    <w:rsid w:val="00B55EC5"/>
    <w:rsid w:val="00B56786"/>
    <w:rsid w:val="00B621B4"/>
    <w:rsid w:val="00B636A8"/>
    <w:rsid w:val="00B64FC0"/>
    <w:rsid w:val="00B665C6"/>
    <w:rsid w:val="00B805AF"/>
    <w:rsid w:val="00B83434"/>
    <w:rsid w:val="00B84593"/>
    <w:rsid w:val="00B869EC"/>
    <w:rsid w:val="00B93466"/>
    <w:rsid w:val="00B9397A"/>
    <w:rsid w:val="00B9633D"/>
    <w:rsid w:val="00BA0B75"/>
    <w:rsid w:val="00BA2471"/>
    <w:rsid w:val="00BA2EBE"/>
    <w:rsid w:val="00BB0F28"/>
    <w:rsid w:val="00BB458A"/>
    <w:rsid w:val="00BB6100"/>
    <w:rsid w:val="00BB76B8"/>
    <w:rsid w:val="00BC091F"/>
    <w:rsid w:val="00BD00D3"/>
    <w:rsid w:val="00BD1659"/>
    <w:rsid w:val="00BD2E3D"/>
    <w:rsid w:val="00BD3AA9"/>
    <w:rsid w:val="00BD4A18"/>
    <w:rsid w:val="00BD6DB2"/>
    <w:rsid w:val="00BE0D29"/>
    <w:rsid w:val="00BE11CF"/>
    <w:rsid w:val="00BE21AB"/>
    <w:rsid w:val="00BE55CB"/>
    <w:rsid w:val="00BE7949"/>
    <w:rsid w:val="00BF12F2"/>
    <w:rsid w:val="00BF3D03"/>
    <w:rsid w:val="00BF5686"/>
    <w:rsid w:val="00BF589C"/>
    <w:rsid w:val="00BF617A"/>
    <w:rsid w:val="00BF6FCE"/>
    <w:rsid w:val="00C0379D"/>
    <w:rsid w:val="00C03900"/>
    <w:rsid w:val="00C03931"/>
    <w:rsid w:val="00C05FE3"/>
    <w:rsid w:val="00C06819"/>
    <w:rsid w:val="00C149EF"/>
    <w:rsid w:val="00C17786"/>
    <w:rsid w:val="00C2136D"/>
    <w:rsid w:val="00C214EE"/>
    <w:rsid w:val="00C2314B"/>
    <w:rsid w:val="00C24971"/>
    <w:rsid w:val="00C25ABF"/>
    <w:rsid w:val="00C26BE5"/>
    <w:rsid w:val="00C26E4D"/>
    <w:rsid w:val="00C27909"/>
    <w:rsid w:val="00C27B03"/>
    <w:rsid w:val="00C27F88"/>
    <w:rsid w:val="00C314E1"/>
    <w:rsid w:val="00C32298"/>
    <w:rsid w:val="00C329F3"/>
    <w:rsid w:val="00C34397"/>
    <w:rsid w:val="00C3788B"/>
    <w:rsid w:val="00C4095D"/>
    <w:rsid w:val="00C41991"/>
    <w:rsid w:val="00C43B0D"/>
    <w:rsid w:val="00C51814"/>
    <w:rsid w:val="00C601D2"/>
    <w:rsid w:val="00C65BCC"/>
    <w:rsid w:val="00C66970"/>
    <w:rsid w:val="00C71839"/>
    <w:rsid w:val="00C71DE6"/>
    <w:rsid w:val="00C74A86"/>
    <w:rsid w:val="00C8691C"/>
    <w:rsid w:val="00CA168A"/>
    <w:rsid w:val="00CA357E"/>
    <w:rsid w:val="00CA44F9"/>
    <w:rsid w:val="00CA4A69"/>
    <w:rsid w:val="00CA6E04"/>
    <w:rsid w:val="00CC3CD3"/>
    <w:rsid w:val="00CC3E0C"/>
    <w:rsid w:val="00CC58D3"/>
    <w:rsid w:val="00CC76B5"/>
    <w:rsid w:val="00CC784D"/>
    <w:rsid w:val="00CD3524"/>
    <w:rsid w:val="00CD63AC"/>
    <w:rsid w:val="00D0337B"/>
    <w:rsid w:val="00D04B4A"/>
    <w:rsid w:val="00D079B2"/>
    <w:rsid w:val="00D114E9"/>
    <w:rsid w:val="00D13908"/>
    <w:rsid w:val="00D16C97"/>
    <w:rsid w:val="00D225DA"/>
    <w:rsid w:val="00D37DD8"/>
    <w:rsid w:val="00D429C6"/>
    <w:rsid w:val="00D47748"/>
    <w:rsid w:val="00D54CC3"/>
    <w:rsid w:val="00D57875"/>
    <w:rsid w:val="00D6041A"/>
    <w:rsid w:val="00D633EB"/>
    <w:rsid w:val="00D63556"/>
    <w:rsid w:val="00D63D6D"/>
    <w:rsid w:val="00D676D9"/>
    <w:rsid w:val="00D702B6"/>
    <w:rsid w:val="00D82FF7"/>
    <w:rsid w:val="00D847FE"/>
    <w:rsid w:val="00D85A1F"/>
    <w:rsid w:val="00D87667"/>
    <w:rsid w:val="00D964EA"/>
    <w:rsid w:val="00D966D0"/>
    <w:rsid w:val="00D96D27"/>
    <w:rsid w:val="00DA0C59"/>
    <w:rsid w:val="00DA27AC"/>
    <w:rsid w:val="00DA3991"/>
    <w:rsid w:val="00DB0990"/>
    <w:rsid w:val="00DB6858"/>
    <w:rsid w:val="00DB7E6C"/>
    <w:rsid w:val="00DC4BC1"/>
    <w:rsid w:val="00DD2F2C"/>
    <w:rsid w:val="00DD5A29"/>
    <w:rsid w:val="00DD5D9D"/>
    <w:rsid w:val="00DD6870"/>
    <w:rsid w:val="00DE35CB"/>
    <w:rsid w:val="00DE57E9"/>
    <w:rsid w:val="00DF21E9"/>
    <w:rsid w:val="00E00F14"/>
    <w:rsid w:val="00E0440B"/>
    <w:rsid w:val="00E06386"/>
    <w:rsid w:val="00E10631"/>
    <w:rsid w:val="00E14442"/>
    <w:rsid w:val="00E24EB4"/>
    <w:rsid w:val="00E27953"/>
    <w:rsid w:val="00E318B7"/>
    <w:rsid w:val="00E320ED"/>
    <w:rsid w:val="00E33AFB"/>
    <w:rsid w:val="00E34218"/>
    <w:rsid w:val="00E43954"/>
    <w:rsid w:val="00E46282"/>
    <w:rsid w:val="00E5216E"/>
    <w:rsid w:val="00E54912"/>
    <w:rsid w:val="00E61F42"/>
    <w:rsid w:val="00E82344"/>
    <w:rsid w:val="00E84C82"/>
    <w:rsid w:val="00E84D64"/>
    <w:rsid w:val="00E859F6"/>
    <w:rsid w:val="00E87408"/>
    <w:rsid w:val="00E914C4"/>
    <w:rsid w:val="00E934F5"/>
    <w:rsid w:val="00E96961"/>
    <w:rsid w:val="00E97EF3"/>
    <w:rsid w:val="00EA0956"/>
    <w:rsid w:val="00EA72EC"/>
    <w:rsid w:val="00EB01AF"/>
    <w:rsid w:val="00EB11CB"/>
    <w:rsid w:val="00EB275A"/>
    <w:rsid w:val="00EB786A"/>
    <w:rsid w:val="00EC1578"/>
    <w:rsid w:val="00EC1C72"/>
    <w:rsid w:val="00EC3CC9"/>
    <w:rsid w:val="00EC680A"/>
    <w:rsid w:val="00EE1D66"/>
    <w:rsid w:val="00EE2BED"/>
    <w:rsid w:val="00EE374B"/>
    <w:rsid w:val="00EF371C"/>
    <w:rsid w:val="00F01E7C"/>
    <w:rsid w:val="00F05F5D"/>
    <w:rsid w:val="00F11BB5"/>
    <w:rsid w:val="00F1417B"/>
    <w:rsid w:val="00F30661"/>
    <w:rsid w:val="00F334E3"/>
    <w:rsid w:val="00F34357"/>
    <w:rsid w:val="00F34B99"/>
    <w:rsid w:val="00F34F28"/>
    <w:rsid w:val="00F3763A"/>
    <w:rsid w:val="00F50D36"/>
    <w:rsid w:val="00F52DAB"/>
    <w:rsid w:val="00F53DFF"/>
    <w:rsid w:val="00F543F0"/>
    <w:rsid w:val="00F57936"/>
    <w:rsid w:val="00F60F10"/>
    <w:rsid w:val="00F6273E"/>
    <w:rsid w:val="00F65AA4"/>
    <w:rsid w:val="00F66726"/>
    <w:rsid w:val="00F67D14"/>
    <w:rsid w:val="00F722A6"/>
    <w:rsid w:val="00F81D29"/>
    <w:rsid w:val="00F91C4D"/>
    <w:rsid w:val="00F92FD9"/>
    <w:rsid w:val="00F93BB4"/>
    <w:rsid w:val="00F9764F"/>
    <w:rsid w:val="00FA6684"/>
    <w:rsid w:val="00FA731E"/>
    <w:rsid w:val="00FB171B"/>
    <w:rsid w:val="00FB2232"/>
    <w:rsid w:val="00FB2B38"/>
    <w:rsid w:val="00FB5587"/>
    <w:rsid w:val="00FC5D9F"/>
    <w:rsid w:val="00FC6358"/>
    <w:rsid w:val="00FD01CF"/>
    <w:rsid w:val="00FD230A"/>
    <w:rsid w:val="00FD320D"/>
    <w:rsid w:val="00FD36C9"/>
    <w:rsid w:val="00FD5AD7"/>
    <w:rsid w:val="00FE23DE"/>
    <w:rsid w:val="00FE3F84"/>
    <w:rsid w:val="012714CF"/>
    <w:rsid w:val="016519C1"/>
    <w:rsid w:val="023215AA"/>
    <w:rsid w:val="02830646"/>
    <w:rsid w:val="0293186F"/>
    <w:rsid w:val="02DF36E5"/>
    <w:rsid w:val="03B026C0"/>
    <w:rsid w:val="03DC5520"/>
    <w:rsid w:val="040B004F"/>
    <w:rsid w:val="04143DFA"/>
    <w:rsid w:val="042729C5"/>
    <w:rsid w:val="045160BC"/>
    <w:rsid w:val="04B529E7"/>
    <w:rsid w:val="04D82828"/>
    <w:rsid w:val="050056EE"/>
    <w:rsid w:val="05007CAB"/>
    <w:rsid w:val="05017FE4"/>
    <w:rsid w:val="05A84906"/>
    <w:rsid w:val="05AC5531"/>
    <w:rsid w:val="06D466FB"/>
    <w:rsid w:val="06E65A45"/>
    <w:rsid w:val="070B5B24"/>
    <w:rsid w:val="07954B54"/>
    <w:rsid w:val="07A22225"/>
    <w:rsid w:val="08186E62"/>
    <w:rsid w:val="08400A11"/>
    <w:rsid w:val="085051D8"/>
    <w:rsid w:val="08573971"/>
    <w:rsid w:val="08653DE3"/>
    <w:rsid w:val="08A7073E"/>
    <w:rsid w:val="08D31330"/>
    <w:rsid w:val="092A537F"/>
    <w:rsid w:val="097A7FD3"/>
    <w:rsid w:val="09B87047"/>
    <w:rsid w:val="09B938A6"/>
    <w:rsid w:val="0A395B8F"/>
    <w:rsid w:val="0A617A62"/>
    <w:rsid w:val="0ADC3993"/>
    <w:rsid w:val="0B6251EB"/>
    <w:rsid w:val="0B867F05"/>
    <w:rsid w:val="0B9319D5"/>
    <w:rsid w:val="0B9F07AD"/>
    <w:rsid w:val="0C040028"/>
    <w:rsid w:val="0C1E7F1D"/>
    <w:rsid w:val="0C5148AC"/>
    <w:rsid w:val="0C66582C"/>
    <w:rsid w:val="0CB00B4F"/>
    <w:rsid w:val="0D3D3EBA"/>
    <w:rsid w:val="0D776F15"/>
    <w:rsid w:val="0DB37FD4"/>
    <w:rsid w:val="0DBC7910"/>
    <w:rsid w:val="0DEA2C74"/>
    <w:rsid w:val="0E141429"/>
    <w:rsid w:val="0E1E06C1"/>
    <w:rsid w:val="0E266744"/>
    <w:rsid w:val="0E31782F"/>
    <w:rsid w:val="0E5A5AC4"/>
    <w:rsid w:val="0E675293"/>
    <w:rsid w:val="0E6A5E01"/>
    <w:rsid w:val="0E6F4034"/>
    <w:rsid w:val="0EF16D3A"/>
    <w:rsid w:val="0F0F72C1"/>
    <w:rsid w:val="0F4B6CDE"/>
    <w:rsid w:val="0F5A02C8"/>
    <w:rsid w:val="0F923689"/>
    <w:rsid w:val="0FA062BA"/>
    <w:rsid w:val="0FA27E39"/>
    <w:rsid w:val="0FFE552C"/>
    <w:rsid w:val="103B5CE2"/>
    <w:rsid w:val="105570A4"/>
    <w:rsid w:val="107A74BB"/>
    <w:rsid w:val="10C6787A"/>
    <w:rsid w:val="10D752D8"/>
    <w:rsid w:val="11AF2F30"/>
    <w:rsid w:val="127B6C4B"/>
    <w:rsid w:val="129A35AE"/>
    <w:rsid w:val="12F9707F"/>
    <w:rsid w:val="12FA7240"/>
    <w:rsid w:val="134069A8"/>
    <w:rsid w:val="13A40352"/>
    <w:rsid w:val="142B0F8F"/>
    <w:rsid w:val="143E2895"/>
    <w:rsid w:val="14746430"/>
    <w:rsid w:val="14AF0FA5"/>
    <w:rsid w:val="153E37AB"/>
    <w:rsid w:val="15593866"/>
    <w:rsid w:val="15981B2B"/>
    <w:rsid w:val="15BC5B69"/>
    <w:rsid w:val="15E43D92"/>
    <w:rsid w:val="16862232"/>
    <w:rsid w:val="16E23B68"/>
    <w:rsid w:val="1705221C"/>
    <w:rsid w:val="171C468B"/>
    <w:rsid w:val="177F0CF9"/>
    <w:rsid w:val="17C103A4"/>
    <w:rsid w:val="17CB4B4F"/>
    <w:rsid w:val="17DF0532"/>
    <w:rsid w:val="19174619"/>
    <w:rsid w:val="191C26D7"/>
    <w:rsid w:val="198866AC"/>
    <w:rsid w:val="19EC75C0"/>
    <w:rsid w:val="1A1B4E2D"/>
    <w:rsid w:val="1A5339D6"/>
    <w:rsid w:val="1A97745F"/>
    <w:rsid w:val="1B311DA3"/>
    <w:rsid w:val="1B7C2812"/>
    <w:rsid w:val="1B925B44"/>
    <w:rsid w:val="1B9C1470"/>
    <w:rsid w:val="1BB95AD3"/>
    <w:rsid w:val="1BE806B2"/>
    <w:rsid w:val="1BED13CB"/>
    <w:rsid w:val="1BF325FA"/>
    <w:rsid w:val="1C0D1005"/>
    <w:rsid w:val="1C460E03"/>
    <w:rsid w:val="1C6B26C0"/>
    <w:rsid w:val="1CC52F93"/>
    <w:rsid w:val="1CD558EE"/>
    <w:rsid w:val="1CE96F40"/>
    <w:rsid w:val="1D460499"/>
    <w:rsid w:val="1D4E4B79"/>
    <w:rsid w:val="1D8C3EBA"/>
    <w:rsid w:val="1DAA37A8"/>
    <w:rsid w:val="1ECF5B7E"/>
    <w:rsid w:val="1F171EA5"/>
    <w:rsid w:val="1F5347BD"/>
    <w:rsid w:val="1F71302A"/>
    <w:rsid w:val="1FED6881"/>
    <w:rsid w:val="20891FCE"/>
    <w:rsid w:val="209D36E2"/>
    <w:rsid w:val="20E503F1"/>
    <w:rsid w:val="21390381"/>
    <w:rsid w:val="216900A4"/>
    <w:rsid w:val="21A15CF9"/>
    <w:rsid w:val="21AA7EFF"/>
    <w:rsid w:val="21D21127"/>
    <w:rsid w:val="22E23209"/>
    <w:rsid w:val="2323154B"/>
    <w:rsid w:val="234D66F7"/>
    <w:rsid w:val="23507651"/>
    <w:rsid w:val="238B72CC"/>
    <w:rsid w:val="23B35F05"/>
    <w:rsid w:val="23E71A93"/>
    <w:rsid w:val="24162C90"/>
    <w:rsid w:val="24613E12"/>
    <w:rsid w:val="24A970B0"/>
    <w:rsid w:val="2540181B"/>
    <w:rsid w:val="25463EAF"/>
    <w:rsid w:val="25951FC5"/>
    <w:rsid w:val="25C42768"/>
    <w:rsid w:val="25DF6D1A"/>
    <w:rsid w:val="2627527D"/>
    <w:rsid w:val="262B24D6"/>
    <w:rsid w:val="26357DD2"/>
    <w:rsid w:val="26454FD6"/>
    <w:rsid w:val="265F0865"/>
    <w:rsid w:val="2664650A"/>
    <w:rsid w:val="26973D42"/>
    <w:rsid w:val="272542EA"/>
    <w:rsid w:val="27635450"/>
    <w:rsid w:val="276E04D2"/>
    <w:rsid w:val="27914A0E"/>
    <w:rsid w:val="27AB1C2F"/>
    <w:rsid w:val="2824538B"/>
    <w:rsid w:val="28357184"/>
    <w:rsid w:val="286363AA"/>
    <w:rsid w:val="28A64C7E"/>
    <w:rsid w:val="28AF05B5"/>
    <w:rsid w:val="29593B9C"/>
    <w:rsid w:val="29CB55F1"/>
    <w:rsid w:val="2A37673E"/>
    <w:rsid w:val="2A544367"/>
    <w:rsid w:val="2A6B5F34"/>
    <w:rsid w:val="2A767DE2"/>
    <w:rsid w:val="2A9074CA"/>
    <w:rsid w:val="2A9D0851"/>
    <w:rsid w:val="2AC4160B"/>
    <w:rsid w:val="2ADE3148"/>
    <w:rsid w:val="2AEA6A4D"/>
    <w:rsid w:val="2B2F36A9"/>
    <w:rsid w:val="2B654BED"/>
    <w:rsid w:val="2B8E628A"/>
    <w:rsid w:val="2B963E95"/>
    <w:rsid w:val="2BB11236"/>
    <w:rsid w:val="2BC5366E"/>
    <w:rsid w:val="2C257408"/>
    <w:rsid w:val="2C2E59A4"/>
    <w:rsid w:val="2C854299"/>
    <w:rsid w:val="2C940F1D"/>
    <w:rsid w:val="2CCC4289"/>
    <w:rsid w:val="2CE85050"/>
    <w:rsid w:val="2D722017"/>
    <w:rsid w:val="2D9C035C"/>
    <w:rsid w:val="2DD21493"/>
    <w:rsid w:val="2DFE26D1"/>
    <w:rsid w:val="2E074B89"/>
    <w:rsid w:val="2E3918B4"/>
    <w:rsid w:val="2E415830"/>
    <w:rsid w:val="2E4E5B1C"/>
    <w:rsid w:val="2E8C2E4B"/>
    <w:rsid w:val="2E98651F"/>
    <w:rsid w:val="2EAC6D5F"/>
    <w:rsid w:val="2ED81E14"/>
    <w:rsid w:val="2FAE75AD"/>
    <w:rsid w:val="305D3E6F"/>
    <w:rsid w:val="306E3937"/>
    <w:rsid w:val="307E7A49"/>
    <w:rsid w:val="308D0DD8"/>
    <w:rsid w:val="30A44442"/>
    <w:rsid w:val="316F12EC"/>
    <w:rsid w:val="31BD40F2"/>
    <w:rsid w:val="3216501A"/>
    <w:rsid w:val="3217561D"/>
    <w:rsid w:val="32940E3F"/>
    <w:rsid w:val="329C1E5E"/>
    <w:rsid w:val="32AC5672"/>
    <w:rsid w:val="32D457B6"/>
    <w:rsid w:val="32D93913"/>
    <w:rsid w:val="32DC362C"/>
    <w:rsid w:val="332E6627"/>
    <w:rsid w:val="334178D1"/>
    <w:rsid w:val="335C0580"/>
    <w:rsid w:val="336F6A34"/>
    <w:rsid w:val="33F61FC7"/>
    <w:rsid w:val="34367897"/>
    <w:rsid w:val="343C2F3C"/>
    <w:rsid w:val="344C3F42"/>
    <w:rsid w:val="347374C5"/>
    <w:rsid w:val="347E6926"/>
    <w:rsid w:val="349A40BB"/>
    <w:rsid w:val="349E6AAC"/>
    <w:rsid w:val="34AA68B5"/>
    <w:rsid w:val="34AC4D05"/>
    <w:rsid w:val="34CA0453"/>
    <w:rsid w:val="34EA21B0"/>
    <w:rsid w:val="354F450B"/>
    <w:rsid w:val="35543091"/>
    <w:rsid w:val="357D0B1C"/>
    <w:rsid w:val="358A50DE"/>
    <w:rsid w:val="35EB3EAD"/>
    <w:rsid w:val="35F37C63"/>
    <w:rsid w:val="35F5085E"/>
    <w:rsid w:val="36C33713"/>
    <w:rsid w:val="37E857C9"/>
    <w:rsid w:val="37FA679D"/>
    <w:rsid w:val="38376FFB"/>
    <w:rsid w:val="38600D5F"/>
    <w:rsid w:val="387F109D"/>
    <w:rsid w:val="392E348B"/>
    <w:rsid w:val="39563009"/>
    <w:rsid w:val="397E5328"/>
    <w:rsid w:val="39E35104"/>
    <w:rsid w:val="3AC4229C"/>
    <w:rsid w:val="3B290398"/>
    <w:rsid w:val="3B3D11C8"/>
    <w:rsid w:val="3B906B7E"/>
    <w:rsid w:val="3BDE4D71"/>
    <w:rsid w:val="3C6F6F89"/>
    <w:rsid w:val="3C7D3006"/>
    <w:rsid w:val="3CBB4A2A"/>
    <w:rsid w:val="3CBF75F3"/>
    <w:rsid w:val="3CD17B05"/>
    <w:rsid w:val="3CD405D8"/>
    <w:rsid w:val="3CE40773"/>
    <w:rsid w:val="3DB82E06"/>
    <w:rsid w:val="3DDC3BA2"/>
    <w:rsid w:val="3E1260E0"/>
    <w:rsid w:val="3E4B165C"/>
    <w:rsid w:val="3E681691"/>
    <w:rsid w:val="3E7E4BB1"/>
    <w:rsid w:val="3E9D45A7"/>
    <w:rsid w:val="3EB01E42"/>
    <w:rsid w:val="40477F08"/>
    <w:rsid w:val="40E66AC5"/>
    <w:rsid w:val="40EE2C84"/>
    <w:rsid w:val="40F736DC"/>
    <w:rsid w:val="411F388B"/>
    <w:rsid w:val="41AA52C1"/>
    <w:rsid w:val="4200521A"/>
    <w:rsid w:val="42243C22"/>
    <w:rsid w:val="427F7C4A"/>
    <w:rsid w:val="42BF76D6"/>
    <w:rsid w:val="43195686"/>
    <w:rsid w:val="434D3A97"/>
    <w:rsid w:val="43A22E73"/>
    <w:rsid w:val="43E7070C"/>
    <w:rsid w:val="43EA3EB9"/>
    <w:rsid w:val="44C2033E"/>
    <w:rsid w:val="44D553D1"/>
    <w:rsid w:val="44DF04A8"/>
    <w:rsid w:val="45714C4D"/>
    <w:rsid w:val="45C373FC"/>
    <w:rsid w:val="45E2712E"/>
    <w:rsid w:val="45F17480"/>
    <w:rsid w:val="461726A7"/>
    <w:rsid w:val="46283476"/>
    <w:rsid w:val="46FB5E65"/>
    <w:rsid w:val="470B3E7E"/>
    <w:rsid w:val="47343B99"/>
    <w:rsid w:val="479A6D71"/>
    <w:rsid w:val="47D66283"/>
    <w:rsid w:val="480F2DCC"/>
    <w:rsid w:val="49180030"/>
    <w:rsid w:val="49284D7B"/>
    <w:rsid w:val="49507791"/>
    <w:rsid w:val="4982389A"/>
    <w:rsid w:val="498D4320"/>
    <w:rsid w:val="499667B2"/>
    <w:rsid w:val="49C603B0"/>
    <w:rsid w:val="49F7423E"/>
    <w:rsid w:val="4A1972E6"/>
    <w:rsid w:val="4A2C2074"/>
    <w:rsid w:val="4A5A070F"/>
    <w:rsid w:val="4A7C7625"/>
    <w:rsid w:val="4AEF6254"/>
    <w:rsid w:val="4BAC1708"/>
    <w:rsid w:val="4C131A38"/>
    <w:rsid w:val="4C173468"/>
    <w:rsid w:val="4C3B4DC5"/>
    <w:rsid w:val="4C6065D9"/>
    <w:rsid w:val="4C675BBA"/>
    <w:rsid w:val="4C724F90"/>
    <w:rsid w:val="4C7B2E26"/>
    <w:rsid w:val="4DFC04AC"/>
    <w:rsid w:val="4E213B9E"/>
    <w:rsid w:val="4FAB27FD"/>
    <w:rsid w:val="501C6D5C"/>
    <w:rsid w:val="502108A3"/>
    <w:rsid w:val="503A080C"/>
    <w:rsid w:val="504A6D48"/>
    <w:rsid w:val="50987053"/>
    <w:rsid w:val="50AA0AF7"/>
    <w:rsid w:val="50B01185"/>
    <w:rsid w:val="50D96109"/>
    <w:rsid w:val="512B19FC"/>
    <w:rsid w:val="51315796"/>
    <w:rsid w:val="518844AE"/>
    <w:rsid w:val="522D43E1"/>
    <w:rsid w:val="525216DA"/>
    <w:rsid w:val="52914324"/>
    <w:rsid w:val="53155C14"/>
    <w:rsid w:val="531739A7"/>
    <w:rsid w:val="531F576A"/>
    <w:rsid w:val="538A71B5"/>
    <w:rsid w:val="538C64D2"/>
    <w:rsid w:val="53CE400A"/>
    <w:rsid w:val="53E4185F"/>
    <w:rsid w:val="54047F1D"/>
    <w:rsid w:val="546D7465"/>
    <w:rsid w:val="54760660"/>
    <w:rsid w:val="5505462B"/>
    <w:rsid w:val="550676EF"/>
    <w:rsid w:val="554A6484"/>
    <w:rsid w:val="554E5A67"/>
    <w:rsid w:val="55841F2F"/>
    <w:rsid w:val="565F7902"/>
    <w:rsid w:val="56C133F2"/>
    <w:rsid w:val="56C60E82"/>
    <w:rsid w:val="56E814B2"/>
    <w:rsid w:val="570135A7"/>
    <w:rsid w:val="57142785"/>
    <w:rsid w:val="57376AD1"/>
    <w:rsid w:val="573908DE"/>
    <w:rsid w:val="575A2D78"/>
    <w:rsid w:val="57D679FD"/>
    <w:rsid w:val="58152D09"/>
    <w:rsid w:val="581D5282"/>
    <w:rsid w:val="58346B6C"/>
    <w:rsid w:val="58AC71DB"/>
    <w:rsid w:val="5908028B"/>
    <w:rsid w:val="59096620"/>
    <w:rsid w:val="59724288"/>
    <w:rsid w:val="59AD2177"/>
    <w:rsid w:val="5A2E1DEE"/>
    <w:rsid w:val="5A3D24AB"/>
    <w:rsid w:val="5A5164AC"/>
    <w:rsid w:val="5A6921A3"/>
    <w:rsid w:val="5AFA0DED"/>
    <w:rsid w:val="5B046265"/>
    <w:rsid w:val="5B6B0115"/>
    <w:rsid w:val="5BB82001"/>
    <w:rsid w:val="5BC9584A"/>
    <w:rsid w:val="5BD41E60"/>
    <w:rsid w:val="5C541310"/>
    <w:rsid w:val="5CDE2CD9"/>
    <w:rsid w:val="5CED210B"/>
    <w:rsid w:val="5DCA27A5"/>
    <w:rsid w:val="5DFA3A6F"/>
    <w:rsid w:val="5E0019CA"/>
    <w:rsid w:val="5EF84D97"/>
    <w:rsid w:val="5F116EE6"/>
    <w:rsid w:val="5F6917F1"/>
    <w:rsid w:val="5F6E1761"/>
    <w:rsid w:val="5F7D4F78"/>
    <w:rsid w:val="5FCF7203"/>
    <w:rsid w:val="60586BB5"/>
    <w:rsid w:val="60872601"/>
    <w:rsid w:val="60A60832"/>
    <w:rsid w:val="60DC3607"/>
    <w:rsid w:val="60F54267"/>
    <w:rsid w:val="610C605C"/>
    <w:rsid w:val="617D6667"/>
    <w:rsid w:val="61C306CD"/>
    <w:rsid w:val="620823BC"/>
    <w:rsid w:val="622E2F5D"/>
    <w:rsid w:val="6235156C"/>
    <w:rsid w:val="624750DA"/>
    <w:rsid w:val="62835FDF"/>
    <w:rsid w:val="62EA4BF6"/>
    <w:rsid w:val="633F30DC"/>
    <w:rsid w:val="636F6DAE"/>
    <w:rsid w:val="63956573"/>
    <w:rsid w:val="63957A67"/>
    <w:rsid w:val="63A73B14"/>
    <w:rsid w:val="63CB65D6"/>
    <w:rsid w:val="64054113"/>
    <w:rsid w:val="6430688C"/>
    <w:rsid w:val="64851164"/>
    <w:rsid w:val="64A4124D"/>
    <w:rsid w:val="64C93426"/>
    <w:rsid w:val="65354F4C"/>
    <w:rsid w:val="65363CA7"/>
    <w:rsid w:val="655E6A97"/>
    <w:rsid w:val="659E5041"/>
    <w:rsid w:val="65DF672B"/>
    <w:rsid w:val="66047860"/>
    <w:rsid w:val="66127B96"/>
    <w:rsid w:val="662E4F28"/>
    <w:rsid w:val="66AE25B6"/>
    <w:rsid w:val="66E33B57"/>
    <w:rsid w:val="67320A9B"/>
    <w:rsid w:val="67D40042"/>
    <w:rsid w:val="67F724EA"/>
    <w:rsid w:val="67F971AD"/>
    <w:rsid w:val="68023767"/>
    <w:rsid w:val="684D7C9D"/>
    <w:rsid w:val="68560A9B"/>
    <w:rsid w:val="68B623A4"/>
    <w:rsid w:val="68CA0A31"/>
    <w:rsid w:val="68D810A2"/>
    <w:rsid w:val="68EE2C34"/>
    <w:rsid w:val="68F943C7"/>
    <w:rsid w:val="694336B0"/>
    <w:rsid w:val="69916666"/>
    <w:rsid w:val="69B20645"/>
    <w:rsid w:val="6A101E22"/>
    <w:rsid w:val="6A491436"/>
    <w:rsid w:val="6A590CF5"/>
    <w:rsid w:val="6A605AB9"/>
    <w:rsid w:val="6A623ACF"/>
    <w:rsid w:val="6A824AF1"/>
    <w:rsid w:val="6AD6456D"/>
    <w:rsid w:val="6B053F36"/>
    <w:rsid w:val="6B1143B6"/>
    <w:rsid w:val="6BB17E2D"/>
    <w:rsid w:val="6BBB73FB"/>
    <w:rsid w:val="6C4B7788"/>
    <w:rsid w:val="6CD9306A"/>
    <w:rsid w:val="6CE9765E"/>
    <w:rsid w:val="6D4E46A1"/>
    <w:rsid w:val="6D680BDE"/>
    <w:rsid w:val="6D787441"/>
    <w:rsid w:val="6D843E29"/>
    <w:rsid w:val="6D85753B"/>
    <w:rsid w:val="6DA55808"/>
    <w:rsid w:val="6DAC51A0"/>
    <w:rsid w:val="6DCF13B9"/>
    <w:rsid w:val="6DFF2A74"/>
    <w:rsid w:val="6E3717F1"/>
    <w:rsid w:val="6E893A75"/>
    <w:rsid w:val="6EA169CD"/>
    <w:rsid w:val="6F8C404C"/>
    <w:rsid w:val="6F8E1304"/>
    <w:rsid w:val="700E59A6"/>
    <w:rsid w:val="703045EB"/>
    <w:rsid w:val="70591CA7"/>
    <w:rsid w:val="70985D28"/>
    <w:rsid w:val="711D5658"/>
    <w:rsid w:val="71214D52"/>
    <w:rsid w:val="71E2158E"/>
    <w:rsid w:val="728865B3"/>
    <w:rsid w:val="728F7120"/>
    <w:rsid w:val="730D077A"/>
    <w:rsid w:val="7370174F"/>
    <w:rsid w:val="73885C2C"/>
    <w:rsid w:val="73A95A77"/>
    <w:rsid w:val="73D21599"/>
    <w:rsid w:val="747F4B89"/>
    <w:rsid w:val="74A2095A"/>
    <w:rsid w:val="74A26B38"/>
    <w:rsid w:val="74D472B5"/>
    <w:rsid w:val="753D3B57"/>
    <w:rsid w:val="75471266"/>
    <w:rsid w:val="75651EBD"/>
    <w:rsid w:val="75A174E0"/>
    <w:rsid w:val="75E872D3"/>
    <w:rsid w:val="7606068B"/>
    <w:rsid w:val="76454CD6"/>
    <w:rsid w:val="76755B2B"/>
    <w:rsid w:val="76991A83"/>
    <w:rsid w:val="775F23A2"/>
    <w:rsid w:val="776A18A3"/>
    <w:rsid w:val="778153F8"/>
    <w:rsid w:val="7789104E"/>
    <w:rsid w:val="779F0D98"/>
    <w:rsid w:val="77B42796"/>
    <w:rsid w:val="77C456CE"/>
    <w:rsid w:val="780A55B0"/>
    <w:rsid w:val="78572FAF"/>
    <w:rsid w:val="788267ED"/>
    <w:rsid w:val="788565A3"/>
    <w:rsid w:val="78A84930"/>
    <w:rsid w:val="78BD22C6"/>
    <w:rsid w:val="79054FA9"/>
    <w:rsid w:val="796A2BAC"/>
    <w:rsid w:val="796D42A1"/>
    <w:rsid w:val="79761B69"/>
    <w:rsid w:val="798B0E56"/>
    <w:rsid w:val="79956EE0"/>
    <w:rsid w:val="79EB249C"/>
    <w:rsid w:val="79FF513F"/>
    <w:rsid w:val="7A3256CC"/>
    <w:rsid w:val="7A6620D0"/>
    <w:rsid w:val="7AC66992"/>
    <w:rsid w:val="7ADB08B0"/>
    <w:rsid w:val="7B773615"/>
    <w:rsid w:val="7BC260B9"/>
    <w:rsid w:val="7BCB7A98"/>
    <w:rsid w:val="7C0E0266"/>
    <w:rsid w:val="7C452536"/>
    <w:rsid w:val="7CBB52A7"/>
    <w:rsid w:val="7CCD77F7"/>
    <w:rsid w:val="7CE64C62"/>
    <w:rsid w:val="7CEF4438"/>
    <w:rsid w:val="7CFD4F44"/>
    <w:rsid w:val="7D066C55"/>
    <w:rsid w:val="7D0F532E"/>
    <w:rsid w:val="7D3F442C"/>
    <w:rsid w:val="7DD56821"/>
    <w:rsid w:val="7DD6409E"/>
    <w:rsid w:val="7DEE4AFD"/>
    <w:rsid w:val="7E880201"/>
    <w:rsid w:val="7EB34483"/>
    <w:rsid w:val="7EE0580C"/>
    <w:rsid w:val="7F08297D"/>
    <w:rsid w:val="7F673200"/>
    <w:rsid w:val="7F900428"/>
    <w:rsid w:val="7FB82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paragraph" w:styleId="3">
    <w:name w:val="heading 3"/>
    <w:basedOn w:val="1"/>
    <w:next w:val="1"/>
    <w:qFormat/>
    <w:uiPriority w:val="0"/>
    <w:pPr>
      <w:spacing w:before="100" w:beforeAutospacing="1" w:after="100" w:afterAutospacing="1"/>
      <w:jc w:val="left"/>
      <w:outlineLvl w:val="2"/>
    </w:pPr>
    <w:rPr>
      <w:rFonts w:hint="eastAsia" w:ascii="宋体" w:hAnsi="宋体"/>
      <w:b/>
      <w:bCs/>
      <w:kern w:val="0"/>
      <w:sz w:val="27"/>
      <w:szCs w:val="27"/>
    </w:rPr>
  </w:style>
  <w:style w:type="paragraph" w:styleId="4">
    <w:name w:val="heading 4"/>
    <w:basedOn w:val="1"/>
    <w:next w:val="1"/>
    <w:qFormat/>
    <w:uiPriority w:val="0"/>
    <w:pPr>
      <w:spacing w:before="100" w:beforeAutospacing="1" w:after="100" w:afterAutospacing="1"/>
      <w:jc w:val="left"/>
      <w:outlineLvl w:val="3"/>
    </w:pPr>
    <w:rPr>
      <w:rFonts w:hint="eastAsia" w:ascii="宋体" w:hAnsi="宋体"/>
      <w:b/>
      <w:bCs/>
      <w:kern w:val="0"/>
      <w:sz w:val="24"/>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2"/>
      </w:tabs>
      <w:ind w:firstLine="1050"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55"/>
    <w:qFormat/>
    <w:uiPriority w:val="0"/>
    <w:pPr>
      <w:jc w:val="left"/>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Body Text"/>
    <w:basedOn w:val="1"/>
    <w:qFormat/>
    <w:uiPriority w:val="1"/>
    <w:pPr>
      <w:ind w:left="120"/>
    </w:pPr>
    <w:rPr>
      <w:rFonts w:ascii="宋体" w:hAnsi="宋体" w:cs="宋体"/>
      <w:sz w:val="28"/>
      <w:szCs w:val="28"/>
      <w:lang w:val="zh-CN" w:bidi="zh-CN"/>
    </w:rPr>
  </w:style>
  <w:style w:type="paragraph" w:styleId="13">
    <w:name w:val="Body Text Indent"/>
    <w:basedOn w:val="1"/>
    <w:qFormat/>
    <w:uiPriority w:val="99"/>
    <w:pPr>
      <w:spacing w:after="120"/>
      <w:ind w:left="420" w:leftChars="200"/>
    </w:pPr>
    <w:rPr>
      <w:kern w:val="0"/>
      <w:sz w:val="20"/>
    </w:rPr>
  </w:style>
  <w:style w:type="paragraph" w:styleId="14">
    <w:name w:val="index 4"/>
    <w:basedOn w:val="1"/>
    <w:next w:val="1"/>
    <w:qFormat/>
    <w:uiPriority w:val="0"/>
    <w:pPr>
      <w:ind w:left="840" w:hanging="210"/>
      <w:jc w:val="left"/>
    </w:pPr>
    <w:rPr>
      <w:rFonts w:ascii="Calibri" w:hAnsi="Calibri"/>
      <w:sz w:val="20"/>
      <w:szCs w:val="20"/>
    </w:rPr>
  </w:style>
  <w:style w:type="paragraph" w:styleId="15">
    <w:name w:val="toc 5"/>
    <w:basedOn w:val="1"/>
    <w:next w:val="1"/>
    <w:semiHidden/>
    <w:qFormat/>
    <w:uiPriority w:val="0"/>
    <w:pPr>
      <w:tabs>
        <w:tab w:val="right" w:leader="dot" w:pos="9242"/>
      </w:tabs>
      <w:ind w:firstLine="630" w:firstLineChars="300"/>
      <w:jc w:val="left"/>
    </w:pPr>
    <w:rPr>
      <w:rFonts w:ascii="宋体"/>
      <w:szCs w:val="21"/>
    </w:rPr>
  </w:style>
  <w:style w:type="paragraph" w:styleId="16">
    <w:name w:val="toc 3"/>
    <w:basedOn w:val="1"/>
    <w:next w:val="1"/>
    <w:qFormat/>
    <w:uiPriority w:val="39"/>
    <w:pPr>
      <w:tabs>
        <w:tab w:val="right" w:leader="dot" w:pos="9242"/>
      </w:tabs>
      <w:ind w:firstLine="210" w:firstLineChars="100"/>
      <w:jc w:val="left"/>
    </w:pPr>
    <w:rPr>
      <w:rFonts w:ascii="宋体"/>
      <w:szCs w:val="21"/>
    </w:rPr>
  </w:style>
  <w:style w:type="paragraph" w:styleId="17">
    <w:name w:val="toc 8"/>
    <w:basedOn w:val="1"/>
    <w:next w:val="1"/>
    <w:semiHidden/>
    <w:qFormat/>
    <w:uiPriority w:val="0"/>
    <w:pPr>
      <w:tabs>
        <w:tab w:val="right" w:leader="dot" w:pos="9242"/>
      </w:tabs>
      <w:ind w:firstLine="1260" w:firstLineChars="600"/>
      <w:jc w:val="left"/>
    </w:pPr>
    <w:rPr>
      <w:rFonts w:ascii="宋体"/>
      <w:szCs w:val="21"/>
    </w:rPr>
  </w:style>
  <w:style w:type="paragraph" w:styleId="18">
    <w:name w:val="index 3"/>
    <w:basedOn w:val="1"/>
    <w:next w:val="1"/>
    <w:qFormat/>
    <w:uiPriority w:val="0"/>
    <w:pPr>
      <w:ind w:left="630" w:hanging="210"/>
      <w:jc w:val="left"/>
    </w:pPr>
    <w:rPr>
      <w:rFonts w:ascii="Calibri" w:hAnsi="Calibri"/>
      <w:sz w:val="20"/>
      <w:szCs w:val="20"/>
    </w:rPr>
  </w:style>
  <w:style w:type="paragraph" w:styleId="19">
    <w:name w:val="Date"/>
    <w:basedOn w:val="1"/>
    <w:next w:val="1"/>
    <w:link w:val="56"/>
    <w:qFormat/>
    <w:uiPriority w:val="0"/>
    <w:pPr>
      <w:ind w:left="100" w:leftChars="2500"/>
    </w:pPr>
  </w:style>
  <w:style w:type="paragraph" w:styleId="20">
    <w:name w:val="endnote text"/>
    <w:basedOn w:val="1"/>
    <w:semiHidden/>
    <w:qFormat/>
    <w:uiPriority w:val="0"/>
    <w:pPr>
      <w:snapToGrid w:val="0"/>
      <w:jc w:val="left"/>
    </w:pPr>
  </w:style>
  <w:style w:type="paragraph" w:styleId="21">
    <w:name w:val="Balloon Text"/>
    <w:basedOn w:val="1"/>
    <w:link w:val="57"/>
    <w:qFormat/>
    <w:uiPriority w:val="0"/>
    <w:rPr>
      <w:sz w:val="18"/>
      <w:szCs w:val="18"/>
    </w:rPr>
  </w:style>
  <w:style w:type="paragraph" w:styleId="22">
    <w:name w:val="footer"/>
    <w:basedOn w:val="1"/>
    <w:qFormat/>
    <w:uiPriority w:val="0"/>
    <w:pPr>
      <w:snapToGrid w:val="0"/>
      <w:ind w:right="210" w:rightChars="100"/>
      <w:jc w:val="right"/>
    </w:pPr>
    <w:rPr>
      <w:sz w:val="18"/>
      <w:szCs w:val="18"/>
    </w:rPr>
  </w:style>
  <w:style w:type="paragraph" w:styleId="23">
    <w:name w:val="header"/>
    <w:basedOn w:val="1"/>
    <w:qFormat/>
    <w:uiPriority w:val="0"/>
    <w:pPr>
      <w:snapToGrid w:val="0"/>
      <w:jc w:val="left"/>
    </w:pPr>
    <w:rPr>
      <w:sz w:val="18"/>
      <w:szCs w:val="18"/>
    </w:rPr>
  </w:style>
  <w:style w:type="paragraph" w:styleId="24">
    <w:name w:val="toc 1"/>
    <w:basedOn w:val="1"/>
    <w:next w:val="1"/>
    <w:qFormat/>
    <w:uiPriority w:val="39"/>
    <w:pPr>
      <w:tabs>
        <w:tab w:val="right" w:leader="dot" w:pos="9242"/>
      </w:tabs>
      <w:spacing w:before="79" w:beforeLines="25" w:after="79" w:afterLines="25"/>
      <w:jc w:val="left"/>
    </w:pPr>
    <w:rPr>
      <w:rFonts w:ascii="宋体"/>
      <w:szCs w:val="21"/>
    </w:rPr>
  </w:style>
  <w:style w:type="paragraph" w:styleId="25">
    <w:name w:val="toc 4"/>
    <w:basedOn w:val="1"/>
    <w:next w:val="1"/>
    <w:semiHidden/>
    <w:qFormat/>
    <w:uiPriority w:val="0"/>
    <w:pPr>
      <w:tabs>
        <w:tab w:val="right" w:leader="dot" w:pos="9242"/>
      </w:tabs>
      <w:ind w:firstLine="420" w:firstLineChars="200"/>
      <w:jc w:val="left"/>
    </w:pPr>
    <w:rPr>
      <w:rFonts w:ascii="宋体"/>
      <w:szCs w:val="21"/>
    </w:rPr>
  </w:style>
  <w:style w:type="paragraph" w:styleId="26">
    <w:name w:val="index heading"/>
    <w:basedOn w:val="1"/>
    <w:next w:val="27"/>
    <w:qFormat/>
    <w:uiPriority w:val="0"/>
    <w:pPr>
      <w:spacing w:before="120" w:after="120"/>
      <w:jc w:val="center"/>
    </w:pPr>
    <w:rPr>
      <w:rFonts w:ascii="Calibri" w:hAnsi="Calibri"/>
      <w:b/>
      <w:bCs/>
      <w:iCs/>
      <w:szCs w:val="20"/>
    </w:rPr>
  </w:style>
  <w:style w:type="paragraph" w:styleId="27">
    <w:name w:val="index 1"/>
    <w:basedOn w:val="1"/>
    <w:next w:val="28"/>
    <w:qFormat/>
    <w:uiPriority w:val="0"/>
    <w:pPr>
      <w:tabs>
        <w:tab w:val="right" w:leader="dot" w:pos="9299"/>
      </w:tabs>
      <w:jc w:val="left"/>
    </w:pPr>
    <w:rPr>
      <w:rFonts w:ascii="宋体"/>
      <w:szCs w:val="21"/>
    </w:rPr>
  </w:style>
  <w:style w:type="paragraph" w:customStyle="1" w:styleId="28">
    <w:name w:val="段"/>
    <w:link w:val="5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9">
    <w:name w:val="footnote text"/>
    <w:basedOn w:val="1"/>
    <w:qFormat/>
    <w:uiPriority w:val="0"/>
    <w:pPr>
      <w:numPr>
        <w:ilvl w:val="0"/>
        <w:numId w:val="1"/>
      </w:numPr>
      <w:snapToGrid w:val="0"/>
      <w:jc w:val="left"/>
    </w:pPr>
    <w:rPr>
      <w:rFonts w:ascii="宋体"/>
      <w:sz w:val="18"/>
      <w:szCs w:val="18"/>
    </w:rPr>
  </w:style>
  <w:style w:type="paragraph" w:styleId="30">
    <w:name w:val="toc 6"/>
    <w:basedOn w:val="1"/>
    <w:next w:val="1"/>
    <w:semiHidden/>
    <w:qFormat/>
    <w:uiPriority w:val="0"/>
    <w:pPr>
      <w:tabs>
        <w:tab w:val="right" w:leader="dot" w:pos="9242"/>
      </w:tabs>
      <w:ind w:firstLine="840" w:firstLineChars="400"/>
      <w:jc w:val="left"/>
    </w:pPr>
    <w:rPr>
      <w:rFonts w:ascii="宋体"/>
      <w:szCs w:val="21"/>
    </w:rPr>
  </w:style>
  <w:style w:type="paragraph" w:styleId="31">
    <w:name w:val="index 7"/>
    <w:basedOn w:val="1"/>
    <w:next w:val="1"/>
    <w:qFormat/>
    <w:uiPriority w:val="0"/>
    <w:pPr>
      <w:ind w:left="1470" w:hanging="210"/>
      <w:jc w:val="left"/>
    </w:pPr>
    <w:rPr>
      <w:rFonts w:ascii="Calibri" w:hAnsi="Calibri"/>
      <w:sz w:val="20"/>
      <w:szCs w:val="20"/>
    </w:rPr>
  </w:style>
  <w:style w:type="paragraph" w:styleId="32">
    <w:name w:val="index 9"/>
    <w:basedOn w:val="1"/>
    <w:next w:val="1"/>
    <w:qFormat/>
    <w:uiPriority w:val="0"/>
    <w:pPr>
      <w:ind w:left="1890" w:hanging="210"/>
      <w:jc w:val="left"/>
    </w:pPr>
    <w:rPr>
      <w:rFonts w:ascii="Calibri" w:hAnsi="Calibri"/>
      <w:sz w:val="20"/>
      <w:szCs w:val="20"/>
    </w:rPr>
  </w:style>
  <w:style w:type="paragraph" w:styleId="33">
    <w:name w:val="toc 2"/>
    <w:basedOn w:val="1"/>
    <w:next w:val="1"/>
    <w:qFormat/>
    <w:uiPriority w:val="39"/>
    <w:pPr>
      <w:tabs>
        <w:tab w:val="right" w:leader="dot" w:pos="9242"/>
      </w:tabs>
    </w:pPr>
    <w:rPr>
      <w:rFonts w:ascii="宋体"/>
      <w:szCs w:val="21"/>
    </w:rPr>
  </w:style>
  <w:style w:type="paragraph" w:styleId="34">
    <w:name w:val="toc 9"/>
    <w:basedOn w:val="1"/>
    <w:next w:val="1"/>
    <w:semiHidden/>
    <w:qFormat/>
    <w:uiPriority w:val="0"/>
    <w:pPr>
      <w:ind w:left="1470"/>
      <w:jc w:val="left"/>
    </w:pPr>
    <w:rPr>
      <w:sz w:val="20"/>
      <w:szCs w:val="20"/>
    </w:rPr>
  </w:style>
  <w:style w:type="paragraph" w:styleId="35">
    <w:name w:val="Normal (Web)"/>
    <w:basedOn w:val="1"/>
    <w:qFormat/>
    <w:uiPriority w:val="0"/>
    <w:pPr>
      <w:spacing w:before="100" w:beforeAutospacing="1" w:after="100" w:afterAutospacing="1"/>
      <w:jc w:val="left"/>
    </w:pPr>
    <w:rPr>
      <w:kern w:val="0"/>
      <w:sz w:val="24"/>
    </w:rPr>
  </w:style>
  <w:style w:type="paragraph" w:styleId="36">
    <w:name w:val="index 2"/>
    <w:basedOn w:val="1"/>
    <w:next w:val="1"/>
    <w:qFormat/>
    <w:uiPriority w:val="0"/>
    <w:pPr>
      <w:ind w:left="420" w:hanging="210"/>
      <w:jc w:val="left"/>
    </w:pPr>
    <w:rPr>
      <w:rFonts w:ascii="Calibri" w:hAnsi="Calibri"/>
      <w:sz w:val="20"/>
      <w:szCs w:val="20"/>
    </w:rPr>
  </w:style>
  <w:style w:type="paragraph" w:styleId="37">
    <w:name w:val="annotation subject"/>
    <w:basedOn w:val="10"/>
    <w:next w:val="10"/>
    <w:link w:val="59"/>
    <w:qFormat/>
    <w:uiPriority w:val="0"/>
    <w:rPr>
      <w:b/>
      <w:bCs/>
    </w:rPr>
  </w:style>
  <w:style w:type="table" w:styleId="39">
    <w:name w:val="Table Grid"/>
    <w:basedOn w:val="38"/>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1">
    <w:name w:val="Strong"/>
    <w:qFormat/>
    <w:uiPriority w:val="0"/>
    <w:rPr>
      <w:b/>
      <w:bCs/>
    </w:rPr>
  </w:style>
  <w:style w:type="character" w:styleId="42">
    <w:name w:val="endnote reference"/>
    <w:semiHidden/>
    <w:qFormat/>
    <w:uiPriority w:val="0"/>
    <w:rPr>
      <w:vertAlign w:val="superscript"/>
    </w:rPr>
  </w:style>
  <w:style w:type="character" w:styleId="43">
    <w:name w:val="page number"/>
    <w:qFormat/>
    <w:uiPriority w:val="0"/>
    <w:rPr>
      <w:rFonts w:ascii="Times New Roman" w:hAnsi="Times New Roman" w:eastAsia="宋体"/>
      <w:sz w:val="18"/>
    </w:rPr>
  </w:style>
  <w:style w:type="character" w:styleId="44">
    <w:name w:val="FollowedHyperlink"/>
    <w:qFormat/>
    <w:uiPriority w:val="0"/>
    <w:rPr>
      <w:color w:val="338DE6"/>
      <w:u w:val="none"/>
    </w:rPr>
  </w:style>
  <w:style w:type="character" w:styleId="45">
    <w:name w:val="Emphasis"/>
    <w:basedOn w:val="40"/>
    <w:qFormat/>
    <w:uiPriority w:val="0"/>
  </w:style>
  <w:style w:type="character" w:styleId="46">
    <w:name w:val="HTML Definition"/>
    <w:qFormat/>
    <w:uiPriority w:val="0"/>
  </w:style>
  <w:style w:type="character" w:styleId="47">
    <w:name w:val="HTML Variable"/>
    <w:qFormat/>
    <w:uiPriority w:val="0"/>
  </w:style>
  <w:style w:type="character" w:styleId="48">
    <w:name w:val="Hyperlink"/>
    <w:qFormat/>
    <w:uiPriority w:val="99"/>
    <w:rPr>
      <w:color w:val="0000FF"/>
      <w:spacing w:val="0"/>
      <w:w w:val="100"/>
      <w:szCs w:val="21"/>
      <w:u w:val="single"/>
    </w:rPr>
  </w:style>
  <w:style w:type="character" w:styleId="49">
    <w:name w:val="HTML Code"/>
    <w:qFormat/>
    <w:uiPriority w:val="0"/>
    <w:rPr>
      <w:rFonts w:hint="default" w:ascii="serif" w:hAnsi="serif" w:eastAsia="serif" w:cs="serif"/>
      <w:sz w:val="21"/>
      <w:szCs w:val="21"/>
    </w:rPr>
  </w:style>
  <w:style w:type="character" w:styleId="50">
    <w:name w:val="annotation reference"/>
    <w:qFormat/>
    <w:uiPriority w:val="0"/>
    <w:rPr>
      <w:sz w:val="21"/>
      <w:szCs w:val="21"/>
    </w:rPr>
  </w:style>
  <w:style w:type="character" w:styleId="51">
    <w:name w:val="HTML Cite"/>
    <w:qFormat/>
    <w:uiPriority w:val="0"/>
  </w:style>
  <w:style w:type="character" w:styleId="52">
    <w:name w:val="footnote reference"/>
    <w:semiHidden/>
    <w:qFormat/>
    <w:uiPriority w:val="0"/>
    <w:rPr>
      <w:vertAlign w:val="superscript"/>
    </w:rPr>
  </w:style>
  <w:style w:type="character" w:styleId="53">
    <w:name w:val="HTML Keyboard"/>
    <w:qFormat/>
    <w:uiPriority w:val="0"/>
    <w:rPr>
      <w:rFonts w:ascii="serif" w:hAnsi="serif" w:eastAsia="serif" w:cs="serif"/>
      <w:sz w:val="21"/>
      <w:szCs w:val="21"/>
    </w:rPr>
  </w:style>
  <w:style w:type="character" w:styleId="54">
    <w:name w:val="HTML Sample"/>
    <w:qFormat/>
    <w:uiPriority w:val="0"/>
    <w:rPr>
      <w:rFonts w:hint="default" w:ascii="serif" w:hAnsi="serif" w:eastAsia="serif" w:cs="serif"/>
      <w:sz w:val="21"/>
      <w:szCs w:val="21"/>
    </w:rPr>
  </w:style>
  <w:style w:type="character" w:customStyle="1" w:styleId="55">
    <w:name w:val="批注文字 字符"/>
    <w:link w:val="10"/>
    <w:qFormat/>
    <w:uiPriority w:val="0"/>
    <w:rPr>
      <w:kern w:val="2"/>
      <w:sz w:val="21"/>
      <w:szCs w:val="24"/>
    </w:rPr>
  </w:style>
  <w:style w:type="character" w:customStyle="1" w:styleId="56">
    <w:name w:val="日期 字符"/>
    <w:link w:val="19"/>
    <w:qFormat/>
    <w:uiPriority w:val="0"/>
    <w:rPr>
      <w:kern w:val="2"/>
      <w:sz w:val="21"/>
      <w:szCs w:val="24"/>
    </w:rPr>
  </w:style>
  <w:style w:type="character" w:customStyle="1" w:styleId="57">
    <w:name w:val="批注框文本 字符"/>
    <w:link w:val="21"/>
    <w:qFormat/>
    <w:uiPriority w:val="0"/>
    <w:rPr>
      <w:kern w:val="2"/>
      <w:sz w:val="18"/>
      <w:szCs w:val="18"/>
    </w:rPr>
  </w:style>
  <w:style w:type="character" w:customStyle="1" w:styleId="58">
    <w:name w:val="段 Char"/>
    <w:link w:val="28"/>
    <w:qFormat/>
    <w:uiPriority w:val="0"/>
    <w:rPr>
      <w:rFonts w:ascii="宋体"/>
      <w:sz w:val="21"/>
      <w:lang w:val="en-US" w:eastAsia="zh-CN" w:bidi="ar-SA"/>
    </w:rPr>
  </w:style>
  <w:style w:type="character" w:customStyle="1" w:styleId="59">
    <w:name w:val="批注主题 字符"/>
    <w:link w:val="37"/>
    <w:qFormat/>
    <w:uiPriority w:val="0"/>
    <w:rPr>
      <w:b/>
      <w:bCs/>
      <w:kern w:val="2"/>
      <w:sz w:val="21"/>
      <w:szCs w:val="24"/>
    </w:rPr>
  </w:style>
  <w:style w:type="character" w:customStyle="1" w:styleId="60">
    <w:name w:val="fontstrikethrough"/>
    <w:qFormat/>
    <w:uiPriority w:val="0"/>
    <w:rPr>
      <w:strike/>
    </w:rPr>
  </w:style>
  <w:style w:type="character" w:customStyle="1" w:styleId="61">
    <w:name w:val="fontstyle01"/>
    <w:qFormat/>
    <w:uiPriority w:val="0"/>
    <w:rPr>
      <w:rFonts w:hint="default" w:ascii="CIDFont+F2" w:hAnsi="CIDFont+F2"/>
      <w:color w:val="000000"/>
      <w:sz w:val="22"/>
      <w:szCs w:val="22"/>
    </w:rPr>
  </w:style>
  <w:style w:type="character" w:customStyle="1" w:styleId="62">
    <w:name w:val="首示例 Char"/>
    <w:link w:val="63"/>
    <w:qFormat/>
    <w:uiPriority w:val="0"/>
    <w:rPr>
      <w:rFonts w:ascii="宋体" w:hAnsi="宋体"/>
      <w:kern w:val="2"/>
      <w:sz w:val="18"/>
      <w:szCs w:val="18"/>
      <w:lang w:val="en-US" w:eastAsia="zh-CN" w:bidi="ar-SA"/>
    </w:rPr>
  </w:style>
  <w:style w:type="paragraph" w:customStyle="1" w:styleId="63">
    <w:name w:val="首示例"/>
    <w:next w:val="28"/>
    <w:link w:val="62"/>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64">
    <w:name w:val="附录公式 Char"/>
    <w:link w:val="65"/>
    <w:qFormat/>
    <w:uiPriority w:val="0"/>
    <w:rPr>
      <w:lang w:val="en-US" w:eastAsia="zh-CN" w:bidi="ar-SA"/>
    </w:rPr>
  </w:style>
  <w:style w:type="paragraph" w:customStyle="1" w:styleId="65">
    <w:name w:val="附录公式"/>
    <w:basedOn w:val="28"/>
    <w:next w:val="28"/>
    <w:link w:val="64"/>
    <w:qFormat/>
    <w:uiPriority w:val="0"/>
  </w:style>
  <w:style w:type="character" w:customStyle="1" w:styleId="66">
    <w:name w:val="发布"/>
    <w:qFormat/>
    <w:uiPriority w:val="0"/>
    <w:rPr>
      <w:rFonts w:ascii="黑体" w:eastAsia="黑体"/>
      <w:spacing w:val="85"/>
      <w:w w:val="100"/>
      <w:position w:val="3"/>
      <w:sz w:val="28"/>
      <w:szCs w:val="28"/>
    </w:rPr>
  </w:style>
  <w:style w:type="character" w:customStyle="1" w:styleId="67">
    <w:name w:val="fontborder"/>
    <w:qFormat/>
    <w:uiPriority w:val="0"/>
    <w:rPr>
      <w:bdr w:val="single" w:color="000000" w:sz="6" w:space="0"/>
    </w:rPr>
  </w:style>
  <w:style w:type="character" w:customStyle="1" w:styleId="68">
    <w:name w:val="fontstyle11"/>
    <w:qFormat/>
    <w:uiPriority w:val="0"/>
    <w:rPr>
      <w:rFonts w:hint="default" w:ascii="CIDFont+F3" w:hAnsi="CIDFont+F3"/>
      <w:color w:val="000000"/>
      <w:sz w:val="22"/>
      <w:szCs w:val="22"/>
    </w:rPr>
  </w:style>
  <w:style w:type="paragraph" w:customStyle="1" w:styleId="69">
    <w:name w:val="列项◆（三级）"/>
    <w:basedOn w:val="1"/>
    <w:qFormat/>
    <w:uiPriority w:val="0"/>
    <w:pPr>
      <w:numPr>
        <w:ilvl w:val="2"/>
        <w:numId w:val="3"/>
      </w:numPr>
    </w:pPr>
    <w:rPr>
      <w:rFonts w:ascii="宋体"/>
      <w:szCs w:val="21"/>
    </w:rPr>
  </w:style>
  <w:style w:type="paragraph" w:customStyle="1" w:styleId="70">
    <w:name w:val="编号列项（三级）"/>
    <w:qFormat/>
    <w:uiPriority w:val="0"/>
    <w:rPr>
      <w:rFonts w:ascii="宋体" w:hAnsi="Times New Roman" w:eastAsia="宋体" w:cs="Times New Roman"/>
      <w:sz w:val="21"/>
      <w:lang w:val="en-US" w:eastAsia="zh-CN" w:bidi="ar-SA"/>
    </w:rPr>
  </w:style>
  <w:style w:type="paragraph" w:customStyle="1" w:styleId="71">
    <w:name w:val="附录章标题"/>
    <w:next w:val="28"/>
    <w:qFormat/>
    <w:uiPriority w:val="0"/>
    <w:pPr>
      <w:numPr>
        <w:ilvl w:val="1"/>
        <w:numId w:val="4"/>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2">
    <w:name w:val="四级无"/>
    <w:basedOn w:val="73"/>
    <w:qFormat/>
    <w:uiPriority w:val="0"/>
    <w:pPr>
      <w:spacing w:before="0" w:beforeLines="0" w:after="0" w:afterLines="0"/>
    </w:pPr>
    <w:rPr>
      <w:rFonts w:ascii="宋体" w:eastAsia="宋体"/>
    </w:rPr>
  </w:style>
  <w:style w:type="paragraph" w:customStyle="1" w:styleId="73">
    <w:name w:val="四级条标题"/>
    <w:basedOn w:val="74"/>
    <w:next w:val="28"/>
    <w:qFormat/>
    <w:uiPriority w:val="0"/>
    <w:pPr>
      <w:numPr>
        <w:ilvl w:val="4"/>
        <w:numId w:val="5"/>
      </w:numPr>
      <w:outlineLvl w:val="5"/>
    </w:pPr>
  </w:style>
  <w:style w:type="paragraph" w:customStyle="1" w:styleId="74">
    <w:name w:val="三级条标题"/>
    <w:basedOn w:val="75"/>
    <w:next w:val="28"/>
    <w:qFormat/>
    <w:uiPriority w:val="0"/>
    <w:pPr>
      <w:numPr>
        <w:ilvl w:val="0"/>
        <w:numId w:val="0"/>
      </w:numPr>
      <w:outlineLvl w:val="4"/>
    </w:pPr>
  </w:style>
  <w:style w:type="paragraph" w:customStyle="1" w:styleId="75">
    <w:name w:val="二级条标题"/>
    <w:basedOn w:val="76"/>
    <w:next w:val="28"/>
    <w:qFormat/>
    <w:uiPriority w:val="0"/>
    <w:pPr>
      <w:numPr>
        <w:ilvl w:val="2"/>
      </w:numPr>
      <w:spacing w:before="50" w:after="50"/>
      <w:outlineLvl w:val="3"/>
    </w:pPr>
  </w:style>
  <w:style w:type="paragraph" w:customStyle="1" w:styleId="76">
    <w:name w:val="一级条标题"/>
    <w:next w:val="28"/>
    <w:qFormat/>
    <w:uiPriority w:val="0"/>
    <w:pPr>
      <w:numPr>
        <w:ilvl w:val="1"/>
        <w:numId w:val="5"/>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77">
    <w:name w:val="附录二级条标题"/>
    <w:basedOn w:val="1"/>
    <w:next w:val="28"/>
    <w:qFormat/>
    <w:uiPriority w:val="0"/>
    <w:pPr>
      <w:widowControl/>
      <w:numPr>
        <w:ilvl w:val="3"/>
        <w:numId w:val="4"/>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78">
    <w:name w:val="附录标题"/>
    <w:basedOn w:val="28"/>
    <w:next w:val="28"/>
    <w:qFormat/>
    <w:uiPriority w:val="0"/>
    <w:pPr>
      <w:ind w:firstLine="0" w:firstLineChars="0"/>
      <w:jc w:val="center"/>
    </w:pPr>
    <w:rPr>
      <w:rFonts w:ascii="黑体" w:eastAsia="黑体"/>
    </w:rPr>
  </w:style>
  <w:style w:type="paragraph" w:customStyle="1" w:styleId="79">
    <w:name w:val="附录三级条标题"/>
    <w:basedOn w:val="77"/>
    <w:next w:val="28"/>
    <w:qFormat/>
    <w:uiPriority w:val="0"/>
    <w:pPr>
      <w:numPr>
        <w:ilvl w:val="4"/>
      </w:numPr>
      <w:outlineLvl w:val="4"/>
    </w:pPr>
  </w:style>
  <w:style w:type="paragraph" w:customStyle="1" w:styleId="80">
    <w:name w:val="附录四级条标题"/>
    <w:basedOn w:val="79"/>
    <w:next w:val="28"/>
    <w:qFormat/>
    <w:uiPriority w:val="0"/>
    <w:pPr>
      <w:numPr>
        <w:ilvl w:val="5"/>
      </w:numPr>
      <w:outlineLvl w:val="5"/>
    </w:pPr>
  </w:style>
  <w:style w:type="paragraph" w:customStyle="1" w:styleId="81">
    <w:name w:val="附录五级条标题"/>
    <w:basedOn w:val="80"/>
    <w:next w:val="28"/>
    <w:qFormat/>
    <w:uiPriority w:val="0"/>
    <w:pPr>
      <w:numPr>
        <w:ilvl w:val="6"/>
      </w:numPr>
      <w:outlineLvl w:val="6"/>
    </w:pPr>
  </w:style>
  <w:style w:type="paragraph" w:customStyle="1" w:styleId="82">
    <w:name w:val="附录标识"/>
    <w:basedOn w:val="1"/>
    <w:next w:val="28"/>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3">
    <w:name w:val="附录一级条标题"/>
    <w:basedOn w:val="71"/>
    <w:next w:val="28"/>
    <w:qFormat/>
    <w:uiPriority w:val="0"/>
    <w:pPr>
      <w:numPr>
        <w:ilvl w:val="2"/>
      </w:numPr>
      <w:autoSpaceDN w:val="0"/>
      <w:spacing w:before="50" w:beforeLines="50" w:after="50" w:afterLines="50"/>
      <w:outlineLvl w:val="2"/>
    </w:pPr>
  </w:style>
  <w:style w:type="paragraph" w:customStyle="1" w:styleId="8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85">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86">
    <w:name w:val="注×："/>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87">
    <w:name w:val="章标题"/>
    <w:next w:val="28"/>
    <w:qFormat/>
    <w:uiPriority w:val="0"/>
    <w:pPr>
      <w:numPr>
        <w:ilvl w:val="0"/>
        <w:numId w:val="5"/>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88">
    <w:name w:val="其他发布日期"/>
    <w:basedOn w:val="89"/>
    <w:qFormat/>
    <w:uiPriority w:val="0"/>
    <w:pPr>
      <w:framePr w:wrap="around" w:vAnchor="page" w:hAnchor="text" w:x="1419"/>
    </w:pPr>
  </w:style>
  <w:style w:type="paragraph" w:customStyle="1" w:styleId="8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0">
    <w:name w:val="五级条标题"/>
    <w:basedOn w:val="73"/>
    <w:next w:val="28"/>
    <w:qFormat/>
    <w:uiPriority w:val="0"/>
    <w:pPr>
      <w:numPr>
        <w:ilvl w:val="5"/>
      </w:numPr>
      <w:outlineLvl w:val="6"/>
    </w:pPr>
  </w:style>
  <w:style w:type="paragraph" w:customStyle="1" w:styleId="9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2">
    <w:name w:val="正文图标题"/>
    <w:next w:val="28"/>
    <w:qFormat/>
    <w:uiPriority w:val="0"/>
    <w:pPr>
      <w:numPr>
        <w:ilvl w:val="0"/>
        <w:numId w:val="7"/>
      </w:numPr>
      <w:spacing w:before="156" w:beforeLines="50" w:after="156" w:afterLines="50"/>
      <w:jc w:val="center"/>
    </w:pPr>
    <w:rPr>
      <w:rFonts w:ascii="黑体" w:hAnsi="Times New Roman" w:eastAsia="黑体" w:cs="Times New Roman"/>
      <w:sz w:val="21"/>
      <w:lang w:val="en-US" w:eastAsia="zh-CN" w:bidi="ar-SA"/>
    </w:rPr>
  </w:style>
  <w:style w:type="paragraph" w:customStyle="1" w:styleId="93">
    <w:name w:val="其他实施日期"/>
    <w:basedOn w:val="94"/>
    <w:qFormat/>
    <w:uiPriority w:val="0"/>
    <w:pPr>
      <w:framePr w:wrap="around"/>
    </w:pPr>
  </w:style>
  <w:style w:type="paragraph" w:customStyle="1" w:styleId="94">
    <w:name w:val="实施日期"/>
    <w:basedOn w:val="89"/>
    <w:qFormat/>
    <w:uiPriority w:val="0"/>
    <w:pPr>
      <w:framePr w:wrap="around" w:vAnchor="page" w:hAnchor="text"/>
      <w:jc w:val="right"/>
    </w:pPr>
  </w:style>
  <w:style w:type="paragraph" w:customStyle="1" w:styleId="95">
    <w:name w:val="附录图标号"/>
    <w:basedOn w:val="1"/>
    <w:qFormat/>
    <w:uiPriority w:val="0"/>
    <w:pPr>
      <w:keepNext/>
      <w:pageBreakBefore/>
      <w:widowControl/>
      <w:numPr>
        <w:ilvl w:val="0"/>
        <w:numId w:val="8"/>
      </w:numPr>
      <w:spacing w:line="14" w:lineRule="exact"/>
      <w:ind w:left="0" w:firstLine="363"/>
      <w:jc w:val="center"/>
      <w:outlineLvl w:val="0"/>
    </w:pPr>
    <w:rPr>
      <w:color w:val="FFFFFF"/>
    </w:rPr>
  </w:style>
  <w:style w:type="paragraph" w:customStyle="1" w:styleId="96">
    <w:name w:val="图表脚注说明"/>
    <w:basedOn w:val="1"/>
    <w:qFormat/>
    <w:uiPriority w:val="0"/>
    <w:pPr>
      <w:numPr>
        <w:ilvl w:val="0"/>
        <w:numId w:val="9"/>
      </w:numPr>
    </w:pPr>
    <w:rPr>
      <w:rFonts w:ascii="宋体"/>
      <w:sz w:val="18"/>
      <w:szCs w:val="18"/>
    </w:rPr>
  </w:style>
  <w:style w:type="paragraph" w:customStyle="1" w:styleId="97">
    <w:name w:val="五级无"/>
    <w:basedOn w:val="90"/>
    <w:qFormat/>
    <w:uiPriority w:val="0"/>
    <w:pPr>
      <w:spacing w:before="0" w:beforeLines="0" w:after="0" w:afterLines="0"/>
    </w:pPr>
    <w:rPr>
      <w:rFonts w:ascii="宋体" w:eastAsia="宋体"/>
    </w:rPr>
  </w:style>
  <w:style w:type="paragraph" w:customStyle="1" w:styleId="98">
    <w:name w:val="标准书眉_偶数页"/>
    <w:basedOn w:val="99"/>
    <w:next w:val="1"/>
    <w:qFormat/>
    <w:uiPriority w:val="0"/>
    <w:pPr>
      <w:tabs>
        <w:tab w:val="center" w:pos="4154"/>
        <w:tab w:val="right" w:pos="8306"/>
      </w:tabs>
      <w:jc w:val="left"/>
    </w:pPr>
  </w:style>
  <w:style w:type="paragraph" w:customStyle="1" w:styleId="9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00">
    <w:name w:val="封面正文"/>
    <w:qFormat/>
    <w:uiPriority w:val="0"/>
    <w:pPr>
      <w:jc w:val="both"/>
    </w:pPr>
    <w:rPr>
      <w:rFonts w:ascii="Times New Roman" w:hAnsi="Times New Roman" w:eastAsia="宋体" w:cs="Times New Roman"/>
      <w:lang w:val="en-US" w:eastAsia="zh-CN" w:bidi="ar-SA"/>
    </w:rPr>
  </w:style>
  <w:style w:type="paragraph" w:customStyle="1" w:styleId="101">
    <w:name w:val="终结线"/>
    <w:basedOn w:val="1"/>
    <w:qFormat/>
    <w:uiPriority w:val="0"/>
    <w:pPr>
      <w:framePr w:hSpace="181" w:vSpace="181" w:wrap="around" w:vAnchor="text" w:hAnchor="margin" w:xAlign="center" w:y="285"/>
    </w:pPr>
  </w:style>
  <w:style w:type="paragraph" w:customStyle="1" w:styleId="102">
    <w:name w:val="正文表标题"/>
    <w:next w:val="28"/>
    <w:qFormat/>
    <w:uiPriority w:val="0"/>
    <w:pPr>
      <w:numPr>
        <w:ilvl w:val="0"/>
        <w:numId w:val="10"/>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03">
    <w:name w:val="附录五级无"/>
    <w:basedOn w:val="81"/>
    <w:qFormat/>
    <w:uiPriority w:val="0"/>
    <w:pPr>
      <w:tabs>
        <w:tab w:val="clear" w:pos="360"/>
      </w:tabs>
      <w:spacing w:before="0" w:beforeLines="0" w:after="0" w:afterLines="0"/>
    </w:pPr>
    <w:rPr>
      <w:rFonts w:ascii="宋体" w:eastAsia="宋体"/>
      <w:szCs w:val="21"/>
    </w:rPr>
  </w:style>
  <w:style w:type="paragraph" w:customStyle="1" w:styleId="104">
    <w:name w:val="封面一致性程度标识2"/>
    <w:basedOn w:val="105"/>
    <w:qFormat/>
    <w:uiPriority w:val="0"/>
    <w:pPr>
      <w:framePr w:wrap="around" w:y="4469"/>
    </w:pPr>
  </w:style>
  <w:style w:type="paragraph" w:customStyle="1" w:styleId="105">
    <w:name w:val="封面一致性程度标识"/>
    <w:basedOn w:val="106"/>
    <w:qFormat/>
    <w:uiPriority w:val="0"/>
    <w:pPr>
      <w:framePr w:wrap="around"/>
      <w:spacing w:before="440"/>
    </w:pPr>
    <w:rPr>
      <w:rFonts w:ascii="宋体" w:eastAsia="宋体"/>
    </w:rPr>
  </w:style>
  <w:style w:type="paragraph" w:customStyle="1" w:styleId="106">
    <w:name w:val="封面标准英文名称"/>
    <w:basedOn w:val="107"/>
    <w:qFormat/>
    <w:uiPriority w:val="0"/>
    <w:pPr>
      <w:framePr w:wrap="around"/>
      <w:spacing w:before="370" w:line="400" w:lineRule="exact"/>
    </w:pPr>
    <w:rPr>
      <w:rFonts w:ascii="Times New Roman"/>
      <w:sz w:val="28"/>
      <w:szCs w:val="28"/>
    </w:rPr>
  </w:style>
  <w:style w:type="paragraph" w:customStyle="1" w:styleId="10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09">
    <w:name w:val="图标脚注说明"/>
    <w:basedOn w:val="28"/>
    <w:qFormat/>
    <w:uiPriority w:val="0"/>
    <w:pPr>
      <w:ind w:left="840" w:hanging="420" w:firstLineChars="0"/>
    </w:pPr>
    <w:rPr>
      <w:sz w:val="18"/>
      <w:szCs w:val="18"/>
    </w:rPr>
  </w:style>
  <w:style w:type="paragraph" w:customStyle="1" w:styleId="110">
    <w:name w:val="二级无"/>
    <w:basedOn w:val="75"/>
    <w:qFormat/>
    <w:uiPriority w:val="0"/>
    <w:pPr>
      <w:spacing w:before="0" w:beforeLines="0" w:after="0" w:afterLines="0"/>
    </w:pPr>
    <w:rPr>
      <w:rFonts w:ascii="宋体" w:eastAsia="宋体"/>
    </w:rPr>
  </w:style>
  <w:style w:type="paragraph" w:customStyle="1" w:styleId="111">
    <w:name w:val="附录四级无"/>
    <w:basedOn w:val="80"/>
    <w:qFormat/>
    <w:uiPriority w:val="0"/>
    <w:pPr>
      <w:tabs>
        <w:tab w:val="clear" w:pos="360"/>
      </w:tabs>
      <w:spacing w:before="0" w:beforeLines="0" w:after="0" w:afterLines="0"/>
    </w:pPr>
    <w:rPr>
      <w:rFonts w:ascii="宋体" w:eastAsia="宋体"/>
      <w:szCs w:val="21"/>
    </w:rPr>
  </w:style>
  <w:style w:type="paragraph" w:customStyle="1" w:styleId="112">
    <w:name w:val="列出段落2"/>
    <w:basedOn w:val="1"/>
    <w:unhideWhenUsed/>
    <w:qFormat/>
    <w:uiPriority w:val="99"/>
    <w:pPr>
      <w:ind w:firstLine="420" w:firstLineChars="200"/>
    </w:pPr>
  </w:style>
  <w:style w:type="paragraph" w:customStyle="1" w:styleId="11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14">
    <w:name w:val="封面标准文稿类别2"/>
    <w:basedOn w:val="115"/>
    <w:qFormat/>
    <w:uiPriority w:val="0"/>
    <w:pPr>
      <w:framePr w:wrap="around" w:y="4469"/>
    </w:pPr>
  </w:style>
  <w:style w:type="paragraph" w:customStyle="1" w:styleId="115">
    <w:name w:val="封面标准文稿类别"/>
    <w:basedOn w:val="105"/>
    <w:qFormat/>
    <w:uiPriority w:val="0"/>
    <w:pPr>
      <w:framePr w:wrap="around"/>
      <w:spacing w:after="160" w:line="240" w:lineRule="auto"/>
    </w:pPr>
    <w:rPr>
      <w:sz w:val="24"/>
    </w:rPr>
  </w:style>
  <w:style w:type="paragraph" w:customStyle="1" w:styleId="116">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8">
    <w:name w:val="列出段落1"/>
    <w:basedOn w:val="1"/>
    <w:qFormat/>
    <w:uiPriority w:val="34"/>
    <w:pPr>
      <w:ind w:firstLine="420" w:firstLineChars="200"/>
    </w:pPr>
  </w:style>
  <w:style w:type="paragraph" w:customStyle="1" w:styleId="119">
    <w:name w:val="封面标准名称2"/>
    <w:basedOn w:val="107"/>
    <w:qFormat/>
    <w:uiPriority w:val="0"/>
    <w:pPr>
      <w:framePr w:wrap="around" w:y="4469"/>
      <w:spacing w:before="630" w:beforeLines="630"/>
    </w:pPr>
  </w:style>
  <w:style w:type="paragraph" w:customStyle="1" w:styleId="120">
    <w:name w:val="一级无"/>
    <w:basedOn w:val="76"/>
    <w:qFormat/>
    <w:uiPriority w:val="0"/>
    <w:pPr>
      <w:spacing w:before="0" w:beforeLines="0" w:after="0" w:afterLines="0"/>
    </w:pPr>
    <w:rPr>
      <w:rFonts w:ascii="宋体" w:eastAsia="宋体"/>
    </w:rPr>
  </w:style>
  <w:style w:type="paragraph" w:customStyle="1" w:styleId="121">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2">
    <w:name w:val="示例×："/>
    <w:basedOn w:val="87"/>
    <w:qFormat/>
    <w:uiPriority w:val="0"/>
    <w:pPr>
      <w:numPr>
        <w:numId w:val="11"/>
      </w:numPr>
      <w:spacing w:before="0" w:beforeLines="0" w:after="0" w:afterLines="0"/>
      <w:outlineLvl w:val="9"/>
    </w:pPr>
    <w:rPr>
      <w:rFonts w:ascii="宋体" w:eastAsia="宋体"/>
      <w:sz w:val="18"/>
      <w:szCs w:val="18"/>
    </w:rPr>
  </w:style>
  <w:style w:type="paragraph" w:customStyle="1" w:styleId="123">
    <w:name w:val="其他标准标志"/>
    <w:basedOn w:val="124"/>
    <w:qFormat/>
    <w:uiPriority w:val="0"/>
    <w:pPr>
      <w:framePr w:w="6101" w:wrap="around" w:vAnchor="page" w:hAnchor="page" w:x="4673" w:y="942"/>
    </w:pPr>
    <w:rPr>
      <w:w w:val="130"/>
    </w:rPr>
  </w:style>
  <w:style w:type="paragraph" w:customStyle="1" w:styleId="12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25">
    <w:name w:val="附录表标题"/>
    <w:basedOn w:val="1"/>
    <w:next w:val="28"/>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126">
    <w:name w:val="注×：（正文）"/>
    <w:qFormat/>
    <w:uiPriority w:val="0"/>
    <w:pPr>
      <w:numPr>
        <w:ilvl w:val="0"/>
        <w:numId w:val="13"/>
      </w:numPr>
      <w:jc w:val="both"/>
    </w:pPr>
    <w:rPr>
      <w:rFonts w:ascii="宋体" w:hAnsi="Times New Roman" w:eastAsia="宋体" w:cs="Times New Roman"/>
      <w:sz w:val="18"/>
      <w:szCs w:val="18"/>
      <w:lang w:val="en-US" w:eastAsia="zh-CN" w:bidi="ar-SA"/>
    </w:rPr>
  </w:style>
  <w:style w:type="paragraph" w:customStyle="1" w:styleId="127">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8">
    <w:name w:val="_Style 127"/>
    <w:unhideWhenUsed/>
    <w:qFormat/>
    <w:uiPriority w:val="99"/>
    <w:rPr>
      <w:rFonts w:ascii="Times New Roman" w:hAnsi="Times New Roman" w:eastAsia="宋体" w:cs="Times New Roman"/>
      <w:kern w:val="2"/>
      <w:sz w:val="21"/>
      <w:szCs w:val="24"/>
      <w:lang w:val="en-US" w:eastAsia="zh-CN" w:bidi="ar-SA"/>
    </w:rPr>
  </w:style>
  <w:style w:type="paragraph" w:customStyle="1" w:styleId="129">
    <w:name w:val="附录字母编号列项（一级）"/>
    <w:qFormat/>
    <w:uiPriority w:val="0"/>
    <w:pPr>
      <w:numPr>
        <w:ilvl w:val="0"/>
        <w:numId w:val="14"/>
      </w:numPr>
    </w:pPr>
    <w:rPr>
      <w:rFonts w:ascii="宋体" w:hAnsi="Times New Roman" w:eastAsia="宋体" w:cs="Times New Roman"/>
      <w:sz w:val="21"/>
      <w:lang w:val="en-US" w:eastAsia="zh-CN" w:bidi="ar-SA"/>
    </w:rPr>
  </w:style>
  <w:style w:type="paragraph" w:customStyle="1" w:styleId="130">
    <w:name w:val="示例"/>
    <w:next w:val="131"/>
    <w:qFormat/>
    <w:uiPriority w:val="0"/>
    <w:pPr>
      <w:widowControl w:val="0"/>
      <w:numPr>
        <w:ilvl w:val="0"/>
        <w:numId w:val="15"/>
      </w:numPr>
      <w:jc w:val="both"/>
    </w:pPr>
    <w:rPr>
      <w:rFonts w:ascii="宋体" w:hAnsi="Times New Roman" w:eastAsia="宋体" w:cs="Times New Roman"/>
      <w:sz w:val="18"/>
      <w:szCs w:val="18"/>
      <w:lang w:val="en-US" w:eastAsia="zh-CN" w:bidi="ar-SA"/>
    </w:rPr>
  </w:style>
  <w:style w:type="paragraph" w:customStyle="1" w:styleId="13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32">
    <w:name w:val="附录三级无"/>
    <w:basedOn w:val="79"/>
    <w:qFormat/>
    <w:uiPriority w:val="0"/>
    <w:pPr>
      <w:tabs>
        <w:tab w:val="clear" w:pos="360"/>
      </w:tabs>
      <w:spacing w:before="0" w:beforeLines="0" w:after="0" w:afterLines="0"/>
    </w:pPr>
    <w:rPr>
      <w:rFonts w:ascii="宋体" w:eastAsia="宋体"/>
      <w:szCs w:val="21"/>
    </w:rPr>
  </w:style>
  <w:style w:type="paragraph" w:customStyle="1" w:styleId="133">
    <w:name w:val="附录图标题"/>
    <w:basedOn w:val="1"/>
    <w:next w:val="28"/>
    <w:qFormat/>
    <w:uiPriority w:val="0"/>
    <w:pPr>
      <w:numPr>
        <w:ilvl w:val="1"/>
        <w:numId w:val="8"/>
      </w:numPr>
      <w:tabs>
        <w:tab w:val="left" w:pos="363"/>
      </w:tabs>
      <w:spacing w:before="50" w:beforeLines="50" w:after="50" w:afterLines="50"/>
      <w:ind w:left="0" w:firstLine="0"/>
      <w:jc w:val="center"/>
    </w:pPr>
    <w:rPr>
      <w:rFonts w:ascii="黑体" w:eastAsia="黑体"/>
      <w:szCs w:val="21"/>
    </w:rPr>
  </w:style>
  <w:style w:type="paragraph" w:customStyle="1" w:styleId="134">
    <w:name w:val="三级无"/>
    <w:basedOn w:val="74"/>
    <w:qFormat/>
    <w:uiPriority w:val="0"/>
    <w:pPr>
      <w:spacing w:before="0" w:beforeLines="0" w:after="0" w:afterLines="0"/>
    </w:pPr>
    <w:rPr>
      <w:rFonts w:ascii="宋体" w:eastAsia="宋体"/>
    </w:rPr>
  </w:style>
  <w:style w:type="paragraph" w:customStyle="1" w:styleId="135">
    <w:name w:val="数字编号列项（二级）"/>
    <w:qFormat/>
    <w:uiPriority w:val="0"/>
    <w:pPr>
      <w:numPr>
        <w:ilvl w:val="1"/>
        <w:numId w:val="16"/>
      </w:numPr>
      <w:jc w:val="both"/>
    </w:pPr>
    <w:rPr>
      <w:rFonts w:ascii="宋体" w:hAnsi="Times New Roman" w:eastAsia="宋体" w:cs="Times New Roman"/>
      <w:sz w:val="21"/>
      <w:lang w:val="en-US" w:eastAsia="zh-CN" w:bidi="ar-SA"/>
    </w:rPr>
  </w:style>
  <w:style w:type="paragraph" w:customStyle="1" w:styleId="13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37">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8">
    <w:name w:val="字母编号列项（一级）"/>
    <w:qFormat/>
    <w:uiPriority w:val="0"/>
    <w:pPr>
      <w:numPr>
        <w:ilvl w:val="0"/>
        <w:numId w:val="16"/>
      </w:numPr>
      <w:jc w:val="both"/>
    </w:pPr>
    <w:rPr>
      <w:rFonts w:ascii="宋体" w:hAnsi="Times New Roman" w:eastAsia="宋体" w:cs="Times New Roman"/>
      <w:sz w:val="21"/>
      <w:lang w:val="en-US" w:eastAsia="zh-CN" w:bidi="ar-SA"/>
    </w:rPr>
  </w:style>
  <w:style w:type="paragraph" w:customStyle="1" w:styleId="13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40">
    <w:name w:val="注："/>
    <w:next w:val="28"/>
    <w:qFormat/>
    <w:uiPriority w:val="0"/>
    <w:pPr>
      <w:widowControl w:val="0"/>
      <w:numPr>
        <w:ilvl w:val="0"/>
        <w:numId w:val="17"/>
      </w:numPr>
      <w:autoSpaceDE w:val="0"/>
      <w:autoSpaceDN w:val="0"/>
      <w:jc w:val="both"/>
    </w:pPr>
    <w:rPr>
      <w:rFonts w:ascii="宋体" w:hAnsi="Times New Roman" w:eastAsia="宋体" w:cs="Times New Roman"/>
      <w:sz w:val="18"/>
      <w:szCs w:val="18"/>
      <w:lang w:val="en-US" w:eastAsia="zh-CN" w:bidi="ar-SA"/>
    </w:rPr>
  </w:style>
  <w:style w:type="paragraph" w:customStyle="1" w:styleId="141">
    <w:name w:val="正文公式编号制表符"/>
    <w:basedOn w:val="28"/>
    <w:next w:val="28"/>
    <w:qFormat/>
    <w:uiPriority w:val="0"/>
    <w:pPr>
      <w:ind w:firstLine="0" w:firstLineChars="0"/>
    </w:pPr>
  </w:style>
  <w:style w:type="paragraph" w:customStyle="1" w:styleId="142">
    <w:name w:val="附录一级无"/>
    <w:basedOn w:val="83"/>
    <w:qFormat/>
    <w:uiPriority w:val="0"/>
    <w:pPr>
      <w:tabs>
        <w:tab w:val="clear" w:pos="360"/>
      </w:tabs>
      <w:spacing w:before="0" w:beforeLines="0" w:after="0" w:afterLines="0"/>
    </w:pPr>
    <w:rPr>
      <w:rFonts w:ascii="宋体" w:eastAsia="宋体"/>
      <w:szCs w:val="21"/>
    </w:rPr>
  </w:style>
  <w:style w:type="paragraph" w:customStyle="1" w:styleId="143">
    <w:name w:val="其他发布部门"/>
    <w:basedOn w:val="144"/>
    <w:qFormat/>
    <w:uiPriority w:val="0"/>
    <w:pPr>
      <w:framePr w:wrap="around" w:y="15310"/>
      <w:spacing w:line="0" w:lineRule="atLeast"/>
    </w:pPr>
    <w:rPr>
      <w:rFonts w:ascii="黑体" w:eastAsia="黑体"/>
      <w:b w:val="0"/>
    </w:rPr>
  </w:style>
  <w:style w:type="paragraph" w:customStyle="1" w:styleId="144">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45">
    <w:name w:val="封面标准文稿编辑信息2"/>
    <w:basedOn w:val="146"/>
    <w:qFormat/>
    <w:uiPriority w:val="0"/>
    <w:pPr>
      <w:framePr w:wrap="around" w:y="4469"/>
    </w:pPr>
  </w:style>
  <w:style w:type="paragraph" w:customStyle="1" w:styleId="146">
    <w:name w:val="封面标准文稿编辑信息"/>
    <w:basedOn w:val="115"/>
    <w:qFormat/>
    <w:uiPriority w:val="0"/>
    <w:pPr>
      <w:framePr w:wrap="around"/>
      <w:spacing w:before="180" w:line="180" w:lineRule="exact"/>
    </w:pPr>
    <w:rPr>
      <w:sz w:val="21"/>
    </w:rPr>
  </w:style>
  <w:style w:type="paragraph" w:customStyle="1" w:styleId="14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48">
    <w:name w:val="附录二级无"/>
    <w:basedOn w:val="77"/>
    <w:qFormat/>
    <w:uiPriority w:val="0"/>
    <w:pPr>
      <w:tabs>
        <w:tab w:val="clear" w:pos="360"/>
      </w:tabs>
      <w:spacing w:before="0" w:beforeLines="0" w:after="0" w:afterLines="0"/>
    </w:pPr>
    <w:rPr>
      <w:rFonts w:ascii="宋体" w:eastAsia="宋体"/>
      <w:szCs w:val="21"/>
    </w:rPr>
  </w:style>
  <w:style w:type="paragraph" w:customStyle="1" w:styleId="149">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50">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5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2">
    <w:name w:val="注：（正文）"/>
    <w:basedOn w:val="140"/>
    <w:next w:val="28"/>
    <w:qFormat/>
    <w:uiPriority w:val="0"/>
    <w:pPr>
      <w:numPr>
        <w:ilvl w:val="0"/>
        <w:numId w:val="18"/>
      </w:numPr>
    </w:pPr>
  </w:style>
  <w:style w:type="paragraph" w:customStyle="1" w:styleId="153">
    <w:name w:val="示例后文字"/>
    <w:basedOn w:val="28"/>
    <w:next w:val="28"/>
    <w:qFormat/>
    <w:uiPriority w:val="0"/>
    <w:pPr>
      <w:ind w:firstLine="360"/>
    </w:pPr>
    <w:rPr>
      <w:sz w:val="18"/>
    </w:rPr>
  </w:style>
  <w:style w:type="paragraph" w:customStyle="1" w:styleId="154">
    <w:name w:val="标准书眉一"/>
    <w:qFormat/>
    <w:uiPriority w:val="0"/>
    <w:pPr>
      <w:jc w:val="both"/>
    </w:pPr>
    <w:rPr>
      <w:rFonts w:ascii="Times New Roman" w:hAnsi="Times New Roman" w:eastAsia="宋体" w:cs="Times New Roman"/>
      <w:lang w:val="en-US" w:eastAsia="zh-CN" w:bidi="ar-SA"/>
    </w:rPr>
  </w:style>
  <w:style w:type="paragraph" w:customStyle="1" w:styleId="155">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56">
    <w:name w:val="条文脚注"/>
    <w:basedOn w:val="29"/>
    <w:qFormat/>
    <w:uiPriority w:val="0"/>
    <w:pPr>
      <w:numPr>
        <w:numId w:val="0"/>
      </w:numPr>
      <w:jc w:val="both"/>
    </w:pPr>
  </w:style>
  <w:style w:type="paragraph" w:customStyle="1" w:styleId="15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5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5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60">
    <w:name w:val="附录表标号"/>
    <w:basedOn w:val="1"/>
    <w:next w:val="28"/>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161">
    <w:name w:val="封面标准英文名称2"/>
    <w:basedOn w:val="106"/>
    <w:qFormat/>
    <w:uiPriority w:val="0"/>
    <w:pPr>
      <w:framePr w:wrap="around" w:y="4469"/>
    </w:pPr>
  </w:style>
  <w:style w:type="paragraph" w:customStyle="1" w:styleId="162">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styleId="163">
    <w:name w:val="List Paragraph"/>
    <w:basedOn w:val="1"/>
    <w:qFormat/>
    <w:uiPriority w:val="99"/>
    <w:pPr>
      <w:ind w:firstLine="420" w:firstLineChars="200"/>
    </w:pPr>
  </w:style>
  <w:style w:type="paragraph" w:customStyle="1" w:styleId="164">
    <w:name w:val="W 正文"/>
    <w:basedOn w:val="1"/>
    <w:qFormat/>
    <w:uiPriority w:val="0"/>
    <w:pPr>
      <w:spacing w:line="360" w:lineRule="auto"/>
      <w:ind w:firstLine="200" w:firstLineChars="200"/>
    </w:pPr>
    <w:rPr>
      <w:rFonts w:ascii="宋体"/>
      <w:szCs w:val="21"/>
    </w:rPr>
  </w:style>
  <w:style w:type="paragraph" w:customStyle="1" w:styleId="16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66">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11</Pages>
  <Words>3872</Words>
  <Characters>4494</Characters>
  <Lines>44</Lines>
  <Paragraphs>12</Paragraphs>
  <TotalTime>3</TotalTime>
  <ScaleCrop>false</ScaleCrop>
  <LinksUpToDate>false</LinksUpToDate>
  <CharactersWithSpaces>4782</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2021-10-11T00:18:00Z</dcterms:created>
  <dc:creator>CNIS</dc:creator>
  <cp:lastModifiedBy>谭谭</cp:lastModifiedBy>
  <cp:lastPrinted>2021-09-30T01:41:00Z</cp:lastPrinted>
  <dcterms:modified xsi:type="dcterms:W3CDTF">2024-08-22T03:26:08Z</dcterms:modified>
  <dc:title>标准名称</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359C9D30D5A444718B04922FAF368FBB_13</vt:lpwstr>
  </property>
</Properties>
</file>