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6"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饲料桑枝叶青贮技术规程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regulations for silage of mulberry branches and leaves for feed</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lang w:eastAsia="zh-CN"/>
        </w:rPr>
        <w:t>征求意见稿</w:t>
      </w:r>
      <w:bookmarkStart w:id="108" w:name="_GoBack"/>
      <w:bookmarkEnd w:id="108"/>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89"/>
        <w:spacing w:before="900" w:after="468"/>
      </w:pPr>
      <w:bookmarkStart w:id="21" w:name="_Toc178000366"/>
      <w:bookmarkStart w:id="22" w:name="_Toc178000418"/>
      <w:bookmarkStart w:id="23" w:name="BookMark2"/>
      <w:r>
        <w:rPr>
          <w:spacing w:val="320"/>
        </w:rPr>
        <w:t>前</w:t>
      </w:r>
      <w:r>
        <w:t>言</w:t>
      </w:r>
      <w:bookmarkEnd w:id="21"/>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本文件由湖南省农业农村厅提出。</w:t>
      </w:r>
    </w:p>
    <w:p>
      <w:pPr>
        <w:pStyle w:val="56"/>
        <w:ind w:firstLine="420"/>
      </w:pPr>
      <w:r>
        <w:rPr>
          <w:rFonts w:hint="eastAsia"/>
        </w:rPr>
        <w:t>本文件由湖南省农业标准化技术委员会归口。</w:t>
      </w:r>
    </w:p>
    <w:p>
      <w:pPr>
        <w:pStyle w:val="56"/>
        <w:ind w:firstLine="420"/>
      </w:pPr>
      <w:r>
        <w:rPr>
          <w:rFonts w:hint="eastAsia"/>
        </w:rPr>
        <w:t>本文件起草单位：</w:t>
      </w:r>
      <w:bookmarkStart w:id="24" w:name="_Hlk177570745"/>
      <w:r>
        <w:rPr>
          <w:rFonts w:hint="eastAsia"/>
        </w:rPr>
        <w:t>湖南农业大学、</w:t>
      </w:r>
      <w:bookmarkStart w:id="25" w:name="_Hlk177573694"/>
      <w:r>
        <w:rPr>
          <w:rFonts w:hint="eastAsia"/>
        </w:rPr>
        <w:t>湖南中桑农业科技有限公司</w:t>
      </w:r>
      <w:bookmarkEnd w:id="24"/>
      <w:bookmarkEnd w:id="25"/>
      <w:r>
        <w:rPr>
          <w:rFonts w:hint="eastAsia"/>
        </w:rPr>
        <w:t>、</w:t>
      </w:r>
      <w:r>
        <w:rPr>
          <w:rFonts w:hint="eastAsia"/>
          <w:lang w:val="en-US" w:eastAsia="zh-CN"/>
        </w:rPr>
        <w:t>双峰县农业农村局、</w:t>
      </w:r>
      <w:r>
        <w:rPr>
          <w:rFonts w:hint="eastAsia"/>
        </w:rPr>
        <w:t>湖南省畜牧兽医研究所。</w:t>
      </w:r>
    </w:p>
    <w:p>
      <w:pPr>
        <w:pStyle w:val="56"/>
        <w:ind w:firstLine="420"/>
      </w:pPr>
      <w:r>
        <w:rPr>
          <w:rFonts w:hint="eastAsia"/>
        </w:rPr>
        <w:t>本文件主要起草人：肖定福、陈玉连、刘莹莹、舒计超、万孝康、陈柏露、陈有良、陈东、王祚、</w:t>
      </w:r>
      <w:r>
        <w:rPr>
          <w:rFonts w:hint="eastAsia"/>
          <w:lang w:eastAsia="zh-CN"/>
        </w:rPr>
        <w:t>米慧、</w:t>
      </w:r>
      <w:r>
        <w:rPr>
          <w:rFonts w:hint="eastAsia"/>
        </w:rPr>
        <w:t>张现东、夏敏、李靖</w:t>
      </w:r>
      <w:r>
        <w:rPr>
          <w:rFonts w:hint="eastAsia"/>
          <w:lang w:eastAsia="zh-CN"/>
        </w:rPr>
        <w:t>、肖海翔</w:t>
      </w:r>
      <w:r>
        <w:rPr>
          <w:rFonts w:hint="eastAsia"/>
        </w:rPr>
        <w:t>。</w:t>
      </w:r>
    </w:p>
    <w:p>
      <w:pPr>
        <w:pStyle w:val="56"/>
        <w:ind w:firstLine="420"/>
      </w:pPr>
    </w:p>
    <w:p>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1D44B48EE93E4F558A43C24BAFCCB91C"/>
        </w:placeholder>
      </w:sdtPr>
      <w:sdtContent>
        <w:p>
          <w:pPr>
            <w:pStyle w:val="177"/>
            <w:spacing w:before="3" w:beforeLines="1" w:after="686" w:afterLines="220"/>
          </w:pPr>
          <w:bookmarkStart w:id="27" w:name="NEW_STAND_NAME"/>
          <w:r>
            <w:rPr>
              <w:rFonts w:hint="eastAsia"/>
            </w:rPr>
            <w:t>饲料桑枝叶青贮技术规程</w:t>
          </w:r>
        </w:p>
      </w:sdtContent>
    </w:sdt>
    <w:bookmarkEnd w:id="27"/>
    <w:p>
      <w:pPr>
        <w:pStyle w:val="104"/>
        <w:spacing w:before="312" w:after="312"/>
      </w:pPr>
      <w:bookmarkStart w:id="28" w:name="_Toc178000367"/>
      <w:bookmarkStart w:id="29" w:name="_Toc26986530"/>
      <w:bookmarkStart w:id="30" w:name="_Toc97191423"/>
      <w:bookmarkStart w:id="31" w:name="_Toc26648465"/>
      <w:bookmarkStart w:id="32" w:name="_Toc26986771"/>
      <w:bookmarkStart w:id="33" w:name="_Toc178000419"/>
      <w:bookmarkStart w:id="34" w:name="_Toc26718930"/>
      <w:bookmarkStart w:id="35" w:name="_Toc24884211"/>
      <w:bookmarkStart w:id="36" w:name="_Toc17233333"/>
      <w:bookmarkStart w:id="37" w:name="_Toc17233325"/>
      <w:bookmarkStart w:id="38" w:name="_Toc24884218"/>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17233326"/>
      <w:bookmarkStart w:id="40" w:name="_Toc17233334"/>
      <w:bookmarkStart w:id="41" w:name="_Toc24884212"/>
      <w:bookmarkStart w:id="42" w:name="_Toc26648466"/>
      <w:bookmarkStart w:id="43" w:name="_Toc24884219"/>
      <w:r>
        <w:rPr>
          <w:rFonts w:hint="eastAsia"/>
        </w:rPr>
        <w:t>本文件规定了饲料桑枝叶的术语和定义、原料准备、青贮制作、贮后管理、青贮时间、质量要求、检测方法、检验规则。</w:t>
      </w:r>
    </w:p>
    <w:p>
      <w:pPr>
        <w:pStyle w:val="56"/>
        <w:ind w:firstLine="409" w:firstLineChars="195"/>
      </w:pPr>
      <w:r>
        <w:rPr>
          <w:rFonts w:hint="eastAsia"/>
        </w:rPr>
        <w:t>本文件适用于饲料桑枝叶的青贮加工和贮存管理。</w:t>
      </w:r>
    </w:p>
    <w:p>
      <w:pPr>
        <w:pStyle w:val="104"/>
        <w:spacing w:before="312" w:after="312"/>
      </w:pPr>
      <w:bookmarkStart w:id="44" w:name="_Toc178000368"/>
      <w:bookmarkStart w:id="45" w:name="_Toc26986772"/>
      <w:bookmarkStart w:id="46" w:name="_Toc26718931"/>
      <w:bookmarkStart w:id="47" w:name="_Toc26986531"/>
      <w:bookmarkStart w:id="48" w:name="_Toc178000420"/>
      <w:bookmarkStart w:id="49" w:name="_Toc97191424"/>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759E41E4407C48ECA6E1F7DD8608B4E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ascii="Times New Roman"/>
        </w:rPr>
      </w:pPr>
      <w:r>
        <w:rPr>
          <w:rFonts w:ascii="Times New Roman"/>
        </w:rPr>
        <w:t>GB/T 6432</w:t>
      </w:r>
      <w:r>
        <w:rPr>
          <w:rFonts w:hint="eastAsia" w:ascii="Times New Roman"/>
        </w:rPr>
        <w:t xml:space="preserve">  </w:t>
      </w:r>
      <w:r>
        <w:rPr>
          <w:rFonts w:ascii="Times New Roman"/>
        </w:rPr>
        <w:t>饲料中粗蛋白的测定 凯氏定氮法</w:t>
      </w:r>
    </w:p>
    <w:p>
      <w:pPr>
        <w:pStyle w:val="56"/>
        <w:ind w:firstLine="420"/>
        <w:rPr>
          <w:rFonts w:ascii="Times New Roman"/>
        </w:rPr>
      </w:pPr>
      <w:r>
        <w:rPr>
          <w:rFonts w:ascii="Times New Roman"/>
        </w:rPr>
        <w:t>GB/T 6434</w:t>
      </w:r>
      <w:r>
        <w:rPr>
          <w:rFonts w:hint="eastAsia" w:ascii="Times New Roman"/>
        </w:rPr>
        <w:t xml:space="preserve">  </w:t>
      </w:r>
      <w:r>
        <w:rPr>
          <w:rFonts w:ascii="Times New Roman"/>
        </w:rPr>
        <w:t>饲料中粗纤维的含量测定 过滤法</w:t>
      </w:r>
    </w:p>
    <w:p>
      <w:pPr>
        <w:pStyle w:val="56"/>
        <w:ind w:firstLine="420"/>
        <w:rPr>
          <w:rFonts w:ascii="Times New Roman"/>
        </w:rPr>
      </w:pPr>
      <w:r>
        <w:rPr>
          <w:rFonts w:ascii="Times New Roman"/>
        </w:rPr>
        <w:t>GB/T 6435</w:t>
      </w:r>
      <w:r>
        <w:rPr>
          <w:rFonts w:hint="eastAsia" w:ascii="Times New Roman"/>
        </w:rPr>
        <w:t xml:space="preserve">  </w:t>
      </w:r>
      <w:r>
        <w:rPr>
          <w:rFonts w:ascii="Times New Roman"/>
        </w:rPr>
        <w:t>饲料中水分的测定</w:t>
      </w:r>
    </w:p>
    <w:p>
      <w:pPr>
        <w:pStyle w:val="56"/>
        <w:ind w:firstLine="420"/>
        <w:rPr>
          <w:rFonts w:ascii="Times New Roman"/>
        </w:rPr>
      </w:pPr>
      <w:r>
        <w:rPr>
          <w:rFonts w:ascii="Times New Roman"/>
        </w:rPr>
        <w:t>GB/T 6438</w:t>
      </w:r>
      <w:r>
        <w:rPr>
          <w:rFonts w:hint="eastAsia" w:ascii="Times New Roman"/>
        </w:rPr>
        <w:t xml:space="preserve">  </w:t>
      </w:r>
      <w:r>
        <w:rPr>
          <w:rFonts w:ascii="Times New Roman"/>
        </w:rPr>
        <w:t>饲料中粗灰分的测定</w:t>
      </w:r>
    </w:p>
    <w:p>
      <w:pPr>
        <w:pStyle w:val="56"/>
        <w:ind w:firstLine="420"/>
        <w:rPr>
          <w:rFonts w:ascii="Times New Roman"/>
        </w:rPr>
      </w:pPr>
      <w:r>
        <w:rPr>
          <w:rFonts w:ascii="Times New Roman"/>
        </w:rPr>
        <w:t>GB/T 9724</w:t>
      </w:r>
      <w:r>
        <w:rPr>
          <w:rFonts w:hint="eastAsia" w:ascii="Times New Roman"/>
        </w:rPr>
        <w:t xml:space="preserve">  </w:t>
      </w:r>
      <w:r>
        <w:rPr>
          <w:rFonts w:ascii="Times New Roman"/>
        </w:rPr>
        <w:t>化学试剂 pH值测定通则</w:t>
      </w:r>
    </w:p>
    <w:p>
      <w:pPr>
        <w:pStyle w:val="56"/>
        <w:ind w:firstLine="420"/>
        <w:rPr>
          <w:rFonts w:ascii="Times New Roman"/>
        </w:rPr>
      </w:pPr>
      <w:r>
        <w:rPr>
          <w:rFonts w:ascii="Times New Roman"/>
        </w:rPr>
        <w:t>GB 13078</w:t>
      </w:r>
      <w:r>
        <w:rPr>
          <w:rFonts w:hint="eastAsia" w:ascii="Times New Roman"/>
        </w:rPr>
        <w:t xml:space="preserve">  </w:t>
      </w:r>
      <w:r>
        <w:rPr>
          <w:rFonts w:ascii="Times New Roman"/>
        </w:rPr>
        <w:t>饲料卫生标准</w:t>
      </w:r>
    </w:p>
    <w:p>
      <w:pPr>
        <w:pStyle w:val="56"/>
        <w:ind w:firstLine="420"/>
        <w:rPr>
          <w:rFonts w:ascii="Times New Roman"/>
        </w:rPr>
      </w:pPr>
      <w:r>
        <w:rPr>
          <w:rFonts w:ascii="Times New Roman"/>
        </w:rPr>
        <w:t>GB/T 13092</w:t>
      </w:r>
      <w:r>
        <w:rPr>
          <w:rFonts w:hint="eastAsia" w:ascii="Times New Roman"/>
        </w:rPr>
        <w:t xml:space="preserve">  </w:t>
      </w:r>
      <w:r>
        <w:rPr>
          <w:rFonts w:ascii="Times New Roman"/>
        </w:rPr>
        <w:t>饲料中霉菌总数测定方法</w:t>
      </w:r>
    </w:p>
    <w:p>
      <w:pPr>
        <w:pStyle w:val="56"/>
        <w:ind w:firstLine="420"/>
        <w:rPr>
          <w:rFonts w:ascii="Times New Roman"/>
        </w:rPr>
      </w:pPr>
      <w:r>
        <w:rPr>
          <w:rFonts w:hint="eastAsia" w:ascii="Times New Roman"/>
        </w:rPr>
        <w:t>GB/T 14699.1  饲料采样</w:t>
      </w:r>
    </w:p>
    <w:p>
      <w:pPr>
        <w:pStyle w:val="56"/>
        <w:ind w:firstLine="420"/>
        <w:rPr>
          <w:rFonts w:ascii="Times New Roman"/>
        </w:rPr>
      </w:pPr>
      <w:r>
        <w:rPr>
          <w:rFonts w:ascii="Times New Roman"/>
        </w:rPr>
        <w:t>GB/T 18823</w:t>
      </w:r>
      <w:r>
        <w:rPr>
          <w:rFonts w:hint="eastAsia" w:ascii="Times New Roman"/>
        </w:rPr>
        <w:t xml:space="preserve">  </w:t>
      </w:r>
      <w:r>
        <w:rPr>
          <w:rFonts w:ascii="Times New Roman"/>
        </w:rPr>
        <w:t>饲料检测结果判定的允许误差</w:t>
      </w:r>
    </w:p>
    <w:p>
      <w:pPr>
        <w:pStyle w:val="56"/>
        <w:ind w:firstLine="420"/>
        <w:rPr>
          <w:rFonts w:hint="eastAsia" w:ascii="Times New Roman"/>
        </w:rPr>
      </w:pPr>
      <w:r>
        <w:rPr>
          <w:rFonts w:hint="eastAsia" w:ascii="Times New Roman"/>
        </w:rPr>
        <w:t>GB/T 22141  饲料添加剂 复合酸化剂通用要求</w:t>
      </w:r>
    </w:p>
    <w:p>
      <w:pPr>
        <w:pStyle w:val="56"/>
        <w:ind w:firstLine="420"/>
        <w:rPr>
          <w:rFonts w:hint="eastAsia" w:ascii="Times New Roman"/>
        </w:rPr>
      </w:pPr>
      <w:r>
        <w:rPr>
          <w:rFonts w:hint="eastAsia" w:ascii="Times New Roman"/>
        </w:rPr>
        <w:t>GB/T 22142  饲料添加剂 有机酸通用要求</w:t>
      </w:r>
    </w:p>
    <w:p>
      <w:pPr>
        <w:pStyle w:val="56"/>
        <w:ind w:firstLine="420"/>
        <w:rPr>
          <w:rFonts w:ascii="Times New Roman"/>
        </w:rPr>
      </w:pPr>
      <w:r>
        <w:rPr>
          <w:rFonts w:ascii="Times New Roman"/>
        </w:rPr>
        <w:t>GB/T 36858</w:t>
      </w:r>
      <w:r>
        <w:rPr>
          <w:rFonts w:hint="eastAsia" w:ascii="Times New Roman"/>
        </w:rPr>
        <w:t xml:space="preserve">  </w:t>
      </w:r>
      <w:r>
        <w:rPr>
          <w:rFonts w:ascii="Times New Roman"/>
        </w:rPr>
        <w:t>饲料中黄曲霉毒素B1的测定 高效液相色谱法</w:t>
      </w:r>
    </w:p>
    <w:p>
      <w:pPr>
        <w:pStyle w:val="56"/>
        <w:ind w:firstLine="420"/>
        <w:rPr>
          <w:rFonts w:ascii="Times New Roman"/>
        </w:rPr>
      </w:pPr>
      <w:r>
        <w:rPr>
          <w:rFonts w:hint="eastAsia" w:ascii="Times New Roman"/>
        </w:rPr>
        <w:t>JJF 1070  定量包装商品净含量计量检验规则</w:t>
      </w:r>
    </w:p>
    <w:p>
      <w:pPr>
        <w:pStyle w:val="56"/>
        <w:ind w:firstLine="420"/>
        <w:rPr>
          <w:rFonts w:ascii="Times New Roman"/>
        </w:rPr>
      </w:pPr>
      <w:r>
        <w:rPr>
          <w:rFonts w:ascii="Times New Roman"/>
        </w:rPr>
        <w:t>NY/T 1444</w:t>
      </w:r>
      <w:r>
        <w:rPr>
          <w:rFonts w:hint="eastAsia" w:ascii="Times New Roman"/>
        </w:rPr>
        <w:t xml:space="preserve">  </w:t>
      </w:r>
      <w:r>
        <w:rPr>
          <w:rFonts w:ascii="Times New Roman"/>
        </w:rPr>
        <w:t>微生物饲料添加剂技术通则</w:t>
      </w:r>
    </w:p>
    <w:p>
      <w:pPr>
        <w:pStyle w:val="56"/>
        <w:ind w:firstLine="420"/>
        <w:rPr>
          <w:rFonts w:ascii="Times New Roman"/>
        </w:rPr>
      </w:pPr>
      <w:r>
        <w:rPr>
          <w:rFonts w:ascii="Times New Roman"/>
        </w:rPr>
        <w:t>NY/T 2129</w:t>
      </w:r>
      <w:r>
        <w:rPr>
          <w:rFonts w:hint="eastAsia" w:ascii="Times New Roman"/>
        </w:rPr>
        <w:t xml:space="preserve">  </w:t>
      </w:r>
      <w:r>
        <w:rPr>
          <w:rFonts w:ascii="Times New Roman"/>
        </w:rPr>
        <w:t>饲草产品抽样技术规程</w:t>
      </w:r>
    </w:p>
    <w:p>
      <w:pPr>
        <w:pStyle w:val="56"/>
        <w:ind w:firstLine="420"/>
        <w:rPr>
          <w:rFonts w:ascii="Times New Roman"/>
        </w:rPr>
      </w:pPr>
      <w:r>
        <w:rPr>
          <w:rFonts w:ascii="Times New Roman"/>
        </w:rPr>
        <w:t>DB15/T1458</w:t>
      </w:r>
      <w:r>
        <w:rPr>
          <w:rFonts w:hint="eastAsia" w:ascii="Times New Roman"/>
        </w:rPr>
        <w:t xml:space="preserve">  </w:t>
      </w:r>
      <w:r>
        <w:rPr>
          <w:rFonts w:ascii="Times New Roman"/>
        </w:rPr>
        <w:t xml:space="preserve">青贮饲料 pH 值、有机酸、氨态氮测定方法  </w:t>
      </w:r>
    </w:p>
    <w:p>
      <w:pPr>
        <w:pStyle w:val="56"/>
        <w:ind w:firstLine="420"/>
        <w:rPr>
          <w:rFonts w:hint="eastAsia" w:ascii="Times New Roman"/>
        </w:rPr>
      </w:pPr>
      <w:r>
        <w:rPr>
          <w:rFonts w:hint="eastAsia" w:ascii="Times New Roman"/>
        </w:rPr>
        <w:t>BB/T 0024  运输包装用拉伸缠绕膜</w:t>
      </w:r>
    </w:p>
    <w:p>
      <w:pPr>
        <w:pStyle w:val="56"/>
        <w:ind w:firstLine="420"/>
        <w:rPr>
          <w:rFonts w:hint="default" w:ascii="Times New Roman" w:eastAsia="宋体"/>
          <w:lang w:val="en-US" w:eastAsia="zh-CN"/>
        </w:rPr>
      </w:pPr>
      <w:r>
        <w:rPr>
          <w:rFonts w:hint="eastAsia" w:ascii="Times New Roman" w:hAnsi="Times New Roman" w:eastAsia="宋体" w:cs="Times New Roman"/>
        </w:rPr>
        <w:t>SB/T 10318</w:t>
      </w:r>
      <w:r>
        <w:rPr>
          <w:rFonts w:hint="eastAsia" w:ascii="Times New Roman" w:cs="Times New Roman"/>
          <w:lang w:val="en-US" w:eastAsia="zh-CN"/>
        </w:rPr>
        <w:t xml:space="preserve">  氨态氮测定法</w:t>
      </w:r>
    </w:p>
    <w:p>
      <w:pPr>
        <w:pStyle w:val="104"/>
        <w:spacing w:before="312" w:after="312"/>
      </w:pPr>
      <w:bookmarkStart w:id="50" w:name="_Toc97191425"/>
      <w:bookmarkStart w:id="51" w:name="_Toc178000421"/>
      <w:bookmarkStart w:id="52" w:name="_Toc178000369"/>
      <w:bookmarkStart w:id="53" w:name="_Hlk177593089"/>
      <w:r>
        <w:rPr>
          <w:rFonts w:hint="eastAsia"/>
          <w:szCs w:val="21"/>
        </w:rPr>
        <w:t>术语和定义</w:t>
      </w:r>
      <w:bookmarkEnd w:id="50"/>
      <w:bookmarkEnd w:id="51"/>
      <w:bookmarkEnd w:id="52"/>
    </w:p>
    <w:sdt>
      <w:sdtPr>
        <w:id w:val="-1909835108"/>
        <w:placeholder>
          <w:docPart w:val="5814FB32751E40FF93AA9B3426250B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4" w:name="_Toc26986532"/>
          <w:bookmarkEnd w:id="54"/>
          <w:r>
            <w:t>下列术语和定义适用于本文件。</w:t>
          </w:r>
        </w:p>
      </w:sdtContent>
    </w:sdt>
    <w:p>
      <w:pPr>
        <w:pStyle w:val="105"/>
        <w:spacing w:before="156" w:after="156"/>
        <w:rPr>
          <w:rFonts w:hAnsi="黑体"/>
        </w:rPr>
      </w:pPr>
      <w:r>
        <w:rPr>
          <w:rFonts w:hAnsi="黑体"/>
        </w:rPr>
        <w:br w:type="textWrapping"/>
      </w:r>
      <w:r>
        <w:rPr>
          <w:rFonts w:hint="eastAsia" w:hAnsi="黑体"/>
        </w:rPr>
        <w:t xml:space="preserve">    </w:t>
      </w:r>
      <w:bookmarkStart w:id="55" w:name="OLE_LINK1"/>
      <w:bookmarkStart w:id="56" w:name="_Toc178000370"/>
      <w:r>
        <w:rPr>
          <w:rFonts w:hint="eastAsia" w:hAnsi="黑体"/>
        </w:rPr>
        <w:t>饲料桑枝叶</w:t>
      </w:r>
      <w:bookmarkEnd w:id="55"/>
      <w:r>
        <w:rPr>
          <w:rFonts w:hint="eastAsia" w:hAnsi="黑体"/>
        </w:rPr>
        <w:t xml:space="preserve"> </w:t>
      </w:r>
      <w:r>
        <w:rPr>
          <w:rFonts w:ascii="Times New Roman"/>
        </w:rPr>
        <w:t>mulberry branches and leaves for feed</w:t>
      </w:r>
      <w:bookmarkEnd w:id="56"/>
    </w:p>
    <w:p>
      <w:pPr>
        <w:pStyle w:val="56"/>
        <w:ind w:firstLine="420"/>
        <w:rPr>
          <w:rFonts w:hAnsi="黑体"/>
        </w:rPr>
      </w:pPr>
      <w:r>
        <w:rPr>
          <w:rFonts w:hint="eastAsia"/>
        </w:rPr>
        <w:t>包括饲料桑的枝条和叶片，作为青贮饲料原料的桑枝叶。饲料桑是人工选育的抗逆性品系，具有产量高、营养价值高、抗逆性强、适口性好等特点。</w:t>
      </w:r>
    </w:p>
    <w:p>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 xml:space="preserve">青贮 </w:t>
      </w:r>
      <w:r>
        <w:rPr>
          <w:rFonts w:ascii="Times New Roman" w:eastAsia="黑体"/>
        </w:rPr>
        <w:t>ensilage</w:t>
      </w:r>
    </w:p>
    <w:p>
      <w:pPr>
        <w:pStyle w:val="56"/>
        <w:ind w:firstLine="420"/>
        <w:rPr>
          <w:rFonts w:ascii="Times New Roman"/>
        </w:rPr>
      </w:pPr>
      <w:r>
        <w:rPr>
          <w:rFonts w:ascii="Times New Roman"/>
        </w:rPr>
        <w:t>将</w:t>
      </w:r>
      <w:r>
        <w:rPr>
          <w:rFonts w:hint="eastAsia" w:ascii="Times New Roman"/>
        </w:rPr>
        <w:t>青绿饲草</w:t>
      </w:r>
      <w:r>
        <w:rPr>
          <w:rFonts w:ascii="Times New Roman"/>
        </w:rPr>
        <w:t>装填入密封青贮设施中，在厌氧环境下进行发酵，使饲料长期保存的加工方法。</w:t>
      </w:r>
    </w:p>
    <w:p>
      <w:pPr>
        <w:pStyle w:val="223"/>
        <w:rPr>
          <w:rFonts w:ascii="Times New Roman" w:eastAsia="黑体"/>
        </w:rPr>
      </w:pPr>
      <w:r>
        <w:rPr>
          <w:rFonts w:ascii="Times New Roman" w:eastAsia="黑体"/>
        </w:rPr>
        <w:br w:type="textWrapping"/>
      </w:r>
      <w:r>
        <w:rPr>
          <w:rFonts w:ascii="Times New Roman" w:eastAsia="黑体"/>
        </w:rPr>
        <w:t xml:space="preserve">    青贮添加剂 silage additives</w:t>
      </w:r>
    </w:p>
    <w:p>
      <w:pPr>
        <w:pStyle w:val="56"/>
        <w:ind w:firstLine="420"/>
        <w:rPr>
          <w:rFonts w:ascii="黑体" w:hAnsi="黑体" w:eastAsia="黑体"/>
        </w:rPr>
      </w:pPr>
      <w:r>
        <w:rPr>
          <w:rFonts w:ascii="Times New Roman"/>
        </w:rPr>
        <w:t>用于改善青贮饲料发酵品质，并减</w:t>
      </w:r>
      <w:r>
        <w:rPr>
          <w:rFonts w:hint="eastAsia"/>
        </w:rPr>
        <w:t>少养分损失的添加剂。</w:t>
      </w:r>
    </w:p>
    <w:bookmarkEnd w:id="53"/>
    <w:p>
      <w:pPr>
        <w:pStyle w:val="104"/>
        <w:spacing w:before="312" w:after="312"/>
      </w:pPr>
      <w:bookmarkStart w:id="57" w:name="_Toc178000371"/>
      <w:bookmarkStart w:id="58" w:name="_Toc178000422"/>
      <w:bookmarkStart w:id="59" w:name="_Hlk177901231"/>
      <w:r>
        <w:rPr>
          <w:rFonts w:hint="eastAsia"/>
        </w:rPr>
        <w:t>原料准备</w:t>
      </w:r>
      <w:bookmarkEnd w:id="57"/>
      <w:bookmarkEnd w:id="58"/>
    </w:p>
    <w:p>
      <w:pPr>
        <w:pStyle w:val="105"/>
        <w:spacing w:before="156" w:after="156"/>
      </w:pPr>
      <w:bookmarkStart w:id="60" w:name="_Toc178000372"/>
      <w:r>
        <w:rPr>
          <w:rFonts w:hint="eastAsia"/>
        </w:rPr>
        <w:t>原料刈割</w:t>
      </w:r>
      <w:bookmarkEnd w:id="60"/>
    </w:p>
    <w:p>
      <w:pPr>
        <w:pStyle w:val="56"/>
        <w:ind w:firstLine="420"/>
        <w:rPr>
          <w:rFonts w:ascii="Times New Roman"/>
        </w:rPr>
      </w:pPr>
      <w:r>
        <w:rPr>
          <w:rFonts w:hint="eastAsia"/>
        </w:rPr>
        <w:t>宜在桑树</w:t>
      </w:r>
      <w:r>
        <w:rPr>
          <w:rFonts w:ascii="Times New Roman"/>
        </w:rPr>
        <w:t>株高达80</w:t>
      </w:r>
      <w:r>
        <w:rPr>
          <w:rFonts w:hint="eastAsia" w:ascii="Times New Roman"/>
        </w:rPr>
        <w:t xml:space="preserve"> </w:t>
      </w:r>
      <w:r>
        <w:rPr>
          <w:rFonts w:ascii="Times New Roman"/>
        </w:rPr>
        <w:t>cm</w:t>
      </w:r>
      <w:r>
        <w:rPr>
          <w:rFonts w:ascii="Times New Roman" w:eastAsia="微软雅黑"/>
        </w:rPr>
        <w:t>~</w:t>
      </w:r>
      <w:r>
        <w:rPr>
          <w:rFonts w:ascii="Times New Roman"/>
        </w:rPr>
        <w:t>100</w:t>
      </w:r>
      <w:r>
        <w:rPr>
          <w:rFonts w:hint="eastAsia" w:ascii="Times New Roman"/>
        </w:rPr>
        <w:t xml:space="preserve"> </w:t>
      </w:r>
      <w:r>
        <w:rPr>
          <w:rFonts w:ascii="Times New Roman"/>
        </w:rPr>
        <w:t>cm时刈割。</w:t>
      </w:r>
    </w:p>
    <w:p>
      <w:pPr>
        <w:pStyle w:val="105"/>
        <w:spacing w:before="156" w:after="156"/>
        <w:rPr>
          <w:rFonts w:ascii="Times New Roman"/>
        </w:rPr>
      </w:pPr>
      <w:bookmarkStart w:id="61" w:name="_Toc178000373"/>
      <w:r>
        <w:rPr>
          <w:rFonts w:ascii="Times New Roman"/>
        </w:rPr>
        <w:t>留茬高度</w:t>
      </w:r>
      <w:bookmarkEnd w:id="61"/>
    </w:p>
    <w:p>
      <w:pPr>
        <w:pStyle w:val="56"/>
        <w:ind w:firstLine="420"/>
        <w:rPr>
          <w:rFonts w:ascii="Times New Roman"/>
        </w:rPr>
      </w:pPr>
      <w:r>
        <w:rPr>
          <w:rFonts w:ascii="Times New Roman"/>
        </w:rPr>
        <w:t>留茬</w:t>
      </w:r>
      <w:r>
        <w:rPr>
          <w:rFonts w:hint="eastAsia" w:ascii="Times New Roman"/>
        </w:rPr>
        <w:t xml:space="preserve">10 </w:t>
      </w:r>
      <w:r>
        <w:rPr>
          <w:rFonts w:ascii="Times New Roman"/>
        </w:rPr>
        <w:t>cm</w:t>
      </w:r>
      <w:bookmarkStart w:id="62" w:name="_Hlk176820054"/>
      <w:r>
        <w:rPr>
          <w:rFonts w:ascii="Times New Roman" w:eastAsia="微软雅黑"/>
        </w:rPr>
        <w:t>~</w:t>
      </w:r>
      <w:bookmarkEnd w:id="62"/>
      <w:r>
        <w:rPr>
          <w:rFonts w:hint="eastAsia" w:ascii="Times New Roman"/>
        </w:rPr>
        <w:t xml:space="preserve">15 </w:t>
      </w:r>
      <w:r>
        <w:rPr>
          <w:rFonts w:ascii="Times New Roman"/>
        </w:rPr>
        <w:t>cm。</w:t>
      </w:r>
    </w:p>
    <w:p>
      <w:pPr>
        <w:pStyle w:val="105"/>
        <w:spacing w:before="156" w:after="156"/>
        <w:rPr>
          <w:rFonts w:ascii="Times New Roman"/>
        </w:rPr>
      </w:pPr>
      <w:bookmarkStart w:id="63" w:name="_Toc178000374"/>
      <w:r>
        <w:rPr>
          <w:rFonts w:ascii="Times New Roman"/>
        </w:rPr>
        <w:t>含水量</w:t>
      </w:r>
      <w:bookmarkEnd w:id="63"/>
    </w:p>
    <w:p>
      <w:pPr>
        <w:pStyle w:val="56"/>
        <w:ind w:firstLine="420"/>
        <w:rPr>
          <w:rFonts w:ascii="Times New Roman" w:eastAsia="微软雅黑"/>
        </w:rPr>
      </w:pPr>
      <w:bookmarkStart w:id="64" w:name="_Hlk176820109"/>
      <w:r>
        <w:rPr>
          <w:rFonts w:ascii="Times New Roman"/>
        </w:rPr>
        <w:t>含水量应控制在60%</w:t>
      </w:r>
      <w:r>
        <w:rPr>
          <w:rFonts w:ascii="Times New Roman" w:eastAsia="微软雅黑"/>
        </w:rPr>
        <w:t>~</w:t>
      </w:r>
      <w:r>
        <w:rPr>
          <w:rFonts w:ascii="Times New Roman"/>
        </w:rPr>
        <w:t>70%</w:t>
      </w:r>
      <w:bookmarkEnd w:id="64"/>
      <w:r>
        <w:rPr>
          <w:rFonts w:ascii="Times New Roman"/>
        </w:rPr>
        <w:t>。</w:t>
      </w:r>
    </w:p>
    <w:p>
      <w:pPr>
        <w:pStyle w:val="105"/>
        <w:spacing w:before="156" w:after="156"/>
        <w:rPr>
          <w:rFonts w:ascii="Times New Roman"/>
        </w:rPr>
      </w:pPr>
      <w:bookmarkStart w:id="65" w:name="_Toc178000375"/>
      <w:r>
        <w:rPr>
          <w:rFonts w:ascii="Times New Roman"/>
        </w:rPr>
        <w:t>切碎</w:t>
      </w:r>
      <w:bookmarkEnd w:id="65"/>
    </w:p>
    <w:p>
      <w:pPr>
        <w:pStyle w:val="56"/>
        <w:ind w:firstLine="420"/>
        <w:rPr>
          <w:rFonts w:ascii="Times New Roman"/>
        </w:rPr>
      </w:pPr>
      <w:r>
        <w:rPr>
          <w:rFonts w:hint="eastAsia" w:ascii="Times New Roman"/>
        </w:rPr>
        <w:t>原料切碎</w:t>
      </w:r>
      <w:r>
        <w:rPr>
          <w:rFonts w:ascii="Times New Roman"/>
        </w:rPr>
        <w:t>长度</w:t>
      </w:r>
      <w:r>
        <w:rPr>
          <w:rFonts w:hint="eastAsia" w:ascii="Times New Roman"/>
        </w:rPr>
        <w:t xml:space="preserve">以2 </w:t>
      </w:r>
      <w:r>
        <w:rPr>
          <w:rFonts w:ascii="Times New Roman"/>
        </w:rPr>
        <w:t>cm～</w:t>
      </w:r>
      <w:r>
        <w:rPr>
          <w:rFonts w:hint="eastAsia" w:ascii="Times New Roman"/>
        </w:rPr>
        <w:t xml:space="preserve">3 </w:t>
      </w:r>
      <w:r>
        <w:rPr>
          <w:rFonts w:ascii="Times New Roman"/>
        </w:rPr>
        <w:t>cm</w:t>
      </w:r>
      <w:r>
        <w:rPr>
          <w:rFonts w:hint="eastAsia" w:ascii="Times New Roman"/>
        </w:rPr>
        <w:t>为宜</w:t>
      </w:r>
      <w:r>
        <w:rPr>
          <w:rFonts w:ascii="Times New Roman"/>
        </w:rPr>
        <w:t>。</w:t>
      </w:r>
    </w:p>
    <w:bookmarkEnd w:id="59"/>
    <w:p>
      <w:pPr>
        <w:pStyle w:val="104"/>
        <w:spacing w:before="312" w:after="312"/>
        <w:rPr>
          <w:rFonts w:ascii="Times New Roman"/>
        </w:rPr>
      </w:pPr>
      <w:bookmarkStart w:id="66" w:name="_Toc178000423"/>
      <w:bookmarkStart w:id="67" w:name="_Toc178000376"/>
      <w:bookmarkStart w:id="68" w:name="_Hlk177918482"/>
      <w:r>
        <w:rPr>
          <w:rFonts w:ascii="Times New Roman"/>
        </w:rPr>
        <w:t>饲料桑枝叶青贮制作</w:t>
      </w:r>
      <w:bookmarkEnd w:id="66"/>
      <w:bookmarkEnd w:id="67"/>
    </w:p>
    <w:p>
      <w:pPr>
        <w:pStyle w:val="105"/>
        <w:spacing w:before="156" w:after="156"/>
        <w:rPr>
          <w:rFonts w:ascii="Times New Roman"/>
        </w:rPr>
      </w:pPr>
      <w:bookmarkStart w:id="69" w:name="_Toc178000377"/>
      <w:r>
        <w:rPr>
          <w:rFonts w:ascii="Times New Roman"/>
        </w:rPr>
        <w:t>包材要求</w:t>
      </w:r>
      <w:bookmarkEnd w:id="69"/>
    </w:p>
    <w:p>
      <w:pPr>
        <w:pStyle w:val="56"/>
        <w:ind w:firstLine="420"/>
        <w:rPr>
          <w:rFonts w:ascii="Times New Roman"/>
        </w:rPr>
      </w:pPr>
      <w:r>
        <w:rPr>
          <w:rFonts w:ascii="Times New Roman"/>
        </w:rPr>
        <w:t>裹包用青贮专用拉伸膜应符合 BB/T 0024。</w:t>
      </w:r>
    </w:p>
    <w:p>
      <w:pPr>
        <w:pStyle w:val="105"/>
        <w:spacing w:before="156" w:after="156"/>
      </w:pPr>
      <w:r>
        <w:rPr>
          <w:rFonts w:hint="eastAsia"/>
        </w:rPr>
        <w:t>青贮添加剂使用</w:t>
      </w:r>
    </w:p>
    <w:p>
      <w:pPr>
        <w:pStyle w:val="56"/>
        <w:ind w:firstLine="420"/>
        <w:rPr>
          <w:rFonts w:hint="eastAsia"/>
        </w:rPr>
      </w:pPr>
      <w:r>
        <w:rPr>
          <w:rFonts w:ascii="Times New Roman"/>
        </w:rPr>
        <w:t>在切碎处理</w:t>
      </w:r>
      <w:r>
        <w:rPr>
          <w:rFonts w:hint="eastAsia" w:ascii="Times New Roman"/>
          <w:lang w:val="en-US" w:eastAsia="zh-CN"/>
        </w:rPr>
        <w:t>后</w:t>
      </w:r>
      <w:r>
        <w:rPr>
          <w:rFonts w:ascii="Times New Roman"/>
        </w:rPr>
        <w:t>喷洒青贮添加剂，添加剂的使用应符合</w:t>
      </w:r>
      <w:r>
        <w:rPr>
          <w:rFonts w:hint="eastAsia" w:ascii="Times New Roman"/>
        </w:rPr>
        <w:t>GB/T 22141、GB/T 22142、</w:t>
      </w:r>
      <w:r>
        <w:rPr>
          <w:rFonts w:ascii="Times New Roman"/>
        </w:rPr>
        <w:t>NY/T 1444</w:t>
      </w:r>
      <w:r>
        <w:rPr>
          <w:rFonts w:hint="eastAsia" w:ascii="Times New Roman"/>
        </w:rPr>
        <w:t>的</w:t>
      </w:r>
      <w:r>
        <w:rPr>
          <w:rFonts w:ascii="Times New Roman"/>
        </w:rPr>
        <w:t>规定，其用量与使用方法按照产品说明执行</w:t>
      </w:r>
      <w:r>
        <w:rPr>
          <w:rFonts w:hint="eastAsia" w:ascii="Times New Roman"/>
          <w:lang w:eastAsia="zh-CN"/>
        </w:rPr>
        <w:t>，</w:t>
      </w:r>
      <w:r>
        <w:rPr>
          <w:rFonts w:hint="eastAsia" w:ascii="Times New Roman" w:hAnsi="Times New Roman" w:eastAsia="宋体" w:cs="Times New Roman"/>
        </w:rPr>
        <w:t>添加剂应与原料混匀</w:t>
      </w:r>
      <w:r>
        <w:rPr>
          <w:rFonts w:ascii="Times New Roman"/>
        </w:rPr>
        <w:t>。</w:t>
      </w:r>
    </w:p>
    <w:p>
      <w:pPr>
        <w:pStyle w:val="105"/>
        <w:spacing w:before="156" w:after="156"/>
        <w:rPr>
          <w:rFonts w:ascii="Times New Roman"/>
        </w:rPr>
      </w:pPr>
      <w:bookmarkStart w:id="70" w:name="_Toc178000378"/>
      <w:r>
        <w:rPr>
          <w:rFonts w:ascii="Times New Roman"/>
        </w:rPr>
        <w:t>打捆包膜</w:t>
      </w:r>
      <w:bookmarkEnd w:id="70"/>
    </w:p>
    <w:p>
      <w:pPr>
        <w:pStyle w:val="56"/>
        <w:ind w:firstLine="420"/>
        <w:rPr>
          <w:rFonts w:ascii="Times New Roman"/>
        </w:rPr>
      </w:pPr>
      <w:r>
        <w:rPr>
          <w:rFonts w:ascii="Times New Roman"/>
        </w:rPr>
        <w:t>用打捆机进行高密度压实打捆，压实密度需达到600</w:t>
      </w:r>
      <w:r>
        <w:rPr>
          <w:rFonts w:hint="eastAsia" w:ascii="Times New Roman"/>
        </w:rPr>
        <w:t xml:space="preserve"> </w:t>
      </w:r>
      <w:r>
        <w:rPr>
          <w:rFonts w:ascii="Times New Roman"/>
        </w:rPr>
        <w:t>kg/m</w:t>
      </w:r>
      <w:r>
        <w:rPr>
          <w:rFonts w:ascii="Times New Roman"/>
          <w:vertAlign w:val="superscript"/>
        </w:rPr>
        <w:t>3</w:t>
      </w:r>
      <w:r>
        <w:rPr>
          <w:rFonts w:ascii="Times New Roman"/>
        </w:rPr>
        <w:t>以上。采用裹包机迅速用拉伸膜完成裹包，裹包层数4层～6层。</w:t>
      </w:r>
    </w:p>
    <w:p>
      <w:pPr>
        <w:pStyle w:val="105"/>
        <w:spacing w:before="156" w:after="156"/>
        <w:rPr>
          <w:rFonts w:ascii="Times New Roman"/>
        </w:rPr>
      </w:pPr>
      <w:bookmarkStart w:id="71" w:name="_Toc178000379"/>
      <w:r>
        <w:rPr>
          <w:rFonts w:ascii="Times New Roman"/>
        </w:rPr>
        <w:t>袋贮</w:t>
      </w:r>
      <w:bookmarkEnd w:id="71"/>
    </w:p>
    <w:p>
      <w:pPr>
        <w:pStyle w:val="56"/>
        <w:ind w:firstLine="420"/>
        <w:rPr>
          <w:rFonts w:ascii="Times New Roman"/>
        </w:rPr>
      </w:pPr>
      <w:r>
        <w:rPr>
          <w:rFonts w:ascii="Times New Roman"/>
        </w:rPr>
        <w:t>包装袋长70</w:t>
      </w:r>
      <w:r>
        <w:rPr>
          <w:rFonts w:hint="eastAsia" w:ascii="Times New Roman"/>
        </w:rPr>
        <w:t xml:space="preserve"> </w:t>
      </w:r>
      <w:r>
        <w:rPr>
          <w:rFonts w:ascii="Times New Roman"/>
        </w:rPr>
        <w:t>cm，宽40</w:t>
      </w:r>
      <w:r>
        <w:rPr>
          <w:rFonts w:hint="eastAsia" w:ascii="Times New Roman"/>
        </w:rPr>
        <w:t xml:space="preserve"> </w:t>
      </w:r>
      <w:r>
        <w:rPr>
          <w:rFonts w:ascii="Times New Roman"/>
        </w:rPr>
        <w:t>cm，高30</w:t>
      </w:r>
      <w:r>
        <w:rPr>
          <w:rFonts w:hint="eastAsia" w:ascii="Times New Roman"/>
        </w:rPr>
        <w:t xml:space="preserve"> </w:t>
      </w:r>
      <w:r>
        <w:rPr>
          <w:rFonts w:ascii="Times New Roman"/>
        </w:rPr>
        <w:t>cm，重量约65</w:t>
      </w:r>
      <w:r>
        <w:rPr>
          <w:rFonts w:hint="eastAsia" w:ascii="Times New Roman"/>
        </w:rPr>
        <w:t xml:space="preserve"> </w:t>
      </w:r>
      <w:r>
        <w:rPr>
          <w:rFonts w:ascii="Times New Roman"/>
        </w:rPr>
        <w:t>kg，外层为编织袋，内层为塑料膜。可使用收获、打捆、装袋一体机作业，然后抽掉袋内空气密封。</w:t>
      </w:r>
    </w:p>
    <w:bookmarkEnd w:id="68"/>
    <w:p>
      <w:pPr>
        <w:pStyle w:val="104"/>
        <w:spacing w:before="312" w:after="312"/>
        <w:rPr>
          <w:rFonts w:ascii="Times New Roman"/>
        </w:rPr>
      </w:pPr>
      <w:bookmarkStart w:id="72" w:name="_Toc178000380"/>
      <w:bookmarkStart w:id="73" w:name="_Toc178000424"/>
      <w:bookmarkStart w:id="74" w:name="_Hlk177920063"/>
      <w:r>
        <w:rPr>
          <w:rFonts w:hint="eastAsia" w:ascii="Times New Roman"/>
          <w:lang w:val="en-US" w:eastAsia="zh-CN"/>
        </w:rPr>
        <w:t>档案及</w:t>
      </w:r>
      <w:r>
        <w:rPr>
          <w:rFonts w:ascii="Times New Roman"/>
        </w:rPr>
        <w:t>贮</w:t>
      </w:r>
      <w:r>
        <w:rPr>
          <w:rFonts w:hint="eastAsia" w:ascii="Times New Roman"/>
          <w:lang w:val="en-US" w:eastAsia="zh-CN"/>
        </w:rPr>
        <w:t>后</w:t>
      </w:r>
      <w:r>
        <w:rPr>
          <w:rFonts w:ascii="Times New Roman"/>
        </w:rPr>
        <w:t>管理</w:t>
      </w:r>
      <w:bookmarkEnd w:id="72"/>
      <w:bookmarkEnd w:id="73"/>
    </w:p>
    <w:p>
      <w:pPr>
        <w:pStyle w:val="231"/>
        <w:numPr>
          <w:ilvl w:val="0"/>
          <w:numId w:val="0"/>
        </w:numPr>
        <w:spacing w:before="0" w:beforeLines="0" w:after="0" w:afterLines="0" w:line="360" w:lineRule="auto"/>
        <w:ind w:leftChars="0" w:firstLine="420" w:firstLineChars="200"/>
        <w:outlineLvl w:val="9"/>
        <w:rPr>
          <w:rFonts w:ascii="Times New Roman" w:hAnsi="Times New Roman" w:eastAsia="宋体" w:cs="Times New Roman"/>
          <w:sz w:val="21"/>
          <w:lang w:val="en-US" w:eastAsia="zh-CN" w:bidi="ar-SA"/>
        </w:rPr>
      </w:pPr>
    </w:p>
    <w:p>
      <w:pPr>
        <w:pStyle w:val="231"/>
        <w:numPr>
          <w:ilvl w:val="0"/>
          <w:numId w:val="0"/>
        </w:numPr>
        <w:spacing w:before="0" w:beforeLines="0" w:after="0" w:afterLines="0" w:line="360" w:lineRule="auto"/>
        <w:ind w:leftChars="0"/>
        <w:jc w:val="left"/>
        <w:outlineLvl w:val="9"/>
        <w:rPr>
          <w:rFonts w:hint="eastAsia"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6.1 档案管理</w:t>
      </w:r>
    </w:p>
    <w:p>
      <w:pPr>
        <w:pStyle w:val="231"/>
        <w:numPr>
          <w:ilvl w:val="0"/>
          <w:numId w:val="0"/>
        </w:numPr>
        <w:spacing w:before="0" w:beforeLines="0" w:after="0" w:afterLines="0" w:line="360" w:lineRule="auto"/>
        <w:ind w:leftChars="0" w:firstLine="420" w:firstLineChars="200"/>
        <w:jc w:val="left"/>
        <w:outlineLvl w:val="9"/>
        <w:rPr>
          <w:rFonts w:ascii="Times New Roman" w:hAnsi="Times New Roman" w:eastAsia="宋体"/>
          <w:kern w:val="2"/>
          <w:szCs w:val="22"/>
        </w:rPr>
      </w:pPr>
      <w:r>
        <w:rPr>
          <w:rFonts w:hint="eastAsia" w:ascii="宋体" w:hAnsi="ºÚÌå" w:eastAsia="宋体" w:cs="宋体"/>
          <w:szCs w:val="21"/>
        </w:rPr>
        <w:t>建立</w:t>
      </w:r>
      <w:r>
        <w:rPr>
          <w:rFonts w:hint="eastAsia" w:ascii="宋体" w:hAnsi="ºÚÌå" w:eastAsia="宋体" w:cs="宋体"/>
          <w:szCs w:val="21"/>
          <w:lang w:val="en-US" w:eastAsia="zh-CN"/>
        </w:rPr>
        <w:t>青贮饲料桑</w:t>
      </w:r>
      <w:r>
        <w:rPr>
          <w:rFonts w:hint="eastAsia" w:ascii="Times New Roman" w:hAnsi="Times New Roman" w:eastAsia="宋体"/>
          <w:color w:val="000000"/>
          <w:szCs w:val="21"/>
        </w:rPr>
        <w:t>饲料</w:t>
      </w:r>
      <w:r>
        <w:rPr>
          <w:rFonts w:hint="eastAsia" w:ascii="宋体" w:hAnsi="ºÚÌå" w:eastAsia="宋体" w:cs="宋体"/>
          <w:szCs w:val="21"/>
        </w:rPr>
        <w:t>生产过程档案，包括原料来源地、含水量、</w:t>
      </w:r>
      <w:r>
        <w:rPr>
          <w:rFonts w:hint="eastAsia" w:ascii="宋体" w:hAnsi="ºÚÌå" w:eastAsia="宋体" w:cs="宋体"/>
          <w:szCs w:val="21"/>
          <w:lang w:val="en-US" w:eastAsia="zh-CN"/>
        </w:rPr>
        <w:t>青贮剂</w:t>
      </w:r>
      <w:r>
        <w:rPr>
          <w:rFonts w:hint="eastAsia" w:ascii="宋体" w:hAnsi="ºÚÌå" w:eastAsia="宋体" w:cs="宋体"/>
          <w:szCs w:val="21"/>
        </w:rPr>
        <w:t>种类及添加量、生产日期、生产数量、贮藏地、责任人等信息。档案记录保持</w:t>
      </w:r>
      <w:r>
        <w:rPr>
          <w:rFonts w:ascii="Times New Roman" w:hAnsi="Times New Roman" w:eastAsia="宋体"/>
          <w:kern w:val="2"/>
          <w:szCs w:val="22"/>
        </w:rPr>
        <w:t>2</w:t>
      </w:r>
      <w:r>
        <w:rPr>
          <w:rFonts w:hint="eastAsia" w:ascii="Times New Roman" w:hAnsi="Times New Roman" w:eastAsia="宋体"/>
          <w:kern w:val="2"/>
          <w:szCs w:val="22"/>
        </w:rPr>
        <w:t>年，内容准确、完整、清晰。</w:t>
      </w:r>
    </w:p>
    <w:p>
      <w:pPr>
        <w:pStyle w:val="231"/>
        <w:numPr>
          <w:ilvl w:val="0"/>
          <w:numId w:val="0"/>
        </w:numPr>
        <w:spacing w:before="0" w:beforeLines="0" w:after="0" w:afterLines="0" w:line="360" w:lineRule="auto"/>
        <w:ind w:leftChars="0"/>
        <w:jc w:val="left"/>
        <w:outlineLvl w:val="9"/>
        <w:rPr>
          <w:rFonts w:hint="default"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6.2 贮</w:t>
      </w:r>
      <w:r>
        <w:rPr>
          <w:rFonts w:hint="eastAsia" w:ascii="Times New Roman" w:hAnsi="Times New Roman" w:cs="Times New Roman"/>
          <w:sz w:val="21"/>
          <w:lang w:val="en-US" w:eastAsia="zh-CN" w:bidi="ar-SA"/>
        </w:rPr>
        <w:t>后</w:t>
      </w:r>
      <w:r>
        <w:rPr>
          <w:rFonts w:hint="eastAsia" w:ascii="Times New Roman" w:hAnsi="Times New Roman" w:eastAsia="黑体" w:cs="Times New Roman"/>
          <w:sz w:val="21"/>
          <w:lang w:val="en-US" w:eastAsia="zh-CN" w:bidi="ar-SA"/>
        </w:rPr>
        <w:t>管理</w:t>
      </w:r>
    </w:p>
    <w:p>
      <w:pPr>
        <w:pStyle w:val="231"/>
        <w:numPr>
          <w:ilvl w:val="0"/>
          <w:numId w:val="0"/>
        </w:numPr>
        <w:spacing w:before="0" w:beforeLines="0" w:after="0" w:afterLines="0" w:line="360" w:lineRule="auto"/>
        <w:ind w:leftChars="0" w:firstLine="420" w:firstLineChars="200"/>
        <w:outlineLvl w:val="9"/>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贮后定期检查，如发现破损、漏气等应立即采取填补或粘合措施。袋贮产品应贮存在通风、阴凉、干燥的环境，堆码应离地不少于10</w:t>
      </w:r>
      <w:r>
        <w:rPr>
          <w:rFonts w:hint="eastAsia" w:ascii="Times New Roman" w:hAnsi="Times New Roman" w:eastAsia="宋体" w:cs="Times New Roman"/>
          <w:sz w:val="21"/>
          <w:lang w:val="en-US" w:eastAsia="zh-CN" w:bidi="ar-SA"/>
        </w:rPr>
        <w:t xml:space="preserve"> </w:t>
      </w:r>
      <w:r>
        <w:rPr>
          <w:rFonts w:ascii="Times New Roman" w:hAnsi="Times New Roman" w:eastAsia="宋体" w:cs="Times New Roman"/>
          <w:sz w:val="21"/>
          <w:lang w:val="en-US" w:eastAsia="zh-CN" w:bidi="ar-SA"/>
        </w:rPr>
        <w:t>cm。做好防鼠防鸟等工作</w:t>
      </w:r>
      <w:r>
        <w:rPr>
          <w:rFonts w:hint="eastAsia" w:ascii="Times New Roman" w:hAnsi="Times New Roman" w:eastAsia="宋体" w:cs="Times New Roman"/>
          <w:sz w:val="21"/>
          <w:lang w:val="en-US" w:eastAsia="zh-CN" w:bidi="ar-SA"/>
        </w:rPr>
        <w:t>。开袋后尽快饲喂，未用完的及时密封，防止料面暴露导致第二次发酵</w:t>
      </w:r>
      <w:r>
        <w:rPr>
          <w:rFonts w:ascii="Times New Roman" w:hAnsi="Times New Roman" w:eastAsia="宋体" w:cs="Times New Roman"/>
          <w:sz w:val="21"/>
          <w:lang w:val="en-US" w:eastAsia="zh-CN" w:bidi="ar-SA"/>
        </w:rPr>
        <w:t>。</w:t>
      </w:r>
    </w:p>
    <w:bookmarkEnd w:id="74"/>
    <w:p>
      <w:pPr>
        <w:pStyle w:val="104"/>
        <w:spacing w:before="312" w:after="312"/>
      </w:pPr>
      <w:bookmarkStart w:id="75" w:name="_Toc178000381"/>
      <w:bookmarkStart w:id="76" w:name="_Toc178000425"/>
      <w:bookmarkStart w:id="77" w:name="_Hlk177921320"/>
      <w:r>
        <w:rPr>
          <w:rFonts w:hint="eastAsia"/>
        </w:rPr>
        <w:t>青贮时间</w:t>
      </w:r>
      <w:bookmarkEnd w:id="75"/>
      <w:bookmarkEnd w:id="76"/>
    </w:p>
    <w:p>
      <w:pPr>
        <w:pStyle w:val="56"/>
        <w:ind w:firstLine="420"/>
      </w:pPr>
      <w:r>
        <w:rPr>
          <w:rFonts w:hint="eastAsia"/>
        </w:rPr>
        <w:t>青贮时间为</w:t>
      </w:r>
      <w:r>
        <w:rPr>
          <w:rFonts w:ascii="Times New Roman"/>
        </w:rPr>
        <w:t>40</w:t>
      </w:r>
      <w:r>
        <w:rPr>
          <w:rFonts w:hint="eastAsia" w:ascii="Times New Roman"/>
        </w:rPr>
        <w:t xml:space="preserve"> </w:t>
      </w:r>
      <w:r>
        <w:rPr>
          <w:rFonts w:ascii="Times New Roman"/>
        </w:rPr>
        <w:t>d～45</w:t>
      </w:r>
      <w:r>
        <w:rPr>
          <w:rFonts w:hint="eastAsia" w:ascii="Times New Roman"/>
        </w:rPr>
        <w:t xml:space="preserve"> </w:t>
      </w:r>
      <w:r>
        <w:rPr>
          <w:rFonts w:ascii="Times New Roman"/>
        </w:rPr>
        <w:t>d。</w:t>
      </w:r>
    </w:p>
    <w:bookmarkEnd w:id="77"/>
    <w:p>
      <w:pPr>
        <w:pStyle w:val="104"/>
        <w:spacing w:before="312" w:after="312"/>
        <w:rPr>
          <w:rFonts w:hint="eastAsia"/>
        </w:rPr>
      </w:pPr>
      <w:bookmarkStart w:id="78" w:name="_Toc178000382"/>
      <w:bookmarkStart w:id="79" w:name="_Toc178000426"/>
      <w:bookmarkStart w:id="80" w:name="_Hlk177922320"/>
      <w:bookmarkStart w:id="81" w:name="_Hlk177922278"/>
      <w:r>
        <w:rPr>
          <w:rFonts w:hint="eastAsia"/>
        </w:rPr>
        <w:t>青贮质量要求</w:t>
      </w:r>
      <w:bookmarkEnd w:id="78"/>
      <w:bookmarkEnd w:id="79"/>
    </w:p>
    <w:p>
      <w:pPr>
        <w:pStyle w:val="105"/>
        <w:spacing w:before="156" w:after="156"/>
      </w:pPr>
      <w:bookmarkStart w:id="82" w:name="_Toc178000383"/>
      <w:r>
        <w:rPr>
          <w:rFonts w:hint="eastAsia"/>
        </w:rPr>
        <w:t>感官评价</w:t>
      </w:r>
      <w:bookmarkEnd w:id="82"/>
    </w:p>
    <w:p>
      <w:pPr>
        <w:pStyle w:val="56"/>
        <w:ind w:firstLine="420"/>
        <w:rPr>
          <w:rFonts w:ascii="Times New Roman"/>
        </w:rPr>
      </w:pPr>
      <w:r>
        <w:rPr>
          <w:rFonts w:hint="eastAsia"/>
        </w:rPr>
        <w:t>按照产品的色泽、气味、质地</w:t>
      </w:r>
      <w:r>
        <w:rPr>
          <w:rFonts w:ascii="Times New Roman"/>
        </w:rPr>
        <w:t>和pH值分为优等、中等和劣等。见表1。</w:t>
      </w:r>
    </w:p>
    <w:bookmarkEnd w:id="80"/>
    <w:p>
      <w:pPr>
        <w:spacing w:after="156" w:afterLines="50"/>
        <w:jc w:val="center"/>
        <w:rPr>
          <w:b/>
          <w:bCs/>
        </w:rPr>
      </w:pPr>
      <w:bookmarkStart w:id="83" w:name="_Hlk177922339"/>
      <w:r>
        <w:rPr>
          <w:rFonts w:ascii="Times New Roman" w:hAnsi="Times New Roman" w:eastAsia="黑体"/>
        </w:rPr>
        <w:t>表1 青</w:t>
      </w:r>
      <w:r>
        <w:rPr>
          <w:rFonts w:hint="eastAsia" w:ascii="黑体" w:hAnsi="黑体" w:eastAsia="黑体"/>
        </w:rPr>
        <w:t>贮桑枝叶感官评价标准</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119"/>
        <w:gridCol w:w="2618"/>
        <w:gridCol w:w="2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Pr>
          <w:p>
            <w:pPr>
              <w:jc w:val="center"/>
              <w:rPr>
                <w:rFonts w:ascii="Times New Roman" w:hAnsi="Times New Roman"/>
              </w:rPr>
            </w:pPr>
            <w:r>
              <w:rPr>
                <w:rFonts w:ascii="Times New Roman" w:hAnsi="Times New Roman"/>
              </w:rPr>
              <w:t>项目</w:t>
            </w:r>
          </w:p>
        </w:tc>
        <w:tc>
          <w:tcPr>
            <w:tcW w:w="8073" w:type="dxa"/>
            <w:gridSpan w:val="3"/>
          </w:tcPr>
          <w:p>
            <w:pPr>
              <w:jc w:val="center"/>
              <w:rPr>
                <w:rFonts w:ascii="Times New Roman" w:hAnsi="Times New Roman"/>
              </w:rPr>
            </w:pPr>
            <w:r>
              <w:rPr>
                <w:rFonts w:hint="eastAsia" w:ascii="Times New Roman" w:hAnsi="Times New Roma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Pr>
          <w:p>
            <w:pPr>
              <w:jc w:val="center"/>
              <w:rPr>
                <w:rFonts w:ascii="Times New Roman" w:hAnsi="Times New Roman"/>
              </w:rPr>
            </w:pPr>
          </w:p>
        </w:tc>
        <w:tc>
          <w:tcPr>
            <w:tcW w:w="3119" w:type="dxa"/>
          </w:tcPr>
          <w:p>
            <w:pPr>
              <w:jc w:val="center"/>
              <w:rPr>
                <w:rFonts w:ascii="Times New Roman" w:hAnsi="Times New Roman"/>
              </w:rPr>
            </w:pPr>
            <w:r>
              <w:rPr>
                <w:rFonts w:ascii="Times New Roman" w:hAnsi="Times New Roman"/>
              </w:rPr>
              <w:t>优等</w:t>
            </w:r>
          </w:p>
        </w:tc>
        <w:tc>
          <w:tcPr>
            <w:tcW w:w="2618" w:type="dxa"/>
          </w:tcPr>
          <w:p>
            <w:pPr>
              <w:jc w:val="center"/>
              <w:rPr>
                <w:rFonts w:ascii="Times New Roman" w:hAnsi="Times New Roman"/>
              </w:rPr>
            </w:pPr>
            <w:r>
              <w:rPr>
                <w:rFonts w:ascii="Times New Roman" w:hAnsi="Times New Roman"/>
              </w:rPr>
              <w:t>中等</w:t>
            </w:r>
          </w:p>
        </w:tc>
        <w:tc>
          <w:tcPr>
            <w:tcW w:w="2336" w:type="dxa"/>
          </w:tcPr>
          <w:p>
            <w:pPr>
              <w:jc w:val="center"/>
              <w:rPr>
                <w:rFonts w:ascii="Times New Roman" w:hAnsi="Times New Roman"/>
              </w:rPr>
            </w:pPr>
            <w:r>
              <w:rPr>
                <w:rFonts w:ascii="Times New Roman" w:hAnsi="Times New Roman"/>
              </w:rPr>
              <w:t>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ascii="Times New Roman" w:hAnsi="Times New Roman"/>
              </w:rPr>
            </w:pPr>
            <w:r>
              <w:rPr>
                <w:rFonts w:ascii="Times New Roman" w:hAnsi="Times New Roman"/>
              </w:rPr>
              <w:t>色泽</w:t>
            </w:r>
          </w:p>
        </w:tc>
        <w:tc>
          <w:tcPr>
            <w:tcW w:w="3119" w:type="dxa"/>
          </w:tcPr>
          <w:p>
            <w:pPr>
              <w:jc w:val="center"/>
              <w:rPr>
                <w:rFonts w:ascii="Times New Roman" w:hAnsi="Times New Roman"/>
              </w:rPr>
            </w:pPr>
            <w:r>
              <w:rPr>
                <w:rFonts w:ascii="Times New Roman" w:hAnsi="Times New Roman"/>
              </w:rPr>
              <w:t>呈黄绿色或青绿色</w:t>
            </w:r>
          </w:p>
        </w:tc>
        <w:tc>
          <w:tcPr>
            <w:tcW w:w="2618" w:type="dxa"/>
          </w:tcPr>
          <w:p>
            <w:pPr>
              <w:jc w:val="center"/>
              <w:rPr>
                <w:rFonts w:ascii="Times New Roman" w:hAnsi="Times New Roman"/>
              </w:rPr>
            </w:pPr>
            <w:r>
              <w:rPr>
                <w:rFonts w:ascii="Times New Roman" w:hAnsi="Times New Roman"/>
              </w:rPr>
              <w:t>呈黄褐色或暗绿色</w:t>
            </w:r>
          </w:p>
        </w:tc>
        <w:tc>
          <w:tcPr>
            <w:tcW w:w="2336" w:type="dxa"/>
          </w:tcPr>
          <w:p>
            <w:pPr>
              <w:jc w:val="center"/>
              <w:rPr>
                <w:rFonts w:ascii="Times New Roman" w:hAnsi="Times New Roman"/>
              </w:rPr>
            </w:pPr>
            <w:r>
              <w:rPr>
                <w:rFonts w:ascii="Times New Roman" w:hAnsi="Times New Roman"/>
              </w:rPr>
              <w:t>呈褐色或黑色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1" w:type="dxa"/>
          </w:tcPr>
          <w:p>
            <w:pPr>
              <w:jc w:val="center"/>
              <w:rPr>
                <w:rFonts w:ascii="Times New Roman" w:hAnsi="Times New Roman"/>
              </w:rPr>
            </w:pPr>
            <w:r>
              <w:rPr>
                <w:rFonts w:ascii="Times New Roman" w:hAnsi="Times New Roman"/>
              </w:rPr>
              <w:t>气味</w:t>
            </w:r>
          </w:p>
        </w:tc>
        <w:tc>
          <w:tcPr>
            <w:tcW w:w="3119" w:type="dxa"/>
          </w:tcPr>
          <w:p>
            <w:pPr>
              <w:jc w:val="center"/>
              <w:rPr>
                <w:rFonts w:ascii="Times New Roman" w:hAnsi="Times New Roman"/>
              </w:rPr>
            </w:pPr>
            <w:r>
              <w:rPr>
                <w:rFonts w:ascii="Times New Roman" w:hAnsi="Times New Roman"/>
              </w:rPr>
              <w:t>呈酸香味，略带水果香味</w:t>
            </w:r>
          </w:p>
        </w:tc>
        <w:tc>
          <w:tcPr>
            <w:tcW w:w="2618" w:type="dxa"/>
          </w:tcPr>
          <w:p>
            <w:pPr>
              <w:jc w:val="center"/>
              <w:rPr>
                <w:rFonts w:ascii="Times New Roman" w:hAnsi="Times New Roman"/>
              </w:rPr>
            </w:pPr>
            <w:r>
              <w:rPr>
                <w:rFonts w:ascii="Times New Roman" w:hAnsi="Times New Roman"/>
              </w:rPr>
              <w:t>酸香味中等，刺鼻，稍有酒味</w:t>
            </w:r>
          </w:p>
        </w:tc>
        <w:tc>
          <w:tcPr>
            <w:tcW w:w="2336" w:type="dxa"/>
          </w:tcPr>
          <w:p>
            <w:pPr>
              <w:jc w:val="center"/>
              <w:rPr>
                <w:rFonts w:ascii="Times New Roman" w:hAnsi="Times New Roman"/>
              </w:rPr>
            </w:pPr>
            <w:r>
              <w:rPr>
                <w:rFonts w:ascii="Times New Roman" w:hAnsi="Times New Roman"/>
              </w:rPr>
              <w:t>刺鼻的臭味或腐烂味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ascii="Times New Roman" w:hAnsi="Times New Roman"/>
              </w:rPr>
            </w:pPr>
            <w:r>
              <w:rPr>
                <w:rFonts w:ascii="Times New Roman" w:hAnsi="Times New Roman"/>
              </w:rPr>
              <w:t>质地</w:t>
            </w:r>
          </w:p>
        </w:tc>
        <w:tc>
          <w:tcPr>
            <w:tcW w:w="3119" w:type="dxa"/>
          </w:tcPr>
          <w:p>
            <w:pPr>
              <w:jc w:val="center"/>
              <w:rPr>
                <w:rFonts w:ascii="Times New Roman" w:hAnsi="Times New Roman"/>
              </w:rPr>
            </w:pPr>
            <w:r>
              <w:rPr>
                <w:rFonts w:ascii="Times New Roman" w:hAnsi="Times New Roman"/>
              </w:rPr>
              <w:t>柔软湿润，原料茎、叶保持原样，松散不成团，用力捏可捏出水滴</w:t>
            </w:r>
          </w:p>
        </w:tc>
        <w:tc>
          <w:tcPr>
            <w:tcW w:w="2618" w:type="dxa"/>
          </w:tcPr>
          <w:p>
            <w:pPr>
              <w:jc w:val="center"/>
              <w:rPr>
                <w:rFonts w:ascii="Times New Roman" w:hAnsi="Times New Roman"/>
              </w:rPr>
            </w:pPr>
            <w:r>
              <w:rPr>
                <w:rFonts w:ascii="Times New Roman" w:hAnsi="Times New Roman"/>
              </w:rPr>
              <w:t>柔软，水分稍多，原料茎、叶保持原状</w:t>
            </w:r>
          </w:p>
        </w:tc>
        <w:tc>
          <w:tcPr>
            <w:tcW w:w="2336" w:type="dxa"/>
          </w:tcPr>
          <w:p>
            <w:pPr>
              <w:jc w:val="center"/>
              <w:rPr>
                <w:rFonts w:ascii="Times New Roman" w:hAnsi="Times New Roman"/>
              </w:rPr>
            </w:pPr>
            <w:r>
              <w:rPr>
                <w:rFonts w:ascii="Times New Roman" w:hAnsi="Times New Roman"/>
              </w:rPr>
              <w:t>腐烂、粘连成块或滴水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ascii="Times New Roman" w:hAnsi="Times New Roman"/>
              </w:rPr>
            </w:pPr>
            <w:r>
              <w:rPr>
                <w:rFonts w:ascii="Times New Roman" w:hAnsi="Times New Roman" w:eastAsia="等线"/>
              </w:rPr>
              <w:t>pH</w:t>
            </w:r>
          </w:p>
        </w:tc>
        <w:tc>
          <w:tcPr>
            <w:tcW w:w="3119" w:type="dxa"/>
          </w:tcPr>
          <w:p>
            <w:pPr>
              <w:jc w:val="center"/>
              <w:rPr>
                <w:rFonts w:ascii="Times New Roman" w:hAnsi="Times New Roman"/>
              </w:rPr>
            </w:pPr>
            <w:r>
              <w:rPr>
                <w:rFonts w:ascii="Times New Roman" w:hAnsi="Times New Roman" w:eastAsia="等线"/>
              </w:rPr>
              <w:t>4.0</w:t>
            </w:r>
            <w:r>
              <w:rPr>
                <w:rFonts w:ascii="Times New Roman" w:hAnsi="Times New Roman" w:eastAsia="微软雅黑"/>
              </w:rPr>
              <w:t>~</w:t>
            </w:r>
            <w:r>
              <w:rPr>
                <w:rFonts w:ascii="Times New Roman" w:hAnsi="Times New Roman" w:eastAsia="等线"/>
              </w:rPr>
              <w:t>4.2</w:t>
            </w:r>
          </w:p>
        </w:tc>
        <w:tc>
          <w:tcPr>
            <w:tcW w:w="2618" w:type="dxa"/>
          </w:tcPr>
          <w:p>
            <w:pPr>
              <w:jc w:val="center"/>
              <w:rPr>
                <w:rFonts w:ascii="Times New Roman" w:hAnsi="Times New Roman"/>
              </w:rPr>
            </w:pPr>
            <w:r>
              <w:rPr>
                <w:rFonts w:ascii="Times New Roman" w:hAnsi="Times New Roman" w:eastAsia="等线"/>
              </w:rPr>
              <w:t>4.2</w:t>
            </w:r>
            <w:r>
              <w:rPr>
                <w:rFonts w:ascii="Times New Roman" w:hAnsi="Times New Roman" w:eastAsia="微软雅黑"/>
              </w:rPr>
              <w:t>~</w:t>
            </w:r>
            <w:r>
              <w:rPr>
                <w:rFonts w:ascii="Times New Roman" w:hAnsi="Times New Roman" w:eastAsia="等线"/>
              </w:rPr>
              <w:t>4.4</w:t>
            </w:r>
          </w:p>
        </w:tc>
        <w:tc>
          <w:tcPr>
            <w:tcW w:w="2336" w:type="dxa"/>
          </w:tcPr>
          <w:p>
            <w:pPr>
              <w:jc w:val="center"/>
              <w:rPr>
                <w:rFonts w:ascii="Times New Roman" w:hAnsi="Times New Roman"/>
              </w:rPr>
            </w:pPr>
            <w:r>
              <w:rPr>
                <w:rFonts w:ascii="Times New Roman" w:hAnsi="Times New Roman" w:eastAsia="等线"/>
              </w:rPr>
              <w:t>4.5以</w:t>
            </w:r>
            <w:r>
              <w:rPr>
                <w:rFonts w:ascii="Times New Roman" w:hAnsi="Times New Roman"/>
              </w:rPr>
              <w:t>上</w:t>
            </w:r>
          </w:p>
        </w:tc>
      </w:tr>
      <w:bookmarkEnd w:id="83"/>
    </w:tbl>
    <w:p>
      <w:pPr>
        <w:pStyle w:val="105"/>
        <w:spacing w:before="156" w:after="156"/>
      </w:pPr>
      <w:bookmarkStart w:id="84" w:name="_Toc178000384"/>
      <w:bookmarkStart w:id="85" w:name="_Hlk177922387"/>
      <w:r>
        <w:rPr>
          <w:rFonts w:hint="eastAsia"/>
        </w:rPr>
        <w:t>理化指标</w:t>
      </w:r>
      <w:bookmarkEnd w:id="84"/>
    </w:p>
    <w:p>
      <w:pPr>
        <w:pStyle w:val="56"/>
        <w:ind w:firstLine="420"/>
      </w:pPr>
      <w:r>
        <w:rPr>
          <w:rFonts w:hint="eastAsia"/>
        </w:rPr>
        <w:t>根据青贮饲料的水分、粗蛋白、粗纤维</w:t>
      </w:r>
      <w:r>
        <w:rPr>
          <w:rFonts w:hint="eastAsia"/>
          <w:lang w:eastAsia="zh-CN"/>
        </w:rPr>
        <w:t>、</w:t>
      </w:r>
      <w:r>
        <w:rPr>
          <w:rFonts w:hint="eastAsia"/>
        </w:rPr>
        <w:t>粗灰分</w:t>
      </w:r>
      <w:r>
        <w:rPr>
          <w:rFonts w:hint="eastAsia"/>
          <w:lang w:eastAsia="zh-CN"/>
        </w:rPr>
        <w:t>、</w:t>
      </w:r>
      <w:r>
        <w:rPr>
          <w:rFonts w:hint="eastAsia" w:ascii="Times New Roman" w:hAnsi="Times New Roman" w:eastAsia="宋体" w:cs="Times New Roman"/>
        </w:rPr>
        <w:t>氨态氮的</w:t>
      </w:r>
      <w:r>
        <w:rPr>
          <w:rFonts w:hint="eastAsia"/>
        </w:rPr>
        <w:t>含量分为特级、一级、二级、和三级。见表</w:t>
      </w:r>
      <w:r>
        <w:rPr>
          <w:rFonts w:ascii="Times New Roman"/>
        </w:rPr>
        <w:t>2</w:t>
      </w:r>
      <w:r>
        <w:rPr>
          <w:rFonts w:hint="eastAsia"/>
        </w:rPr>
        <w:t>。</w:t>
      </w:r>
    </w:p>
    <w:bookmarkEnd w:id="85"/>
    <w:p>
      <w:pPr>
        <w:spacing w:before="156" w:beforeLines="50" w:after="156" w:afterLines="50"/>
        <w:jc w:val="center"/>
        <w:rPr>
          <w:b/>
          <w:bCs/>
        </w:rPr>
      </w:pPr>
      <w:bookmarkStart w:id="86" w:name="_Hlk177922401"/>
      <w:r>
        <w:rPr>
          <w:rFonts w:ascii="Times New Roman" w:hAnsi="Times New Roman" w:eastAsia="黑体"/>
        </w:rPr>
        <w:t>表2</w:t>
      </w:r>
      <w:r>
        <w:rPr>
          <w:rFonts w:ascii="黑体" w:hAnsi="黑体" w:eastAsia="黑体"/>
        </w:rPr>
        <w:t xml:space="preserve"> </w:t>
      </w:r>
      <w:r>
        <w:rPr>
          <w:rFonts w:hint="eastAsia" w:ascii="黑体" w:hAnsi="黑体" w:eastAsia="黑体"/>
        </w:rPr>
        <w:t>青贮桑枝叶理化指标评价标准</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985"/>
        <w:gridCol w:w="1910"/>
        <w:gridCol w:w="1863"/>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vMerge w:val="restart"/>
          </w:tcPr>
          <w:p>
            <w:pPr>
              <w:jc w:val="center"/>
              <w:rPr>
                <w:rFonts w:ascii="Times New Roman" w:hAnsi="Times New Roman"/>
              </w:rPr>
            </w:pPr>
            <w:r>
              <w:rPr>
                <w:rFonts w:ascii="Times New Roman" w:hAnsi="Times New Roman"/>
              </w:rPr>
              <w:t>项目</w:t>
            </w:r>
          </w:p>
        </w:tc>
        <w:tc>
          <w:tcPr>
            <w:tcW w:w="7506" w:type="dxa"/>
            <w:gridSpan w:val="4"/>
          </w:tcPr>
          <w:p>
            <w:pPr>
              <w:jc w:val="center"/>
              <w:rPr>
                <w:rFonts w:ascii="Times New Roman" w:hAnsi="Times New Roman"/>
              </w:rPr>
            </w:pPr>
            <w:r>
              <w:rPr>
                <w:rFonts w:hint="eastAsia" w:ascii="Times New Roman" w:hAnsi="Times New Roma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vMerge w:val="continue"/>
          </w:tcPr>
          <w:p>
            <w:pPr>
              <w:jc w:val="center"/>
              <w:rPr>
                <w:rFonts w:ascii="Times New Roman" w:hAnsi="Times New Roman"/>
              </w:rPr>
            </w:pPr>
          </w:p>
        </w:tc>
        <w:tc>
          <w:tcPr>
            <w:tcW w:w="1985" w:type="dxa"/>
          </w:tcPr>
          <w:p>
            <w:pPr>
              <w:jc w:val="center"/>
              <w:rPr>
                <w:rFonts w:ascii="Times New Roman" w:hAnsi="Times New Roman"/>
              </w:rPr>
            </w:pPr>
            <w:r>
              <w:rPr>
                <w:rFonts w:ascii="Times New Roman" w:hAnsi="Times New Roman"/>
              </w:rPr>
              <w:t>特级</w:t>
            </w:r>
          </w:p>
        </w:tc>
        <w:tc>
          <w:tcPr>
            <w:tcW w:w="1910" w:type="dxa"/>
          </w:tcPr>
          <w:p>
            <w:pPr>
              <w:jc w:val="center"/>
              <w:rPr>
                <w:rFonts w:ascii="Times New Roman" w:hAnsi="Times New Roman"/>
              </w:rPr>
            </w:pPr>
            <w:r>
              <w:rPr>
                <w:rFonts w:ascii="Times New Roman" w:hAnsi="Times New Roman"/>
              </w:rPr>
              <w:t>一级</w:t>
            </w:r>
          </w:p>
        </w:tc>
        <w:tc>
          <w:tcPr>
            <w:tcW w:w="1863" w:type="dxa"/>
          </w:tcPr>
          <w:p>
            <w:pPr>
              <w:jc w:val="center"/>
              <w:rPr>
                <w:rFonts w:ascii="Times New Roman" w:hAnsi="Times New Roman"/>
              </w:rPr>
            </w:pPr>
            <w:r>
              <w:rPr>
                <w:rFonts w:ascii="Times New Roman" w:hAnsi="Times New Roman"/>
              </w:rPr>
              <w:t>二级</w:t>
            </w:r>
          </w:p>
        </w:tc>
        <w:tc>
          <w:tcPr>
            <w:tcW w:w="1748" w:type="dxa"/>
          </w:tcPr>
          <w:p>
            <w:pPr>
              <w:jc w:val="center"/>
              <w:rPr>
                <w:rFonts w:ascii="Times New Roman" w:hAnsi="Times New Roman"/>
              </w:rPr>
            </w:pPr>
            <w:r>
              <w:rPr>
                <w:rFonts w:ascii="Times New Roman" w:hAnsi="Times New Roman"/>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jc w:val="center"/>
              <w:rPr>
                <w:rFonts w:ascii="Times New Roman" w:hAnsi="Times New Roman"/>
              </w:rPr>
            </w:pPr>
            <w:r>
              <w:rPr>
                <w:rFonts w:ascii="Times New Roman" w:hAnsi="Times New Roman"/>
              </w:rPr>
              <w:t xml:space="preserve">水分/%   </w:t>
            </w:r>
            <w:r>
              <w:rPr>
                <w:rFonts w:hint="eastAsia" w:ascii="宋体" w:hAnsi="宋体" w:cs="宋体"/>
              </w:rPr>
              <w:t>≦</w:t>
            </w:r>
          </w:p>
        </w:tc>
        <w:tc>
          <w:tcPr>
            <w:tcW w:w="1985" w:type="dxa"/>
          </w:tcPr>
          <w:p>
            <w:pPr>
              <w:jc w:val="center"/>
              <w:rPr>
                <w:rFonts w:ascii="Times New Roman" w:hAnsi="Times New Roman"/>
              </w:rPr>
            </w:pPr>
            <w:r>
              <w:rPr>
                <w:rFonts w:ascii="Times New Roman" w:hAnsi="Times New Roman"/>
              </w:rPr>
              <w:t>68.0</w:t>
            </w:r>
          </w:p>
        </w:tc>
        <w:tc>
          <w:tcPr>
            <w:tcW w:w="1910" w:type="dxa"/>
          </w:tcPr>
          <w:p>
            <w:pPr>
              <w:jc w:val="center"/>
              <w:rPr>
                <w:rFonts w:ascii="Times New Roman" w:hAnsi="Times New Roman"/>
              </w:rPr>
            </w:pPr>
            <w:r>
              <w:rPr>
                <w:rFonts w:ascii="Times New Roman" w:hAnsi="Times New Roman"/>
              </w:rPr>
              <w:t>70.0</w:t>
            </w:r>
          </w:p>
        </w:tc>
        <w:tc>
          <w:tcPr>
            <w:tcW w:w="1863" w:type="dxa"/>
          </w:tcPr>
          <w:p>
            <w:pPr>
              <w:jc w:val="center"/>
              <w:rPr>
                <w:rFonts w:ascii="Times New Roman" w:hAnsi="Times New Roman"/>
              </w:rPr>
            </w:pPr>
            <w:r>
              <w:rPr>
                <w:rFonts w:ascii="Times New Roman" w:hAnsi="Times New Roman"/>
              </w:rPr>
              <w:t>72.0</w:t>
            </w:r>
          </w:p>
        </w:tc>
        <w:tc>
          <w:tcPr>
            <w:tcW w:w="1748" w:type="dxa"/>
          </w:tcPr>
          <w:p>
            <w:pPr>
              <w:jc w:val="center"/>
              <w:rPr>
                <w:rFonts w:ascii="Times New Roman" w:hAnsi="Times New Roman"/>
              </w:rPr>
            </w:pPr>
            <w:r>
              <w:rPr>
                <w:rFonts w:ascii="Times New Roman" w:hAnsi="Times New Roman"/>
              </w:rPr>
              <w:t>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jc w:val="center"/>
              <w:rPr>
                <w:rFonts w:ascii="Times New Roman" w:hAnsi="Times New Roman"/>
              </w:rPr>
            </w:pPr>
            <w:r>
              <w:rPr>
                <w:rFonts w:ascii="Times New Roman" w:hAnsi="Times New Roman"/>
              </w:rPr>
              <w:t xml:space="preserve">粗蛋白/%  </w:t>
            </w:r>
            <w:r>
              <w:rPr>
                <w:rFonts w:hint="eastAsia" w:ascii="宋体" w:hAnsi="宋体" w:cs="宋体"/>
              </w:rPr>
              <w:t>≧</w:t>
            </w:r>
          </w:p>
        </w:tc>
        <w:tc>
          <w:tcPr>
            <w:tcW w:w="1985" w:type="dxa"/>
          </w:tcPr>
          <w:p>
            <w:pPr>
              <w:jc w:val="center"/>
              <w:rPr>
                <w:rFonts w:ascii="Times New Roman" w:hAnsi="Times New Roman"/>
              </w:rPr>
            </w:pPr>
            <w:r>
              <w:rPr>
                <w:rFonts w:hint="eastAsia" w:ascii="Times New Roman" w:hAnsi="Times New Roman"/>
                <w:lang w:val="en-US" w:eastAsia="zh-CN"/>
              </w:rPr>
              <w:t>10</w:t>
            </w:r>
            <w:r>
              <w:rPr>
                <w:rFonts w:ascii="Times New Roman" w:hAnsi="Times New Roman"/>
              </w:rPr>
              <w:t>.0</w:t>
            </w:r>
          </w:p>
        </w:tc>
        <w:tc>
          <w:tcPr>
            <w:tcW w:w="1910" w:type="dxa"/>
          </w:tcPr>
          <w:p>
            <w:pPr>
              <w:jc w:val="center"/>
              <w:rPr>
                <w:rFonts w:ascii="Times New Roman" w:hAnsi="Times New Roman"/>
              </w:rPr>
            </w:pPr>
            <w:r>
              <w:rPr>
                <w:rFonts w:hint="eastAsia" w:ascii="Times New Roman" w:hAnsi="Times New Roman"/>
                <w:lang w:val="en-US" w:eastAsia="zh-CN"/>
              </w:rPr>
              <w:t>8</w:t>
            </w:r>
            <w:r>
              <w:rPr>
                <w:rFonts w:ascii="Times New Roman" w:hAnsi="Times New Roman"/>
              </w:rPr>
              <w:t>.0</w:t>
            </w:r>
          </w:p>
        </w:tc>
        <w:tc>
          <w:tcPr>
            <w:tcW w:w="1863" w:type="dxa"/>
          </w:tcPr>
          <w:p>
            <w:pPr>
              <w:jc w:val="center"/>
              <w:rPr>
                <w:rFonts w:ascii="Times New Roman" w:hAnsi="Times New Roman"/>
              </w:rPr>
            </w:pPr>
            <w:r>
              <w:rPr>
                <w:rFonts w:hint="eastAsia" w:ascii="Times New Roman" w:hAnsi="Times New Roman"/>
                <w:lang w:val="en-US" w:eastAsia="zh-CN"/>
              </w:rPr>
              <w:t>6</w:t>
            </w:r>
            <w:r>
              <w:rPr>
                <w:rFonts w:ascii="Times New Roman" w:hAnsi="Times New Roman"/>
              </w:rPr>
              <w:t>.0</w:t>
            </w:r>
          </w:p>
        </w:tc>
        <w:tc>
          <w:tcPr>
            <w:tcW w:w="1748" w:type="dxa"/>
          </w:tcPr>
          <w:p>
            <w:pPr>
              <w:jc w:val="center"/>
              <w:rPr>
                <w:rFonts w:ascii="Times New Roman" w:hAnsi="Times New Roman"/>
              </w:rPr>
            </w:pPr>
            <w:r>
              <w:rPr>
                <w:rFonts w:hint="eastAsia" w:ascii="Times New Roman" w:hAnsi="Times New Roman"/>
                <w:lang w:val="en-US" w:eastAsia="zh-CN"/>
              </w:rPr>
              <w:t>4</w:t>
            </w:r>
            <w:r>
              <w:rPr>
                <w:rFonts w:ascii="Times New Roman" w:hAnsi="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jc w:val="center"/>
              <w:rPr>
                <w:rFonts w:ascii="Times New Roman" w:hAnsi="Times New Roman"/>
              </w:rPr>
            </w:pPr>
            <w:r>
              <w:rPr>
                <w:rFonts w:ascii="Times New Roman" w:hAnsi="Times New Roman"/>
              </w:rPr>
              <w:t xml:space="preserve">粗纤维/%  </w:t>
            </w:r>
            <w:r>
              <w:rPr>
                <w:rFonts w:hint="eastAsia" w:ascii="宋体" w:hAnsi="宋体" w:cs="宋体"/>
              </w:rPr>
              <w:t>≦</w:t>
            </w:r>
          </w:p>
        </w:tc>
        <w:tc>
          <w:tcPr>
            <w:tcW w:w="1985" w:type="dxa"/>
          </w:tcPr>
          <w:p>
            <w:pPr>
              <w:jc w:val="center"/>
              <w:rPr>
                <w:rFonts w:ascii="Times New Roman" w:hAnsi="Times New Roman"/>
              </w:rPr>
            </w:pPr>
            <w:r>
              <w:rPr>
                <w:rFonts w:ascii="Times New Roman" w:hAnsi="Times New Roman"/>
              </w:rPr>
              <w:t>44.0</w:t>
            </w:r>
          </w:p>
        </w:tc>
        <w:tc>
          <w:tcPr>
            <w:tcW w:w="1910" w:type="dxa"/>
          </w:tcPr>
          <w:p>
            <w:pPr>
              <w:jc w:val="center"/>
              <w:rPr>
                <w:rFonts w:ascii="Times New Roman" w:hAnsi="Times New Roman"/>
              </w:rPr>
            </w:pPr>
            <w:r>
              <w:rPr>
                <w:rFonts w:ascii="Times New Roman" w:hAnsi="Times New Roman"/>
              </w:rPr>
              <w:t>4</w:t>
            </w:r>
            <w:r>
              <w:rPr>
                <w:rFonts w:hint="eastAsia" w:ascii="Times New Roman" w:hAnsi="Times New Roman"/>
                <w:lang w:val="en-US" w:eastAsia="zh-CN"/>
              </w:rPr>
              <w:t>6</w:t>
            </w:r>
            <w:r>
              <w:rPr>
                <w:rFonts w:ascii="Times New Roman" w:hAnsi="Times New Roman"/>
              </w:rPr>
              <w:t>.0</w:t>
            </w:r>
          </w:p>
        </w:tc>
        <w:tc>
          <w:tcPr>
            <w:tcW w:w="1863" w:type="dxa"/>
          </w:tcPr>
          <w:p>
            <w:pPr>
              <w:jc w:val="center"/>
              <w:rPr>
                <w:rFonts w:ascii="Times New Roman" w:hAnsi="Times New Roman"/>
              </w:rPr>
            </w:pPr>
            <w:r>
              <w:rPr>
                <w:rFonts w:ascii="Times New Roman" w:hAnsi="Times New Roman"/>
              </w:rPr>
              <w:t>4</w:t>
            </w:r>
            <w:r>
              <w:rPr>
                <w:rFonts w:hint="eastAsia" w:ascii="Times New Roman" w:hAnsi="Times New Roman"/>
                <w:lang w:val="en-US" w:eastAsia="zh-CN"/>
              </w:rPr>
              <w:t>8</w:t>
            </w:r>
            <w:r>
              <w:rPr>
                <w:rFonts w:ascii="Times New Roman" w:hAnsi="Times New Roman"/>
              </w:rPr>
              <w:t>.0</w:t>
            </w:r>
          </w:p>
        </w:tc>
        <w:tc>
          <w:tcPr>
            <w:tcW w:w="1748" w:type="dxa"/>
          </w:tcPr>
          <w:p>
            <w:pPr>
              <w:jc w:val="center"/>
              <w:rPr>
                <w:rFonts w:ascii="Times New Roman" w:hAnsi="Times New Roman"/>
              </w:rPr>
            </w:pPr>
            <w:r>
              <w:rPr>
                <w:rFonts w:hint="eastAsia" w:ascii="Times New Roman" w:hAnsi="Times New Roman"/>
                <w:lang w:val="en-US" w:eastAsia="zh-CN"/>
              </w:rPr>
              <w:t>50</w:t>
            </w:r>
            <w:r>
              <w:rPr>
                <w:rFonts w:ascii="Times New Roman" w:hAnsi="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jc w:val="center"/>
              <w:rPr>
                <w:rFonts w:ascii="Times New Roman" w:hAnsi="Times New Roman"/>
              </w:rPr>
            </w:pPr>
            <w:r>
              <w:rPr>
                <w:rFonts w:ascii="Times New Roman" w:hAnsi="Times New Roman"/>
              </w:rPr>
              <w:t xml:space="preserve">粗灰分/%  </w:t>
            </w:r>
            <w:r>
              <w:rPr>
                <w:rFonts w:hint="eastAsia" w:ascii="宋体" w:hAnsi="宋体" w:cs="宋体"/>
              </w:rPr>
              <w:t>≦</w:t>
            </w:r>
          </w:p>
        </w:tc>
        <w:tc>
          <w:tcPr>
            <w:tcW w:w="1985" w:type="dxa"/>
          </w:tcPr>
          <w:p>
            <w:pPr>
              <w:jc w:val="center"/>
              <w:rPr>
                <w:rFonts w:ascii="Times New Roman" w:hAnsi="Times New Roman"/>
              </w:rPr>
            </w:pPr>
            <w:r>
              <w:rPr>
                <w:rFonts w:ascii="Times New Roman" w:hAnsi="Times New Roman"/>
              </w:rPr>
              <w:t>7.0</w:t>
            </w:r>
          </w:p>
        </w:tc>
        <w:tc>
          <w:tcPr>
            <w:tcW w:w="1910" w:type="dxa"/>
          </w:tcPr>
          <w:p>
            <w:pPr>
              <w:jc w:val="center"/>
              <w:rPr>
                <w:rFonts w:ascii="Times New Roman" w:hAnsi="Times New Roman"/>
              </w:rPr>
            </w:pPr>
            <w:r>
              <w:rPr>
                <w:rFonts w:ascii="Times New Roman" w:hAnsi="Times New Roman"/>
              </w:rPr>
              <w:t>8.0</w:t>
            </w:r>
          </w:p>
        </w:tc>
        <w:tc>
          <w:tcPr>
            <w:tcW w:w="1863" w:type="dxa"/>
          </w:tcPr>
          <w:p>
            <w:pPr>
              <w:jc w:val="center"/>
              <w:rPr>
                <w:rFonts w:ascii="Times New Roman" w:hAnsi="Times New Roman"/>
              </w:rPr>
            </w:pPr>
            <w:r>
              <w:rPr>
                <w:rFonts w:ascii="Times New Roman" w:hAnsi="Times New Roman"/>
              </w:rPr>
              <w:t>9.0</w:t>
            </w:r>
          </w:p>
        </w:tc>
        <w:tc>
          <w:tcPr>
            <w:tcW w:w="1748" w:type="dxa"/>
          </w:tcPr>
          <w:p>
            <w:pPr>
              <w:jc w:val="center"/>
              <w:rPr>
                <w:rFonts w:ascii="Times New Roman" w:hAnsi="Times New Roman"/>
              </w:rPr>
            </w:pPr>
            <w:r>
              <w:rPr>
                <w:rFonts w:ascii="Times New Roman" w:hAnsi="Times New Roma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jc w:val="center"/>
              <w:rPr>
                <w:rFonts w:ascii="Times New Roman" w:hAnsi="Times New Roman"/>
              </w:rPr>
            </w:pPr>
            <w:r>
              <w:rPr>
                <w:rFonts w:hint="eastAsia" w:ascii="Times New Roman" w:hAnsi="Times New Roman" w:eastAsia="宋体" w:cs="Times New Roman"/>
                <w:color w:val="000000"/>
                <w:kern w:val="0"/>
                <w:szCs w:val="21"/>
              </w:rPr>
              <w:t>氨态氮/总氮/</w:t>
            </w:r>
            <w:r>
              <w:rPr>
                <w:rFonts w:ascii="Times New Roman" w:hAnsi="Times New Roman" w:eastAsia="宋体" w:cs="Times New Roman"/>
                <w:color w:val="000000"/>
                <w:kern w:val="0"/>
                <w:szCs w:val="21"/>
              </w:rPr>
              <w:t>%</w:t>
            </w:r>
          </w:p>
        </w:tc>
        <w:tc>
          <w:tcPr>
            <w:tcW w:w="1985" w:type="dxa"/>
          </w:tcPr>
          <w:p>
            <w:pPr>
              <w:jc w:val="center"/>
              <w:rPr>
                <w:rFonts w:ascii="Times New Roman" w:hAnsi="Times New Roman"/>
              </w:rPr>
            </w:pPr>
            <w:r>
              <w:rPr>
                <w:rFonts w:hint="eastAsia" w:ascii="宋体" w:hAnsi="宋体" w:eastAsia="宋体" w:cs="Times New Roman"/>
                <w:color w:val="000000"/>
                <w:kern w:val="0"/>
                <w:szCs w:val="21"/>
              </w:rPr>
              <w:t>＜5</w:t>
            </w:r>
          </w:p>
        </w:tc>
        <w:tc>
          <w:tcPr>
            <w:tcW w:w="1910" w:type="dxa"/>
          </w:tcPr>
          <w:p>
            <w:pPr>
              <w:jc w:val="center"/>
              <w:rPr>
                <w:rFonts w:ascii="Times New Roman" w:hAnsi="Times New Roman"/>
              </w:rPr>
            </w:pPr>
            <w:r>
              <w:rPr>
                <w:rFonts w:hint="eastAsia" w:ascii="Times New Roman" w:hAnsi="Times New Roman" w:eastAsia="宋体" w:cs="Times New Roman"/>
              </w:rPr>
              <w:t>5～1</w:t>
            </w:r>
            <w:r>
              <w:rPr>
                <w:rFonts w:ascii="Times New Roman" w:hAnsi="Times New Roman" w:eastAsia="宋体" w:cs="Times New Roman"/>
              </w:rPr>
              <w:t>0</w:t>
            </w:r>
          </w:p>
        </w:tc>
        <w:tc>
          <w:tcPr>
            <w:tcW w:w="1863" w:type="dxa"/>
          </w:tcPr>
          <w:p>
            <w:pPr>
              <w:jc w:val="center"/>
              <w:rPr>
                <w:rFonts w:ascii="Times New Roman" w:hAnsi="Times New Roman"/>
              </w:rPr>
            </w:pP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0</w:t>
            </w:r>
            <w:r>
              <w:rPr>
                <w:rFonts w:hint="eastAsia" w:ascii="Times New Roman" w:hAnsi="Times New Roman" w:eastAsia="宋体" w:cs="Times New Roman"/>
              </w:rPr>
              <w:t>～1</w:t>
            </w:r>
            <w:r>
              <w:rPr>
                <w:rFonts w:ascii="Times New Roman" w:hAnsi="Times New Roman" w:eastAsia="宋体" w:cs="Times New Roman"/>
              </w:rPr>
              <w:t>5</w:t>
            </w:r>
          </w:p>
        </w:tc>
        <w:tc>
          <w:tcPr>
            <w:tcW w:w="1748" w:type="dxa"/>
          </w:tcPr>
          <w:p>
            <w:pPr>
              <w:jc w:val="center"/>
              <w:rPr>
                <w:rFonts w:ascii="Times New Roman" w:hAnsi="Times New Roman"/>
              </w:rPr>
            </w:pPr>
            <w:r>
              <w:rPr>
                <w:rFonts w:hint="eastAsia" w:ascii="宋体" w:hAnsi="宋体" w:eastAsia="宋体" w:cs="Times New Roman"/>
                <w:color w:val="000000"/>
                <w:kern w:val="0"/>
                <w:szCs w:val="21"/>
              </w:rPr>
              <w:t>＞1</w:t>
            </w:r>
            <w:r>
              <w:rPr>
                <w:rFonts w:ascii="宋体" w:hAnsi="宋体" w:eastAsia="宋体" w:cs="Times New Roman"/>
                <w:color w:val="000000"/>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44" w:type="dxa"/>
            <w:gridSpan w:val="5"/>
          </w:tcPr>
          <w:p>
            <w:pPr>
              <w:ind w:firstLine="105" w:firstLineChars="50"/>
              <w:jc w:val="left"/>
              <w:rPr>
                <w:rFonts w:ascii="Times New Roman" w:hAnsi="Times New Roman"/>
              </w:rPr>
            </w:pPr>
            <w:r>
              <w:rPr>
                <w:rFonts w:ascii="Times New Roman" w:hAnsi="Times New Roman"/>
              </w:rPr>
              <w:t>注：各项</w:t>
            </w:r>
            <w:r>
              <w:rPr>
                <w:rFonts w:hint="eastAsia" w:ascii="Times New Roman" w:hAnsi="Times New Roman"/>
              </w:rPr>
              <w:t>理化指标除水分以原样为基础外，其他均是</w:t>
            </w:r>
            <w:r>
              <w:rPr>
                <w:rFonts w:ascii="Times New Roman" w:hAnsi="Times New Roman"/>
              </w:rPr>
              <w:t>干物质基础。</w:t>
            </w:r>
          </w:p>
        </w:tc>
      </w:tr>
      <w:bookmarkEnd w:id="86"/>
    </w:tbl>
    <w:p>
      <w:pPr>
        <w:pStyle w:val="105"/>
        <w:spacing w:before="156" w:after="156"/>
      </w:pPr>
      <w:bookmarkStart w:id="87" w:name="_Toc178000385"/>
      <w:bookmarkStart w:id="88" w:name="_Hlk177922476"/>
      <w:r>
        <w:rPr>
          <w:rFonts w:hint="eastAsia"/>
        </w:rPr>
        <w:t>卫生指标</w:t>
      </w:r>
      <w:bookmarkEnd w:id="87"/>
    </w:p>
    <w:p>
      <w:pPr>
        <w:pStyle w:val="56"/>
        <w:ind w:firstLine="420"/>
        <w:rPr>
          <w:rFonts w:ascii="Times New Roman"/>
        </w:rPr>
      </w:pPr>
      <w:r>
        <w:rPr>
          <w:rFonts w:hint="eastAsia"/>
        </w:rPr>
        <w:t>应</w:t>
      </w:r>
      <w:r>
        <w:rPr>
          <w:rFonts w:ascii="Times New Roman"/>
        </w:rPr>
        <w:t>符合GB 13078的规定。其中，产品中的霉菌总数均小于4×10</w:t>
      </w:r>
      <w:r>
        <w:rPr>
          <w:rFonts w:ascii="Times New Roman"/>
          <w:vertAlign w:val="superscript"/>
        </w:rPr>
        <w:t>4</w:t>
      </w:r>
      <w:r>
        <w:rPr>
          <w:rFonts w:hint="eastAsia" w:ascii="Times New Roman"/>
          <w:vertAlign w:val="superscript"/>
        </w:rPr>
        <w:t xml:space="preserve"> </w:t>
      </w:r>
      <w:r>
        <w:rPr>
          <w:rFonts w:ascii="Times New Roman"/>
        </w:rPr>
        <w:t>μg/kg，黄曲霉毒素B1均小于 10.0</w:t>
      </w:r>
      <w:r>
        <w:rPr>
          <w:rFonts w:hint="eastAsia" w:ascii="Times New Roman"/>
        </w:rPr>
        <w:t xml:space="preserve"> </w:t>
      </w:r>
      <w:r>
        <w:rPr>
          <w:rFonts w:ascii="Times New Roman"/>
        </w:rPr>
        <w:t>μg/kg。</w:t>
      </w:r>
    </w:p>
    <w:p>
      <w:pPr>
        <w:pStyle w:val="105"/>
        <w:spacing w:before="156" w:after="156"/>
        <w:rPr>
          <w:rFonts w:ascii="Times New Roman"/>
        </w:rPr>
      </w:pPr>
      <w:bookmarkStart w:id="89" w:name="_Toc178000386"/>
      <w:r>
        <w:rPr>
          <w:rFonts w:ascii="Times New Roman"/>
        </w:rPr>
        <w:t>净含量</w:t>
      </w:r>
      <w:bookmarkEnd w:id="89"/>
    </w:p>
    <w:p>
      <w:pPr>
        <w:pStyle w:val="56"/>
        <w:ind w:firstLine="420"/>
      </w:pPr>
      <w:r>
        <w:rPr>
          <w:rFonts w:ascii="Times New Roman"/>
        </w:rPr>
        <w:t>应符合国家质量监督检验检疫总局令（2005）第 75 号令</w:t>
      </w:r>
      <w:r>
        <w:rPr>
          <w:rFonts w:hint="eastAsia"/>
        </w:rPr>
        <w:t>的规定。</w:t>
      </w:r>
    </w:p>
    <w:bookmarkEnd w:id="81"/>
    <w:bookmarkEnd w:id="88"/>
    <w:p>
      <w:pPr>
        <w:pStyle w:val="104"/>
        <w:spacing w:before="312" w:after="312"/>
      </w:pPr>
      <w:bookmarkStart w:id="90" w:name="_Toc178000387"/>
      <w:bookmarkStart w:id="91" w:name="_Toc178000427"/>
      <w:r>
        <w:rPr>
          <w:rFonts w:hint="eastAsia"/>
        </w:rPr>
        <w:t>检测方法</w:t>
      </w:r>
      <w:bookmarkEnd w:id="90"/>
      <w:bookmarkEnd w:id="91"/>
    </w:p>
    <w:p>
      <w:pPr>
        <w:pStyle w:val="105"/>
        <w:spacing w:before="156" w:after="156"/>
      </w:pPr>
      <w:bookmarkStart w:id="92" w:name="_Toc178000388"/>
      <w:r>
        <w:rPr>
          <w:rFonts w:hint="eastAsia"/>
        </w:rPr>
        <w:t>感官评价</w:t>
      </w:r>
      <w:bookmarkEnd w:id="92"/>
    </w:p>
    <w:p>
      <w:pPr>
        <w:pStyle w:val="56"/>
        <w:ind w:firstLine="420"/>
        <w:rPr>
          <w:rFonts w:ascii="Times New Roman"/>
        </w:rPr>
      </w:pPr>
      <w:r>
        <w:rPr>
          <w:rFonts w:hint="eastAsia"/>
        </w:rPr>
        <w:t>采用鼻闻、手</w:t>
      </w:r>
      <w:r>
        <w:rPr>
          <w:rFonts w:ascii="Times New Roman"/>
        </w:rPr>
        <w:t>触、眼观的方式进行</w:t>
      </w:r>
      <w:r>
        <w:rPr>
          <w:rFonts w:hint="eastAsia" w:ascii="Times New Roman"/>
          <w:lang w:val="en-US" w:eastAsia="zh-CN"/>
        </w:rPr>
        <w:t>感官</w:t>
      </w:r>
      <w:r>
        <w:rPr>
          <w:rFonts w:ascii="Times New Roman"/>
        </w:rPr>
        <w:t>评价。</w:t>
      </w:r>
    </w:p>
    <w:p>
      <w:pPr>
        <w:pStyle w:val="105"/>
        <w:spacing w:before="156" w:after="156"/>
        <w:rPr>
          <w:rFonts w:ascii="Times New Roman"/>
        </w:rPr>
      </w:pPr>
      <w:bookmarkStart w:id="93" w:name="_Toc178000389"/>
      <w:r>
        <w:rPr>
          <w:rFonts w:ascii="Times New Roman"/>
        </w:rPr>
        <w:t>pH值</w:t>
      </w:r>
      <w:bookmarkEnd w:id="93"/>
    </w:p>
    <w:p>
      <w:pPr>
        <w:pStyle w:val="56"/>
        <w:ind w:firstLine="420"/>
        <w:rPr>
          <w:rFonts w:ascii="Times New Roman"/>
        </w:rPr>
      </w:pPr>
      <w:r>
        <w:rPr>
          <w:rFonts w:ascii="Times New Roman"/>
        </w:rPr>
        <w:t>pH值</w:t>
      </w:r>
      <w:r>
        <w:rPr>
          <w:rFonts w:hint="eastAsia" w:ascii="Times New Roman"/>
          <w:lang w:val="en-US" w:eastAsia="zh-CN"/>
        </w:rPr>
        <w:t>测定</w:t>
      </w:r>
      <w:r>
        <w:rPr>
          <w:rFonts w:ascii="Times New Roman"/>
        </w:rPr>
        <w:t>按照GB/T 9724的规定及DB/T151458规定执行。或使用“广泛pH值试纸”进行快速测定。</w:t>
      </w:r>
    </w:p>
    <w:p>
      <w:pPr>
        <w:pStyle w:val="105"/>
        <w:spacing w:before="156" w:after="156"/>
      </w:pPr>
      <w:r>
        <w:rPr>
          <w:rFonts w:hint="eastAsia"/>
        </w:rPr>
        <w:t>水分</w:t>
      </w:r>
    </w:p>
    <w:p>
      <w:pPr>
        <w:pStyle w:val="56"/>
        <w:ind w:firstLine="420"/>
      </w:pPr>
      <w:r>
        <w:rPr>
          <w:rFonts w:hint="eastAsia"/>
        </w:rPr>
        <w:t>水分含量测定按</w:t>
      </w:r>
      <w:r>
        <w:rPr>
          <w:rFonts w:ascii="Times New Roman"/>
        </w:rPr>
        <w:t xml:space="preserve">GB/T 6435 </w:t>
      </w:r>
      <w:r>
        <w:rPr>
          <w:rFonts w:hint="eastAsia"/>
        </w:rPr>
        <w:t>规定执行。</w:t>
      </w:r>
    </w:p>
    <w:p>
      <w:pPr>
        <w:pStyle w:val="105"/>
        <w:spacing w:before="156" w:after="156"/>
        <w:rPr>
          <w:rFonts w:ascii="Times New Roman"/>
        </w:rPr>
      </w:pPr>
      <w:bookmarkStart w:id="94" w:name="_Toc178000390"/>
      <w:r>
        <w:rPr>
          <w:rFonts w:ascii="Times New Roman"/>
        </w:rPr>
        <w:t>粗蛋白含量</w:t>
      </w:r>
      <w:bookmarkEnd w:id="94"/>
    </w:p>
    <w:p>
      <w:pPr>
        <w:pStyle w:val="56"/>
        <w:ind w:firstLine="420"/>
        <w:rPr>
          <w:rFonts w:ascii="Times New Roman"/>
        </w:rPr>
      </w:pPr>
      <w:bookmarkStart w:id="95" w:name="_Hlk177551771"/>
      <w:r>
        <w:rPr>
          <w:rFonts w:ascii="Times New Roman"/>
        </w:rPr>
        <w:t>粗</w:t>
      </w:r>
      <w:r>
        <w:rPr>
          <w:rFonts w:hint="eastAsia" w:ascii="Times New Roman"/>
          <w:lang w:val="en-US" w:eastAsia="zh-CN"/>
        </w:rPr>
        <w:t>蛋白</w:t>
      </w:r>
      <w:r>
        <w:rPr>
          <w:rFonts w:ascii="Times New Roman"/>
        </w:rPr>
        <w:t>含量</w:t>
      </w:r>
      <w:r>
        <w:rPr>
          <w:rFonts w:hint="eastAsia" w:ascii="Times New Roman"/>
          <w:lang w:val="en-US" w:eastAsia="zh-CN"/>
        </w:rPr>
        <w:t>测定</w:t>
      </w:r>
      <w:r>
        <w:rPr>
          <w:rFonts w:ascii="Times New Roman"/>
        </w:rPr>
        <w:t>按GB/T 6432 规定执行。</w:t>
      </w:r>
    </w:p>
    <w:bookmarkEnd w:id="95"/>
    <w:p>
      <w:pPr>
        <w:pStyle w:val="105"/>
        <w:spacing w:before="156" w:after="156"/>
        <w:rPr>
          <w:rFonts w:ascii="Times New Roman"/>
        </w:rPr>
      </w:pPr>
      <w:bookmarkStart w:id="96" w:name="_Toc178000391"/>
      <w:r>
        <w:rPr>
          <w:rFonts w:ascii="Times New Roman"/>
        </w:rPr>
        <w:t>粗纤维含量</w:t>
      </w:r>
      <w:bookmarkEnd w:id="96"/>
    </w:p>
    <w:p>
      <w:pPr>
        <w:pStyle w:val="56"/>
        <w:ind w:firstLine="420"/>
        <w:rPr>
          <w:rFonts w:ascii="Times New Roman"/>
        </w:rPr>
      </w:pPr>
      <w:bookmarkStart w:id="97" w:name="_Hlk177551813"/>
      <w:r>
        <w:rPr>
          <w:rFonts w:ascii="Times New Roman"/>
        </w:rPr>
        <w:t>粗</w:t>
      </w:r>
      <w:r>
        <w:rPr>
          <w:rFonts w:hint="eastAsia" w:ascii="Times New Roman"/>
          <w:lang w:val="en-US" w:eastAsia="zh-CN"/>
        </w:rPr>
        <w:t>纤维</w:t>
      </w:r>
      <w:r>
        <w:rPr>
          <w:rFonts w:ascii="Times New Roman"/>
        </w:rPr>
        <w:t>含量</w:t>
      </w:r>
      <w:r>
        <w:rPr>
          <w:rFonts w:hint="eastAsia" w:ascii="Times New Roman"/>
          <w:lang w:val="en-US" w:eastAsia="zh-CN"/>
        </w:rPr>
        <w:t>测定</w:t>
      </w:r>
      <w:r>
        <w:rPr>
          <w:rFonts w:ascii="Times New Roman"/>
        </w:rPr>
        <w:t>按GB/T 6434 规定执行。</w:t>
      </w:r>
    </w:p>
    <w:bookmarkEnd w:id="97"/>
    <w:p>
      <w:pPr>
        <w:pStyle w:val="105"/>
        <w:spacing w:before="156" w:after="156"/>
        <w:rPr>
          <w:rFonts w:ascii="Times New Roman"/>
        </w:rPr>
      </w:pPr>
      <w:bookmarkStart w:id="98" w:name="_Toc178000392"/>
      <w:r>
        <w:rPr>
          <w:rFonts w:ascii="Times New Roman"/>
        </w:rPr>
        <w:t>粗灰分含量</w:t>
      </w:r>
      <w:bookmarkEnd w:id="98"/>
    </w:p>
    <w:p>
      <w:pPr>
        <w:pStyle w:val="56"/>
        <w:ind w:firstLine="420"/>
        <w:rPr>
          <w:rFonts w:ascii="Times New Roman"/>
        </w:rPr>
      </w:pPr>
      <w:r>
        <w:rPr>
          <w:rFonts w:ascii="Times New Roman"/>
        </w:rPr>
        <w:t>粗灰分含量</w:t>
      </w:r>
      <w:r>
        <w:rPr>
          <w:rFonts w:hint="eastAsia" w:ascii="Times New Roman"/>
          <w:lang w:val="en-US" w:eastAsia="zh-CN"/>
        </w:rPr>
        <w:t>测定</w:t>
      </w:r>
      <w:r>
        <w:rPr>
          <w:rFonts w:ascii="Times New Roman"/>
        </w:rPr>
        <w:t>按GB/T 6438 规定执行。</w:t>
      </w:r>
    </w:p>
    <w:p>
      <w:pPr>
        <w:spacing w:line="360" w:lineRule="auto"/>
        <w:rPr>
          <w:rFonts w:ascii="Times New Roman" w:hAnsi="Times New Roman" w:eastAsia="宋体" w:cs="Times New Roman"/>
        </w:rPr>
      </w:pPr>
      <w:r>
        <w:rPr>
          <w:rFonts w:hint="eastAsia" w:ascii="Times New Roman"/>
          <w:lang w:val="en-US" w:eastAsia="zh-CN"/>
        </w:rPr>
        <w:t xml:space="preserve">9.7 </w:t>
      </w:r>
      <w:r>
        <w:rPr>
          <w:rFonts w:hint="eastAsia" w:ascii="Times New Roman" w:hAnsi="Times New Roman" w:eastAsia="宋体" w:cs="Times New Roman"/>
          <w:b/>
          <w:bCs/>
        </w:rPr>
        <w:t>氨态氮含量</w:t>
      </w:r>
      <w:r>
        <w:rPr>
          <w:rFonts w:ascii="Times New Roman" w:hAnsi="Times New Roman" w:eastAsia="宋体" w:cs="Times New Roman"/>
        </w:rPr>
        <w:t xml:space="preserve">  </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氨态氮含量测定应符合SB/T 10318规定。</w:t>
      </w:r>
    </w:p>
    <w:p>
      <w:pPr>
        <w:pStyle w:val="105"/>
        <w:numPr>
          <w:ilvl w:val="2"/>
          <w:numId w:val="0"/>
        </w:numPr>
        <w:spacing w:before="156" w:after="156"/>
        <w:ind w:leftChars="0"/>
        <w:rPr>
          <w:rFonts w:ascii="Times New Roman"/>
        </w:rPr>
      </w:pPr>
      <w:bookmarkStart w:id="99" w:name="_Toc178000393"/>
      <w:r>
        <w:rPr>
          <w:rFonts w:hint="eastAsia" w:ascii="Times New Roman"/>
          <w:lang w:val="en-US" w:eastAsia="zh-CN"/>
        </w:rPr>
        <w:t xml:space="preserve">9.8 </w:t>
      </w:r>
      <w:r>
        <w:rPr>
          <w:rFonts w:ascii="Times New Roman"/>
        </w:rPr>
        <w:t>卫生指标</w:t>
      </w:r>
      <w:bookmarkEnd w:id="99"/>
    </w:p>
    <w:p>
      <w:pPr>
        <w:pStyle w:val="174"/>
        <w:rPr>
          <w:rFonts w:ascii="Times New Roman"/>
        </w:rPr>
      </w:pPr>
      <w:r>
        <w:rPr>
          <w:rFonts w:ascii="Times New Roman"/>
        </w:rPr>
        <w:t>霉菌总数按GB/T13092的规定执行。</w:t>
      </w:r>
    </w:p>
    <w:p>
      <w:pPr>
        <w:pStyle w:val="174"/>
        <w:rPr>
          <w:rFonts w:ascii="Times New Roman"/>
        </w:rPr>
      </w:pPr>
      <w:r>
        <w:rPr>
          <w:rFonts w:ascii="Times New Roman"/>
        </w:rPr>
        <w:t>黄曲霉毒素B1按GB/T 36858的规定</w:t>
      </w:r>
      <w:r>
        <w:rPr>
          <w:rFonts w:hint="eastAsia" w:ascii="Times New Roman"/>
        </w:rPr>
        <w:t>执行</w:t>
      </w:r>
      <w:r>
        <w:rPr>
          <w:rFonts w:ascii="Times New Roman"/>
        </w:rPr>
        <w:t>。</w:t>
      </w:r>
    </w:p>
    <w:p>
      <w:pPr>
        <w:pStyle w:val="174"/>
        <w:rPr>
          <w:rFonts w:ascii="Times New Roman"/>
        </w:rPr>
      </w:pPr>
      <w:r>
        <w:rPr>
          <w:rFonts w:ascii="Times New Roman"/>
        </w:rPr>
        <w:t>其余按GB 13078中规定的方法执行。</w:t>
      </w:r>
    </w:p>
    <w:p>
      <w:pPr>
        <w:pStyle w:val="105"/>
        <w:spacing w:before="156" w:after="156"/>
        <w:rPr>
          <w:rFonts w:ascii="Times New Roman"/>
        </w:rPr>
      </w:pPr>
      <w:bookmarkStart w:id="100" w:name="_Toc178000394"/>
      <w:r>
        <w:rPr>
          <w:rFonts w:ascii="Times New Roman"/>
        </w:rPr>
        <w:t>净含量</w:t>
      </w:r>
      <w:bookmarkEnd w:id="100"/>
    </w:p>
    <w:p>
      <w:pPr>
        <w:pStyle w:val="56"/>
        <w:ind w:firstLine="420"/>
        <w:rPr>
          <w:rFonts w:ascii="Times New Roman"/>
        </w:rPr>
      </w:pPr>
      <w:r>
        <w:rPr>
          <w:rFonts w:ascii="Times New Roman"/>
        </w:rPr>
        <w:t>按JJF 1070 的规定执行。</w:t>
      </w:r>
    </w:p>
    <w:p>
      <w:pPr>
        <w:pStyle w:val="104"/>
        <w:spacing w:before="312" w:after="312"/>
      </w:pPr>
      <w:bookmarkStart w:id="101" w:name="_Toc178000428"/>
      <w:bookmarkStart w:id="102" w:name="_Toc178000395"/>
      <w:r>
        <w:rPr>
          <w:rFonts w:hint="eastAsia"/>
        </w:rPr>
        <w:t>检验规则</w:t>
      </w:r>
      <w:bookmarkEnd w:id="101"/>
      <w:bookmarkEnd w:id="102"/>
    </w:p>
    <w:p>
      <w:pPr>
        <w:pStyle w:val="105"/>
        <w:spacing w:before="156" w:after="156"/>
        <w:rPr>
          <w:rFonts w:ascii="Times New Roman"/>
        </w:rPr>
      </w:pPr>
      <w:bookmarkStart w:id="103" w:name="_Toc178000396"/>
      <w:r>
        <w:rPr>
          <w:rFonts w:hint="eastAsia"/>
        </w:rPr>
        <w:t>组批</w:t>
      </w:r>
      <w:bookmarkEnd w:id="103"/>
    </w:p>
    <w:p>
      <w:pPr>
        <w:pStyle w:val="56"/>
        <w:ind w:firstLine="420"/>
        <w:rPr>
          <w:rFonts w:ascii="Times New Roman"/>
        </w:rPr>
      </w:pPr>
      <w:r>
        <w:rPr>
          <w:rFonts w:ascii="Times New Roman"/>
        </w:rPr>
        <w:t>同一批原料、同一规格的产品为一批。</w:t>
      </w:r>
    </w:p>
    <w:p>
      <w:pPr>
        <w:pStyle w:val="105"/>
        <w:spacing w:before="156" w:after="156"/>
        <w:rPr>
          <w:rFonts w:ascii="Times New Roman"/>
        </w:rPr>
      </w:pPr>
      <w:bookmarkStart w:id="104" w:name="_Toc178000397"/>
      <w:r>
        <w:rPr>
          <w:rFonts w:ascii="Times New Roman"/>
        </w:rPr>
        <w:t>采样</w:t>
      </w:r>
      <w:bookmarkEnd w:id="104"/>
    </w:p>
    <w:p>
      <w:pPr>
        <w:pStyle w:val="56"/>
        <w:ind w:firstLine="420"/>
        <w:rPr>
          <w:rFonts w:ascii="Times New Roman"/>
        </w:rPr>
      </w:pPr>
      <w:r>
        <w:rPr>
          <w:rFonts w:ascii="Times New Roman"/>
        </w:rPr>
        <w:t>按GB/T 14699.1及NY/T 2129-2012 的规定执行。</w:t>
      </w:r>
    </w:p>
    <w:p>
      <w:pPr>
        <w:pStyle w:val="105"/>
        <w:spacing w:before="156" w:after="156"/>
        <w:rPr>
          <w:rFonts w:ascii="Times New Roman"/>
        </w:rPr>
      </w:pPr>
      <w:bookmarkStart w:id="105" w:name="_Toc178000398"/>
      <w:r>
        <w:rPr>
          <w:rFonts w:ascii="Times New Roman"/>
        </w:rPr>
        <w:t>出厂检验</w:t>
      </w:r>
      <w:bookmarkEnd w:id="105"/>
    </w:p>
    <w:p>
      <w:pPr>
        <w:pStyle w:val="65"/>
        <w:spacing w:before="156" w:after="156"/>
        <w:rPr>
          <w:rFonts w:ascii="Times New Roman"/>
        </w:rPr>
      </w:pPr>
      <w:r>
        <w:rPr>
          <w:rFonts w:ascii="Times New Roman"/>
        </w:rPr>
        <w:t>每批产品均应进行出厂检验。</w:t>
      </w:r>
    </w:p>
    <w:p>
      <w:pPr>
        <w:pStyle w:val="65"/>
        <w:spacing w:before="156" w:after="156"/>
        <w:rPr>
          <w:rFonts w:ascii="Times New Roman"/>
        </w:rPr>
      </w:pPr>
      <w:r>
        <w:rPr>
          <w:rFonts w:ascii="Times New Roman"/>
        </w:rPr>
        <w:t>出厂检验项目包括感官性状、pH值、</w:t>
      </w:r>
      <w:r>
        <w:rPr>
          <w:rFonts w:hint="eastAsia" w:ascii="Times New Roman"/>
        </w:rPr>
        <w:t>水分、</w:t>
      </w:r>
      <w:r>
        <w:rPr>
          <w:rFonts w:ascii="Times New Roman"/>
        </w:rPr>
        <w:t>粗蛋白含量、粗纤维含量、粗灰分含量、净含量。</w:t>
      </w:r>
    </w:p>
    <w:p>
      <w:pPr>
        <w:pStyle w:val="105"/>
        <w:spacing w:before="156" w:after="156"/>
        <w:rPr>
          <w:rFonts w:ascii="Times New Roman"/>
        </w:rPr>
      </w:pPr>
      <w:bookmarkStart w:id="106" w:name="_Toc178000399"/>
      <w:r>
        <w:rPr>
          <w:rFonts w:ascii="Times New Roman"/>
        </w:rPr>
        <w:t>型式检验</w:t>
      </w:r>
      <w:bookmarkEnd w:id="106"/>
    </w:p>
    <w:p>
      <w:pPr>
        <w:pStyle w:val="56"/>
        <w:ind w:firstLine="420"/>
        <w:rPr>
          <w:rFonts w:ascii="Times New Roman"/>
        </w:rPr>
      </w:pPr>
      <w:r>
        <w:rPr>
          <w:rFonts w:ascii="Times New Roman"/>
        </w:rPr>
        <w:t>型式检验项目为本标准规定的全部指标项目。产品正</w:t>
      </w:r>
      <w:r>
        <w:rPr>
          <w:rFonts w:hint="eastAsia"/>
        </w:rPr>
        <w:t>常生产时，每半年进行一次型式检验，但有下列情况之一时，也应</w:t>
      </w:r>
      <w:r>
        <w:rPr>
          <w:rFonts w:ascii="Times New Roman"/>
        </w:rPr>
        <w:t>进行型式检验：</w:t>
      </w:r>
    </w:p>
    <w:p>
      <w:pPr>
        <w:pStyle w:val="174"/>
        <w:numPr>
          <w:ilvl w:val="0"/>
          <w:numId w:val="32"/>
        </w:numPr>
        <w:rPr>
          <w:rFonts w:ascii="Times New Roman"/>
        </w:rPr>
      </w:pPr>
      <w:r>
        <w:rPr>
          <w:rFonts w:ascii="Times New Roman"/>
        </w:rPr>
        <w:t>生产工艺、设备、原料有较大改变，可能影响产品质量时；</w:t>
      </w:r>
    </w:p>
    <w:p>
      <w:pPr>
        <w:pStyle w:val="174"/>
        <w:keepNext w:val="0"/>
        <w:keepLines w:val="0"/>
        <w:pageBreakBefore w:val="0"/>
        <w:widowControl/>
        <w:kinsoku/>
        <w:wordWrap/>
        <w:overflowPunct/>
        <w:topLinePunct w:val="0"/>
        <w:autoSpaceDE/>
        <w:autoSpaceDN/>
        <w:bidi w:val="0"/>
        <w:adjustRightInd/>
        <w:snapToGrid/>
        <w:ind w:left="850" w:hanging="425"/>
        <w:textAlignment w:val="auto"/>
      </w:pPr>
      <w:r>
        <w:rPr>
          <w:rFonts w:ascii="Times New Roman"/>
        </w:rPr>
        <w:t>连续停产3个月以上恢</w:t>
      </w:r>
      <w:r>
        <w:rPr>
          <w:rFonts w:hint="eastAsia"/>
        </w:rPr>
        <w:t xml:space="preserve">复生产时； </w:t>
      </w:r>
    </w:p>
    <w:p>
      <w:pPr>
        <w:pStyle w:val="174"/>
      </w:pPr>
      <w:r>
        <w:rPr>
          <w:rFonts w:hint="eastAsia"/>
        </w:rPr>
        <w:t>出厂检验结果与上次型式检验结果有较大差异时；</w:t>
      </w:r>
    </w:p>
    <w:p>
      <w:pPr>
        <w:pStyle w:val="174"/>
      </w:pPr>
      <w:r>
        <w:rPr>
          <w:rFonts w:hint="eastAsia"/>
        </w:rPr>
        <w:t>国家监督管理部门提出要求时。</w:t>
      </w:r>
    </w:p>
    <w:p>
      <w:pPr>
        <w:pStyle w:val="105"/>
        <w:spacing w:before="156" w:after="156"/>
      </w:pPr>
      <w:bookmarkStart w:id="107" w:name="_Toc178000400"/>
      <w:r>
        <w:rPr>
          <w:rFonts w:hint="eastAsia"/>
        </w:rPr>
        <w:t>判定规则</w:t>
      </w:r>
      <w:bookmarkEnd w:id="107"/>
    </w:p>
    <w:p>
      <w:pPr>
        <w:pStyle w:val="56"/>
        <w:ind w:firstLine="420"/>
        <w:rPr>
          <w:rFonts w:ascii="Times New Roman"/>
        </w:rPr>
      </w:pPr>
      <w:r>
        <w:rPr>
          <w:rFonts w:hint="eastAsia"/>
        </w:rPr>
        <w:t>全部检</w:t>
      </w:r>
      <w:r>
        <w:rPr>
          <w:rFonts w:ascii="Times New Roman"/>
        </w:rPr>
        <w:t>验项目中如有一项指标不符合本标准，即判定该批次产品为不合格。其中霉菌总数、黄曲霉毒素B1及GB 13078中规定的微生物项目任何一项不符合本标准要求时，判定该批产品为不合格品，不得复检。判定产品成分是否合格，检测结果判定允许误差按GB/T 18823的规定执行。</w:t>
      </w:r>
    </w:p>
    <w:p>
      <w:pPr>
        <w:pStyle w:val="56"/>
        <w:ind w:firstLine="420"/>
        <w:rPr>
          <w:rFonts w:ascii="Times New Roman"/>
        </w:rPr>
      </w:pPr>
    </w:p>
    <w:p>
      <w:pPr>
        <w:spacing w:line="360" w:lineRule="auto"/>
        <w:jc w:val="center"/>
        <w:rPr>
          <w:rFonts w:ascii="Times New Roman" w:hAnsi="Times New Roman" w:eastAsia="黑体"/>
          <w:sz w:val="28"/>
          <w:szCs w:val="28"/>
        </w:rPr>
      </w:pPr>
      <w:r>
        <w:rPr>
          <w:rFonts w:ascii="Times New Roman" w:hAnsi="Times New Roman" w:eastAsia="黑体"/>
          <w:sz w:val="28"/>
          <w:szCs w:val="28"/>
        </w:rPr>
        <w:t>参 考 文 献</w:t>
      </w:r>
    </w:p>
    <w:p>
      <w:pPr>
        <w:pStyle w:val="56"/>
        <w:ind w:firstLine="420"/>
      </w:pPr>
      <w:r>
        <w:rPr>
          <w:rFonts w:ascii="Times New Roman"/>
        </w:rPr>
        <w:t>国家质量监督检验检疫总局令［2005］第75号  定量包装商品计量监督管理</w:t>
      </w:r>
      <w:r>
        <w:rPr>
          <w:rFonts w:hint="eastAsia"/>
        </w:rPr>
        <w:t>办法</w:t>
      </w:r>
    </w:p>
    <w:p>
      <w:pPr>
        <w:pStyle w:val="56"/>
        <w:ind w:firstLine="420"/>
        <w:rPr>
          <w:rFonts w:ascii="Times New Roman"/>
        </w:rPr>
      </w:pPr>
    </w:p>
    <w:bookmarkEnd w:id="26"/>
    <w:p>
      <w:pPr>
        <w:pStyle w:val="56"/>
        <w:ind w:firstLine="420"/>
      </w:pPr>
    </w:p>
    <w:p>
      <w:pPr>
        <w:jc w:val="center"/>
        <w:rPr>
          <w:rFonts w:ascii="宋体" w:hAnsi="Times New Roman"/>
          <w:szCs w:val="20"/>
        </w:rPr>
      </w:pPr>
      <w:r>
        <w:rPr>
          <w:rFonts w:ascii="宋体" w:hAnsi="Times New Roman"/>
          <w:szCs w:val="20"/>
        </w:rPr>
        <w:drawing>
          <wp:inline distT="0" distB="0" distL="114300" distR="114300">
            <wp:extent cx="1932305" cy="12065"/>
            <wp:effectExtent l="0" t="0" r="0" b="0"/>
            <wp:docPr id="103"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3" name="图片 1"/>
                    <pic:cNvPicPr>
                      <a:picLocks noChangeAspect="true"/>
                    </pic:cNvPicPr>
                  </pic:nvPicPr>
                  <pic:blipFill>
                    <a:blip r:embed="rId17"/>
                    <a:stretch>
                      <a:fillRect/>
                    </a:stretch>
                  </pic:blipFill>
                  <pic:spPr>
                    <a:xfrm>
                      <a:off x="0" y="0"/>
                      <a:ext cx="1932305" cy="12065"/>
                    </a:xfrm>
                    <a:prstGeom prst="rect">
                      <a:avLst/>
                    </a:prstGeom>
                    <a:noFill/>
                    <a:ln>
                      <a:noFill/>
                    </a:ln>
                  </pic:spPr>
                </pic:pic>
              </a:graphicData>
            </a:graphic>
          </wp:inline>
        </w:drawing>
      </w:r>
    </w:p>
    <w:p>
      <w:pPr>
        <w:pStyle w:val="56"/>
        <w:ind w:firstLine="420"/>
      </w:pPr>
    </w:p>
    <w:sectPr>
      <w:headerReference r:id="rId12" w:type="default"/>
      <w:footerReference r:id="rId14" w:type="default"/>
      <w:headerReference r:id="rId13"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ºÚÌå">
    <w:altName w:val="汉仪叶叶相思体简"/>
    <w:panose1 w:val="00000000000000000000"/>
    <w:charset w:val="00"/>
    <w:family w:val="swiss"/>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pStyle w:val="105"/>
      <w:suff w:val="nothing"/>
      <w:lvlText w:val="%1%2.%3　"/>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1" w:cryptProviderType="rsaAES" w:cryptAlgorithmClass="hash" w:cryptAlgorithmType="typeAny" w:cryptAlgorithmSid="14" w:cryptSpinCount="100000" w:hash="Rs7lSHQs+2bT+XsaWqW/6oFzACMgJ3hEYI/w13I2DCEJrWJUb/KKpQdgnBWihYXJjhxE61eTBsh3Zi8eRehPiw==" w:salt="VuwNDsTAitXtjrDXYNmmx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mOWJlOTVjODhiM2MyNjYxOGQ0ZmFkMDU1MWJlODQifQ=="/>
  </w:docVars>
  <w:rsids>
    <w:rsidRoot w:val="00C06C9C"/>
    <w:rsid w:val="0000040A"/>
    <w:rsid w:val="00000A94"/>
    <w:rsid w:val="00001972"/>
    <w:rsid w:val="00001D9A"/>
    <w:rsid w:val="0000299D"/>
    <w:rsid w:val="00007B3A"/>
    <w:rsid w:val="000107E0"/>
    <w:rsid w:val="00011FDE"/>
    <w:rsid w:val="00012FFD"/>
    <w:rsid w:val="00014162"/>
    <w:rsid w:val="00014340"/>
    <w:rsid w:val="00016A9C"/>
    <w:rsid w:val="00022184"/>
    <w:rsid w:val="00022762"/>
    <w:rsid w:val="000238E0"/>
    <w:rsid w:val="000249DB"/>
    <w:rsid w:val="0002595E"/>
    <w:rsid w:val="000303C3"/>
    <w:rsid w:val="0003189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537"/>
    <w:rsid w:val="00071CC0"/>
    <w:rsid w:val="00073C8C"/>
    <w:rsid w:val="00077B64"/>
    <w:rsid w:val="00080A1C"/>
    <w:rsid w:val="00082317"/>
    <w:rsid w:val="000837AB"/>
    <w:rsid w:val="00083D2C"/>
    <w:rsid w:val="00086AA1"/>
    <w:rsid w:val="00087A77"/>
    <w:rsid w:val="000907F3"/>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98E"/>
    <w:rsid w:val="000B6A0B"/>
    <w:rsid w:val="000C0F6C"/>
    <w:rsid w:val="000C11DB"/>
    <w:rsid w:val="000C1492"/>
    <w:rsid w:val="000C2F7D"/>
    <w:rsid w:val="000C2FBD"/>
    <w:rsid w:val="000C4613"/>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237"/>
    <w:rsid w:val="00113B1E"/>
    <w:rsid w:val="00116C4D"/>
    <w:rsid w:val="0011711C"/>
    <w:rsid w:val="0012059C"/>
    <w:rsid w:val="00124E4F"/>
    <w:rsid w:val="001260B7"/>
    <w:rsid w:val="001265CB"/>
    <w:rsid w:val="00130586"/>
    <w:rsid w:val="001321C6"/>
    <w:rsid w:val="001325C4"/>
    <w:rsid w:val="00133010"/>
    <w:rsid w:val="001338EE"/>
    <w:rsid w:val="00133AAE"/>
    <w:rsid w:val="00135323"/>
    <w:rsid w:val="001356C4"/>
    <w:rsid w:val="00141114"/>
    <w:rsid w:val="00141601"/>
    <w:rsid w:val="00142969"/>
    <w:rsid w:val="001446C2"/>
    <w:rsid w:val="001457E7"/>
    <w:rsid w:val="00145D9D"/>
    <w:rsid w:val="00146388"/>
    <w:rsid w:val="001529E5"/>
    <w:rsid w:val="00153064"/>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0EE"/>
    <w:rsid w:val="001852C9"/>
    <w:rsid w:val="00190087"/>
    <w:rsid w:val="001913C4"/>
    <w:rsid w:val="0019348F"/>
    <w:rsid w:val="00193A07"/>
    <w:rsid w:val="00194C95"/>
    <w:rsid w:val="00195C34"/>
    <w:rsid w:val="00195F3C"/>
    <w:rsid w:val="00196EF5"/>
    <w:rsid w:val="001A1A53"/>
    <w:rsid w:val="001A234A"/>
    <w:rsid w:val="001A4CF3"/>
    <w:rsid w:val="001B06E8"/>
    <w:rsid w:val="001B336C"/>
    <w:rsid w:val="001B54E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0B5"/>
    <w:rsid w:val="001E1B6A"/>
    <w:rsid w:val="001E2484"/>
    <w:rsid w:val="001E36C8"/>
    <w:rsid w:val="001E3CC4"/>
    <w:rsid w:val="001E4882"/>
    <w:rsid w:val="001E73AB"/>
    <w:rsid w:val="001F092D"/>
    <w:rsid w:val="001F143A"/>
    <w:rsid w:val="001F1605"/>
    <w:rsid w:val="001F1F57"/>
    <w:rsid w:val="001F2508"/>
    <w:rsid w:val="001F4816"/>
    <w:rsid w:val="001F4EE9"/>
    <w:rsid w:val="001F65E1"/>
    <w:rsid w:val="001F69B4"/>
    <w:rsid w:val="001F77C7"/>
    <w:rsid w:val="00200183"/>
    <w:rsid w:val="00200333"/>
    <w:rsid w:val="0020107D"/>
    <w:rsid w:val="00202AA4"/>
    <w:rsid w:val="002031F7"/>
    <w:rsid w:val="002040E6"/>
    <w:rsid w:val="0020527B"/>
    <w:rsid w:val="00205F2C"/>
    <w:rsid w:val="00210B15"/>
    <w:rsid w:val="002142EA"/>
    <w:rsid w:val="00216D78"/>
    <w:rsid w:val="002178FA"/>
    <w:rsid w:val="002204BB"/>
    <w:rsid w:val="00221B79"/>
    <w:rsid w:val="00221C6B"/>
    <w:rsid w:val="002253A1"/>
    <w:rsid w:val="00225CF8"/>
    <w:rsid w:val="0022794E"/>
    <w:rsid w:val="00230224"/>
    <w:rsid w:val="00233D64"/>
    <w:rsid w:val="0023482A"/>
    <w:rsid w:val="002358EC"/>
    <w:rsid w:val="002359CB"/>
    <w:rsid w:val="00243540"/>
    <w:rsid w:val="0024497B"/>
    <w:rsid w:val="0024515B"/>
    <w:rsid w:val="00246021"/>
    <w:rsid w:val="0024666E"/>
    <w:rsid w:val="00247F52"/>
    <w:rsid w:val="00250B25"/>
    <w:rsid w:val="00250BBE"/>
    <w:rsid w:val="002515C2"/>
    <w:rsid w:val="0025194F"/>
    <w:rsid w:val="002551C4"/>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6A3"/>
    <w:rsid w:val="002A084B"/>
    <w:rsid w:val="002A1260"/>
    <w:rsid w:val="002A1589"/>
    <w:rsid w:val="002A1608"/>
    <w:rsid w:val="002A25DC"/>
    <w:rsid w:val="002A3AAB"/>
    <w:rsid w:val="002A4CEA"/>
    <w:rsid w:val="002A5977"/>
    <w:rsid w:val="002A5A13"/>
    <w:rsid w:val="002A5B8B"/>
    <w:rsid w:val="002A6B2A"/>
    <w:rsid w:val="002A757F"/>
    <w:rsid w:val="002A7F44"/>
    <w:rsid w:val="002B0C40"/>
    <w:rsid w:val="002B1961"/>
    <w:rsid w:val="002B1966"/>
    <w:rsid w:val="002B4508"/>
    <w:rsid w:val="002B5779"/>
    <w:rsid w:val="002B7332"/>
    <w:rsid w:val="002B747C"/>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BFF"/>
    <w:rsid w:val="002E6326"/>
    <w:rsid w:val="002F30E0"/>
    <w:rsid w:val="002F35E4"/>
    <w:rsid w:val="002F3730"/>
    <w:rsid w:val="002F38E1"/>
    <w:rsid w:val="002F4D04"/>
    <w:rsid w:val="002F7AF6"/>
    <w:rsid w:val="00300E63"/>
    <w:rsid w:val="00302F5F"/>
    <w:rsid w:val="00303C7C"/>
    <w:rsid w:val="0030441D"/>
    <w:rsid w:val="00306063"/>
    <w:rsid w:val="00313B85"/>
    <w:rsid w:val="0031678F"/>
    <w:rsid w:val="00317988"/>
    <w:rsid w:val="003221B4"/>
    <w:rsid w:val="0032258D"/>
    <w:rsid w:val="00322E62"/>
    <w:rsid w:val="00324D13"/>
    <w:rsid w:val="00324D2A"/>
    <w:rsid w:val="00324EDD"/>
    <w:rsid w:val="00333057"/>
    <w:rsid w:val="003331E4"/>
    <w:rsid w:val="00335C57"/>
    <w:rsid w:val="00336C64"/>
    <w:rsid w:val="00337162"/>
    <w:rsid w:val="0034194F"/>
    <w:rsid w:val="00344605"/>
    <w:rsid w:val="003474AA"/>
    <w:rsid w:val="00350D1D"/>
    <w:rsid w:val="00352C83"/>
    <w:rsid w:val="003615D2"/>
    <w:rsid w:val="0036205A"/>
    <w:rsid w:val="0036429C"/>
    <w:rsid w:val="00364A53"/>
    <w:rsid w:val="003654CB"/>
    <w:rsid w:val="00365AA9"/>
    <w:rsid w:val="00365F86"/>
    <w:rsid w:val="00365F87"/>
    <w:rsid w:val="00366E89"/>
    <w:rsid w:val="003705F4"/>
    <w:rsid w:val="00370D58"/>
    <w:rsid w:val="00370F52"/>
    <w:rsid w:val="00371316"/>
    <w:rsid w:val="00375034"/>
    <w:rsid w:val="00376713"/>
    <w:rsid w:val="00381815"/>
    <w:rsid w:val="003819AF"/>
    <w:rsid w:val="003820E9"/>
    <w:rsid w:val="00382DE7"/>
    <w:rsid w:val="003832E1"/>
    <w:rsid w:val="00384FE7"/>
    <w:rsid w:val="00384FFC"/>
    <w:rsid w:val="003872FC"/>
    <w:rsid w:val="00387ADC"/>
    <w:rsid w:val="00390020"/>
    <w:rsid w:val="003903D6"/>
    <w:rsid w:val="00390EE6"/>
    <w:rsid w:val="0039118F"/>
    <w:rsid w:val="00392AD7"/>
    <w:rsid w:val="003938D9"/>
    <w:rsid w:val="00394376"/>
    <w:rsid w:val="003943FF"/>
    <w:rsid w:val="00394D24"/>
    <w:rsid w:val="00395700"/>
    <w:rsid w:val="003974EB"/>
    <w:rsid w:val="00397CC5"/>
    <w:rsid w:val="003A1582"/>
    <w:rsid w:val="003A4077"/>
    <w:rsid w:val="003A4B24"/>
    <w:rsid w:val="003B09AD"/>
    <w:rsid w:val="003B1F18"/>
    <w:rsid w:val="003B5BF0"/>
    <w:rsid w:val="003B60BF"/>
    <w:rsid w:val="003B6BE3"/>
    <w:rsid w:val="003C010C"/>
    <w:rsid w:val="003C0A6C"/>
    <w:rsid w:val="003C14F8"/>
    <w:rsid w:val="003C185B"/>
    <w:rsid w:val="003C4840"/>
    <w:rsid w:val="003C5A43"/>
    <w:rsid w:val="003D0519"/>
    <w:rsid w:val="003D0FF6"/>
    <w:rsid w:val="003D262C"/>
    <w:rsid w:val="003D38D7"/>
    <w:rsid w:val="003D6D61"/>
    <w:rsid w:val="003D79C6"/>
    <w:rsid w:val="003E091D"/>
    <w:rsid w:val="003E1C53"/>
    <w:rsid w:val="003E2A69"/>
    <w:rsid w:val="003E2D49"/>
    <w:rsid w:val="003E2FD4"/>
    <w:rsid w:val="003E49F6"/>
    <w:rsid w:val="003E660F"/>
    <w:rsid w:val="003E7EA3"/>
    <w:rsid w:val="003F0841"/>
    <w:rsid w:val="003F23D3"/>
    <w:rsid w:val="003F3F08"/>
    <w:rsid w:val="003F49F1"/>
    <w:rsid w:val="003F6272"/>
    <w:rsid w:val="00400CF8"/>
    <w:rsid w:val="00400E72"/>
    <w:rsid w:val="00401400"/>
    <w:rsid w:val="00404869"/>
    <w:rsid w:val="00405884"/>
    <w:rsid w:val="00407D39"/>
    <w:rsid w:val="0041477A"/>
    <w:rsid w:val="004167A3"/>
    <w:rsid w:val="00426F8D"/>
    <w:rsid w:val="00427EC4"/>
    <w:rsid w:val="00432DAA"/>
    <w:rsid w:val="00434305"/>
    <w:rsid w:val="00435DF7"/>
    <w:rsid w:val="0044083F"/>
    <w:rsid w:val="00441AE7"/>
    <w:rsid w:val="00441BA0"/>
    <w:rsid w:val="00445574"/>
    <w:rsid w:val="00446269"/>
    <w:rsid w:val="004467FB"/>
    <w:rsid w:val="00452D6B"/>
    <w:rsid w:val="00454484"/>
    <w:rsid w:val="00454E88"/>
    <w:rsid w:val="0045517B"/>
    <w:rsid w:val="00463B77"/>
    <w:rsid w:val="00463C7B"/>
    <w:rsid w:val="004644A6"/>
    <w:rsid w:val="004659BD"/>
    <w:rsid w:val="004661A2"/>
    <w:rsid w:val="00470775"/>
    <w:rsid w:val="004707A3"/>
    <w:rsid w:val="004746B1"/>
    <w:rsid w:val="0047583F"/>
    <w:rsid w:val="00475DE8"/>
    <w:rsid w:val="00476BFA"/>
    <w:rsid w:val="00481C44"/>
    <w:rsid w:val="00484936"/>
    <w:rsid w:val="00485C89"/>
    <w:rsid w:val="00486BE3"/>
    <w:rsid w:val="004905E4"/>
    <w:rsid w:val="00490A89"/>
    <w:rsid w:val="00490AB4"/>
    <w:rsid w:val="00492F02"/>
    <w:rsid w:val="004939AE"/>
    <w:rsid w:val="00497B3A"/>
    <w:rsid w:val="004A12DF"/>
    <w:rsid w:val="004A17E6"/>
    <w:rsid w:val="004A1BA8"/>
    <w:rsid w:val="004A4B57"/>
    <w:rsid w:val="004A63FA"/>
    <w:rsid w:val="004A683B"/>
    <w:rsid w:val="004B0272"/>
    <w:rsid w:val="004B2701"/>
    <w:rsid w:val="004B2E1B"/>
    <w:rsid w:val="004B2F28"/>
    <w:rsid w:val="004B3AA8"/>
    <w:rsid w:val="004B3E93"/>
    <w:rsid w:val="004C1FBC"/>
    <w:rsid w:val="004C3F1D"/>
    <w:rsid w:val="004C458D"/>
    <w:rsid w:val="004C7556"/>
    <w:rsid w:val="004C7E8B"/>
    <w:rsid w:val="004C7E9D"/>
    <w:rsid w:val="004C7F67"/>
    <w:rsid w:val="004D076D"/>
    <w:rsid w:val="004D0EF1"/>
    <w:rsid w:val="004D1167"/>
    <w:rsid w:val="004D2253"/>
    <w:rsid w:val="004D426A"/>
    <w:rsid w:val="004D4406"/>
    <w:rsid w:val="004D690D"/>
    <w:rsid w:val="004D7C42"/>
    <w:rsid w:val="004E0465"/>
    <w:rsid w:val="004E127B"/>
    <w:rsid w:val="004E1C0A"/>
    <w:rsid w:val="004E2B06"/>
    <w:rsid w:val="004E30C5"/>
    <w:rsid w:val="004E4AA5"/>
    <w:rsid w:val="004E4AEE"/>
    <w:rsid w:val="004E59E3"/>
    <w:rsid w:val="004E67C0"/>
    <w:rsid w:val="004E71D8"/>
    <w:rsid w:val="004F391A"/>
    <w:rsid w:val="004F3CFB"/>
    <w:rsid w:val="004F612D"/>
    <w:rsid w:val="004F6456"/>
    <w:rsid w:val="004F696E"/>
    <w:rsid w:val="004F6C71"/>
    <w:rsid w:val="00501139"/>
    <w:rsid w:val="0050363E"/>
    <w:rsid w:val="005039BC"/>
    <w:rsid w:val="005043BB"/>
    <w:rsid w:val="00504A3D"/>
    <w:rsid w:val="00505767"/>
    <w:rsid w:val="005073F0"/>
    <w:rsid w:val="00507726"/>
    <w:rsid w:val="005078B3"/>
    <w:rsid w:val="00507C11"/>
    <w:rsid w:val="00510A7B"/>
    <w:rsid w:val="00512F6E"/>
    <w:rsid w:val="00513038"/>
    <w:rsid w:val="00514174"/>
    <w:rsid w:val="00516088"/>
    <w:rsid w:val="00516B0B"/>
    <w:rsid w:val="005220EC"/>
    <w:rsid w:val="00523F95"/>
    <w:rsid w:val="00524D65"/>
    <w:rsid w:val="005251C1"/>
    <w:rsid w:val="00525B16"/>
    <w:rsid w:val="00533D04"/>
    <w:rsid w:val="00534804"/>
    <w:rsid w:val="00534BDF"/>
    <w:rsid w:val="005354EA"/>
    <w:rsid w:val="0053585F"/>
    <w:rsid w:val="00535EC4"/>
    <w:rsid w:val="00535ED9"/>
    <w:rsid w:val="0053692B"/>
    <w:rsid w:val="00540BA9"/>
    <w:rsid w:val="00541853"/>
    <w:rsid w:val="00543BDA"/>
    <w:rsid w:val="005441CC"/>
    <w:rsid w:val="00546923"/>
    <w:rsid w:val="005479DA"/>
    <w:rsid w:val="00547BCC"/>
    <w:rsid w:val="0055013B"/>
    <w:rsid w:val="00551F6F"/>
    <w:rsid w:val="00555044"/>
    <w:rsid w:val="005564D4"/>
    <w:rsid w:val="00561475"/>
    <w:rsid w:val="0056487B"/>
    <w:rsid w:val="00564FB9"/>
    <w:rsid w:val="00566641"/>
    <w:rsid w:val="00573D9E"/>
    <w:rsid w:val="005801E3"/>
    <w:rsid w:val="00581802"/>
    <w:rsid w:val="005836A8"/>
    <w:rsid w:val="0058409C"/>
    <w:rsid w:val="00584262"/>
    <w:rsid w:val="00586630"/>
    <w:rsid w:val="00587ADD"/>
    <w:rsid w:val="00591E27"/>
    <w:rsid w:val="00594FC7"/>
    <w:rsid w:val="00596160"/>
    <w:rsid w:val="005966E2"/>
    <w:rsid w:val="00597007"/>
    <w:rsid w:val="005A00C2"/>
    <w:rsid w:val="005A0966"/>
    <w:rsid w:val="005A11B7"/>
    <w:rsid w:val="005A260B"/>
    <w:rsid w:val="005A4A1B"/>
    <w:rsid w:val="005A7830"/>
    <w:rsid w:val="005A7FCE"/>
    <w:rsid w:val="005B0F3F"/>
    <w:rsid w:val="005B44B0"/>
    <w:rsid w:val="005B4903"/>
    <w:rsid w:val="005B51CE"/>
    <w:rsid w:val="005B5885"/>
    <w:rsid w:val="005B5CD7"/>
    <w:rsid w:val="005B6CF6"/>
    <w:rsid w:val="005B7422"/>
    <w:rsid w:val="005C0CD0"/>
    <w:rsid w:val="005C29B8"/>
    <w:rsid w:val="005C5F21"/>
    <w:rsid w:val="005C622D"/>
    <w:rsid w:val="005C7156"/>
    <w:rsid w:val="005D0C75"/>
    <w:rsid w:val="005D1FC7"/>
    <w:rsid w:val="005D3080"/>
    <w:rsid w:val="005D4171"/>
    <w:rsid w:val="005D6A95"/>
    <w:rsid w:val="005D6B2C"/>
    <w:rsid w:val="005D6D9C"/>
    <w:rsid w:val="005E2335"/>
    <w:rsid w:val="005E34CA"/>
    <w:rsid w:val="005E3C18"/>
    <w:rsid w:val="005E6812"/>
    <w:rsid w:val="005E6A4B"/>
    <w:rsid w:val="005E7881"/>
    <w:rsid w:val="005E78E0"/>
    <w:rsid w:val="005F0D9C"/>
    <w:rsid w:val="005F284E"/>
    <w:rsid w:val="005F4712"/>
    <w:rsid w:val="005F5BA4"/>
    <w:rsid w:val="006015CE"/>
    <w:rsid w:val="00604784"/>
    <w:rsid w:val="00604B01"/>
    <w:rsid w:val="00606419"/>
    <w:rsid w:val="00607D29"/>
    <w:rsid w:val="006111E2"/>
    <w:rsid w:val="00612952"/>
    <w:rsid w:val="00614CC1"/>
    <w:rsid w:val="00615A9D"/>
    <w:rsid w:val="00615E0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775"/>
    <w:rsid w:val="00660313"/>
    <w:rsid w:val="006640E5"/>
    <w:rsid w:val="006646F1"/>
    <w:rsid w:val="00664929"/>
    <w:rsid w:val="00664F62"/>
    <w:rsid w:val="006655E1"/>
    <w:rsid w:val="0067173E"/>
    <w:rsid w:val="00672060"/>
    <w:rsid w:val="00672BFD"/>
    <w:rsid w:val="006770F4"/>
    <w:rsid w:val="00677A84"/>
    <w:rsid w:val="0068026D"/>
    <w:rsid w:val="00680A27"/>
    <w:rsid w:val="006816A4"/>
    <w:rsid w:val="006819B8"/>
    <w:rsid w:val="006840A6"/>
    <w:rsid w:val="006850CD"/>
    <w:rsid w:val="00685AAB"/>
    <w:rsid w:val="00685FD6"/>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85A"/>
    <w:rsid w:val="006E6A5B"/>
    <w:rsid w:val="006F03A8"/>
    <w:rsid w:val="006F2ACA"/>
    <w:rsid w:val="006F2ADC"/>
    <w:rsid w:val="006F2BFE"/>
    <w:rsid w:val="006F31E9"/>
    <w:rsid w:val="006F6284"/>
    <w:rsid w:val="007002C5"/>
    <w:rsid w:val="00704387"/>
    <w:rsid w:val="00707669"/>
    <w:rsid w:val="00711CBA"/>
    <w:rsid w:val="00711FB5"/>
    <w:rsid w:val="00712A01"/>
    <w:rsid w:val="0071331E"/>
    <w:rsid w:val="00714F58"/>
    <w:rsid w:val="007228A9"/>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AB5"/>
    <w:rsid w:val="00746800"/>
    <w:rsid w:val="007501A8"/>
    <w:rsid w:val="00750D61"/>
    <w:rsid w:val="00750EE1"/>
    <w:rsid w:val="00752B4D"/>
    <w:rsid w:val="00755402"/>
    <w:rsid w:val="00756914"/>
    <w:rsid w:val="00756B26"/>
    <w:rsid w:val="00756EDF"/>
    <w:rsid w:val="007600E3"/>
    <w:rsid w:val="00765C43"/>
    <w:rsid w:val="00765EFB"/>
    <w:rsid w:val="007671CA"/>
    <w:rsid w:val="00767C61"/>
    <w:rsid w:val="0077008A"/>
    <w:rsid w:val="007701F2"/>
    <w:rsid w:val="00770245"/>
    <w:rsid w:val="00773C1F"/>
    <w:rsid w:val="00774DA4"/>
    <w:rsid w:val="00774EA3"/>
    <w:rsid w:val="00776599"/>
    <w:rsid w:val="0078114B"/>
    <w:rsid w:val="00781BD2"/>
    <w:rsid w:val="00781DD2"/>
    <w:rsid w:val="00783ECF"/>
    <w:rsid w:val="0078413A"/>
    <w:rsid w:val="00784FCE"/>
    <w:rsid w:val="007959E8"/>
    <w:rsid w:val="00795E9C"/>
    <w:rsid w:val="007A0521"/>
    <w:rsid w:val="007A07FF"/>
    <w:rsid w:val="007A2E12"/>
    <w:rsid w:val="007A3475"/>
    <w:rsid w:val="007A41C8"/>
    <w:rsid w:val="007A54CE"/>
    <w:rsid w:val="007A65B3"/>
    <w:rsid w:val="007A6FD9"/>
    <w:rsid w:val="007A7FFA"/>
    <w:rsid w:val="007B04EB"/>
    <w:rsid w:val="007B0D4F"/>
    <w:rsid w:val="007B5275"/>
    <w:rsid w:val="007B5A3D"/>
    <w:rsid w:val="007B5B95"/>
    <w:rsid w:val="007B68EA"/>
    <w:rsid w:val="007B7199"/>
    <w:rsid w:val="007B7453"/>
    <w:rsid w:val="007C13F3"/>
    <w:rsid w:val="007C1E8B"/>
    <w:rsid w:val="007C2D89"/>
    <w:rsid w:val="007C4212"/>
    <w:rsid w:val="007C4593"/>
    <w:rsid w:val="007C5309"/>
    <w:rsid w:val="007C6069"/>
    <w:rsid w:val="007D06C4"/>
    <w:rsid w:val="007D1352"/>
    <w:rsid w:val="007D2508"/>
    <w:rsid w:val="007D346A"/>
    <w:rsid w:val="007D3804"/>
    <w:rsid w:val="007D6518"/>
    <w:rsid w:val="007D76BD"/>
    <w:rsid w:val="007E0BF1"/>
    <w:rsid w:val="007E5E1D"/>
    <w:rsid w:val="007E6527"/>
    <w:rsid w:val="007F0ED8"/>
    <w:rsid w:val="007F0F63"/>
    <w:rsid w:val="007F4FB4"/>
    <w:rsid w:val="007F75CE"/>
    <w:rsid w:val="008013A4"/>
    <w:rsid w:val="008027CE"/>
    <w:rsid w:val="00802F42"/>
    <w:rsid w:val="00804383"/>
    <w:rsid w:val="00804BB7"/>
    <w:rsid w:val="00804D41"/>
    <w:rsid w:val="00810257"/>
    <w:rsid w:val="008104F5"/>
    <w:rsid w:val="00810DCE"/>
    <w:rsid w:val="00811072"/>
    <w:rsid w:val="00811369"/>
    <w:rsid w:val="00815419"/>
    <w:rsid w:val="008163C8"/>
    <w:rsid w:val="008164A1"/>
    <w:rsid w:val="00817325"/>
    <w:rsid w:val="00820199"/>
    <w:rsid w:val="008209E6"/>
    <w:rsid w:val="00823303"/>
    <w:rsid w:val="008233B2"/>
    <w:rsid w:val="00823A9F"/>
    <w:rsid w:val="00823C85"/>
    <w:rsid w:val="008241DA"/>
    <w:rsid w:val="00825138"/>
    <w:rsid w:val="008269DD"/>
    <w:rsid w:val="00830621"/>
    <w:rsid w:val="008323D5"/>
    <w:rsid w:val="0083348C"/>
    <w:rsid w:val="00834CD8"/>
    <w:rsid w:val="00836D93"/>
    <w:rsid w:val="008373D3"/>
    <w:rsid w:val="00840617"/>
    <w:rsid w:val="00840F84"/>
    <w:rsid w:val="00842A47"/>
    <w:rsid w:val="00843C13"/>
    <w:rsid w:val="008454F8"/>
    <w:rsid w:val="0085173A"/>
    <w:rsid w:val="00856316"/>
    <w:rsid w:val="008603CE"/>
    <w:rsid w:val="00861721"/>
    <w:rsid w:val="008620FC"/>
    <w:rsid w:val="008627A5"/>
    <w:rsid w:val="00863E05"/>
    <w:rsid w:val="00865ACA"/>
    <w:rsid w:val="00865D28"/>
    <w:rsid w:val="00865F85"/>
    <w:rsid w:val="00867C10"/>
    <w:rsid w:val="00867C55"/>
    <w:rsid w:val="00870439"/>
    <w:rsid w:val="00870DA1"/>
    <w:rsid w:val="00883F93"/>
    <w:rsid w:val="00884DB3"/>
    <w:rsid w:val="00885A9D"/>
    <w:rsid w:val="008864F6"/>
    <w:rsid w:val="0089049D"/>
    <w:rsid w:val="00891CEF"/>
    <w:rsid w:val="00892548"/>
    <w:rsid w:val="008928C9"/>
    <w:rsid w:val="00892AEC"/>
    <w:rsid w:val="008930CB"/>
    <w:rsid w:val="008938DC"/>
    <w:rsid w:val="00893FD1"/>
    <w:rsid w:val="00894836"/>
    <w:rsid w:val="00895172"/>
    <w:rsid w:val="00895680"/>
    <w:rsid w:val="00896DFF"/>
    <w:rsid w:val="0089762C"/>
    <w:rsid w:val="008A1893"/>
    <w:rsid w:val="008A20A3"/>
    <w:rsid w:val="008A3215"/>
    <w:rsid w:val="008A57E6"/>
    <w:rsid w:val="008A6F81"/>
    <w:rsid w:val="008A769A"/>
    <w:rsid w:val="008B0C9C"/>
    <w:rsid w:val="008B1181"/>
    <w:rsid w:val="008B166D"/>
    <w:rsid w:val="008B17F4"/>
    <w:rsid w:val="008B3615"/>
    <w:rsid w:val="008B4AC4"/>
    <w:rsid w:val="008B50C8"/>
    <w:rsid w:val="008B5281"/>
    <w:rsid w:val="008B7E05"/>
    <w:rsid w:val="008C1797"/>
    <w:rsid w:val="008C219C"/>
    <w:rsid w:val="008C475E"/>
    <w:rsid w:val="008C619A"/>
    <w:rsid w:val="008D0CE8"/>
    <w:rsid w:val="008D275C"/>
    <w:rsid w:val="008D2D1D"/>
    <w:rsid w:val="008D453D"/>
    <w:rsid w:val="008D51F0"/>
    <w:rsid w:val="008D53AD"/>
    <w:rsid w:val="008D562B"/>
    <w:rsid w:val="008D5733"/>
    <w:rsid w:val="008D622B"/>
    <w:rsid w:val="008D666C"/>
    <w:rsid w:val="008D7B54"/>
    <w:rsid w:val="008E0C9D"/>
    <w:rsid w:val="008E1648"/>
    <w:rsid w:val="008E1B3E"/>
    <w:rsid w:val="008E2319"/>
    <w:rsid w:val="008E42D5"/>
    <w:rsid w:val="008E4BB6"/>
    <w:rsid w:val="008E5518"/>
    <w:rsid w:val="008E6A84"/>
    <w:rsid w:val="008F0CDC"/>
    <w:rsid w:val="008F17A3"/>
    <w:rsid w:val="008F1ED3"/>
    <w:rsid w:val="008F23A5"/>
    <w:rsid w:val="008F4C29"/>
    <w:rsid w:val="008F70BD"/>
    <w:rsid w:val="008F788F"/>
    <w:rsid w:val="008F7EA2"/>
    <w:rsid w:val="00901968"/>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E16"/>
    <w:rsid w:val="009429D5"/>
    <w:rsid w:val="00942BF1"/>
    <w:rsid w:val="00945180"/>
    <w:rsid w:val="00945428"/>
    <w:rsid w:val="0094607B"/>
    <w:rsid w:val="00953604"/>
    <w:rsid w:val="0095496B"/>
    <w:rsid w:val="009610DC"/>
    <w:rsid w:val="00961490"/>
    <w:rsid w:val="0096381A"/>
    <w:rsid w:val="00965E04"/>
    <w:rsid w:val="009674AD"/>
    <w:rsid w:val="00970CDC"/>
    <w:rsid w:val="0097194F"/>
    <w:rsid w:val="00971DED"/>
    <w:rsid w:val="00973E6C"/>
    <w:rsid w:val="00977010"/>
    <w:rsid w:val="00977D02"/>
    <w:rsid w:val="009809BB"/>
    <w:rsid w:val="0098364B"/>
    <w:rsid w:val="0098375E"/>
    <w:rsid w:val="009843F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58F"/>
    <w:rsid w:val="009B6971"/>
    <w:rsid w:val="009C27F1"/>
    <w:rsid w:val="009C3152"/>
    <w:rsid w:val="009C4CFA"/>
    <w:rsid w:val="009C5070"/>
    <w:rsid w:val="009D033A"/>
    <w:rsid w:val="009D112C"/>
    <w:rsid w:val="009D30F6"/>
    <w:rsid w:val="009D47FA"/>
    <w:rsid w:val="009D4C5B"/>
    <w:rsid w:val="009D50D2"/>
    <w:rsid w:val="009D6BCA"/>
    <w:rsid w:val="009D6D4F"/>
    <w:rsid w:val="009E0F62"/>
    <w:rsid w:val="009E397D"/>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91"/>
    <w:rsid w:val="00A153D9"/>
    <w:rsid w:val="00A15F09"/>
    <w:rsid w:val="00A169B6"/>
    <w:rsid w:val="00A214E3"/>
    <w:rsid w:val="00A21B76"/>
    <w:rsid w:val="00A2271D"/>
    <w:rsid w:val="00A237D5"/>
    <w:rsid w:val="00A30EFC"/>
    <w:rsid w:val="00A31984"/>
    <w:rsid w:val="00A32D73"/>
    <w:rsid w:val="00A3367B"/>
    <w:rsid w:val="00A33A89"/>
    <w:rsid w:val="00A34BC2"/>
    <w:rsid w:val="00A3597D"/>
    <w:rsid w:val="00A36DD1"/>
    <w:rsid w:val="00A4006C"/>
    <w:rsid w:val="00A40091"/>
    <w:rsid w:val="00A4030F"/>
    <w:rsid w:val="00A418AB"/>
    <w:rsid w:val="00A41C79"/>
    <w:rsid w:val="00A41CB5"/>
    <w:rsid w:val="00A42CDF"/>
    <w:rsid w:val="00A4452E"/>
    <w:rsid w:val="00A4472C"/>
    <w:rsid w:val="00A44E69"/>
    <w:rsid w:val="00A4661E"/>
    <w:rsid w:val="00A50D6D"/>
    <w:rsid w:val="00A51F96"/>
    <w:rsid w:val="00A53F68"/>
    <w:rsid w:val="00A55BD6"/>
    <w:rsid w:val="00A55D50"/>
    <w:rsid w:val="00A57142"/>
    <w:rsid w:val="00A648CD"/>
    <w:rsid w:val="00A6537A"/>
    <w:rsid w:val="00A66B40"/>
    <w:rsid w:val="00A67866"/>
    <w:rsid w:val="00A70B07"/>
    <w:rsid w:val="00A723F8"/>
    <w:rsid w:val="00A72F62"/>
    <w:rsid w:val="00A77CCB"/>
    <w:rsid w:val="00A80A03"/>
    <w:rsid w:val="00A83D8D"/>
    <w:rsid w:val="00A8446B"/>
    <w:rsid w:val="00A8473F"/>
    <w:rsid w:val="00A862D6"/>
    <w:rsid w:val="00A8715E"/>
    <w:rsid w:val="00A9295B"/>
    <w:rsid w:val="00A93B09"/>
    <w:rsid w:val="00A94247"/>
    <w:rsid w:val="00A952D7"/>
    <w:rsid w:val="00A963F7"/>
    <w:rsid w:val="00A96AD8"/>
    <w:rsid w:val="00A96EFE"/>
    <w:rsid w:val="00AA052C"/>
    <w:rsid w:val="00AA1E45"/>
    <w:rsid w:val="00AA2B5C"/>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4E7D"/>
    <w:rsid w:val="00AF5398"/>
    <w:rsid w:val="00B049AF"/>
    <w:rsid w:val="00B051C7"/>
    <w:rsid w:val="00B07242"/>
    <w:rsid w:val="00B10534"/>
    <w:rsid w:val="00B113DB"/>
    <w:rsid w:val="00B11D8A"/>
    <w:rsid w:val="00B12981"/>
    <w:rsid w:val="00B147DD"/>
    <w:rsid w:val="00B156FD"/>
    <w:rsid w:val="00B16619"/>
    <w:rsid w:val="00B21F61"/>
    <w:rsid w:val="00B222ED"/>
    <w:rsid w:val="00B261F1"/>
    <w:rsid w:val="00B265BC"/>
    <w:rsid w:val="00B31FB1"/>
    <w:rsid w:val="00B33952"/>
    <w:rsid w:val="00B33C5E"/>
    <w:rsid w:val="00B342F4"/>
    <w:rsid w:val="00B34369"/>
    <w:rsid w:val="00B34DC2"/>
    <w:rsid w:val="00B360AA"/>
    <w:rsid w:val="00B378E5"/>
    <w:rsid w:val="00B4346D"/>
    <w:rsid w:val="00B440F4"/>
    <w:rsid w:val="00B447A5"/>
    <w:rsid w:val="00B4654C"/>
    <w:rsid w:val="00B46AF0"/>
    <w:rsid w:val="00B47293"/>
    <w:rsid w:val="00B50E50"/>
    <w:rsid w:val="00B52120"/>
    <w:rsid w:val="00B527FA"/>
    <w:rsid w:val="00B54ABC"/>
    <w:rsid w:val="00B54DDE"/>
    <w:rsid w:val="00B56FBE"/>
    <w:rsid w:val="00B60ACF"/>
    <w:rsid w:val="00B62B58"/>
    <w:rsid w:val="00B65149"/>
    <w:rsid w:val="00B66567"/>
    <w:rsid w:val="00B66F52"/>
    <w:rsid w:val="00B66FE5"/>
    <w:rsid w:val="00B72880"/>
    <w:rsid w:val="00B758BF"/>
    <w:rsid w:val="00B76026"/>
    <w:rsid w:val="00B77EC8"/>
    <w:rsid w:val="00B80766"/>
    <w:rsid w:val="00B81FD8"/>
    <w:rsid w:val="00B827A6"/>
    <w:rsid w:val="00B831CE"/>
    <w:rsid w:val="00B86677"/>
    <w:rsid w:val="00B87131"/>
    <w:rsid w:val="00B87E04"/>
    <w:rsid w:val="00B90CE0"/>
    <w:rsid w:val="00B939B1"/>
    <w:rsid w:val="00B96D40"/>
    <w:rsid w:val="00B97386"/>
    <w:rsid w:val="00BA263B"/>
    <w:rsid w:val="00BA42B2"/>
    <w:rsid w:val="00BA553A"/>
    <w:rsid w:val="00BA58D4"/>
    <w:rsid w:val="00BA5B9E"/>
    <w:rsid w:val="00BA7C9A"/>
    <w:rsid w:val="00BB203B"/>
    <w:rsid w:val="00BB4114"/>
    <w:rsid w:val="00BB5F8F"/>
    <w:rsid w:val="00BB657A"/>
    <w:rsid w:val="00BC1A4E"/>
    <w:rsid w:val="00BC2B4C"/>
    <w:rsid w:val="00BC4790"/>
    <w:rsid w:val="00BC5DC7"/>
    <w:rsid w:val="00BC6B8B"/>
    <w:rsid w:val="00BC73D8"/>
    <w:rsid w:val="00BD1948"/>
    <w:rsid w:val="00BD52D7"/>
    <w:rsid w:val="00BD5AD2"/>
    <w:rsid w:val="00BE22F3"/>
    <w:rsid w:val="00BE5B52"/>
    <w:rsid w:val="00BE5D54"/>
    <w:rsid w:val="00BE7B8D"/>
    <w:rsid w:val="00BF0993"/>
    <w:rsid w:val="00BF10A9"/>
    <w:rsid w:val="00BF1703"/>
    <w:rsid w:val="00BF231C"/>
    <w:rsid w:val="00BF51E5"/>
    <w:rsid w:val="00BF74A6"/>
    <w:rsid w:val="00C013AD"/>
    <w:rsid w:val="00C04904"/>
    <w:rsid w:val="00C056B3"/>
    <w:rsid w:val="00C06C9C"/>
    <w:rsid w:val="00C103E5"/>
    <w:rsid w:val="00C13319"/>
    <w:rsid w:val="00C13EE9"/>
    <w:rsid w:val="00C21540"/>
    <w:rsid w:val="00C21906"/>
    <w:rsid w:val="00C21BFA"/>
    <w:rsid w:val="00C22148"/>
    <w:rsid w:val="00C24C8D"/>
    <w:rsid w:val="00C25FE2"/>
    <w:rsid w:val="00C26B53"/>
    <w:rsid w:val="00C279B2"/>
    <w:rsid w:val="00C27D1D"/>
    <w:rsid w:val="00C33E50"/>
    <w:rsid w:val="00C34C20"/>
    <w:rsid w:val="00C35A3E"/>
    <w:rsid w:val="00C42130"/>
    <w:rsid w:val="00C423A4"/>
    <w:rsid w:val="00C44BF5"/>
    <w:rsid w:val="00C51784"/>
    <w:rsid w:val="00C521D6"/>
    <w:rsid w:val="00C55232"/>
    <w:rsid w:val="00C553A4"/>
    <w:rsid w:val="00C55A06"/>
    <w:rsid w:val="00C55D03"/>
    <w:rsid w:val="00C601BC"/>
    <w:rsid w:val="00C6329F"/>
    <w:rsid w:val="00C63340"/>
    <w:rsid w:val="00C643F9"/>
    <w:rsid w:val="00C64E95"/>
    <w:rsid w:val="00C71372"/>
    <w:rsid w:val="00C72410"/>
    <w:rsid w:val="00C7287F"/>
    <w:rsid w:val="00C75644"/>
    <w:rsid w:val="00C80982"/>
    <w:rsid w:val="00C80CB8"/>
    <w:rsid w:val="00C819F8"/>
    <w:rsid w:val="00C8248C"/>
    <w:rsid w:val="00C82DD0"/>
    <w:rsid w:val="00C84E33"/>
    <w:rsid w:val="00C86D6F"/>
    <w:rsid w:val="00C905FC"/>
    <w:rsid w:val="00C92D03"/>
    <w:rsid w:val="00C9319C"/>
    <w:rsid w:val="00C9435D"/>
    <w:rsid w:val="00C94DF2"/>
    <w:rsid w:val="00C95B4D"/>
    <w:rsid w:val="00C96741"/>
    <w:rsid w:val="00CA1FD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89C"/>
    <w:rsid w:val="00CF2947"/>
    <w:rsid w:val="00CF686F"/>
    <w:rsid w:val="00CF6E60"/>
    <w:rsid w:val="00CF7BCA"/>
    <w:rsid w:val="00D008FD"/>
    <w:rsid w:val="00D0321C"/>
    <w:rsid w:val="00D035EC"/>
    <w:rsid w:val="00D06AB1"/>
    <w:rsid w:val="00D072ED"/>
    <w:rsid w:val="00D07A16"/>
    <w:rsid w:val="00D1058E"/>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24F"/>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5F"/>
    <w:rsid w:val="00DF1961"/>
    <w:rsid w:val="00DF4101"/>
    <w:rsid w:val="00DF44DE"/>
    <w:rsid w:val="00DF5F11"/>
    <w:rsid w:val="00DF5FB1"/>
    <w:rsid w:val="00E01138"/>
    <w:rsid w:val="00E02DFB"/>
    <w:rsid w:val="00E030F9"/>
    <w:rsid w:val="00E0311A"/>
    <w:rsid w:val="00E03138"/>
    <w:rsid w:val="00E06404"/>
    <w:rsid w:val="00E065D2"/>
    <w:rsid w:val="00E06FA1"/>
    <w:rsid w:val="00E11A85"/>
    <w:rsid w:val="00E12495"/>
    <w:rsid w:val="00E14FE5"/>
    <w:rsid w:val="00E15994"/>
    <w:rsid w:val="00E15CCD"/>
    <w:rsid w:val="00E202EF"/>
    <w:rsid w:val="00E210B5"/>
    <w:rsid w:val="00E2220C"/>
    <w:rsid w:val="00E232E6"/>
    <w:rsid w:val="00E23D99"/>
    <w:rsid w:val="00E2552F"/>
    <w:rsid w:val="00E30061"/>
    <w:rsid w:val="00E3137A"/>
    <w:rsid w:val="00E32CCF"/>
    <w:rsid w:val="00E34A98"/>
    <w:rsid w:val="00E35D1E"/>
    <w:rsid w:val="00E364F9"/>
    <w:rsid w:val="00E365FA"/>
    <w:rsid w:val="00E36789"/>
    <w:rsid w:val="00E42E03"/>
    <w:rsid w:val="00E44A83"/>
    <w:rsid w:val="00E44CEF"/>
    <w:rsid w:val="00E502C1"/>
    <w:rsid w:val="00E502DD"/>
    <w:rsid w:val="00E50D3A"/>
    <w:rsid w:val="00E51387"/>
    <w:rsid w:val="00E51E68"/>
    <w:rsid w:val="00E52EFD"/>
    <w:rsid w:val="00E5408A"/>
    <w:rsid w:val="00E56800"/>
    <w:rsid w:val="00E60C63"/>
    <w:rsid w:val="00E62FF9"/>
    <w:rsid w:val="00E635D6"/>
    <w:rsid w:val="00E639BC"/>
    <w:rsid w:val="00E64A9F"/>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BAE"/>
    <w:rsid w:val="00E95D13"/>
    <w:rsid w:val="00E95DD3"/>
    <w:rsid w:val="00E969D5"/>
    <w:rsid w:val="00EA58D1"/>
    <w:rsid w:val="00EA61BC"/>
    <w:rsid w:val="00EA681A"/>
    <w:rsid w:val="00EA735B"/>
    <w:rsid w:val="00EB17DE"/>
    <w:rsid w:val="00EB1E69"/>
    <w:rsid w:val="00EB2086"/>
    <w:rsid w:val="00EB2215"/>
    <w:rsid w:val="00EB5EDF"/>
    <w:rsid w:val="00EB60FE"/>
    <w:rsid w:val="00EB74DB"/>
    <w:rsid w:val="00EC2F30"/>
    <w:rsid w:val="00EC5359"/>
    <w:rsid w:val="00EC562A"/>
    <w:rsid w:val="00EC601E"/>
    <w:rsid w:val="00EC79B7"/>
    <w:rsid w:val="00ED067A"/>
    <w:rsid w:val="00ED15DA"/>
    <w:rsid w:val="00ED2B50"/>
    <w:rsid w:val="00EE0350"/>
    <w:rsid w:val="00EE0719"/>
    <w:rsid w:val="00EE0E80"/>
    <w:rsid w:val="00EE54A6"/>
    <w:rsid w:val="00EE613F"/>
    <w:rsid w:val="00EE7295"/>
    <w:rsid w:val="00EE75D5"/>
    <w:rsid w:val="00EE7869"/>
    <w:rsid w:val="00EF054A"/>
    <w:rsid w:val="00EF3235"/>
    <w:rsid w:val="00EF6D41"/>
    <w:rsid w:val="00EF7E72"/>
    <w:rsid w:val="00F06D37"/>
    <w:rsid w:val="00F07B9D"/>
    <w:rsid w:val="00F11586"/>
    <w:rsid w:val="00F1183B"/>
    <w:rsid w:val="00F11C9F"/>
    <w:rsid w:val="00F12263"/>
    <w:rsid w:val="00F1409D"/>
    <w:rsid w:val="00F14214"/>
    <w:rsid w:val="00F157A9"/>
    <w:rsid w:val="00F25BB6"/>
    <w:rsid w:val="00F26B7E"/>
    <w:rsid w:val="00F27A3B"/>
    <w:rsid w:val="00F30310"/>
    <w:rsid w:val="00F33817"/>
    <w:rsid w:val="00F420D5"/>
    <w:rsid w:val="00F451EA"/>
    <w:rsid w:val="00F45447"/>
    <w:rsid w:val="00F456C6"/>
    <w:rsid w:val="00F4577B"/>
    <w:rsid w:val="00F46148"/>
    <w:rsid w:val="00F46496"/>
    <w:rsid w:val="00F474D0"/>
    <w:rsid w:val="00F50179"/>
    <w:rsid w:val="00F515EE"/>
    <w:rsid w:val="00F521CF"/>
    <w:rsid w:val="00F56511"/>
    <w:rsid w:val="00F6194E"/>
    <w:rsid w:val="00F623AC"/>
    <w:rsid w:val="00F6412A"/>
    <w:rsid w:val="00F65893"/>
    <w:rsid w:val="00F66A4A"/>
    <w:rsid w:val="00F701F6"/>
    <w:rsid w:val="00F71E22"/>
    <w:rsid w:val="00F72142"/>
    <w:rsid w:val="00F72AE7"/>
    <w:rsid w:val="00F778A7"/>
    <w:rsid w:val="00F81141"/>
    <w:rsid w:val="00F833BA"/>
    <w:rsid w:val="00F84F0E"/>
    <w:rsid w:val="00F84FD0"/>
    <w:rsid w:val="00F859A8"/>
    <w:rsid w:val="00F86D87"/>
    <w:rsid w:val="00F909A8"/>
    <w:rsid w:val="00F9108B"/>
    <w:rsid w:val="00F91349"/>
    <w:rsid w:val="00F92FAA"/>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24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C3"/>
    <w:rsid w:val="00FF3E7D"/>
    <w:rsid w:val="00FF5B99"/>
    <w:rsid w:val="00FF730C"/>
    <w:rsid w:val="00FF734B"/>
    <w:rsid w:val="00FF73F4"/>
    <w:rsid w:val="00FF7CE4"/>
    <w:rsid w:val="00FF7E39"/>
    <w:rsid w:val="0184116C"/>
    <w:rsid w:val="033A0C2B"/>
    <w:rsid w:val="04CE1F73"/>
    <w:rsid w:val="05F23A3F"/>
    <w:rsid w:val="07592BC0"/>
    <w:rsid w:val="0AA55524"/>
    <w:rsid w:val="0B8A39E0"/>
    <w:rsid w:val="0D3861DB"/>
    <w:rsid w:val="0F850C98"/>
    <w:rsid w:val="16573C58"/>
    <w:rsid w:val="1C6963B1"/>
    <w:rsid w:val="1E0F3864"/>
    <w:rsid w:val="20DA0A66"/>
    <w:rsid w:val="23ED78C8"/>
    <w:rsid w:val="27825E06"/>
    <w:rsid w:val="286B34B1"/>
    <w:rsid w:val="28A236DD"/>
    <w:rsid w:val="29EB48A9"/>
    <w:rsid w:val="2DA01E4F"/>
    <w:rsid w:val="2FE70FA2"/>
    <w:rsid w:val="326179F5"/>
    <w:rsid w:val="34DE40C3"/>
    <w:rsid w:val="366A4DA8"/>
    <w:rsid w:val="378D33DB"/>
    <w:rsid w:val="383E029A"/>
    <w:rsid w:val="3DC53841"/>
    <w:rsid w:val="3ECB4852"/>
    <w:rsid w:val="4487121B"/>
    <w:rsid w:val="45230F44"/>
    <w:rsid w:val="460074D7"/>
    <w:rsid w:val="46C71DA3"/>
    <w:rsid w:val="46D06540"/>
    <w:rsid w:val="47E0311C"/>
    <w:rsid w:val="4A4C4A99"/>
    <w:rsid w:val="4C8447B9"/>
    <w:rsid w:val="516059AF"/>
    <w:rsid w:val="5B1A5881"/>
    <w:rsid w:val="5BE67564"/>
    <w:rsid w:val="5C471564"/>
    <w:rsid w:val="61573FF7"/>
    <w:rsid w:val="62CD3A12"/>
    <w:rsid w:val="63635322"/>
    <w:rsid w:val="64551630"/>
    <w:rsid w:val="648275DD"/>
    <w:rsid w:val="66100C18"/>
    <w:rsid w:val="68637725"/>
    <w:rsid w:val="68BF2482"/>
    <w:rsid w:val="69165881"/>
    <w:rsid w:val="6A4F66FC"/>
    <w:rsid w:val="6BA918F3"/>
    <w:rsid w:val="6F5823C4"/>
    <w:rsid w:val="6F7701A9"/>
    <w:rsid w:val="6FAC3760"/>
    <w:rsid w:val="708E10B8"/>
    <w:rsid w:val="766B09DE"/>
    <w:rsid w:val="77373422"/>
    <w:rsid w:val="77497252"/>
    <w:rsid w:val="77A613DD"/>
    <w:rsid w:val="7920662D"/>
    <w:rsid w:val="7B62386D"/>
    <w:rsid w:val="7C4534DC"/>
    <w:rsid w:val="7E152E18"/>
    <w:rsid w:val="7ED83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7"/>
    <w:basedOn w:val="26"/>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
    <w:name w:val="章标题"/>
    <w:next w:val="232"/>
    <w:qFormat/>
    <w:uiPriority w:val="0"/>
    <w:p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232">
    <w:name w:val="段"/>
    <w:qFormat/>
    <w:uiPriority w:val="99"/>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D44B48EE93E4F558A43C24BAFCCB91C"/>
        <w:style w:val=""/>
        <w:category>
          <w:name w:val="常规"/>
          <w:gallery w:val="placeholder"/>
        </w:category>
        <w:types>
          <w:type w:val="bbPlcHdr"/>
        </w:types>
        <w:behaviors>
          <w:behavior w:val="content"/>
        </w:behaviors>
        <w:description w:val=""/>
        <w:guid w:val="{ACADF632-3EBC-45A9-889D-1FE34182B977}"/>
      </w:docPartPr>
      <w:docPartBody>
        <w:p>
          <w:pPr>
            <w:pStyle w:val="5"/>
          </w:pPr>
          <w:r>
            <w:rPr>
              <w:rStyle w:val="4"/>
              <w:rFonts w:hint="eastAsia"/>
            </w:rPr>
            <w:t>单击或点击此处输入文字。</w:t>
          </w:r>
        </w:p>
      </w:docPartBody>
    </w:docPart>
    <w:docPart>
      <w:docPartPr>
        <w:name w:val="759E41E4407C48ECA6E1F7DD8608B4E5"/>
        <w:style w:val=""/>
        <w:category>
          <w:name w:val="常规"/>
          <w:gallery w:val="placeholder"/>
        </w:category>
        <w:types>
          <w:type w:val="bbPlcHdr"/>
        </w:types>
        <w:behaviors>
          <w:behavior w:val="content"/>
        </w:behaviors>
        <w:description w:val=""/>
        <w:guid w:val="{FB3CCD19-EFF9-4C10-AE11-995D385547D0}"/>
      </w:docPartPr>
      <w:docPartBody>
        <w:p>
          <w:pPr>
            <w:pStyle w:val="6"/>
          </w:pPr>
          <w:r>
            <w:rPr>
              <w:rStyle w:val="4"/>
              <w:rFonts w:hint="eastAsia"/>
            </w:rPr>
            <w:t>选择一项。</w:t>
          </w:r>
        </w:p>
      </w:docPartBody>
    </w:docPart>
    <w:docPart>
      <w:docPartPr>
        <w:name w:val="5814FB32751E40FF93AA9B3426250B16"/>
        <w:style w:val=""/>
        <w:category>
          <w:name w:val="常规"/>
          <w:gallery w:val="placeholder"/>
        </w:category>
        <w:types>
          <w:type w:val="bbPlcHdr"/>
        </w:types>
        <w:behaviors>
          <w:behavior w:val="content"/>
        </w:behaviors>
        <w:description w:val=""/>
        <w:guid w:val="{8D141DEC-9D02-4B94-A616-BACA4C1812E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021"/>
    <w:rsid w:val="000A1E91"/>
    <w:rsid w:val="000F092A"/>
    <w:rsid w:val="001E06BD"/>
    <w:rsid w:val="00216D78"/>
    <w:rsid w:val="002178FA"/>
    <w:rsid w:val="00292BD5"/>
    <w:rsid w:val="0032732F"/>
    <w:rsid w:val="003832E1"/>
    <w:rsid w:val="003C4840"/>
    <w:rsid w:val="004343B9"/>
    <w:rsid w:val="00446269"/>
    <w:rsid w:val="004B2F28"/>
    <w:rsid w:val="00522797"/>
    <w:rsid w:val="00577413"/>
    <w:rsid w:val="00594FC7"/>
    <w:rsid w:val="006E3B8F"/>
    <w:rsid w:val="00736132"/>
    <w:rsid w:val="00740EEB"/>
    <w:rsid w:val="008704D0"/>
    <w:rsid w:val="00885F55"/>
    <w:rsid w:val="00A66B40"/>
    <w:rsid w:val="00B26D5F"/>
    <w:rsid w:val="00CD2021"/>
    <w:rsid w:val="00DF65A5"/>
    <w:rsid w:val="00EB2215"/>
    <w:rsid w:val="00ED6093"/>
    <w:rsid w:val="00FC1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D44B48EE93E4F558A43C24BAFCCB91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759E41E4407C48ECA6E1F7DD8608B4E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814FB32751E40FF93AA9B3426250B1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2421</Words>
  <Characters>2962</Characters>
  <Lines>24</Lines>
  <Paragraphs>6</Paragraphs>
  <TotalTime>3</TotalTime>
  <ScaleCrop>false</ScaleCrop>
  <LinksUpToDate>false</LinksUpToDate>
  <CharactersWithSpaces>3138</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2024-09-06T11:53:00Z</dcterms:created>
  <dc:creator>xiaoyu</dc:creator>
  <dc:description>&lt;config cover="true" show_menu="true" version="1.0.0" doctype="SDKXY"&gt;_x000d_
&lt;/config&gt;</dc:description>
  <cp:lastModifiedBy>greatwall</cp:lastModifiedBy>
  <cp:lastPrinted>2020-08-30T18:00:00Z</cp:lastPrinted>
  <dcterms:modified xsi:type="dcterms:W3CDTF">2024-10-09T11:43:28Z</dcterms:modified>
  <dc:title>地方标准</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2052-11.8.2.10251</vt:lpwstr>
  </property>
  <property fmtid="{D5CDD505-2E9C-101B-9397-08002B2CF9AE}" pid="15" name="ICV">
    <vt:lpwstr>5E8704B1ECED4C92B02580FC91377678_13</vt:lpwstr>
  </property>
</Properties>
</file>