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E5CB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116EFBD">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7F7F41C">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点击此处添加ICS号</w:t>
            </w:r>
            <w:r>
              <w:rPr>
                <w:rFonts w:ascii="黑体" w:hAnsi="黑体" w:eastAsia="黑体"/>
                <w:sz w:val="21"/>
                <w:szCs w:val="21"/>
              </w:rPr>
              <w:fldChar w:fldCharType="end"/>
            </w:r>
            <w:bookmarkEnd w:id="0"/>
          </w:p>
        </w:tc>
      </w:tr>
      <w:tr w14:paraId="6BD3C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5DEC8FF">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7A18861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6ED19A47">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CCA</w:t>
                  </w:r>
                  <w:r>
                    <w:fldChar w:fldCharType="end"/>
                  </w:r>
                  <w:bookmarkEnd w:id="1"/>
                </w:p>
              </w:tc>
            </w:tr>
          </w:tbl>
          <w:p w14:paraId="19DDC4CE">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2"/>
          </w:p>
        </w:tc>
      </w:tr>
    </w:tbl>
    <w:p w14:paraId="361B405B">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中</w:t>
      </w:r>
      <w:r>
        <w:rPr>
          <w:rFonts w:hint="eastAsia" w:ascii="黑体" w:eastAsia="黑体"/>
          <w:b w:val="0"/>
          <w:w w:val="100"/>
          <w:sz w:val="48"/>
        </w:rPr>
        <w:t>国烹饪协会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4E80BCE6">
      <w:pPr>
        <w:pStyle w:val="195"/>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CCA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rPr>
          <w:rFonts w:hint="eastAsia"/>
          <w:lang w:eastAsia="zh-CN"/>
        </w:rPr>
        <w:t>X</w:t>
      </w:r>
      <w:r>
        <w:rPr>
          <w:rFonts w:hint="eastAsia"/>
          <w:lang w:val="en-US" w:eastAsia="zh-CN"/>
        </w:rPr>
        <w:t>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lang w:eastAsia="zh-CN"/>
        </w:rPr>
        <w:t>X</w:t>
      </w:r>
      <w:r>
        <w:rPr>
          <w:rFonts w:hint="eastAsia"/>
          <w:lang w:val="en-US" w:eastAsia="zh-CN"/>
        </w:rPr>
        <w:t>XXX</w:t>
      </w:r>
      <w:r>
        <w:fldChar w:fldCharType="end"/>
      </w:r>
      <w:bookmarkEnd w:id="7"/>
    </w:p>
    <w:p w14:paraId="3BDB953A">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1F8AB75">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BD69C17">
      <w:pPr>
        <w:pStyle w:val="50"/>
        <w:framePr w:w="9639" w:h="6976" w:hRule="exact" w:hSpace="0" w:vSpace="0" w:wrap="around" w:hAnchor="page" w:y="6408"/>
        <w:jc w:val="center"/>
        <w:rPr>
          <w:rFonts w:hint="eastAsia" w:ascii="黑体" w:hAnsi="黑体" w:eastAsia="黑体"/>
          <w:b w:val="0"/>
          <w:bCs w:val="0"/>
          <w:w w:val="100"/>
        </w:rPr>
      </w:pPr>
    </w:p>
    <w:p w14:paraId="232F1079">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畜禽调理肉制品</w:t>
      </w:r>
      <w:r>
        <w:fldChar w:fldCharType="end"/>
      </w:r>
      <w:bookmarkEnd w:id="9"/>
    </w:p>
    <w:p w14:paraId="5F97BE02">
      <w:pPr>
        <w:framePr w:w="9639" w:h="6974" w:hRule="exact" w:wrap="around" w:vAnchor="page" w:hAnchor="page" w:x="1419" w:y="6408" w:anchorLock="1"/>
        <w:ind w:left="-1418"/>
      </w:pPr>
    </w:p>
    <w:p w14:paraId="5B613A93">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Prepared meat product of livestock and poultry</w:t>
      </w:r>
      <w:r>
        <w:rPr>
          <w:rFonts w:eastAsia="黑体"/>
          <w:szCs w:val="28"/>
        </w:rPr>
        <w:fldChar w:fldCharType="end"/>
      </w:r>
      <w:bookmarkEnd w:id="10"/>
    </w:p>
    <w:p w14:paraId="3C11102A">
      <w:pPr>
        <w:framePr w:w="9639" w:h="6974" w:hRule="exact" w:wrap="around" w:vAnchor="page" w:hAnchor="page" w:x="1419" w:y="6408" w:anchorLock="1"/>
        <w:spacing w:line="760" w:lineRule="exact"/>
        <w:ind w:left="-1418"/>
      </w:pPr>
    </w:p>
    <w:p w14:paraId="75A5F146">
      <w:pPr>
        <w:pStyle w:val="125"/>
        <w:framePr w:w="9639" w:h="6974" w:hRule="exact" w:wrap="around" w:vAnchor="page" w:hAnchor="page" w:x="1419" w:y="6408" w:anchorLock="1"/>
        <w:textAlignment w:val="bottom"/>
        <w:rPr>
          <w:rFonts w:eastAsia="黑体"/>
          <w:szCs w:val="28"/>
        </w:rPr>
      </w:pPr>
    </w:p>
    <w:p w14:paraId="7A25F859">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DB55A28">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15072B1">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64CD90E">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D2F9F04">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6F42762">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17CF253">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7E13C85">
      <w:pPr>
        <w:spacing w:line="20" w:lineRule="exact"/>
        <w:jc w:val="center"/>
        <w:rPr>
          <w:rFonts w:hint="eastAsia" w:ascii="黑体" w:hAnsi="黑体" w:eastAsia="黑体"/>
          <w:sz w:val="32"/>
          <w:szCs w:val="32"/>
        </w:rPr>
      </w:pPr>
      <w:bookmarkStart w:id="44" w:name="_GoBack"/>
      <w:bookmarkEnd w:id="44"/>
      <w:bookmarkStart w:id="21" w:name="BookMark4"/>
    </w:p>
    <w:p w14:paraId="36DB8AB7">
      <w:pPr>
        <w:spacing w:line="20" w:lineRule="exact"/>
        <w:jc w:val="center"/>
        <w:rPr>
          <w:rFonts w:hint="eastAsia" w:ascii="黑体" w:hAnsi="黑体" w:eastAsia="黑体"/>
          <w:sz w:val="32"/>
          <w:szCs w:val="32"/>
        </w:rPr>
      </w:pPr>
    </w:p>
    <w:sdt>
      <w:sdtPr>
        <w:tag w:val="NEW_STAND_NAME"/>
        <w:id w:val="595910757"/>
        <w:lock w:val="sdtLocked"/>
        <w:placeholder>
          <w:docPart w:val="DCD6B39CBC5649038A743751A9D1F291"/>
        </w:placeholder>
      </w:sdtPr>
      <w:sdtContent>
        <w:p w14:paraId="1F656480">
          <w:pPr>
            <w:pStyle w:val="177"/>
            <w:spacing w:before="240" w:beforeLines="100" w:after="528" w:afterLines="220"/>
            <w:rPr>
              <w:rFonts w:hint="eastAsia"/>
            </w:rPr>
          </w:pPr>
          <w:bookmarkStart w:id="22" w:name="NEW_STAND_NAME"/>
          <w:r>
            <w:rPr>
              <w:rFonts w:hint="eastAsia"/>
            </w:rPr>
            <w:t>畜禽调理肉制品</w:t>
          </w:r>
        </w:p>
      </w:sdtContent>
    </w:sdt>
    <w:bookmarkEnd w:id="22"/>
    <w:p w14:paraId="0FCD4A0F">
      <w:pPr>
        <w:pStyle w:val="104"/>
        <w:spacing w:before="240" w:after="240"/>
      </w:pPr>
      <w:bookmarkStart w:id="23" w:name="_Toc97192964"/>
      <w:bookmarkStart w:id="24" w:name="_Toc26718930"/>
      <w:bookmarkStart w:id="25" w:name="_Toc26986530"/>
      <w:bookmarkStart w:id="26" w:name="_Toc26648465"/>
      <w:bookmarkStart w:id="27" w:name="_Toc17233325"/>
      <w:bookmarkStart w:id="28" w:name="_Toc17233333"/>
      <w:bookmarkStart w:id="29" w:name="_Toc26986771"/>
      <w:bookmarkStart w:id="30" w:name="_Toc24884211"/>
      <w:bookmarkStart w:id="31" w:name="_Toc24884218"/>
      <w:r>
        <w:rPr>
          <w:rFonts w:hint="eastAsia"/>
        </w:rPr>
        <w:t>范围</w:t>
      </w:r>
      <w:bookmarkEnd w:id="23"/>
      <w:bookmarkEnd w:id="24"/>
      <w:bookmarkEnd w:id="25"/>
      <w:bookmarkEnd w:id="26"/>
      <w:bookmarkEnd w:id="27"/>
      <w:bookmarkEnd w:id="28"/>
      <w:bookmarkEnd w:id="29"/>
      <w:bookmarkEnd w:id="30"/>
      <w:bookmarkEnd w:id="31"/>
    </w:p>
    <w:p w14:paraId="519EE6D5">
      <w:pPr>
        <w:pStyle w:val="56"/>
        <w:ind w:firstLine="420"/>
      </w:pPr>
      <w:bookmarkStart w:id="32" w:name="_Toc24884212"/>
      <w:bookmarkStart w:id="33" w:name="_Toc26648466"/>
      <w:bookmarkStart w:id="34" w:name="_Toc17233334"/>
      <w:bookmarkStart w:id="35" w:name="_Toc17233326"/>
      <w:bookmarkStart w:id="36" w:name="_Toc24884219"/>
      <w:r>
        <w:rPr>
          <w:rFonts w:hint="eastAsia"/>
        </w:rPr>
        <w:t xml:space="preserve">本文件规定了畜禽调理肉制品的要求、检验方法、检验规则、标志、标签、包装、运输和贮存。 </w:t>
      </w:r>
    </w:p>
    <w:p w14:paraId="580A5ADC">
      <w:pPr>
        <w:pStyle w:val="56"/>
        <w:ind w:firstLine="420"/>
      </w:pPr>
      <w:r>
        <w:rPr>
          <w:rFonts w:hint="eastAsia"/>
        </w:rPr>
        <w:t>本文件适用于以鲜（冻）畜禽肉及可食畜禽类副产品（猪肉、牛肉、羊肉、鸡肉、鸭肉、鹅肉、兔肉、鸭肠、鸭掌、鸭舌、黄喉、毛肚、猪肚、猪天梯、脑花等）中的一种或多种为主要原料，根据配方不同，添加或不添加食用盐、白砂糖、香辛料、大豆蛋白、三聚磷酸钠、瓜蛋白酶等辅料及食品添加剂，经解冻或不解冻、整理、清洗或不清洗、腌制或不腌制、斩拌或不斩拌、煮制或不煮制、预炸或不预炸、胀发（酶解）或不胀发（酶解）、整型、内包装、冷冻或不冷冻、外包装等工艺加工制成的非即食冷藏（冻）调理肉制品。</w:t>
      </w:r>
    </w:p>
    <w:p w14:paraId="204C8FD4">
      <w:pPr>
        <w:pStyle w:val="104"/>
        <w:spacing w:before="240" w:after="240"/>
      </w:pPr>
      <w:bookmarkStart w:id="37" w:name="_Toc97192965"/>
      <w:bookmarkStart w:id="38" w:name="_Toc26986531"/>
      <w:bookmarkStart w:id="39" w:name="_Toc26986772"/>
      <w:bookmarkStart w:id="40" w:name="_Toc267189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F63A78A2925341C79ABC318B9A29B3D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4366CB1">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6F49061">
      <w:pPr>
        <w:pStyle w:val="56"/>
        <w:ind w:firstLine="420"/>
      </w:pPr>
      <w:r>
        <w:rPr>
          <w:rFonts w:hint="eastAsia"/>
        </w:rPr>
        <w:t>GB/T 191 包装储运图示标志</w:t>
      </w:r>
    </w:p>
    <w:p w14:paraId="0F53970F">
      <w:pPr>
        <w:pStyle w:val="56"/>
        <w:ind w:firstLine="420"/>
      </w:pPr>
      <w:r>
        <w:rPr>
          <w:rFonts w:hint="eastAsia"/>
        </w:rPr>
        <w:t>GB/T 317 白砂糖</w:t>
      </w:r>
    </w:p>
    <w:p w14:paraId="14D6C84F">
      <w:pPr>
        <w:pStyle w:val="56"/>
        <w:ind w:firstLine="420"/>
      </w:pPr>
      <w:r>
        <w:rPr>
          <w:rFonts w:hint="eastAsia"/>
        </w:rPr>
        <w:t>GB 2707 食品安全国家标准 鲜（冻）畜、禽产品</w:t>
      </w:r>
    </w:p>
    <w:p w14:paraId="0ECF3879">
      <w:pPr>
        <w:pStyle w:val="56"/>
        <w:ind w:firstLine="420"/>
      </w:pPr>
      <w:r>
        <w:rPr>
          <w:rFonts w:hint="eastAsia"/>
        </w:rPr>
        <w:t>GB 2721 食品安全国家标准 食用盐</w:t>
      </w:r>
    </w:p>
    <w:p w14:paraId="3EB62F28">
      <w:pPr>
        <w:pStyle w:val="56"/>
        <w:ind w:firstLine="420"/>
      </w:pPr>
      <w:r>
        <w:rPr>
          <w:rFonts w:hint="eastAsia"/>
        </w:rPr>
        <w:t>GB 2726 食品安全国家标准 熟肉制品</w:t>
      </w:r>
    </w:p>
    <w:p w14:paraId="6E3BEA05">
      <w:pPr>
        <w:pStyle w:val="56"/>
        <w:ind w:firstLine="420"/>
      </w:pPr>
      <w:r>
        <w:rPr>
          <w:rFonts w:hint="eastAsia"/>
        </w:rPr>
        <w:t>GB 2760 食品安全国家标准 食品添加剂使用标准</w:t>
      </w:r>
    </w:p>
    <w:p w14:paraId="0B8DAF84">
      <w:pPr>
        <w:pStyle w:val="56"/>
        <w:ind w:firstLine="420"/>
      </w:pPr>
      <w:r>
        <w:rPr>
          <w:rFonts w:hint="eastAsia"/>
        </w:rPr>
        <w:t>GB 2761 食品安全国家标准 食品中真菌毒素限量</w:t>
      </w:r>
    </w:p>
    <w:p w14:paraId="55930B6E">
      <w:pPr>
        <w:pStyle w:val="56"/>
        <w:ind w:firstLine="420"/>
      </w:pPr>
      <w:r>
        <w:rPr>
          <w:rFonts w:hint="eastAsia"/>
        </w:rPr>
        <w:t>GB 2762 食品安全国家标准 食品中污染物限量</w:t>
      </w:r>
    </w:p>
    <w:p w14:paraId="052A68CF">
      <w:pPr>
        <w:pStyle w:val="56"/>
        <w:ind w:firstLine="420"/>
      </w:pPr>
      <w:r>
        <w:rPr>
          <w:rFonts w:hint="eastAsia"/>
        </w:rPr>
        <w:t>GB 2763 食品安全国家标准 食品中农药最大残留限量</w:t>
      </w:r>
    </w:p>
    <w:p w14:paraId="47038B9D">
      <w:pPr>
        <w:pStyle w:val="56"/>
        <w:ind w:firstLine="420"/>
      </w:pPr>
      <w:r>
        <w:rPr>
          <w:rFonts w:hint="eastAsia"/>
        </w:rPr>
        <w:t>GB 5009.12 食品安全国家标准 食品中铅的测定</w:t>
      </w:r>
    </w:p>
    <w:p w14:paraId="6E0FEBA3">
      <w:pPr>
        <w:pStyle w:val="56"/>
        <w:ind w:firstLine="420"/>
      </w:pPr>
      <w:r>
        <w:rPr>
          <w:rFonts w:hint="eastAsia"/>
        </w:rPr>
        <w:t>GB 5009.227 食品安全国家标准 食品中过氧化值的测定</w:t>
      </w:r>
    </w:p>
    <w:p w14:paraId="73CFB1BD">
      <w:pPr>
        <w:pStyle w:val="56"/>
        <w:ind w:firstLine="420"/>
      </w:pPr>
      <w:r>
        <w:rPr>
          <w:rFonts w:hint="eastAsia"/>
        </w:rPr>
        <w:t>GB 5009.228 食品安全国家标准 食品中挥发性盐基氮的测定</w:t>
      </w:r>
    </w:p>
    <w:p w14:paraId="01E2A4A9">
      <w:pPr>
        <w:pStyle w:val="56"/>
        <w:ind w:firstLine="420"/>
      </w:pPr>
      <w:r>
        <w:rPr>
          <w:rFonts w:hint="eastAsia"/>
        </w:rPr>
        <w:t>GB 5009.237食品安全国家标准 食品pH值的测定</w:t>
      </w:r>
    </w:p>
    <w:p w14:paraId="6ED3AAC1">
      <w:pPr>
        <w:pStyle w:val="56"/>
        <w:ind w:firstLine="420"/>
      </w:pPr>
      <w:r>
        <w:rPr>
          <w:rFonts w:hint="eastAsia"/>
        </w:rPr>
        <w:t>GB 5749 生活饮用水卫生标准</w:t>
      </w:r>
    </w:p>
    <w:p w14:paraId="494A9345">
      <w:pPr>
        <w:pStyle w:val="56"/>
        <w:ind w:firstLine="420"/>
      </w:pPr>
      <w:r>
        <w:rPr>
          <w:rFonts w:hint="eastAsia"/>
        </w:rPr>
        <w:t>GB 7718 食品安全国家标准 预包装食品标签通则</w:t>
      </w:r>
    </w:p>
    <w:p w14:paraId="4D0090DD">
      <w:pPr>
        <w:pStyle w:val="56"/>
        <w:ind w:firstLine="420"/>
      </w:pPr>
      <w:r>
        <w:rPr>
          <w:rFonts w:hint="eastAsia"/>
        </w:rPr>
        <w:t>GB 14880 食品安全国家标准 食品营养强化剂使用标准</w:t>
      </w:r>
    </w:p>
    <w:p w14:paraId="29C23D1D">
      <w:pPr>
        <w:pStyle w:val="56"/>
        <w:ind w:firstLine="420"/>
      </w:pPr>
      <w:r>
        <w:rPr>
          <w:rFonts w:hint="eastAsia"/>
        </w:rPr>
        <w:t>GB 14881 食品安全国家标准 食品生产通用卫生规范</w:t>
      </w:r>
    </w:p>
    <w:p w14:paraId="1BAF384F">
      <w:pPr>
        <w:pStyle w:val="56"/>
        <w:ind w:firstLine="420"/>
      </w:pPr>
      <w:r>
        <w:rPr>
          <w:rFonts w:hint="eastAsia"/>
        </w:rPr>
        <w:t>GB/T 15691 香辛料调味品通用技术条件</w:t>
      </w:r>
    </w:p>
    <w:p w14:paraId="2C100013">
      <w:pPr>
        <w:pStyle w:val="56"/>
        <w:ind w:firstLine="420"/>
      </w:pPr>
      <w:r>
        <w:rPr>
          <w:rFonts w:hint="eastAsia"/>
        </w:rPr>
        <w:t>GB 19295 食品安全国家标准 速冻面米与调制食品</w:t>
      </w:r>
    </w:p>
    <w:p w14:paraId="7CDF966A">
      <w:pPr>
        <w:pStyle w:val="56"/>
        <w:ind w:firstLine="420"/>
      </w:pPr>
      <w:r>
        <w:rPr>
          <w:rFonts w:hint="eastAsia"/>
        </w:rPr>
        <w:t>GB 20371 食品安全国家标准 食品加工用植物蛋白</w:t>
      </w:r>
    </w:p>
    <w:p w14:paraId="289A6595">
      <w:pPr>
        <w:pStyle w:val="56"/>
        <w:ind w:firstLine="420"/>
      </w:pPr>
      <w:r>
        <w:rPr>
          <w:rFonts w:hint="eastAsia"/>
        </w:rPr>
        <w:t>GB 28050 食品安全国家标准 预包装食品营养标签通则</w:t>
      </w:r>
    </w:p>
    <w:p w14:paraId="4637CF62">
      <w:pPr>
        <w:pStyle w:val="56"/>
        <w:ind w:firstLine="420"/>
      </w:pPr>
      <w:r>
        <w:rPr>
          <w:rFonts w:hint="eastAsia"/>
        </w:rPr>
        <w:t>GB 31650 食品安全国家标准 食品中兽药最大残留限量</w:t>
      </w:r>
    </w:p>
    <w:p w14:paraId="661BBCAA">
      <w:pPr>
        <w:pStyle w:val="56"/>
        <w:ind w:firstLine="420"/>
      </w:pPr>
      <w:r>
        <w:rPr>
          <w:rFonts w:hint="eastAsia"/>
        </w:rPr>
        <w:t>SB/T 10482 预制肉类食品质量安全要求</w:t>
      </w:r>
    </w:p>
    <w:p w14:paraId="5121AC55">
      <w:pPr>
        <w:pStyle w:val="56"/>
        <w:ind w:firstLine="420"/>
      </w:pPr>
      <w:r>
        <w:rPr>
          <w:rFonts w:hint="eastAsia"/>
        </w:rPr>
        <w:t>JJF1070  定量包装商品净含量计量检验规则</w:t>
      </w:r>
    </w:p>
    <w:p w14:paraId="13DD2C46">
      <w:pPr>
        <w:pStyle w:val="56"/>
        <w:ind w:firstLine="420"/>
      </w:pPr>
      <w:r>
        <w:rPr>
          <w:rFonts w:hint="eastAsia"/>
        </w:rPr>
        <w:t>国家市场监督管理总局令〔2023〕70号《定量包装商品计量监督管理办法》</w:t>
      </w:r>
    </w:p>
    <w:p w14:paraId="26F8226B">
      <w:pPr>
        <w:pStyle w:val="104"/>
        <w:spacing w:before="240" w:after="240"/>
      </w:pPr>
      <w:bookmarkStart w:id="41" w:name="_Toc97192966"/>
      <w:r>
        <w:rPr>
          <w:rFonts w:hint="eastAsia"/>
          <w:szCs w:val="21"/>
        </w:rPr>
        <w:t>术语和定义</w:t>
      </w:r>
      <w:bookmarkEnd w:id="41"/>
    </w:p>
    <w:sdt>
      <w:sdtPr>
        <w:id w:val="-1909835108"/>
        <w:placeholder>
          <w:docPart w:val="26A385BE6D0E449F897ADCB161FB2B6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84D2410">
          <w:pPr>
            <w:pStyle w:val="56"/>
            <w:ind w:firstLine="420"/>
          </w:pPr>
          <w:bookmarkStart w:id="42" w:name="_Toc26986532"/>
          <w:bookmarkEnd w:id="42"/>
          <w:r>
            <w:t>下列术语和定义适用于本文件。</w:t>
          </w:r>
        </w:p>
      </w:sdtContent>
    </w:sdt>
    <w:p w14:paraId="626D2E56">
      <w:pPr>
        <w:pStyle w:val="105"/>
        <w:spacing w:before="120" w:after="120"/>
      </w:pPr>
    </w:p>
    <w:p w14:paraId="11977FBF">
      <w:pPr>
        <w:pStyle w:val="56"/>
        <w:ind w:firstLine="420"/>
        <w:rPr>
          <w:rFonts w:hint="eastAsia" w:ascii="黑体" w:hAnsi="黑体" w:eastAsia="黑体"/>
        </w:rPr>
      </w:pPr>
      <w:r>
        <w:rPr>
          <w:rFonts w:hint="eastAsia" w:ascii="黑体" w:hAnsi="黑体" w:eastAsia="黑体"/>
        </w:rPr>
        <w:t>生畜禽调理肉制品 row prepared meat product of livestock and poultry</w:t>
      </w:r>
    </w:p>
    <w:p w14:paraId="7C0C8871">
      <w:pPr>
        <w:pStyle w:val="56"/>
        <w:ind w:firstLine="420"/>
      </w:pPr>
      <w:r>
        <w:rPr>
          <w:rFonts w:hint="eastAsia"/>
        </w:rPr>
        <w:t>未经加热畜禽成熟的非即食调理肉制品。</w:t>
      </w:r>
    </w:p>
    <w:p w14:paraId="07DB50E3">
      <w:pPr>
        <w:pStyle w:val="105"/>
        <w:spacing w:before="120" w:after="120"/>
      </w:pPr>
    </w:p>
    <w:p w14:paraId="03BAD56F">
      <w:pPr>
        <w:pStyle w:val="56"/>
        <w:ind w:firstLine="420"/>
        <w:rPr>
          <w:rFonts w:hint="eastAsia" w:ascii="黑体" w:hAnsi="黑体" w:eastAsia="黑体"/>
        </w:rPr>
      </w:pPr>
      <w:r>
        <w:rPr>
          <w:rFonts w:hint="eastAsia" w:ascii="黑体" w:hAnsi="黑体" w:eastAsia="黑体"/>
        </w:rPr>
        <w:t>熟制畜禽调理肉制品 cooked prepared meat product of livestock and poultry</w:t>
      </w:r>
    </w:p>
    <w:p w14:paraId="319AA2F2">
      <w:pPr>
        <w:pStyle w:val="56"/>
        <w:ind w:firstLine="420"/>
      </w:pPr>
      <w:r>
        <w:rPr>
          <w:rFonts w:hint="eastAsia"/>
        </w:rPr>
        <w:t>经加热成熟的非即食调理肉制品。</w:t>
      </w:r>
    </w:p>
    <w:p w14:paraId="1469EA6B">
      <w:pPr>
        <w:pStyle w:val="104"/>
        <w:spacing w:before="240" w:after="240"/>
      </w:pPr>
      <w:r>
        <w:rPr>
          <w:rFonts w:hint="eastAsia"/>
        </w:rPr>
        <w:t>要求</w:t>
      </w:r>
    </w:p>
    <w:p w14:paraId="3E52CFCE">
      <w:pPr>
        <w:pStyle w:val="105"/>
        <w:spacing w:before="120" w:after="120"/>
      </w:pPr>
      <w:r>
        <w:rPr>
          <w:rFonts w:hint="eastAsia"/>
        </w:rPr>
        <w:t>原辅料</w:t>
      </w:r>
    </w:p>
    <w:p w14:paraId="09FAEFE0">
      <w:pPr>
        <w:pStyle w:val="65"/>
        <w:spacing w:before="120" w:after="120"/>
        <w:rPr>
          <w:rFonts w:hint="eastAsia" w:ascii="宋体" w:hAnsi="宋体" w:eastAsia="宋体"/>
        </w:rPr>
      </w:pPr>
      <w:r>
        <w:rPr>
          <w:rFonts w:hint="eastAsia" w:ascii="宋体" w:hAnsi="宋体" w:eastAsia="宋体"/>
        </w:rPr>
        <w:t>鲜（冻）畜禽肉及可食畜禽类副产品（猪肉、牛肉、羊肉、鸡肉、鸭肉、鹅肉、兔肉、鸭肠、鸭掌、鸭舌、黄喉、毛肚、猪肚、猪天梯、脑花等）应符合GB 2707的规定。</w:t>
      </w:r>
    </w:p>
    <w:p w14:paraId="7AD11646">
      <w:pPr>
        <w:pStyle w:val="65"/>
        <w:spacing w:before="120" w:after="120"/>
        <w:rPr>
          <w:rFonts w:hint="eastAsia" w:ascii="宋体" w:hAnsi="宋体" w:eastAsia="宋体"/>
        </w:rPr>
      </w:pPr>
      <w:r>
        <w:rPr>
          <w:rFonts w:hint="eastAsia" w:ascii="宋体" w:hAnsi="宋体" w:eastAsia="宋体"/>
        </w:rPr>
        <w:t>生产用水应符合GB 5749的要求。</w:t>
      </w:r>
    </w:p>
    <w:p w14:paraId="42507A95">
      <w:pPr>
        <w:pStyle w:val="65"/>
        <w:spacing w:before="120" w:after="120"/>
        <w:rPr>
          <w:rFonts w:hint="eastAsia" w:ascii="宋体" w:hAnsi="宋体" w:eastAsia="宋体"/>
        </w:rPr>
      </w:pPr>
      <w:r>
        <w:rPr>
          <w:rFonts w:hint="eastAsia" w:ascii="宋体" w:hAnsi="宋体" w:eastAsia="宋体"/>
        </w:rPr>
        <w:t>香辛料应符合GB/T 15691的规定。</w:t>
      </w:r>
    </w:p>
    <w:p w14:paraId="247B8969">
      <w:pPr>
        <w:pStyle w:val="65"/>
        <w:spacing w:before="120" w:after="120"/>
        <w:rPr>
          <w:rFonts w:hint="eastAsia" w:ascii="宋体" w:hAnsi="宋体" w:eastAsia="宋体"/>
        </w:rPr>
      </w:pPr>
      <w:r>
        <w:rPr>
          <w:rFonts w:hint="eastAsia" w:ascii="宋体" w:hAnsi="宋体" w:eastAsia="宋体"/>
        </w:rPr>
        <w:t>食用盐应符合GB 2721的规定。</w:t>
      </w:r>
    </w:p>
    <w:p w14:paraId="32534E79">
      <w:pPr>
        <w:pStyle w:val="65"/>
        <w:spacing w:before="120" w:after="120"/>
        <w:rPr>
          <w:rFonts w:hint="eastAsia" w:ascii="宋体" w:hAnsi="宋体" w:eastAsia="宋体"/>
        </w:rPr>
      </w:pPr>
      <w:r>
        <w:rPr>
          <w:rFonts w:hint="eastAsia" w:ascii="宋体" w:hAnsi="宋体" w:eastAsia="宋体"/>
        </w:rPr>
        <w:t>白砂糖应符合GB/T 317的规定。</w:t>
      </w:r>
    </w:p>
    <w:p w14:paraId="40F63CD1">
      <w:pPr>
        <w:pStyle w:val="65"/>
        <w:spacing w:before="120" w:after="120"/>
        <w:rPr>
          <w:rFonts w:hint="eastAsia" w:ascii="宋体" w:hAnsi="宋体" w:eastAsia="宋体"/>
        </w:rPr>
      </w:pPr>
      <w:r>
        <w:rPr>
          <w:rFonts w:hint="eastAsia" w:ascii="宋体" w:hAnsi="宋体" w:eastAsia="宋体"/>
        </w:rPr>
        <w:t>大豆蛋白应符合GB 20371的规定。</w:t>
      </w:r>
    </w:p>
    <w:p w14:paraId="4187F4FE">
      <w:pPr>
        <w:pStyle w:val="65"/>
        <w:spacing w:before="120" w:after="120"/>
        <w:rPr>
          <w:rFonts w:hint="eastAsia" w:ascii="宋体" w:hAnsi="宋体" w:eastAsia="宋体"/>
        </w:rPr>
      </w:pPr>
      <w:r>
        <w:rPr>
          <w:rFonts w:hint="eastAsia" w:ascii="宋体" w:hAnsi="宋体" w:eastAsia="宋体"/>
        </w:rPr>
        <w:t>食品添加剂应符合相应的食品添加剂标准或有关规定。</w:t>
      </w:r>
    </w:p>
    <w:p w14:paraId="17CE90AA">
      <w:pPr>
        <w:pStyle w:val="65"/>
        <w:spacing w:before="120" w:after="120"/>
        <w:rPr>
          <w:rFonts w:hint="eastAsia" w:hAnsi="黑体"/>
        </w:rPr>
      </w:pPr>
      <w:r>
        <w:rPr>
          <w:rFonts w:hint="eastAsia" w:hAnsi="黑体"/>
        </w:rPr>
        <w:t>其它原辅料</w:t>
      </w:r>
    </w:p>
    <w:p w14:paraId="6A907BCF">
      <w:pPr>
        <w:pStyle w:val="56"/>
        <w:ind w:firstLine="420"/>
      </w:pPr>
      <w:r>
        <w:rPr>
          <w:rFonts w:hint="eastAsia"/>
        </w:rPr>
        <w:t>应符合相应的国家标准及有关规定。</w:t>
      </w:r>
    </w:p>
    <w:p w14:paraId="43EA9AED">
      <w:pPr>
        <w:pStyle w:val="105"/>
        <w:spacing w:before="120" w:after="120"/>
      </w:pPr>
      <w:r>
        <w:rPr>
          <w:rFonts w:hint="eastAsia"/>
        </w:rPr>
        <w:t>感官要求</w:t>
      </w:r>
    </w:p>
    <w:p w14:paraId="1A465110">
      <w:pPr>
        <w:pStyle w:val="56"/>
        <w:ind w:firstLine="420"/>
      </w:pPr>
      <w:r>
        <w:rPr>
          <w:rFonts w:hint="eastAsia"/>
        </w:rPr>
        <w:t>应符合表1的规定。</w:t>
      </w:r>
    </w:p>
    <w:p w14:paraId="16A099EC">
      <w:pPr>
        <w:pStyle w:val="112"/>
        <w:spacing w:before="120" w:after="120"/>
      </w:pPr>
      <w:r>
        <w:rPr>
          <w:rFonts w:hint="eastAsia"/>
        </w:rPr>
        <w:t>感官要求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564621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14:paraId="2A3DB4AC">
            <w:pPr>
              <w:pStyle w:val="178"/>
            </w:pPr>
            <w:r>
              <w:rPr>
                <w:rFonts w:hint="eastAsia"/>
              </w:rPr>
              <w:t>项目</w:t>
            </w:r>
          </w:p>
        </w:tc>
        <w:tc>
          <w:tcPr>
            <w:tcW w:w="3112" w:type="dxa"/>
            <w:tcBorders>
              <w:top w:val="single" w:color="auto" w:sz="8" w:space="0"/>
              <w:bottom w:val="single" w:color="auto" w:sz="8" w:space="0"/>
            </w:tcBorders>
            <w:shd w:val="clear" w:color="auto" w:fill="auto"/>
            <w:vAlign w:val="center"/>
          </w:tcPr>
          <w:p w14:paraId="1C48FE55">
            <w:pPr>
              <w:pStyle w:val="178"/>
            </w:pPr>
            <w:r>
              <w:rPr>
                <w:rFonts w:hint="eastAsia"/>
              </w:rPr>
              <w:t>要求</w:t>
            </w:r>
          </w:p>
        </w:tc>
        <w:tc>
          <w:tcPr>
            <w:tcW w:w="3112" w:type="dxa"/>
            <w:tcBorders>
              <w:top w:val="single" w:color="auto" w:sz="8" w:space="0"/>
              <w:bottom w:val="single" w:color="auto" w:sz="8" w:space="0"/>
            </w:tcBorders>
            <w:shd w:val="clear" w:color="auto" w:fill="auto"/>
            <w:vAlign w:val="center"/>
          </w:tcPr>
          <w:p w14:paraId="3751C02C">
            <w:pPr>
              <w:pStyle w:val="178"/>
            </w:pPr>
            <w:r>
              <w:rPr>
                <w:rFonts w:hint="eastAsia"/>
              </w:rPr>
              <w:t>检验方法</w:t>
            </w:r>
          </w:p>
        </w:tc>
      </w:tr>
      <w:tr w14:paraId="2F1AD8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vAlign w:val="center"/>
          </w:tcPr>
          <w:p w14:paraId="5B8B1900">
            <w:pPr>
              <w:pStyle w:val="178"/>
            </w:pPr>
            <w:r>
              <w:rPr>
                <w:rFonts w:hint="eastAsia"/>
              </w:rPr>
              <w:t>色泽</w:t>
            </w:r>
          </w:p>
        </w:tc>
        <w:tc>
          <w:tcPr>
            <w:tcW w:w="3112" w:type="dxa"/>
            <w:tcBorders>
              <w:top w:val="single" w:color="auto" w:sz="8" w:space="0"/>
            </w:tcBorders>
            <w:shd w:val="clear" w:color="auto" w:fill="auto"/>
            <w:vAlign w:val="center"/>
          </w:tcPr>
          <w:p w14:paraId="024AEDF2">
            <w:pPr>
              <w:pStyle w:val="178"/>
            </w:pPr>
            <w:r>
              <w:rPr>
                <w:rFonts w:hint="eastAsia"/>
              </w:rPr>
              <w:t>具有产品正常的色泽</w:t>
            </w:r>
          </w:p>
        </w:tc>
        <w:tc>
          <w:tcPr>
            <w:tcW w:w="3112" w:type="dxa"/>
            <w:vMerge w:val="restart"/>
            <w:tcBorders>
              <w:top w:val="single" w:color="auto" w:sz="8" w:space="0"/>
            </w:tcBorders>
            <w:shd w:val="clear" w:color="auto" w:fill="auto"/>
            <w:vAlign w:val="center"/>
          </w:tcPr>
          <w:p w14:paraId="0F970155">
            <w:pPr>
              <w:pStyle w:val="178"/>
            </w:pPr>
            <w:r>
              <w:rPr>
                <w:rFonts w:hint="eastAsia"/>
              </w:rPr>
              <w:t>将样品置于洁净白色容器中，在光线充足的条件下目测、鼻嗅</w:t>
            </w:r>
          </w:p>
        </w:tc>
      </w:tr>
      <w:tr w14:paraId="607137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33DD325F">
            <w:pPr>
              <w:pStyle w:val="178"/>
            </w:pPr>
            <w:r>
              <w:rPr>
                <w:rFonts w:hint="eastAsia"/>
              </w:rPr>
              <w:t>滋味、气味</w:t>
            </w:r>
          </w:p>
        </w:tc>
        <w:tc>
          <w:tcPr>
            <w:tcW w:w="3112" w:type="dxa"/>
            <w:shd w:val="clear" w:color="auto" w:fill="auto"/>
            <w:vAlign w:val="center"/>
          </w:tcPr>
          <w:p w14:paraId="47E22D18">
            <w:pPr>
              <w:pStyle w:val="178"/>
            </w:pPr>
            <w:r>
              <w:rPr>
                <w:rFonts w:hint="eastAsia"/>
              </w:rPr>
              <w:t>具有产品正常的滋味、气味，无异味</w:t>
            </w:r>
          </w:p>
        </w:tc>
        <w:tc>
          <w:tcPr>
            <w:tcW w:w="3112" w:type="dxa"/>
            <w:vMerge w:val="continue"/>
            <w:shd w:val="clear" w:color="auto" w:fill="auto"/>
            <w:vAlign w:val="center"/>
          </w:tcPr>
          <w:p w14:paraId="4AE8CF9B">
            <w:pPr>
              <w:pStyle w:val="178"/>
            </w:pPr>
          </w:p>
        </w:tc>
      </w:tr>
      <w:tr w14:paraId="1C2749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7270493F">
            <w:pPr>
              <w:pStyle w:val="178"/>
            </w:pPr>
            <w:r>
              <w:rPr>
                <w:rFonts w:hint="eastAsia"/>
              </w:rPr>
              <w:t>状态</w:t>
            </w:r>
          </w:p>
        </w:tc>
        <w:tc>
          <w:tcPr>
            <w:tcW w:w="3112" w:type="dxa"/>
            <w:shd w:val="clear" w:color="auto" w:fill="auto"/>
            <w:vAlign w:val="center"/>
          </w:tcPr>
          <w:p w14:paraId="58B6D857">
            <w:pPr>
              <w:pStyle w:val="178"/>
            </w:pPr>
            <w:r>
              <w:rPr>
                <w:rFonts w:hint="eastAsia"/>
              </w:rPr>
              <w:t>具有产品正常的形态、状态，无正常视力可见外来异物</w:t>
            </w:r>
          </w:p>
        </w:tc>
        <w:tc>
          <w:tcPr>
            <w:tcW w:w="3112" w:type="dxa"/>
            <w:vMerge w:val="continue"/>
            <w:shd w:val="clear" w:color="auto" w:fill="auto"/>
            <w:vAlign w:val="center"/>
          </w:tcPr>
          <w:p w14:paraId="79967584">
            <w:pPr>
              <w:pStyle w:val="178"/>
            </w:pPr>
          </w:p>
        </w:tc>
      </w:tr>
    </w:tbl>
    <w:p w14:paraId="2A2B757C">
      <w:pPr>
        <w:pStyle w:val="105"/>
        <w:spacing w:before="120" w:after="120"/>
      </w:pPr>
      <w:r>
        <w:rPr>
          <w:rFonts w:hint="eastAsia"/>
        </w:rPr>
        <w:t>理化指标</w:t>
      </w:r>
    </w:p>
    <w:p w14:paraId="6046DB21">
      <w:pPr>
        <w:pStyle w:val="56"/>
        <w:ind w:firstLine="420"/>
      </w:pPr>
      <w:r>
        <w:rPr>
          <w:rFonts w:hint="eastAsia"/>
        </w:rPr>
        <w:t>应符合表2的规定。</w:t>
      </w:r>
    </w:p>
    <w:p w14:paraId="19516CF6">
      <w:pPr>
        <w:pStyle w:val="112"/>
        <w:spacing w:before="120" w:after="120"/>
      </w:pPr>
      <w:r>
        <w:rPr>
          <w:rFonts w:hint="eastAsia"/>
        </w:rPr>
        <w:t>理化指标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44"/>
        <w:gridCol w:w="2345"/>
        <w:gridCol w:w="2299"/>
        <w:gridCol w:w="2346"/>
      </w:tblGrid>
      <w:tr w14:paraId="6FD659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44" w:type="dxa"/>
            <w:tcBorders>
              <w:top w:val="single" w:color="auto" w:sz="8" w:space="0"/>
              <w:bottom w:val="single" w:color="auto" w:sz="8" w:space="0"/>
            </w:tcBorders>
            <w:shd w:val="clear" w:color="auto" w:fill="auto"/>
            <w:vAlign w:val="center"/>
          </w:tcPr>
          <w:p w14:paraId="63CDE964">
            <w:pPr>
              <w:pStyle w:val="178"/>
            </w:pPr>
            <w:r>
              <w:rPr>
                <w:rFonts w:hint="eastAsia"/>
              </w:rPr>
              <w:t>项目</w:t>
            </w:r>
          </w:p>
        </w:tc>
        <w:tc>
          <w:tcPr>
            <w:tcW w:w="4644" w:type="dxa"/>
            <w:gridSpan w:val="2"/>
            <w:tcBorders>
              <w:top w:val="single" w:color="auto" w:sz="8" w:space="0"/>
              <w:bottom w:val="single" w:color="auto" w:sz="8" w:space="0"/>
            </w:tcBorders>
            <w:shd w:val="clear" w:color="auto" w:fill="auto"/>
            <w:vAlign w:val="center"/>
          </w:tcPr>
          <w:p w14:paraId="6D7F7ADD">
            <w:pPr>
              <w:pStyle w:val="178"/>
            </w:pPr>
            <w:r>
              <w:rPr>
                <w:rFonts w:hint="eastAsia"/>
              </w:rPr>
              <w:t>指标</w:t>
            </w:r>
          </w:p>
        </w:tc>
        <w:tc>
          <w:tcPr>
            <w:tcW w:w="2346" w:type="dxa"/>
            <w:tcBorders>
              <w:top w:val="single" w:color="auto" w:sz="8" w:space="0"/>
              <w:bottom w:val="single" w:color="auto" w:sz="8" w:space="0"/>
            </w:tcBorders>
            <w:shd w:val="clear" w:color="auto" w:fill="auto"/>
            <w:vAlign w:val="center"/>
          </w:tcPr>
          <w:p w14:paraId="4E9972CF">
            <w:pPr>
              <w:pStyle w:val="178"/>
            </w:pPr>
            <w:r>
              <w:rPr>
                <w:rFonts w:hint="eastAsia"/>
              </w:rPr>
              <w:t>检验方法</w:t>
            </w:r>
          </w:p>
        </w:tc>
      </w:tr>
      <w:tr w14:paraId="100DFF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4" w:type="dxa"/>
            <w:vMerge w:val="restart"/>
            <w:tcBorders>
              <w:top w:val="single" w:color="auto" w:sz="8" w:space="0"/>
            </w:tcBorders>
            <w:shd w:val="clear" w:color="auto" w:fill="auto"/>
            <w:vAlign w:val="center"/>
          </w:tcPr>
          <w:p w14:paraId="0D29BA60">
            <w:pPr>
              <w:pStyle w:val="178"/>
            </w:pPr>
            <w:r>
              <w:rPr>
                <w:rFonts w:hint="eastAsia"/>
              </w:rPr>
              <w:t>铅/（g/100g）                   ≤</w:t>
            </w:r>
          </w:p>
        </w:tc>
        <w:tc>
          <w:tcPr>
            <w:tcW w:w="2345" w:type="dxa"/>
            <w:tcBorders>
              <w:top w:val="single" w:color="auto" w:sz="8" w:space="0"/>
            </w:tcBorders>
            <w:shd w:val="clear" w:color="auto" w:fill="auto"/>
            <w:vAlign w:val="center"/>
          </w:tcPr>
          <w:p w14:paraId="14DFA043">
            <w:pPr>
              <w:pStyle w:val="178"/>
            </w:pPr>
            <w:r>
              <w:rPr>
                <w:rFonts w:hint="eastAsia"/>
              </w:rPr>
              <w:t>肉制品</w:t>
            </w:r>
          </w:p>
        </w:tc>
        <w:tc>
          <w:tcPr>
            <w:tcW w:w="2299" w:type="dxa"/>
            <w:tcBorders>
              <w:top w:val="single" w:color="auto" w:sz="8" w:space="0"/>
            </w:tcBorders>
          </w:tcPr>
          <w:p w14:paraId="6213E455">
            <w:pPr>
              <w:pStyle w:val="178"/>
            </w:pPr>
            <w:r>
              <w:rPr>
                <w:rFonts w:hint="eastAsia"/>
              </w:rPr>
              <w:t>畜禽内脏制</w:t>
            </w:r>
          </w:p>
        </w:tc>
        <w:tc>
          <w:tcPr>
            <w:tcW w:w="2346" w:type="dxa"/>
            <w:vMerge w:val="restart"/>
            <w:tcBorders>
              <w:top w:val="single" w:color="auto" w:sz="8" w:space="0"/>
            </w:tcBorders>
            <w:shd w:val="clear" w:color="auto" w:fill="auto"/>
            <w:vAlign w:val="center"/>
          </w:tcPr>
          <w:p w14:paraId="302B8159">
            <w:pPr>
              <w:pStyle w:val="178"/>
            </w:pPr>
            <w:r>
              <w:t>GB  5009.12</w:t>
            </w:r>
          </w:p>
        </w:tc>
      </w:tr>
      <w:tr w14:paraId="6AD8A2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4" w:type="dxa"/>
            <w:vMerge w:val="continue"/>
            <w:shd w:val="clear" w:color="auto" w:fill="auto"/>
            <w:vAlign w:val="center"/>
          </w:tcPr>
          <w:p w14:paraId="040E1A54">
            <w:pPr>
              <w:pStyle w:val="178"/>
            </w:pPr>
          </w:p>
        </w:tc>
        <w:tc>
          <w:tcPr>
            <w:tcW w:w="2345" w:type="dxa"/>
            <w:shd w:val="clear" w:color="auto" w:fill="auto"/>
            <w:vAlign w:val="center"/>
          </w:tcPr>
          <w:p w14:paraId="2C14AE6E">
            <w:pPr>
              <w:pStyle w:val="178"/>
            </w:pPr>
            <w:r>
              <w:rPr>
                <w:rFonts w:hint="eastAsia"/>
              </w:rPr>
              <w:t>0.29</w:t>
            </w:r>
          </w:p>
        </w:tc>
        <w:tc>
          <w:tcPr>
            <w:tcW w:w="2299" w:type="dxa"/>
          </w:tcPr>
          <w:p w14:paraId="3074885B">
            <w:pPr>
              <w:pStyle w:val="178"/>
            </w:pPr>
            <w:r>
              <w:rPr>
                <w:rFonts w:hint="eastAsia"/>
              </w:rPr>
              <w:t>0.49</w:t>
            </w:r>
          </w:p>
        </w:tc>
        <w:tc>
          <w:tcPr>
            <w:tcW w:w="2346" w:type="dxa"/>
            <w:vMerge w:val="continue"/>
            <w:shd w:val="clear" w:color="auto" w:fill="auto"/>
            <w:vAlign w:val="center"/>
          </w:tcPr>
          <w:p w14:paraId="019FCF19">
            <w:pPr>
              <w:pStyle w:val="178"/>
            </w:pPr>
          </w:p>
        </w:tc>
      </w:tr>
      <w:tr w14:paraId="4EED6B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4" w:type="dxa"/>
            <w:shd w:val="clear" w:color="auto" w:fill="auto"/>
            <w:vAlign w:val="center"/>
          </w:tcPr>
          <w:p w14:paraId="13ECB548">
            <w:pPr>
              <w:pStyle w:val="178"/>
            </w:pPr>
            <w:r>
              <w:rPr>
                <w:rFonts w:hint="eastAsia"/>
              </w:rPr>
              <w:t>过氧化值/（g/100g）             ≤</w:t>
            </w:r>
          </w:p>
        </w:tc>
        <w:tc>
          <w:tcPr>
            <w:tcW w:w="4644" w:type="dxa"/>
            <w:gridSpan w:val="2"/>
            <w:shd w:val="clear" w:color="auto" w:fill="auto"/>
            <w:vAlign w:val="center"/>
          </w:tcPr>
          <w:p w14:paraId="7AF3449F">
            <w:pPr>
              <w:pStyle w:val="178"/>
            </w:pPr>
            <w:r>
              <w:rPr>
                <w:rFonts w:hint="eastAsia"/>
              </w:rPr>
              <w:t>0.25</w:t>
            </w:r>
          </w:p>
        </w:tc>
        <w:tc>
          <w:tcPr>
            <w:tcW w:w="2346" w:type="dxa"/>
            <w:shd w:val="clear" w:color="auto" w:fill="auto"/>
            <w:vAlign w:val="center"/>
          </w:tcPr>
          <w:p w14:paraId="619C942D">
            <w:pPr>
              <w:pStyle w:val="178"/>
            </w:pPr>
            <w:r>
              <w:t>GB  5009.227</w:t>
            </w:r>
          </w:p>
        </w:tc>
      </w:tr>
      <w:tr w14:paraId="765F81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4" w:type="dxa"/>
            <w:shd w:val="clear" w:color="auto" w:fill="auto"/>
            <w:vAlign w:val="center"/>
          </w:tcPr>
          <w:p w14:paraId="0540D4BB">
            <w:pPr>
              <w:pStyle w:val="178"/>
            </w:pPr>
            <w:r>
              <w:rPr>
                <w:rFonts w:hint="eastAsia"/>
              </w:rPr>
              <w:t xml:space="preserve">挥发性盐基氮/（mg/kg）          ≤   </w:t>
            </w:r>
          </w:p>
        </w:tc>
        <w:tc>
          <w:tcPr>
            <w:tcW w:w="4644" w:type="dxa"/>
            <w:gridSpan w:val="2"/>
            <w:shd w:val="clear" w:color="auto" w:fill="auto"/>
            <w:vAlign w:val="center"/>
          </w:tcPr>
          <w:p w14:paraId="232DC042">
            <w:pPr>
              <w:pStyle w:val="178"/>
            </w:pPr>
            <w:r>
              <w:rPr>
                <w:rFonts w:hint="eastAsia"/>
              </w:rPr>
              <w:t>20</w:t>
            </w:r>
          </w:p>
        </w:tc>
        <w:tc>
          <w:tcPr>
            <w:tcW w:w="2346" w:type="dxa"/>
            <w:shd w:val="clear" w:color="auto" w:fill="auto"/>
            <w:vAlign w:val="center"/>
          </w:tcPr>
          <w:p w14:paraId="2D3571E7">
            <w:pPr>
              <w:pStyle w:val="178"/>
            </w:pPr>
            <w:r>
              <w:t>GB  5009.228</w:t>
            </w:r>
          </w:p>
        </w:tc>
      </w:tr>
      <w:tr w14:paraId="7A5E31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4" w:type="dxa"/>
            <w:shd w:val="clear" w:color="auto" w:fill="auto"/>
            <w:vAlign w:val="center"/>
          </w:tcPr>
          <w:p w14:paraId="48EADE5B">
            <w:pPr>
              <w:pStyle w:val="178"/>
            </w:pPr>
            <w:r>
              <w:rPr>
                <w:color w:val="000000"/>
                <w:szCs w:val="18"/>
                <w:lang w:eastAsia="zh-Hans"/>
              </w:rPr>
              <w:t>pH</w:t>
            </w:r>
            <w:r>
              <w:rPr>
                <w:color w:val="FF0000"/>
                <w:szCs w:val="18"/>
                <w:vertAlign w:val="superscript"/>
              </w:rPr>
              <w:t>a</w:t>
            </w:r>
            <w:r>
              <w:rPr>
                <w:color w:val="FF0000"/>
                <w:szCs w:val="18"/>
                <w:lang w:eastAsia="zh-Hans"/>
              </w:rPr>
              <w:t xml:space="preserve"> </w:t>
            </w:r>
            <w:r>
              <w:rPr>
                <w:color w:val="000000"/>
                <w:szCs w:val="18"/>
                <w:lang w:eastAsia="zh-Hans"/>
              </w:rPr>
              <w:t xml:space="preserve">  </w:t>
            </w:r>
            <w:r>
              <w:rPr>
                <w:rFonts w:hint="eastAsia"/>
              </w:rPr>
              <w:t xml:space="preserve">                           ≤</w:t>
            </w:r>
            <w:r>
              <w:rPr>
                <w:rFonts w:hint="eastAsia"/>
              </w:rPr>
              <w:tab/>
            </w:r>
            <w:r>
              <w:rPr>
                <w:rFonts w:hint="eastAsia"/>
              </w:rPr>
              <w:t>11</w:t>
            </w:r>
          </w:p>
        </w:tc>
        <w:tc>
          <w:tcPr>
            <w:tcW w:w="4644" w:type="dxa"/>
            <w:gridSpan w:val="2"/>
            <w:shd w:val="clear" w:color="auto" w:fill="auto"/>
            <w:vAlign w:val="center"/>
          </w:tcPr>
          <w:p w14:paraId="75612897">
            <w:pPr>
              <w:pStyle w:val="178"/>
            </w:pPr>
            <w:r>
              <w:rPr>
                <w:rFonts w:hint="eastAsia"/>
              </w:rPr>
              <w:t>11</w:t>
            </w:r>
          </w:p>
        </w:tc>
        <w:tc>
          <w:tcPr>
            <w:tcW w:w="2346" w:type="dxa"/>
            <w:shd w:val="clear" w:color="auto" w:fill="auto"/>
            <w:vAlign w:val="center"/>
          </w:tcPr>
          <w:p w14:paraId="2B5F1966">
            <w:pPr>
              <w:pStyle w:val="178"/>
            </w:pPr>
            <w:r>
              <w:t>GB  5009.237</w:t>
            </w:r>
          </w:p>
        </w:tc>
      </w:tr>
      <w:tr w14:paraId="3DB91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4"/>
            <w:shd w:val="clear" w:color="auto" w:fill="auto"/>
            <w:vAlign w:val="center"/>
          </w:tcPr>
          <w:p w14:paraId="0A96293F">
            <w:pPr>
              <w:pStyle w:val="178"/>
              <w:jc w:val="left"/>
            </w:pPr>
            <w:r>
              <w:rPr>
                <w:color w:val="FF0000"/>
                <w:szCs w:val="18"/>
                <w:vertAlign w:val="superscript"/>
              </w:rPr>
              <w:t>a</w:t>
            </w:r>
            <w:r>
              <w:rPr>
                <w:rFonts w:hint="eastAsia"/>
              </w:rPr>
              <w:t>仅适用于调理毛肚类产品</w:t>
            </w:r>
          </w:p>
        </w:tc>
      </w:tr>
    </w:tbl>
    <w:p w14:paraId="013868FA">
      <w:pPr>
        <w:pStyle w:val="56"/>
        <w:ind w:firstLine="420"/>
      </w:pPr>
    </w:p>
    <w:p w14:paraId="6C1FDEF6">
      <w:pPr>
        <w:pStyle w:val="105"/>
        <w:spacing w:before="120" w:after="120"/>
      </w:pPr>
      <w:r>
        <w:rPr>
          <w:rFonts w:hint="eastAsia"/>
        </w:rPr>
        <w:t>微生物限量</w:t>
      </w:r>
    </w:p>
    <w:p w14:paraId="1DB980A7">
      <w:pPr>
        <w:pStyle w:val="65"/>
        <w:spacing w:before="120" w:after="120"/>
      </w:pPr>
      <w:r>
        <w:rPr>
          <w:rFonts w:hint="eastAsia"/>
        </w:rPr>
        <w:t>致病菌限量</w:t>
      </w:r>
    </w:p>
    <w:p w14:paraId="70893A4A">
      <w:pPr>
        <w:pStyle w:val="56"/>
        <w:ind w:firstLine="420"/>
      </w:pPr>
      <w:r>
        <w:rPr>
          <w:rFonts w:hint="eastAsia"/>
        </w:rPr>
        <w:t>熟制调理肉制品应符合表3的规定。</w:t>
      </w:r>
    </w:p>
    <w:p w14:paraId="5B8E2EDA">
      <w:pPr>
        <w:pStyle w:val="112"/>
        <w:spacing w:before="120" w:after="120"/>
      </w:pPr>
      <w:r>
        <w:rPr>
          <w:rFonts w:hint="eastAsia"/>
        </w:rPr>
        <w:t>微生物限量</w:t>
      </w:r>
    </w:p>
    <w:tbl>
      <w:tblPr>
        <w:tblStyle w:val="27"/>
        <w:tblW w:w="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14:paraId="4E123A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6" w:type="dxa"/>
            <w:vMerge w:val="restart"/>
            <w:tcBorders>
              <w:top w:val="single" w:color="auto" w:sz="8" w:space="0"/>
            </w:tcBorders>
            <w:shd w:val="clear" w:color="auto" w:fill="auto"/>
            <w:vAlign w:val="center"/>
          </w:tcPr>
          <w:p w14:paraId="78A858B4">
            <w:pPr>
              <w:pStyle w:val="178"/>
            </w:pPr>
            <w:r>
              <w:rPr>
                <w:rFonts w:hint="eastAsia"/>
              </w:rPr>
              <w:t>项     目</w:t>
            </w:r>
          </w:p>
        </w:tc>
        <w:tc>
          <w:tcPr>
            <w:tcW w:w="6222" w:type="dxa"/>
            <w:gridSpan w:val="4"/>
            <w:tcBorders>
              <w:top w:val="single" w:color="auto" w:sz="8" w:space="0"/>
              <w:bottom w:val="single" w:color="auto" w:sz="8" w:space="0"/>
            </w:tcBorders>
            <w:shd w:val="clear" w:color="auto" w:fill="auto"/>
            <w:vAlign w:val="center"/>
          </w:tcPr>
          <w:p w14:paraId="6D5FE6BA">
            <w:pPr>
              <w:pStyle w:val="178"/>
            </w:pPr>
            <w:r>
              <w:rPr>
                <w:rFonts w:hint="eastAsia"/>
              </w:rPr>
              <w:t>采样方案</w:t>
            </w:r>
            <w:r>
              <w:rPr>
                <w:rFonts w:hint="eastAsia" w:hAnsi="宋体"/>
                <w:szCs w:val="18"/>
                <w:vertAlign w:val="superscript"/>
              </w:rPr>
              <w:t>a</w:t>
            </w:r>
            <w:r>
              <w:rPr>
                <w:rFonts w:hint="eastAsia"/>
              </w:rPr>
              <w:t>及限量</w:t>
            </w:r>
          </w:p>
        </w:tc>
        <w:tc>
          <w:tcPr>
            <w:tcW w:w="1556" w:type="dxa"/>
            <w:vMerge w:val="restart"/>
            <w:tcBorders>
              <w:top w:val="single" w:color="auto" w:sz="8" w:space="0"/>
            </w:tcBorders>
            <w:shd w:val="clear" w:color="auto" w:fill="auto"/>
            <w:vAlign w:val="center"/>
          </w:tcPr>
          <w:p w14:paraId="132358CC">
            <w:pPr>
              <w:pStyle w:val="178"/>
            </w:pPr>
            <w:r>
              <w:rPr>
                <w:rFonts w:hint="eastAsia"/>
              </w:rPr>
              <w:t>检验方法</w:t>
            </w:r>
          </w:p>
        </w:tc>
      </w:tr>
      <w:tr w14:paraId="13829D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556" w:type="dxa"/>
            <w:vMerge w:val="continue"/>
            <w:shd w:val="clear" w:color="auto" w:fill="auto"/>
            <w:vAlign w:val="center"/>
          </w:tcPr>
          <w:p w14:paraId="2C69F9D2">
            <w:pPr>
              <w:pStyle w:val="178"/>
            </w:pPr>
          </w:p>
        </w:tc>
        <w:tc>
          <w:tcPr>
            <w:tcW w:w="1556" w:type="dxa"/>
            <w:tcBorders>
              <w:top w:val="single" w:color="auto" w:sz="8" w:space="0"/>
            </w:tcBorders>
            <w:shd w:val="clear" w:color="auto" w:fill="auto"/>
            <w:vAlign w:val="center"/>
          </w:tcPr>
          <w:p w14:paraId="78A1C195">
            <w:pPr>
              <w:pStyle w:val="178"/>
            </w:pPr>
            <w:r>
              <w:t>n</w:t>
            </w:r>
          </w:p>
        </w:tc>
        <w:tc>
          <w:tcPr>
            <w:tcW w:w="1555" w:type="dxa"/>
            <w:tcBorders>
              <w:top w:val="single" w:color="auto" w:sz="8" w:space="0"/>
            </w:tcBorders>
            <w:shd w:val="clear" w:color="auto" w:fill="auto"/>
            <w:vAlign w:val="center"/>
          </w:tcPr>
          <w:p w14:paraId="708C583A">
            <w:pPr>
              <w:pStyle w:val="178"/>
            </w:pPr>
            <w:r>
              <w:t>c</w:t>
            </w:r>
          </w:p>
        </w:tc>
        <w:tc>
          <w:tcPr>
            <w:tcW w:w="1555" w:type="dxa"/>
            <w:tcBorders>
              <w:top w:val="single" w:color="auto" w:sz="8" w:space="0"/>
            </w:tcBorders>
            <w:shd w:val="clear" w:color="auto" w:fill="auto"/>
            <w:vAlign w:val="center"/>
          </w:tcPr>
          <w:p w14:paraId="5321A6E0">
            <w:pPr>
              <w:pStyle w:val="178"/>
            </w:pPr>
            <w:r>
              <w:t>m</w:t>
            </w:r>
          </w:p>
        </w:tc>
        <w:tc>
          <w:tcPr>
            <w:tcW w:w="1556" w:type="dxa"/>
            <w:tcBorders>
              <w:top w:val="single" w:color="auto" w:sz="8" w:space="0"/>
            </w:tcBorders>
            <w:shd w:val="clear" w:color="auto" w:fill="auto"/>
            <w:vAlign w:val="center"/>
          </w:tcPr>
          <w:p w14:paraId="4D0BB850">
            <w:pPr>
              <w:pStyle w:val="178"/>
            </w:pPr>
            <w:r>
              <w:t>M</w:t>
            </w:r>
          </w:p>
        </w:tc>
        <w:tc>
          <w:tcPr>
            <w:tcW w:w="1556" w:type="dxa"/>
            <w:vMerge w:val="continue"/>
            <w:shd w:val="clear" w:color="auto" w:fill="auto"/>
            <w:vAlign w:val="center"/>
          </w:tcPr>
          <w:p w14:paraId="55AAC634">
            <w:pPr>
              <w:pStyle w:val="178"/>
            </w:pPr>
          </w:p>
        </w:tc>
      </w:tr>
      <w:tr w14:paraId="321FE2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14DC0F3E">
            <w:pPr>
              <w:pStyle w:val="178"/>
            </w:pPr>
            <w:r>
              <w:rPr>
                <w:rFonts w:hint="eastAsia"/>
              </w:rPr>
              <w:t>菌落总数/（CFU/g）</w:t>
            </w:r>
          </w:p>
        </w:tc>
        <w:tc>
          <w:tcPr>
            <w:tcW w:w="1556" w:type="dxa"/>
            <w:shd w:val="clear" w:color="auto" w:fill="auto"/>
            <w:vAlign w:val="center"/>
          </w:tcPr>
          <w:p w14:paraId="59418D2C">
            <w:pPr>
              <w:pStyle w:val="178"/>
            </w:pPr>
            <w:r>
              <w:rPr>
                <w:rFonts w:hint="eastAsia"/>
              </w:rPr>
              <w:t>5</w:t>
            </w:r>
          </w:p>
        </w:tc>
        <w:tc>
          <w:tcPr>
            <w:tcW w:w="1555" w:type="dxa"/>
            <w:shd w:val="clear" w:color="auto" w:fill="auto"/>
            <w:vAlign w:val="center"/>
          </w:tcPr>
          <w:p w14:paraId="42D1AE0C">
            <w:pPr>
              <w:pStyle w:val="178"/>
            </w:pPr>
            <w:r>
              <w:rPr>
                <w:rFonts w:hint="eastAsia"/>
              </w:rPr>
              <w:t>2</w:t>
            </w:r>
          </w:p>
        </w:tc>
        <w:tc>
          <w:tcPr>
            <w:tcW w:w="1555" w:type="dxa"/>
            <w:shd w:val="clear" w:color="auto" w:fill="auto"/>
            <w:vAlign w:val="center"/>
          </w:tcPr>
          <w:p w14:paraId="010ECCC4">
            <w:pPr>
              <w:pStyle w:val="178"/>
            </w:pPr>
            <w:r>
              <w:rPr>
                <w:rFonts w:hAnsi="宋体"/>
                <w:color w:val="000000"/>
                <w:szCs w:val="18"/>
              </w:rPr>
              <w:t>10</w:t>
            </w:r>
            <w:r>
              <w:rPr>
                <w:rFonts w:hAnsi="宋体"/>
                <w:color w:val="000000"/>
                <w:sz w:val="20"/>
                <w:vertAlign w:val="superscript"/>
              </w:rPr>
              <w:t>4</w:t>
            </w:r>
          </w:p>
        </w:tc>
        <w:tc>
          <w:tcPr>
            <w:tcW w:w="1556" w:type="dxa"/>
            <w:shd w:val="clear" w:color="auto" w:fill="auto"/>
          </w:tcPr>
          <w:p w14:paraId="2FD23CD7">
            <w:pPr>
              <w:jc w:val="center"/>
              <w:rPr>
                <w:rFonts w:hint="eastAsia" w:ascii="宋体" w:hAnsi="宋体"/>
                <w:color w:val="000000"/>
                <w:sz w:val="18"/>
                <w:szCs w:val="18"/>
              </w:rPr>
            </w:pPr>
            <w:r>
              <w:rPr>
                <w:rFonts w:ascii="宋体" w:hAnsi="宋体"/>
                <w:color w:val="000000"/>
                <w:sz w:val="18"/>
                <w:szCs w:val="18"/>
              </w:rPr>
              <w:t>10</w:t>
            </w:r>
            <w:r>
              <w:rPr>
                <w:rFonts w:ascii="宋体" w:hAnsi="宋体"/>
                <w:color w:val="000000"/>
                <w:sz w:val="18"/>
                <w:szCs w:val="18"/>
                <w:vertAlign w:val="superscript"/>
              </w:rPr>
              <w:t>5</w:t>
            </w:r>
          </w:p>
        </w:tc>
        <w:tc>
          <w:tcPr>
            <w:tcW w:w="1556" w:type="dxa"/>
            <w:shd w:val="clear" w:color="auto" w:fill="auto"/>
            <w:vAlign w:val="center"/>
          </w:tcPr>
          <w:p w14:paraId="2F74E271">
            <w:pPr>
              <w:pStyle w:val="178"/>
            </w:pPr>
            <w:r>
              <w:t>GB  4789.2</w:t>
            </w:r>
          </w:p>
        </w:tc>
      </w:tr>
      <w:tr w14:paraId="1242BD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0C3A8779">
            <w:pPr>
              <w:pStyle w:val="178"/>
            </w:pPr>
            <w:r>
              <w:rPr>
                <w:rFonts w:hint="eastAsia"/>
              </w:rPr>
              <w:t>大肠菌群/（CFU/g）</w:t>
            </w:r>
          </w:p>
        </w:tc>
        <w:tc>
          <w:tcPr>
            <w:tcW w:w="1556" w:type="dxa"/>
            <w:shd w:val="clear" w:color="auto" w:fill="auto"/>
            <w:vAlign w:val="center"/>
          </w:tcPr>
          <w:p w14:paraId="3C6BEBB6">
            <w:pPr>
              <w:pStyle w:val="178"/>
            </w:pPr>
            <w:r>
              <w:rPr>
                <w:rFonts w:hint="eastAsia"/>
              </w:rPr>
              <w:t>5</w:t>
            </w:r>
          </w:p>
        </w:tc>
        <w:tc>
          <w:tcPr>
            <w:tcW w:w="1555" w:type="dxa"/>
            <w:shd w:val="clear" w:color="auto" w:fill="auto"/>
            <w:vAlign w:val="center"/>
          </w:tcPr>
          <w:p w14:paraId="133E7089">
            <w:pPr>
              <w:pStyle w:val="178"/>
            </w:pPr>
            <w:r>
              <w:rPr>
                <w:rFonts w:hint="eastAsia"/>
              </w:rPr>
              <w:t>2</w:t>
            </w:r>
          </w:p>
        </w:tc>
        <w:tc>
          <w:tcPr>
            <w:tcW w:w="1555" w:type="dxa"/>
            <w:shd w:val="clear" w:color="auto" w:fill="auto"/>
            <w:vAlign w:val="center"/>
          </w:tcPr>
          <w:p w14:paraId="5D6FF79B">
            <w:pPr>
              <w:pStyle w:val="178"/>
            </w:pPr>
            <w:r>
              <w:rPr>
                <w:rFonts w:hint="eastAsia"/>
              </w:rPr>
              <w:t>10</w:t>
            </w:r>
          </w:p>
        </w:tc>
        <w:tc>
          <w:tcPr>
            <w:tcW w:w="1556" w:type="dxa"/>
            <w:shd w:val="clear" w:color="auto" w:fill="auto"/>
            <w:vAlign w:val="center"/>
          </w:tcPr>
          <w:p w14:paraId="2B7AEC39">
            <w:pPr>
              <w:pStyle w:val="178"/>
            </w:pPr>
            <w:r>
              <w:rPr>
                <w:rFonts w:hint="eastAsia"/>
              </w:rPr>
              <w:t>100</w:t>
            </w:r>
          </w:p>
        </w:tc>
        <w:tc>
          <w:tcPr>
            <w:tcW w:w="1556" w:type="dxa"/>
            <w:shd w:val="clear" w:color="auto" w:fill="auto"/>
            <w:vAlign w:val="center"/>
          </w:tcPr>
          <w:p w14:paraId="25C5044D">
            <w:pPr>
              <w:pStyle w:val="178"/>
            </w:pPr>
            <w:r>
              <w:t>GB  4789.3</w:t>
            </w:r>
          </w:p>
        </w:tc>
      </w:tr>
      <w:tr w14:paraId="1C7621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6"/>
            <w:shd w:val="clear" w:color="auto" w:fill="auto"/>
            <w:vAlign w:val="center"/>
          </w:tcPr>
          <w:p w14:paraId="25648605">
            <w:pPr>
              <w:pStyle w:val="178"/>
              <w:jc w:val="left"/>
            </w:pPr>
            <w:r>
              <w:rPr>
                <w:rFonts w:hAnsi="宋体" w:cs="TimesNewRomanPSMT"/>
                <w:szCs w:val="18"/>
                <w:vertAlign w:val="superscript"/>
              </w:rPr>
              <w:t>a</w:t>
            </w:r>
            <w:r>
              <w:rPr>
                <w:rFonts w:hAnsi="宋体" w:cs="TimesNewRomanPSMT"/>
                <w:szCs w:val="18"/>
              </w:rPr>
              <w:t xml:space="preserve"> </w:t>
            </w:r>
            <w:r>
              <w:rPr>
                <w:rFonts w:hint="eastAsia"/>
              </w:rPr>
              <w:t>样品的分析及处理按GB 4789.1 执行。</w:t>
            </w:r>
          </w:p>
        </w:tc>
      </w:tr>
    </w:tbl>
    <w:p w14:paraId="7AFF0AE1">
      <w:pPr>
        <w:pStyle w:val="105"/>
        <w:spacing w:before="120" w:after="120"/>
      </w:pPr>
      <w:r>
        <w:rPr>
          <w:rFonts w:hint="eastAsia"/>
        </w:rPr>
        <w:t>污染物限量和真菌毒素限量</w:t>
      </w:r>
    </w:p>
    <w:p w14:paraId="25515EE3">
      <w:pPr>
        <w:pStyle w:val="65"/>
        <w:spacing w:before="120" w:after="120"/>
        <w:rPr>
          <w:rFonts w:hint="eastAsia" w:ascii="宋体" w:hAnsi="宋体" w:eastAsia="宋体"/>
        </w:rPr>
      </w:pPr>
      <w:r>
        <w:rPr>
          <w:rFonts w:hint="eastAsia" w:ascii="宋体" w:hAnsi="宋体" w:eastAsia="宋体"/>
        </w:rPr>
        <w:t>污染物限量应符合GB 2762的规定。</w:t>
      </w:r>
    </w:p>
    <w:p w14:paraId="3DB1FBC3">
      <w:pPr>
        <w:pStyle w:val="65"/>
        <w:spacing w:before="120" w:after="120"/>
        <w:rPr>
          <w:rFonts w:hint="eastAsia" w:ascii="宋体" w:hAnsi="宋体" w:eastAsia="宋体"/>
        </w:rPr>
      </w:pPr>
      <w:r>
        <w:rPr>
          <w:rFonts w:hint="eastAsia" w:ascii="宋体" w:hAnsi="宋体" w:eastAsia="宋体"/>
        </w:rPr>
        <w:t>真菌毒素限量应符合GB 2761的规定。</w:t>
      </w:r>
    </w:p>
    <w:p w14:paraId="701444C0">
      <w:pPr>
        <w:pStyle w:val="105"/>
        <w:spacing w:before="120" w:after="120"/>
      </w:pPr>
      <w:r>
        <w:rPr>
          <w:rFonts w:hint="eastAsia"/>
        </w:rPr>
        <w:t>农药残留限量和兽药残留限量</w:t>
      </w:r>
    </w:p>
    <w:p w14:paraId="549E5C94">
      <w:pPr>
        <w:pStyle w:val="65"/>
        <w:spacing w:before="120" w:after="120"/>
        <w:rPr>
          <w:rFonts w:hint="eastAsia" w:ascii="宋体" w:hAnsi="宋体" w:eastAsia="宋体"/>
        </w:rPr>
      </w:pPr>
      <w:r>
        <w:rPr>
          <w:rFonts w:hint="eastAsia" w:ascii="宋体" w:hAnsi="宋体" w:eastAsia="宋体"/>
        </w:rPr>
        <w:t xml:space="preserve">农药残留限量应符合GB 2763及国家有关规定和公告。 </w:t>
      </w:r>
    </w:p>
    <w:p w14:paraId="5A528A15">
      <w:pPr>
        <w:pStyle w:val="65"/>
        <w:spacing w:before="120" w:after="120"/>
        <w:rPr>
          <w:rFonts w:hint="eastAsia" w:ascii="宋体" w:hAnsi="宋体" w:eastAsia="宋体"/>
        </w:rPr>
      </w:pPr>
      <w:r>
        <w:rPr>
          <w:rFonts w:hint="eastAsia" w:ascii="宋体" w:hAnsi="宋体" w:eastAsia="宋体"/>
        </w:rPr>
        <w:t>兽药残留限量应符合GB 31650及国家有关规定和公告。</w:t>
      </w:r>
    </w:p>
    <w:p w14:paraId="2B882C2F">
      <w:pPr>
        <w:pStyle w:val="105"/>
        <w:spacing w:before="120" w:after="120"/>
      </w:pPr>
      <w:r>
        <w:rPr>
          <w:rFonts w:hint="eastAsia"/>
        </w:rPr>
        <w:t>食品添加剂和食品营养强化剂</w:t>
      </w:r>
    </w:p>
    <w:p w14:paraId="2213D7C6">
      <w:pPr>
        <w:pStyle w:val="65"/>
        <w:spacing w:before="120" w:after="120"/>
        <w:rPr>
          <w:rFonts w:hint="eastAsia" w:ascii="宋体" w:hAnsi="宋体" w:eastAsia="宋体"/>
        </w:rPr>
      </w:pPr>
      <w:r>
        <w:rPr>
          <w:rFonts w:hint="eastAsia" w:ascii="宋体" w:hAnsi="宋体" w:eastAsia="宋体"/>
        </w:rPr>
        <w:t>食品添加剂的使用应符合GB 2760的规定。</w:t>
      </w:r>
    </w:p>
    <w:p w14:paraId="6E499274">
      <w:pPr>
        <w:pStyle w:val="65"/>
        <w:spacing w:before="120" w:after="120"/>
        <w:rPr>
          <w:rFonts w:hint="eastAsia" w:ascii="宋体" w:hAnsi="宋体" w:eastAsia="宋体"/>
        </w:rPr>
      </w:pPr>
      <w:r>
        <w:rPr>
          <w:rFonts w:hint="eastAsia" w:ascii="宋体" w:hAnsi="宋体" w:eastAsia="宋体"/>
        </w:rPr>
        <w:t>食品营养强化剂的使用应符合GB 14880的规定。</w:t>
      </w:r>
    </w:p>
    <w:p w14:paraId="17846FF1">
      <w:pPr>
        <w:pStyle w:val="105"/>
        <w:spacing w:before="120" w:after="120"/>
      </w:pPr>
      <w:r>
        <w:rPr>
          <w:rFonts w:hint="eastAsia"/>
        </w:rPr>
        <w:t>净含量</w:t>
      </w:r>
    </w:p>
    <w:p w14:paraId="4EC73782">
      <w:pPr>
        <w:pStyle w:val="56"/>
        <w:ind w:firstLine="420"/>
      </w:pPr>
      <w:r>
        <w:rPr>
          <w:rFonts w:hint="eastAsia"/>
        </w:rPr>
        <w:t>应符合《定量包装商品计量监督管理办法》的规定。检验方法按照JJF 1070的方法。</w:t>
      </w:r>
    </w:p>
    <w:p w14:paraId="4BA95097">
      <w:pPr>
        <w:pStyle w:val="105"/>
        <w:spacing w:before="120" w:after="120"/>
      </w:pPr>
      <w:r>
        <w:rPr>
          <w:rFonts w:hint="eastAsia"/>
        </w:rPr>
        <w:t>食品生产加工过程的卫生要求</w:t>
      </w:r>
    </w:p>
    <w:p w14:paraId="39858CF1">
      <w:pPr>
        <w:pStyle w:val="56"/>
        <w:ind w:firstLine="420"/>
      </w:pPr>
      <w:r>
        <w:rPr>
          <w:rFonts w:hint="eastAsia"/>
        </w:rPr>
        <w:t>应符合GB 14881的规定。</w:t>
      </w:r>
    </w:p>
    <w:p w14:paraId="537CDC75">
      <w:pPr>
        <w:pStyle w:val="104"/>
        <w:spacing w:before="240" w:after="240"/>
      </w:pPr>
      <w:r>
        <w:rPr>
          <w:rFonts w:hint="eastAsia"/>
        </w:rPr>
        <w:t>检验规则</w:t>
      </w:r>
    </w:p>
    <w:p w14:paraId="78224559">
      <w:pPr>
        <w:pStyle w:val="105"/>
        <w:spacing w:before="120" w:after="120"/>
      </w:pPr>
      <w:r>
        <w:rPr>
          <w:rFonts w:hint="eastAsia"/>
        </w:rPr>
        <w:t>组批</w:t>
      </w:r>
    </w:p>
    <w:p w14:paraId="55CB6729">
      <w:pPr>
        <w:pStyle w:val="56"/>
        <w:ind w:firstLine="420"/>
      </w:pPr>
      <w:r>
        <w:rPr>
          <w:rFonts w:hint="eastAsia"/>
        </w:rPr>
        <w:t>同一批投料、同一生产线、同一班次生产的同一规格的产品为一批。</w:t>
      </w:r>
    </w:p>
    <w:p w14:paraId="7741653C">
      <w:pPr>
        <w:pStyle w:val="105"/>
        <w:spacing w:before="120" w:after="120"/>
      </w:pPr>
      <w:r>
        <w:rPr>
          <w:rFonts w:hint="eastAsia"/>
        </w:rPr>
        <w:t>抽样</w:t>
      </w:r>
    </w:p>
    <w:p w14:paraId="22D5AABB">
      <w:pPr>
        <w:pStyle w:val="56"/>
        <w:ind w:firstLine="420"/>
      </w:pPr>
      <w:r>
        <w:rPr>
          <w:rFonts w:hint="eastAsia"/>
        </w:rPr>
        <w:t>产品出厂前，需逐批随机抽取样品，样品总量不少于12个最小包装或不少于4kg，样品分为2份，1份供检验用，1份供复检备用。型式检验加倍抽样。</w:t>
      </w:r>
    </w:p>
    <w:p w14:paraId="7A038C31">
      <w:pPr>
        <w:pStyle w:val="105"/>
        <w:spacing w:before="120" w:after="120"/>
      </w:pPr>
      <w:r>
        <w:rPr>
          <w:rFonts w:hint="eastAsia"/>
        </w:rPr>
        <w:t>检验分类</w:t>
      </w:r>
    </w:p>
    <w:p w14:paraId="75261FD8">
      <w:pPr>
        <w:pStyle w:val="65"/>
        <w:spacing w:before="120" w:after="120"/>
      </w:pPr>
      <w:r>
        <w:rPr>
          <w:rFonts w:hint="eastAsia"/>
        </w:rPr>
        <w:t>出厂检验</w:t>
      </w:r>
    </w:p>
    <w:p w14:paraId="52A09EF9">
      <w:pPr>
        <w:pStyle w:val="56"/>
        <w:ind w:firstLine="420"/>
      </w:pPr>
      <w:r>
        <w:rPr>
          <w:rFonts w:hint="eastAsia"/>
        </w:rPr>
        <w:t>出厂检验项目包括感官、过氧化值（预炸类产品）、净含量。每批产品需经厂质量检验部门检验合格并签发质量合格证方可出厂。</w:t>
      </w:r>
    </w:p>
    <w:p w14:paraId="76FF99E2">
      <w:pPr>
        <w:pStyle w:val="65"/>
        <w:spacing w:before="120" w:after="120"/>
      </w:pPr>
      <w:r>
        <w:rPr>
          <w:rFonts w:hint="eastAsia"/>
        </w:rPr>
        <w:t>型式检验</w:t>
      </w:r>
    </w:p>
    <w:p w14:paraId="46BF74BA">
      <w:pPr>
        <w:pStyle w:val="56"/>
        <w:ind w:firstLine="420"/>
      </w:pPr>
      <w:r>
        <w:rPr>
          <w:rFonts w:hint="eastAsia"/>
        </w:rPr>
        <w:t>型式检验项目为本标准中4.2、4.3、4.4、4.5、4.6、4.7、4.8中规定的所有项目。有下列情况之一时，应进行型式检验：</w:t>
      </w:r>
    </w:p>
    <w:p w14:paraId="39EDE6B3">
      <w:pPr>
        <w:pStyle w:val="56"/>
        <w:ind w:firstLine="420"/>
      </w:pPr>
      <w:r>
        <w:rPr>
          <w:rFonts w:hint="eastAsia"/>
        </w:rPr>
        <w:t>a） 新产品试制鉴定时；</w:t>
      </w:r>
    </w:p>
    <w:p w14:paraId="76B846C7">
      <w:pPr>
        <w:pStyle w:val="56"/>
        <w:ind w:firstLine="420"/>
      </w:pPr>
      <w:r>
        <w:rPr>
          <w:rFonts w:hint="eastAsia"/>
        </w:rPr>
        <w:t>b）正常生产时每半年进行一次；</w:t>
      </w:r>
    </w:p>
    <w:p w14:paraId="168033C3">
      <w:pPr>
        <w:pStyle w:val="56"/>
        <w:ind w:firstLine="420"/>
      </w:pPr>
      <w:r>
        <w:rPr>
          <w:rFonts w:hint="eastAsia"/>
        </w:rPr>
        <w:t>c）原料、配方及生产工艺有改变时；</w:t>
      </w:r>
    </w:p>
    <w:p w14:paraId="4F4E6FDE">
      <w:pPr>
        <w:pStyle w:val="56"/>
        <w:ind w:firstLine="420"/>
      </w:pPr>
      <w:r>
        <w:rPr>
          <w:rFonts w:hint="eastAsia"/>
        </w:rPr>
        <w:t>d）停产半年后恢复生产时；</w:t>
      </w:r>
    </w:p>
    <w:p w14:paraId="0F26820D">
      <w:pPr>
        <w:pStyle w:val="56"/>
        <w:ind w:firstLine="420"/>
      </w:pPr>
      <w:r>
        <w:rPr>
          <w:rFonts w:hint="eastAsia"/>
        </w:rPr>
        <w:t>e）出厂检验结果与上次型式检验结果有较大差异时；</w:t>
      </w:r>
    </w:p>
    <w:p w14:paraId="5357DD80">
      <w:pPr>
        <w:pStyle w:val="56"/>
        <w:ind w:firstLine="420"/>
      </w:pPr>
      <w:r>
        <w:rPr>
          <w:rFonts w:hint="eastAsia"/>
        </w:rPr>
        <w:t>f）国家行政管理部门提出型式检验要求时。</w:t>
      </w:r>
    </w:p>
    <w:p w14:paraId="6CD95ADA">
      <w:pPr>
        <w:pStyle w:val="105"/>
        <w:spacing w:before="120" w:after="120"/>
      </w:pPr>
      <w:r>
        <w:rPr>
          <w:rFonts w:hint="eastAsia"/>
        </w:rPr>
        <w:t>判定规则</w:t>
      </w:r>
    </w:p>
    <w:p w14:paraId="697F57DA">
      <w:pPr>
        <w:pStyle w:val="65"/>
        <w:spacing w:before="120" w:after="120"/>
        <w:rPr>
          <w:rFonts w:hint="eastAsia" w:ascii="宋体" w:hAnsi="宋体" w:eastAsia="宋体"/>
        </w:rPr>
      </w:pPr>
      <w:r>
        <w:rPr>
          <w:rFonts w:hint="eastAsia" w:ascii="宋体" w:hAnsi="宋体" w:eastAsia="宋体"/>
        </w:rPr>
        <w:t>检验结果全部符合本标准要求时，则判定该批产品为合格品。</w:t>
      </w:r>
    </w:p>
    <w:p w14:paraId="555A2D5F">
      <w:pPr>
        <w:pStyle w:val="65"/>
        <w:spacing w:before="120" w:after="120"/>
        <w:rPr>
          <w:rFonts w:hint="eastAsia" w:ascii="宋体" w:hAnsi="宋体" w:eastAsia="宋体"/>
        </w:rPr>
      </w:pPr>
      <w:r>
        <w:rPr>
          <w:rFonts w:hint="eastAsia" w:ascii="宋体" w:hAnsi="宋体" w:eastAsia="宋体"/>
        </w:rPr>
        <w:t>检验结果中有一项以上（含一项）指标不符合本标准要求时，以复检备用样品或以相同批次产品加倍抽样，对不合格项目进行复检，如复检仍有不合格项，则判定该批产品为不合格品。微生物指标不合格，不得复检。</w:t>
      </w:r>
    </w:p>
    <w:p w14:paraId="7F8B73EB">
      <w:pPr>
        <w:pStyle w:val="104"/>
        <w:spacing w:before="240" w:after="240"/>
      </w:pPr>
      <w:r>
        <w:rPr>
          <w:rFonts w:hint="eastAsia"/>
        </w:rPr>
        <w:t>标志、标签、包装、运输和贮存</w:t>
      </w:r>
    </w:p>
    <w:p w14:paraId="23EAF97B">
      <w:pPr>
        <w:pStyle w:val="105"/>
        <w:spacing w:before="120" w:after="120"/>
      </w:pPr>
      <w:r>
        <w:rPr>
          <w:rFonts w:hint="eastAsia"/>
        </w:rPr>
        <w:t>标志、标签</w:t>
      </w:r>
    </w:p>
    <w:p w14:paraId="0871A7F2">
      <w:pPr>
        <w:pStyle w:val="56"/>
        <w:ind w:firstLine="420"/>
      </w:pPr>
      <w:r>
        <w:rPr>
          <w:rFonts w:hint="eastAsia"/>
        </w:rPr>
        <w:t>产品包装贮运图示标志应符合GB/T 191的规定，标签应符合GB 7718和GB 28050及相关要求的规定。</w:t>
      </w:r>
    </w:p>
    <w:p w14:paraId="0B44B49A">
      <w:pPr>
        <w:pStyle w:val="105"/>
        <w:spacing w:before="120" w:after="120"/>
      </w:pPr>
      <w:r>
        <w:rPr>
          <w:rFonts w:hint="eastAsia"/>
        </w:rPr>
        <w:t>包装</w:t>
      </w:r>
    </w:p>
    <w:p w14:paraId="65D12892">
      <w:pPr>
        <w:pStyle w:val="65"/>
        <w:spacing w:before="120" w:after="120"/>
        <w:rPr>
          <w:rFonts w:hint="eastAsia" w:ascii="宋体" w:hAnsi="宋体" w:eastAsia="宋体"/>
        </w:rPr>
      </w:pPr>
      <w:r>
        <w:rPr>
          <w:rFonts w:hint="eastAsia" w:ascii="宋体" w:hAnsi="宋体" w:eastAsia="宋体"/>
        </w:rPr>
        <w:t>产品内外包装应符合国家相关食品安全标准和有关规定。</w:t>
      </w:r>
    </w:p>
    <w:p w14:paraId="240E64D3">
      <w:pPr>
        <w:pStyle w:val="65"/>
        <w:spacing w:before="120" w:after="120"/>
        <w:rPr>
          <w:rFonts w:hint="eastAsia" w:ascii="宋体" w:hAnsi="宋体" w:eastAsia="宋体"/>
        </w:rPr>
      </w:pPr>
      <w:r>
        <w:rPr>
          <w:rFonts w:hint="eastAsia" w:ascii="宋体" w:hAnsi="宋体" w:eastAsia="宋体"/>
        </w:rPr>
        <w:t>包装要牢固、防潮、整洁、美观、无异味，便于装卸、仓储和运输。</w:t>
      </w:r>
    </w:p>
    <w:p w14:paraId="573EA8D3">
      <w:pPr>
        <w:pStyle w:val="105"/>
        <w:spacing w:before="120" w:after="120"/>
      </w:pPr>
      <w:r>
        <w:rPr>
          <w:rFonts w:hint="eastAsia"/>
        </w:rPr>
        <w:t>运输和贮存</w:t>
      </w:r>
    </w:p>
    <w:p w14:paraId="19DF8D02">
      <w:pPr>
        <w:pStyle w:val="65"/>
        <w:spacing w:before="120" w:after="120"/>
        <w:rPr>
          <w:rFonts w:hint="eastAsia" w:ascii="宋体" w:hAnsi="宋体" w:eastAsia="宋体"/>
        </w:rPr>
      </w:pPr>
      <w:r>
        <w:rPr>
          <w:rFonts w:hint="eastAsia" w:ascii="宋体" w:hAnsi="宋体" w:eastAsia="宋体"/>
        </w:rPr>
        <w:t>运输产品的车厢厢体应清洁、卫生，不得与有毒、有害、有异味的物质混装、混运。</w:t>
      </w:r>
    </w:p>
    <w:p w14:paraId="30313DD9">
      <w:pPr>
        <w:pStyle w:val="65"/>
        <w:spacing w:before="120" w:after="120"/>
        <w:rPr>
          <w:rFonts w:hint="eastAsia" w:ascii="宋体" w:hAnsi="宋体" w:eastAsia="宋体"/>
        </w:rPr>
      </w:pPr>
      <w:r>
        <w:rPr>
          <w:rFonts w:hint="eastAsia" w:ascii="宋体" w:hAnsi="宋体" w:eastAsia="宋体"/>
        </w:rPr>
        <w:t>产品按标识要求的温度运输。</w:t>
      </w:r>
    </w:p>
    <w:p w14:paraId="6C1E898B">
      <w:pPr>
        <w:pStyle w:val="65"/>
        <w:spacing w:before="120" w:after="120"/>
        <w:rPr>
          <w:rFonts w:hint="eastAsia" w:ascii="宋体" w:hAnsi="宋体" w:eastAsia="宋体"/>
        </w:rPr>
      </w:pPr>
      <w:r>
        <w:rPr>
          <w:rFonts w:hint="eastAsia" w:ascii="宋体" w:hAnsi="宋体" w:eastAsia="宋体"/>
        </w:rPr>
        <w:t>其他应符合GB 31621的规定。</w:t>
      </w:r>
    </w:p>
    <w:bookmarkEnd w:id="21"/>
    <w:p w14:paraId="6A8F7FEC">
      <w:pPr>
        <w:pStyle w:val="56"/>
        <w:ind w:firstLine="0" w:firstLineChars="0"/>
        <w:jc w:val="center"/>
      </w:pPr>
      <w:bookmarkStart w:id="43" w:name="BookMark8"/>
      <w:r>
        <w:rPr>
          <w:rFonts w:hint="eastAsia"/>
        </w:rPr>
        <w:drawing>
          <wp:inline distT="0" distB="0" distL="0" distR="0">
            <wp:extent cx="1485900" cy="317500"/>
            <wp:effectExtent l="0" t="0" r="0" b="6350"/>
            <wp:docPr id="284288765" name="图片 1"/>
            <wp:cNvGraphicFramePr/>
            <a:graphic xmlns:a="http://schemas.openxmlformats.org/drawingml/2006/main">
              <a:graphicData uri="http://schemas.openxmlformats.org/drawingml/2006/picture">
                <pic:pic xmlns:pic="http://schemas.openxmlformats.org/drawingml/2006/picture">
                  <pic:nvPicPr>
                    <pic:cNvPr id="284288765" name="图片 1"/>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3"/>
    </w:p>
    <w:sectPr>
      <w:headerReference r:id="rId9" w:type="default"/>
      <w:footerReference r:id="rId11" w:type="default"/>
      <w:headerReference r:id="rId10"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6164A">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2AD46">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5BDAD">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70C41">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093F6">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5B7B1">
    <w:pPr>
      <w:pStyle w:val="61"/>
      <w:rPr>
        <w:rFonts w:hint="eastAsia"/>
      </w:rPr>
    </w:pPr>
    <w:r>
      <w:fldChar w:fldCharType="begin"/>
    </w:r>
    <w:r>
      <w:instrText xml:space="preserve"> STYLEREF  标准文件_文件编号  \* MERGEFORMAT </w:instrText>
    </w:r>
    <w:r>
      <w:fldChar w:fldCharType="separate"/>
    </w:r>
    <w:r>
      <w:t>T/CCA 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76A02">
    <w:pPr>
      <w:pStyle w:val="18"/>
      <w:jc w:val="right"/>
    </w:pPr>
    <w:r>
      <w:fldChar w:fldCharType="begin"/>
    </w:r>
    <w:r>
      <w:instrText xml:space="preserve"> STYLEREF  标准文件_文件编号  \* MERGEFORMAT </w:instrText>
    </w:r>
    <w:r>
      <w:fldChar w:fldCharType="separate"/>
    </w:r>
    <w:r>
      <w:t>T/CCA 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TD8JjxQxiYsbx7ihIO8lgejWYiPEXZa+5y2nJanij2cEVTuYXMU7mE65WFzK0bMr1YJjtKxLcv9hZO4V7KjFnA==" w:salt="YmAso/DaHRrr/NqYKWDqV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zOWU0MDhlN2ExZGZiMjYzNGFiOTIwZDI4OTkxYjUifQ=="/>
  </w:docVars>
  <w:rsids>
    <w:rsidRoot w:val="00ED1CD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1E09"/>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721D"/>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50BE"/>
    <w:rsid w:val="007D6518"/>
    <w:rsid w:val="007D76BD"/>
    <w:rsid w:val="007E0BF1"/>
    <w:rsid w:val="007F0ED8"/>
    <w:rsid w:val="007F0F63"/>
    <w:rsid w:val="007F75CE"/>
    <w:rsid w:val="008013A4"/>
    <w:rsid w:val="008027CE"/>
    <w:rsid w:val="00802F42"/>
    <w:rsid w:val="00804383"/>
    <w:rsid w:val="00804BB7"/>
    <w:rsid w:val="00804D41"/>
    <w:rsid w:val="00804DDD"/>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BEE"/>
    <w:rsid w:val="00BB5F8F"/>
    <w:rsid w:val="00BB657A"/>
    <w:rsid w:val="00BC1A4E"/>
    <w:rsid w:val="00BC3012"/>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49D"/>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0E6F"/>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1CDD"/>
    <w:rsid w:val="00ED2B50"/>
    <w:rsid w:val="00EE0350"/>
    <w:rsid w:val="00EE0719"/>
    <w:rsid w:val="00EE0E80"/>
    <w:rsid w:val="00EE613F"/>
    <w:rsid w:val="00EE7295"/>
    <w:rsid w:val="00EE7869"/>
    <w:rsid w:val="00EF054A"/>
    <w:rsid w:val="00EF3235"/>
    <w:rsid w:val="00EF66DA"/>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A722673"/>
    <w:rsid w:val="2C8C39F6"/>
    <w:rsid w:val="45481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qFormat="1"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CD6B39CBC5649038A743751A9D1F291"/>
        <w:style w:val=""/>
        <w:category>
          <w:name w:val="常规"/>
          <w:gallery w:val="placeholder"/>
        </w:category>
        <w:types>
          <w:type w:val="bbPlcHdr"/>
        </w:types>
        <w:behaviors>
          <w:behavior w:val="content"/>
        </w:behaviors>
        <w:description w:val=""/>
        <w:guid w:val="{D8B4054E-BC90-4105-B026-606A2F129509}"/>
      </w:docPartPr>
      <w:docPartBody>
        <w:p w14:paraId="227DA407">
          <w:pPr>
            <w:pStyle w:val="5"/>
            <w:rPr>
              <w:rFonts w:hint="eastAsia"/>
            </w:rPr>
          </w:pPr>
          <w:r>
            <w:rPr>
              <w:rStyle w:val="4"/>
              <w:rFonts w:hint="eastAsia"/>
            </w:rPr>
            <w:t>单击或点击此处输入文字。</w:t>
          </w:r>
        </w:p>
      </w:docPartBody>
    </w:docPart>
    <w:docPart>
      <w:docPartPr>
        <w:name w:val="F63A78A2925341C79ABC318B9A29B3D6"/>
        <w:style w:val=""/>
        <w:category>
          <w:name w:val="常规"/>
          <w:gallery w:val="placeholder"/>
        </w:category>
        <w:types>
          <w:type w:val="bbPlcHdr"/>
        </w:types>
        <w:behaviors>
          <w:behavior w:val="content"/>
        </w:behaviors>
        <w:description w:val=""/>
        <w:guid w:val="{4DA30EB0-CDBD-49DB-9582-41622648513D}"/>
      </w:docPartPr>
      <w:docPartBody>
        <w:p w14:paraId="440AD74F">
          <w:pPr>
            <w:pStyle w:val="6"/>
            <w:rPr>
              <w:rFonts w:hint="eastAsia"/>
            </w:rPr>
          </w:pPr>
          <w:r>
            <w:rPr>
              <w:rStyle w:val="4"/>
              <w:rFonts w:hint="eastAsia"/>
            </w:rPr>
            <w:t>选择一项。</w:t>
          </w:r>
        </w:p>
      </w:docPartBody>
    </w:docPart>
    <w:docPart>
      <w:docPartPr>
        <w:name w:val="26A385BE6D0E449F897ADCB161FB2B65"/>
        <w:style w:val=""/>
        <w:category>
          <w:name w:val="常规"/>
          <w:gallery w:val="placeholder"/>
        </w:category>
        <w:types>
          <w:type w:val="bbPlcHdr"/>
        </w:types>
        <w:behaviors>
          <w:behavior w:val="content"/>
        </w:behaviors>
        <w:description w:val=""/>
        <w:guid w:val="{AA6424B5-2F95-4DDD-B1A8-FA61FE9E5245}"/>
      </w:docPartPr>
      <w:docPartBody>
        <w:p w14:paraId="3299CA92">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BE8"/>
    <w:rsid w:val="00163178"/>
    <w:rsid w:val="005E0BE8"/>
    <w:rsid w:val="007D50BE"/>
    <w:rsid w:val="00C2249D"/>
    <w:rsid w:val="00DA06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CD6B39CBC5649038A743751A9D1F291"/>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F63A78A2925341C79ABC318B9A29B3D6"/>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26A385BE6D0E449F897ADCB161FB2B65"/>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5</Pages>
  <Words>2286</Words>
  <Characters>2760</Characters>
  <Lines>24</Lines>
  <Paragraphs>6</Paragraphs>
  <TotalTime>7</TotalTime>
  <ScaleCrop>false</ScaleCrop>
  <LinksUpToDate>false</LinksUpToDate>
  <CharactersWithSpaces>2978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2024-10-21T01:30:00Z</dcterms:created>
  <dc:creator>Xiaoli Song</dc:creator>
  <dc:description>&lt;config cover="true" show_menu="true" version="1.0.0" doctype="SDKXY"&gt;_x000d_
&lt;/config&gt;</dc:description>
  <cp:lastModifiedBy>Eva</cp:lastModifiedBy>
  <cp:lastPrinted>2021-02-02T08:22:00Z</cp:lastPrinted>
  <dcterms:modified xsi:type="dcterms:W3CDTF">2024-10-21T06:10:36Z</dcterms:modified>
  <dc:title>团体标准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F234EA56628A47DF80539DC5D79FF6B0_12</vt:lpwstr>
  </property>
</Properties>
</file>