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《广告经营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主体</w:t>
      </w:r>
      <w:r>
        <w:rPr>
          <w:rFonts w:hint="eastAsia" w:ascii="方正小标宋简体" w:eastAsia="方正小标宋简体"/>
          <w:sz w:val="44"/>
          <w:szCs w:val="44"/>
        </w:rPr>
        <w:t>管理规范》编制说明</w:t>
      </w:r>
    </w:p>
    <w:p>
      <w:pPr>
        <w:pStyle w:val="3"/>
        <w:rPr>
          <w:rFonts w:ascii="黑体" w:hAnsi="黑体" w:eastAsia="黑体"/>
        </w:rPr>
      </w:pPr>
      <w:r>
        <w:rPr>
          <w:rFonts w:ascii="黑体" w:hAnsi="黑体" w:eastAsia="黑体"/>
        </w:rPr>
        <w:t>一、项目简况</w:t>
      </w:r>
    </w:p>
    <w:p>
      <w:pPr>
        <w:ind w:firstLine="642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（一）标准名称：</w:t>
      </w:r>
      <w:r>
        <w:rPr>
          <w:rFonts w:hint="eastAsia" w:ascii="仿宋" w:hAnsi="仿宋" w:eastAsia="仿宋"/>
          <w:sz w:val="32"/>
          <w:szCs w:val="32"/>
        </w:rPr>
        <w:t>《广告经营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主体</w:t>
      </w:r>
      <w:r>
        <w:rPr>
          <w:rFonts w:hint="eastAsia" w:ascii="仿宋" w:hAnsi="仿宋" w:eastAsia="仿宋"/>
          <w:sz w:val="32"/>
          <w:szCs w:val="32"/>
        </w:rPr>
        <w:t>管理规范》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b/>
          <w:sz w:val="32"/>
          <w:szCs w:val="32"/>
        </w:rPr>
        <w:t>二）任务来源（项目计划号）：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HNGP2024-045</w:t>
      </w:r>
    </w:p>
    <w:p>
      <w:pPr>
        <w:ind w:firstLine="642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sz w:val="32"/>
          <w:szCs w:val="32"/>
        </w:rPr>
        <w:t>（三）起草单位：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海南省市场监督管理局</w:t>
      </w:r>
    </w:p>
    <w:p>
      <w:pPr>
        <w:ind w:firstLine="642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b/>
          <w:sz w:val="32"/>
          <w:szCs w:val="32"/>
        </w:rPr>
        <w:t>（四）单位地址：</w:t>
      </w:r>
      <w:r>
        <w:rPr>
          <w:rFonts w:hint="eastAsia" w:ascii="仿宋" w:hAnsi="仿宋" w:eastAsia="仿宋"/>
          <w:sz w:val="32"/>
          <w:szCs w:val="32"/>
        </w:rPr>
        <w:t>海口市美兰区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蓝天路46号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（五）参与起草单位：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海南省市场监督管理局、</w:t>
      </w:r>
      <w:r>
        <w:rPr>
          <w:rFonts w:hint="eastAsia" w:ascii="仿宋" w:hAnsi="仿宋" w:eastAsia="仿宋"/>
          <w:sz w:val="32"/>
          <w:szCs w:val="32"/>
        </w:rPr>
        <w:t>海南省检验检测研究院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海南省标准化协会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（六）标准起草人：</w:t>
      </w:r>
    </w:p>
    <w:p>
      <w:pPr>
        <w:jc w:val="center"/>
        <w:rPr>
          <w:rFonts w:hint="eastAsia" w:ascii="黑体" w:hAnsi="黑体" w:eastAsia="黑体" w:cs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</w:rPr>
        <w:t>表1 标准起草人</w:t>
      </w:r>
    </w:p>
    <w:tbl>
      <w:tblPr>
        <w:tblStyle w:val="8"/>
        <w:tblpPr w:leftFromText="180" w:rightFromText="180" w:vertAnchor="text" w:horzAnchor="page" w:tblpXSpec="center" w:tblpY="62"/>
        <w:tblOverlap w:val="never"/>
        <w:tblW w:w="100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128"/>
        <w:gridCol w:w="2628"/>
        <w:gridCol w:w="1134"/>
        <w:gridCol w:w="340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12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262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职务</w:t>
            </w:r>
          </w:p>
        </w:tc>
        <w:tc>
          <w:tcPr>
            <w:tcW w:w="3402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任务分工</w:t>
            </w:r>
          </w:p>
        </w:tc>
        <w:tc>
          <w:tcPr>
            <w:tcW w:w="1275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符毅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海南省市场监督管理局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副处长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标准起草及修改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黄文秀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海南省检验检测研究院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副所长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标准起草及修改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黄宏毓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海南省标准化协会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color w:val="000000"/>
                <w:sz w:val="24"/>
                <w:szCs w:val="24"/>
              </w:rPr>
              <w:t>技术人员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负责收集汇总相关材料、标准起草、编制说明编写、意见处理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汤雪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海南省标准化协会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color w:val="000000"/>
                <w:sz w:val="24"/>
                <w:szCs w:val="24"/>
              </w:rPr>
              <w:t>技术人员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负责收集汇总相关材料、标准起草、编制说明编写、意见处理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崔巧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海南省市场监督管理局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一级</w:t>
            </w:r>
            <w:bookmarkStart w:id="4" w:name="_GoBack"/>
            <w:bookmarkEnd w:id="4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主任科员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标准起草及修改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冯文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海南省检验检测研究院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主任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标准起草及修改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周玉玲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海南省检验检测研究院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副所长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标准起草及修改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497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常虹</w:t>
            </w:r>
          </w:p>
        </w:tc>
        <w:tc>
          <w:tcPr>
            <w:tcW w:w="2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海南省检验检测研究院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" w:hAnsi="仿宋" w:eastAsia="仿宋"/>
                <w:color w:val="000000"/>
                <w:sz w:val="24"/>
                <w:szCs w:val="24"/>
              </w:rPr>
              <w:t>技术人员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标准起草及修改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 w:val="24"/>
                <w:szCs w:val="24"/>
              </w:rPr>
            </w:pPr>
          </w:p>
        </w:tc>
      </w:tr>
    </w:tbl>
    <w:p>
      <w:pPr>
        <w:pStyle w:val="3"/>
        <w:rPr>
          <w:rFonts w:ascii="黑体" w:hAnsi="黑体" w:eastAsia="黑体"/>
        </w:rPr>
      </w:pPr>
      <w:r>
        <w:rPr>
          <w:rFonts w:ascii="黑体" w:hAnsi="黑体" w:eastAsia="黑体"/>
        </w:rPr>
        <w:t>二、编制情况</w:t>
      </w:r>
    </w:p>
    <w:p>
      <w:pPr>
        <w:ind w:firstLine="642" w:firstLineChars="200"/>
        <w:rPr>
          <w:rFonts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</w:rPr>
        <w:t>（一）编制标准的必要性和意义及背景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“十四五”时期，我国全面建成小康社会、实现第一个百年奋斗目标之后，乘势而上开启全面建设社会主义现代化国家新征程、向第二个百年奋斗目标进军的第一个五年，广告产业面临新的政策机遇、市场机遇和技术机遇，面临更广阔的发展空间和更大的责任担当，也面临诸多发展压力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目前，海南省广告市场主体约为156052个，2023年广告业务收入约为54亿元，在全国广告业务收入的占比中不足0.5%，远落后于发达省市。同时，海南缺乏相关的地方管理法律法规，为广告市场的监督管理、技术指导、人员管理、合作交流等带来了一定难度。我省广告业基础弱、底子薄，广告业发展比较滞缓，加之行政部门对广告业的扶持政策不够，在指导产业发展方面举措不多、成效不显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贯彻落实《“十四五”广告产业发展规划》，促进广告产业高质量发展，根据《中华人民共和国国民经济和社会发展第十四个五年规划和2035年远景目标纲要》、《“十四五”市场监管现代化规划》和中华人民共和国广告法，为激发市场主体活力，支持数字广告高质量发展，我们提出制定《广告经营主体务管理规范》地方标准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因此，在新形式下将《广告经营主体管理规范》在我省的首发符合全省广告业标准化工作的要求，也为广告经营管理提供了框架性、方向性的管理依据，促使广告行业加强质量管理和控制，提升行业的自律意识，共同推动质量的提升，有利于发挥广告业促进经济增长的作用，助力现代服务业高质量发展。</w:t>
      </w:r>
    </w:p>
    <w:p>
      <w:pPr>
        <w:ind w:firstLine="642" w:firstLineChars="200"/>
        <w:rPr>
          <w:rFonts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</w:rPr>
        <w:t>（二）编制过程简介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海南省政府采购项目合同书的《海南省市场监督管理局社会服务与管理（标准化技术服务）项目的要求，海南省市场监督管理局下达《关于下达海南省2024年第三批地方标准制修订项目计划的通知》。同时，海南省检验检测研究院联合海南省</w:t>
      </w:r>
      <w:r>
        <w:rPr>
          <w:rFonts w:hint="eastAsia" w:ascii="仿宋" w:hAnsi="仿宋" w:eastAsia="仿宋"/>
          <w:sz w:val="32"/>
          <w:szCs w:val="32"/>
        </w:rPr>
        <w:t>标准化协会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协同海南省市场监督管理局广告处</w:t>
      </w:r>
      <w:r>
        <w:rPr>
          <w:rFonts w:hint="eastAsia" w:ascii="仿宋" w:hAnsi="仿宋" w:eastAsia="仿宋"/>
          <w:sz w:val="32"/>
          <w:szCs w:val="32"/>
        </w:rPr>
        <w:t>召集专业技术人员成立标准编制小组，按照《地方标准制修订工作规范》（DB46/T 74-2021）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相关要求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结合海南省广告业实际情况，</w:t>
      </w:r>
      <w:r>
        <w:rPr>
          <w:rFonts w:hint="eastAsia" w:ascii="仿宋" w:hAnsi="仿宋" w:eastAsia="仿宋"/>
          <w:sz w:val="32"/>
          <w:szCs w:val="32"/>
        </w:rPr>
        <w:t>制定编制计划，开展《广告经营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主体</w:t>
      </w:r>
      <w:r>
        <w:rPr>
          <w:rFonts w:hint="eastAsia" w:ascii="仿宋" w:hAnsi="仿宋" w:eastAsia="仿宋"/>
          <w:sz w:val="32"/>
          <w:szCs w:val="32"/>
        </w:rPr>
        <w:t>管理规范》的制定工作。</w:t>
      </w:r>
    </w:p>
    <w:p>
      <w:pPr>
        <w:autoSpaceDN w:val="0"/>
        <w:spacing w:line="480" w:lineRule="auto"/>
        <w:ind w:firstLine="642" w:firstLineChars="20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（1）标准起草过程：</w:t>
      </w: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标准起草组成立开始就对广告业务相关情况进行了调查研究，同时广泛搜集相关标准和国内法律法规，进行了研究分析、资料查证工作，确定了广告业务市场标准化管理中现存问题，结合现有相关国标、行标、地标的实际应用经验，为标准起草奠定了基础。</w:t>
      </w: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标准起草组进一步研究了广告业务需要具备的特殊条件，明确了技术要求和指标，为标准的具体起草指明了方向。</w:t>
      </w:r>
    </w:p>
    <w:p>
      <w:pPr>
        <w:numPr>
          <w:ilvl w:val="0"/>
          <w:numId w:val="2"/>
        </w:numPr>
        <w:autoSpaceDN w:val="0"/>
        <w:spacing w:line="480" w:lineRule="auto"/>
        <w:ind w:firstLine="642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拟定初稿</w:t>
      </w:r>
      <w:r>
        <w:rPr>
          <w:rFonts w:hint="eastAsia" w:ascii="仿宋" w:hAnsi="仿宋" w:eastAsia="仿宋"/>
          <w:b/>
          <w:sz w:val="32"/>
          <w:szCs w:val="32"/>
        </w:rPr>
        <w:t>：</w:t>
      </w:r>
    </w:p>
    <w:p>
      <w:pPr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标准起草人员通过走访广告业相关企业，以座谈会形式与广告从业人员和相关专业技术人员和技术顾问讨论、总结及归纳，确定了该标准的适用的范围、术语和定义、明确了标准的基本框架、要求及各环节的具体实施细则等内容，形成初稿。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（3）</w:t>
      </w:r>
      <w:r>
        <w:rPr>
          <w:rFonts w:ascii="仿宋" w:hAnsi="仿宋" w:eastAsia="仿宋"/>
          <w:b/>
          <w:sz w:val="32"/>
          <w:szCs w:val="32"/>
        </w:rPr>
        <w:t>征求意见情况：</w:t>
      </w:r>
    </w:p>
    <w:p>
      <w:pPr>
        <w:autoSpaceDN w:val="0"/>
        <w:spacing w:line="480" w:lineRule="auto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形成标准草案之后，起草组召开了专家研讨会，从标准框架、标准起草等角度广泛征求多方意见，从理论完善和实践应用多方面提升标准的适用性和实用性。经过理论研究和方法验证，起草组形成了《</w:t>
      </w:r>
      <w:r>
        <w:rPr>
          <w:rFonts w:hint="eastAsia" w:ascii="仿宋" w:hAnsi="仿宋" w:eastAsia="仿宋"/>
          <w:sz w:val="32"/>
          <w:szCs w:val="32"/>
        </w:rPr>
        <w:t>广告经营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主体</w:t>
      </w:r>
      <w:r>
        <w:rPr>
          <w:rFonts w:hint="eastAsia" w:ascii="仿宋" w:hAnsi="仿宋" w:eastAsia="仿宋"/>
          <w:sz w:val="32"/>
          <w:szCs w:val="32"/>
        </w:rPr>
        <w:t>管理规范</w:t>
      </w:r>
      <w:r>
        <w:rPr>
          <w:rFonts w:ascii="仿宋" w:hAnsi="仿宋" w:eastAsia="仿宋"/>
          <w:sz w:val="32"/>
          <w:szCs w:val="32"/>
        </w:rPr>
        <w:t>》(征求意见稿)</w:t>
      </w:r>
      <w:r>
        <w:rPr>
          <w:rFonts w:hint="eastAsia" w:ascii="仿宋" w:hAnsi="仿宋" w:eastAsia="仿宋"/>
          <w:sz w:val="32"/>
          <w:szCs w:val="32"/>
        </w:rPr>
        <w:t>和编制说明。</w:t>
      </w:r>
    </w:p>
    <w:p>
      <w:pPr>
        <w:ind w:firstLine="642" w:firstLineChars="200"/>
        <w:rPr>
          <w:rFonts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</w:rPr>
        <w:t>（三）制定标准的原则和依据，与现行法律法规、标准的关系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1、制定标准的原则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制定标准主要遵循“统一性、协调性、适用性、一致性、规范性”的原则，注重标准的可操作性。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2、制定标准的依据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标准编写按照相关国家标准的要求，如《标准化工作导则 第1 部分：标准的结构和编写》（GB/T1.1-2020），《地方标准制修订工作规范》（DB</w:t>
      </w:r>
      <w:r>
        <w:rPr>
          <w:rFonts w:ascii="仿宋" w:hAnsi="仿宋" w:eastAsia="仿宋"/>
          <w:sz w:val="32"/>
          <w:szCs w:val="32"/>
        </w:rPr>
        <w:t>46</w:t>
      </w:r>
      <w:r>
        <w:rPr>
          <w:rFonts w:hint="eastAsia" w:ascii="仿宋" w:hAnsi="仿宋" w:eastAsia="仿宋"/>
          <w:sz w:val="32"/>
          <w:szCs w:val="32"/>
        </w:rPr>
        <w:t xml:space="preserve">/T </w:t>
      </w:r>
      <w:r>
        <w:rPr>
          <w:rFonts w:ascii="仿宋" w:hAnsi="仿宋" w:eastAsia="仿宋"/>
          <w:sz w:val="32"/>
          <w:szCs w:val="32"/>
        </w:rPr>
        <w:t>74</w:t>
      </w:r>
      <w:r>
        <w:rPr>
          <w:rFonts w:hint="eastAsia" w:ascii="仿宋" w:hAnsi="仿宋" w:eastAsia="仿宋"/>
          <w:sz w:val="32"/>
          <w:szCs w:val="32"/>
        </w:rPr>
        <w:t>—202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）等。</w:t>
      </w:r>
    </w:p>
    <w:p>
      <w:pPr>
        <w:ind w:firstLine="642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（三）与有关的现行法律法规、标准的关系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符合国家、行业标准的相关规定，能与现行有关的法律、法规相衔接，与相关的国家、行业强制性标准无冲突。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（四）主要条款的说明，主要技术指标、参数、试验验证的论述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《广告经营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主体</w:t>
      </w:r>
      <w:r>
        <w:rPr>
          <w:rFonts w:hint="eastAsia" w:ascii="仿宋" w:hAnsi="仿宋" w:eastAsia="仿宋"/>
          <w:sz w:val="32"/>
          <w:szCs w:val="32"/>
        </w:rPr>
        <w:t>管理规范》遵循标准编写的体例格式和基本要素，由前言和正文构成。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其中，正文除范围、规范性引用文件、术语和定义等通用条款外，重点对术语和定义、总则、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基本要求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管理内容</w:t>
      </w:r>
      <w:r>
        <w:rPr>
          <w:rFonts w:hint="eastAsia" w:ascii="仿宋" w:hAnsi="仿宋" w:eastAsia="仿宋"/>
          <w:sz w:val="32"/>
          <w:szCs w:val="32"/>
        </w:rPr>
        <w:t>和评价与改进等内容做了规定。现重点对主要条款做以下说明：</w:t>
      </w:r>
    </w:p>
    <w:p>
      <w:pPr>
        <w:pStyle w:val="22"/>
        <w:numPr>
          <w:ilvl w:val="0"/>
          <w:numId w:val="0"/>
        </w:numPr>
        <w:spacing w:before="156" w:after="156"/>
        <w:ind w:firstLine="320" w:firstLineChars="100"/>
        <w:rPr>
          <w:rFonts w:hint="eastAsia" w:eastAsia="黑体"/>
          <w:color w:val="auto"/>
          <w:lang w:eastAsia="zh-CN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关于第</w:t>
      </w:r>
      <w:r>
        <w:rPr>
          <w:rFonts w:hint="eastAsia" w:ascii="楷体" w:hAnsi="楷体" w:eastAsia="楷体"/>
          <w:color w:val="auto"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/>
          <w:color w:val="auto"/>
          <w:sz w:val="32"/>
          <w:szCs w:val="32"/>
        </w:rPr>
        <w:t xml:space="preserve">章 </w:t>
      </w:r>
      <w:r>
        <w:rPr>
          <w:rFonts w:hint="eastAsia" w:ascii="仿宋" w:hAnsi="仿宋" w:eastAsia="仿宋"/>
          <w:color w:val="auto"/>
          <w:sz w:val="32"/>
          <w:szCs w:val="32"/>
        </w:rPr>
        <w:t>术语和定义。该部分主要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对</w:t>
      </w:r>
      <w:bookmarkStart w:id="0" w:name="_Toc166486373"/>
      <w:bookmarkStart w:id="1" w:name="_Toc166231603"/>
      <w:r>
        <w:rPr>
          <w:rFonts w:hint="eastAsia" w:ascii="仿宋" w:hAnsi="仿宋" w:eastAsia="仿宋" w:cs="Times New Roman"/>
          <w:color w:val="auto"/>
          <w:sz w:val="32"/>
          <w:szCs w:val="32"/>
        </w:rPr>
        <w:t>广告</w:t>
      </w:r>
      <w:bookmarkEnd w:id="0"/>
      <w:bookmarkEnd w:id="1"/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、</w:t>
      </w:r>
      <w:bookmarkStart w:id="2" w:name="_Toc166231605"/>
      <w:bookmarkStart w:id="3" w:name="_Toc166486375"/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广告经营主体、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广告业务</w:t>
      </w:r>
      <w:bookmarkEnd w:id="2"/>
      <w:bookmarkEnd w:id="3"/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广告代言人的含义作出解释。</w:t>
      </w:r>
    </w:p>
    <w:p>
      <w:pPr>
        <w:pStyle w:val="22"/>
        <w:numPr>
          <w:ilvl w:val="0"/>
          <w:numId w:val="0"/>
        </w:numPr>
        <w:spacing w:before="156" w:after="156"/>
        <w:ind w:firstLine="320" w:firstLineChars="100"/>
        <w:rPr>
          <w:rFonts w:hint="eastAsia" w:ascii="楷体" w:hAnsi="楷体" w:eastAsia="楷体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关于第</w:t>
      </w: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 w:cs="Times New Roman"/>
          <w:sz w:val="32"/>
          <w:szCs w:val="32"/>
        </w:rPr>
        <w:t xml:space="preserve">章 </w:t>
      </w: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基本要求</w:t>
      </w:r>
      <w:r>
        <w:rPr>
          <w:rFonts w:hint="eastAsia" w:ascii="楷体" w:hAnsi="楷体" w:eastAsia="楷体" w:cs="Times New Roman"/>
          <w:sz w:val="32"/>
          <w:szCs w:val="32"/>
        </w:rPr>
        <w:t>。</w:t>
      </w:r>
      <w:r>
        <w:rPr>
          <w:rFonts w:hint="eastAsia" w:ascii="仿宋" w:hAnsi="仿宋" w:eastAsia="仿宋" w:cs="Times New Roman"/>
          <w:sz w:val="32"/>
          <w:szCs w:val="32"/>
        </w:rPr>
        <w:t>本部分对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广告经营主体的基本要求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提出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相关条件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pStyle w:val="22"/>
        <w:numPr>
          <w:ilvl w:val="0"/>
          <w:numId w:val="0"/>
        </w:numPr>
        <w:spacing w:before="156" w:after="156"/>
        <w:ind w:firstLine="320" w:firstLineChars="1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关于第</w:t>
      </w: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Times New Roman"/>
          <w:sz w:val="32"/>
          <w:szCs w:val="32"/>
        </w:rPr>
        <w:t xml:space="preserve">章 </w:t>
      </w: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管理内容</w:t>
      </w:r>
      <w:r>
        <w:rPr>
          <w:rFonts w:hint="eastAsia" w:ascii="楷体" w:hAnsi="楷体" w:eastAsia="楷体" w:cs="Times New Roman"/>
          <w:sz w:val="32"/>
          <w:szCs w:val="32"/>
        </w:rPr>
        <w:t>。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本部分对承接、审核、发布、档案管理制定相应的条款</w:t>
      </w:r>
      <w:r>
        <w:rPr>
          <w:rFonts w:hint="eastAsia" w:ascii="仿宋" w:hAnsi="仿宋" w:eastAsia="仿宋" w:cs="Times New Roman"/>
          <w:sz w:val="32"/>
          <w:szCs w:val="32"/>
        </w:rPr>
        <w:t>。</w:t>
      </w:r>
    </w:p>
    <w:p>
      <w:pPr>
        <w:pStyle w:val="22"/>
        <w:numPr>
          <w:ilvl w:val="0"/>
          <w:numId w:val="0"/>
        </w:numPr>
        <w:spacing w:before="156" w:after="156"/>
        <w:ind w:firstLine="320" w:firstLineChars="1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楷体" w:hAnsi="楷体" w:eastAsia="楷体" w:cs="Times New Roman"/>
          <w:sz w:val="32"/>
          <w:szCs w:val="32"/>
        </w:rPr>
        <w:t>关于第</w:t>
      </w: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Times New Roman"/>
          <w:sz w:val="32"/>
          <w:szCs w:val="32"/>
        </w:rPr>
        <w:t xml:space="preserve">章 </w:t>
      </w: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评价与改进</w:t>
      </w:r>
      <w:r>
        <w:rPr>
          <w:rFonts w:hint="eastAsia" w:ascii="楷体" w:hAnsi="楷体" w:eastAsia="楷体" w:cs="Times New Roman"/>
          <w:sz w:val="32"/>
          <w:szCs w:val="32"/>
        </w:rPr>
        <w:t>。</w:t>
      </w:r>
      <w:r>
        <w:rPr>
          <w:rFonts w:hint="eastAsia" w:ascii="仿宋" w:hAnsi="仿宋" w:eastAsia="仿宋" w:cs="Times New Roman"/>
          <w:sz w:val="32"/>
          <w:szCs w:val="32"/>
        </w:rPr>
        <w:t>本部分评价与改进提出要求。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（五）标准中如果涉及专利，应有明确的知识产权说明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本文件未涉及专利。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（六）采用国际标准或国外先进标准的，说明采标程度，以及国内外同类标准水平的对比情况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未采用国际标准或国外先进标准。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（七）重大分歧意见的处理依据和结果</w:t>
      </w:r>
    </w:p>
    <w:p>
      <w:pPr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无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（八）贯彻标准的要求和措施建议</w:t>
      </w:r>
    </w:p>
    <w:p>
      <w:pPr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待本标准发布后，由海南省市场监督管理局联合海南省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广告协会</w:t>
      </w:r>
      <w:r>
        <w:rPr>
          <w:rFonts w:hint="eastAsia" w:ascii="仿宋" w:hAnsi="仿宋" w:eastAsia="仿宋"/>
          <w:sz w:val="32"/>
          <w:szCs w:val="32"/>
        </w:rPr>
        <w:t>、海南省大中型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广告业</w:t>
      </w:r>
      <w:r>
        <w:rPr>
          <w:rFonts w:hint="eastAsia" w:ascii="仿宋" w:hAnsi="仿宋" w:eastAsia="仿宋"/>
          <w:sz w:val="32"/>
          <w:szCs w:val="32"/>
        </w:rPr>
        <w:t>企业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和媒体</w:t>
      </w:r>
      <w:r>
        <w:rPr>
          <w:rFonts w:hint="eastAsia" w:ascii="仿宋" w:hAnsi="仿宋" w:eastAsia="仿宋"/>
          <w:sz w:val="32"/>
          <w:szCs w:val="32"/>
        </w:rPr>
        <w:t>做好新标准的宣贯。</w:t>
      </w:r>
    </w:p>
    <w:p>
      <w:pPr>
        <w:tabs>
          <w:tab w:val="left" w:pos="2127"/>
        </w:tabs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（九）预期效果</w:t>
      </w:r>
    </w:p>
    <w:p>
      <w:pPr>
        <w:ind w:firstLine="960" w:firstLineChars="3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《广告经营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主体</w:t>
      </w:r>
      <w:r>
        <w:rPr>
          <w:rFonts w:hint="eastAsia" w:ascii="仿宋" w:hAnsi="仿宋" w:eastAsia="仿宋"/>
          <w:sz w:val="32"/>
          <w:szCs w:val="32"/>
        </w:rPr>
        <w:t>管理规范》地方标准的发布实施，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是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落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《“十四五”广告产业发展规划》的新征程，突破我省原本无相关标准的现状，是推动我省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广告产业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走向高质量发展的首要工作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“十四五”时期，广告产业将向专业化和价值链高端延伸，促进消费、提升商品和服务附加值、传播社会文明、吸纳就业的作用进一步凸显。因此，我省广告产业的发展环境将进一步优化，广告的质量效益有着明显提升，广告产业的创新能力和服务能力不断提高，打造一个持续向好的市场秩序。</w:t>
      </w:r>
    </w:p>
    <w:p>
      <w:pPr>
        <w:ind w:firstLine="642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（十）其他应予说明的事项</w:t>
      </w:r>
    </w:p>
    <w:p>
      <w:pPr>
        <w:ind w:firstLine="640" w:firstLineChars="200"/>
      </w:pPr>
      <w:r>
        <w:rPr>
          <w:rFonts w:ascii="仿宋" w:hAnsi="仿宋" w:eastAsia="仿宋"/>
          <w:sz w:val="32"/>
          <w:szCs w:val="32"/>
        </w:rPr>
        <w:t>无</w:t>
      </w:r>
      <w:r>
        <w:rPr>
          <w:rFonts w:hint="eastAsia" w:ascii="仿宋" w:hAnsi="仿宋" w:eastAsia="仿宋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73767155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13DA2B"/>
    <w:multiLevelType w:val="singleLevel"/>
    <w:tmpl w:val="6613DA2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pStyle w:val="23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1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22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16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8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9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20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false"/>
  <w:bordersDoNotSurroundFooter w:val="false"/>
  <w:trackRevisions w:val="tru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kYjdjNzIxNzJiMzQ4MWYxOWMxODhjZWQ5MmViMTQifQ=="/>
  </w:docVars>
  <w:rsids>
    <w:rsidRoot w:val="00EC2A36"/>
    <w:rsid w:val="000013FC"/>
    <w:rsid w:val="00007641"/>
    <w:rsid w:val="00014B5D"/>
    <w:rsid w:val="00022C1A"/>
    <w:rsid w:val="0003309E"/>
    <w:rsid w:val="00033B87"/>
    <w:rsid w:val="00053B30"/>
    <w:rsid w:val="000B50C2"/>
    <w:rsid w:val="000F1167"/>
    <w:rsid w:val="00110893"/>
    <w:rsid w:val="00110BE1"/>
    <w:rsid w:val="00122DCA"/>
    <w:rsid w:val="00125868"/>
    <w:rsid w:val="00130DA4"/>
    <w:rsid w:val="0015086E"/>
    <w:rsid w:val="001648BB"/>
    <w:rsid w:val="00180E3C"/>
    <w:rsid w:val="00190753"/>
    <w:rsid w:val="001A4138"/>
    <w:rsid w:val="001A6FE4"/>
    <w:rsid w:val="001B0471"/>
    <w:rsid w:val="001B3EDF"/>
    <w:rsid w:val="001C335B"/>
    <w:rsid w:val="001D078C"/>
    <w:rsid w:val="001D091E"/>
    <w:rsid w:val="001E42F4"/>
    <w:rsid w:val="001F39EF"/>
    <w:rsid w:val="00203602"/>
    <w:rsid w:val="00233BAE"/>
    <w:rsid w:val="00235AD2"/>
    <w:rsid w:val="00241C7B"/>
    <w:rsid w:val="00282FD9"/>
    <w:rsid w:val="00295CD6"/>
    <w:rsid w:val="002A206A"/>
    <w:rsid w:val="002B4E66"/>
    <w:rsid w:val="002C397D"/>
    <w:rsid w:val="002D02AC"/>
    <w:rsid w:val="002D08D2"/>
    <w:rsid w:val="002D6016"/>
    <w:rsid w:val="002E2158"/>
    <w:rsid w:val="002E328E"/>
    <w:rsid w:val="002F7B88"/>
    <w:rsid w:val="0030565A"/>
    <w:rsid w:val="00305CBF"/>
    <w:rsid w:val="00333D45"/>
    <w:rsid w:val="00350839"/>
    <w:rsid w:val="0036770D"/>
    <w:rsid w:val="00385F26"/>
    <w:rsid w:val="003B2C29"/>
    <w:rsid w:val="003B5C14"/>
    <w:rsid w:val="003B60AA"/>
    <w:rsid w:val="003F2DC0"/>
    <w:rsid w:val="003F532C"/>
    <w:rsid w:val="00430658"/>
    <w:rsid w:val="00430B28"/>
    <w:rsid w:val="00457733"/>
    <w:rsid w:val="00470684"/>
    <w:rsid w:val="00484A7A"/>
    <w:rsid w:val="004A6C5D"/>
    <w:rsid w:val="004C0647"/>
    <w:rsid w:val="004E302D"/>
    <w:rsid w:val="004E7368"/>
    <w:rsid w:val="004F14B1"/>
    <w:rsid w:val="004F267A"/>
    <w:rsid w:val="00530797"/>
    <w:rsid w:val="005B0E8B"/>
    <w:rsid w:val="005C2B83"/>
    <w:rsid w:val="005D63C5"/>
    <w:rsid w:val="005F037B"/>
    <w:rsid w:val="00621C9E"/>
    <w:rsid w:val="00624A63"/>
    <w:rsid w:val="00627933"/>
    <w:rsid w:val="00631653"/>
    <w:rsid w:val="00635980"/>
    <w:rsid w:val="00661158"/>
    <w:rsid w:val="00664AB6"/>
    <w:rsid w:val="00696441"/>
    <w:rsid w:val="006A1FF8"/>
    <w:rsid w:val="006F6CB6"/>
    <w:rsid w:val="00715401"/>
    <w:rsid w:val="00715DD1"/>
    <w:rsid w:val="00730E2F"/>
    <w:rsid w:val="0076117E"/>
    <w:rsid w:val="007B189C"/>
    <w:rsid w:val="007D5A8B"/>
    <w:rsid w:val="007D78C5"/>
    <w:rsid w:val="007E5586"/>
    <w:rsid w:val="00803E46"/>
    <w:rsid w:val="0081079C"/>
    <w:rsid w:val="00824242"/>
    <w:rsid w:val="00826E3D"/>
    <w:rsid w:val="00836642"/>
    <w:rsid w:val="00843AAA"/>
    <w:rsid w:val="0087448A"/>
    <w:rsid w:val="00882BBD"/>
    <w:rsid w:val="00884E1D"/>
    <w:rsid w:val="008A259D"/>
    <w:rsid w:val="008B6DE2"/>
    <w:rsid w:val="008E58A0"/>
    <w:rsid w:val="008F2119"/>
    <w:rsid w:val="008F3D2E"/>
    <w:rsid w:val="009029BE"/>
    <w:rsid w:val="00955C27"/>
    <w:rsid w:val="00990377"/>
    <w:rsid w:val="009A2B64"/>
    <w:rsid w:val="009A5186"/>
    <w:rsid w:val="009A6868"/>
    <w:rsid w:val="009E5025"/>
    <w:rsid w:val="00A067E2"/>
    <w:rsid w:val="00A10ACE"/>
    <w:rsid w:val="00A16352"/>
    <w:rsid w:val="00A5090A"/>
    <w:rsid w:val="00A62DE4"/>
    <w:rsid w:val="00A734FD"/>
    <w:rsid w:val="00A805A5"/>
    <w:rsid w:val="00A81CFD"/>
    <w:rsid w:val="00A90B22"/>
    <w:rsid w:val="00A90DF5"/>
    <w:rsid w:val="00AA6398"/>
    <w:rsid w:val="00AB4F85"/>
    <w:rsid w:val="00AC11AE"/>
    <w:rsid w:val="00AF50D0"/>
    <w:rsid w:val="00AF68C0"/>
    <w:rsid w:val="00B051CF"/>
    <w:rsid w:val="00B30630"/>
    <w:rsid w:val="00B507CA"/>
    <w:rsid w:val="00B55219"/>
    <w:rsid w:val="00B61EFA"/>
    <w:rsid w:val="00B7213D"/>
    <w:rsid w:val="00B74C89"/>
    <w:rsid w:val="00B77AB9"/>
    <w:rsid w:val="00B956A4"/>
    <w:rsid w:val="00B96837"/>
    <w:rsid w:val="00BA11D9"/>
    <w:rsid w:val="00BA26CC"/>
    <w:rsid w:val="00BA44F1"/>
    <w:rsid w:val="00BA6C7A"/>
    <w:rsid w:val="00BD14BD"/>
    <w:rsid w:val="00C000AA"/>
    <w:rsid w:val="00C11D55"/>
    <w:rsid w:val="00C27F63"/>
    <w:rsid w:val="00C362FD"/>
    <w:rsid w:val="00C652FC"/>
    <w:rsid w:val="00C65EEA"/>
    <w:rsid w:val="00C83187"/>
    <w:rsid w:val="00C9307E"/>
    <w:rsid w:val="00C96741"/>
    <w:rsid w:val="00CA1E6E"/>
    <w:rsid w:val="00CA2BB7"/>
    <w:rsid w:val="00CE0BBC"/>
    <w:rsid w:val="00CE45DD"/>
    <w:rsid w:val="00D317D6"/>
    <w:rsid w:val="00D3383A"/>
    <w:rsid w:val="00D35B13"/>
    <w:rsid w:val="00D57E70"/>
    <w:rsid w:val="00D77421"/>
    <w:rsid w:val="00D91550"/>
    <w:rsid w:val="00DA2257"/>
    <w:rsid w:val="00DC3628"/>
    <w:rsid w:val="00DC7906"/>
    <w:rsid w:val="00DE2E02"/>
    <w:rsid w:val="00DF05FC"/>
    <w:rsid w:val="00DF1241"/>
    <w:rsid w:val="00DF18CE"/>
    <w:rsid w:val="00E01AA0"/>
    <w:rsid w:val="00E25335"/>
    <w:rsid w:val="00E307FC"/>
    <w:rsid w:val="00E441C3"/>
    <w:rsid w:val="00E606F8"/>
    <w:rsid w:val="00E60807"/>
    <w:rsid w:val="00E617CD"/>
    <w:rsid w:val="00E6388A"/>
    <w:rsid w:val="00E64097"/>
    <w:rsid w:val="00E855E4"/>
    <w:rsid w:val="00E9121C"/>
    <w:rsid w:val="00EA5D63"/>
    <w:rsid w:val="00EB32F6"/>
    <w:rsid w:val="00EC2A36"/>
    <w:rsid w:val="00EE73B9"/>
    <w:rsid w:val="00F04B5B"/>
    <w:rsid w:val="00F20154"/>
    <w:rsid w:val="00F27A40"/>
    <w:rsid w:val="00F507CE"/>
    <w:rsid w:val="00F53E48"/>
    <w:rsid w:val="00F76DA0"/>
    <w:rsid w:val="00F9218A"/>
    <w:rsid w:val="00FA2249"/>
    <w:rsid w:val="00FC45BE"/>
    <w:rsid w:val="00FE6F61"/>
    <w:rsid w:val="0FCE2E27"/>
    <w:rsid w:val="10EF12A7"/>
    <w:rsid w:val="12F72695"/>
    <w:rsid w:val="135D3299"/>
    <w:rsid w:val="164D719B"/>
    <w:rsid w:val="18A64941"/>
    <w:rsid w:val="1B3D3DDC"/>
    <w:rsid w:val="1B8A22F8"/>
    <w:rsid w:val="1CBD04AB"/>
    <w:rsid w:val="1FBA6F24"/>
    <w:rsid w:val="22237002"/>
    <w:rsid w:val="27F70D37"/>
    <w:rsid w:val="29333F50"/>
    <w:rsid w:val="2B457FE9"/>
    <w:rsid w:val="2CFF36E2"/>
    <w:rsid w:val="2EC22C2B"/>
    <w:rsid w:val="36F6462E"/>
    <w:rsid w:val="37A82519"/>
    <w:rsid w:val="388F70D1"/>
    <w:rsid w:val="3B624B35"/>
    <w:rsid w:val="407C5E04"/>
    <w:rsid w:val="41BC50AD"/>
    <w:rsid w:val="425C406C"/>
    <w:rsid w:val="49CB5B82"/>
    <w:rsid w:val="4AD61565"/>
    <w:rsid w:val="4B2F1727"/>
    <w:rsid w:val="4BE60F1D"/>
    <w:rsid w:val="4CE27936"/>
    <w:rsid w:val="4E9702AC"/>
    <w:rsid w:val="555F6A03"/>
    <w:rsid w:val="558F1CDD"/>
    <w:rsid w:val="59262B26"/>
    <w:rsid w:val="59AC4DE6"/>
    <w:rsid w:val="59F6057D"/>
    <w:rsid w:val="5EE27322"/>
    <w:rsid w:val="5EFC4888"/>
    <w:rsid w:val="5F217E4A"/>
    <w:rsid w:val="5F3F75A3"/>
    <w:rsid w:val="60993372"/>
    <w:rsid w:val="615C33BC"/>
    <w:rsid w:val="667B0788"/>
    <w:rsid w:val="68BE670A"/>
    <w:rsid w:val="6A7E1191"/>
    <w:rsid w:val="6B453E17"/>
    <w:rsid w:val="6B6E08BB"/>
    <w:rsid w:val="6F857F81"/>
    <w:rsid w:val="71592AFA"/>
    <w:rsid w:val="730F16A0"/>
    <w:rsid w:val="737630A3"/>
    <w:rsid w:val="739A2335"/>
    <w:rsid w:val="7F9F20C2"/>
    <w:rsid w:val="7FA371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4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6">
    <w:name w:val="标准文件_二级条标题"/>
    <w:next w:val="17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">
    <w:name w:val="标准文件_三级条标题"/>
    <w:basedOn w:val="16"/>
    <w:next w:val="1"/>
    <w:qFormat/>
    <w:uiPriority w:val="0"/>
    <w:pPr>
      <w:widowControl/>
      <w:numPr>
        <w:ilvl w:val="4"/>
      </w:numPr>
      <w:outlineLvl w:val="3"/>
    </w:pPr>
  </w:style>
  <w:style w:type="paragraph" w:customStyle="1" w:styleId="19">
    <w:name w:val="标准文件_四级条标题"/>
    <w:next w:val="1"/>
    <w:qFormat/>
    <w:uiPriority w:val="0"/>
    <w:pPr>
      <w:widowControl w:val="0"/>
      <w:numPr>
        <w:ilvl w:val="5"/>
        <w:numId w:val="1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0">
    <w:name w:val="标准文件_五级条标题"/>
    <w:next w:val="1"/>
    <w:qFormat/>
    <w:uiPriority w:val="0"/>
    <w:pPr>
      <w:widowControl w:val="0"/>
      <w:numPr>
        <w:ilvl w:val="6"/>
        <w:numId w:val="1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1">
    <w:name w:val="标准文件_章标题"/>
    <w:next w:val="17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2">
    <w:name w:val="标准文件_一级条标题"/>
    <w:basedOn w:val="21"/>
    <w:next w:val="17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23">
    <w:name w:val="前言标题"/>
    <w:next w:val="1"/>
    <w:qFormat/>
    <w:uiPriority w:val="0"/>
    <w:pPr>
      <w:numPr>
        <w:ilvl w:val="0"/>
        <w:numId w:val="1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character" w:customStyle="1" w:styleId="24">
    <w:name w:val="文档结构图 Char"/>
    <w:basedOn w:val="10"/>
    <w:link w:val="4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2543</Words>
  <Characters>2604</Characters>
  <Lines>28</Lines>
  <Paragraphs>7</Paragraphs>
  <TotalTime>22</TotalTime>
  <ScaleCrop>false</ScaleCrop>
  <LinksUpToDate>false</LinksUpToDate>
  <CharactersWithSpaces>2613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2021-12-06T10:35:00Z</dcterms:created>
  <dc:creator>ASUS</dc:creator>
  <cp:lastModifiedBy>uos</cp:lastModifiedBy>
  <cp:lastPrinted>2024-10-12T10:06:00Z</cp:lastPrinted>
  <dcterms:modified xsi:type="dcterms:W3CDTF">2024-10-24T14:55:43Z</dcterms:modified>
  <dc:title>《广告经营主体管理规范》编制说明</dc:title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5257906323BE4429B123FEEFE5E81EDC_13</vt:lpwstr>
  </property>
</Properties>
</file>