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B97F9" w14:textId="77777777" w:rsidR="001A7DDC" w:rsidRDefault="00A41BC2">
      <w:pPr>
        <w:pStyle w:val="30"/>
        <w:framePr w:wrap="around"/>
        <w:rPr>
          <w:rFonts w:hint="default"/>
          <w:color w:val="000000" w:themeColor="text1"/>
        </w:rPr>
      </w:pPr>
      <w:r>
        <w:rPr>
          <w:rFonts w:hint="default"/>
          <w:color w:val="000000" w:themeColor="text1"/>
        </w:rPr>
        <w:fldChar w:fldCharType="begin">
          <w:ffData>
            <w:name w:val="DBMark2"/>
            <w:enabled/>
            <w:calcOnExit w:val="0"/>
            <w:textInput>
              <w:default w:val="青海省"/>
            </w:textInput>
          </w:ffData>
        </w:fldChar>
      </w:r>
      <w:bookmarkStart w:id="0" w:name="DBMark2"/>
      <w:r>
        <w:rPr>
          <w:rFonts w:hint="default"/>
          <w:color w:val="000000" w:themeColor="text1"/>
        </w:rPr>
        <w:instrText xml:space="preserve"> FORMTEXT </w:instrText>
      </w:r>
      <w:r>
        <w:rPr>
          <w:rFonts w:hint="default"/>
          <w:color w:val="000000" w:themeColor="text1"/>
        </w:rPr>
      </w:r>
      <w:r>
        <w:rPr>
          <w:rFonts w:hint="default"/>
          <w:color w:val="000000" w:themeColor="text1"/>
        </w:rPr>
        <w:fldChar w:fldCharType="separate"/>
      </w:r>
      <w:r>
        <w:rPr>
          <w:color w:val="000000" w:themeColor="text1"/>
        </w:rPr>
        <w:t>青海省</w:t>
      </w:r>
      <w:r>
        <w:rPr>
          <w:rFonts w:hint="default"/>
          <w:color w:val="000000" w:themeColor="text1"/>
        </w:rPr>
        <w:fldChar w:fldCharType="end"/>
      </w:r>
      <w:bookmarkEnd w:id="0"/>
      <w:r>
        <w:rPr>
          <w:color w:val="000000" w:themeColor="text1"/>
        </w:rPr>
        <w:t>地方标准</w:t>
      </w:r>
    </w:p>
    <w:p w14:paraId="2A41F0B1" w14:textId="77777777" w:rsidR="001A7DDC" w:rsidRDefault="00A41BC2">
      <w:pPr>
        <w:pStyle w:val="23"/>
        <w:framePr w:wrap="around"/>
        <w:rPr>
          <w:rFonts w:hint="default"/>
          <w:color w:val="000000" w:themeColor="text1"/>
        </w:rPr>
      </w:pPr>
      <w:r>
        <w:rPr>
          <w:rFonts w:hint="default"/>
          <w:color w:val="000000" w:themeColor="text1"/>
        </w:rPr>
        <w:fldChar w:fldCharType="begin">
          <w:ffData>
            <w:name w:val="StandNo"/>
            <w:enabled/>
            <w:calcOnExit w:val="0"/>
            <w:textInput>
              <w:default w:val="DB63/T XXX—XXXX"/>
            </w:textInput>
          </w:ffData>
        </w:fldChar>
      </w:r>
      <w:bookmarkStart w:id="1" w:name="StandNo"/>
      <w:r>
        <w:rPr>
          <w:rFonts w:hint="default"/>
          <w:color w:val="000000" w:themeColor="text1"/>
        </w:rPr>
        <w:instrText xml:space="preserve"> </w:instrText>
      </w:r>
      <w:r>
        <w:rPr>
          <w:color w:val="000000" w:themeColor="text1"/>
        </w:rPr>
        <w:instrText>FORMTEXT</w:instrText>
      </w:r>
      <w:r>
        <w:rPr>
          <w:rFonts w:hint="default"/>
          <w:color w:val="000000" w:themeColor="text1"/>
        </w:rPr>
        <w:instrText xml:space="preserve"> </w:instrText>
      </w:r>
      <w:r>
        <w:rPr>
          <w:rFonts w:hint="default"/>
          <w:color w:val="000000" w:themeColor="text1"/>
        </w:rPr>
      </w:r>
      <w:r>
        <w:rPr>
          <w:rFonts w:hint="default"/>
          <w:color w:val="000000" w:themeColor="text1"/>
        </w:rPr>
        <w:fldChar w:fldCharType="separate"/>
      </w:r>
      <w:r>
        <w:rPr>
          <w:rFonts w:hint="default"/>
          <w:color w:val="000000" w:themeColor="text1"/>
        </w:rPr>
        <w:t>DB63/T XXX</w:t>
      </w:r>
      <w:r>
        <w:rPr>
          <w:rFonts w:hint="default"/>
          <w:color w:val="000000" w:themeColor="text1"/>
        </w:rPr>
        <w:t>—</w:t>
      </w:r>
      <w:r>
        <w:rPr>
          <w:rFonts w:hint="default"/>
          <w:color w:val="000000" w:themeColor="text1"/>
        </w:rPr>
        <w:t>XXXX</w:t>
      </w:r>
      <w:r>
        <w:rPr>
          <w:rFonts w:hint="default"/>
          <w:color w:val="000000" w:themeColor="text1"/>
        </w:rPr>
        <w:fldChar w:fldCharType="end"/>
      </w:r>
      <w:bookmarkEnd w:id="1"/>
    </w:p>
    <w:p w14:paraId="3EBB89D9" w14:textId="77777777" w:rsidR="001A7DDC" w:rsidRDefault="00A41BC2">
      <w:pPr>
        <w:pStyle w:val="afff8"/>
        <w:framePr w:wrap="around"/>
        <w:rPr>
          <w:rFonts w:hint="default"/>
          <w:color w:val="000000" w:themeColor="text1"/>
        </w:rPr>
      </w:pPr>
      <w:r>
        <w:rPr>
          <w:color w:val="000000" w:themeColor="text1"/>
        </w:rPr>
        <w:fldChar w:fldCharType="begin">
          <w:ffData>
            <w:name w:val="ReplaceDB"/>
            <w:enabled/>
            <w:calcOnExit w:val="0"/>
            <w:textInput/>
          </w:ffData>
        </w:fldChar>
      </w:r>
      <w:bookmarkStart w:id="2" w:name="ReplaceDB"/>
      <w:r>
        <w:rPr>
          <w:color w:val="000000" w:themeColor="text1"/>
        </w:rPr>
        <w:instrText>FORMTEXT</w:instrText>
      </w:r>
      <w:r>
        <w:rPr>
          <w:color w:val="000000" w:themeColor="text1"/>
        </w:rPr>
      </w:r>
      <w:r>
        <w:rPr>
          <w:color w:val="000000" w:themeColor="text1"/>
        </w:rPr>
        <w:fldChar w:fldCharType="separate"/>
      </w:r>
      <w:r>
        <w:rPr>
          <w:rFonts w:hint="default"/>
          <w:color w:val="000000" w:themeColor="text1"/>
        </w:rPr>
        <w:t>     </w:t>
      </w:r>
      <w:r>
        <w:rPr>
          <w:color w:val="000000" w:themeColor="text1"/>
        </w:rPr>
        <w:fldChar w:fldCharType="end"/>
      </w:r>
      <w:bookmarkEnd w:id="2"/>
    </w:p>
    <w:tbl>
      <w:tblPr>
        <w:tblStyle w:val="aff9"/>
        <w:tblW w:w="9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41"/>
      </w:tblGrid>
      <w:tr w:rsidR="001A7DDC" w14:paraId="20448E53" w14:textId="77777777">
        <w:tc>
          <w:tcPr>
            <w:tcW w:w="9889" w:type="dxa"/>
            <w:tcBorders>
              <w:top w:val="single" w:sz="8" w:space="0" w:color="auto"/>
            </w:tcBorders>
          </w:tcPr>
          <w:p w14:paraId="3BA4119D" w14:textId="77777777" w:rsidR="001A7DDC" w:rsidRDefault="001A7DDC">
            <w:pPr>
              <w:pStyle w:val="afff3"/>
              <w:framePr w:wrap="around"/>
              <w:rPr>
                <w:rFonts w:hint="default"/>
                <w:color w:val="000000" w:themeColor="text1"/>
                <w:sz w:val="10"/>
              </w:rPr>
            </w:pPr>
          </w:p>
        </w:tc>
      </w:tr>
    </w:tbl>
    <w:p w14:paraId="0114DB46" w14:textId="77777777" w:rsidR="001A7DDC" w:rsidRDefault="00A41BC2">
      <w:pPr>
        <w:pStyle w:val="afff9"/>
        <w:framePr w:wrap="around"/>
        <w:rPr>
          <w:rFonts w:hint="default"/>
          <w:color w:val="000000" w:themeColor="text1"/>
        </w:rPr>
      </w:pPr>
      <w:r>
        <w:rPr>
          <w:color w:val="000000" w:themeColor="text1"/>
        </w:rPr>
        <w:fldChar w:fldCharType="begin">
          <w:ffData>
            <w:name w:val="StdName"/>
            <w:enabled/>
            <w:calcOnExit w:val="0"/>
            <w:textInput>
              <w:default w:val="餐饮具消毒技术指南"/>
            </w:textInput>
          </w:ffData>
        </w:fldChar>
      </w:r>
      <w:bookmarkStart w:id="3" w:name="StdName"/>
      <w:r>
        <w:rPr>
          <w:color w:val="000000" w:themeColor="text1"/>
        </w:rPr>
        <w:instrText>FORMTEXT</w:instrText>
      </w:r>
      <w:r>
        <w:rPr>
          <w:color w:val="000000" w:themeColor="text1"/>
        </w:rPr>
      </w:r>
      <w:r>
        <w:rPr>
          <w:color w:val="000000" w:themeColor="text1"/>
        </w:rPr>
        <w:fldChar w:fldCharType="separate"/>
      </w:r>
      <w:r>
        <w:rPr>
          <w:color w:val="000000" w:themeColor="text1"/>
        </w:rPr>
        <w:t>餐饮具消毒技术指南</w:t>
      </w:r>
      <w:r>
        <w:rPr>
          <w:color w:val="000000" w:themeColor="text1"/>
        </w:rPr>
        <w:fldChar w:fldCharType="end"/>
      </w:r>
      <w:bookmarkEnd w:id="3"/>
    </w:p>
    <w:p w14:paraId="182CCD18" w14:textId="77777777" w:rsidR="001A7DDC" w:rsidRDefault="001A7DDC">
      <w:pPr>
        <w:pStyle w:val="afffa"/>
        <w:framePr w:wrap="around"/>
        <w:rPr>
          <w:rFonts w:hint="default"/>
          <w:color w:val="000000" w:themeColor="text1"/>
        </w:rPr>
      </w:pPr>
    </w:p>
    <w:p w14:paraId="09C4E232" w14:textId="77777777" w:rsidR="001A7DDC" w:rsidRDefault="001A7DDC">
      <w:pPr>
        <w:pStyle w:val="afffb"/>
        <w:framePr w:wrap="around"/>
        <w:rPr>
          <w:rFonts w:hint="default"/>
          <w:color w:val="000000" w:themeColor="text1"/>
        </w:rPr>
      </w:pPr>
    </w:p>
    <w:bookmarkStart w:id="4" w:name="LB"/>
    <w:p w14:paraId="61265A49" w14:textId="77777777" w:rsidR="001A7DDC" w:rsidRDefault="00A41BC2">
      <w:pPr>
        <w:pStyle w:val="afffc"/>
        <w:framePr w:wrap="around"/>
        <w:spacing w:after="0"/>
        <w:rPr>
          <w:color w:val="000000" w:themeColor="text1"/>
        </w:rPr>
      </w:pPr>
      <w:r>
        <w:rPr>
          <w:color w:val="000000" w:themeColor="text1"/>
        </w:rPr>
        <w:fldChar w:fldCharType="begin">
          <w:ffData>
            <w:name w:val="LB"/>
            <w:enabled/>
            <w:calcOnExit w:val="0"/>
            <w:ddList>
              <w:listEntry w:val="（征求意见稿）"/>
              <w:listEntry w:val="     "/>
              <w:listEntry w:val="草案版次选择"/>
              <w:listEntry w:val="（工作组讨论稿）"/>
              <w:listEntry w:val="（送审讨论稿）"/>
              <w:listEntry w:val="（送审稿）"/>
              <w:listEntry w:val="（报批稿）"/>
            </w:ddList>
          </w:ffData>
        </w:fldChar>
      </w:r>
      <w:r>
        <w:rPr>
          <w:color w:val="000000" w:themeColor="text1"/>
        </w:rPr>
        <w:instrText>FORMDROPDOWN</w:instrText>
      </w:r>
      <w:r>
        <w:rPr>
          <w:color w:val="000000" w:themeColor="text1"/>
        </w:rPr>
      </w:r>
      <w:r>
        <w:rPr>
          <w:color w:val="000000" w:themeColor="text1"/>
        </w:rPr>
        <w:fldChar w:fldCharType="separate"/>
      </w:r>
      <w:r>
        <w:rPr>
          <w:color w:val="000000" w:themeColor="text1"/>
        </w:rPr>
        <w:fldChar w:fldCharType="end"/>
      </w:r>
      <w:bookmarkEnd w:id="4"/>
    </w:p>
    <w:p w14:paraId="17629AF8" w14:textId="77777777" w:rsidR="001A7DDC" w:rsidRDefault="00A41BC2">
      <w:pPr>
        <w:pStyle w:val="afffd"/>
        <w:framePr w:wrap="around"/>
        <w:spacing w:before="100"/>
        <w:rPr>
          <w:color w:val="000000" w:themeColor="text1"/>
        </w:rPr>
      </w:pPr>
      <w:r>
        <w:rPr>
          <w:color w:val="000000" w:themeColor="text1"/>
        </w:rPr>
        <w:fldChar w:fldCharType="begin">
          <w:ffData>
            <w:name w:val="WCRQ"/>
            <w:enabled/>
            <w:calcOnExit w:val="0"/>
            <w:textInput/>
          </w:ffData>
        </w:fldChar>
      </w:r>
      <w:bookmarkStart w:id="5" w:name="WCRQ"/>
      <w:r>
        <w:rPr>
          <w:color w:val="000000" w:themeColor="text1"/>
        </w:rPr>
        <w:instrText>FORMTEXT</w:instrText>
      </w:r>
      <w:r>
        <w:rPr>
          <w:color w:val="000000" w:themeColor="text1"/>
        </w:rPr>
      </w:r>
      <w:r>
        <w:rPr>
          <w:color w:val="000000" w:themeColor="text1"/>
        </w:rPr>
        <w:fldChar w:fldCharType="separate"/>
      </w:r>
      <w:r>
        <w:rPr>
          <w:rFonts w:hint="default"/>
          <w:color w:val="000000" w:themeColor="text1"/>
        </w:rPr>
        <w:t>     </w:t>
      </w:r>
      <w:r>
        <w:rPr>
          <w:color w:val="000000" w:themeColor="text1"/>
        </w:rPr>
        <w:fldChar w:fldCharType="end"/>
      </w:r>
      <w:bookmarkEnd w:id="5"/>
    </w:p>
    <w:p w14:paraId="3CDFE23A" w14:textId="77777777" w:rsidR="001A7DDC" w:rsidRDefault="00A41BC2">
      <w:pPr>
        <w:pStyle w:val="afffe"/>
        <w:framePr w:wrap="around"/>
        <w:spacing w:beforeLines="220" w:before="686" w:after="93"/>
        <w:rPr>
          <w:rFonts w:hint="default"/>
          <w:color w:val="000000" w:themeColor="text1"/>
        </w:rPr>
      </w:pPr>
      <w:r>
        <w:rPr>
          <w:color w:val="000000" w:themeColor="text1"/>
        </w:rPr>
        <w:fldChar w:fldCharType="begin">
          <w:ffData>
            <w:name w:val="FileSelect"/>
            <w:enabled/>
            <w:calcOnExit w:val="0"/>
            <w:ddList>
              <w:default w:val="1"/>
              <w:listEntry w:val="     "/>
              <w:listEntry w:val="在提交反馈意见时，请将您知道的相关专利连同支持性文件一并附上。"/>
            </w:ddList>
          </w:ffData>
        </w:fldChar>
      </w:r>
      <w:bookmarkStart w:id="6" w:name="FileSelect"/>
      <w:r>
        <w:rPr>
          <w:color w:val="000000" w:themeColor="text1"/>
        </w:rPr>
        <w:instrText>FORMDROPDOWN</w:instrText>
      </w:r>
      <w:r>
        <w:rPr>
          <w:rFonts w:hint="default"/>
          <w:color w:val="000000" w:themeColor="text1"/>
        </w:rPr>
      </w:r>
      <w:r>
        <w:rPr>
          <w:rFonts w:hint="default"/>
          <w:color w:val="000000" w:themeColor="text1"/>
        </w:rPr>
        <w:fldChar w:fldCharType="separate"/>
      </w:r>
      <w:r>
        <w:rPr>
          <w:color w:val="000000" w:themeColor="text1"/>
        </w:rPr>
        <w:fldChar w:fldCharType="end"/>
      </w:r>
      <w:bookmarkEnd w:id="6"/>
    </w:p>
    <w:tbl>
      <w:tblPr>
        <w:tblStyle w:val="aff9"/>
        <w:tblW w:w="9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70"/>
        <w:gridCol w:w="4871"/>
      </w:tblGrid>
      <w:tr w:rsidR="001A7DDC" w14:paraId="03465C18" w14:textId="77777777">
        <w:trPr>
          <w:trHeight w:hRule="exact" w:val="363"/>
        </w:trPr>
        <w:tc>
          <w:tcPr>
            <w:tcW w:w="4944" w:type="dxa"/>
            <w:tcBorders>
              <w:bottom w:val="single" w:sz="8" w:space="0" w:color="auto"/>
            </w:tcBorders>
            <w:tcMar>
              <w:left w:w="57" w:type="dxa"/>
              <w:bottom w:w="28" w:type="dxa"/>
            </w:tcMar>
          </w:tcPr>
          <w:p w14:paraId="73F6A582" w14:textId="77777777" w:rsidR="001A7DDC" w:rsidRDefault="00A41BC2">
            <w:pPr>
              <w:pStyle w:val="afff7"/>
              <w:framePr w:wrap="around"/>
              <w:rPr>
                <w:rFonts w:hint="default"/>
                <w:color w:val="000000" w:themeColor="text1"/>
              </w:rPr>
            </w:pPr>
            <w:r>
              <w:rPr>
                <w:color w:val="000000" w:themeColor="text1"/>
              </w:rPr>
              <w:fldChar w:fldCharType="begin">
                <w:ffData>
                  <w:name w:val="FY"/>
                  <w:enabled/>
                  <w:calcOnExit w:val="0"/>
                  <w:textInput>
                    <w:default w:val="XXXX"/>
                    <w:maxLength w:val="4"/>
                  </w:textInput>
                </w:ffData>
              </w:fldChar>
            </w:r>
            <w:bookmarkStart w:id="7" w:name="FY"/>
            <w:r>
              <w:rPr>
                <w:color w:val="000000" w:themeColor="text1"/>
              </w:rPr>
              <w:instrText>FORMTEXT</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7"/>
            <w:r>
              <w:rPr>
                <w:color w:val="000000" w:themeColor="text1"/>
              </w:rPr>
              <w:t xml:space="preserve"> - </w:t>
            </w:r>
            <w:r>
              <w:rPr>
                <w:color w:val="000000" w:themeColor="text1"/>
              </w:rPr>
              <w:fldChar w:fldCharType="begin">
                <w:ffData>
                  <w:name w:val="FM"/>
                  <w:enabled/>
                  <w:calcOnExit w:val="0"/>
                  <w:textInput>
                    <w:default w:val="XX"/>
                    <w:maxLength w:val="2"/>
                  </w:textInput>
                </w:ffData>
              </w:fldChar>
            </w:r>
            <w:bookmarkStart w:id="8" w:name="FM"/>
            <w:r>
              <w:rPr>
                <w:color w:val="000000" w:themeColor="text1"/>
              </w:rPr>
              <w:instrText>FORMTEXT</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8"/>
            <w:r>
              <w:rPr>
                <w:color w:val="000000" w:themeColor="text1"/>
              </w:rPr>
              <w:t xml:space="preserve"> - </w:t>
            </w:r>
            <w:r>
              <w:rPr>
                <w:color w:val="000000" w:themeColor="text1"/>
              </w:rPr>
              <w:fldChar w:fldCharType="begin">
                <w:ffData>
                  <w:name w:val="FD"/>
                  <w:enabled/>
                  <w:calcOnExit w:val="0"/>
                  <w:textInput>
                    <w:default w:val="XX"/>
                    <w:maxLength w:val="2"/>
                  </w:textInput>
                </w:ffData>
              </w:fldChar>
            </w:r>
            <w:bookmarkStart w:id="9" w:name="FD"/>
            <w:r>
              <w:rPr>
                <w:color w:val="000000" w:themeColor="text1"/>
              </w:rPr>
              <w:instrText>FORMTEXT</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9"/>
            <w:r>
              <w:rPr>
                <w:color w:val="000000" w:themeColor="text1"/>
              </w:rPr>
              <w:t xml:space="preserve"> 发布</w:t>
            </w:r>
          </w:p>
        </w:tc>
        <w:tc>
          <w:tcPr>
            <w:tcW w:w="4945" w:type="dxa"/>
            <w:tcBorders>
              <w:bottom w:val="single" w:sz="8" w:space="0" w:color="auto"/>
            </w:tcBorders>
            <w:tcMar>
              <w:right w:w="57" w:type="dxa"/>
            </w:tcMar>
          </w:tcPr>
          <w:p w14:paraId="58384F48" w14:textId="77777777" w:rsidR="001A7DDC" w:rsidRDefault="00A41BC2">
            <w:pPr>
              <w:pStyle w:val="afff7"/>
              <w:framePr w:wrap="around"/>
              <w:jc w:val="right"/>
              <w:rPr>
                <w:rFonts w:hint="default"/>
                <w:color w:val="000000" w:themeColor="text1"/>
              </w:rPr>
            </w:pPr>
            <w:r>
              <w:rPr>
                <w:color w:val="000000" w:themeColor="text1"/>
              </w:rPr>
              <w:fldChar w:fldCharType="begin">
                <w:ffData>
                  <w:name w:val="SY"/>
                  <w:enabled/>
                  <w:calcOnExit w:val="0"/>
                  <w:textInput>
                    <w:default w:val="XXXX"/>
                    <w:maxLength w:val="4"/>
                  </w:textInput>
                </w:ffData>
              </w:fldChar>
            </w:r>
            <w:bookmarkStart w:id="10" w:name="SY"/>
            <w:r>
              <w:rPr>
                <w:color w:val="000000" w:themeColor="text1"/>
              </w:rPr>
              <w:instrText>FORMTEXT</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10"/>
            <w:r>
              <w:rPr>
                <w:color w:val="000000" w:themeColor="text1"/>
              </w:rPr>
              <w:t xml:space="preserve"> - </w:t>
            </w:r>
            <w:r>
              <w:rPr>
                <w:color w:val="000000" w:themeColor="text1"/>
              </w:rPr>
              <w:fldChar w:fldCharType="begin">
                <w:ffData>
                  <w:name w:val="SM"/>
                  <w:enabled/>
                  <w:calcOnExit w:val="0"/>
                  <w:textInput>
                    <w:default w:val="XX"/>
                    <w:maxLength w:val="2"/>
                  </w:textInput>
                </w:ffData>
              </w:fldChar>
            </w:r>
            <w:bookmarkStart w:id="11" w:name="SM"/>
            <w:r>
              <w:rPr>
                <w:color w:val="000000" w:themeColor="text1"/>
              </w:rPr>
              <w:instrText>FORMTEXT</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1"/>
            <w:r>
              <w:rPr>
                <w:color w:val="000000" w:themeColor="text1"/>
              </w:rPr>
              <w:t xml:space="preserve"> - </w:t>
            </w:r>
            <w:r>
              <w:rPr>
                <w:color w:val="000000" w:themeColor="text1"/>
              </w:rPr>
              <w:fldChar w:fldCharType="begin">
                <w:ffData>
                  <w:name w:val="SD"/>
                  <w:enabled/>
                  <w:calcOnExit w:val="0"/>
                  <w:textInput>
                    <w:default w:val="XX"/>
                    <w:maxLength w:val="2"/>
                  </w:textInput>
                </w:ffData>
              </w:fldChar>
            </w:r>
            <w:bookmarkStart w:id="12" w:name="SD"/>
            <w:r>
              <w:rPr>
                <w:color w:val="000000" w:themeColor="text1"/>
              </w:rPr>
              <w:instrText>FORMTEXT</w:instrText>
            </w:r>
            <w:r>
              <w:rPr>
                <w:color w:val="000000" w:themeColor="text1"/>
              </w:rPr>
            </w:r>
            <w:r>
              <w:rPr>
                <w:color w:val="000000" w:themeColor="text1"/>
              </w:rPr>
              <w:fldChar w:fldCharType="separate"/>
            </w:r>
            <w:r>
              <w:rPr>
                <w:color w:val="000000" w:themeColor="text1"/>
              </w:rPr>
              <w:t>XX</w:t>
            </w:r>
            <w:r>
              <w:rPr>
                <w:color w:val="000000" w:themeColor="text1"/>
              </w:rPr>
              <w:fldChar w:fldCharType="end"/>
            </w:r>
            <w:bookmarkEnd w:id="12"/>
            <w:r>
              <w:rPr>
                <w:color w:val="000000" w:themeColor="text1"/>
              </w:rPr>
              <w:t xml:space="preserve"> 实施</w:t>
            </w:r>
          </w:p>
        </w:tc>
      </w:tr>
    </w:tbl>
    <w:p w14:paraId="3D47BD84" w14:textId="77777777" w:rsidR="001A7DDC" w:rsidRDefault="00A41BC2">
      <w:pPr>
        <w:pStyle w:val="24"/>
        <w:framePr w:wrap="around"/>
        <w:spacing w:before="0"/>
        <w:rPr>
          <w:color w:val="000000" w:themeColor="text1"/>
        </w:rPr>
      </w:pPr>
      <w:r>
        <w:rPr>
          <w:color w:val="000000" w:themeColor="text1"/>
        </w:rPr>
        <w:fldChar w:fldCharType="begin">
          <w:ffData>
            <w:name w:val="FM2"/>
            <w:enabled/>
            <w:calcOnExit w:val="0"/>
            <w:textInput>
              <w:default w:val="青海省市场监督管理局"/>
            </w:textInput>
          </w:ffData>
        </w:fldChar>
      </w:r>
      <w:bookmarkStart w:id="13" w:name="FM2"/>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青海省市场监督管理局</w:t>
      </w:r>
      <w:r>
        <w:rPr>
          <w:color w:val="000000" w:themeColor="text1"/>
        </w:rPr>
        <w:fldChar w:fldCharType="end"/>
      </w:r>
      <w:bookmarkEnd w:id="13"/>
      <w:r>
        <w:rPr>
          <w:color w:val="000000" w:themeColor="text1"/>
        </w:rPr>
        <w:t>  </w:t>
      </w:r>
      <w:r>
        <w:rPr>
          <w:color w:val="000000" w:themeColor="text1"/>
          <w:spacing w:val="85"/>
        </w:rPr>
        <w:t>发</w:t>
      </w:r>
      <w:r>
        <w:rPr>
          <w:color w:val="000000" w:themeColor="text1"/>
        </w:rPr>
        <w:t>布</w:t>
      </w: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3"/>
        <w:gridCol w:w="9107"/>
      </w:tblGrid>
      <w:tr w:rsidR="001A7DDC" w14:paraId="274D9B46" w14:textId="77777777">
        <w:tc>
          <w:tcPr>
            <w:tcW w:w="463" w:type="dxa"/>
          </w:tcPr>
          <w:p w14:paraId="043E3EA9" w14:textId="77777777" w:rsidR="001A7DDC" w:rsidRDefault="00A41BC2">
            <w:pPr>
              <w:pStyle w:val="affff2"/>
              <w:framePr w:w="9639" w:wrap="around"/>
              <w:rPr>
                <w:rFonts w:hint="default"/>
                <w:color w:val="000000" w:themeColor="text1"/>
              </w:rPr>
            </w:pPr>
            <w:r>
              <w:rPr>
                <w:color w:val="000000" w:themeColor="text1"/>
              </w:rPr>
              <w:t>ICS</w:t>
            </w:r>
          </w:p>
        </w:tc>
        <w:bookmarkStart w:id="14" w:name="ICS"/>
        <w:tc>
          <w:tcPr>
            <w:tcW w:w="9107" w:type="dxa"/>
          </w:tcPr>
          <w:p w14:paraId="62F68B5F" w14:textId="77777777" w:rsidR="001A7DDC" w:rsidRDefault="00A41BC2">
            <w:pPr>
              <w:pStyle w:val="affff2"/>
              <w:framePr w:w="9639" w:wrap="around"/>
              <w:rPr>
                <w:rFonts w:hint="default"/>
                <w:color w:val="000000" w:themeColor="text1"/>
              </w:rPr>
            </w:pPr>
            <w:r>
              <w:rPr>
                <w:rFonts w:hint="default"/>
                <w:color w:val="000000" w:themeColor="text1"/>
              </w:rPr>
              <w:fldChar w:fldCharType="begin">
                <w:ffData>
                  <w:name w:val="ICS"/>
                  <w:enabled/>
                  <w:calcOnExit w:val="0"/>
                  <w:textInput>
                    <w:default w:val="67.020"/>
                  </w:textInput>
                </w:ffData>
              </w:fldChar>
            </w:r>
            <w:r>
              <w:rPr>
                <w:rFonts w:hint="default"/>
                <w:color w:val="000000" w:themeColor="text1"/>
              </w:rPr>
              <w:instrText>FORMTEXT</w:instrText>
            </w:r>
            <w:r>
              <w:rPr>
                <w:rFonts w:hint="default"/>
                <w:color w:val="000000" w:themeColor="text1"/>
              </w:rPr>
            </w:r>
            <w:r>
              <w:rPr>
                <w:rFonts w:hint="default"/>
                <w:color w:val="000000" w:themeColor="text1"/>
              </w:rPr>
              <w:fldChar w:fldCharType="separate"/>
            </w:r>
            <w:r>
              <w:rPr>
                <w:rFonts w:hint="default"/>
                <w:color w:val="000000" w:themeColor="text1"/>
              </w:rPr>
              <w:t>67.020</w:t>
            </w:r>
            <w:r>
              <w:rPr>
                <w:rFonts w:hint="default"/>
                <w:color w:val="000000" w:themeColor="text1"/>
              </w:rPr>
              <w:fldChar w:fldCharType="end"/>
            </w:r>
            <w:bookmarkEnd w:id="14"/>
          </w:p>
        </w:tc>
      </w:tr>
      <w:tr w:rsidR="001A7DDC" w14:paraId="56E90A3C" w14:textId="77777777">
        <w:tc>
          <w:tcPr>
            <w:tcW w:w="463" w:type="dxa"/>
          </w:tcPr>
          <w:p w14:paraId="674A8526" w14:textId="77777777" w:rsidR="001A7DDC" w:rsidRDefault="00A41BC2">
            <w:pPr>
              <w:pStyle w:val="affff2"/>
              <w:framePr w:w="9639" w:wrap="around"/>
              <w:rPr>
                <w:rFonts w:hint="default"/>
                <w:color w:val="000000" w:themeColor="text1"/>
              </w:rPr>
            </w:pPr>
            <w:r>
              <w:rPr>
                <w:color w:val="000000" w:themeColor="text1"/>
              </w:rPr>
              <w:t>CCS</w:t>
            </w:r>
          </w:p>
        </w:tc>
        <w:bookmarkStart w:id="15" w:name="CCS"/>
        <w:tc>
          <w:tcPr>
            <w:tcW w:w="9107" w:type="dxa"/>
          </w:tcPr>
          <w:p w14:paraId="30E2EFE7" w14:textId="77777777" w:rsidR="001A7DDC" w:rsidRDefault="00A41BC2">
            <w:pPr>
              <w:pStyle w:val="affff2"/>
              <w:framePr w:w="9639" w:wrap="around"/>
              <w:rPr>
                <w:rFonts w:hint="default"/>
                <w:color w:val="000000" w:themeColor="text1"/>
              </w:rPr>
            </w:pPr>
            <w:r>
              <w:rPr>
                <w:rFonts w:hint="default"/>
                <w:color w:val="000000" w:themeColor="text1"/>
              </w:rPr>
              <w:fldChar w:fldCharType="begin">
                <w:ffData>
                  <w:name w:val="CCS"/>
                  <w:enabled/>
                  <w:calcOnExit w:val="0"/>
                  <w:textInput>
                    <w:default w:val="X 09"/>
                  </w:textInput>
                </w:ffData>
              </w:fldChar>
            </w:r>
            <w:r>
              <w:rPr>
                <w:rFonts w:hint="default"/>
                <w:color w:val="000000" w:themeColor="text1"/>
              </w:rPr>
              <w:instrText>FORMTEXT</w:instrText>
            </w:r>
            <w:r>
              <w:rPr>
                <w:rFonts w:hint="default"/>
                <w:color w:val="000000" w:themeColor="text1"/>
              </w:rPr>
            </w:r>
            <w:r>
              <w:rPr>
                <w:rFonts w:hint="default"/>
                <w:color w:val="000000" w:themeColor="text1"/>
              </w:rPr>
              <w:fldChar w:fldCharType="separate"/>
            </w:r>
            <w:r>
              <w:rPr>
                <w:rFonts w:hint="default"/>
                <w:color w:val="000000" w:themeColor="text1"/>
              </w:rPr>
              <w:t>X 09</w:t>
            </w:r>
            <w:r>
              <w:rPr>
                <w:rFonts w:hint="default"/>
                <w:color w:val="000000" w:themeColor="text1"/>
              </w:rPr>
              <w:fldChar w:fldCharType="end"/>
            </w:r>
            <w:bookmarkEnd w:id="15"/>
          </w:p>
          <w:tbl>
            <w:tblPr>
              <w:tblStyle w:val="aff9"/>
              <w:tblpPr w:vertAnchor="page" w:horzAnchor="margin" w:tblpXSpec="right" w:tblpY="114"/>
              <w:tblOverlap w:val="never"/>
              <w:tblW w:w="6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662"/>
            </w:tblGrid>
            <w:tr w:rsidR="001A7DDC" w14:paraId="41A4E953" w14:textId="77777777">
              <w:tc>
                <w:tcPr>
                  <w:tcW w:w="9107" w:type="dxa"/>
                  <w:vAlign w:val="center"/>
                </w:tcPr>
                <w:p w14:paraId="0D1A3661" w14:textId="77777777" w:rsidR="001A7DDC" w:rsidRDefault="00A41BC2" w:rsidP="000F5BC3">
                  <w:pPr>
                    <w:pStyle w:val="affff2"/>
                    <w:framePr w:wrap="auto" w:vAnchor="margin" w:hAnchor="text" w:xAlign="left" w:yAlign="inline"/>
                    <w:jc w:val="right"/>
                    <w:rPr>
                      <w:rFonts w:ascii="Times New Roman" w:eastAsia="宋体" w:hint="default"/>
                      <w:b/>
                      <w:color w:val="000000" w:themeColor="text1"/>
                      <w:w w:val="130"/>
                      <w:kern w:val="0"/>
                    </w:rPr>
                  </w:pPr>
                  <w:r>
                    <w:rPr>
                      <w:rFonts w:ascii="Times New Roman" w:eastAsia="宋体"/>
                      <w:b/>
                      <w:noProof/>
                      <w:color w:val="000000" w:themeColor="text1"/>
                      <w:w w:val="130"/>
                      <w:kern w:val="0"/>
                      <w:sz w:val="96"/>
                    </w:rPr>
                    <w:drawing>
                      <wp:inline distT="0" distB="0" distL="114300" distR="114300" wp14:anchorId="769FAC7D" wp14:editId="66A9216F">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7"/>
                                <a:stretch>
                                  <a:fillRect/>
                                </a:stretch>
                              </pic:blipFill>
                              <pic:spPr>
                                <a:xfrm>
                                  <a:off x="0" y="0"/>
                                  <a:ext cx="798195" cy="399415"/>
                                </a:xfrm>
                                <a:prstGeom prst="rect">
                                  <a:avLst/>
                                </a:prstGeom>
                              </pic:spPr>
                            </pic:pic>
                          </a:graphicData>
                        </a:graphic>
                      </wp:inline>
                    </w:drawing>
                  </w:r>
                  <w:r>
                    <w:rPr>
                      <w:rFonts w:ascii="Times New Roman" w:eastAsia="宋体"/>
                      <w:b/>
                      <w:color w:val="000000" w:themeColor="text1"/>
                      <w:w w:val="130"/>
                      <w:kern w:val="0"/>
                    </w:rPr>
                    <w:t xml:space="preserve"> </w:t>
                  </w:r>
                  <w:r>
                    <w:rPr>
                      <w:rFonts w:ascii="Times New Roman" w:eastAsia="宋体" w:hint="default"/>
                      <w:b/>
                      <w:color w:val="000000" w:themeColor="text1"/>
                      <w:w w:val="130"/>
                      <w:kern w:val="0"/>
                      <w:sz w:val="96"/>
                    </w:rPr>
                    <w:fldChar w:fldCharType="begin">
                      <w:ffData>
                        <w:name w:val="DBMark"/>
                        <w:enabled/>
                        <w:calcOnExit w:val="0"/>
                        <w:textInput>
                          <w:default w:val="63"/>
                          <w:maxLength w:val="8"/>
                        </w:textInput>
                      </w:ffData>
                    </w:fldChar>
                  </w:r>
                  <w:bookmarkStart w:id="16" w:name="DBMark"/>
                  <w:r>
                    <w:rPr>
                      <w:rFonts w:ascii="Times New Roman" w:eastAsia="宋体" w:hint="default"/>
                      <w:b/>
                      <w:color w:val="000000" w:themeColor="text1"/>
                      <w:w w:val="130"/>
                      <w:kern w:val="0"/>
                      <w:sz w:val="96"/>
                    </w:rPr>
                    <w:instrText xml:space="preserve"> </w:instrText>
                  </w:r>
                  <w:r>
                    <w:rPr>
                      <w:rFonts w:ascii="Times New Roman" w:eastAsia="宋体"/>
                      <w:b/>
                      <w:color w:val="000000" w:themeColor="text1"/>
                      <w:w w:val="130"/>
                      <w:kern w:val="0"/>
                      <w:sz w:val="96"/>
                    </w:rPr>
                    <w:instrText>FORMTEXT</w:instrText>
                  </w:r>
                  <w:r>
                    <w:rPr>
                      <w:rFonts w:ascii="Times New Roman" w:eastAsia="宋体" w:hint="default"/>
                      <w:b/>
                      <w:color w:val="000000" w:themeColor="text1"/>
                      <w:w w:val="130"/>
                      <w:kern w:val="0"/>
                      <w:sz w:val="96"/>
                    </w:rPr>
                    <w:instrText xml:space="preserve"> </w:instrText>
                  </w:r>
                  <w:r>
                    <w:rPr>
                      <w:rFonts w:ascii="Times New Roman" w:eastAsia="宋体" w:hint="default"/>
                      <w:b/>
                      <w:color w:val="000000" w:themeColor="text1"/>
                      <w:w w:val="130"/>
                      <w:kern w:val="0"/>
                      <w:sz w:val="96"/>
                    </w:rPr>
                  </w:r>
                  <w:r>
                    <w:rPr>
                      <w:rFonts w:ascii="Times New Roman" w:eastAsia="宋体" w:hint="default"/>
                      <w:b/>
                      <w:color w:val="000000" w:themeColor="text1"/>
                      <w:w w:val="130"/>
                      <w:kern w:val="0"/>
                      <w:sz w:val="96"/>
                    </w:rPr>
                    <w:fldChar w:fldCharType="separate"/>
                  </w:r>
                  <w:r>
                    <w:rPr>
                      <w:rFonts w:ascii="Times New Roman" w:eastAsia="宋体" w:hint="default"/>
                      <w:b/>
                      <w:color w:val="000000" w:themeColor="text1"/>
                      <w:w w:val="130"/>
                      <w:kern w:val="0"/>
                      <w:sz w:val="96"/>
                    </w:rPr>
                    <w:t>63</w:t>
                  </w:r>
                  <w:r>
                    <w:rPr>
                      <w:rFonts w:ascii="Times New Roman" w:eastAsia="宋体" w:hint="default"/>
                      <w:b/>
                      <w:color w:val="000000" w:themeColor="text1"/>
                      <w:w w:val="130"/>
                      <w:kern w:val="0"/>
                      <w:sz w:val="96"/>
                    </w:rPr>
                    <w:fldChar w:fldCharType="end"/>
                  </w:r>
                  <w:bookmarkEnd w:id="16"/>
                </w:p>
              </w:tc>
            </w:tr>
          </w:tbl>
          <w:p w14:paraId="6E97F6EE" w14:textId="77777777" w:rsidR="001A7DDC" w:rsidRDefault="001A7DDC">
            <w:pPr>
              <w:pStyle w:val="affff2"/>
              <w:framePr w:w="9639" w:wrap="around"/>
              <w:rPr>
                <w:rFonts w:hint="default"/>
                <w:color w:val="000000" w:themeColor="text1"/>
              </w:rPr>
            </w:pPr>
          </w:p>
        </w:tc>
      </w:tr>
    </w:tbl>
    <w:p w14:paraId="453A90B7" w14:textId="77777777" w:rsidR="001A7DDC" w:rsidRDefault="001A7DDC">
      <w:pPr>
        <w:pStyle w:val="affff2"/>
        <w:framePr w:w="9639" w:wrap="around"/>
        <w:rPr>
          <w:rFonts w:hint="default"/>
          <w:color w:val="000000" w:themeColor="text1"/>
        </w:rPr>
        <w:sectPr w:rsidR="001A7DDC">
          <w:pgSz w:w="11906" w:h="16838"/>
          <w:pgMar w:top="-340" w:right="1134" w:bottom="1021" w:left="1134" w:header="0" w:footer="0" w:gutter="284"/>
          <w:pgNumType w:start="1"/>
          <w:cols w:space="425"/>
          <w:titlePg/>
          <w:docGrid w:type="lines" w:linePitch="312"/>
        </w:sectPr>
      </w:pPr>
    </w:p>
    <w:p w14:paraId="72CE8C0D" w14:textId="77777777" w:rsidR="001A7DDC" w:rsidRDefault="00A41BC2">
      <w:pPr>
        <w:pStyle w:val="affff3"/>
        <w:spacing w:after="468"/>
        <w:rPr>
          <w:rFonts w:hint="default"/>
          <w:color w:val="000000" w:themeColor="text1"/>
        </w:rPr>
      </w:pPr>
      <w:bookmarkStart w:id="17" w:name="_Toc181191934"/>
      <w:bookmarkStart w:id="18" w:name="_Toc181191906"/>
      <w:r>
        <w:rPr>
          <w:color w:val="000000" w:themeColor="text1"/>
          <w:spacing w:val="317"/>
        </w:rPr>
        <w:lastRenderedPageBreak/>
        <w:t>目</w:t>
      </w:r>
      <w:bookmarkStart w:id="19" w:name="BKML"/>
      <w:r>
        <w:rPr>
          <w:color w:val="000000" w:themeColor="text1"/>
        </w:rPr>
        <w:t>次</w:t>
      </w:r>
      <w:bookmarkEnd w:id="19"/>
    </w:p>
    <w:p w14:paraId="78DFCB2D" w14:textId="77777777" w:rsidR="001A7DDC" w:rsidRDefault="00A41BC2">
      <w:pPr>
        <w:pStyle w:val="TOC1"/>
        <w:tabs>
          <w:tab w:val="right" w:leader="dot" w:pos="9354"/>
        </w:tabs>
      </w:pPr>
      <w:r>
        <w:rPr>
          <w:color w:val="000000" w:themeColor="text1"/>
        </w:rPr>
        <w:fldChar w:fldCharType="begin"/>
      </w:r>
      <w:r>
        <w:rPr>
          <w:color w:val="000000" w:themeColor="text1"/>
        </w:rPr>
        <w:instrText>TOC \t "标准文件_前言、引言标题,1,标准文件_章标题,1,标准文件_附录标识,1,标准文件_参考文献标题,1,标准文件_索引标题,1" \h</w:instrText>
      </w:r>
      <w:r>
        <w:rPr>
          <w:color w:val="000000" w:themeColor="text1"/>
        </w:rPr>
        <w:fldChar w:fldCharType="separate"/>
      </w:r>
      <w:hyperlink w:anchor="_Toc27109" w:history="1">
        <w:r>
          <w:t>前言</w:t>
        </w:r>
        <w:r>
          <w:tab/>
        </w:r>
        <w:r>
          <w:fldChar w:fldCharType="begin"/>
        </w:r>
        <w:r>
          <w:instrText xml:space="preserve"> PAGEREF _Toc27109 \h </w:instrText>
        </w:r>
        <w:r>
          <w:fldChar w:fldCharType="separate"/>
        </w:r>
        <w:r>
          <w:t>II</w:t>
        </w:r>
        <w:r>
          <w:fldChar w:fldCharType="end"/>
        </w:r>
      </w:hyperlink>
    </w:p>
    <w:p w14:paraId="3C827250" w14:textId="77777777" w:rsidR="001A7DDC" w:rsidRDefault="00A41BC2">
      <w:pPr>
        <w:pStyle w:val="TOC1"/>
        <w:tabs>
          <w:tab w:val="right" w:leader="dot" w:pos="9354"/>
        </w:tabs>
      </w:pPr>
      <w:hyperlink w:anchor="_Toc2599" w:history="1">
        <w:r>
          <w:t>1  范围</w:t>
        </w:r>
        <w:r>
          <w:tab/>
        </w:r>
        <w:r>
          <w:fldChar w:fldCharType="begin"/>
        </w:r>
        <w:r>
          <w:instrText xml:space="preserve"> PAGEREF _Toc2599 \h </w:instrText>
        </w:r>
        <w:r>
          <w:fldChar w:fldCharType="separate"/>
        </w:r>
        <w:r>
          <w:t>1</w:t>
        </w:r>
        <w:r>
          <w:fldChar w:fldCharType="end"/>
        </w:r>
      </w:hyperlink>
    </w:p>
    <w:p w14:paraId="73682F5E" w14:textId="77777777" w:rsidR="001A7DDC" w:rsidRDefault="00A41BC2">
      <w:pPr>
        <w:pStyle w:val="TOC1"/>
        <w:tabs>
          <w:tab w:val="right" w:leader="dot" w:pos="9354"/>
        </w:tabs>
      </w:pPr>
      <w:hyperlink w:anchor="_Toc22939" w:history="1">
        <w:r>
          <w:t>2  规范性引用文件</w:t>
        </w:r>
        <w:r>
          <w:tab/>
        </w:r>
        <w:r>
          <w:fldChar w:fldCharType="begin"/>
        </w:r>
        <w:r>
          <w:instrText xml:space="preserve"> PAGEREF _Toc22939 \h </w:instrText>
        </w:r>
        <w:r>
          <w:fldChar w:fldCharType="separate"/>
        </w:r>
        <w:r>
          <w:t>1</w:t>
        </w:r>
        <w:r>
          <w:fldChar w:fldCharType="end"/>
        </w:r>
      </w:hyperlink>
    </w:p>
    <w:p w14:paraId="7EEE0DD9" w14:textId="77777777" w:rsidR="001A7DDC" w:rsidRDefault="00A41BC2">
      <w:pPr>
        <w:pStyle w:val="TOC1"/>
        <w:tabs>
          <w:tab w:val="right" w:leader="dot" w:pos="9354"/>
        </w:tabs>
      </w:pPr>
      <w:hyperlink w:anchor="_Toc17028" w:history="1">
        <w:r>
          <w:t>3  术语和定义</w:t>
        </w:r>
        <w:r>
          <w:tab/>
        </w:r>
        <w:r>
          <w:fldChar w:fldCharType="begin"/>
        </w:r>
        <w:r>
          <w:instrText xml:space="preserve"> PAGEREF _Toc17028 \h </w:instrText>
        </w:r>
        <w:r>
          <w:fldChar w:fldCharType="separate"/>
        </w:r>
        <w:r>
          <w:t>1</w:t>
        </w:r>
        <w:r>
          <w:fldChar w:fldCharType="end"/>
        </w:r>
      </w:hyperlink>
    </w:p>
    <w:p w14:paraId="0D9642D5" w14:textId="77777777" w:rsidR="001A7DDC" w:rsidRDefault="00A41BC2">
      <w:pPr>
        <w:pStyle w:val="TOC1"/>
        <w:tabs>
          <w:tab w:val="right" w:leader="dot" w:pos="9354"/>
        </w:tabs>
      </w:pPr>
      <w:hyperlink w:anchor="_Toc2603" w:history="1">
        <w:r>
          <w:t>4  总体原则</w:t>
        </w:r>
        <w:r>
          <w:tab/>
        </w:r>
        <w:r>
          <w:fldChar w:fldCharType="begin"/>
        </w:r>
        <w:r>
          <w:instrText xml:space="preserve"> PAGEREF _Toc2603 \h </w:instrText>
        </w:r>
        <w:r>
          <w:fldChar w:fldCharType="separate"/>
        </w:r>
        <w:r>
          <w:t>2</w:t>
        </w:r>
        <w:r>
          <w:fldChar w:fldCharType="end"/>
        </w:r>
      </w:hyperlink>
    </w:p>
    <w:p w14:paraId="588EA8BD" w14:textId="77777777" w:rsidR="001A7DDC" w:rsidRDefault="00A41BC2">
      <w:pPr>
        <w:pStyle w:val="TOC1"/>
        <w:tabs>
          <w:tab w:val="right" w:leader="dot" w:pos="9354"/>
        </w:tabs>
      </w:pPr>
      <w:hyperlink w:anchor="_Toc21375" w:history="1">
        <w:r>
          <w:t>5  工作人员</w:t>
        </w:r>
        <w:r>
          <w:tab/>
        </w:r>
        <w:r>
          <w:fldChar w:fldCharType="begin"/>
        </w:r>
        <w:r>
          <w:instrText xml:space="preserve"> PAGEREF _Toc21375 \h </w:instrText>
        </w:r>
        <w:r>
          <w:fldChar w:fldCharType="separate"/>
        </w:r>
        <w:r>
          <w:t>3</w:t>
        </w:r>
        <w:r>
          <w:fldChar w:fldCharType="end"/>
        </w:r>
      </w:hyperlink>
    </w:p>
    <w:p w14:paraId="73EC3FCF" w14:textId="77777777" w:rsidR="001A7DDC" w:rsidRDefault="00A41BC2">
      <w:pPr>
        <w:pStyle w:val="TOC1"/>
        <w:tabs>
          <w:tab w:val="right" w:leader="dot" w:pos="9354"/>
        </w:tabs>
      </w:pPr>
      <w:hyperlink w:anchor="_Toc24670" w:history="1">
        <w:r>
          <w:t>6  工作场所</w:t>
        </w:r>
        <w:r>
          <w:tab/>
        </w:r>
        <w:r>
          <w:fldChar w:fldCharType="begin"/>
        </w:r>
        <w:r>
          <w:instrText xml:space="preserve"> PAGEREF _Toc24670 \h </w:instrText>
        </w:r>
        <w:r>
          <w:fldChar w:fldCharType="separate"/>
        </w:r>
        <w:r>
          <w:t>3</w:t>
        </w:r>
        <w:r>
          <w:fldChar w:fldCharType="end"/>
        </w:r>
      </w:hyperlink>
    </w:p>
    <w:p w14:paraId="4958F0A5" w14:textId="77777777" w:rsidR="001A7DDC" w:rsidRDefault="00A41BC2">
      <w:pPr>
        <w:pStyle w:val="TOC1"/>
        <w:tabs>
          <w:tab w:val="right" w:leader="dot" w:pos="9354"/>
        </w:tabs>
      </w:pPr>
      <w:hyperlink w:anchor="_Toc25116" w:history="1">
        <w:r>
          <w:t>7  工作流程</w:t>
        </w:r>
        <w:r>
          <w:tab/>
        </w:r>
        <w:r>
          <w:fldChar w:fldCharType="begin"/>
        </w:r>
        <w:r>
          <w:instrText xml:space="preserve"> PAGEREF _Toc25116 \h </w:instrText>
        </w:r>
        <w:r>
          <w:fldChar w:fldCharType="separate"/>
        </w:r>
        <w:r>
          <w:t>3</w:t>
        </w:r>
        <w:r>
          <w:fldChar w:fldCharType="end"/>
        </w:r>
      </w:hyperlink>
    </w:p>
    <w:p w14:paraId="7414BAF0" w14:textId="77777777" w:rsidR="001A7DDC" w:rsidRDefault="00A41BC2">
      <w:pPr>
        <w:pStyle w:val="TOC1"/>
        <w:tabs>
          <w:tab w:val="right" w:leader="dot" w:pos="9354"/>
        </w:tabs>
      </w:pPr>
      <w:hyperlink w:anchor="_Toc31487" w:history="1">
        <w:r>
          <w:t>8  效果评价</w:t>
        </w:r>
        <w:r>
          <w:tab/>
        </w:r>
        <w:r>
          <w:fldChar w:fldCharType="begin"/>
        </w:r>
        <w:r>
          <w:instrText xml:space="preserve"> PAGEREF _Toc31487 \h </w:instrText>
        </w:r>
        <w:r>
          <w:fldChar w:fldCharType="separate"/>
        </w:r>
        <w:r>
          <w:t>5</w:t>
        </w:r>
        <w:r>
          <w:fldChar w:fldCharType="end"/>
        </w:r>
      </w:hyperlink>
    </w:p>
    <w:p w14:paraId="5A547096" w14:textId="77777777" w:rsidR="001A7DDC" w:rsidRDefault="00A41BC2">
      <w:pPr>
        <w:pStyle w:val="TOC1"/>
        <w:tabs>
          <w:tab w:val="right" w:leader="dot" w:pos="9354"/>
        </w:tabs>
      </w:pPr>
      <w:hyperlink w:anchor="_Toc20595" w:history="1">
        <w:r>
          <w:t>附录A（资料性）  煮沸消毒时间及使用注意事项</w:t>
        </w:r>
        <w:r>
          <w:tab/>
        </w:r>
        <w:r>
          <w:fldChar w:fldCharType="begin"/>
        </w:r>
        <w:r>
          <w:instrText xml:space="preserve"> PAGEREF _Toc20595 \h </w:instrText>
        </w:r>
        <w:r>
          <w:fldChar w:fldCharType="separate"/>
        </w:r>
        <w:r>
          <w:t>6</w:t>
        </w:r>
        <w:r>
          <w:fldChar w:fldCharType="end"/>
        </w:r>
      </w:hyperlink>
    </w:p>
    <w:p w14:paraId="74701DCE" w14:textId="77777777" w:rsidR="001A7DDC" w:rsidRDefault="00A41BC2">
      <w:pPr>
        <w:pStyle w:val="TOC1"/>
        <w:tabs>
          <w:tab w:val="right" w:leader="dot" w:pos="9354"/>
        </w:tabs>
      </w:pPr>
      <w:hyperlink w:anchor="_Toc16496" w:history="1">
        <w:r>
          <w:t>附录B（资料性）  常用化学消毒剂及使用注意事项</w:t>
        </w:r>
        <w:r>
          <w:tab/>
        </w:r>
        <w:r>
          <w:fldChar w:fldCharType="begin"/>
        </w:r>
        <w:r>
          <w:instrText xml:space="preserve"> PAGEREF _Toc16496 \h </w:instrText>
        </w:r>
        <w:r>
          <w:fldChar w:fldCharType="separate"/>
        </w:r>
        <w:r>
          <w:t>7</w:t>
        </w:r>
        <w:r>
          <w:fldChar w:fldCharType="end"/>
        </w:r>
      </w:hyperlink>
    </w:p>
    <w:p w14:paraId="0C345695" w14:textId="77777777" w:rsidR="001A7DDC" w:rsidRDefault="00A41BC2">
      <w:pPr>
        <w:rPr>
          <w:rFonts w:hint="default"/>
          <w:color w:val="000000" w:themeColor="text1"/>
        </w:rPr>
      </w:pPr>
      <w:r>
        <w:rPr>
          <w:rFonts w:hAnsi="宋体"/>
          <w:color w:val="000000" w:themeColor="text1"/>
        </w:rPr>
        <w:fldChar w:fldCharType="end"/>
      </w:r>
    </w:p>
    <w:p w14:paraId="4EEA5796" w14:textId="77777777" w:rsidR="001A7DDC" w:rsidRDefault="00A41BC2">
      <w:pPr>
        <w:pStyle w:val="affff3"/>
        <w:spacing w:after="468"/>
        <w:rPr>
          <w:rFonts w:hint="default"/>
          <w:color w:val="000000" w:themeColor="text1"/>
          <w:szCs w:val="20"/>
        </w:rPr>
      </w:pPr>
      <w:r>
        <w:rPr>
          <w:rFonts w:hint="default"/>
          <w:color w:val="000000" w:themeColor="text1"/>
        </w:rPr>
        <w:br w:type="page"/>
      </w:r>
    </w:p>
    <w:p w14:paraId="0F2EFDF2" w14:textId="77777777" w:rsidR="001A7DDC" w:rsidRDefault="00A41BC2">
      <w:pPr>
        <w:pStyle w:val="afc"/>
        <w:spacing w:after="468"/>
        <w:rPr>
          <w:rFonts w:hint="default"/>
          <w:color w:val="000000" w:themeColor="text1"/>
        </w:rPr>
      </w:pPr>
      <w:bookmarkStart w:id="20" w:name="_Toc27109"/>
      <w:bookmarkStart w:id="21" w:name="_Toc181191976"/>
      <w:r>
        <w:rPr>
          <w:color w:val="000000" w:themeColor="text1"/>
          <w:spacing w:val="317"/>
        </w:rPr>
        <w:lastRenderedPageBreak/>
        <w:t>前</w:t>
      </w:r>
      <w:bookmarkStart w:id="22" w:name="BKQY"/>
      <w:r>
        <w:rPr>
          <w:color w:val="000000" w:themeColor="text1"/>
        </w:rPr>
        <w:t>言</w:t>
      </w:r>
      <w:bookmarkEnd w:id="17"/>
      <w:bookmarkEnd w:id="18"/>
      <w:bookmarkEnd w:id="20"/>
      <w:bookmarkEnd w:id="21"/>
    </w:p>
    <w:p w14:paraId="18D0E856" w14:textId="77777777" w:rsidR="001A7DDC" w:rsidRDefault="00A41BC2">
      <w:pPr>
        <w:pStyle w:val="affc"/>
        <w:ind w:firstLine="420"/>
        <w:rPr>
          <w:rFonts w:hint="default"/>
          <w:color w:val="000000" w:themeColor="text1"/>
        </w:rPr>
      </w:pPr>
      <w:r>
        <w:rPr>
          <w:color w:val="000000" w:themeColor="text1"/>
        </w:rPr>
        <w:t>本文件按照GB/T 1.1—2020《标准化工作导则  第1部分：标准化文件的结构和起草规则》的规定起草。</w:t>
      </w:r>
    </w:p>
    <w:p w14:paraId="216DE04B" w14:textId="77777777" w:rsidR="001A7DDC" w:rsidRDefault="00A41BC2">
      <w:pPr>
        <w:pStyle w:val="affc"/>
        <w:ind w:firstLine="420"/>
        <w:rPr>
          <w:rFonts w:hint="default"/>
          <w:color w:val="000000" w:themeColor="text1"/>
        </w:rPr>
      </w:pPr>
      <w:r>
        <w:rPr>
          <w:color w:val="000000" w:themeColor="text1"/>
        </w:rPr>
        <w:t>请注意本文件的某些内容可能涉及专利。本文件的发布机构不承担识别这些专利的责任。</w:t>
      </w:r>
    </w:p>
    <w:p w14:paraId="0F4267CE" w14:textId="77777777" w:rsidR="001A7DDC" w:rsidRDefault="00A41BC2">
      <w:pPr>
        <w:pStyle w:val="affc"/>
        <w:ind w:firstLine="420"/>
        <w:rPr>
          <w:rFonts w:hint="default"/>
          <w:color w:val="000000" w:themeColor="text1"/>
        </w:rPr>
      </w:pPr>
      <w:r>
        <w:rPr>
          <w:color w:val="000000" w:themeColor="text1"/>
        </w:rPr>
        <w:t>本文件由青海省产品质量检验检测院提出。</w:t>
      </w:r>
    </w:p>
    <w:p w14:paraId="0194F30D" w14:textId="77777777" w:rsidR="001A7DDC" w:rsidRDefault="00A41BC2">
      <w:pPr>
        <w:pStyle w:val="affc"/>
        <w:ind w:firstLine="420"/>
        <w:rPr>
          <w:rFonts w:hint="default"/>
          <w:color w:val="000000" w:themeColor="text1"/>
        </w:rPr>
      </w:pPr>
      <w:r>
        <w:rPr>
          <w:color w:val="000000" w:themeColor="text1"/>
        </w:rPr>
        <w:t>本文件由青海省市场监督管理局归口。</w:t>
      </w:r>
    </w:p>
    <w:p w14:paraId="4A3CE974" w14:textId="77777777" w:rsidR="001A7DDC" w:rsidRDefault="00A41BC2">
      <w:pPr>
        <w:pStyle w:val="affc"/>
        <w:ind w:firstLine="420"/>
        <w:rPr>
          <w:rFonts w:hint="default"/>
          <w:color w:val="000000" w:themeColor="text1"/>
        </w:rPr>
      </w:pPr>
      <w:r>
        <w:rPr>
          <w:color w:val="000000" w:themeColor="text1"/>
        </w:rPr>
        <w:t>本文件起草单位：青海省产品质量检验检测院、青海省疫病预防控制中心。</w:t>
      </w:r>
    </w:p>
    <w:p w14:paraId="1DD4D5AB" w14:textId="77777777" w:rsidR="001A7DDC" w:rsidRDefault="00A41BC2">
      <w:pPr>
        <w:pStyle w:val="affc"/>
        <w:ind w:firstLine="420"/>
        <w:rPr>
          <w:rFonts w:hint="default"/>
          <w:color w:val="000000" w:themeColor="text1"/>
        </w:rPr>
      </w:pPr>
      <w:r>
        <w:rPr>
          <w:color w:val="000000" w:themeColor="text1"/>
        </w:rPr>
        <w:t>本文件主要起草人：常立娟、李寿江、王茹、马晓</w:t>
      </w:r>
      <w:proofErr w:type="gramStart"/>
      <w:r>
        <w:rPr>
          <w:color w:val="000000" w:themeColor="text1"/>
        </w:rPr>
        <w:t>娟</w:t>
      </w:r>
      <w:proofErr w:type="gramEnd"/>
      <w:r>
        <w:rPr>
          <w:color w:val="000000" w:themeColor="text1"/>
        </w:rPr>
        <w:t>、武亮亮、王平平、王启婷、徐莉立、郭鹏、</w:t>
      </w:r>
    </w:p>
    <w:p w14:paraId="0915CDDA" w14:textId="77777777" w:rsidR="001A7DDC" w:rsidRDefault="00A41BC2">
      <w:pPr>
        <w:pStyle w:val="affc"/>
        <w:ind w:firstLine="420"/>
        <w:rPr>
          <w:rFonts w:hint="default"/>
          <w:color w:val="000000" w:themeColor="text1"/>
        </w:rPr>
      </w:pPr>
      <w:r>
        <w:rPr>
          <w:color w:val="000000" w:themeColor="text1"/>
        </w:rPr>
        <w:t>艾兵</w:t>
      </w:r>
      <w:proofErr w:type="gramStart"/>
      <w:r>
        <w:rPr>
          <w:color w:val="000000" w:themeColor="text1"/>
        </w:rPr>
        <w:t>兵</w:t>
      </w:r>
      <w:proofErr w:type="gramEnd"/>
      <w:r>
        <w:rPr>
          <w:color w:val="000000" w:themeColor="text1"/>
        </w:rPr>
        <w:t>、荣奥、张广超、王霞、韩琴、汪春翔、马斌忠、董世存、李晓萍、任宁成、郭学斌、许</w:t>
      </w:r>
    </w:p>
    <w:p w14:paraId="2486D7AC" w14:textId="77777777" w:rsidR="001A7DDC" w:rsidRDefault="00A41BC2">
      <w:pPr>
        <w:pStyle w:val="affc"/>
        <w:ind w:firstLine="420"/>
        <w:rPr>
          <w:rFonts w:hint="default"/>
          <w:color w:val="000000" w:themeColor="text1"/>
        </w:rPr>
      </w:pPr>
      <w:r>
        <w:rPr>
          <w:color w:val="000000" w:themeColor="text1"/>
        </w:rPr>
        <w:t>生春、李莲梅。</w:t>
      </w:r>
    </w:p>
    <w:p w14:paraId="640CB328" w14:textId="77777777" w:rsidR="001A7DDC" w:rsidRDefault="00A41BC2">
      <w:pPr>
        <w:pStyle w:val="affc"/>
        <w:ind w:firstLine="420"/>
        <w:rPr>
          <w:rFonts w:hint="default"/>
          <w:color w:val="000000" w:themeColor="text1"/>
        </w:rPr>
      </w:pPr>
      <w:r>
        <w:rPr>
          <w:color w:val="000000" w:themeColor="text1"/>
        </w:rPr>
        <w:t>本文件由青海省市场监督管理局监督实施。</w:t>
      </w:r>
    </w:p>
    <w:bookmarkEnd w:id="22"/>
    <w:p w14:paraId="5641DEEB" w14:textId="77777777" w:rsidR="001A7DDC" w:rsidRDefault="001A7DDC">
      <w:pPr>
        <w:rPr>
          <w:rFonts w:hint="default"/>
          <w:color w:val="000000" w:themeColor="text1"/>
        </w:rPr>
        <w:sectPr w:rsidR="001A7DDC">
          <w:headerReference w:type="default" r:id="rId8"/>
          <w:footerReference w:type="default" r:id="rId9"/>
          <w:pgSz w:w="11906" w:h="16838"/>
          <w:pgMar w:top="2410" w:right="1134" w:bottom="1134" w:left="1134" w:header="1418" w:footer="1134" w:gutter="284"/>
          <w:pgNumType w:fmt="upperRoman" w:start="1"/>
          <w:cols w:space="425"/>
          <w:docGrid w:type="lines" w:linePitch="312"/>
        </w:sectPr>
      </w:pPr>
    </w:p>
    <w:sdt>
      <w:sdtPr>
        <w:rPr>
          <w:rStyle w:val="Char"/>
          <w:color w:val="000000" w:themeColor="text1"/>
        </w:rPr>
        <w:tag w:val="StandardName"/>
        <w:id w:val="-1935896581"/>
        <w:lock w:val="sdtLocked"/>
        <w:placeholder>
          <w:docPart w:val="DefaultPlaceholder_-1854013440"/>
        </w:placeholder>
      </w:sdtPr>
      <w:sdtContent>
        <w:bookmarkStart w:id="23" w:name="StandardName" w:displacedByCustomXml="prev"/>
        <w:p w14:paraId="3811D1F6" w14:textId="77777777" w:rsidR="001A7DDC" w:rsidRDefault="00A41BC2">
          <w:pPr>
            <w:pStyle w:val="affff4"/>
            <w:rPr>
              <w:rStyle w:val="Char"/>
              <w:color w:val="000000" w:themeColor="text1"/>
            </w:rPr>
          </w:pPr>
          <w:r>
            <w:rPr>
              <w:rStyle w:val="Char"/>
              <w:color w:val="000000" w:themeColor="text1"/>
            </w:rPr>
            <w:t>餐饮具消毒技术指南</w:t>
          </w:r>
        </w:p>
        <w:bookmarkEnd w:id="23" w:displacedByCustomXml="next"/>
      </w:sdtContent>
    </w:sdt>
    <w:p w14:paraId="1EB0961F" w14:textId="77777777" w:rsidR="001A7DDC" w:rsidRDefault="00A41BC2">
      <w:pPr>
        <w:pStyle w:val="a6"/>
        <w:spacing w:before="312" w:after="312"/>
        <w:rPr>
          <w:rStyle w:val="Char"/>
          <w:color w:val="000000" w:themeColor="text1"/>
        </w:rPr>
      </w:pPr>
      <w:bookmarkStart w:id="24" w:name="_Toc181191907"/>
      <w:bookmarkStart w:id="25" w:name="_Toc181191977"/>
      <w:bookmarkStart w:id="26" w:name="_Toc20229"/>
      <w:bookmarkStart w:id="27" w:name="_Toc2599"/>
      <w:bookmarkStart w:id="28" w:name="_Toc24958"/>
      <w:bookmarkStart w:id="29" w:name="_Toc181191935"/>
      <w:r>
        <w:rPr>
          <w:color w:val="000000" w:themeColor="text1"/>
        </w:rPr>
        <w:t>范围</w:t>
      </w:r>
      <w:bookmarkEnd w:id="24"/>
      <w:bookmarkEnd w:id="25"/>
      <w:bookmarkEnd w:id="26"/>
      <w:bookmarkEnd w:id="27"/>
      <w:bookmarkEnd w:id="28"/>
      <w:bookmarkEnd w:id="29"/>
    </w:p>
    <w:p w14:paraId="777BEF3C" w14:textId="77777777" w:rsidR="001A7DDC" w:rsidRDefault="00A41BC2">
      <w:pPr>
        <w:pStyle w:val="affc"/>
        <w:ind w:firstLine="420"/>
        <w:rPr>
          <w:rFonts w:hint="default"/>
          <w:color w:val="000000" w:themeColor="text1"/>
        </w:rPr>
      </w:pPr>
      <w:r>
        <w:rPr>
          <w:color w:val="000000" w:themeColor="text1"/>
        </w:rPr>
        <w:t>本文件提供了餐饮具消毒技术的指导，给出了餐饮具消毒过程中所涉及的工作人员、工作场所、工作流程、效果评价等相关信息。</w:t>
      </w:r>
    </w:p>
    <w:p w14:paraId="6895D80A" w14:textId="77777777" w:rsidR="001A7DDC" w:rsidRDefault="00A41BC2">
      <w:pPr>
        <w:pStyle w:val="affc"/>
        <w:ind w:firstLine="420"/>
        <w:rPr>
          <w:rFonts w:hint="default"/>
          <w:color w:val="000000" w:themeColor="text1"/>
        </w:rPr>
      </w:pPr>
      <w:r>
        <w:rPr>
          <w:color w:val="000000" w:themeColor="text1"/>
        </w:rPr>
        <w:t>本文件适用于行政区域内集中用餐单位食堂、各类餐饮服务提供者等餐饮服务中餐饮具消毒。</w:t>
      </w:r>
    </w:p>
    <w:p w14:paraId="578DF297" w14:textId="77777777" w:rsidR="001A7DDC" w:rsidRDefault="00A41BC2">
      <w:pPr>
        <w:pStyle w:val="a6"/>
        <w:spacing w:before="312" w:after="312"/>
        <w:rPr>
          <w:rFonts w:hint="default"/>
          <w:color w:val="000000" w:themeColor="text1"/>
        </w:rPr>
      </w:pPr>
      <w:bookmarkStart w:id="30" w:name="_Toc22669"/>
      <w:bookmarkStart w:id="31" w:name="_Toc181191908"/>
      <w:bookmarkStart w:id="32" w:name="_Toc181191978"/>
      <w:bookmarkStart w:id="33" w:name="_Toc16244"/>
      <w:bookmarkStart w:id="34" w:name="_Toc181191936"/>
      <w:bookmarkStart w:id="35" w:name="_Toc22939"/>
      <w:r>
        <w:rPr>
          <w:color w:val="000000" w:themeColor="text1"/>
        </w:rPr>
        <w:t>规范性引用文件</w:t>
      </w:r>
      <w:bookmarkEnd w:id="30"/>
      <w:bookmarkEnd w:id="31"/>
      <w:bookmarkEnd w:id="32"/>
      <w:bookmarkEnd w:id="33"/>
      <w:bookmarkEnd w:id="34"/>
      <w:bookmarkEnd w:id="35"/>
    </w:p>
    <w:sdt>
      <w:sdtPr>
        <w:rPr>
          <w:color w:val="000000" w:themeColor="text1"/>
        </w:rPr>
        <w:tag w:val="StandNameFile"/>
        <w:id w:val="147474675"/>
        <w:placeholder>
          <w:docPart w:val="{dfbe265f-1689-48da-bfa7-f06a8278586b}"/>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Content>
        <w:p w14:paraId="7BA06777" w14:textId="77777777" w:rsidR="001A7DDC" w:rsidRDefault="00A41BC2">
          <w:pPr>
            <w:pStyle w:val="affc"/>
            <w:ind w:firstLine="420"/>
            <w:rPr>
              <w:rFonts w:hint="default"/>
              <w:color w:val="000000" w:themeColor="text1"/>
            </w:rPr>
          </w:pPr>
          <w:r>
            <w:rPr>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AE2D8D" w14:textId="77777777" w:rsidR="001A7DDC" w:rsidRDefault="00A41BC2">
      <w:pPr>
        <w:pStyle w:val="affc"/>
        <w:ind w:firstLine="420"/>
        <w:rPr>
          <w:rFonts w:hint="default"/>
          <w:color w:val="000000" w:themeColor="text1"/>
        </w:rPr>
      </w:pPr>
      <w:r>
        <w:rPr>
          <w:color w:val="000000" w:themeColor="text1"/>
        </w:rPr>
        <w:t>GB 5749生活饮用水卫生标准</w:t>
      </w:r>
    </w:p>
    <w:p w14:paraId="5C1654A9" w14:textId="77777777" w:rsidR="001A7DDC" w:rsidRDefault="00A41BC2">
      <w:pPr>
        <w:pStyle w:val="affc"/>
        <w:ind w:firstLine="420"/>
        <w:rPr>
          <w:rFonts w:hint="default"/>
          <w:color w:val="000000" w:themeColor="text1"/>
        </w:rPr>
      </w:pPr>
      <w:r>
        <w:rPr>
          <w:color w:val="000000" w:themeColor="text1"/>
        </w:rPr>
        <w:t>GB 14930.1食品安全国家标准 洗涤剂</w:t>
      </w:r>
    </w:p>
    <w:p w14:paraId="5FBABA73" w14:textId="77777777" w:rsidR="001A7DDC" w:rsidRDefault="00A41BC2">
      <w:pPr>
        <w:pStyle w:val="affc"/>
        <w:ind w:firstLine="420"/>
        <w:rPr>
          <w:rFonts w:hint="default"/>
          <w:color w:val="000000" w:themeColor="text1"/>
        </w:rPr>
      </w:pPr>
      <w:r>
        <w:rPr>
          <w:color w:val="000000" w:themeColor="text1"/>
        </w:rPr>
        <w:t>GB 14930.2食品安全国家标准 消毒剂</w:t>
      </w:r>
    </w:p>
    <w:p w14:paraId="198FAC90" w14:textId="77777777" w:rsidR="001A7DDC" w:rsidRDefault="00A41BC2">
      <w:pPr>
        <w:pStyle w:val="affc"/>
        <w:ind w:firstLine="420"/>
        <w:rPr>
          <w:rFonts w:hint="default"/>
          <w:color w:val="000000" w:themeColor="text1"/>
        </w:rPr>
      </w:pPr>
      <w:r>
        <w:rPr>
          <w:color w:val="000000" w:themeColor="text1"/>
        </w:rPr>
        <w:t>GB 14934食品安全国家标准 消毒餐(饮)具</w:t>
      </w:r>
    </w:p>
    <w:p w14:paraId="37DBE189" w14:textId="77777777" w:rsidR="001A7DDC" w:rsidRDefault="00A41BC2">
      <w:pPr>
        <w:pStyle w:val="affc"/>
        <w:ind w:firstLine="420"/>
        <w:rPr>
          <w:rFonts w:hint="default"/>
          <w:color w:val="000000" w:themeColor="text1"/>
        </w:rPr>
      </w:pPr>
      <w:r>
        <w:rPr>
          <w:color w:val="000000" w:themeColor="text1"/>
        </w:rPr>
        <w:t>GB 31651食品安全国家标准 餐(饮)</w:t>
      </w:r>
      <w:proofErr w:type="gramStart"/>
      <w:r>
        <w:rPr>
          <w:color w:val="000000" w:themeColor="text1"/>
        </w:rPr>
        <w:t>具集中</w:t>
      </w:r>
      <w:proofErr w:type="gramEnd"/>
      <w:r>
        <w:rPr>
          <w:color w:val="000000" w:themeColor="text1"/>
        </w:rPr>
        <w:t>消毒卫生规范</w:t>
      </w:r>
    </w:p>
    <w:p w14:paraId="09681AB7" w14:textId="77777777" w:rsidR="001A7DDC" w:rsidRDefault="00A41BC2">
      <w:pPr>
        <w:pStyle w:val="affc"/>
        <w:ind w:firstLine="420"/>
        <w:rPr>
          <w:rFonts w:hint="default"/>
          <w:color w:val="000000" w:themeColor="text1"/>
        </w:rPr>
      </w:pPr>
      <w:r>
        <w:rPr>
          <w:color w:val="000000" w:themeColor="text1"/>
        </w:rPr>
        <w:t>GB 31654食品安全国家标准 餐饮服务通用卫生规范</w:t>
      </w:r>
    </w:p>
    <w:p w14:paraId="79D59F11" w14:textId="77777777" w:rsidR="001A7DDC" w:rsidRDefault="00A41BC2">
      <w:pPr>
        <w:pStyle w:val="affc"/>
        <w:ind w:firstLine="420"/>
        <w:rPr>
          <w:rFonts w:hint="default"/>
          <w:color w:val="000000" w:themeColor="text1"/>
        </w:rPr>
      </w:pPr>
      <w:r>
        <w:rPr>
          <w:color w:val="000000" w:themeColor="text1"/>
        </w:rPr>
        <w:t>GB/T 18006.1塑料一次性餐饮具通用技术要求</w:t>
      </w:r>
    </w:p>
    <w:p w14:paraId="13443F0C" w14:textId="77777777" w:rsidR="001A7DDC" w:rsidRDefault="00A41BC2">
      <w:pPr>
        <w:pStyle w:val="affc"/>
        <w:ind w:firstLine="420"/>
        <w:rPr>
          <w:rFonts w:hint="default"/>
          <w:color w:val="000000" w:themeColor="text1"/>
        </w:rPr>
      </w:pPr>
      <w:r>
        <w:rPr>
          <w:color w:val="000000" w:themeColor="text1"/>
        </w:rPr>
        <w:t>GB/T 18006.3一次性可降解餐饮具通用技术要求</w:t>
      </w:r>
    </w:p>
    <w:p w14:paraId="3C336A2E" w14:textId="77777777" w:rsidR="001A7DDC" w:rsidRDefault="00A41BC2">
      <w:pPr>
        <w:pStyle w:val="a6"/>
        <w:spacing w:before="312" w:after="312"/>
        <w:rPr>
          <w:rFonts w:ascii="宋体" w:eastAsia="宋体" w:cs="宋体" w:hint="default"/>
          <w:color w:val="000000" w:themeColor="text1"/>
        </w:rPr>
      </w:pPr>
      <w:bookmarkStart w:id="36" w:name="_Toc181191937"/>
      <w:bookmarkStart w:id="37" w:name="_Toc17028"/>
      <w:bookmarkStart w:id="38" w:name="_Toc535"/>
      <w:bookmarkStart w:id="39" w:name="_Toc21192"/>
      <w:bookmarkStart w:id="40" w:name="_Toc181191909"/>
      <w:bookmarkStart w:id="41" w:name="_Toc181191979"/>
      <w:r>
        <w:rPr>
          <w:color w:val="000000" w:themeColor="text1"/>
        </w:rPr>
        <w:t>术语和定义</w:t>
      </w:r>
      <w:bookmarkEnd w:id="36"/>
      <w:bookmarkEnd w:id="37"/>
      <w:bookmarkEnd w:id="38"/>
      <w:bookmarkEnd w:id="39"/>
      <w:bookmarkEnd w:id="40"/>
      <w:bookmarkEnd w:id="41"/>
    </w:p>
    <w:sdt>
      <w:sdtPr>
        <w:rPr>
          <w:color w:val="000000" w:themeColor="text1"/>
        </w:rPr>
        <w:tag w:val="TermContent"/>
        <w:id w:val="147482558"/>
        <w:placeholder>
          <w:docPart w:val="{e9c02309-bb6e-424a-934c-4ee28ff1c4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B7D30BE" w14:textId="77777777" w:rsidR="001A7DDC" w:rsidRDefault="00A41BC2">
          <w:pPr>
            <w:pStyle w:val="affc"/>
            <w:ind w:firstLine="420"/>
            <w:rPr>
              <w:rFonts w:hint="default"/>
              <w:color w:val="000000" w:themeColor="text1"/>
            </w:rPr>
          </w:pPr>
          <w:r>
            <w:rPr>
              <w:color w:val="000000" w:themeColor="text1"/>
            </w:rPr>
            <w:t>下列术语和定义适用于本文件。</w:t>
          </w:r>
        </w:p>
      </w:sdtContent>
    </w:sdt>
    <w:p w14:paraId="2CC3AE2F" w14:textId="77777777" w:rsidR="001A7DDC" w:rsidRDefault="00A41BC2">
      <w:pPr>
        <w:pStyle w:val="afffff"/>
        <w:spacing w:before="3" w:after="3"/>
        <w:ind w:left="420" w:hanging="420"/>
        <w:rPr>
          <w:color w:val="000000" w:themeColor="text1"/>
        </w:rPr>
      </w:pPr>
      <w:r>
        <w:rPr>
          <w:color w:val="000000" w:themeColor="text1"/>
        </w:rPr>
        <w:br/>
        <w:t>餐饮具</w:t>
      </w:r>
    </w:p>
    <w:p w14:paraId="69FE0DA6" w14:textId="77777777" w:rsidR="001A7DDC" w:rsidRDefault="00A41BC2">
      <w:pPr>
        <w:pStyle w:val="affc"/>
        <w:ind w:firstLine="420"/>
        <w:rPr>
          <w:rFonts w:hint="default"/>
          <w:color w:val="000000" w:themeColor="text1"/>
        </w:rPr>
      </w:pPr>
      <w:r>
        <w:rPr>
          <w:color w:val="000000" w:themeColor="text1"/>
        </w:rPr>
        <w:t>又称餐具、饮具，指餐饮服务提供者提供给用餐者的用餐工具，包括碗、筷、杯、碟、匙、刀叉等。</w:t>
      </w:r>
    </w:p>
    <w:p w14:paraId="525E8B92" w14:textId="77777777" w:rsidR="001A7DDC" w:rsidRDefault="001A7DDC">
      <w:pPr>
        <w:pStyle w:val="afffff"/>
        <w:spacing w:before="3" w:after="3"/>
        <w:ind w:left="420" w:hanging="420"/>
        <w:rPr>
          <w:color w:val="000000" w:themeColor="text1"/>
        </w:rPr>
      </w:pPr>
    </w:p>
    <w:p w14:paraId="101D39F5" w14:textId="77777777" w:rsidR="001A7DDC" w:rsidRDefault="00A41BC2">
      <w:pPr>
        <w:pStyle w:val="affc"/>
        <w:ind w:firstLine="420"/>
        <w:rPr>
          <w:rFonts w:ascii="黑体" w:eastAsia="黑体" w:hAnsi="黑体" w:cs="黑体"/>
          <w:color w:val="000000" w:themeColor="text1"/>
        </w:rPr>
      </w:pPr>
      <w:r>
        <w:rPr>
          <w:rFonts w:ascii="黑体" w:eastAsia="黑体" w:hAnsi="黑体" w:cs="黑体"/>
          <w:color w:val="000000" w:themeColor="text1"/>
        </w:rPr>
        <w:t>餐饮具消毒</w:t>
      </w:r>
    </w:p>
    <w:p w14:paraId="4C451E48" w14:textId="77777777" w:rsidR="001A7DDC" w:rsidRDefault="00A41BC2">
      <w:pPr>
        <w:pStyle w:val="affc"/>
        <w:ind w:firstLine="420"/>
        <w:rPr>
          <w:rFonts w:hAnsi="宋体"/>
          <w:color w:val="000000" w:themeColor="text1"/>
        </w:rPr>
      </w:pPr>
      <w:r>
        <w:rPr>
          <w:rFonts w:hAnsi="宋体"/>
          <w:color w:val="000000" w:themeColor="text1"/>
        </w:rPr>
        <w:t>利用物理(如沸水、蒸汽、洗碗机、消毒柜等)或化学(如消毒剂)方式对清洗后餐饮具上的病原微生物进行清除或灭菌处理，使其达到无害化的处理。</w:t>
      </w:r>
    </w:p>
    <w:p w14:paraId="12A7856E" w14:textId="77777777" w:rsidR="001A7DDC" w:rsidRDefault="00A41BC2">
      <w:pPr>
        <w:pStyle w:val="afffff"/>
        <w:spacing w:before="3" w:after="3"/>
        <w:ind w:left="420" w:hanging="420"/>
        <w:rPr>
          <w:color w:val="000000" w:themeColor="text1"/>
        </w:rPr>
      </w:pPr>
      <w:r>
        <w:rPr>
          <w:color w:val="000000" w:themeColor="text1"/>
        </w:rPr>
        <w:br/>
        <w:t xml:space="preserve">集中用餐单位食堂 </w:t>
      </w:r>
    </w:p>
    <w:p w14:paraId="3FB67533" w14:textId="77777777" w:rsidR="001A7DDC" w:rsidRDefault="00A41BC2">
      <w:pPr>
        <w:pStyle w:val="affc"/>
        <w:ind w:firstLine="420"/>
        <w:rPr>
          <w:rFonts w:hint="default"/>
          <w:color w:val="000000" w:themeColor="text1"/>
        </w:rPr>
      </w:pPr>
      <w:r>
        <w:rPr>
          <w:color w:val="000000" w:themeColor="text1"/>
        </w:rPr>
        <w:t>指设于机关、事业单位、社会团体、民办非企业单位、企业、学校、托幼机构等，供应内部职工、学生等集中就餐的餐饮服务提供者。</w:t>
      </w:r>
    </w:p>
    <w:p w14:paraId="55BAEDC2" w14:textId="77777777" w:rsidR="001A7DDC" w:rsidRDefault="00A41BC2">
      <w:pPr>
        <w:pStyle w:val="afffff"/>
        <w:spacing w:before="3" w:after="3"/>
        <w:ind w:left="420" w:hanging="420"/>
        <w:rPr>
          <w:color w:val="000000" w:themeColor="text1"/>
        </w:rPr>
      </w:pPr>
      <w:r>
        <w:rPr>
          <w:color w:val="000000" w:themeColor="text1"/>
        </w:rPr>
        <w:br/>
        <w:t>餐饮具清洗消毒场所</w:t>
      </w:r>
    </w:p>
    <w:p w14:paraId="7F400935" w14:textId="77777777" w:rsidR="001A7DDC" w:rsidRDefault="00A41BC2">
      <w:pPr>
        <w:pStyle w:val="affc"/>
        <w:ind w:firstLineChars="0" w:firstLine="420"/>
        <w:rPr>
          <w:rFonts w:hint="default"/>
          <w:color w:val="000000" w:themeColor="text1"/>
        </w:rPr>
      </w:pPr>
      <w:r>
        <w:rPr>
          <w:color w:val="000000" w:themeColor="text1"/>
        </w:rPr>
        <w:t>指对餐饮具和接触直接入口食品的工具、容器进行清洗、消毒的工作场所。</w:t>
      </w:r>
    </w:p>
    <w:p w14:paraId="56AE3F5F" w14:textId="77777777" w:rsidR="001A7DDC" w:rsidRDefault="00A41BC2">
      <w:pPr>
        <w:pStyle w:val="afffff"/>
        <w:spacing w:before="3" w:after="3"/>
        <w:ind w:left="420" w:hanging="420"/>
        <w:rPr>
          <w:color w:val="000000" w:themeColor="text1"/>
        </w:rPr>
      </w:pPr>
      <w:r>
        <w:rPr>
          <w:color w:val="000000" w:themeColor="text1"/>
        </w:rPr>
        <w:lastRenderedPageBreak/>
        <w:br/>
        <w:t>流动餐饮</w:t>
      </w:r>
    </w:p>
    <w:p w14:paraId="75C208EF" w14:textId="77777777" w:rsidR="001A7DDC" w:rsidRDefault="00A41BC2">
      <w:pPr>
        <w:widowControl/>
        <w:ind w:firstLineChars="200" w:firstLine="420"/>
        <w:rPr>
          <w:rFonts w:hint="default"/>
          <w:color w:val="000000" w:themeColor="text1"/>
          <w:kern w:val="0"/>
          <w:szCs w:val="20"/>
        </w:rPr>
      </w:pPr>
      <w:r>
        <w:rPr>
          <w:color w:val="000000" w:themeColor="text1"/>
          <w:kern w:val="0"/>
          <w:szCs w:val="20"/>
        </w:rPr>
        <w:t>无固定经营场所，不能满足餐饮服务许可条件，通过移动设备或临时设施提供餐饮服务的食品经营者。</w:t>
      </w:r>
    </w:p>
    <w:p w14:paraId="2FDDA878" w14:textId="77777777" w:rsidR="001A7DDC" w:rsidRDefault="00A41BC2">
      <w:pPr>
        <w:pStyle w:val="afffff"/>
        <w:spacing w:before="3" w:after="3"/>
        <w:ind w:left="420" w:hanging="420"/>
        <w:rPr>
          <w:color w:val="000000" w:themeColor="text1"/>
        </w:rPr>
      </w:pPr>
      <w:r>
        <w:rPr>
          <w:color w:val="000000" w:themeColor="text1"/>
        </w:rPr>
        <w:br/>
        <w:t>小型餐饮</w:t>
      </w:r>
    </w:p>
    <w:p w14:paraId="6594CFF2" w14:textId="77777777" w:rsidR="001A7DDC" w:rsidRDefault="00A41BC2">
      <w:pPr>
        <w:pStyle w:val="affc"/>
        <w:ind w:firstLine="420"/>
        <w:rPr>
          <w:rFonts w:hint="default"/>
          <w:color w:val="000000" w:themeColor="text1"/>
        </w:rPr>
      </w:pPr>
      <w:r>
        <w:rPr>
          <w:color w:val="000000" w:themeColor="text1"/>
        </w:rPr>
        <w:t>是指有固定经营门店，从业人员少、条件简单，经营面积在100m</w:t>
      </w:r>
      <w:r>
        <w:rPr>
          <w:color w:val="000000" w:themeColor="text1"/>
          <w:vertAlign w:val="superscript"/>
        </w:rPr>
        <w:t>2</w:t>
      </w:r>
      <w:r>
        <w:rPr>
          <w:color w:val="000000" w:themeColor="text1"/>
        </w:rPr>
        <w:t>以下的（包括100m</w:t>
      </w:r>
      <w:r>
        <w:rPr>
          <w:color w:val="000000" w:themeColor="text1"/>
          <w:vertAlign w:val="superscript"/>
        </w:rPr>
        <w:t>2</w:t>
      </w:r>
      <w:r>
        <w:rPr>
          <w:color w:val="000000" w:themeColor="text1"/>
        </w:rPr>
        <w:t xml:space="preserve">）从事餐饮服务的小餐馆、小吃店、小饮品店等个体经营者。 </w:t>
      </w:r>
    </w:p>
    <w:p w14:paraId="18FA5447" w14:textId="77777777" w:rsidR="001A7DDC" w:rsidRDefault="00A41BC2">
      <w:pPr>
        <w:pStyle w:val="afffff"/>
        <w:spacing w:before="3" w:after="3"/>
        <w:ind w:left="420" w:hanging="420"/>
        <w:rPr>
          <w:color w:val="000000" w:themeColor="text1"/>
        </w:rPr>
      </w:pPr>
      <w:r>
        <w:rPr>
          <w:color w:val="000000" w:themeColor="text1"/>
        </w:rPr>
        <w:br/>
        <w:t>大中型餐饮</w:t>
      </w:r>
    </w:p>
    <w:p w14:paraId="567FE7B5" w14:textId="77777777" w:rsidR="001A7DDC" w:rsidRDefault="00A41BC2">
      <w:pPr>
        <w:widowControl/>
        <w:ind w:firstLineChars="200" w:firstLine="420"/>
        <w:rPr>
          <w:rFonts w:hAnsi="宋体"/>
          <w:color w:val="000000" w:themeColor="text1"/>
        </w:rPr>
      </w:pPr>
      <w:r>
        <w:rPr>
          <w:rFonts w:hAnsi="宋体"/>
          <w:color w:val="000000" w:themeColor="text1"/>
        </w:rPr>
        <w:t>经营面积在</w:t>
      </w:r>
      <w:r>
        <w:rPr>
          <w:color w:val="000000" w:themeColor="text1"/>
        </w:rPr>
        <w:t>100m</w:t>
      </w:r>
      <w:r>
        <w:rPr>
          <w:color w:val="000000" w:themeColor="text1"/>
          <w:vertAlign w:val="superscript"/>
        </w:rPr>
        <w:t>2</w:t>
      </w:r>
      <w:r>
        <w:rPr>
          <w:color w:val="000000" w:themeColor="text1"/>
        </w:rPr>
        <w:t>至2000</w:t>
      </w:r>
      <w:r>
        <w:rPr>
          <w:rFonts w:hAnsi="宋体"/>
          <w:color w:val="000000" w:themeColor="text1"/>
        </w:rPr>
        <w:t>m</w:t>
      </w:r>
      <w:r>
        <w:rPr>
          <w:rFonts w:hAnsi="宋体"/>
          <w:color w:val="000000" w:themeColor="text1"/>
          <w:vertAlign w:val="superscript"/>
        </w:rPr>
        <w:t>2</w:t>
      </w:r>
      <w:r>
        <w:rPr>
          <w:rFonts w:hAnsi="宋体"/>
          <w:color w:val="000000" w:themeColor="text1"/>
        </w:rPr>
        <w:t>，从事餐饮服务的企业，不包含集中用餐单位食堂。</w:t>
      </w:r>
    </w:p>
    <w:p w14:paraId="03E8E246" w14:textId="77777777" w:rsidR="001A7DDC" w:rsidRDefault="00A41BC2">
      <w:pPr>
        <w:pStyle w:val="afffff"/>
        <w:spacing w:before="3" w:after="3"/>
        <w:ind w:left="420" w:hanging="420"/>
        <w:rPr>
          <w:color w:val="000000" w:themeColor="text1"/>
        </w:rPr>
      </w:pPr>
      <w:r>
        <w:rPr>
          <w:color w:val="000000" w:themeColor="text1"/>
        </w:rPr>
        <w:br/>
        <w:t>网络餐饮（互联网餐饮）</w:t>
      </w:r>
    </w:p>
    <w:p w14:paraId="183D50E7" w14:textId="77777777" w:rsidR="001A7DDC" w:rsidRDefault="00A41BC2">
      <w:pPr>
        <w:pStyle w:val="affc"/>
        <w:ind w:firstLine="420"/>
        <w:rPr>
          <w:rFonts w:hint="default"/>
          <w:color w:val="000000" w:themeColor="text1"/>
        </w:rPr>
      </w:pPr>
      <w:r>
        <w:rPr>
          <w:color w:val="000000" w:themeColor="text1"/>
        </w:rPr>
        <w:t>有固定经营场所，通过互联网等第三方平台（包括其分支机构）和自建网站提供餐饮服务的餐饮服务提供者。</w:t>
      </w:r>
    </w:p>
    <w:p w14:paraId="03556D9C" w14:textId="77777777" w:rsidR="001A7DDC" w:rsidRDefault="00A41BC2">
      <w:pPr>
        <w:pStyle w:val="afffff"/>
        <w:spacing w:before="3" w:after="3"/>
        <w:ind w:left="420" w:hanging="420"/>
        <w:rPr>
          <w:color w:val="000000" w:themeColor="text1"/>
        </w:rPr>
      </w:pPr>
      <w:r>
        <w:rPr>
          <w:color w:val="000000" w:themeColor="text1"/>
        </w:rPr>
        <w:br/>
        <w:t>自办宴席</w:t>
      </w:r>
    </w:p>
    <w:p w14:paraId="7F5ABC48" w14:textId="77777777" w:rsidR="001A7DDC" w:rsidRDefault="00A41BC2">
      <w:pPr>
        <w:pStyle w:val="affc"/>
        <w:ind w:firstLine="420"/>
        <w:rPr>
          <w:rFonts w:hint="default"/>
          <w:color w:val="000000" w:themeColor="text1"/>
        </w:rPr>
      </w:pPr>
      <w:r>
        <w:rPr>
          <w:color w:val="000000" w:themeColor="text1"/>
        </w:rPr>
        <w:t>指农村家庭或城镇居民在非营利性场所举办且就餐人数在50人以上的</w:t>
      </w:r>
      <w:proofErr w:type="gramStart"/>
      <w:r>
        <w:rPr>
          <w:color w:val="000000" w:themeColor="text1"/>
        </w:rPr>
        <w:t>聚集性各类</w:t>
      </w:r>
      <w:proofErr w:type="gramEnd"/>
      <w:r>
        <w:rPr>
          <w:color w:val="000000" w:themeColor="text1"/>
        </w:rPr>
        <w:t>宴席。</w:t>
      </w:r>
    </w:p>
    <w:p w14:paraId="56F6025B" w14:textId="77777777" w:rsidR="001A7DDC" w:rsidRDefault="00A41BC2">
      <w:pPr>
        <w:pStyle w:val="afffff"/>
        <w:spacing w:before="3" w:after="3"/>
        <w:ind w:left="420" w:hanging="420"/>
        <w:rPr>
          <w:color w:val="000000" w:themeColor="text1"/>
        </w:rPr>
      </w:pPr>
      <w:r>
        <w:rPr>
          <w:color w:val="000000" w:themeColor="text1"/>
        </w:rPr>
        <w:br/>
        <w:t>中央厨房</w:t>
      </w:r>
    </w:p>
    <w:p w14:paraId="36C532B4" w14:textId="77777777" w:rsidR="001A7DDC" w:rsidRDefault="00A41BC2">
      <w:pPr>
        <w:pStyle w:val="affc"/>
        <w:ind w:firstLineChars="0" w:firstLine="420"/>
        <w:rPr>
          <w:rFonts w:hAnsi="宋体"/>
          <w:color w:val="000000" w:themeColor="text1"/>
        </w:rPr>
      </w:pPr>
      <w:r>
        <w:rPr>
          <w:color w:val="000000" w:themeColor="text1"/>
        </w:rPr>
        <w:t>由食品经营企业建立，具有独立场所和设施设备，集中完成食品成品或者半成品加工制作并配送给本单位连锁门店，供其进一步加工制作后提供给消费者的经营主体。</w:t>
      </w:r>
      <w:r>
        <w:rPr>
          <w:rFonts w:ascii="微软雅黑" w:eastAsia="微软雅黑" w:hAnsi="微软雅黑" w:cs="微软雅黑"/>
          <w:color w:val="000000" w:themeColor="text1"/>
          <w:sz w:val="10"/>
          <w:szCs w:val="10"/>
          <w:lang w:bidi="ar"/>
        </w:rPr>
        <w:t> </w:t>
      </w:r>
    </w:p>
    <w:p w14:paraId="4636EE78" w14:textId="77777777" w:rsidR="001A7DDC" w:rsidRDefault="00A41BC2">
      <w:pPr>
        <w:pStyle w:val="afffff"/>
        <w:spacing w:before="3" w:after="3"/>
        <w:ind w:left="420" w:hanging="420"/>
        <w:rPr>
          <w:color w:val="000000" w:themeColor="text1"/>
        </w:rPr>
      </w:pPr>
      <w:r>
        <w:rPr>
          <w:color w:val="000000" w:themeColor="text1"/>
        </w:rPr>
        <w:br/>
        <w:t>集体用餐配送单位</w:t>
      </w:r>
    </w:p>
    <w:p w14:paraId="44674B95" w14:textId="77777777" w:rsidR="001A7DDC" w:rsidRDefault="00A41BC2">
      <w:pPr>
        <w:pStyle w:val="affc"/>
        <w:ind w:firstLine="420"/>
        <w:rPr>
          <w:rFonts w:ascii="黑体" w:eastAsia="黑体" w:hAnsi="黑体" w:cs="黑体"/>
          <w:color w:val="000000" w:themeColor="text1"/>
          <w:sz w:val="18"/>
          <w:szCs w:val="18"/>
        </w:rPr>
      </w:pPr>
      <w:r>
        <w:rPr>
          <w:rFonts w:hAnsi="宋体"/>
          <w:color w:val="000000" w:themeColor="text1"/>
        </w:rPr>
        <w:t>指主要服务于集体用餐单位，根据其订购要求，集中加工、分送食品但不提供就餐场所的餐饮服务提供者。</w:t>
      </w:r>
    </w:p>
    <w:p w14:paraId="49CB72BD" w14:textId="77777777" w:rsidR="001A7DDC" w:rsidRDefault="00A41BC2">
      <w:pPr>
        <w:pStyle w:val="afffff"/>
        <w:spacing w:before="3" w:after="3"/>
        <w:ind w:left="420" w:hanging="420"/>
        <w:rPr>
          <w:color w:val="000000" w:themeColor="text1"/>
        </w:rPr>
      </w:pPr>
      <w:r>
        <w:rPr>
          <w:color w:val="000000" w:themeColor="text1"/>
        </w:rPr>
        <w:br/>
        <w:t>餐饮</w:t>
      </w:r>
      <w:proofErr w:type="gramStart"/>
      <w:r>
        <w:rPr>
          <w:color w:val="000000" w:themeColor="text1"/>
        </w:rPr>
        <w:t>具集中</w:t>
      </w:r>
      <w:proofErr w:type="gramEnd"/>
      <w:r>
        <w:rPr>
          <w:color w:val="000000" w:themeColor="text1"/>
        </w:rPr>
        <w:t>消毒服务单位</w:t>
      </w:r>
    </w:p>
    <w:p w14:paraId="1CFD8DCF" w14:textId="77777777" w:rsidR="001A7DDC" w:rsidRDefault="00A41BC2">
      <w:pPr>
        <w:pStyle w:val="affc"/>
        <w:ind w:firstLine="420"/>
        <w:rPr>
          <w:rFonts w:hint="default"/>
          <w:color w:val="000000" w:themeColor="text1"/>
        </w:rPr>
      </w:pPr>
      <w:r>
        <w:rPr>
          <w:color w:val="000000" w:themeColor="text1"/>
        </w:rPr>
        <w:t>对餐饮服务提供者的餐饮</w:t>
      </w:r>
      <w:proofErr w:type="gramStart"/>
      <w:r>
        <w:rPr>
          <w:color w:val="000000" w:themeColor="text1"/>
        </w:rPr>
        <w:t>具进行</w:t>
      </w:r>
      <w:proofErr w:type="gramEnd"/>
      <w:r>
        <w:rPr>
          <w:color w:val="000000" w:themeColor="text1"/>
        </w:rPr>
        <w:t>集中回收、清洗、消毒、烘干、包装、配送的经营者。</w:t>
      </w:r>
    </w:p>
    <w:p w14:paraId="46360D2C" w14:textId="77777777" w:rsidR="001A7DDC" w:rsidRDefault="00A41BC2">
      <w:pPr>
        <w:pStyle w:val="a6"/>
        <w:spacing w:before="312" w:after="312"/>
        <w:rPr>
          <w:rFonts w:hint="default"/>
          <w:color w:val="000000" w:themeColor="text1"/>
        </w:rPr>
      </w:pPr>
      <w:bookmarkStart w:id="42" w:name="_Toc181191938"/>
      <w:bookmarkStart w:id="43" w:name="_Toc181191910"/>
      <w:bookmarkStart w:id="44" w:name="_Toc3275"/>
      <w:bookmarkStart w:id="45" w:name="_Toc24080"/>
      <w:bookmarkStart w:id="46" w:name="_Toc181191980"/>
      <w:bookmarkStart w:id="47" w:name="_Toc2603"/>
      <w:r>
        <w:rPr>
          <w:color w:val="000000" w:themeColor="text1"/>
        </w:rPr>
        <w:t>总体原则</w:t>
      </w:r>
      <w:bookmarkEnd w:id="42"/>
      <w:bookmarkEnd w:id="43"/>
      <w:bookmarkEnd w:id="44"/>
      <w:bookmarkEnd w:id="45"/>
      <w:bookmarkEnd w:id="46"/>
      <w:bookmarkEnd w:id="47"/>
    </w:p>
    <w:p w14:paraId="22A43C0F" w14:textId="77777777" w:rsidR="001A7DDC" w:rsidRDefault="00A41BC2">
      <w:pPr>
        <w:pStyle w:val="a7"/>
        <w:spacing w:before="156" w:after="156"/>
        <w:rPr>
          <w:rFonts w:hint="default"/>
          <w:color w:val="000000" w:themeColor="text1"/>
        </w:rPr>
      </w:pPr>
      <w:bookmarkStart w:id="48" w:name="_Toc181191911"/>
      <w:r>
        <w:rPr>
          <w:color w:val="000000" w:themeColor="text1"/>
        </w:rPr>
        <w:t>选择合适的餐具</w:t>
      </w:r>
      <w:bookmarkEnd w:id="48"/>
    </w:p>
    <w:p w14:paraId="11A0D495" w14:textId="77777777" w:rsidR="001A7DDC" w:rsidRDefault="00A41BC2">
      <w:pPr>
        <w:pStyle w:val="affffb"/>
        <w:spacing w:beforeLines="0" w:before="0" w:afterLines="0" w:after="0"/>
        <w:rPr>
          <w:color w:val="000000" w:themeColor="text1"/>
        </w:rPr>
      </w:pPr>
      <w:r>
        <w:rPr>
          <w:color w:val="000000" w:themeColor="text1"/>
        </w:rPr>
        <w:t>鼓励使用复用餐饮具的情况。集中用餐单位食堂、小型餐饮、大中型餐饮和餐饮</w:t>
      </w:r>
      <w:proofErr w:type="gramStart"/>
      <w:r>
        <w:rPr>
          <w:color w:val="000000" w:themeColor="text1"/>
        </w:rPr>
        <w:t>具集中</w:t>
      </w:r>
      <w:proofErr w:type="gramEnd"/>
      <w:r>
        <w:rPr>
          <w:color w:val="000000" w:themeColor="text1"/>
        </w:rPr>
        <w:t>消毒服务单位宜优先选择复用餐饮具。</w:t>
      </w:r>
    </w:p>
    <w:p w14:paraId="62081664" w14:textId="77777777" w:rsidR="001A7DDC" w:rsidRDefault="00A41BC2">
      <w:pPr>
        <w:pStyle w:val="affffb"/>
        <w:spacing w:beforeLines="0" w:before="0" w:afterLines="0" w:after="0"/>
        <w:rPr>
          <w:color w:val="000000" w:themeColor="text1"/>
        </w:rPr>
      </w:pPr>
      <w:r>
        <w:rPr>
          <w:color w:val="000000" w:themeColor="text1"/>
        </w:rPr>
        <w:t>鼓励采用一次性餐饮具的情况。流动餐饮、网络餐饮、自办宴席、集体用餐配送单位、中央厨房首先宜考虑选择一次性餐饮具，一次性餐饮具应符合GB 18006.1和GB 18006.3规定。</w:t>
      </w:r>
    </w:p>
    <w:p w14:paraId="6B4FF85B" w14:textId="77777777" w:rsidR="001A7DDC" w:rsidRDefault="00A41BC2">
      <w:pPr>
        <w:pStyle w:val="a7"/>
        <w:spacing w:before="156" w:after="156"/>
        <w:rPr>
          <w:rFonts w:ascii="宋体" w:eastAsia="宋体" w:hAnsi="宋体" w:cs="宋体"/>
          <w:color w:val="000000" w:themeColor="text1"/>
        </w:rPr>
      </w:pPr>
      <w:bookmarkStart w:id="49" w:name="_Toc181191912"/>
      <w:r>
        <w:rPr>
          <w:color w:val="000000" w:themeColor="text1"/>
        </w:rPr>
        <w:t>选择合适的方法</w:t>
      </w:r>
      <w:bookmarkEnd w:id="49"/>
    </w:p>
    <w:p w14:paraId="75F7A8D3" w14:textId="77777777" w:rsidR="001A7DDC" w:rsidRDefault="00A41BC2">
      <w:pPr>
        <w:pStyle w:val="affffb"/>
        <w:spacing w:beforeLines="0" w:before="0" w:afterLines="0" w:after="0"/>
        <w:rPr>
          <w:color w:val="000000" w:themeColor="text1"/>
        </w:rPr>
      </w:pPr>
      <w:r>
        <w:rPr>
          <w:color w:val="000000" w:themeColor="text1"/>
        </w:rPr>
        <w:t>复用餐饮具，应一用</w:t>
      </w:r>
      <w:proofErr w:type="gramStart"/>
      <w:r>
        <w:rPr>
          <w:color w:val="000000" w:themeColor="text1"/>
        </w:rPr>
        <w:t>一</w:t>
      </w:r>
      <w:proofErr w:type="gramEnd"/>
      <w:r>
        <w:rPr>
          <w:color w:val="000000" w:themeColor="text1"/>
        </w:rPr>
        <w:t>消毒，</w:t>
      </w:r>
      <w:proofErr w:type="gramStart"/>
      <w:r>
        <w:rPr>
          <w:color w:val="000000" w:themeColor="text1"/>
        </w:rPr>
        <w:t>宜按照</w:t>
      </w:r>
      <w:proofErr w:type="gramEnd"/>
      <w:r>
        <w:rPr>
          <w:color w:val="000000" w:themeColor="text1"/>
        </w:rPr>
        <w:t xml:space="preserve">预处理—清洗—消毒—保洁存放逐步进行操作，其清洗用水符合GB 5749规定，消毒可选择物理方法和化学方法等。 </w:t>
      </w:r>
    </w:p>
    <w:p w14:paraId="3914AAE7" w14:textId="1CE4E9F4" w:rsidR="001A7DDC" w:rsidRDefault="00A41BC2">
      <w:pPr>
        <w:pStyle w:val="affffb"/>
        <w:spacing w:beforeLines="0" w:before="0" w:afterLines="0" w:after="0"/>
        <w:rPr>
          <w:color w:val="000000" w:themeColor="text1"/>
        </w:rPr>
      </w:pPr>
      <w:r>
        <w:rPr>
          <w:color w:val="000000" w:themeColor="text1"/>
        </w:rPr>
        <w:lastRenderedPageBreak/>
        <w:t>一次性餐饮具，应一用</w:t>
      </w:r>
      <w:proofErr w:type="gramStart"/>
      <w:r>
        <w:rPr>
          <w:color w:val="000000" w:themeColor="text1"/>
        </w:rPr>
        <w:t>一</w:t>
      </w:r>
      <w:proofErr w:type="gramEnd"/>
      <w:r>
        <w:rPr>
          <w:color w:val="000000" w:themeColor="text1"/>
        </w:rPr>
        <w:t>更换，对于使用过的餐饮具，根据材质做好垃圾分类处理。</w:t>
      </w:r>
    </w:p>
    <w:p w14:paraId="68ED2A52" w14:textId="77777777" w:rsidR="001A7DDC" w:rsidRDefault="00A41BC2">
      <w:pPr>
        <w:pStyle w:val="a7"/>
        <w:spacing w:before="156" w:after="156"/>
        <w:rPr>
          <w:rFonts w:hint="default"/>
          <w:color w:val="000000" w:themeColor="text1"/>
        </w:rPr>
      </w:pPr>
      <w:bookmarkStart w:id="50" w:name="_Toc181191913"/>
      <w:r>
        <w:rPr>
          <w:color w:val="000000" w:themeColor="text1"/>
        </w:rPr>
        <w:t>配置合适的设施</w:t>
      </w:r>
      <w:bookmarkEnd w:id="50"/>
    </w:p>
    <w:p w14:paraId="6D7D73C9" w14:textId="77777777" w:rsidR="001A7DDC" w:rsidRDefault="00A41BC2">
      <w:pPr>
        <w:pStyle w:val="affc"/>
        <w:ind w:firstLineChars="194" w:firstLine="407"/>
        <w:rPr>
          <w:rFonts w:hint="default"/>
          <w:color w:val="000000" w:themeColor="text1"/>
        </w:rPr>
      </w:pPr>
      <w:r>
        <w:rPr>
          <w:color w:val="000000" w:themeColor="text1"/>
        </w:rPr>
        <w:t>具有与经营的食品品种、数量相应的盥洗、洗涤、消毒等设施设备。</w:t>
      </w:r>
    </w:p>
    <w:p w14:paraId="00CFEAB9" w14:textId="77777777" w:rsidR="001A7DDC" w:rsidRDefault="00A41BC2">
      <w:pPr>
        <w:pStyle w:val="a7"/>
        <w:spacing w:before="156" w:after="156"/>
        <w:rPr>
          <w:rFonts w:hint="default"/>
          <w:color w:val="000000" w:themeColor="text1"/>
        </w:rPr>
      </w:pPr>
      <w:bookmarkStart w:id="51" w:name="_Toc181191914"/>
      <w:r>
        <w:rPr>
          <w:color w:val="000000" w:themeColor="text1"/>
        </w:rPr>
        <w:t>制定相应的制度</w:t>
      </w:r>
      <w:bookmarkEnd w:id="51"/>
    </w:p>
    <w:p w14:paraId="436C62B2" w14:textId="77777777" w:rsidR="001A7DDC" w:rsidRDefault="00A41BC2">
      <w:pPr>
        <w:pStyle w:val="affc"/>
        <w:ind w:firstLine="420"/>
        <w:rPr>
          <w:rFonts w:hint="default"/>
          <w:color w:val="000000" w:themeColor="text1"/>
        </w:rPr>
      </w:pPr>
      <w:r>
        <w:rPr>
          <w:color w:val="000000" w:themeColor="text1"/>
        </w:rPr>
        <w:t>包括但不限于消毒剂物资采购、消毒设施设备管理、清洗消毒记录、餐饮具安全检验和从业人员培训考核等方面的制度。</w:t>
      </w:r>
    </w:p>
    <w:p w14:paraId="301315F1" w14:textId="77777777" w:rsidR="001A7DDC" w:rsidRDefault="00A41BC2">
      <w:pPr>
        <w:pStyle w:val="a6"/>
        <w:spacing w:before="312" w:after="312"/>
        <w:rPr>
          <w:rFonts w:hint="default"/>
          <w:color w:val="000000" w:themeColor="text1"/>
        </w:rPr>
      </w:pPr>
      <w:bookmarkStart w:id="52" w:name="_Toc21375"/>
      <w:bookmarkStart w:id="53" w:name="_Toc181191981"/>
      <w:bookmarkStart w:id="54" w:name="_Toc2440"/>
      <w:bookmarkStart w:id="55" w:name="_Toc181191915"/>
      <w:bookmarkStart w:id="56" w:name="_Toc17859"/>
      <w:bookmarkStart w:id="57" w:name="_Toc181191939"/>
      <w:r>
        <w:rPr>
          <w:color w:val="000000" w:themeColor="text1"/>
        </w:rPr>
        <w:t>工作人员</w:t>
      </w:r>
      <w:bookmarkEnd w:id="52"/>
      <w:bookmarkEnd w:id="53"/>
      <w:bookmarkEnd w:id="54"/>
      <w:bookmarkEnd w:id="55"/>
      <w:bookmarkEnd w:id="56"/>
      <w:bookmarkEnd w:id="57"/>
    </w:p>
    <w:p w14:paraId="673D843B" w14:textId="77777777" w:rsidR="001A7DDC" w:rsidRDefault="00A41BC2">
      <w:pPr>
        <w:pStyle w:val="affffa"/>
        <w:spacing w:beforeLines="0" w:before="0" w:afterLines="0" w:after="0"/>
        <w:rPr>
          <w:color w:val="000000" w:themeColor="text1"/>
        </w:rPr>
      </w:pPr>
      <w:r>
        <w:rPr>
          <w:color w:val="000000" w:themeColor="text1"/>
        </w:rPr>
        <w:t>人员健康和卫生应符合GB 31654规定。</w:t>
      </w:r>
    </w:p>
    <w:p w14:paraId="3E06C8CA" w14:textId="77777777" w:rsidR="001A7DDC" w:rsidRDefault="00A41BC2">
      <w:pPr>
        <w:pStyle w:val="affffa"/>
        <w:spacing w:beforeLines="0" w:before="0" w:afterLines="0" w:after="0"/>
        <w:rPr>
          <w:color w:val="000000" w:themeColor="text1"/>
        </w:rPr>
      </w:pPr>
      <w:r>
        <w:rPr>
          <w:color w:val="000000" w:themeColor="text1"/>
        </w:rPr>
        <w:t>人员上岗前做好培训及相应记录，使其熟悉清洗消毒技术并能规范操作相关设备。</w:t>
      </w:r>
    </w:p>
    <w:p w14:paraId="2551C2CE" w14:textId="77777777" w:rsidR="001A7DDC" w:rsidRDefault="00A41BC2">
      <w:pPr>
        <w:pStyle w:val="a6"/>
        <w:spacing w:before="312" w:after="312"/>
        <w:rPr>
          <w:rFonts w:hint="default"/>
          <w:color w:val="000000" w:themeColor="text1"/>
        </w:rPr>
      </w:pPr>
      <w:bookmarkStart w:id="58" w:name="_Toc181191982"/>
      <w:bookmarkStart w:id="59" w:name="_Toc181191916"/>
      <w:bookmarkStart w:id="60" w:name="_Toc181191940"/>
      <w:bookmarkStart w:id="61" w:name="_Toc19384"/>
      <w:bookmarkStart w:id="62" w:name="_Toc16057"/>
      <w:bookmarkStart w:id="63" w:name="_Toc24670"/>
      <w:r>
        <w:rPr>
          <w:color w:val="000000" w:themeColor="text1"/>
        </w:rPr>
        <w:t>工作场所</w:t>
      </w:r>
      <w:bookmarkEnd w:id="58"/>
      <w:bookmarkEnd w:id="59"/>
      <w:bookmarkEnd w:id="60"/>
      <w:bookmarkEnd w:id="61"/>
      <w:bookmarkEnd w:id="62"/>
      <w:bookmarkEnd w:id="63"/>
    </w:p>
    <w:p w14:paraId="4CAB0F02" w14:textId="77777777" w:rsidR="001A7DDC" w:rsidRDefault="00A41BC2">
      <w:pPr>
        <w:pStyle w:val="affffa"/>
        <w:spacing w:beforeLines="0" w:before="0" w:afterLines="0" w:after="0"/>
        <w:rPr>
          <w:color w:val="000000" w:themeColor="text1"/>
        </w:rPr>
      </w:pPr>
      <w:r>
        <w:rPr>
          <w:color w:val="000000" w:themeColor="text1"/>
        </w:rPr>
        <w:t>提供餐饮服务的单位应有专用的清洗消毒工作场所，位置的选取首先宜考虑相应的清洗消毒工艺流程，场所面积与作业能力相匹配，场所内应明亮、平整、干净、卫生，并具备良好的通风条件。</w:t>
      </w:r>
    </w:p>
    <w:p w14:paraId="596BA614" w14:textId="77777777" w:rsidR="001A7DDC" w:rsidRDefault="00A41BC2">
      <w:pPr>
        <w:pStyle w:val="affffa"/>
        <w:spacing w:beforeLines="0" w:before="0" w:afterLines="0" w:after="0"/>
        <w:rPr>
          <w:color w:val="000000" w:themeColor="text1"/>
        </w:rPr>
      </w:pPr>
      <w:r>
        <w:rPr>
          <w:color w:val="000000" w:themeColor="text1"/>
        </w:rPr>
        <w:t>工作场所地面有利于排污、清洗、消毒的需要；盥洗池、消毒池（消毒柜）、保洁柜等结构设计（摆放位置）有利于操作；墙面的涂覆或铺设材料应</w:t>
      </w:r>
      <w:proofErr w:type="gramStart"/>
      <w:r>
        <w:rPr>
          <w:color w:val="000000" w:themeColor="text1"/>
        </w:rPr>
        <w:t>不</w:t>
      </w:r>
      <w:proofErr w:type="gramEnd"/>
      <w:r>
        <w:rPr>
          <w:color w:val="000000" w:themeColor="text1"/>
        </w:rPr>
        <w:t>透水、防霉、不易脱落、易于清洁，铺设1.5m以上，浅色、</w:t>
      </w:r>
      <w:proofErr w:type="gramStart"/>
      <w:r>
        <w:rPr>
          <w:color w:val="000000" w:themeColor="text1"/>
        </w:rPr>
        <w:t>不</w:t>
      </w:r>
      <w:proofErr w:type="gramEnd"/>
      <w:r>
        <w:rPr>
          <w:color w:val="000000" w:themeColor="text1"/>
        </w:rPr>
        <w:t>吸水、易清洗的墙裙；天花板涂覆或装修的材料应</w:t>
      </w:r>
      <w:proofErr w:type="gramStart"/>
      <w:r>
        <w:rPr>
          <w:color w:val="000000" w:themeColor="text1"/>
        </w:rPr>
        <w:t>不</w:t>
      </w:r>
      <w:proofErr w:type="gramEnd"/>
      <w:r>
        <w:rPr>
          <w:color w:val="000000" w:themeColor="text1"/>
        </w:rPr>
        <w:t>吸水、耐高温、耐腐蚀。</w:t>
      </w:r>
    </w:p>
    <w:p w14:paraId="11CF2BC1" w14:textId="77777777" w:rsidR="001A7DDC" w:rsidRDefault="00A41BC2">
      <w:pPr>
        <w:pStyle w:val="affffa"/>
        <w:spacing w:beforeLines="0" w:before="0" w:afterLines="0" w:after="0"/>
        <w:rPr>
          <w:color w:val="000000" w:themeColor="text1"/>
        </w:rPr>
      </w:pPr>
      <w:r>
        <w:rPr>
          <w:color w:val="000000" w:themeColor="text1"/>
        </w:rPr>
        <w:t>清洗消毒场所卫生要求应符合GB 31654规定。</w:t>
      </w:r>
    </w:p>
    <w:p w14:paraId="53CE4076" w14:textId="77777777" w:rsidR="001A7DDC" w:rsidRDefault="00A41BC2">
      <w:pPr>
        <w:pStyle w:val="affffa"/>
        <w:spacing w:beforeLines="0" w:before="0" w:afterLines="0" w:after="0"/>
        <w:rPr>
          <w:color w:val="000000" w:themeColor="text1"/>
        </w:rPr>
      </w:pPr>
      <w:r>
        <w:rPr>
          <w:color w:val="000000" w:themeColor="text1"/>
        </w:rPr>
        <w:t>各功能区的卫生不能对洗</w:t>
      </w:r>
      <w:proofErr w:type="gramStart"/>
      <w:r>
        <w:rPr>
          <w:color w:val="000000" w:themeColor="text1"/>
        </w:rPr>
        <w:t>消过程</w:t>
      </w:r>
      <w:proofErr w:type="gramEnd"/>
      <w:r>
        <w:rPr>
          <w:color w:val="000000" w:themeColor="text1"/>
        </w:rPr>
        <w:t>造成污染。</w:t>
      </w:r>
    </w:p>
    <w:p w14:paraId="2A8BD54C" w14:textId="77777777" w:rsidR="001A7DDC" w:rsidRDefault="00A41BC2">
      <w:pPr>
        <w:pStyle w:val="a6"/>
        <w:spacing w:before="312" w:after="312"/>
        <w:rPr>
          <w:rFonts w:hint="default"/>
          <w:color w:val="000000" w:themeColor="text1"/>
        </w:rPr>
      </w:pPr>
      <w:bookmarkStart w:id="64" w:name="_Toc181191983"/>
      <w:bookmarkStart w:id="65" w:name="_Toc181191941"/>
      <w:bookmarkStart w:id="66" w:name="_Toc22300"/>
      <w:bookmarkStart w:id="67" w:name="_Toc181191917"/>
      <w:bookmarkStart w:id="68" w:name="_Toc13721"/>
      <w:bookmarkStart w:id="69" w:name="_Toc25116"/>
      <w:r>
        <w:rPr>
          <w:color w:val="000000" w:themeColor="text1"/>
        </w:rPr>
        <w:t>工作流程</w:t>
      </w:r>
      <w:bookmarkEnd w:id="64"/>
      <w:bookmarkEnd w:id="65"/>
      <w:bookmarkEnd w:id="66"/>
      <w:bookmarkEnd w:id="67"/>
      <w:bookmarkEnd w:id="68"/>
      <w:bookmarkEnd w:id="69"/>
    </w:p>
    <w:p w14:paraId="518283B3" w14:textId="77777777" w:rsidR="001A7DDC" w:rsidRDefault="00A41BC2">
      <w:pPr>
        <w:pStyle w:val="a7"/>
        <w:spacing w:before="156" w:after="156"/>
        <w:rPr>
          <w:rFonts w:hint="default"/>
          <w:color w:val="000000" w:themeColor="text1"/>
        </w:rPr>
      </w:pPr>
      <w:bookmarkStart w:id="70" w:name="_Toc181191918"/>
      <w:r>
        <w:rPr>
          <w:color w:val="000000" w:themeColor="text1"/>
        </w:rPr>
        <w:t>清洗过程</w:t>
      </w:r>
      <w:bookmarkEnd w:id="70"/>
    </w:p>
    <w:p w14:paraId="1703419F" w14:textId="77777777" w:rsidR="001A7DDC" w:rsidRDefault="00A41BC2">
      <w:pPr>
        <w:pStyle w:val="affffb"/>
        <w:spacing w:beforeLines="0" w:before="0" w:afterLines="0" w:after="0"/>
        <w:rPr>
          <w:rFonts w:hAnsi="Times New Roman" w:hint="default"/>
          <w:color w:val="000000" w:themeColor="text1"/>
        </w:rPr>
      </w:pPr>
      <w:r>
        <w:rPr>
          <w:rFonts w:hAnsi="Times New Roman"/>
          <w:color w:val="000000" w:themeColor="text1"/>
        </w:rPr>
        <w:t>使用的洗涤剂符合GB 14930.1规定。</w:t>
      </w:r>
    </w:p>
    <w:p w14:paraId="72F93133" w14:textId="77777777" w:rsidR="001A7DDC" w:rsidRDefault="00A41BC2">
      <w:pPr>
        <w:pStyle w:val="affffb"/>
        <w:spacing w:beforeLines="0" w:before="0" w:afterLines="0" w:after="0"/>
        <w:rPr>
          <w:rFonts w:hAnsi="Times New Roman" w:hint="default"/>
          <w:color w:val="000000" w:themeColor="text1"/>
        </w:rPr>
      </w:pPr>
      <w:r>
        <w:rPr>
          <w:color w:val="000000" w:themeColor="text1"/>
        </w:rPr>
        <w:t>采用机器清洗的，按使用说明进行操作，包括但不限于以下步骤：</w:t>
      </w:r>
    </w:p>
    <w:p w14:paraId="5CE15375" w14:textId="77777777" w:rsidR="001A7DDC" w:rsidRDefault="00A41BC2">
      <w:pPr>
        <w:pStyle w:val="a2"/>
        <w:tabs>
          <w:tab w:val="clear" w:pos="839"/>
          <w:tab w:val="left" w:pos="850"/>
        </w:tabs>
        <w:rPr>
          <w:rFonts w:hint="default"/>
          <w:color w:val="000000" w:themeColor="text1"/>
        </w:rPr>
      </w:pPr>
      <w:r>
        <w:rPr>
          <w:color w:val="000000" w:themeColor="text1"/>
        </w:rPr>
        <w:t>去残：用适当的工具刮掉餐具表面上的大部分残渣、污垢；</w:t>
      </w:r>
    </w:p>
    <w:p w14:paraId="4B4B98ED" w14:textId="77777777" w:rsidR="001A7DDC" w:rsidRDefault="00A41BC2">
      <w:pPr>
        <w:pStyle w:val="a2"/>
        <w:tabs>
          <w:tab w:val="clear" w:pos="839"/>
          <w:tab w:val="left" w:pos="850"/>
        </w:tabs>
        <w:rPr>
          <w:rFonts w:hint="default"/>
          <w:color w:val="000000" w:themeColor="text1"/>
        </w:rPr>
      </w:pPr>
      <w:r>
        <w:rPr>
          <w:color w:val="000000" w:themeColor="text1"/>
        </w:rPr>
        <w:t>分类：按餐饮具的类别分别放置；</w:t>
      </w:r>
    </w:p>
    <w:p w14:paraId="2E36ABBE" w14:textId="77777777" w:rsidR="001A7DDC" w:rsidRDefault="00A41BC2">
      <w:pPr>
        <w:pStyle w:val="a2"/>
        <w:tabs>
          <w:tab w:val="clear" w:pos="839"/>
          <w:tab w:val="left" w:pos="850"/>
        </w:tabs>
        <w:rPr>
          <w:rFonts w:hint="default"/>
          <w:color w:val="000000" w:themeColor="text1"/>
        </w:rPr>
      </w:pPr>
      <w:r>
        <w:rPr>
          <w:color w:val="000000" w:themeColor="text1"/>
        </w:rPr>
        <w:t>预洗：对去残后的餐饮</w:t>
      </w:r>
      <w:proofErr w:type="gramStart"/>
      <w:r>
        <w:rPr>
          <w:color w:val="000000" w:themeColor="text1"/>
        </w:rPr>
        <w:t>具进行</w:t>
      </w:r>
      <w:proofErr w:type="gramEnd"/>
      <w:r>
        <w:rPr>
          <w:color w:val="000000" w:themeColor="text1"/>
        </w:rPr>
        <w:t>预冲洗(特别注意处理紧密粘结的饭</w:t>
      </w:r>
      <w:proofErr w:type="gramStart"/>
      <w:r>
        <w:rPr>
          <w:color w:val="000000" w:themeColor="text1"/>
        </w:rPr>
        <w:t>珈</w:t>
      </w:r>
      <w:proofErr w:type="gramEnd"/>
      <w:r>
        <w:rPr>
          <w:color w:val="000000" w:themeColor="text1"/>
        </w:rPr>
        <w:t>、干硬固化的酱料、淀粉类污渍等)；</w:t>
      </w:r>
    </w:p>
    <w:p w14:paraId="0267643B" w14:textId="77777777" w:rsidR="001A7DDC" w:rsidRDefault="00A41BC2">
      <w:pPr>
        <w:pStyle w:val="a2"/>
        <w:tabs>
          <w:tab w:val="clear" w:pos="839"/>
          <w:tab w:val="left" w:pos="850"/>
        </w:tabs>
        <w:rPr>
          <w:rFonts w:hint="default"/>
          <w:color w:val="000000" w:themeColor="text1"/>
        </w:rPr>
      </w:pPr>
      <w:r>
        <w:rPr>
          <w:color w:val="000000" w:themeColor="text1"/>
        </w:rPr>
        <w:t>洗涤(包括冲洗)：按设定的设备条件，对预洗后的餐饮</w:t>
      </w:r>
      <w:proofErr w:type="gramStart"/>
      <w:r>
        <w:rPr>
          <w:color w:val="000000" w:themeColor="text1"/>
        </w:rPr>
        <w:t>具进行</w:t>
      </w:r>
      <w:proofErr w:type="gramEnd"/>
      <w:r>
        <w:rPr>
          <w:color w:val="000000" w:themeColor="text1"/>
        </w:rPr>
        <w:t>洗涤，然后冲洗干净。</w:t>
      </w:r>
    </w:p>
    <w:p w14:paraId="537CD47E" w14:textId="77777777" w:rsidR="001A7DDC" w:rsidRDefault="00A41BC2">
      <w:pPr>
        <w:pStyle w:val="affffb"/>
        <w:spacing w:beforeLines="0" w:before="0" w:afterLines="0" w:after="0"/>
        <w:rPr>
          <w:color w:val="000000" w:themeColor="text1"/>
        </w:rPr>
      </w:pPr>
      <w:r>
        <w:rPr>
          <w:color w:val="000000" w:themeColor="text1"/>
        </w:rPr>
        <w:t>采用手工清洗的，包括但不限于以下步骤：</w:t>
      </w:r>
    </w:p>
    <w:p w14:paraId="76F0D44B" w14:textId="77777777" w:rsidR="001A7DDC" w:rsidRDefault="00A41BC2">
      <w:pPr>
        <w:pStyle w:val="a2"/>
        <w:numPr>
          <w:ilvl w:val="0"/>
          <w:numId w:val="19"/>
        </w:numPr>
        <w:tabs>
          <w:tab w:val="clear" w:pos="850"/>
        </w:tabs>
        <w:rPr>
          <w:rFonts w:hint="default"/>
          <w:color w:val="000000" w:themeColor="text1"/>
        </w:rPr>
      </w:pPr>
      <w:r>
        <w:rPr>
          <w:color w:val="000000" w:themeColor="text1"/>
        </w:rPr>
        <w:t>分类：按餐饮具类别及形状分别放置；</w:t>
      </w:r>
    </w:p>
    <w:p w14:paraId="100D2F05" w14:textId="77777777" w:rsidR="001A7DDC" w:rsidRDefault="00A41BC2">
      <w:pPr>
        <w:pStyle w:val="a2"/>
        <w:numPr>
          <w:ilvl w:val="0"/>
          <w:numId w:val="19"/>
        </w:numPr>
        <w:tabs>
          <w:tab w:val="clear" w:pos="850"/>
        </w:tabs>
        <w:rPr>
          <w:rFonts w:hint="default"/>
          <w:color w:val="000000" w:themeColor="text1"/>
        </w:rPr>
      </w:pPr>
      <w:r>
        <w:rPr>
          <w:color w:val="000000" w:themeColor="text1"/>
        </w:rPr>
        <w:t>去残：用适当的工具刮掉餐饮具表面上的大部分残、污垢，放</w:t>
      </w:r>
      <w:proofErr w:type="gramStart"/>
      <w:r>
        <w:rPr>
          <w:color w:val="000000" w:themeColor="text1"/>
        </w:rPr>
        <w:t>入浸</w:t>
      </w:r>
      <w:proofErr w:type="gramEnd"/>
      <w:r>
        <w:rPr>
          <w:color w:val="000000" w:themeColor="text1"/>
        </w:rPr>
        <w:t>泡池中浸泡；</w:t>
      </w:r>
    </w:p>
    <w:p w14:paraId="64D18A56" w14:textId="77777777" w:rsidR="001A7DDC" w:rsidRDefault="00A41BC2">
      <w:pPr>
        <w:pStyle w:val="a2"/>
        <w:tabs>
          <w:tab w:val="clear" w:pos="839"/>
          <w:tab w:val="left" w:pos="850"/>
        </w:tabs>
        <w:rPr>
          <w:rFonts w:hint="default"/>
          <w:color w:val="000000" w:themeColor="text1"/>
        </w:rPr>
      </w:pPr>
      <w:r>
        <w:rPr>
          <w:color w:val="000000" w:themeColor="text1"/>
        </w:rPr>
        <w:t>洗涤：在洗涤池里放入适量的洗涤剂，注入热水，将洗涤剂搅拌均匀，水温控制在40℃左右，用洗涤刷等工具将餐饮具清洗干净；</w:t>
      </w:r>
    </w:p>
    <w:p w14:paraId="55B4F5EF" w14:textId="77777777" w:rsidR="001A7DDC" w:rsidRDefault="00A41BC2">
      <w:pPr>
        <w:pStyle w:val="a2"/>
        <w:tabs>
          <w:tab w:val="clear" w:pos="839"/>
          <w:tab w:val="left" w:pos="850"/>
        </w:tabs>
        <w:rPr>
          <w:rFonts w:hint="default"/>
          <w:color w:val="000000" w:themeColor="text1"/>
        </w:rPr>
      </w:pPr>
      <w:r>
        <w:rPr>
          <w:color w:val="000000" w:themeColor="text1"/>
        </w:rPr>
        <w:t>冲洗：餐饮具洗涤完成后，在冲洗池中用流动水将餐饮具内外的残留洗涤剂冲洗干净，放入指定位置并沥干水分。</w:t>
      </w:r>
    </w:p>
    <w:p w14:paraId="1A4BB2DC" w14:textId="77777777" w:rsidR="001A7DDC" w:rsidRDefault="00A41BC2">
      <w:pPr>
        <w:pStyle w:val="a7"/>
        <w:spacing w:before="156" w:after="156"/>
        <w:rPr>
          <w:rFonts w:hint="default"/>
          <w:color w:val="000000" w:themeColor="text1"/>
        </w:rPr>
      </w:pPr>
      <w:bookmarkStart w:id="71" w:name="_Toc181191919"/>
      <w:r>
        <w:rPr>
          <w:color w:val="000000" w:themeColor="text1"/>
        </w:rPr>
        <w:lastRenderedPageBreak/>
        <w:t>消毒过程</w:t>
      </w:r>
      <w:bookmarkEnd w:id="71"/>
    </w:p>
    <w:p w14:paraId="65195E03" w14:textId="77777777" w:rsidR="001A7DDC" w:rsidRDefault="00A41BC2">
      <w:pPr>
        <w:pStyle w:val="a8"/>
        <w:spacing w:before="156" w:after="156"/>
        <w:rPr>
          <w:color w:val="000000" w:themeColor="text1"/>
        </w:rPr>
      </w:pPr>
      <w:r>
        <w:rPr>
          <w:color w:val="000000" w:themeColor="text1"/>
        </w:rPr>
        <w:t>物理消毒</w:t>
      </w:r>
    </w:p>
    <w:p w14:paraId="19388CDB" w14:textId="77777777" w:rsidR="001A7DDC" w:rsidRDefault="00A41BC2">
      <w:pPr>
        <w:pStyle w:val="affffc"/>
        <w:spacing w:beforeLines="0" w:before="0" w:afterLines="0" w:after="0"/>
        <w:rPr>
          <w:color w:val="000000" w:themeColor="text1"/>
        </w:rPr>
      </w:pPr>
      <w:r>
        <w:rPr>
          <w:color w:val="000000" w:themeColor="text1"/>
        </w:rPr>
        <w:t>按餐饮具回收、分类、去残、浸泡、洗涤、冲洗、消毒等顺序连续进行，不应</w:t>
      </w:r>
      <w:proofErr w:type="gramStart"/>
      <w:r>
        <w:rPr>
          <w:color w:val="000000" w:themeColor="text1"/>
        </w:rPr>
        <w:t>逆向或</w:t>
      </w:r>
      <w:proofErr w:type="gramEnd"/>
      <w:r>
        <w:rPr>
          <w:color w:val="000000" w:themeColor="text1"/>
        </w:rPr>
        <w:t>交叉进行。</w:t>
      </w:r>
    </w:p>
    <w:p w14:paraId="29807963" w14:textId="77777777" w:rsidR="001A7DDC" w:rsidRDefault="00A41BC2">
      <w:pPr>
        <w:pStyle w:val="affffc"/>
        <w:spacing w:beforeLines="0" w:before="0" w:afterLines="0" w:after="0"/>
        <w:rPr>
          <w:color w:val="000000" w:themeColor="text1"/>
        </w:rPr>
      </w:pPr>
      <w:r>
        <w:rPr>
          <w:color w:val="000000" w:themeColor="text1"/>
        </w:rPr>
        <w:t>清洁的餐饮具应侧放在消毒设备内，确保沥干积水。餐饮</w:t>
      </w:r>
      <w:proofErr w:type="gramStart"/>
      <w:r>
        <w:rPr>
          <w:color w:val="000000" w:themeColor="text1"/>
        </w:rPr>
        <w:t>具之间</w:t>
      </w:r>
      <w:proofErr w:type="gramEnd"/>
      <w:r>
        <w:rPr>
          <w:color w:val="000000" w:themeColor="text1"/>
        </w:rPr>
        <w:t>应留有一定间隙，确保均匀受热。</w:t>
      </w:r>
    </w:p>
    <w:p w14:paraId="40BD9DE9" w14:textId="77777777" w:rsidR="001A7DDC" w:rsidRDefault="00A41BC2">
      <w:pPr>
        <w:pStyle w:val="affffc"/>
        <w:spacing w:beforeLines="0" w:before="0" w:afterLines="0" w:after="0"/>
        <w:rPr>
          <w:color w:val="000000" w:themeColor="text1"/>
        </w:rPr>
      </w:pPr>
      <w:r>
        <w:rPr>
          <w:color w:val="000000" w:themeColor="text1"/>
        </w:rPr>
        <w:t>采用蒸汽、煮沸消毒，不同海拔地区煮沸保持时间可参考附录A。</w:t>
      </w:r>
    </w:p>
    <w:p w14:paraId="455FD068" w14:textId="77777777" w:rsidR="001A7DDC" w:rsidRDefault="00A41BC2">
      <w:pPr>
        <w:pStyle w:val="affffc"/>
        <w:spacing w:beforeLines="0" w:before="0" w:afterLines="0" w:after="0"/>
        <w:rPr>
          <w:color w:val="000000" w:themeColor="text1"/>
        </w:rPr>
      </w:pPr>
      <w:r>
        <w:rPr>
          <w:color w:val="000000" w:themeColor="text1"/>
        </w:rPr>
        <w:t>采用红外线消毒，按照设备使用说明书，温度应控制在120℃以上，并保持10 min以上。</w:t>
      </w:r>
    </w:p>
    <w:p w14:paraId="07CAFAAE" w14:textId="77777777" w:rsidR="001A7DDC" w:rsidRDefault="00A41BC2">
      <w:pPr>
        <w:pStyle w:val="affffc"/>
        <w:spacing w:beforeLines="0" w:before="0" w:afterLines="0" w:after="0"/>
        <w:rPr>
          <w:color w:val="000000" w:themeColor="text1"/>
        </w:rPr>
      </w:pPr>
      <w:r>
        <w:rPr>
          <w:color w:val="000000" w:themeColor="text1"/>
        </w:rPr>
        <w:t>采用洗碗机、热风循环消毒柜等设备进行消毒，应按设备使用说明进行操作，消毒温度、时间等应确保消毒效果满足国家相关食品标准要求。</w:t>
      </w:r>
    </w:p>
    <w:p w14:paraId="10FF90F9" w14:textId="77777777" w:rsidR="001A7DDC" w:rsidRDefault="00A41BC2">
      <w:pPr>
        <w:pStyle w:val="affffc"/>
        <w:spacing w:beforeLines="0" w:before="0" w:afterLines="0" w:after="0"/>
        <w:rPr>
          <w:color w:val="000000" w:themeColor="text1"/>
        </w:rPr>
      </w:pPr>
      <w:r>
        <w:rPr>
          <w:color w:val="000000" w:themeColor="text1"/>
        </w:rPr>
        <w:t>宜对消毒设施安装温度传感器，对消毒温度进行监测控制。</w:t>
      </w:r>
    </w:p>
    <w:p w14:paraId="376956EE" w14:textId="77777777" w:rsidR="001A7DDC" w:rsidRDefault="00A41BC2">
      <w:pPr>
        <w:pStyle w:val="affffc"/>
        <w:spacing w:beforeLines="0" w:before="0" w:afterLines="0" w:after="0"/>
        <w:rPr>
          <w:color w:val="000000" w:themeColor="text1"/>
        </w:rPr>
      </w:pPr>
      <w:r>
        <w:rPr>
          <w:color w:val="000000" w:themeColor="text1"/>
        </w:rPr>
        <w:t>鼓励选择消毒星级等级较高的设备进行消毒，以达到消毒效果。</w:t>
      </w:r>
    </w:p>
    <w:p w14:paraId="5F38C452" w14:textId="77777777" w:rsidR="001A7DDC" w:rsidRDefault="00A41BC2">
      <w:pPr>
        <w:pStyle w:val="a8"/>
        <w:spacing w:before="156" w:after="156"/>
        <w:rPr>
          <w:color w:val="000000" w:themeColor="text1"/>
        </w:rPr>
      </w:pPr>
      <w:r>
        <w:rPr>
          <w:color w:val="000000" w:themeColor="text1"/>
        </w:rPr>
        <w:t>化学消毒</w:t>
      </w:r>
    </w:p>
    <w:p w14:paraId="1FD07228" w14:textId="77777777" w:rsidR="001A7DDC" w:rsidRDefault="00A41BC2">
      <w:pPr>
        <w:pStyle w:val="affffc"/>
        <w:spacing w:beforeLines="0" w:before="0" w:afterLines="0" w:after="0"/>
        <w:rPr>
          <w:color w:val="000000" w:themeColor="text1"/>
        </w:rPr>
      </w:pPr>
      <w:r>
        <w:rPr>
          <w:color w:val="000000" w:themeColor="text1"/>
        </w:rPr>
        <w:t>按餐饮具回收、除渣、浸泡、洗涤、冲洗、高温消毒、感官检验、贮存等顺序连续进行，不应</w:t>
      </w:r>
      <w:proofErr w:type="gramStart"/>
      <w:r>
        <w:rPr>
          <w:color w:val="000000" w:themeColor="text1"/>
        </w:rPr>
        <w:t>逆向或</w:t>
      </w:r>
      <w:proofErr w:type="gramEnd"/>
      <w:r>
        <w:rPr>
          <w:color w:val="000000" w:themeColor="text1"/>
        </w:rPr>
        <w:t>交叉进行。</w:t>
      </w:r>
    </w:p>
    <w:p w14:paraId="1AB81F62" w14:textId="77777777" w:rsidR="001A7DDC" w:rsidRDefault="00A41BC2">
      <w:pPr>
        <w:pStyle w:val="affffc"/>
        <w:spacing w:beforeLines="0" w:before="0" w:afterLines="0" w:after="0"/>
        <w:rPr>
          <w:color w:val="000000" w:themeColor="text1"/>
        </w:rPr>
      </w:pPr>
      <w:r>
        <w:rPr>
          <w:color w:val="000000" w:themeColor="text1"/>
        </w:rPr>
        <w:t>使用的消毒剂符合GB 14930.2规定，配备计量工具。</w:t>
      </w:r>
    </w:p>
    <w:p w14:paraId="2498A495" w14:textId="77777777" w:rsidR="001A7DDC" w:rsidRDefault="00A41BC2">
      <w:pPr>
        <w:pStyle w:val="affffc"/>
        <w:spacing w:beforeLines="0" w:before="0" w:afterLines="0" w:after="0"/>
        <w:rPr>
          <w:color w:val="000000" w:themeColor="text1"/>
        </w:rPr>
      </w:pPr>
      <w:r>
        <w:rPr>
          <w:color w:val="000000" w:themeColor="text1"/>
        </w:rPr>
        <w:t>在明显处张贴清洗消毒流程。</w:t>
      </w:r>
    </w:p>
    <w:p w14:paraId="0EEEA187" w14:textId="77777777" w:rsidR="001A7DDC" w:rsidRDefault="00A41BC2">
      <w:pPr>
        <w:pStyle w:val="affffc"/>
        <w:spacing w:beforeLines="0" w:before="0" w:afterLines="0" w:after="0"/>
        <w:rPr>
          <w:rFonts w:hAnsi="Times New Roman" w:hint="default"/>
          <w:color w:val="000000" w:themeColor="text1"/>
        </w:rPr>
      </w:pPr>
      <w:r>
        <w:rPr>
          <w:color w:val="000000" w:themeColor="text1"/>
        </w:rPr>
        <w:t>设有足够数量的专用水池，至少有3个专用水池，提倡设置4个专用水池，使用不锈钢或陶瓷等</w:t>
      </w:r>
      <w:proofErr w:type="gramStart"/>
      <w:r>
        <w:rPr>
          <w:color w:val="000000" w:themeColor="text1"/>
        </w:rPr>
        <w:t>不</w:t>
      </w:r>
      <w:proofErr w:type="gramEnd"/>
      <w:r>
        <w:rPr>
          <w:color w:val="000000" w:themeColor="text1"/>
        </w:rPr>
        <w:t>透水材料制成，不易积垢并易于清洗，水池应以明显标识标明其用途。</w:t>
      </w:r>
    </w:p>
    <w:p w14:paraId="73B770C3" w14:textId="77777777" w:rsidR="001A7DDC" w:rsidRDefault="00A41BC2">
      <w:pPr>
        <w:pStyle w:val="affffc"/>
        <w:spacing w:beforeLines="0" w:before="0" w:afterLines="0" w:after="0"/>
        <w:rPr>
          <w:rFonts w:hAnsi="Times New Roman" w:hint="default"/>
          <w:color w:val="000000" w:themeColor="text1"/>
        </w:rPr>
      </w:pPr>
      <w:r>
        <w:rPr>
          <w:color w:val="000000" w:themeColor="text1"/>
        </w:rPr>
        <w:t>宜使用含氯消毒剂，消毒方法和注意事项见附录B。</w:t>
      </w:r>
    </w:p>
    <w:p w14:paraId="5F6DD5EF" w14:textId="77777777" w:rsidR="001A7DDC" w:rsidRDefault="00A41BC2">
      <w:pPr>
        <w:pStyle w:val="a8"/>
        <w:spacing w:before="156" w:after="156"/>
        <w:rPr>
          <w:color w:val="000000" w:themeColor="text1"/>
        </w:rPr>
      </w:pPr>
      <w:r>
        <w:rPr>
          <w:color w:val="000000" w:themeColor="text1"/>
        </w:rPr>
        <w:t>自动设备清洁消毒</w:t>
      </w:r>
    </w:p>
    <w:p w14:paraId="13B51DA6" w14:textId="77777777" w:rsidR="001A7DDC" w:rsidRDefault="00A41BC2">
      <w:pPr>
        <w:pStyle w:val="affc"/>
        <w:ind w:firstLine="420"/>
        <w:rPr>
          <w:rFonts w:hint="default"/>
          <w:color w:val="000000" w:themeColor="text1"/>
        </w:rPr>
      </w:pPr>
      <w:r>
        <w:rPr>
          <w:color w:val="000000" w:themeColor="text1"/>
        </w:rPr>
        <w:t>按设备使用说明操作，使用的洗涤剂符合GB14930.1规定，消毒剂符合 GB 14930.2规定。</w:t>
      </w:r>
    </w:p>
    <w:p w14:paraId="263F2B65" w14:textId="77777777" w:rsidR="001A7DDC" w:rsidRDefault="00A41BC2">
      <w:pPr>
        <w:pStyle w:val="a8"/>
        <w:spacing w:before="156" w:after="156"/>
        <w:rPr>
          <w:color w:val="000000" w:themeColor="text1"/>
        </w:rPr>
      </w:pPr>
      <w:r>
        <w:rPr>
          <w:color w:val="000000" w:themeColor="text1"/>
        </w:rPr>
        <w:t>餐饮用具集中消毒</w:t>
      </w:r>
    </w:p>
    <w:p w14:paraId="60707D1C" w14:textId="77777777" w:rsidR="001A7DDC" w:rsidRDefault="00A41BC2">
      <w:pPr>
        <w:spacing w:line="276" w:lineRule="auto"/>
        <w:ind w:firstLineChars="200" w:firstLine="420"/>
        <w:rPr>
          <w:rFonts w:hint="default"/>
          <w:color w:val="000000" w:themeColor="text1"/>
        </w:rPr>
      </w:pPr>
      <w:r>
        <w:rPr>
          <w:color w:val="000000" w:themeColor="text1"/>
        </w:rPr>
        <w:t>委托餐饮用具集中消毒服务单位进行消毒，查看其设施设备及消毒过程应符合GB 31651规定，并查验、存留集中消毒服务单位的营业执照复印件和消毒合格证明。</w:t>
      </w:r>
    </w:p>
    <w:p w14:paraId="567C7695" w14:textId="77777777" w:rsidR="001A7DDC" w:rsidRDefault="00A41BC2">
      <w:pPr>
        <w:pStyle w:val="a7"/>
        <w:spacing w:before="156" w:after="156"/>
        <w:rPr>
          <w:rFonts w:hint="default"/>
          <w:color w:val="000000" w:themeColor="text1"/>
        </w:rPr>
      </w:pPr>
      <w:bookmarkStart w:id="72" w:name="_Toc181191920"/>
      <w:r>
        <w:rPr>
          <w:color w:val="000000" w:themeColor="text1"/>
        </w:rPr>
        <w:t>保洁存放过程</w:t>
      </w:r>
      <w:bookmarkEnd w:id="72"/>
    </w:p>
    <w:p w14:paraId="7FDE230B" w14:textId="77777777" w:rsidR="001A7DDC" w:rsidRDefault="00A41BC2">
      <w:pPr>
        <w:pStyle w:val="affffb"/>
        <w:spacing w:beforeLines="0" w:before="0" w:afterLines="0" w:after="0"/>
        <w:rPr>
          <w:rFonts w:hAnsi="Times New Roman" w:hint="default"/>
          <w:color w:val="000000" w:themeColor="text1"/>
        </w:rPr>
      </w:pPr>
      <w:r>
        <w:rPr>
          <w:color w:val="000000" w:themeColor="text1"/>
        </w:rPr>
        <w:t>应配备用于存放消毒后餐饮具的保洁设施，设施结构应密闭并易于清洁，做好定期清洁消毒工作。</w:t>
      </w:r>
    </w:p>
    <w:p w14:paraId="07F352F0" w14:textId="77777777" w:rsidR="001A7DDC" w:rsidRDefault="00A41BC2">
      <w:pPr>
        <w:pStyle w:val="affffb"/>
        <w:spacing w:beforeLines="0" w:before="0" w:afterLines="0" w:after="0"/>
        <w:rPr>
          <w:color w:val="000000" w:themeColor="text1"/>
        </w:rPr>
      </w:pPr>
      <w:r>
        <w:rPr>
          <w:rFonts w:hAnsi="Times New Roman"/>
          <w:color w:val="000000" w:themeColor="text1"/>
        </w:rPr>
        <w:t>餐饮具清洗消毒后宜沥干或烘干。采用擦干方式的，专用抹布经清洗消毒方可使用，防止餐饮</w:t>
      </w:r>
      <w:proofErr w:type="gramStart"/>
      <w:r>
        <w:rPr>
          <w:rFonts w:hAnsi="Times New Roman"/>
          <w:color w:val="000000" w:themeColor="text1"/>
        </w:rPr>
        <w:t>具受到</w:t>
      </w:r>
      <w:proofErr w:type="gramEnd"/>
      <w:r>
        <w:rPr>
          <w:rFonts w:hAnsi="Times New Roman"/>
          <w:color w:val="000000" w:themeColor="text1"/>
        </w:rPr>
        <w:t>污染。</w:t>
      </w:r>
    </w:p>
    <w:p w14:paraId="1CC17112" w14:textId="77777777" w:rsidR="001A7DDC" w:rsidRDefault="00A41BC2">
      <w:pPr>
        <w:pStyle w:val="affffb"/>
        <w:spacing w:beforeLines="0" w:before="0" w:afterLines="0" w:after="0"/>
        <w:rPr>
          <w:rFonts w:hAnsi="Times New Roman" w:hint="default"/>
          <w:color w:val="000000" w:themeColor="text1"/>
        </w:rPr>
      </w:pPr>
      <w:r>
        <w:rPr>
          <w:rFonts w:hAnsi="Times New Roman"/>
          <w:color w:val="000000" w:themeColor="text1"/>
        </w:rPr>
        <w:t>清洗消毒后的餐饮具应统一放在专用封闭的保洁设备内，摆放整齐，避免与其它杂物混放。应采取有效的保洁措施(如洗涤后在餐饮具外面加塑料膜)，防止其再次污染。</w:t>
      </w:r>
    </w:p>
    <w:p w14:paraId="441B75A3" w14:textId="77777777" w:rsidR="001A7DDC" w:rsidRDefault="00A41BC2">
      <w:pPr>
        <w:pStyle w:val="affffb"/>
        <w:spacing w:beforeLines="0" w:before="0" w:afterLines="0" w:after="0"/>
        <w:rPr>
          <w:color w:val="000000" w:themeColor="text1"/>
        </w:rPr>
      </w:pPr>
      <w:r>
        <w:rPr>
          <w:rFonts w:hAnsi="Times New Roman"/>
          <w:color w:val="000000" w:themeColor="text1"/>
        </w:rPr>
        <w:t>保洁设备应正常运转，有明显的区分标识，保洁设备应定期进行清洁和消毒，并记录。</w:t>
      </w:r>
    </w:p>
    <w:p w14:paraId="6C7CCD99" w14:textId="77777777" w:rsidR="001A7DDC" w:rsidRDefault="00A41BC2">
      <w:pPr>
        <w:pStyle w:val="affffb"/>
        <w:spacing w:beforeLines="0" w:before="0" w:afterLines="0" w:after="0"/>
        <w:rPr>
          <w:color w:val="000000" w:themeColor="text1"/>
        </w:rPr>
      </w:pPr>
      <w:proofErr w:type="gramStart"/>
      <w:r>
        <w:rPr>
          <w:rFonts w:hAnsi="Times New Roman"/>
          <w:color w:val="000000" w:themeColor="text1"/>
        </w:rPr>
        <w:t>宜按照餐饮具数量</w:t>
      </w:r>
      <w:proofErr w:type="gramEnd"/>
      <w:r>
        <w:rPr>
          <w:rFonts w:hAnsi="Times New Roman"/>
          <w:color w:val="000000" w:themeColor="text1"/>
        </w:rPr>
        <w:t>配足消毒保洁一体化设备,消毒保洁一次性完成,减少消毒后人工周转产生污染。</w:t>
      </w:r>
    </w:p>
    <w:p w14:paraId="0AE84931" w14:textId="77777777" w:rsidR="001A7DDC" w:rsidRDefault="00A41BC2">
      <w:pPr>
        <w:pStyle w:val="a7"/>
        <w:spacing w:before="156" w:after="156"/>
        <w:rPr>
          <w:rFonts w:hint="default"/>
          <w:color w:val="000000" w:themeColor="text1"/>
        </w:rPr>
      </w:pPr>
      <w:bookmarkStart w:id="73" w:name="_Toc181191921"/>
      <w:r>
        <w:rPr>
          <w:color w:val="000000" w:themeColor="text1"/>
        </w:rPr>
        <w:t>密封配送过程</w:t>
      </w:r>
      <w:bookmarkEnd w:id="73"/>
    </w:p>
    <w:p w14:paraId="0C4C91C7" w14:textId="0740BDA7" w:rsidR="001A7DDC" w:rsidRDefault="00A41BC2">
      <w:pPr>
        <w:pStyle w:val="affffb"/>
        <w:numPr>
          <w:ilvl w:val="2"/>
          <w:numId w:val="0"/>
        </w:numPr>
        <w:spacing w:beforeLines="0" w:before="0" w:afterLines="0" w:after="0"/>
        <w:ind w:firstLineChars="300" w:firstLine="630"/>
        <w:rPr>
          <w:color w:val="000000" w:themeColor="text1"/>
        </w:rPr>
      </w:pPr>
      <w:r>
        <w:rPr>
          <w:color w:val="000000" w:themeColor="text1"/>
        </w:rPr>
        <w:lastRenderedPageBreak/>
        <w:t>餐饮</w:t>
      </w:r>
      <w:proofErr w:type="gramStart"/>
      <w:r>
        <w:rPr>
          <w:color w:val="000000" w:themeColor="text1"/>
        </w:rPr>
        <w:t>具集中</w:t>
      </w:r>
      <w:proofErr w:type="gramEnd"/>
      <w:r>
        <w:rPr>
          <w:color w:val="000000" w:themeColor="text1"/>
        </w:rPr>
        <w:t>消毒服务单位密封配送符合GB31651规定。</w:t>
      </w:r>
    </w:p>
    <w:p w14:paraId="708142E0" w14:textId="77777777" w:rsidR="001A7DDC" w:rsidRDefault="00A41BC2">
      <w:pPr>
        <w:pStyle w:val="a6"/>
        <w:spacing w:before="312" w:after="312"/>
        <w:rPr>
          <w:rFonts w:hint="default"/>
          <w:color w:val="000000" w:themeColor="text1"/>
        </w:rPr>
      </w:pPr>
      <w:bookmarkStart w:id="74" w:name="_Toc11238"/>
      <w:bookmarkStart w:id="75" w:name="_Toc181191942"/>
      <w:bookmarkStart w:id="76" w:name="_Toc181191922"/>
      <w:bookmarkStart w:id="77" w:name="_Toc181191984"/>
      <w:bookmarkStart w:id="78" w:name="_Toc31487"/>
      <w:bookmarkStart w:id="79" w:name="_Toc30594"/>
      <w:r>
        <w:rPr>
          <w:color w:val="000000" w:themeColor="text1"/>
        </w:rPr>
        <w:t>效果评价</w:t>
      </w:r>
      <w:bookmarkEnd w:id="74"/>
      <w:bookmarkEnd w:id="75"/>
      <w:bookmarkEnd w:id="76"/>
      <w:bookmarkEnd w:id="77"/>
      <w:bookmarkEnd w:id="78"/>
      <w:bookmarkEnd w:id="79"/>
    </w:p>
    <w:p w14:paraId="29EF856F" w14:textId="77777777" w:rsidR="001A7DDC" w:rsidRDefault="00A41BC2">
      <w:pPr>
        <w:pStyle w:val="affffa"/>
        <w:spacing w:beforeLines="0" w:before="0" w:afterLines="0" w:after="0"/>
        <w:rPr>
          <w:color w:val="000000" w:themeColor="text1"/>
        </w:rPr>
      </w:pPr>
      <w:r>
        <w:rPr>
          <w:color w:val="000000" w:themeColor="text1"/>
        </w:rPr>
        <w:t>感官检验。采用眼看、鼻闻、手摸的方式进行检验，在光线明亮的情况下，餐饮具表面光洁，不应有附着物,不应有油渍、泡沫、异味。</w:t>
      </w:r>
    </w:p>
    <w:p w14:paraId="64DEC91D" w14:textId="77777777" w:rsidR="001A7DDC" w:rsidRDefault="00A41BC2">
      <w:pPr>
        <w:pStyle w:val="affffa"/>
        <w:spacing w:beforeLines="0" w:before="0" w:afterLines="0" w:after="0"/>
        <w:rPr>
          <w:color w:val="000000" w:themeColor="text1"/>
        </w:rPr>
      </w:pPr>
      <w:r>
        <w:rPr>
          <w:color w:val="000000" w:themeColor="text1"/>
        </w:rPr>
        <w:t>鼓励定期开展洁净度检验及消毒效果评价，并建议送有资质检验机构从理化指标和微生物指标验证清洁消毒效果，结果符合GB 14934规定。</w:t>
      </w:r>
    </w:p>
    <w:p w14:paraId="51D65CEA" w14:textId="77777777" w:rsidR="001A7DDC" w:rsidRDefault="001A7DDC">
      <w:pPr>
        <w:rPr>
          <w:rFonts w:hint="default"/>
          <w:color w:val="000000" w:themeColor="text1"/>
        </w:rPr>
      </w:pPr>
    </w:p>
    <w:p w14:paraId="27B74EC2" w14:textId="77777777" w:rsidR="001A7DDC" w:rsidRDefault="001A7DDC">
      <w:pPr>
        <w:rPr>
          <w:rFonts w:hint="default"/>
          <w:color w:val="000000" w:themeColor="text1"/>
        </w:rPr>
      </w:pPr>
    </w:p>
    <w:p w14:paraId="3E552279" w14:textId="77777777" w:rsidR="001A7DDC" w:rsidRDefault="001A7DDC">
      <w:pPr>
        <w:rPr>
          <w:rFonts w:hint="default"/>
          <w:color w:val="000000" w:themeColor="text1"/>
        </w:rPr>
      </w:pPr>
    </w:p>
    <w:p w14:paraId="6318460F" w14:textId="77777777" w:rsidR="001A7DDC" w:rsidRDefault="001A7DDC">
      <w:pPr>
        <w:rPr>
          <w:rFonts w:hint="default"/>
          <w:color w:val="000000" w:themeColor="text1"/>
        </w:rPr>
      </w:pPr>
    </w:p>
    <w:p w14:paraId="35449FF1" w14:textId="77777777" w:rsidR="001A7DDC" w:rsidRDefault="001A7DDC">
      <w:pPr>
        <w:rPr>
          <w:rFonts w:hint="default"/>
          <w:color w:val="000000" w:themeColor="text1"/>
        </w:rPr>
      </w:pPr>
    </w:p>
    <w:p w14:paraId="24B8A902" w14:textId="77777777" w:rsidR="001A7DDC" w:rsidRDefault="001A7DDC">
      <w:pPr>
        <w:rPr>
          <w:rFonts w:hint="default"/>
          <w:color w:val="000000" w:themeColor="text1"/>
        </w:rPr>
      </w:pPr>
    </w:p>
    <w:p w14:paraId="5B387E01" w14:textId="77777777" w:rsidR="001A7DDC" w:rsidRDefault="001A7DDC">
      <w:pPr>
        <w:rPr>
          <w:rFonts w:hint="default"/>
          <w:color w:val="000000" w:themeColor="text1"/>
        </w:rPr>
      </w:pPr>
    </w:p>
    <w:p w14:paraId="2146C2C2" w14:textId="77777777" w:rsidR="001A7DDC" w:rsidRDefault="001A7DDC">
      <w:pPr>
        <w:rPr>
          <w:rFonts w:hint="default"/>
          <w:color w:val="000000" w:themeColor="text1"/>
        </w:rPr>
      </w:pPr>
    </w:p>
    <w:p w14:paraId="32AA5083" w14:textId="77777777" w:rsidR="001A7DDC" w:rsidRDefault="001A7DDC">
      <w:pPr>
        <w:rPr>
          <w:rFonts w:hint="default"/>
          <w:color w:val="000000" w:themeColor="text1"/>
        </w:rPr>
      </w:pPr>
    </w:p>
    <w:p w14:paraId="4ADF88BB" w14:textId="77777777" w:rsidR="001A7DDC" w:rsidRDefault="001A7DDC">
      <w:pPr>
        <w:rPr>
          <w:rFonts w:hint="default"/>
          <w:color w:val="000000" w:themeColor="text1"/>
        </w:rPr>
      </w:pPr>
    </w:p>
    <w:p w14:paraId="7C8D5149" w14:textId="77777777" w:rsidR="001A7DDC" w:rsidRDefault="001A7DDC">
      <w:pPr>
        <w:rPr>
          <w:rFonts w:hint="default"/>
          <w:color w:val="000000" w:themeColor="text1"/>
        </w:rPr>
      </w:pPr>
    </w:p>
    <w:p w14:paraId="5474582D" w14:textId="77777777" w:rsidR="001A7DDC" w:rsidRDefault="001A7DDC">
      <w:pPr>
        <w:rPr>
          <w:rFonts w:hint="default"/>
          <w:color w:val="000000" w:themeColor="text1"/>
        </w:rPr>
      </w:pPr>
    </w:p>
    <w:p w14:paraId="0E679D87" w14:textId="77777777" w:rsidR="001A7DDC" w:rsidRDefault="001A7DDC">
      <w:pPr>
        <w:rPr>
          <w:rFonts w:hint="default"/>
          <w:color w:val="000000" w:themeColor="text1"/>
        </w:rPr>
      </w:pPr>
    </w:p>
    <w:p w14:paraId="3812FC17" w14:textId="77777777" w:rsidR="001A7DDC" w:rsidRDefault="001A7DDC">
      <w:pPr>
        <w:rPr>
          <w:rFonts w:hint="default"/>
          <w:color w:val="000000" w:themeColor="text1"/>
        </w:rPr>
      </w:pPr>
    </w:p>
    <w:p w14:paraId="4B5DD319" w14:textId="77777777" w:rsidR="001A7DDC" w:rsidRDefault="001A7DDC">
      <w:pPr>
        <w:rPr>
          <w:rFonts w:hint="default"/>
          <w:color w:val="000000" w:themeColor="text1"/>
        </w:rPr>
      </w:pPr>
    </w:p>
    <w:p w14:paraId="697850A1" w14:textId="77777777" w:rsidR="001A7DDC" w:rsidRDefault="001A7DDC">
      <w:pPr>
        <w:rPr>
          <w:rFonts w:hint="default"/>
          <w:color w:val="000000" w:themeColor="text1"/>
        </w:rPr>
      </w:pPr>
    </w:p>
    <w:p w14:paraId="47BA1591" w14:textId="77777777" w:rsidR="001A7DDC" w:rsidRDefault="001A7DDC">
      <w:pPr>
        <w:rPr>
          <w:rFonts w:hint="default"/>
          <w:color w:val="000000" w:themeColor="text1"/>
        </w:rPr>
      </w:pPr>
    </w:p>
    <w:p w14:paraId="48DA36CA" w14:textId="77777777" w:rsidR="001A7DDC" w:rsidRDefault="001A7DDC">
      <w:pPr>
        <w:rPr>
          <w:rFonts w:hint="default"/>
          <w:color w:val="000000" w:themeColor="text1"/>
        </w:rPr>
      </w:pPr>
    </w:p>
    <w:p w14:paraId="7674B86C" w14:textId="77777777" w:rsidR="001A7DDC" w:rsidRDefault="001A7DDC">
      <w:pPr>
        <w:rPr>
          <w:rFonts w:hint="default"/>
          <w:color w:val="000000" w:themeColor="text1"/>
        </w:rPr>
      </w:pPr>
    </w:p>
    <w:p w14:paraId="76D40DA7" w14:textId="77777777" w:rsidR="001A7DDC" w:rsidRDefault="001A7DDC">
      <w:pPr>
        <w:rPr>
          <w:rFonts w:hint="default"/>
          <w:color w:val="000000" w:themeColor="text1"/>
        </w:rPr>
      </w:pPr>
    </w:p>
    <w:p w14:paraId="401CBAC7" w14:textId="77777777" w:rsidR="001A7DDC" w:rsidRDefault="001A7DDC">
      <w:pPr>
        <w:rPr>
          <w:rFonts w:hint="default"/>
          <w:color w:val="000000" w:themeColor="text1"/>
        </w:rPr>
      </w:pPr>
    </w:p>
    <w:p w14:paraId="2936288E" w14:textId="77777777" w:rsidR="001A7DDC" w:rsidRDefault="001A7DDC">
      <w:pPr>
        <w:rPr>
          <w:rFonts w:hint="default"/>
          <w:color w:val="000000" w:themeColor="text1"/>
        </w:rPr>
      </w:pPr>
    </w:p>
    <w:p w14:paraId="1DBE9546" w14:textId="77777777" w:rsidR="001A7DDC" w:rsidRDefault="001A7DDC">
      <w:pPr>
        <w:rPr>
          <w:rFonts w:hint="default"/>
          <w:color w:val="000000" w:themeColor="text1"/>
        </w:rPr>
      </w:pPr>
    </w:p>
    <w:p w14:paraId="33714F0F" w14:textId="77777777" w:rsidR="001A7DDC" w:rsidRDefault="001A7DDC">
      <w:pPr>
        <w:rPr>
          <w:rFonts w:hint="default"/>
          <w:color w:val="000000" w:themeColor="text1"/>
        </w:rPr>
      </w:pPr>
    </w:p>
    <w:p w14:paraId="1CF2C7DF" w14:textId="77777777" w:rsidR="001A7DDC" w:rsidRDefault="001A7DDC">
      <w:pPr>
        <w:rPr>
          <w:rFonts w:hint="default"/>
          <w:color w:val="000000" w:themeColor="text1"/>
        </w:rPr>
      </w:pPr>
    </w:p>
    <w:p w14:paraId="28EA6C30" w14:textId="77777777" w:rsidR="001A7DDC" w:rsidRDefault="001A7DDC">
      <w:pPr>
        <w:rPr>
          <w:rFonts w:hint="default"/>
          <w:color w:val="000000" w:themeColor="text1"/>
        </w:rPr>
      </w:pPr>
    </w:p>
    <w:p w14:paraId="44452D6D" w14:textId="77777777" w:rsidR="001A7DDC" w:rsidRDefault="001A7DDC">
      <w:pPr>
        <w:rPr>
          <w:rFonts w:hint="default"/>
          <w:color w:val="000000" w:themeColor="text1"/>
        </w:rPr>
      </w:pPr>
      <w:bookmarkStart w:id="80" w:name="BKFL"/>
    </w:p>
    <w:p w14:paraId="629ECB9A" w14:textId="77777777" w:rsidR="00A41BC2" w:rsidRDefault="00A41BC2">
      <w:pPr>
        <w:rPr>
          <w:rFonts w:hint="default"/>
          <w:color w:val="000000" w:themeColor="text1"/>
        </w:rPr>
      </w:pPr>
    </w:p>
    <w:p w14:paraId="6F3F86AB" w14:textId="77777777" w:rsidR="00A41BC2" w:rsidRDefault="00A41BC2">
      <w:pPr>
        <w:rPr>
          <w:rFonts w:hint="default"/>
          <w:color w:val="000000" w:themeColor="text1"/>
        </w:rPr>
      </w:pPr>
    </w:p>
    <w:p w14:paraId="17F0DE9B" w14:textId="77777777" w:rsidR="00A41BC2" w:rsidRDefault="00A41BC2">
      <w:pPr>
        <w:rPr>
          <w:rFonts w:hint="default"/>
          <w:color w:val="000000" w:themeColor="text1"/>
        </w:rPr>
      </w:pPr>
    </w:p>
    <w:p w14:paraId="2CEC8D15" w14:textId="77777777" w:rsidR="001A7DDC" w:rsidRDefault="001A7DDC">
      <w:pPr>
        <w:rPr>
          <w:rFonts w:hint="default"/>
          <w:color w:val="000000" w:themeColor="text1"/>
        </w:rPr>
      </w:pPr>
    </w:p>
    <w:p w14:paraId="09ED3A58" w14:textId="77777777" w:rsidR="001A7DDC" w:rsidRDefault="001A7DDC">
      <w:pPr>
        <w:pStyle w:val="ac"/>
        <w:numPr>
          <w:ilvl w:val="0"/>
          <w:numId w:val="0"/>
        </w:numPr>
        <w:jc w:val="both"/>
        <w:rPr>
          <w:rFonts w:hint="default"/>
          <w:color w:val="000000" w:themeColor="text1"/>
        </w:rPr>
      </w:pPr>
    </w:p>
    <w:p w14:paraId="6CE40208" w14:textId="77777777" w:rsidR="001A7DDC" w:rsidRDefault="00A41BC2">
      <w:pPr>
        <w:pStyle w:val="af1"/>
        <w:spacing w:before="78" w:after="156"/>
        <w:rPr>
          <w:color w:val="000000" w:themeColor="text1"/>
        </w:rPr>
      </w:pPr>
      <w:bookmarkStart w:id="81" w:name="_Toc25937"/>
      <w:bookmarkStart w:id="82" w:name="_Toc20595"/>
      <w:bookmarkStart w:id="83" w:name="_Toc30625"/>
      <w:r>
        <w:rPr>
          <w:color w:val="000000" w:themeColor="text1"/>
        </w:rPr>
        <w:lastRenderedPageBreak/>
        <w:br/>
      </w:r>
      <w:bookmarkStart w:id="84" w:name="_Toc181191943"/>
      <w:bookmarkStart w:id="85" w:name="_Toc181191923"/>
      <w:bookmarkStart w:id="86" w:name="_Toc181191985"/>
      <w:r>
        <w:rPr>
          <w:color w:val="000000" w:themeColor="text1"/>
        </w:rPr>
        <w:t>（资料性）</w:t>
      </w:r>
      <w:r>
        <w:rPr>
          <w:color w:val="000000" w:themeColor="text1"/>
        </w:rPr>
        <w:br/>
        <w:t>煮沸消毒时间及使用注意事项</w:t>
      </w:r>
      <w:bookmarkEnd w:id="81"/>
      <w:bookmarkEnd w:id="82"/>
      <w:bookmarkEnd w:id="83"/>
      <w:bookmarkEnd w:id="84"/>
      <w:bookmarkEnd w:id="85"/>
      <w:bookmarkEnd w:id="86"/>
    </w:p>
    <w:p w14:paraId="022ED25D" w14:textId="77777777" w:rsidR="001A7DDC" w:rsidRDefault="00A41BC2">
      <w:pPr>
        <w:pStyle w:val="af2"/>
        <w:spacing w:before="156" w:after="156"/>
        <w:rPr>
          <w:color w:val="000000" w:themeColor="text1"/>
        </w:rPr>
      </w:pPr>
      <w:r>
        <w:rPr>
          <w:color w:val="000000" w:themeColor="text1"/>
        </w:rPr>
        <w:t>物理消毒方法</w:t>
      </w:r>
    </w:p>
    <w:p w14:paraId="5948EB29" w14:textId="49F0DC7F" w:rsidR="001A7DDC" w:rsidRDefault="00A41BC2">
      <w:pPr>
        <w:pStyle w:val="affc"/>
        <w:ind w:firstLine="420"/>
        <w:rPr>
          <w:rFonts w:hint="default"/>
          <w:color w:val="000000" w:themeColor="text1"/>
        </w:rPr>
      </w:pPr>
      <w:r>
        <w:rPr>
          <w:color w:val="000000" w:themeColor="text1"/>
        </w:rPr>
        <w:t>物理消毒方法中煮沸消毒、蒸汽消毒是最常用的方法，由于水的沸点随海拔的增加而降低，因此煮沸消毒的时间应延长。</w:t>
      </w:r>
    </w:p>
    <w:p w14:paraId="5D7278A2" w14:textId="77777777" w:rsidR="001A7DDC" w:rsidRDefault="00A41BC2">
      <w:pPr>
        <w:pStyle w:val="af2"/>
        <w:spacing w:before="156" w:after="156"/>
        <w:rPr>
          <w:color w:val="000000" w:themeColor="text1"/>
        </w:rPr>
      </w:pPr>
      <w:r>
        <w:rPr>
          <w:color w:val="000000" w:themeColor="text1"/>
        </w:rPr>
        <w:t>不同海拔高度对应消毒煮沸时间</w:t>
      </w:r>
    </w:p>
    <w:p w14:paraId="0B8ACF8C" w14:textId="5F419CCD" w:rsidR="001A7DDC" w:rsidRDefault="00A41BC2">
      <w:pPr>
        <w:spacing w:line="276" w:lineRule="auto"/>
        <w:ind w:firstLineChars="200" w:firstLine="420"/>
        <w:rPr>
          <w:rFonts w:hint="default"/>
          <w:color w:val="000000" w:themeColor="text1"/>
        </w:rPr>
      </w:pPr>
      <w:r>
        <w:rPr>
          <w:color w:val="000000" w:themeColor="text1"/>
        </w:rPr>
        <w:t>在1个标准大气压下，水的沸点是100℃，</w:t>
      </w:r>
      <w:proofErr w:type="gramStart"/>
      <w:r>
        <w:rPr>
          <w:color w:val="000000" w:themeColor="text1"/>
        </w:rPr>
        <w:t>餐饮具洗干净</w:t>
      </w:r>
      <w:proofErr w:type="gramEnd"/>
      <w:r>
        <w:rPr>
          <w:color w:val="000000" w:themeColor="text1"/>
        </w:rPr>
        <w:t>后全部浸没在水中≥3cm，加热煮沸后维持≥15min。消毒时间从水煮沸后算起。水的沸点受气压影响，一般海拔每增高300m，消毒时间需延长2min。</w:t>
      </w:r>
    </w:p>
    <w:p w14:paraId="6748E887" w14:textId="77777777" w:rsidR="001A7DDC" w:rsidRDefault="00A41BC2">
      <w:pPr>
        <w:pStyle w:val="affc"/>
        <w:ind w:firstLine="420"/>
        <w:rPr>
          <w:rFonts w:hint="default"/>
          <w:color w:val="000000" w:themeColor="text1"/>
        </w:rPr>
      </w:pPr>
      <w:r>
        <w:rPr>
          <w:color w:val="000000" w:themeColor="text1"/>
        </w:rPr>
        <w:t>不同海拔高度所对应的煮沸消毒保持时间按式（A.1）计算：</w:t>
      </w:r>
    </w:p>
    <w:p w14:paraId="730D657F" w14:textId="1D0B4AAD" w:rsidR="001A7DDC" w:rsidRDefault="00A41BC2">
      <w:pPr>
        <w:pStyle w:val="afffffb"/>
        <w:tabs>
          <w:tab w:val="clear" w:pos="4678"/>
          <w:tab w:val="clear" w:pos="9355"/>
          <w:tab w:val="center" w:pos="4677"/>
          <w:tab w:val="right" w:leader="middleDot" w:pos="9354"/>
        </w:tabs>
        <w:rPr>
          <w:rFonts w:hint="default"/>
        </w:rPr>
      </w:pPr>
      <w:r>
        <w:rPr>
          <w:rFonts w:hint="default"/>
        </w:rPr>
        <w:tab/>
      </w:r>
      <w:r w:rsidR="001A3D7F" w:rsidRPr="001A3D7F">
        <w:rPr>
          <w:position w:val="-30"/>
        </w:rPr>
        <w:object w:dxaOrig="1300" w:dyaOrig="680" w14:anchorId="01747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34pt" o:ole="">
            <v:imagedata r:id="rId10" o:title=""/>
          </v:shape>
          <o:OLEObject Type="Embed" ProgID="Equation.DSMT4" ShapeID="_x0000_i1025" DrawAspect="Content" ObjectID="_1791878108" r:id="rId11"/>
        </w:object>
      </w:r>
      <w:r>
        <w:rPr>
          <w:rFonts w:hint="default"/>
        </w:rPr>
        <w:tab/>
      </w:r>
      <w:r>
        <w:t>(A.</w:t>
      </w:r>
      <w:r>
        <w:rPr>
          <w:rFonts w:hint="default"/>
        </w:rPr>
        <w:fldChar w:fldCharType="begin"/>
      </w:r>
      <w:r>
        <w:rPr>
          <w:rFonts w:hint="default"/>
        </w:rPr>
        <w:instrText xml:space="preserve"> </w:instrText>
      </w:r>
      <w:r>
        <w:instrText xml:space="preserve">AUTONUM  \* Arabic </w:instrText>
      </w:r>
      <w:r>
        <w:rPr>
          <w:rFonts w:hint="default"/>
        </w:rPr>
        <w:instrText xml:space="preserve"> </w:instrText>
      </w:r>
      <w:r>
        <w:rPr>
          <w:rFonts w:hint="default"/>
        </w:rPr>
        <w:fldChar w:fldCharType="end"/>
      </w:r>
      <w:r>
        <w:rPr>
          <w:rFonts w:hint="default"/>
        </w:rPr>
        <w:t>)</w:t>
      </w:r>
    </w:p>
    <w:p w14:paraId="63FBACE6" w14:textId="77777777" w:rsidR="001A7DDC" w:rsidRDefault="00A41BC2">
      <w:pPr>
        <w:pStyle w:val="afffffa"/>
        <w:ind w:firstLine="420"/>
        <w:rPr>
          <w:rFonts w:hint="default"/>
        </w:rPr>
      </w:pPr>
      <w:r>
        <w:t>式中：</w:t>
      </w:r>
    </w:p>
    <w:p w14:paraId="4924E5D2" w14:textId="0231D7AB" w:rsidR="001A7DDC" w:rsidRDefault="001A3D7F">
      <w:pPr>
        <w:pStyle w:val="affc"/>
        <w:ind w:firstLine="420"/>
        <w:rPr>
          <w:rFonts w:hint="default"/>
        </w:rPr>
      </w:pPr>
      <w:r w:rsidRPr="001A3D7F">
        <w:rPr>
          <w:rFonts w:ascii="Times New Roman" w:cs="Times New Roman" w:hint="default"/>
          <w:i/>
          <w:iCs/>
          <w:lang w:bidi="ar"/>
        </w:rPr>
        <w:t>t</w:t>
      </w:r>
      <w:r w:rsidR="00A41BC2">
        <w:rPr>
          <w:lang w:bidi="ar"/>
        </w:rPr>
        <w:t>—煮沸消毒保持时间，单位</w:t>
      </w:r>
      <w:r w:rsidR="004C195C">
        <w:rPr>
          <w:lang w:bidi="ar"/>
        </w:rPr>
        <w:t>：</w:t>
      </w:r>
      <w:r w:rsidR="00A41BC2">
        <w:rPr>
          <w:lang w:bidi="ar"/>
        </w:rPr>
        <w:t>min</w:t>
      </w:r>
      <w:r w:rsidR="004C195C">
        <w:rPr>
          <w:lang w:bidi="ar"/>
        </w:rPr>
        <w:t>；</w:t>
      </w:r>
    </w:p>
    <w:p w14:paraId="27918334" w14:textId="155B9F7A" w:rsidR="001A7DDC" w:rsidRDefault="00A41BC2">
      <w:pPr>
        <w:pStyle w:val="affc"/>
        <w:ind w:firstLine="420"/>
        <w:rPr>
          <w:rFonts w:hint="default"/>
          <w:color w:val="000000"/>
        </w:rPr>
      </w:pPr>
      <w:r w:rsidRPr="001A3D7F">
        <w:rPr>
          <w:rFonts w:ascii="Times New Roman" w:cs="Times New Roman" w:hint="default"/>
          <w:i/>
          <w:iCs/>
          <w:lang w:bidi="ar"/>
        </w:rPr>
        <w:t>h</w:t>
      </w:r>
      <w:r w:rsidR="001A3D7F">
        <w:rPr>
          <w:rFonts w:ascii="Times New Roman" w:cs="Times New Roman"/>
          <w:vertAlign w:val="subscript"/>
          <w:lang w:bidi="ar"/>
        </w:rPr>
        <w:t>1</w:t>
      </w:r>
      <w:r>
        <w:rPr>
          <w:color w:val="000000"/>
          <w:lang w:bidi="ar"/>
        </w:rPr>
        <w:t>—海拔高度，单位</w:t>
      </w:r>
      <w:r w:rsidR="004C195C">
        <w:rPr>
          <w:color w:val="000000"/>
          <w:lang w:bidi="ar"/>
        </w:rPr>
        <w:t>：</w:t>
      </w:r>
      <w:r>
        <w:rPr>
          <w:color w:val="000000"/>
          <w:lang w:bidi="ar"/>
        </w:rPr>
        <w:t>m</w:t>
      </w:r>
      <w:r w:rsidR="004C195C">
        <w:rPr>
          <w:color w:val="000000"/>
          <w:lang w:bidi="ar"/>
        </w:rPr>
        <w:t>；</w:t>
      </w:r>
    </w:p>
    <w:p w14:paraId="14633A89" w14:textId="41E563C4" w:rsidR="001A7DDC" w:rsidRDefault="001A3D7F">
      <w:pPr>
        <w:pStyle w:val="aff8"/>
        <w:widowControl/>
        <w:ind w:firstLineChars="200" w:firstLine="420"/>
        <w:rPr>
          <w:rFonts w:hint="default"/>
          <w:color w:val="000000"/>
        </w:rPr>
      </w:pPr>
      <w:r w:rsidRPr="001A3D7F">
        <w:rPr>
          <w:rFonts w:ascii="Times New Roman" w:cs="Times New Roman" w:hint="default"/>
          <w:i/>
          <w:iCs/>
          <w:color w:val="000000"/>
          <w:kern w:val="0"/>
          <w:sz w:val="21"/>
          <w:szCs w:val="20"/>
          <w:lang w:bidi="ar"/>
        </w:rPr>
        <w:t>h</w:t>
      </w:r>
      <w:r w:rsidRPr="001A3D7F">
        <w:rPr>
          <w:rFonts w:ascii="Times New Roman" w:cs="Times New Roman" w:hint="default"/>
          <w:color w:val="000000"/>
          <w:kern w:val="0"/>
          <w:sz w:val="21"/>
          <w:szCs w:val="20"/>
          <w:vertAlign w:val="subscript"/>
          <w:lang w:bidi="ar"/>
        </w:rPr>
        <w:t>2</w:t>
      </w:r>
      <w:r w:rsidR="00A41BC2">
        <w:rPr>
          <w:color w:val="000000"/>
          <w:kern w:val="0"/>
          <w:sz w:val="21"/>
          <w:szCs w:val="20"/>
          <w:lang w:bidi="ar"/>
        </w:rPr>
        <w:t>—海拔每增</w:t>
      </w:r>
      <w:r w:rsidR="004C195C">
        <w:rPr>
          <w:color w:val="000000"/>
          <w:kern w:val="0"/>
          <w:sz w:val="21"/>
          <w:szCs w:val="20"/>
          <w:lang w:bidi="ar"/>
        </w:rPr>
        <w:t>高的高度300，单位：m</w:t>
      </w:r>
      <w:r w:rsidR="00A41BC2">
        <w:rPr>
          <w:color w:val="000000"/>
          <w:kern w:val="0"/>
          <w:sz w:val="21"/>
          <w:szCs w:val="20"/>
          <w:lang w:bidi="ar"/>
        </w:rPr>
        <w:t>；</w:t>
      </w:r>
    </w:p>
    <w:p w14:paraId="3DC948AD" w14:textId="3937D159" w:rsidR="001A7DDC" w:rsidRDefault="00B1549B">
      <w:pPr>
        <w:pStyle w:val="aff8"/>
        <w:widowControl/>
        <w:ind w:firstLineChars="200" w:firstLine="420"/>
        <w:rPr>
          <w:rFonts w:hint="default"/>
          <w:color w:val="000000"/>
        </w:rPr>
      </w:pPr>
      <w:r w:rsidRPr="00B1549B">
        <w:rPr>
          <w:rFonts w:ascii="Times New Roman" w:cs="Times New Roman"/>
          <w:i/>
          <w:iCs/>
          <w:color w:val="000000"/>
          <w:kern w:val="0"/>
          <w:sz w:val="21"/>
          <w:szCs w:val="20"/>
          <w:lang w:bidi="ar"/>
        </w:rPr>
        <w:t>t</w:t>
      </w:r>
      <w:r w:rsidRPr="00B1549B">
        <w:rPr>
          <w:color w:val="000000"/>
          <w:kern w:val="0"/>
          <w:sz w:val="21"/>
          <w:szCs w:val="20"/>
          <w:vertAlign w:val="subscript"/>
          <w:lang w:bidi="ar"/>
        </w:rPr>
        <w:t>1</w:t>
      </w:r>
      <w:r w:rsidR="00A41BC2">
        <w:rPr>
          <w:color w:val="000000"/>
          <w:kern w:val="0"/>
          <w:sz w:val="21"/>
          <w:szCs w:val="20"/>
          <w:lang w:bidi="ar"/>
        </w:rPr>
        <w:t>—</w:t>
      </w:r>
      <w:r w:rsidR="004C195C">
        <w:rPr>
          <w:color w:val="000000"/>
          <w:kern w:val="0"/>
          <w:sz w:val="21"/>
          <w:szCs w:val="20"/>
          <w:lang w:bidi="ar"/>
        </w:rPr>
        <w:t>海拔每增高300m,</w:t>
      </w:r>
      <w:r w:rsidR="00A41BC2">
        <w:rPr>
          <w:color w:val="000000"/>
          <w:kern w:val="0"/>
          <w:sz w:val="21"/>
          <w:szCs w:val="20"/>
          <w:lang w:bidi="ar"/>
        </w:rPr>
        <w:t>消毒需延长</w:t>
      </w:r>
      <w:r w:rsidR="004C195C">
        <w:rPr>
          <w:color w:val="000000"/>
          <w:kern w:val="0"/>
          <w:sz w:val="21"/>
          <w:szCs w:val="20"/>
          <w:lang w:bidi="ar"/>
        </w:rPr>
        <w:t>的时间2，单位：min</w:t>
      </w:r>
      <w:r w:rsidR="00A41BC2">
        <w:rPr>
          <w:color w:val="000000"/>
          <w:kern w:val="0"/>
          <w:sz w:val="21"/>
          <w:szCs w:val="20"/>
          <w:lang w:bidi="ar"/>
        </w:rPr>
        <w:t>；</w:t>
      </w:r>
    </w:p>
    <w:p w14:paraId="6DF5E372" w14:textId="1B129DB9" w:rsidR="001A7DDC" w:rsidRDefault="00B1549B">
      <w:pPr>
        <w:pStyle w:val="aff8"/>
        <w:widowControl/>
        <w:ind w:firstLineChars="200" w:firstLine="420"/>
        <w:rPr>
          <w:rFonts w:hint="default"/>
          <w:color w:val="000000"/>
        </w:rPr>
      </w:pPr>
      <w:r w:rsidRPr="00B1549B">
        <w:rPr>
          <w:rFonts w:ascii="Times New Roman" w:cs="Times New Roman"/>
          <w:i/>
          <w:iCs/>
          <w:color w:val="000000"/>
          <w:kern w:val="0"/>
          <w:sz w:val="21"/>
          <w:szCs w:val="20"/>
          <w:lang w:bidi="ar"/>
        </w:rPr>
        <w:t>t</w:t>
      </w:r>
      <w:r w:rsidRPr="00B1549B">
        <w:rPr>
          <w:rFonts w:ascii="Times New Roman" w:cs="Times New Roman"/>
          <w:color w:val="000000"/>
          <w:kern w:val="0"/>
          <w:sz w:val="21"/>
          <w:szCs w:val="20"/>
          <w:vertAlign w:val="subscript"/>
          <w:lang w:bidi="ar"/>
        </w:rPr>
        <w:t>2</w:t>
      </w:r>
      <w:r w:rsidR="00A41BC2">
        <w:rPr>
          <w:color w:val="000000"/>
          <w:kern w:val="0"/>
          <w:sz w:val="21"/>
          <w:szCs w:val="20"/>
          <w:lang w:bidi="ar"/>
        </w:rPr>
        <w:t>—在1个标准大气压下，</w:t>
      </w:r>
      <w:r w:rsidR="004C195C">
        <w:rPr>
          <w:color w:val="000000"/>
          <w:kern w:val="0"/>
          <w:sz w:val="21"/>
          <w:szCs w:val="20"/>
          <w:lang w:bidi="ar"/>
        </w:rPr>
        <w:t>加热煮沸后维持的时间15</w:t>
      </w:r>
      <w:r w:rsidR="00A41BC2">
        <w:rPr>
          <w:color w:val="000000"/>
          <w:kern w:val="0"/>
          <w:sz w:val="21"/>
          <w:szCs w:val="20"/>
          <w:lang w:bidi="ar"/>
        </w:rPr>
        <w:t>，单位:min。</w:t>
      </w:r>
    </w:p>
    <w:p w14:paraId="0D237B03" w14:textId="77777777" w:rsidR="001A7DDC" w:rsidRDefault="00A41BC2">
      <w:pPr>
        <w:pStyle w:val="af2"/>
        <w:spacing w:before="156" w:after="156"/>
        <w:rPr>
          <w:color w:val="000000" w:themeColor="text1"/>
        </w:rPr>
      </w:pPr>
      <w:r>
        <w:rPr>
          <w:color w:val="000000" w:themeColor="text1"/>
        </w:rPr>
        <w:t>煮沸消毒注意事项</w:t>
      </w:r>
    </w:p>
    <w:p w14:paraId="2532D977" w14:textId="77777777" w:rsidR="001A7DDC" w:rsidRDefault="00A41BC2">
      <w:pPr>
        <w:pStyle w:val="afffff5"/>
        <w:tabs>
          <w:tab w:val="left" w:pos="0"/>
        </w:tabs>
        <w:spacing w:beforeLines="0" w:before="0" w:afterLines="0" w:after="0"/>
        <w:rPr>
          <w:color w:val="000000" w:themeColor="text1"/>
        </w:rPr>
      </w:pPr>
      <w:r>
        <w:rPr>
          <w:color w:val="000000" w:themeColor="text1"/>
        </w:rPr>
        <w:t>物品需洗净、浸没，水不能太满。为了去除有机物、提高消毒效果，消毒物品煮沸前需清洗干净，煮沸时浸没在水里，不宜放置太多，最好不超过容器容积的3/4。</w:t>
      </w:r>
    </w:p>
    <w:p w14:paraId="2ACD66A0" w14:textId="77777777" w:rsidR="001A7DDC" w:rsidRDefault="00A41BC2">
      <w:pPr>
        <w:pStyle w:val="afffff5"/>
        <w:tabs>
          <w:tab w:val="left" w:pos="0"/>
        </w:tabs>
        <w:spacing w:beforeLines="0" w:before="0" w:afterLines="0" w:after="0"/>
        <w:rPr>
          <w:color w:val="000000" w:themeColor="text1"/>
        </w:rPr>
      </w:pPr>
      <w:r>
        <w:rPr>
          <w:color w:val="000000" w:themeColor="text1"/>
        </w:rPr>
        <w:t>放入新物要再次煮沸，重新计时。如煮沸途中加入新的物品或其他原因造成温度降低，应再次煮沸后重新计时。</w:t>
      </w:r>
    </w:p>
    <w:p w14:paraId="24E6CB0A" w14:textId="77777777" w:rsidR="001A7DDC" w:rsidRDefault="00A41BC2">
      <w:pPr>
        <w:pStyle w:val="afffff5"/>
        <w:tabs>
          <w:tab w:val="left" w:pos="0"/>
        </w:tabs>
        <w:spacing w:beforeLines="0" w:before="0" w:afterLines="0" w:after="0"/>
        <w:rPr>
          <w:color w:val="000000" w:themeColor="text1"/>
        </w:rPr>
      </w:pPr>
      <w:r>
        <w:rPr>
          <w:color w:val="000000" w:themeColor="text1"/>
        </w:rPr>
        <w:t>高海拔地区要增加消毒时间或加压消毒。水的沸点受气压影响，海拔高的地区沸点较低，煮沸时应增加消毒时间或使用高压锅保证消毒温度。</w:t>
      </w:r>
    </w:p>
    <w:p w14:paraId="4507F9FA" w14:textId="77777777" w:rsidR="001A7DDC" w:rsidRDefault="001A7DDC">
      <w:pPr>
        <w:pStyle w:val="affc"/>
        <w:ind w:firstLine="420"/>
        <w:rPr>
          <w:rFonts w:hint="default"/>
          <w:color w:val="000000" w:themeColor="text1"/>
        </w:rPr>
      </w:pPr>
    </w:p>
    <w:p w14:paraId="5E0DC043" w14:textId="77777777" w:rsidR="001A7DDC" w:rsidRDefault="00A41BC2">
      <w:pPr>
        <w:rPr>
          <w:rFonts w:hint="default"/>
          <w:color w:val="000000" w:themeColor="text1"/>
        </w:rPr>
      </w:pPr>
      <w:r>
        <w:rPr>
          <w:color w:val="000000" w:themeColor="text1"/>
        </w:rPr>
        <w:br w:type="page"/>
      </w:r>
    </w:p>
    <w:p w14:paraId="5095BF61" w14:textId="77777777" w:rsidR="001A7DDC" w:rsidRDefault="001A7DDC">
      <w:pPr>
        <w:pStyle w:val="ae"/>
        <w:ind w:firstLine="40"/>
        <w:rPr>
          <w:rFonts w:hint="default"/>
          <w:color w:val="000000" w:themeColor="text1"/>
        </w:rPr>
      </w:pPr>
    </w:p>
    <w:p w14:paraId="1BDBBB71" w14:textId="77777777" w:rsidR="001A7DDC" w:rsidRDefault="001A7DDC">
      <w:pPr>
        <w:pStyle w:val="ac"/>
        <w:ind w:firstLine="40"/>
        <w:rPr>
          <w:rFonts w:hint="default"/>
          <w:color w:val="000000" w:themeColor="text1"/>
        </w:rPr>
      </w:pPr>
    </w:p>
    <w:p w14:paraId="57B2914D" w14:textId="77777777" w:rsidR="001A7DDC" w:rsidRDefault="00A41BC2">
      <w:pPr>
        <w:pStyle w:val="af1"/>
        <w:spacing w:before="78" w:after="156"/>
        <w:rPr>
          <w:color w:val="000000" w:themeColor="text1"/>
        </w:rPr>
      </w:pPr>
      <w:bookmarkStart w:id="87" w:name="_Toc26942"/>
      <w:bookmarkStart w:id="88" w:name="_Toc16496"/>
      <w:bookmarkStart w:id="89" w:name="_Toc19405"/>
      <w:r>
        <w:rPr>
          <w:color w:val="000000" w:themeColor="text1"/>
        </w:rPr>
        <w:br/>
      </w:r>
      <w:bookmarkStart w:id="90" w:name="_Toc181191944"/>
      <w:bookmarkStart w:id="91" w:name="_Toc181191924"/>
      <w:bookmarkStart w:id="92" w:name="_Toc181191986"/>
      <w:r>
        <w:rPr>
          <w:color w:val="000000" w:themeColor="text1"/>
        </w:rPr>
        <w:t>（资料性）</w:t>
      </w:r>
      <w:r>
        <w:rPr>
          <w:color w:val="000000" w:themeColor="text1"/>
        </w:rPr>
        <w:br/>
        <w:t>常用化学消毒剂及使用注意事项</w:t>
      </w:r>
      <w:bookmarkEnd w:id="87"/>
      <w:bookmarkEnd w:id="88"/>
      <w:bookmarkEnd w:id="89"/>
      <w:bookmarkEnd w:id="90"/>
      <w:bookmarkEnd w:id="91"/>
      <w:bookmarkEnd w:id="92"/>
    </w:p>
    <w:p w14:paraId="787D1A1A" w14:textId="77777777" w:rsidR="001A7DDC" w:rsidRDefault="00A41BC2">
      <w:pPr>
        <w:pStyle w:val="af2"/>
        <w:spacing w:before="156" w:after="156"/>
        <w:rPr>
          <w:color w:val="000000" w:themeColor="text1"/>
        </w:rPr>
      </w:pPr>
      <w:r>
        <w:rPr>
          <w:color w:val="000000" w:themeColor="text1"/>
        </w:rPr>
        <w:t>常用化学消毒剂</w:t>
      </w:r>
    </w:p>
    <w:p w14:paraId="725F3D32" w14:textId="77777777" w:rsidR="001A7DDC" w:rsidRDefault="00A41BC2">
      <w:pPr>
        <w:pStyle w:val="af3"/>
        <w:spacing w:before="156" w:after="156"/>
        <w:rPr>
          <w:color w:val="000000" w:themeColor="text1"/>
        </w:rPr>
      </w:pPr>
      <w:r>
        <w:rPr>
          <w:color w:val="000000" w:themeColor="text1"/>
        </w:rPr>
        <w:t>漂白粉</w:t>
      </w:r>
    </w:p>
    <w:p w14:paraId="4ABB9AC7" w14:textId="77777777" w:rsidR="001A7DDC" w:rsidRDefault="00A41BC2">
      <w:pPr>
        <w:spacing w:line="276" w:lineRule="auto"/>
        <w:ind w:firstLineChars="200" w:firstLine="420"/>
        <w:rPr>
          <w:rFonts w:hint="default"/>
          <w:color w:val="000000" w:themeColor="text1"/>
        </w:rPr>
      </w:pPr>
      <w:r>
        <w:rPr>
          <w:color w:val="000000" w:themeColor="text1"/>
        </w:rPr>
        <w:t>漂白粉在水中溶解后释放出活性氯，具有强力的氧化性，可以有效地杀灭细菌。可用于环境、操作台、设备、餐饮具等的涂擦和浸泡消毒。</w:t>
      </w:r>
    </w:p>
    <w:p w14:paraId="1A2DA8A0" w14:textId="77777777" w:rsidR="001A7DDC" w:rsidRDefault="00A41BC2">
      <w:pPr>
        <w:pStyle w:val="af3"/>
        <w:tabs>
          <w:tab w:val="left" w:pos="0"/>
        </w:tabs>
        <w:spacing w:before="156" w:after="156"/>
        <w:rPr>
          <w:color w:val="000000" w:themeColor="text1"/>
        </w:rPr>
      </w:pPr>
      <w:r>
        <w:rPr>
          <w:color w:val="000000" w:themeColor="text1"/>
        </w:rPr>
        <w:t>次氯酸钠</w:t>
      </w:r>
    </w:p>
    <w:p w14:paraId="64AABDEA" w14:textId="77777777" w:rsidR="001A7DDC" w:rsidRDefault="00A41BC2">
      <w:pPr>
        <w:spacing w:line="276" w:lineRule="auto"/>
        <w:ind w:firstLineChars="200" w:firstLine="420"/>
        <w:rPr>
          <w:rFonts w:hint="default"/>
          <w:color w:val="000000" w:themeColor="text1"/>
        </w:rPr>
      </w:pPr>
      <w:r>
        <w:rPr>
          <w:color w:val="000000" w:themeColor="text1"/>
        </w:rPr>
        <w:t>次氯酸钠通常以固体形式存在，将适量的次氯酸钠溶解在水中，将餐具或表面浸泡在次氯酸钠溶液中。使用范围同漂白粉。</w:t>
      </w:r>
    </w:p>
    <w:p w14:paraId="0544B844" w14:textId="77777777" w:rsidR="001A7DDC" w:rsidRDefault="00A41BC2">
      <w:pPr>
        <w:pStyle w:val="af3"/>
        <w:spacing w:before="156" w:after="156"/>
        <w:rPr>
          <w:color w:val="000000" w:themeColor="text1"/>
        </w:rPr>
      </w:pPr>
      <w:bookmarkStart w:id="93" w:name="_Hlk181181201"/>
      <w:r>
        <w:rPr>
          <w:color w:val="000000" w:themeColor="text1"/>
        </w:rPr>
        <w:t>次氯酸钙（漂粉精）、</w:t>
      </w:r>
      <w:bookmarkEnd w:id="93"/>
      <w:r>
        <w:rPr>
          <w:color w:val="000000" w:themeColor="text1"/>
        </w:rPr>
        <w:t>二氯异氰尿酸钠（优氯净）、三氯异氰尿酸（强氯精）</w:t>
      </w:r>
    </w:p>
    <w:p w14:paraId="385DBEA7" w14:textId="77777777" w:rsidR="001A7DDC" w:rsidRDefault="00A41BC2">
      <w:pPr>
        <w:pStyle w:val="affc"/>
        <w:ind w:firstLine="420"/>
        <w:rPr>
          <w:rFonts w:hint="default"/>
          <w:color w:val="000000" w:themeColor="text1"/>
        </w:rPr>
      </w:pPr>
      <w:r>
        <w:rPr>
          <w:color w:val="000000" w:themeColor="text1"/>
        </w:rPr>
        <w:t>次氯酸钙（漂粉精）、二氯异氰尿酸钠、三氯异氰尿酸是固体消毒剂，通常以颗粒或片剂形式供应，使用过程中按照产品说明，完全溶解。使用范围同漂白粉。</w:t>
      </w:r>
    </w:p>
    <w:p w14:paraId="7F67DE1D" w14:textId="77777777" w:rsidR="001A7DDC" w:rsidRDefault="00A41BC2">
      <w:pPr>
        <w:pStyle w:val="af3"/>
        <w:tabs>
          <w:tab w:val="left" w:pos="0"/>
        </w:tabs>
        <w:spacing w:before="156" w:after="156"/>
        <w:rPr>
          <w:color w:val="000000" w:themeColor="text1"/>
        </w:rPr>
      </w:pPr>
      <w:r>
        <w:rPr>
          <w:color w:val="000000" w:themeColor="text1"/>
        </w:rPr>
        <w:t>二氧化氯</w:t>
      </w:r>
    </w:p>
    <w:p w14:paraId="4EC0E962" w14:textId="77777777" w:rsidR="001A7DDC" w:rsidRDefault="00A41BC2">
      <w:pPr>
        <w:spacing w:line="276" w:lineRule="auto"/>
        <w:ind w:firstLineChars="200" w:firstLine="420"/>
        <w:rPr>
          <w:rFonts w:hint="default"/>
          <w:color w:val="000000" w:themeColor="text1"/>
        </w:rPr>
      </w:pPr>
      <w:r>
        <w:rPr>
          <w:color w:val="000000" w:themeColor="text1"/>
        </w:rPr>
        <w:t>二氧化氯活化溶液不稳定，应现用现配。配制溶液时，忌与碱或有机物相混合。二氧化氯对金属制品有腐蚀性，金属制品消毒后，应迅速用清水清洗干净。使用范围同漂白粉。</w:t>
      </w:r>
    </w:p>
    <w:p w14:paraId="59C62F57" w14:textId="77777777" w:rsidR="001A7DDC" w:rsidRDefault="00A41BC2">
      <w:pPr>
        <w:pStyle w:val="af2"/>
        <w:spacing w:before="156" w:after="156"/>
        <w:rPr>
          <w:color w:val="000000" w:themeColor="text1"/>
        </w:rPr>
      </w:pPr>
      <w:r>
        <w:rPr>
          <w:color w:val="000000" w:themeColor="text1"/>
        </w:rPr>
        <w:t>消毒方法</w:t>
      </w:r>
    </w:p>
    <w:p w14:paraId="2312F52C" w14:textId="77777777" w:rsidR="001A7DDC" w:rsidRDefault="00A41BC2">
      <w:pPr>
        <w:pStyle w:val="afffff5"/>
        <w:spacing w:beforeLines="0" w:before="0" w:afterLines="0" w:after="0"/>
        <w:rPr>
          <w:color w:val="000000" w:themeColor="text1"/>
        </w:rPr>
      </w:pPr>
      <w:r>
        <w:rPr>
          <w:color w:val="000000" w:themeColor="text1"/>
        </w:rPr>
        <w:t>使用含氯消毒剂（不包括二氧化氯消毒剂）的，消毒液的有效氯浓度宜在250mg/L以上，浸泡时间5min以上。</w:t>
      </w:r>
    </w:p>
    <w:p w14:paraId="29546749" w14:textId="77777777" w:rsidR="001A7DDC" w:rsidRDefault="00A41BC2">
      <w:pPr>
        <w:pStyle w:val="afffff5"/>
        <w:spacing w:beforeLines="0" w:before="0" w:afterLines="0" w:after="0"/>
        <w:rPr>
          <w:color w:val="000000" w:themeColor="text1"/>
        </w:rPr>
      </w:pPr>
      <w:r>
        <w:rPr>
          <w:color w:val="000000" w:themeColor="text1"/>
        </w:rPr>
        <w:t>使用二氧化氯消毒剂消毒的，消毒液的有效氯浓度宜在100 mg/L～150mg/L，浸泡时间宜为10min～20 min。</w:t>
      </w:r>
    </w:p>
    <w:p w14:paraId="260B2E3E" w14:textId="77777777" w:rsidR="001A7DDC" w:rsidRDefault="00A41BC2">
      <w:pPr>
        <w:pStyle w:val="af2"/>
        <w:spacing w:before="156" w:after="156"/>
        <w:rPr>
          <w:color w:val="000000" w:themeColor="text1"/>
        </w:rPr>
      </w:pPr>
      <w:r>
        <w:rPr>
          <w:color w:val="000000" w:themeColor="text1"/>
        </w:rPr>
        <w:t>化学消毒注意事项</w:t>
      </w:r>
    </w:p>
    <w:p w14:paraId="15F9C862" w14:textId="77777777" w:rsidR="001A7DDC" w:rsidRDefault="00A41BC2">
      <w:pPr>
        <w:pStyle w:val="afffff5"/>
        <w:spacing w:beforeLines="0" w:before="0" w:afterLines="0" w:after="0"/>
        <w:rPr>
          <w:color w:val="000000" w:themeColor="text1"/>
        </w:rPr>
      </w:pPr>
      <w:r>
        <w:rPr>
          <w:color w:val="000000" w:themeColor="text1"/>
        </w:rPr>
        <w:t xml:space="preserve">使用的消毒剂应处于保质期内，并符合消毒产品相关标准，按照规定的温度等条件贮存。 </w:t>
      </w:r>
    </w:p>
    <w:p w14:paraId="2A89127F" w14:textId="77777777" w:rsidR="001A7DDC" w:rsidRDefault="00A41BC2">
      <w:pPr>
        <w:pStyle w:val="afffff5"/>
        <w:spacing w:beforeLines="0" w:before="0" w:afterLines="0" w:after="0"/>
        <w:rPr>
          <w:color w:val="000000" w:themeColor="text1"/>
        </w:rPr>
      </w:pPr>
      <w:r>
        <w:rPr>
          <w:color w:val="000000" w:themeColor="text1"/>
        </w:rPr>
        <w:t>按照说明使用消毒剂，使用前认真阅读产品说明，严格按照消毒剂使用浓度、使用量及消毒作用时间操作。</w:t>
      </w:r>
    </w:p>
    <w:p w14:paraId="67976322" w14:textId="77777777" w:rsidR="001A7DDC" w:rsidRDefault="00A41BC2">
      <w:pPr>
        <w:pStyle w:val="afffff5"/>
        <w:spacing w:beforeLines="0" w:before="0" w:afterLines="0" w:after="0"/>
        <w:rPr>
          <w:color w:val="000000" w:themeColor="text1"/>
        </w:rPr>
      </w:pPr>
      <w:r>
        <w:rPr>
          <w:color w:val="000000" w:themeColor="text1"/>
        </w:rPr>
        <w:t>在使用过程中保持通风良好，避免吸入气味或有害气体。避免将含氯消毒剂与其他清洁剂混合使用，以免产生有毒气体。</w:t>
      </w:r>
    </w:p>
    <w:p w14:paraId="35C2F6C1" w14:textId="77777777" w:rsidR="001A7DDC" w:rsidRDefault="00A41BC2">
      <w:pPr>
        <w:pStyle w:val="afffff5"/>
        <w:spacing w:beforeLines="0" w:before="0" w:afterLines="0" w:after="0"/>
        <w:rPr>
          <w:color w:val="000000" w:themeColor="text1"/>
        </w:rPr>
      </w:pPr>
      <w:r>
        <w:rPr>
          <w:color w:val="000000" w:themeColor="text1"/>
        </w:rPr>
        <w:t>消毒过程中佩戴手套和口罩等个人防护装备，避免直接接触皮肤和呼吸道。</w:t>
      </w:r>
    </w:p>
    <w:p w14:paraId="13811711" w14:textId="77777777" w:rsidR="001A7DDC" w:rsidRDefault="00A41BC2">
      <w:pPr>
        <w:pStyle w:val="afffff5"/>
        <w:spacing w:beforeLines="0" w:before="0" w:afterLines="0" w:after="0"/>
        <w:rPr>
          <w:color w:val="000000" w:themeColor="text1"/>
        </w:rPr>
      </w:pPr>
      <w:r>
        <w:rPr>
          <w:color w:val="000000" w:themeColor="text1"/>
        </w:rPr>
        <w:t>餐饮具和盛放直接入口食品的容器在消毒前，应先清洗干净，避免油垢影响消毒效果。</w:t>
      </w:r>
    </w:p>
    <w:p w14:paraId="5A5EAF8E" w14:textId="77777777" w:rsidR="001A7DDC" w:rsidRDefault="00A41BC2">
      <w:pPr>
        <w:pStyle w:val="afffff5"/>
        <w:spacing w:beforeLines="0" w:before="0" w:afterLines="0" w:after="0"/>
        <w:rPr>
          <w:color w:val="000000" w:themeColor="text1"/>
        </w:rPr>
      </w:pPr>
      <w:r>
        <w:rPr>
          <w:color w:val="000000" w:themeColor="text1"/>
        </w:rPr>
        <w:t>使用时，定时测量消毒液中有效消毒成分的浓度。有效消毒成分浓度低于要求时，应立即更换消毒液或适量补加消毒剂。</w:t>
      </w:r>
    </w:p>
    <w:p w14:paraId="7D81C641" w14:textId="77777777" w:rsidR="001A7DDC" w:rsidRDefault="00A41BC2">
      <w:pPr>
        <w:pStyle w:val="afffffd"/>
        <w:framePr w:wrap="around"/>
        <w:rPr>
          <w:rFonts w:hint="default"/>
          <w:color w:val="000000" w:themeColor="text1"/>
        </w:rPr>
      </w:pPr>
      <w:r>
        <w:rPr>
          <w:noProof/>
          <w:color w:val="000000" w:themeColor="text1"/>
        </w:rPr>
        <w:drawing>
          <wp:inline distT="0" distB="0" distL="0" distR="0" wp14:anchorId="6C7B9060" wp14:editId="5B5EA78A">
            <wp:extent cx="1746250" cy="139700"/>
            <wp:effectExtent l="0" t="0" r="6350" b="0"/>
            <wp:docPr id="111032902" name="图片 4"/>
            <wp:cNvGraphicFramePr/>
            <a:graphic xmlns:a="http://schemas.openxmlformats.org/drawingml/2006/main">
              <a:graphicData uri="http://schemas.openxmlformats.org/drawingml/2006/picture">
                <pic:pic xmlns:pic="http://schemas.openxmlformats.org/drawingml/2006/picture">
                  <pic:nvPicPr>
                    <pic:cNvPr id="111032902" name="图片 4"/>
                    <pic:cNvPicPr/>
                  </pic:nvPicPr>
                  <pic:blipFill>
                    <a:blip r:embed="rId12">
                      <a:extLst>
                        <a:ext uri="{28A0092B-C50C-407E-A947-70E740481C1C}">
                          <a14:useLocalDpi xmlns:a14="http://schemas.microsoft.com/office/drawing/2010/main" val="0"/>
                        </a:ext>
                      </a:extLst>
                    </a:blip>
                    <a:stretch>
                      <a:fillRect/>
                    </a:stretch>
                  </pic:blipFill>
                  <pic:spPr>
                    <a:xfrm>
                      <a:off x="0" y="0"/>
                      <a:ext cx="1770825" cy="141666"/>
                    </a:xfrm>
                    <a:prstGeom prst="rect">
                      <a:avLst/>
                    </a:prstGeom>
                  </pic:spPr>
                </pic:pic>
              </a:graphicData>
            </a:graphic>
          </wp:inline>
        </w:drawing>
      </w:r>
      <w:r>
        <w:rPr>
          <w:color w:val="000000" w:themeColor="text1"/>
        </w:rPr>
        <w:t xml:space="preserve">             </w:t>
      </w:r>
      <w:bookmarkEnd w:id="80"/>
    </w:p>
    <w:sectPr w:rsidR="001A7DDC">
      <w:pgSz w:w="11906" w:h="16838"/>
      <w:pgMar w:top="2410" w:right="1134" w:bottom="1134" w:left="1134" w:header="1418" w:footer="1134" w:gutter="284"/>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FF2C6" w14:textId="77777777" w:rsidR="008177DB" w:rsidRDefault="008177DB">
      <w:pPr>
        <w:rPr>
          <w:rFonts w:hint="default"/>
        </w:rPr>
      </w:pPr>
      <w:r>
        <w:separator/>
      </w:r>
    </w:p>
  </w:endnote>
  <w:endnote w:type="continuationSeparator" w:id="0">
    <w:p w14:paraId="1ABA1C38" w14:textId="77777777" w:rsidR="008177DB" w:rsidRDefault="008177D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CBC2F" w14:textId="77777777" w:rsidR="001A7DDC" w:rsidRDefault="00A41BC2">
    <w:pPr>
      <w:pStyle w:val="afff"/>
      <w:rPr>
        <w:rFonts w:hint="default"/>
      </w:rP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AC5FF" w14:textId="77777777" w:rsidR="008177DB" w:rsidRDefault="008177DB">
      <w:pPr>
        <w:rPr>
          <w:rFonts w:hint="default"/>
        </w:rPr>
      </w:pPr>
      <w:r>
        <w:separator/>
      </w:r>
    </w:p>
  </w:footnote>
  <w:footnote w:type="continuationSeparator" w:id="0">
    <w:p w14:paraId="1858091A" w14:textId="77777777" w:rsidR="008177DB" w:rsidRDefault="008177DB">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96A56" w14:textId="77777777" w:rsidR="001A7DDC" w:rsidRDefault="00A41BC2">
    <w:pPr>
      <w:pStyle w:val="afff0"/>
      <w:rPr>
        <w:rFonts w:hint="default"/>
      </w:rPr>
    </w:pPr>
    <w:r>
      <w:t>DBXX/T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30BD95"/>
    <w:multiLevelType w:val="multilevel"/>
    <w:tmpl w:val="8A30BD95"/>
    <w:lvl w:ilvl="0">
      <w:start w:val="1"/>
      <w:numFmt w:val="decimal"/>
      <w:pStyle w:val="a"/>
      <w:suff w:val="nothing"/>
      <w:lvlText w:val="注%1："/>
      <w:lvlJc w:val="left"/>
      <w:pPr>
        <w:ind w:left="811" w:hanging="448"/>
      </w:pPr>
      <w:rPr>
        <w:rFonts w:ascii="黑体" w:eastAsia="黑体" w:hAnsi="黑体" w:cs="黑体" w:hint="eastAsia"/>
        <w:sz w:val="18"/>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15:restartNumberingAfterBreak="0">
    <w:nsid w:val="AB1917FE"/>
    <w:multiLevelType w:val="multilevel"/>
    <w:tmpl w:val="AB1917FE"/>
    <w:lvl w:ilvl="0">
      <w:start w:val="1"/>
      <w:numFmt w:val="decimal"/>
      <w:pStyle w:val="a0"/>
      <w:suff w:val="nothing"/>
      <w:lvlText w:val="图%1  "/>
      <w:lvlJc w:val="left"/>
      <w:pPr>
        <w:tabs>
          <w:tab w:val="left" w:pos="539"/>
        </w:tabs>
        <w:ind w:left="0" w:firstLine="0"/>
      </w:pPr>
      <w:rPr>
        <w:rFonts w:ascii="黑体" w:eastAsia="黑体" w:hAnsi="黑体" w:cs="黑体" w:hint="eastAsia"/>
        <w:sz w:val="21"/>
        <w:vertAlign w:val="baseline"/>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2" w15:restartNumberingAfterBreak="0">
    <w:nsid w:val="AC728BBE"/>
    <w:multiLevelType w:val="multilevel"/>
    <w:tmpl w:val="AC728BBE"/>
    <w:lvl w:ilvl="0">
      <w:start w:val="1"/>
      <w:numFmt w:val="none"/>
      <w:pStyle w:val="a1"/>
      <w:suff w:val="nothing"/>
      <w:lvlText w:val="示例："/>
      <w:lvlJc w:val="left"/>
      <w:pPr>
        <w:ind w:left="0" w:firstLine="363"/>
      </w:pPr>
      <w:rPr>
        <w:rFonts w:ascii="黑体" w:eastAsia="黑体" w:hAnsi="黑体" w:cs="黑体" w:hint="eastAsia"/>
        <w:sz w:val="18"/>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3" w15:restartNumberingAfterBreak="0">
    <w:nsid w:val="BDC554F3"/>
    <w:multiLevelType w:val="multilevel"/>
    <w:tmpl w:val="BDC554F3"/>
    <w:lvl w:ilvl="0">
      <w:start w:val="1"/>
      <w:numFmt w:val="lowerLetter"/>
      <w:pStyle w:val="a2"/>
      <w:lvlText w:val="%1)"/>
      <w:lvlJc w:val="left"/>
      <w:pPr>
        <w:tabs>
          <w:tab w:val="left" w:pos="851"/>
        </w:tabs>
        <w:ind w:left="851" w:hanging="426"/>
      </w:pPr>
      <w:rPr>
        <w:rFonts w:ascii="宋体" w:eastAsia="宋体" w:hAnsi="宋体" w:cs="宋体" w:hint="default"/>
        <w:sz w:val="20"/>
      </w:rPr>
    </w:lvl>
    <w:lvl w:ilvl="1">
      <w:start w:val="1"/>
      <w:numFmt w:val="decimal"/>
      <w:pStyle w:val="a3"/>
      <w:lvlText w:val="%2)"/>
      <w:lvlJc w:val="left"/>
      <w:pPr>
        <w:tabs>
          <w:tab w:val="left" w:pos="1276"/>
        </w:tabs>
        <w:ind w:left="1276" w:hanging="425"/>
      </w:pPr>
      <w:rPr>
        <w:rFonts w:ascii="宋体" w:eastAsia="宋体" w:hAnsi="Times New Roman" w:cs="Times New Roman" w:hint="default"/>
        <w:sz w:val="21"/>
      </w:rPr>
    </w:lvl>
    <w:lvl w:ilvl="2">
      <w:start w:val="1"/>
      <w:numFmt w:val="bullet"/>
      <w:pStyle w:val="a4"/>
      <w:lvlText w:val=""/>
      <w:lvlJc w:val="left"/>
      <w:pPr>
        <w:tabs>
          <w:tab w:val="left" w:pos="1678"/>
        </w:tabs>
        <w:ind w:left="1678" w:hanging="414"/>
      </w:pPr>
      <w:rPr>
        <w:rFonts w:ascii="Symbol" w:hAnsi="Symbol" w:cs="Symbol" w:hint="default"/>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upp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4" w15:restartNumberingAfterBreak="0">
    <w:nsid w:val="C87BF8E8"/>
    <w:multiLevelType w:val="multilevel"/>
    <w:tmpl w:val="C87BF8E8"/>
    <w:lvl w:ilvl="0">
      <w:start w:val="1"/>
      <w:numFmt w:val="none"/>
      <w:pStyle w:val="a5"/>
      <w:lvlText w:val="%1——"/>
      <w:lvlJc w:val="left"/>
      <w:pPr>
        <w:tabs>
          <w:tab w:val="left" w:pos="851"/>
        </w:tabs>
        <w:ind w:left="851" w:hanging="426"/>
      </w:pPr>
      <w:rPr>
        <w:rFonts w:ascii="Times New Roman" w:hAnsi="Times New Roman" w:cs="Times New Roman" w:hint="default"/>
        <w:sz w:val="20"/>
      </w:rPr>
    </w:lvl>
    <w:lvl w:ilvl="1">
      <w:start w:val="1"/>
      <w:numFmt w:val="bullet"/>
      <w:pStyle w:val="2"/>
      <w:lvlText w:val=""/>
      <w:lvlJc w:val="left"/>
      <w:pPr>
        <w:tabs>
          <w:tab w:val="left" w:pos="851"/>
        </w:tabs>
        <w:ind w:left="1270" w:hanging="419"/>
      </w:pPr>
      <w:rPr>
        <w:rFonts w:ascii="Symbol" w:hAnsi="Symbol" w:cs="Symbol" w:hint="default"/>
      </w:rPr>
    </w:lvl>
    <w:lvl w:ilvl="2">
      <w:start w:val="1"/>
      <w:numFmt w:val="bullet"/>
      <w:lvlText w:val=""/>
      <w:lvlJc w:val="left"/>
      <w:pPr>
        <w:tabs>
          <w:tab w:val="left" w:pos="1678"/>
        </w:tabs>
        <w:ind w:left="1678" w:hanging="414"/>
      </w:pPr>
      <w:rPr>
        <w:rFonts w:ascii="Symbol" w:hAnsi="Symbol" w:cs="Symbol" w:hint="default"/>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upp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5" w15:restartNumberingAfterBreak="0">
    <w:nsid w:val="D686A583"/>
    <w:multiLevelType w:val="multilevel"/>
    <w:tmpl w:val="D686A583"/>
    <w:lvl w:ilvl="0">
      <w:start w:val="1"/>
      <w:numFmt w:val="decimal"/>
      <w:pStyle w:val="a6"/>
      <w:suff w:val="nothing"/>
      <w:lvlText w:val="%1　"/>
      <w:lvlJc w:val="left"/>
      <w:pPr>
        <w:ind w:left="0" w:firstLine="0"/>
      </w:pPr>
      <w:rPr>
        <w:rFonts w:ascii="黑体" w:eastAsia="黑体" w:hAnsi="黑体" w:cs="黑体" w:hint="default"/>
        <w:sz w:val="20"/>
      </w:rPr>
    </w:lvl>
    <w:lvl w:ilvl="1">
      <w:start w:val="1"/>
      <w:numFmt w:val="decimal"/>
      <w:pStyle w:val="a7"/>
      <w:suff w:val="nothing"/>
      <w:lvlText w:val="%1.%2　"/>
      <w:lvlJc w:val="left"/>
      <w:pPr>
        <w:ind w:left="0" w:firstLine="0"/>
      </w:pPr>
      <w:rPr>
        <w:rFonts w:ascii="黑体" w:eastAsia="黑体" w:hAnsi="黑体" w:cs="黑体" w:hint="default"/>
        <w:sz w:val="20"/>
      </w:rPr>
    </w:lvl>
    <w:lvl w:ilvl="2">
      <w:start w:val="1"/>
      <w:numFmt w:val="decimal"/>
      <w:pStyle w:val="a8"/>
      <w:suff w:val="nothing"/>
      <w:lvlText w:val="%1.%2.%3　"/>
      <w:lvlJc w:val="left"/>
      <w:pPr>
        <w:ind w:left="0" w:firstLine="0"/>
      </w:pPr>
      <w:rPr>
        <w:rFonts w:ascii="黑体" w:eastAsia="黑体" w:hAnsi="黑体" w:cs="黑体" w:hint="default"/>
        <w:sz w:val="20"/>
      </w:rPr>
    </w:lvl>
    <w:lvl w:ilvl="3">
      <w:start w:val="1"/>
      <w:numFmt w:val="decimal"/>
      <w:pStyle w:val="a9"/>
      <w:suff w:val="nothing"/>
      <w:lvlText w:val="%1.%2.%3.%4　"/>
      <w:lvlJc w:val="left"/>
      <w:pPr>
        <w:ind w:left="0" w:firstLine="0"/>
      </w:pPr>
      <w:rPr>
        <w:rFonts w:ascii="黑体" w:eastAsia="黑体" w:hAnsi="黑体" w:cs="黑体" w:hint="default"/>
        <w:sz w:val="20"/>
      </w:rPr>
    </w:lvl>
    <w:lvl w:ilvl="4">
      <w:start w:val="1"/>
      <w:numFmt w:val="decimal"/>
      <w:pStyle w:val="aa"/>
      <w:suff w:val="nothing"/>
      <w:lvlText w:val="%1.%2.%3.%4.%5　"/>
      <w:lvlJc w:val="left"/>
      <w:pPr>
        <w:ind w:left="0" w:firstLine="0"/>
      </w:pPr>
      <w:rPr>
        <w:rFonts w:ascii="黑体" w:eastAsia="黑体" w:hAnsi="黑体" w:cs="黑体" w:hint="default"/>
        <w:sz w:val="20"/>
      </w:rPr>
    </w:lvl>
    <w:lvl w:ilvl="5">
      <w:start w:val="1"/>
      <w:numFmt w:val="decimal"/>
      <w:pStyle w:val="ab"/>
      <w:suff w:val="nothing"/>
      <w:lvlText w:val="%1.%2.%3.%4.%5.%6　"/>
      <w:lvlJc w:val="left"/>
      <w:pPr>
        <w:ind w:left="0" w:firstLine="0"/>
      </w:pPr>
      <w:rPr>
        <w:rFonts w:ascii="黑体" w:eastAsia="黑体" w:hAnsi="黑体" w:cs="黑体" w:hint="default"/>
        <w:sz w:val="20"/>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6" w15:restartNumberingAfterBreak="0">
    <w:nsid w:val="DC905B45"/>
    <w:multiLevelType w:val="multilevel"/>
    <w:tmpl w:val="DC905B45"/>
    <w:lvl w:ilvl="0">
      <w:start w:val="1"/>
      <w:numFmt w:val="upperLetter"/>
      <w:pStyle w:val="ac"/>
      <w:lvlText w:val="%1"/>
      <w:lvlJc w:val="left"/>
      <w:pPr>
        <w:tabs>
          <w:tab w:val="left" w:pos="0"/>
        </w:tabs>
        <w:ind w:left="0" w:firstLine="0"/>
      </w:pPr>
      <w:rPr>
        <w:rFonts w:hint="default"/>
      </w:rPr>
    </w:lvl>
    <w:lvl w:ilvl="1">
      <w:start w:val="1"/>
      <w:numFmt w:val="decimal"/>
      <w:pStyle w:val="ad"/>
      <w:suff w:val="nothing"/>
      <w:lvlText w:val="表%1.%2　"/>
      <w:lvlJc w:val="left"/>
      <w:pPr>
        <w:ind w:left="0" w:firstLine="0"/>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7" w15:restartNumberingAfterBreak="0">
    <w:nsid w:val="E66B5388"/>
    <w:multiLevelType w:val="multilevel"/>
    <w:tmpl w:val="E66B5388"/>
    <w:lvl w:ilvl="0">
      <w:start w:val="1"/>
      <w:numFmt w:val="chineseCountingThousand"/>
      <w:pStyle w:val="1"/>
      <w:suff w:val="nothing"/>
      <w:lvlText w:val="第%1章"/>
      <w:lvlJc w:val="left"/>
      <w:pPr>
        <w:ind w:left="0" w:firstLine="0"/>
      </w:pPr>
      <w:rPr>
        <w:rFonts w:hint="default"/>
      </w:rPr>
    </w:lvl>
    <w:lvl w:ilvl="1">
      <w:start w:val="1"/>
      <w:numFmt w:val="decimal"/>
      <w:suff w:val="nothing"/>
      <w:lvlText w:val="图%1.%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F3A16ADE"/>
    <w:multiLevelType w:val="multilevel"/>
    <w:tmpl w:val="F3A16ADE"/>
    <w:lvl w:ilvl="0">
      <w:start w:val="1"/>
      <w:numFmt w:val="upperLetter"/>
      <w:pStyle w:val="ae"/>
      <w:lvlText w:val="%1"/>
      <w:lvlJc w:val="left"/>
      <w:pPr>
        <w:tabs>
          <w:tab w:val="left" w:pos="0"/>
        </w:tabs>
        <w:ind w:left="0" w:firstLine="0"/>
      </w:pPr>
      <w:rPr>
        <w:rFonts w:hint="default"/>
      </w:rPr>
    </w:lvl>
    <w:lvl w:ilvl="1">
      <w:start w:val="1"/>
      <w:numFmt w:val="decimal"/>
      <w:pStyle w:val="af"/>
      <w:suff w:val="nothing"/>
      <w:lvlText w:val="图%1.%2　"/>
      <w:lvlJc w:val="left"/>
      <w:pPr>
        <w:ind w:left="0" w:firstLine="0"/>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9" w15:restartNumberingAfterBreak="0">
    <w:nsid w:val="060A36F9"/>
    <w:multiLevelType w:val="multilevel"/>
    <w:tmpl w:val="060A36F9"/>
    <w:lvl w:ilvl="0">
      <w:start w:val="1"/>
      <w:numFmt w:val="none"/>
      <w:pStyle w:val="af0"/>
      <w:suff w:val="nothing"/>
      <w:lvlText w:val="注："/>
      <w:lvlJc w:val="left"/>
      <w:pPr>
        <w:ind w:left="737" w:hanging="374"/>
      </w:pPr>
      <w:rPr>
        <w:rFonts w:ascii="黑体" w:eastAsia="黑体" w:hAnsi="黑体" w:cs="黑体" w:hint="eastAsia"/>
        <w:sz w:val="18"/>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0" w15:restartNumberingAfterBreak="0">
    <w:nsid w:val="12A67831"/>
    <w:multiLevelType w:val="multilevel"/>
    <w:tmpl w:val="12A67831"/>
    <w:lvl w:ilvl="0">
      <w:start w:val="1"/>
      <w:numFmt w:val="lowerLetter"/>
      <w:lvlText w:val="%1)"/>
      <w:lvlJc w:val="left"/>
      <w:pPr>
        <w:tabs>
          <w:tab w:val="left" w:pos="850"/>
        </w:tabs>
        <w:ind w:left="850" w:hanging="425"/>
      </w:pPr>
      <w:rPr>
        <w:rFonts w:ascii="宋体" w:eastAsia="宋体" w:hAnsi="宋体" w:cs="Times New Roman" w:hint="eastAsia"/>
        <w:sz w:val="20"/>
      </w:rPr>
    </w:lvl>
    <w:lvl w:ilvl="1">
      <w:start w:val="1"/>
      <w:numFmt w:val="decimal"/>
      <w:lvlText w:val="%2)"/>
      <w:lvlJc w:val="left"/>
      <w:pPr>
        <w:tabs>
          <w:tab w:val="left" w:pos="1276"/>
        </w:tabs>
        <w:ind w:left="1276" w:hanging="426"/>
      </w:pPr>
      <w:rPr>
        <w:rFonts w:ascii="宋体" w:eastAsia="宋体" w:hAnsi="Times New Roman" w:cs="Times New Roman" w:hint="eastAsia"/>
        <w:color w:val="auto"/>
        <w:sz w:val="21"/>
      </w:rPr>
    </w:lvl>
    <w:lvl w:ilvl="2">
      <w:start w:val="1"/>
      <w:numFmt w:val="decimal"/>
      <w:lvlText w:val="%3."/>
      <w:lvlJc w:val="left"/>
      <w:pPr>
        <w:ind w:left="1276" w:hanging="425"/>
      </w:pPr>
      <w:rPr>
        <w:rFonts w:hint="default"/>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11" w15:restartNumberingAfterBreak="0">
    <w:nsid w:val="1ECC95D0"/>
    <w:multiLevelType w:val="multilevel"/>
    <w:tmpl w:val="1ECC95D0"/>
    <w:lvl w:ilvl="0">
      <w:start w:val="1"/>
      <w:numFmt w:val="upperLetter"/>
      <w:pStyle w:val="af1"/>
      <w:suff w:val="nothing"/>
      <w:lvlText w:val="附录%1"/>
      <w:lvlJc w:val="left"/>
      <w:pPr>
        <w:ind w:left="0" w:firstLine="0"/>
      </w:pPr>
      <w:rPr>
        <w:rFonts w:hint="default"/>
        <w:spacing w:val="102"/>
      </w:rPr>
    </w:lvl>
    <w:lvl w:ilvl="1">
      <w:start w:val="1"/>
      <w:numFmt w:val="decimal"/>
      <w:pStyle w:val="af2"/>
      <w:suff w:val="nothing"/>
      <w:lvlText w:val="%1.%2　"/>
      <w:lvlJc w:val="left"/>
      <w:pPr>
        <w:ind w:left="0" w:firstLine="0"/>
      </w:pPr>
      <w:rPr>
        <w:rFonts w:ascii="黑体" w:eastAsia="黑体" w:hAnsi="黑体" w:cs="黑体" w:hint="default"/>
        <w:sz w:val="20"/>
      </w:rPr>
    </w:lvl>
    <w:lvl w:ilvl="2">
      <w:start w:val="1"/>
      <w:numFmt w:val="decimal"/>
      <w:pStyle w:val="af3"/>
      <w:suff w:val="nothing"/>
      <w:lvlText w:val="%1.%2.%3　"/>
      <w:lvlJc w:val="left"/>
      <w:pPr>
        <w:ind w:left="0" w:firstLine="0"/>
      </w:pPr>
      <w:rPr>
        <w:rFonts w:ascii="黑体" w:eastAsia="黑体" w:hAnsi="黑体" w:cs="黑体" w:hint="default"/>
        <w:sz w:val="20"/>
      </w:rPr>
    </w:lvl>
    <w:lvl w:ilvl="3">
      <w:start w:val="1"/>
      <w:numFmt w:val="decimal"/>
      <w:pStyle w:val="af4"/>
      <w:suff w:val="nothing"/>
      <w:lvlText w:val="%1.%2.%3.%4　"/>
      <w:lvlJc w:val="left"/>
      <w:pPr>
        <w:ind w:left="0" w:firstLine="0"/>
      </w:pPr>
      <w:rPr>
        <w:rFonts w:ascii="黑体" w:eastAsia="黑体" w:hAnsi="黑体" w:cs="黑体" w:hint="default"/>
        <w:sz w:val="20"/>
      </w:rPr>
    </w:lvl>
    <w:lvl w:ilvl="4">
      <w:start w:val="1"/>
      <w:numFmt w:val="decimal"/>
      <w:pStyle w:val="af5"/>
      <w:suff w:val="nothing"/>
      <w:lvlText w:val="%1.%2.%3.%4.%5　"/>
      <w:lvlJc w:val="left"/>
      <w:pPr>
        <w:ind w:left="0" w:firstLine="0"/>
      </w:pPr>
      <w:rPr>
        <w:rFonts w:ascii="黑体" w:eastAsia="黑体" w:hAnsi="黑体" w:cs="黑体" w:hint="default"/>
        <w:sz w:val="20"/>
      </w:rPr>
    </w:lvl>
    <w:lvl w:ilvl="5">
      <w:start w:val="1"/>
      <w:numFmt w:val="decimal"/>
      <w:pStyle w:val="af6"/>
      <w:suff w:val="nothing"/>
      <w:lvlText w:val="%1.%2.%3.%4.%5.%6　"/>
      <w:lvlJc w:val="left"/>
      <w:pPr>
        <w:ind w:left="0" w:firstLine="0"/>
      </w:pPr>
      <w:rPr>
        <w:rFonts w:ascii="黑体" w:eastAsia="黑体" w:hAnsi="黑体" w:cs="黑体" w:hint="default"/>
        <w:sz w:val="20"/>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2EDAB1F6"/>
    <w:multiLevelType w:val="multilevel"/>
    <w:tmpl w:val="2EDAB1F6"/>
    <w:lvl w:ilvl="0">
      <w:start w:val="1"/>
      <w:numFmt w:val="upperLetter"/>
      <w:lvlText w:val="%1"/>
      <w:lvlJc w:val="left"/>
      <w:pPr>
        <w:tabs>
          <w:tab w:val="left" w:pos="0"/>
        </w:tabs>
        <w:ind w:left="0" w:firstLine="0"/>
      </w:pPr>
      <w:rPr>
        <w:rFonts w:hint="default"/>
      </w:rPr>
    </w:lvl>
    <w:lvl w:ilvl="1">
      <w:start w:val="1"/>
      <w:numFmt w:val="decimal"/>
      <w:pStyle w:val="20"/>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3" w15:restartNumberingAfterBreak="0">
    <w:nsid w:val="342DF4FD"/>
    <w:multiLevelType w:val="multilevel"/>
    <w:tmpl w:val="342DF4FD"/>
    <w:lvl w:ilvl="0">
      <w:start w:val="1"/>
      <w:numFmt w:val="decimal"/>
      <w:pStyle w:val="af7"/>
      <w:suff w:val="nothing"/>
      <w:lvlText w:val="示例%1："/>
      <w:lvlJc w:val="left"/>
      <w:pPr>
        <w:ind w:left="0" w:firstLine="363"/>
      </w:pPr>
      <w:rPr>
        <w:rFonts w:ascii="黑体" w:eastAsia="黑体" w:hAnsi="黑体" w:cs="黑体" w:hint="eastAsia"/>
        <w:sz w:val="18"/>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4" w15:restartNumberingAfterBreak="0">
    <w:nsid w:val="40163CCF"/>
    <w:multiLevelType w:val="multilevel"/>
    <w:tmpl w:val="40163CCF"/>
    <w:lvl w:ilvl="0">
      <w:start w:val="1"/>
      <w:numFmt w:val="decimal"/>
      <w:pStyle w:val="af8"/>
      <w:lvlText w:val="%1)"/>
      <w:lvlJc w:val="left"/>
      <w:pPr>
        <w:tabs>
          <w:tab w:val="left" w:pos="0"/>
        </w:tabs>
        <w:ind w:left="720" w:hanging="357"/>
      </w:pPr>
      <w:rPr>
        <w:rFonts w:ascii="宋体" w:eastAsia="宋体" w:hAnsi="宋体" w:cs="宋体" w:hint="eastAsia"/>
        <w:sz w:val="15"/>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5" w15:restartNumberingAfterBreak="0">
    <w:nsid w:val="71F7CAC9"/>
    <w:multiLevelType w:val="multilevel"/>
    <w:tmpl w:val="71F7CAC9"/>
    <w:lvl w:ilvl="0">
      <w:start w:val="1"/>
      <w:numFmt w:val="decimal"/>
      <w:pStyle w:val="af9"/>
      <w:suff w:val="nothing"/>
      <w:lvlText w:val="[%1]  "/>
      <w:lvlJc w:val="left"/>
      <w:pPr>
        <w:ind w:left="0" w:firstLine="363"/>
      </w:pPr>
      <w:rPr>
        <w:rFonts w:ascii="黑体" w:eastAsia="黑体" w:hAnsi="黑体" w:cs="黑体" w:hint="eastAsia"/>
        <w:sz w:val="18"/>
      </w:rPr>
    </w:lvl>
    <w:lvl w:ilvl="1">
      <w:start w:val="1"/>
      <w:numFmt w:val="chineseCounting"/>
      <w:suff w:val="nothing"/>
      <w:lvlText w:val="第%2节　"/>
      <w:lvlJc w:val="left"/>
      <w:pPr>
        <w:ind w:left="0" w:firstLine="402"/>
      </w:pPr>
      <w:rPr>
        <w:rFonts w:hint="eastAsia"/>
      </w:rPr>
    </w:lvl>
    <w:lvl w:ilvl="2">
      <w:start w:val="1"/>
      <w:numFmt w:val="chineseCounting"/>
      <w:suff w:val="nothing"/>
      <w:lvlText w:val="第%3条　"/>
      <w:lvlJc w:val="left"/>
      <w:pPr>
        <w:ind w:left="0" w:firstLine="402"/>
      </w:pPr>
      <w:rPr>
        <w:rFonts w:hint="eastAsia"/>
      </w:rPr>
    </w:lvl>
    <w:lvl w:ilvl="3">
      <w:start w:val="1"/>
      <w:numFmt w:val="chineseCounting"/>
      <w:suff w:val="nothing"/>
      <w:lvlText w:val="（%4）"/>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decimalEnclosedCircleChinese"/>
      <w:suff w:val="nothing"/>
      <w:lvlText w:val="%7 "/>
      <w:lvlJc w:val="left"/>
      <w:pPr>
        <w:ind w:left="0" w:firstLine="402"/>
      </w:pPr>
      <w:rPr>
        <w:rFonts w:hint="eastAsia"/>
      </w:rPr>
    </w:lvl>
    <w:lvl w:ilvl="7">
      <w:start w:val="1"/>
      <w:numFmt w:val="decimal"/>
      <w:suff w:val="nothing"/>
      <w:lvlText w:val="%8）"/>
      <w:lvlJc w:val="left"/>
      <w:pPr>
        <w:ind w:left="0" w:firstLine="402"/>
      </w:pPr>
      <w:rPr>
        <w:rFonts w:hint="eastAsia"/>
      </w:rPr>
    </w:lvl>
    <w:lvl w:ilvl="8">
      <w:start w:val="1"/>
      <w:numFmt w:val="lowerLetter"/>
      <w:suff w:val="nothing"/>
      <w:lvlText w:val="%9．"/>
      <w:lvlJc w:val="left"/>
      <w:pPr>
        <w:ind w:left="0" w:firstLine="402"/>
      </w:pPr>
      <w:rPr>
        <w:rFonts w:hint="eastAsia"/>
      </w:rPr>
    </w:lvl>
  </w:abstractNum>
  <w:abstractNum w:abstractNumId="16" w15:restartNumberingAfterBreak="0">
    <w:nsid w:val="75B3AA21"/>
    <w:multiLevelType w:val="multilevel"/>
    <w:tmpl w:val="75B3AA21"/>
    <w:lvl w:ilvl="0">
      <w:start w:val="1"/>
      <w:numFmt w:val="lowerLetter"/>
      <w:pStyle w:val="afa"/>
      <w:lvlText w:val="%1"/>
      <w:lvlJc w:val="left"/>
      <w:pPr>
        <w:tabs>
          <w:tab w:val="left" w:pos="539"/>
        </w:tabs>
        <w:ind w:left="539" w:hanging="119"/>
      </w:pPr>
      <w:rPr>
        <w:rFonts w:ascii="宋体" w:eastAsia="宋体" w:hAnsi="宋体" w:cs="宋体" w:hint="eastAsia"/>
        <w:sz w:val="15"/>
        <w:vertAlign w:val="superscript"/>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7" w15:restartNumberingAfterBreak="0">
    <w:nsid w:val="75D2A4C1"/>
    <w:multiLevelType w:val="multilevel"/>
    <w:tmpl w:val="75D2A4C1"/>
    <w:lvl w:ilvl="0">
      <w:start w:val="1"/>
      <w:numFmt w:val="decimal"/>
      <w:pStyle w:val="afb"/>
      <w:suff w:val="nothing"/>
      <w:lvlText w:val="表%1  "/>
      <w:lvlJc w:val="left"/>
      <w:pPr>
        <w:tabs>
          <w:tab w:val="left" w:pos="539"/>
        </w:tabs>
        <w:ind w:left="0" w:firstLine="0"/>
      </w:pPr>
      <w:rPr>
        <w:rFonts w:ascii="黑体" w:eastAsia="黑体" w:hAnsi="黑体" w:cs="黑体" w:hint="eastAsia"/>
        <w:sz w:val="21"/>
        <w:vertAlign w:val="baseline"/>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8" w15:restartNumberingAfterBreak="0">
    <w:nsid w:val="7D3E3D8A"/>
    <w:multiLevelType w:val="multilevel"/>
    <w:tmpl w:val="7D3E3D8A"/>
    <w:lvl w:ilvl="0">
      <w:start w:val="1"/>
      <w:numFmt w:val="none"/>
      <w:pStyle w:val="afc"/>
      <w:suff w:val="nothing"/>
      <w:lvlText w:val="%1"/>
      <w:lvlJc w:val="left"/>
      <w:pPr>
        <w:ind w:left="425" w:hanging="425"/>
      </w:pPr>
      <w:rPr>
        <w:rFonts w:hint="default"/>
      </w:rPr>
    </w:lvl>
    <w:lvl w:ilvl="1">
      <w:start w:val="1"/>
      <w:numFmt w:val="decimal"/>
      <w:pStyle w:val="afd"/>
      <w:suff w:val="nothing"/>
      <w:lvlText w:val="%10.%2 "/>
      <w:lvlJc w:val="left"/>
      <w:pPr>
        <w:ind w:left="0" w:firstLine="0"/>
      </w:pPr>
      <w:rPr>
        <w:rFonts w:ascii="黑体" w:eastAsia="黑体" w:hAnsi="黑体" w:cs="黑体" w:hint="default"/>
        <w:sz w:val="20"/>
      </w:rPr>
    </w:lvl>
    <w:lvl w:ilvl="2">
      <w:start w:val="1"/>
      <w:numFmt w:val="decimal"/>
      <w:pStyle w:val="afe"/>
      <w:suff w:val="nothing"/>
      <w:lvlText w:val="%10.%2.%3 "/>
      <w:lvlJc w:val="left"/>
      <w:pPr>
        <w:ind w:left="0" w:firstLine="0"/>
      </w:pPr>
      <w:rPr>
        <w:rFonts w:ascii="黑体" w:eastAsia="黑体" w:hAnsi="黑体" w:cs="黑体" w:hint="default"/>
        <w:sz w:val="20"/>
      </w:rPr>
    </w:lvl>
    <w:lvl w:ilvl="3">
      <w:start w:val="1"/>
      <w:numFmt w:val="decimal"/>
      <w:pStyle w:val="aff"/>
      <w:suff w:val="nothing"/>
      <w:lvlText w:val="%10.%2.%3.%4 "/>
      <w:lvlJc w:val="left"/>
      <w:pPr>
        <w:ind w:left="0" w:firstLine="0"/>
      </w:pPr>
      <w:rPr>
        <w:rFonts w:ascii="黑体" w:eastAsia="黑体" w:hAnsi="黑体" w:cs="黑体" w:hint="default"/>
        <w:sz w:val="20"/>
      </w:rPr>
    </w:lvl>
    <w:lvl w:ilvl="4">
      <w:start w:val="1"/>
      <w:numFmt w:val="decimal"/>
      <w:pStyle w:val="aff0"/>
      <w:suff w:val="nothing"/>
      <w:lvlText w:val="%10.%2.%3.%4.%5 "/>
      <w:lvlJc w:val="left"/>
      <w:pPr>
        <w:ind w:left="0" w:firstLine="0"/>
      </w:pPr>
      <w:rPr>
        <w:rFonts w:ascii="黑体" w:eastAsia="黑体" w:hAnsi="黑体" w:cs="黑体" w:hint="default"/>
        <w:sz w:val="20"/>
      </w:rPr>
    </w:lvl>
    <w:lvl w:ilvl="5">
      <w:start w:val="1"/>
      <w:numFmt w:val="decimal"/>
      <w:pStyle w:val="aff1"/>
      <w:suff w:val="nothing"/>
      <w:lvlText w:val="%10.%2.%3.%4.%5.%6 "/>
      <w:lvlJc w:val="left"/>
      <w:pPr>
        <w:ind w:left="0" w:firstLine="0"/>
      </w:pPr>
      <w:rPr>
        <w:rFonts w:ascii="黑体" w:eastAsia="黑体" w:hAnsi="黑体" w:cs="黑体" w:hint="default"/>
        <w:sz w:val="20"/>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16cid:durableId="338236332">
    <w:abstractNumId w:val="7"/>
  </w:num>
  <w:num w:numId="2" w16cid:durableId="985202975">
    <w:abstractNumId w:val="12"/>
  </w:num>
  <w:num w:numId="3" w16cid:durableId="303583362">
    <w:abstractNumId w:val="8"/>
  </w:num>
  <w:num w:numId="4" w16cid:durableId="1253397934">
    <w:abstractNumId w:val="14"/>
  </w:num>
  <w:num w:numId="5" w16cid:durableId="793641392">
    <w:abstractNumId w:val="18"/>
  </w:num>
  <w:num w:numId="6" w16cid:durableId="780102740">
    <w:abstractNumId w:val="4"/>
  </w:num>
  <w:num w:numId="7" w16cid:durableId="766999471">
    <w:abstractNumId w:val="3"/>
  </w:num>
  <w:num w:numId="8" w16cid:durableId="1279796215">
    <w:abstractNumId w:val="5"/>
  </w:num>
  <w:num w:numId="9" w16cid:durableId="441146598">
    <w:abstractNumId w:val="11"/>
  </w:num>
  <w:num w:numId="10" w16cid:durableId="1997300091">
    <w:abstractNumId w:val="6"/>
  </w:num>
  <w:num w:numId="11" w16cid:durableId="2024898200">
    <w:abstractNumId w:val="2"/>
  </w:num>
  <w:num w:numId="12" w16cid:durableId="1585992559">
    <w:abstractNumId w:val="13"/>
  </w:num>
  <w:num w:numId="13" w16cid:durableId="179003526">
    <w:abstractNumId w:val="9"/>
  </w:num>
  <w:num w:numId="14" w16cid:durableId="674380240">
    <w:abstractNumId w:val="0"/>
  </w:num>
  <w:num w:numId="15" w16cid:durableId="114907523">
    <w:abstractNumId w:val="16"/>
  </w:num>
  <w:num w:numId="16" w16cid:durableId="1758209110">
    <w:abstractNumId w:val="17"/>
  </w:num>
  <w:num w:numId="17" w16cid:durableId="589042350">
    <w:abstractNumId w:val="1"/>
  </w:num>
  <w:num w:numId="18" w16cid:durableId="1658725669">
    <w:abstractNumId w:val="15"/>
  </w:num>
  <w:num w:numId="19" w16cid:durableId="2047569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74F136A0"/>
    <w:rsid w:val="00013634"/>
    <w:rsid w:val="00041142"/>
    <w:rsid w:val="000466AF"/>
    <w:rsid w:val="00095F0D"/>
    <w:rsid w:val="000F5BC3"/>
    <w:rsid w:val="00167DDE"/>
    <w:rsid w:val="001A3D7F"/>
    <w:rsid w:val="001A7DDC"/>
    <w:rsid w:val="001C1745"/>
    <w:rsid w:val="001E7542"/>
    <w:rsid w:val="00215BEB"/>
    <w:rsid w:val="0026636D"/>
    <w:rsid w:val="00286C10"/>
    <w:rsid w:val="002A7621"/>
    <w:rsid w:val="002C2C76"/>
    <w:rsid w:val="002E688A"/>
    <w:rsid w:val="003A6096"/>
    <w:rsid w:val="003C7719"/>
    <w:rsid w:val="00476E29"/>
    <w:rsid w:val="00497E1A"/>
    <w:rsid w:val="004A00C4"/>
    <w:rsid w:val="004B5C85"/>
    <w:rsid w:val="004C195C"/>
    <w:rsid w:val="005115F2"/>
    <w:rsid w:val="005656D7"/>
    <w:rsid w:val="00596F38"/>
    <w:rsid w:val="005F1FAE"/>
    <w:rsid w:val="00611C08"/>
    <w:rsid w:val="0062756B"/>
    <w:rsid w:val="006767B0"/>
    <w:rsid w:val="00703711"/>
    <w:rsid w:val="00722B34"/>
    <w:rsid w:val="007F75D0"/>
    <w:rsid w:val="008177DB"/>
    <w:rsid w:val="00884878"/>
    <w:rsid w:val="00902B6F"/>
    <w:rsid w:val="00955DB8"/>
    <w:rsid w:val="009F70FB"/>
    <w:rsid w:val="00A218A3"/>
    <w:rsid w:val="00A41BC2"/>
    <w:rsid w:val="00A829DD"/>
    <w:rsid w:val="00AB3D30"/>
    <w:rsid w:val="00B1549B"/>
    <w:rsid w:val="00B22099"/>
    <w:rsid w:val="00BA01BF"/>
    <w:rsid w:val="00BA22E3"/>
    <w:rsid w:val="00BD39F5"/>
    <w:rsid w:val="00BD60EE"/>
    <w:rsid w:val="00C92F7C"/>
    <w:rsid w:val="00CA57C4"/>
    <w:rsid w:val="00CC08C3"/>
    <w:rsid w:val="00CC68B2"/>
    <w:rsid w:val="00D201F8"/>
    <w:rsid w:val="00D87771"/>
    <w:rsid w:val="00DF7DD2"/>
    <w:rsid w:val="00E270CB"/>
    <w:rsid w:val="00E32B9B"/>
    <w:rsid w:val="00E64C28"/>
    <w:rsid w:val="00E72CA0"/>
    <w:rsid w:val="00E80594"/>
    <w:rsid w:val="00F14629"/>
    <w:rsid w:val="00F1754B"/>
    <w:rsid w:val="00F278A4"/>
    <w:rsid w:val="00F72BE0"/>
    <w:rsid w:val="00FC0135"/>
    <w:rsid w:val="00FD11FB"/>
    <w:rsid w:val="00FD600E"/>
    <w:rsid w:val="033A14DD"/>
    <w:rsid w:val="25DC7BF4"/>
    <w:rsid w:val="2613738E"/>
    <w:rsid w:val="26215510"/>
    <w:rsid w:val="27377E1D"/>
    <w:rsid w:val="2B8A6344"/>
    <w:rsid w:val="2BF313B7"/>
    <w:rsid w:val="35386531"/>
    <w:rsid w:val="378679C0"/>
    <w:rsid w:val="38C05153"/>
    <w:rsid w:val="3BED5A28"/>
    <w:rsid w:val="3F876C2A"/>
    <w:rsid w:val="41636420"/>
    <w:rsid w:val="49E37C06"/>
    <w:rsid w:val="506042CA"/>
    <w:rsid w:val="55EF2E10"/>
    <w:rsid w:val="62BC5D77"/>
    <w:rsid w:val="633D0A86"/>
    <w:rsid w:val="681F1C0D"/>
    <w:rsid w:val="6B484E2C"/>
    <w:rsid w:val="725A730B"/>
    <w:rsid w:val="74F136A0"/>
    <w:rsid w:val="78461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F98D4"/>
  <w15:docId w15:val="{F07A9D9D-52C3-4846-9E19-D872FAF60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rFonts w:ascii="宋体" w:hAnsi="Times New Roman" w:cs="宋体" w:hint="eastAsia"/>
      <w:kern w:val="2"/>
      <w:sz w:val="21"/>
      <w:szCs w:val="24"/>
    </w:rPr>
  </w:style>
  <w:style w:type="paragraph" w:styleId="1">
    <w:name w:val="heading 1"/>
    <w:basedOn w:val="aff2"/>
    <w:next w:val="aff2"/>
    <w:link w:val="10"/>
    <w:qFormat/>
    <w:pPr>
      <w:keepNext/>
      <w:keepLines/>
      <w:numPr>
        <w:numId w:val="1"/>
      </w:numPr>
      <w:spacing w:before="340" w:after="330" w:line="578" w:lineRule="auto"/>
      <w:outlineLvl w:val="0"/>
    </w:pPr>
    <w:rPr>
      <w:b/>
      <w:bCs/>
      <w:kern w:val="44"/>
      <w:sz w:val="44"/>
      <w:szCs w:val="44"/>
    </w:rPr>
  </w:style>
  <w:style w:type="paragraph" w:styleId="20">
    <w:name w:val="heading 2"/>
    <w:basedOn w:val="aff2"/>
    <w:next w:val="aff2"/>
    <w:semiHidden/>
    <w:unhideWhenUsed/>
    <w:qFormat/>
    <w:pPr>
      <w:keepNext/>
      <w:keepLines/>
      <w:numPr>
        <w:ilvl w:val="1"/>
        <w:numId w:val="2"/>
      </w:numPr>
      <w:spacing w:before="260" w:after="260" w:line="413" w:lineRule="auto"/>
      <w:outlineLvl w:val="1"/>
    </w:pPr>
    <w:rPr>
      <w:rFonts w:ascii="Arial" w:eastAsia="黑体" w:hAnsi="Arial"/>
      <w:b/>
      <w:sz w:val="32"/>
    </w:rPr>
  </w:style>
  <w:style w:type="paragraph" w:styleId="3">
    <w:name w:val="heading 3"/>
    <w:basedOn w:val="aff2"/>
    <w:next w:val="aff2"/>
    <w:semiHidden/>
    <w:unhideWhenUsed/>
    <w:qFormat/>
    <w:pPr>
      <w:keepNext/>
      <w:keepLines/>
      <w:numPr>
        <w:ilvl w:val="2"/>
        <w:numId w:val="3"/>
      </w:numPr>
      <w:tabs>
        <w:tab w:val="left" w:pos="0"/>
      </w:tabs>
      <w:spacing w:before="260" w:after="260" w:line="413" w:lineRule="auto"/>
      <w:outlineLvl w:val="2"/>
    </w:pPr>
    <w:rPr>
      <w:b/>
      <w:sz w:val="32"/>
    </w:rPr>
  </w:style>
  <w:style w:type="paragraph" w:styleId="4">
    <w:name w:val="heading 4"/>
    <w:basedOn w:val="aff2"/>
    <w:next w:val="aff2"/>
    <w:semiHidden/>
    <w:unhideWhenUsed/>
    <w:qFormat/>
    <w:pPr>
      <w:keepNext/>
      <w:keepLines/>
      <w:numPr>
        <w:ilvl w:val="3"/>
        <w:numId w:val="3"/>
      </w:numPr>
      <w:tabs>
        <w:tab w:val="left" w:pos="0"/>
      </w:tabs>
      <w:spacing w:before="280" w:after="290" w:line="372" w:lineRule="auto"/>
      <w:outlineLvl w:val="3"/>
    </w:pPr>
    <w:rPr>
      <w:rFonts w:ascii="Arial" w:eastAsia="黑体" w:hAnsi="Arial"/>
      <w:b/>
      <w:sz w:val="28"/>
    </w:rPr>
  </w:style>
  <w:style w:type="paragraph" w:styleId="5">
    <w:name w:val="heading 5"/>
    <w:basedOn w:val="aff2"/>
    <w:next w:val="aff2"/>
    <w:semiHidden/>
    <w:unhideWhenUsed/>
    <w:qFormat/>
    <w:pPr>
      <w:keepNext/>
      <w:keepLines/>
      <w:numPr>
        <w:ilvl w:val="4"/>
        <w:numId w:val="3"/>
      </w:numPr>
      <w:tabs>
        <w:tab w:val="left" w:pos="0"/>
      </w:tabs>
      <w:spacing w:before="280" w:after="290" w:line="372" w:lineRule="auto"/>
      <w:outlineLvl w:val="4"/>
    </w:pPr>
    <w:rPr>
      <w:b/>
      <w:sz w:val="28"/>
    </w:rPr>
  </w:style>
  <w:style w:type="paragraph" w:styleId="6">
    <w:name w:val="heading 6"/>
    <w:basedOn w:val="aff2"/>
    <w:next w:val="aff2"/>
    <w:semiHidden/>
    <w:unhideWhenUsed/>
    <w:qFormat/>
    <w:pPr>
      <w:keepNext/>
      <w:keepLines/>
      <w:numPr>
        <w:ilvl w:val="5"/>
        <w:numId w:val="3"/>
      </w:numPr>
      <w:tabs>
        <w:tab w:val="left" w:pos="0"/>
      </w:tabs>
      <w:spacing w:before="240" w:after="64" w:line="317" w:lineRule="auto"/>
      <w:outlineLvl w:val="5"/>
    </w:pPr>
    <w:rPr>
      <w:rFonts w:ascii="Arial" w:eastAsia="黑体" w:hAnsi="Arial"/>
      <w:b/>
      <w:sz w:val="24"/>
    </w:rPr>
  </w:style>
  <w:style w:type="paragraph" w:styleId="7">
    <w:name w:val="heading 7"/>
    <w:basedOn w:val="aff2"/>
    <w:next w:val="aff2"/>
    <w:semiHidden/>
    <w:unhideWhenUsed/>
    <w:qFormat/>
    <w:pPr>
      <w:keepNext/>
      <w:keepLines/>
      <w:numPr>
        <w:ilvl w:val="6"/>
        <w:numId w:val="3"/>
      </w:numPr>
      <w:spacing w:before="240" w:after="64" w:line="317" w:lineRule="auto"/>
      <w:outlineLvl w:val="6"/>
    </w:pPr>
    <w:rPr>
      <w:b/>
      <w:sz w:val="24"/>
    </w:rPr>
  </w:style>
  <w:style w:type="paragraph" w:styleId="8">
    <w:name w:val="heading 8"/>
    <w:basedOn w:val="aff2"/>
    <w:next w:val="aff2"/>
    <w:semiHidden/>
    <w:unhideWhenUsed/>
    <w:qFormat/>
    <w:pPr>
      <w:keepNext/>
      <w:keepLines/>
      <w:numPr>
        <w:ilvl w:val="7"/>
        <w:numId w:val="3"/>
      </w:numPr>
      <w:spacing w:before="240" w:after="64" w:line="317" w:lineRule="auto"/>
      <w:outlineLvl w:val="7"/>
    </w:pPr>
    <w:rPr>
      <w:rFonts w:ascii="Arial" w:eastAsia="黑体" w:hAnsi="Arial"/>
      <w:sz w:val="24"/>
    </w:rPr>
  </w:style>
  <w:style w:type="paragraph" w:styleId="9">
    <w:name w:val="heading 9"/>
    <w:basedOn w:val="aff2"/>
    <w:next w:val="aff2"/>
    <w:semiHidden/>
    <w:unhideWhenUsed/>
    <w:qFormat/>
    <w:pPr>
      <w:keepNext/>
      <w:keepLines/>
      <w:numPr>
        <w:ilvl w:val="8"/>
        <w:numId w:val="3"/>
      </w:numPr>
      <w:spacing w:before="240" w:after="64" w:line="317" w:lineRule="auto"/>
      <w:outlineLvl w:val="8"/>
    </w:pPr>
    <w:rPr>
      <w:rFonts w:ascii="Arial" w:eastAsia="黑体" w:hAnsi="Arial"/>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5">
    <w:name w:val="toc 5"/>
    <w:basedOn w:val="aff2"/>
    <w:next w:val="aff2"/>
    <w:pPr>
      <w:spacing w:line="300" w:lineRule="exact"/>
      <w:ind w:leftChars="800" w:left="1680"/>
    </w:pPr>
    <w:rPr>
      <w:rFonts w:hAnsi="宋体"/>
    </w:rPr>
  </w:style>
  <w:style w:type="paragraph" w:styleId="TOC3">
    <w:name w:val="toc 3"/>
    <w:basedOn w:val="aff2"/>
    <w:next w:val="aff2"/>
    <w:pPr>
      <w:spacing w:line="300" w:lineRule="exact"/>
      <w:ind w:leftChars="400" w:left="840"/>
    </w:pPr>
    <w:rPr>
      <w:rFonts w:hAnsi="宋体"/>
    </w:rPr>
  </w:style>
  <w:style w:type="paragraph" w:styleId="aff6">
    <w:name w:val="footer"/>
    <w:basedOn w:val="aff2"/>
    <w:pPr>
      <w:tabs>
        <w:tab w:val="center" w:pos="4153"/>
        <w:tab w:val="right" w:pos="8306"/>
      </w:tabs>
      <w:snapToGrid w:val="0"/>
      <w:jc w:val="left"/>
    </w:pPr>
    <w:rPr>
      <w:sz w:val="18"/>
    </w:rPr>
  </w:style>
  <w:style w:type="paragraph" w:styleId="aff7">
    <w:name w:val="header"/>
    <w:basedOn w:val="aff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ff2"/>
    <w:next w:val="aff2"/>
    <w:uiPriority w:val="39"/>
    <w:pPr>
      <w:spacing w:line="400" w:lineRule="exact"/>
    </w:pPr>
    <w:rPr>
      <w:rFonts w:hAnsi="宋体"/>
    </w:rPr>
  </w:style>
  <w:style w:type="paragraph" w:styleId="TOC4">
    <w:name w:val="toc 4"/>
    <w:basedOn w:val="aff2"/>
    <w:next w:val="aff2"/>
    <w:pPr>
      <w:spacing w:line="300" w:lineRule="exact"/>
      <w:ind w:leftChars="600" w:left="1260"/>
    </w:pPr>
    <w:rPr>
      <w:rFonts w:hAnsi="宋体"/>
    </w:rPr>
  </w:style>
  <w:style w:type="paragraph" w:styleId="af8">
    <w:name w:val="footnote text"/>
    <w:basedOn w:val="aff2"/>
    <w:qFormat/>
    <w:pPr>
      <w:widowControl/>
      <w:numPr>
        <w:numId w:val="4"/>
      </w:numPr>
      <w:autoSpaceDE w:val="0"/>
      <w:autoSpaceDN w:val="0"/>
      <w:ind w:leftChars="200" w:left="1380" w:hangingChars="200" w:hanging="960"/>
    </w:pPr>
    <w:rPr>
      <w:rFonts w:hAnsi="宋体"/>
      <w:sz w:val="15"/>
    </w:rPr>
  </w:style>
  <w:style w:type="paragraph" w:styleId="TOC6">
    <w:name w:val="toc 6"/>
    <w:basedOn w:val="aff2"/>
    <w:next w:val="aff2"/>
    <w:pPr>
      <w:spacing w:line="300" w:lineRule="exact"/>
      <w:ind w:leftChars="1000" w:left="2100"/>
    </w:pPr>
    <w:rPr>
      <w:rFonts w:hAnsi="宋体"/>
    </w:rPr>
  </w:style>
  <w:style w:type="paragraph" w:styleId="TOC2">
    <w:name w:val="toc 2"/>
    <w:basedOn w:val="aff2"/>
    <w:next w:val="aff2"/>
    <w:uiPriority w:val="39"/>
    <w:pPr>
      <w:spacing w:line="300" w:lineRule="exact"/>
      <w:ind w:leftChars="200" w:left="420"/>
    </w:pPr>
    <w:rPr>
      <w:rFonts w:hAnsi="宋体"/>
    </w:rPr>
  </w:style>
  <w:style w:type="paragraph" w:styleId="aff8">
    <w:name w:val="Normal (Web)"/>
    <w:basedOn w:val="aff2"/>
    <w:rPr>
      <w:sz w:val="24"/>
    </w:rPr>
  </w:style>
  <w:style w:type="table" w:styleId="aff9">
    <w:name w:val="Table Grid"/>
    <w:basedOn w:val="af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Hyperlink"/>
    <w:basedOn w:val="aff3"/>
    <w:uiPriority w:val="99"/>
    <w:unhideWhenUsed/>
    <w:qFormat/>
    <w:rPr>
      <w:color w:val="0026E5" w:themeColor="hyperlink"/>
      <w:u w:val="single"/>
    </w:rPr>
  </w:style>
  <w:style w:type="character" w:styleId="affb">
    <w:name w:val="footnote reference"/>
    <w:basedOn w:val="aff3"/>
    <w:rPr>
      <w:rFonts w:ascii="宋体" w:eastAsia="宋体" w:hAnsi="宋体" w:cs="宋体" w:hint="eastAsia"/>
      <w:sz w:val="18"/>
      <w:vertAlign w:val="superscript"/>
    </w:rPr>
  </w:style>
  <w:style w:type="paragraph" w:customStyle="1" w:styleId="affc">
    <w:name w:val="标准文件_段"/>
    <w:pPr>
      <w:ind w:firstLineChars="200" w:firstLine="960"/>
      <w:jc w:val="both"/>
    </w:pPr>
    <w:rPr>
      <w:rFonts w:ascii="宋体" w:hAnsi="Times New Roman" w:cs="宋体" w:hint="eastAsia"/>
      <w:sz w:val="21"/>
    </w:rPr>
  </w:style>
  <w:style w:type="paragraph" w:customStyle="1" w:styleId="affd">
    <w:name w:val="标准标志"/>
    <w:next w:val="aff2"/>
    <w:pPr>
      <w:framePr w:w="2546" w:h="1134" w:hRule="exact" w:hSpace="181" w:wrap="around" w:hAnchor="margin" w:x="6521" w:y="421" w:anchorLock="1"/>
      <w:shd w:val="clear" w:color="auto" w:fill="FFFFFF"/>
      <w:spacing w:line="0" w:lineRule="atLeast"/>
      <w:jc w:val="right"/>
    </w:pPr>
    <w:rPr>
      <w:rFonts w:ascii="Times New Roman" w:hAnsi="Times New Roman" w:cs="Times New Roman" w:hint="eastAsia"/>
      <w:b/>
      <w:w w:val="170"/>
      <w:sz w:val="96"/>
    </w:rPr>
  </w:style>
  <w:style w:type="paragraph" w:customStyle="1" w:styleId="21">
    <w:name w:val="标准标志2"/>
    <w:next w:val="aff2"/>
    <w:pPr>
      <w:framePr w:wrap="around" w:hAnchor="margin" w:x="5614" w:y="398" w:anchorLock="1"/>
      <w:spacing w:line="0" w:lineRule="atLeast"/>
      <w:jc w:val="right"/>
    </w:pPr>
    <w:rPr>
      <w:rFonts w:ascii="Times New Roman" w:hAnsi="Times New Roman" w:cs="Times New Roman" w:hint="eastAsia"/>
      <w:b/>
      <w:w w:val="130"/>
      <w:sz w:val="96"/>
    </w:rPr>
  </w:style>
  <w:style w:type="paragraph" w:customStyle="1" w:styleId="affe">
    <w:name w:val="标准称谓"/>
    <w:next w:val="aff2"/>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ascii="宋体" w:hAnsi="Times New Roman" w:cs="Times New Roman" w:hint="eastAsia"/>
      <w:b/>
      <w:w w:val="148"/>
      <w:sz w:val="48"/>
    </w:rPr>
  </w:style>
  <w:style w:type="paragraph" w:customStyle="1" w:styleId="22">
    <w:name w:val="标准称谓2"/>
    <w:next w:val="aff2"/>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ascii="Times New Roman" w:eastAsia="黑体" w:hAnsi="Times New Roman" w:cs="Times New Roman" w:hint="eastAsia"/>
      <w:spacing w:val="-40"/>
      <w:kern w:val="2"/>
      <w:sz w:val="72"/>
      <w:szCs w:val="72"/>
    </w:rPr>
  </w:style>
  <w:style w:type="paragraph" w:customStyle="1" w:styleId="30">
    <w:name w:val="标准称谓3"/>
    <w:next w:val="aff2"/>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ascii="黑体" w:eastAsia="黑体" w:hAnsi="Times New Roman" w:cs="Times New Roman" w:hint="eastAsia"/>
      <w:sz w:val="48"/>
    </w:rPr>
  </w:style>
  <w:style w:type="paragraph" w:customStyle="1" w:styleId="afff">
    <w:name w:val="标准书脚_奇数页"/>
    <w:pPr>
      <w:ind w:right="227"/>
      <w:jc w:val="right"/>
    </w:pPr>
    <w:rPr>
      <w:rFonts w:ascii="宋体" w:hAnsi="Times New Roman" w:cs="宋体" w:hint="eastAsia"/>
      <w:sz w:val="18"/>
    </w:rPr>
  </w:style>
  <w:style w:type="paragraph" w:customStyle="1" w:styleId="afff0">
    <w:name w:val="标准书眉_奇数页"/>
    <w:next w:val="aff2"/>
    <w:pPr>
      <w:tabs>
        <w:tab w:val="center" w:pos="4153"/>
        <w:tab w:val="right" w:pos="8306"/>
      </w:tabs>
      <w:spacing w:after="120"/>
      <w:jc w:val="right"/>
    </w:pPr>
    <w:rPr>
      <w:rFonts w:ascii="黑体" w:eastAsia="黑体" w:hAnsi="Times New Roman" w:cs="黑体" w:hint="eastAsia"/>
      <w:sz w:val="21"/>
    </w:rPr>
  </w:style>
  <w:style w:type="paragraph" w:customStyle="1" w:styleId="afff1">
    <w:name w:val="标准书眉_偶数页"/>
    <w:next w:val="aff2"/>
    <w:pPr>
      <w:spacing w:after="120"/>
    </w:pPr>
    <w:rPr>
      <w:rFonts w:ascii="黑体" w:eastAsia="黑体" w:hAnsi="Times New Roman" w:cs="黑体" w:hint="eastAsia"/>
      <w:sz w:val="21"/>
    </w:rPr>
  </w:style>
  <w:style w:type="paragraph" w:customStyle="1" w:styleId="afff2">
    <w:name w:val="标准文件_参考文献标题"/>
    <w:basedOn w:val="aff2"/>
    <w:next w:val="aff2"/>
    <w:pPr>
      <w:widowControl/>
      <w:spacing w:beforeLines="40" w:before="126" w:afterLines="50" w:after="157"/>
      <w:jc w:val="center"/>
      <w:outlineLvl w:val="0"/>
    </w:pPr>
    <w:rPr>
      <w:rFonts w:ascii="黑体" w:eastAsia="黑体" w:cs="黑体"/>
      <w:kern w:val="0"/>
    </w:rPr>
  </w:style>
  <w:style w:type="paragraph" w:customStyle="1" w:styleId="afff3">
    <w:name w:val="封面标准顶部线"/>
    <w:pPr>
      <w:framePr w:w="9673" w:hSpace="181" w:wrap="around" w:vAnchor="page" w:hAnchor="page" w:x="1390" w:y="4242"/>
      <w:spacing w:line="0" w:lineRule="atLeast"/>
    </w:pPr>
    <w:rPr>
      <w:rFonts w:ascii="宋体" w:hAnsi="Times New Roman" w:cs="Times New Roman" w:hint="eastAsia"/>
      <w:sz w:val="21"/>
    </w:rPr>
  </w:style>
  <w:style w:type="paragraph" w:customStyle="1" w:styleId="afff4">
    <w:name w:val="发布部门"/>
    <w:next w:val="affc"/>
    <w:pPr>
      <w:framePr w:w="7938" w:h="1134" w:hRule="exact" w:hSpace="125" w:vSpace="181" w:wrap="around" w:vAnchor="page" w:hAnchor="page" w:x="2150" w:y="14630" w:anchorLock="1"/>
      <w:spacing w:before="100"/>
      <w:jc w:val="center"/>
    </w:pPr>
    <w:rPr>
      <w:rFonts w:ascii="宋体" w:hAnsi="Times New Roman" w:cs="Times New Roman" w:hint="eastAsia"/>
      <w:spacing w:val="20"/>
      <w:w w:val="135"/>
      <w:sz w:val="28"/>
    </w:rPr>
  </w:style>
  <w:style w:type="paragraph" w:customStyle="1" w:styleId="afff5">
    <w:name w:val="发布日期"/>
    <w:qFormat/>
    <w:pPr>
      <w:framePr w:w="3997" w:h="471" w:hRule="exact" w:hSpace="181" w:vSpace="181" w:wrap="around" w:hAnchor="page" w:y="14080" w:anchorLock="1"/>
      <w:spacing w:line="360" w:lineRule="exact"/>
    </w:pPr>
    <w:rPr>
      <w:rFonts w:ascii="黑体" w:eastAsia="黑体" w:hAnsi="Times New Roman" w:cs="Times New Roman" w:hint="eastAsia"/>
      <w:sz w:val="28"/>
    </w:rPr>
  </w:style>
  <w:style w:type="paragraph" w:customStyle="1" w:styleId="afff6">
    <w:name w:val="实施日期"/>
    <w:basedOn w:val="afff5"/>
    <w:pPr>
      <w:framePr w:hSpace="0" w:wrap="around" w:vAnchor="page" w:hAnchor="text" w:x="7089" w:y="14176"/>
      <w:jc w:val="right"/>
    </w:pPr>
  </w:style>
  <w:style w:type="paragraph" w:customStyle="1" w:styleId="afff7">
    <w:name w:val="封面日期"/>
    <w:pPr>
      <w:framePr w:w="9673" w:vSpace="181" w:wrap="around" w:vAnchor="page" w:hAnchor="page" w:x="1419" w:y="14176" w:anchorLock="1"/>
      <w:spacing w:line="360" w:lineRule="exact"/>
    </w:pPr>
    <w:rPr>
      <w:rFonts w:ascii="黑体" w:eastAsia="黑体" w:hAnsi="Times New Roman" w:cs="Times New Roman" w:hint="eastAsia"/>
      <w:sz w:val="28"/>
    </w:rPr>
  </w:style>
  <w:style w:type="paragraph" w:customStyle="1" w:styleId="afff8">
    <w:name w:val="封面标准代替信息"/>
    <w:pPr>
      <w:framePr w:w="9355" w:h="624" w:hRule="exact" w:hSpace="181" w:vSpace="181" w:wrap="around" w:vAnchor="page" w:hAnchor="page" w:x="1419" w:y="3284"/>
      <w:spacing w:before="57" w:line="280" w:lineRule="exact"/>
      <w:jc w:val="right"/>
    </w:pPr>
    <w:rPr>
      <w:rFonts w:ascii="黑体" w:eastAsia="黑体" w:hAnsi="Times New Roman" w:cs="Times New Roman" w:hint="eastAsia"/>
      <w:sz w:val="21"/>
    </w:rPr>
  </w:style>
  <w:style w:type="paragraph" w:customStyle="1" w:styleId="23">
    <w:name w:val="封面标准号2"/>
    <w:pPr>
      <w:framePr w:w="9355" w:h="624" w:hRule="exact" w:hSpace="181" w:vSpace="181" w:wrap="around" w:vAnchor="page" w:hAnchor="page" w:x="1419" w:y="3284"/>
      <w:spacing w:line="280" w:lineRule="exact"/>
      <w:jc w:val="right"/>
    </w:pPr>
    <w:rPr>
      <w:rFonts w:ascii="黑体" w:eastAsia="黑体" w:hAnsi="Times New Roman" w:cs="Times New Roman" w:hint="eastAsia"/>
      <w:sz w:val="28"/>
    </w:rPr>
  </w:style>
  <w:style w:type="paragraph" w:customStyle="1" w:styleId="afff9">
    <w:name w:val="封面标准名称"/>
    <w:pPr>
      <w:framePr w:w="9639" w:h="6974" w:hRule="exact" w:wrap="around" w:vAnchor="page" w:hAnchor="page" w:x="1419" w:y="6408"/>
      <w:spacing w:line="700" w:lineRule="exact"/>
      <w:jc w:val="center"/>
    </w:pPr>
    <w:rPr>
      <w:rFonts w:ascii="黑体" w:eastAsia="黑体" w:hAnsi="Times New Roman" w:cs="Times New Roman" w:hint="eastAsia"/>
      <w:sz w:val="52"/>
    </w:rPr>
  </w:style>
  <w:style w:type="paragraph" w:customStyle="1" w:styleId="afffa">
    <w:name w:val="封面标准英文名称"/>
    <w:basedOn w:val="afff9"/>
    <w:pPr>
      <w:framePr w:wrap="around"/>
      <w:widowControl w:val="0"/>
      <w:spacing w:before="410" w:line="360" w:lineRule="exact"/>
      <w:textAlignment w:val="bottom"/>
    </w:pPr>
    <w:rPr>
      <w:rFonts w:ascii="Times New Roman"/>
      <w:sz w:val="28"/>
    </w:rPr>
  </w:style>
  <w:style w:type="paragraph" w:customStyle="1" w:styleId="afffb">
    <w:name w:val="封面一致性程度标识"/>
    <w:basedOn w:val="afffa"/>
    <w:pPr>
      <w:framePr w:wrap="around"/>
      <w:spacing w:before="760"/>
    </w:pPr>
  </w:style>
  <w:style w:type="paragraph" w:customStyle="1" w:styleId="afffc">
    <w:name w:val="封面标准文稿类别"/>
    <w:basedOn w:val="afffb"/>
    <w:pPr>
      <w:framePr w:wrap="around"/>
      <w:spacing w:before="440" w:after="160"/>
    </w:pPr>
    <w:rPr>
      <w:rFonts w:ascii="黑体" w:hAnsi="黑体" w:cs="黑体"/>
      <w:sz w:val="24"/>
    </w:rPr>
  </w:style>
  <w:style w:type="paragraph" w:customStyle="1" w:styleId="afffd">
    <w:name w:val="封面标准文稿编辑信息"/>
    <w:basedOn w:val="afffc"/>
    <w:pPr>
      <w:framePr w:wrap="around"/>
      <w:spacing w:before="180" w:line="240" w:lineRule="atLeast"/>
    </w:pPr>
    <w:rPr>
      <w:sz w:val="21"/>
    </w:rPr>
  </w:style>
  <w:style w:type="paragraph" w:customStyle="1" w:styleId="afffe">
    <w:name w:val="封面标准文稿附件"/>
    <w:basedOn w:val="afffc"/>
    <w:pPr>
      <w:framePr w:wrap="around"/>
      <w:spacing w:beforeLines="300" w:before="937" w:afterLines="30" w:line="240" w:lineRule="auto"/>
    </w:pPr>
    <w:rPr>
      <w:rFonts w:ascii="Times New Roman" w:hAnsi="Times New Roman" w:cs="Times New Roman"/>
      <w:b/>
      <w:sz w:val="21"/>
    </w:rPr>
  </w:style>
  <w:style w:type="paragraph" w:customStyle="1" w:styleId="affff">
    <w:name w:val="其他发布部门"/>
    <w:basedOn w:val="afff4"/>
    <w:pPr>
      <w:framePr w:wrap="around" w:y="15310"/>
      <w:spacing w:line="0" w:lineRule="atLeast"/>
    </w:pPr>
    <w:rPr>
      <w:rFonts w:ascii="黑体" w:eastAsia="黑体" w:hAnsi="黑体" w:cs="黑体"/>
    </w:rPr>
  </w:style>
  <w:style w:type="paragraph" w:customStyle="1" w:styleId="24">
    <w:name w:val="其他发布部门2"/>
    <w:basedOn w:val="afff4"/>
    <w:qFormat/>
    <w:pPr>
      <w:framePr w:w="7433" w:h="584" w:hRule="exact" w:hSpace="181" w:wrap="around" w:vAnchor="margin" w:hAnchor="margin" w:xAlign="center" w:y="15027"/>
      <w:spacing w:line="0" w:lineRule="atLeast"/>
    </w:pPr>
    <w:rPr>
      <w:rFonts w:ascii="黑体" w:eastAsia="黑体" w:hAnsi="黑体"/>
      <w:spacing w:val="0"/>
      <w:w w:val="100"/>
    </w:rPr>
  </w:style>
  <w:style w:type="paragraph" w:customStyle="1" w:styleId="31">
    <w:name w:val="其他发布部门3"/>
    <w:qFormat/>
    <w:pPr>
      <w:framePr w:w="9248" w:h="1259" w:hRule="exact" w:hSpace="181" w:vSpace="181" w:wrap="auto" w:hAnchor="margin" w:xAlign="center" w:y="14545"/>
      <w:spacing w:line="0" w:lineRule="atLeast"/>
      <w:jc w:val="center"/>
    </w:pPr>
    <w:rPr>
      <w:rFonts w:ascii="黑体" w:eastAsia="黑体" w:hAnsi="Times New Roman" w:cs="Times New Roman" w:hint="eastAsia"/>
      <w:sz w:val="28"/>
    </w:rPr>
  </w:style>
  <w:style w:type="paragraph" w:customStyle="1" w:styleId="affff0">
    <w:name w:val="其他发布日期"/>
    <w:basedOn w:val="afff5"/>
    <w:pPr>
      <w:framePr w:hSpace="0" w:wrap="around" w:vAnchor="page" w:hAnchor="text" w:x="1419" w:y="14176"/>
    </w:pPr>
  </w:style>
  <w:style w:type="paragraph" w:customStyle="1" w:styleId="affff1">
    <w:name w:val="其他实施日期"/>
    <w:basedOn w:val="afff6"/>
    <w:qFormat/>
    <w:pPr>
      <w:framePr w:wrap="around"/>
    </w:pPr>
  </w:style>
  <w:style w:type="paragraph" w:customStyle="1" w:styleId="affff2">
    <w:name w:val="文献分类号"/>
    <w:pPr>
      <w:framePr w:wrap="around" w:vAnchor="page" w:hAnchor="page" w:x="1373" w:y="568"/>
      <w:widowControl w:val="0"/>
      <w:textAlignment w:val="center"/>
    </w:pPr>
    <w:rPr>
      <w:rFonts w:ascii="黑体" w:eastAsia="黑体" w:hAnsi="Times New Roman" w:cs="Times New Roman" w:hint="eastAsia"/>
      <w:kern w:val="21"/>
      <w:sz w:val="21"/>
    </w:rPr>
  </w:style>
  <w:style w:type="paragraph" w:customStyle="1" w:styleId="affff3">
    <w:name w:val="标准文件_目录标题"/>
    <w:basedOn w:val="aff2"/>
    <w:pPr>
      <w:shd w:val="clear" w:color="auto" w:fill="FFFFFF"/>
      <w:spacing w:afterLines="150" w:after="469"/>
      <w:jc w:val="center"/>
    </w:pPr>
    <w:rPr>
      <w:rFonts w:ascii="黑体" w:eastAsia="黑体" w:cs="黑体"/>
      <w:kern w:val="0"/>
      <w:sz w:val="32"/>
    </w:rPr>
  </w:style>
  <w:style w:type="paragraph" w:customStyle="1" w:styleId="afc">
    <w:name w:val="标准文件_前言、引言标题"/>
    <w:next w:val="aff2"/>
    <w:pPr>
      <w:numPr>
        <w:numId w:val="5"/>
      </w:numPr>
      <w:spacing w:afterLines="150" w:after="469"/>
      <w:jc w:val="center"/>
      <w:outlineLvl w:val="0"/>
    </w:pPr>
    <w:rPr>
      <w:rFonts w:ascii="黑体" w:eastAsia="黑体" w:hAnsi="Times New Roman" w:cs="黑体" w:hint="eastAsia"/>
      <w:sz w:val="32"/>
    </w:rPr>
  </w:style>
  <w:style w:type="paragraph" w:customStyle="1" w:styleId="affff4">
    <w:name w:val="标准文件_正文标准名称"/>
    <w:basedOn w:val="aff2"/>
    <w:link w:val="Char"/>
    <w:pPr>
      <w:widowControl/>
      <w:spacing w:after="640" w:line="400" w:lineRule="exact"/>
      <w:jc w:val="center"/>
    </w:pPr>
    <w:rPr>
      <w:rFonts w:ascii="黑体" w:eastAsia="黑体" w:hAnsi="黑体" w:cs="黑体"/>
      <w:sz w:val="32"/>
    </w:rPr>
  </w:style>
  <w:style w:type="paragraph" w:customStyle="1" w:styleId="a5">
    <w:name w:val="标准文件_一级项"/>
    <w:next w:val="affc"/>
    <w:pPr>
      <w:numPr>
        <w:numId w:val="6"/>
      </w:numPr>
      <w:tabs>
        <w:tab w:val="clear" w:pos="851"/>
        <w:tab w:val="left" w:pos="850"/>
      </w:tabs>
    </w:pPr>
    <w:rPr>
      <w:rFonts w:ascii="宋体" w:hAnsi="Times New Roman" w:cs="宋体" w:hint="eastAsia"/>
      <w:sz w:val="21"/>
    </w:rPr>
  </w:style>
  <w:style w:type="paragraph" w:customStyle="1" w:styleId="2">
    <w:name w:val="标准文件_二级项2"/>
    <w:basedOn w:val="affc"/>
    <w:next w:val="affc"/>
    <w:qFormat/>
    <w:pPr>
      <w:numPr>
        <w:ilvl w:val="1"/>
        <w:numId w:val="6"/>
      </w:numPr>
      <w:ind w:firstLineChars="0" w:firstLine="0"/>
    </w:pPr>
  </w:style>
  <w:style w:type="paragraph" w:customStyle="1" w:styleId="a4">
    <w:name w:val="标准文件_三级项"/>
    <w:basedOn w:val="aff2"/>
    <w:next w:val="affc"/>
    <w:qFormat/>
    <w:pPr>
      <w:numPr>
        <w:ilvl w:val="2"/>
        <w:numId w:val="7"/>
      </w:numPr>
      <w:spacing w:line="300" w:lineRule="exact"/>
    </w:pPr>
    <w:rPr>
      <w:rFonts w:hAnsi="Calibri"/>
    </w:rPr>
  </w:style>
  <w:style w:type="paragraph" w:customStyle="1" w:styleId="a2">
    <w:name w:val="标准文件_字母编号列项（一级）"/>
    <w:next w:val="affc"/>
    <w:qFormat/>
    <w:pPr>
      <w:numPr>
        <w:numId w:val="7"/>
      </w:numPr>
      <w:tabs>
        <w:tab w:val="clear" w:pos="851"/>
        <w:tab w:val="left" w:pos="839"/>
      </w:tabs>
      <w:jc w:val="both"/>
    </w:pPr>
    <w:rPr>
      <w:rFonts w:ascii="宋体" w:hAnsi="Times New Roman" w:cs="宋体" w:hint="eastAsia"/>
      <w:sz w:val="21"/>
    </w:rPr>
  </w:style>
  <w:style w:type="paragraph" w:customStyle="1" w:styleId="a3">
    <w:name w:val="标准文件_数字编号列项（二级）"/>
    <w:next w:val="affc"/>
    <w:qFormat/>
    <w:pPr>
      <w:numPr>
        <w:ilvl w:val="1"/>
        <w:numId w:val="7"/>
      </w:numPr>
      <w:tabs>
        <w:tab w:val="clear" w:pos="1276"/>
        <w:tab w:val="left" w:pos="1259"/>
      </w:tabs>
      <w:ind w:left="1259" w:hanging="419"/>
      <w:jc w:val="both"/>
    </w:pPr>
    <w:rPr>
      <w:rFonts w:ascii="宋体" w:hAnsi="Times New Roman" w:cs="Times New Roman" w:hint="eastAsia"/>
      <w:sz w:val="21"/>
    </w:rPr>
  </w:style>
  <w:style w:type="paragraph" w:customStyle="1" w:styleId="afd">
    <w:name w:val="标准文件_引言一级条标题"/>
    <w:basedOn w:val="affc"/>
    <w:next w:val="affc"/>
    <w:qFormat/>
    <w:pPr>
      <w:numPr>
        <w:ilvl w:val="1"/>
        <w:numId w:val="5"/>
      </w:numPr>
      <w:spacing w:beforeLines="50" w:before="157" w:afterLines="50" w:after="157"/>
      <w:ind w:firstLineChars="0"/>
    </w:pPr>
    <w:rPr>
      <w:rFonts w:ascii="黑体" w:eastAsia="黑体" w:hAnsi="黑体" w:cs="黑体"/>
    </w:rPr>
  </w:style>
  <w:style w:type="paragraph" w:customStyle="1" w:styleId="afe">
    <w:name w:val="标准文件_引言二级条标题"/>
    <w:basedOn w:val="affc"/>
    <w:next w:val="affc"/>
    <w:qFormat/>
    <w:pPr>
      <w:numPr>
        <w:ilvl w:val="2"/>
        <w:numId w:val="5"/>
      </w:numPr>
      <w:spacing w:beforeLines="50" w:before="157" w:afterLines="50" w:after="157"/>
      <w:ind w:firstLineChars="0"/>
    </w:pPr>
    <w:rPr>
      <w:rFonts w:ascii="黑体" w:eastAsia="黑体" w:hAnsi="黑体" w:cs="黑体"/>
    </w:rPr>
  </w:style>
  <w:style w:type="paragraph" w:customStyle="1" w:styleId="aff">
    <w:name w:val="标准文件_引言三级条标题"/>
    <w:basedOn w:val="affc"/>
    <w:next w:val="affc"/>
    <w:qFormat/>
    <w:pPr>
      <w:numPr>
        <w:ilvl w:val="3"/>
        <w:numId w:val="5"/>
      </w:numPr>
      <w:spacing w:beforeLines="50" w:before="157" w:afterLines="50" w:after="157"/>
      <w:ind w:firstLineChars="0"/>
    </w:pPr>
    <w:rPr>
      <w:rFonts w:ascii="黑体" w:eastAsia="黑体" w:hAnsi="黑体" w:cs="黑体"/>
    </w:rPr>
  </w:style>
  <w:style w:type="paragraph" w:customStyle="1" w:styleId="aff0">
    <w:name w:val="标准文件_引言四级条标题"/>
    <w:basedOn w:val="affc"/>
    <w:next w:val="affc"/>
    <w:qFormat/>
    <w:pPr>
      <w:numPr>
        <w:ilvl w:val="4"/>
        <w:numId w:val="5"/>
      </w:numPr>
      <w:spacing w:beforeLines="50" w:before="157" w:afterLines="50" w:after="157"/>
      <w:ind w:firstLineChars="0"/>
    </w:pPr>
    <w:rPr>
      <w:rFonts w:ascii="黑体" w:eastAsia="黑体" w:hAnsi="黑体" w:cs="黑体"/>
    </w:rPr>
  </w:style>
  <w:style w:type="paragraph" w:customStyle="1" w:styleId="aff1">
    <w:name w:val="标准文件_引言五级条标题"/>
    <w:basedOn w:val="affc"/>
    <w:next w:val="affc"/>
    <w:qFormat/>
    <w:pPr>
      <w:numPr>
        <w:ilvl w:val="5"/>
        <w:numId w:val="5"/>
      </w:numPr>
      <w:spacing w:beforeLines="50" w:before="157" w:afterLines="50" w:after="157"/>
      <w:ind w:firstLineChars="0"/>
    </w:pPr>
    <w:rPr>
      <w:rFonts w:ascii="黑体" w:eastAsia="黑体" w:hAnsi="黑体" w:cs="黑体"/>
    </w:rPr>
  </w:style>
  <w:style w:type="paragraph" w:customStyle="1" w:styleId="affff5">
    <w:name w:val="标准文件_引言一级无标题"/>
    <w:basedOn w:val="afd"/>
    <w:next w:val="affc"/>
    <w:qFormat/>
    <w:pPr>
      <w:spacing w:beforeLines="1" w:before="4" w:afterLines="1" w:after="4" w:line="276" w:lineRule="auto"/>
    </w:pPr>
    <w:rPr>
      <w:rFonts w:ascii="宋体" w:eastAsia="宋体" w:hAnsi="宋体" w:cs="宋体"/>
    </w:rPr>
  </w:style>
  <w:style w:type="paragraph" w:customStyle="1" w:styleId="affff6">
    <w:name w:val="标准文件_引言二级无标题"/>
    <w:basedOn w:val="afe"/>
    <w:next w:val="affc"/>
    <w:qFormat/>
    <w:pPr>
      <w:spacing w:beforeLines="1" w:before="4" w:afterLines="1" w:after="4" w:line="276" w:lineRule="auto"/>
    </w:pPr>
    <w:rPr>
      <w:rFonts w:ascii="宋体" w:eastAsia="宋体" w:hAnsi="宋体" w:cs="宋体"/>
    </w:rPr>
  </w:style>
  <w:style w:type="paragraph" w:customStyle="1" w:styleId="affff7">
    <w:name w:val="标准文件_引言三级无标题"/>
    <w:basedOn w:val="aff"/>
    <w:next w:val="affc"/>
    <w:qFormat/>
    <w:pPr>
      <w:spacing w:beforeLines="1" w:before="4" w:afterLines="1" w:after="4" w:line="276" w:lineRule="auto"/>
    </w:pPr>
    <w:rPr>
      <w:rFonts w:ascii="宋体" w:eastAsia="宋体" w:hAnsi="宋体" w:cs="宋体"/>
    </w:rPr>
  </w:style>
  <w:style w:type="paragraph" w:customStyle="1" w:styleId="affff8">
    <w:name w:val="标准文件_引言四级无标题"/>
    <w:basedOn w:val="aff0"/>
    <w:next w:val="affc"/>
    <w:qFormat/>
    <w:pPr>
      <w:spacing w:beforeLines="1" w:before="4" w:afterLines="1" w:after="4" w:line="276" w:lineRule="auto"/>
    </w:pPr>
    <w:rPr>
      <w:rFonts w:ascii="宋体" w:eastAsia="宋体" w:hAnsi="宋体" w:cs="宋体"/>
    </w:rPr>
  </w:style>
  <w:style w:type="paragraph" w:customStyle="1" w:styleId="affff9">
    <w:name w:val="标准文件_引言五级无标题"/>
    <w:basedOn w:val="aff1"/>
    <w:next w:val="affc"/>
    <w:qFormat/>
    <w:pPr>
      <w:spacing w:beforeLines="1" w:before="4" w:afterLines="1" w:after="4" w:line="276" w:lineRule="auto"/>
    </w:pPr>
    <w:rPr>
      <w:rFonts w:ascii="宋体" w:eastAsia="宋体" w:hAnsi="宋体" w:cs="宋体"/>
    </w:rPr>
  </w:style>
  <w:style w:type="paragraph" w:customStyle="1" w:styleId="a6">
    <w:name w:val="标准文件_章标题"/>
    <w:next w:val="affc"/>
    <w:qFormat/>
    <w:pPr>
      <w:numPr>
        <w:numId w:val="8"/>
      </w:numPr>
      <w:spacing w:beforeLines="100" w:before="313" w:afterLines="100" w:after="313"/>
      <w:jc w:val="both"/>
      <w:outlineLvl w:val="0"/>
    </w:pPr>
    <w:rPr>
      <w:rFonts w:ascii="黑体" w:eastAsia="黑体" w:hAnsi="Times New Roman" w:cs="黑体" w:hint="eastAsia"/>
      <w:sz w:val="21"/>
    </w:rPr>
  </w:style>
  <w:style w:type="paragraph" w:customStyle="1" w:styleId="a7">
    <w:name w:val="标准文件_一级条标题"/>
    <w:basedOn w:val="a6"/>
    <w:next w:val="affc"/>
    <w:qFormat/>
    <w:pPr>
      <w:numPr>
        <w:ilvl w:val="1"/>
      </w:numPr>
      <w:spacing w:beforeLines="50" w:before="157" w:afterLines="50" w:after="157"/>
      <w:outlineLvl w:val="1"/>
    </w:pPr>
  </w:style>
  <w:style w:type="paragraph" w:customStyle="1" w:styleId="a8">
    <w:name w:val="标准文件_二级条标题"/>
    <w:next w:val="affc"/>
    <w:qFormat/>
    <w:pPr>
      <w:numPr>
        <w:ilvl w:val="2"/>
        <w:numId w:val="8"/>
      </w:numPr>
      <w:spacing w:beforeLines="50" w:before="157" w:afterLines="50" w:after="157"/>
      <w:jc w:val="both"/>
      <w:outlineLvl w:val="2"/>
    </w:pPr>
    <w:rPr>
      <w:rFonts w:ascii="黑体" w:eastAsia="黑体" w:hAnsi="黑体" w:cs="黑体" w:hint="eastAsia"/>
      <w:sz w:val="21"/>
    </w:rPr>
  </w:style>
  <w:style w:type="paragraph" w:customStyle="1" w:styleId="a9">
    <w:name w:val="标准文件_三级条标题"/>
    <w:basedOn w:val="a8"/>
    <w:next w:val="affc"/>
    <w:qFormat/>
    <w:pPr>
      <w:numPr>
        <w:ilvl w:val="3"/>
      </w:numPr>
      <w:outlineLvl w:val="3"/>
    </w:pPr>
  </w:style>
  <w:style w:type="paragraph" w:customStyle="1" w:styleId="aa">
    <w:name w:val="标准文件_四级条标题"/>
    <w:next w:val="affc"/>
    <w:qFormat/>
    <w:pPr>
      <w:numPr>
        <w:ilvl w:val="4"/>
        <w:numId w:val="8"/>
      </w:numPr>
      <w:spacing w:beforeLines="50" w:before="157" w:afterLines="50" w:after="157"/>
      <w:jc w:val="both"/>
      <w:outlineLvl w:val="4"/>
    </w:pPr>
    <w:rPr>
      <w:rFonts w:ascii="黑体" w:eastAsia="黑体" w:hAnsi="黑体" w:cs="黑体" w:hint="eastAsia"/>
      <w:sz w:val="21"/>
    </w:rPr>
  </w:style>
  <w:style w:type="paragraph" w:customStyle="1" w:styleId="ab">
    <w:name w:val="标准文件_五级条标题"/>
    <w:next w:val="affc"/>
    <w:qFormat/>
    <w:pPr>
      <w:numPr>
        <w:ilvl w:val="5"/>
        <w:numId w:val="8"/>
      </w:numPr>
      <w:spacing w:beforeLines="50" w:before="157" w:afterLines="50" w:after="157"/>
      <w:jc w:val="both"/>
      <w:outlineLvl w:val="4"/>
    </w:pPr>
    <w:rPr>
      <w:rFonts w:ascii="黑体" w:eastAsia="黑体" w:hAnsi="黑体" w:cs="黑体" w:hint="eastAsia"/>
      <w:sz w:val="21"/>
    </w:rPr>
  </w:style>
  <w:style w:type="paragraph" w:customStyle="1" w:styleId="affffa">
    <w:name w:val="标准文件_一级无标题"/>
    <w:basedOn w:val="a7"/>
    <w:qFormat/>
    <w:pPr>
      <w:spacing w:beforeLines="1" w:before="4" w:afterLines="1" w:after="4"/>
      <w:outlineLvl w:val="9"/>
    </w:pPr>
    <w:rPr>
      <w:rFonts w:ascii="宋体" w:eastAsia="宋体" w:hAnsi="宋体" w:cs="宋体"/>
    </w:rPr>
  </w:style>
  <w:style w:type="paragraph" w:customStyle="1" w:styleId="affffb">
    <w:name w:val="标准文件_二级无标题"/>
    <w:basedOn w:val="a8"/>
    <w:qFormat/>
    <w:pPr>
      <w:spacing w:beforeLines="1" w:before="4" w:afterLines="1" w:after="4"/>
      <w:outlineLvl w:val="9"/>
    </w:pPr>
    <w:rPr>
      <w:rFonts w:ascii="宋体" w:eastAsia="宋体" w:hAnsi="宋体" w:cs="宋体"/>
    </w:rPr>
  </w:style>
  <w:style w:type="paragraph" w:customStyle="1" w:styleId="affffc">
    <w:name w:val="标准文件_三级无标题"/>
    <w:basedOn w:val="a9"/>
    <w:qFormat/>
    <w:pPr>
      <w:spacing w:beforeLines="1" w:before="4" w:afterLines="1" w:after="4"/>
      <w:outlineLvl w:val="9"/>
    </w:pPr>
    <w:rPr>
      <w:rFonts w:ascii="宋体" w:eastAsia="宋体" w:hAnsi="宋体" w:cs="宋体"/>
    </w:rPr>
  </w:style>
  <w:style w:type="paragraph" w:customStyle="1" w:styleId="affffd">
    <w:name w:val="标准文件_四级无标题"/>
    <w:basedOn w:val="aa"/>
    <w:qFormat/>
    <w:pPr>
      <w:spacing w:beforeLines="1" w:before="4" w:afterLines="1" w:after="4"/>
      <w:outlineLvl w:val="9"/>
    </w:pPr>
    <w:rPr>
      <w:rFonts w:ascii="宋体" w:eastAsia="宋体" w:hAnsi="宋体" w:cs="宋体"/>
    </w:rPr>
  </w:style>
  <w:style w:type="paragraph" w:customStyle="1" w:styleId="affffe">
    <w:name w:val="标准文件_五级无标题"/>
    <w:basedOn w:val="ab"/>
    <w:qFormat/>
    <w:pPr>
      <w:spacing w:beforeLines="1" w:before="4" w:afterLines="1" w:after="4"/>
      <w:outlineLvl w:val="9"/>
    </w:pPr>
    <w:rPr>
      <w:rFonts w:ascii="宋体" w:eastAsia="宋体" w:hAnsi="宋体" w:cs="宋体"/>
    </w:rPr>
  </w:style>
  <w:style w:type="paragraph" w:customStyle="1" w:styleId="afffff">
    <w:name w:val="标准文件_术语条一"/>
    <w:basedOn w:val="affffa"/>
    <w:next w:val="affc"/>
    <w:qFormat/>
    <w:pPr>
      <w:ind w:left="960" w:hangingChars="200" w:hanging="960"/>
    </w:pPr>
    <w:rPr>
      <w:rFonts w:ascii="黑体" w:eastAsia="黑体" w:hAnsi="黑体" w:cs="黑体"/>
    </w:rPr>
  </w:style>
  <w:style w:type="paragraph" w:customStyle="1" w:styleId="afffff0">
    <w:name w:val="标准文件_术语条二"/>
    <w:basedOn w:val="affffb"/>
    <w:next w:val="affc"/>
    <w:qFormat/>
    <w:pPr>
      <w:ind w:left="960" w:hangingChars="200" w:hanging="960"/>
    </w:pPr>
    <w:rPr>
      <w:rFonts w:ascii="黑体" w:eastAsia="黑体" w:hAnsi="黑体" w:cs="黑体"/>
    </w:rPr>
  </w:style>
  <w:style w:type="paragraph" w:customStyle="1" w:styleId="afffff1">
    <w:name w:val="标准文件_术语条三"/>
    <w:basedOn w:val="affffc"/>
    <w:next w:val="affc"/>
    <w:qFormat/>
    <w:pPr>
      <w:ind w:left="960" w:hangingChars="200" w:hanging="960"/>
    </w:pPr>
    <w:rPr>
      <w:rFonts w:ascii="黑体" w:eastAsia="黑体" w:hAnsi="黑体" w:cs="黑体"/>
    </w:rPr>
  </w:style>
  <w:style w:type="paragraph" w:customStyle="1" w:styleId="afffff2">
    <w:name w:val="标准文件_术语条四"/>
    <w:basedOn w:val="affffd"/>
    <w:next w:val="affc"/>
    <w:qFormat/>
    <w:pPr>
      <w:ind w:left="960" w:hangingChars="200" w:hanging="960"/>
    </w:pPr>
    <w:rPr>
      <w:rFonts w:ascii="黑体" w:eastAsia="黑体" w:hAnsi="黑体" w:cs="黑体"/>
    </w:rPr>
  </w:style>
  <w:style w:type="paragraph" w:customStyle="1" w:styleId="afffff3">
    <w:name w:val="标准文件_术语条五"/>
    <w:basedOn w:val="affffe"/>
    <w:next w:val="affc"/>
    <w:qFormat/>
    <w:pPr>
      <w:ind w:left="960" w:hangingChars="200" w:hanging="960"/>
    </w:pPr>
    <w:rPr>
      <w:rFonts w:ascii="黑体" w:eastAsia="黑体" w:hAnsi="黑体" w:cs="黑体"/>
    </w:rPr>
  </w:style>
  <w:style w:type="paragraph" w:customStyle="1" w:styleId="af1">
    <w:name w:val="标准文件_附录标识"/>
    <w:basedOn w:val="aff2"/>
    <w:next w:val="affc"/>
    <w:qFormat/>
    <w:pPr>
      <w:widowControl/>
      <w:numPr>
        <w:numId w:val="9"/>
      </w:numPr>
      <w:spacing w:beforeLines="25" w:before="79" w:afterLines="50" w:after="157"/>
      <w:jc w:val="center"/>
      <w:outlineLvl w:val="0"/>
    </w:pPr>
    <w:rPr>
      <w:rFonts w:ascii="黑体" w:eastAsia="黑体" w:hAnsi="黑体" w:cs="黑体"/>
    </w:rPr>
  </w:style>
  <w:style w:type="paragraph" w:customStyle="1" w:styleId="af2">
    <w:name w:val="标准文件_附录一级条标题"/>
    <w:next w:val="affc"/>
    <w:qFormat/>
    <w:pPr>
      <w:numPr>
        <w:ilvl w:val="1"/>
        <w:numId w:val="9"/>
      </w:numPr>
      <w:spacing w:beforeLines="50" w:before="157" w:afterLines="50" w:after="157"/>
      <w:jc w:val="both"/>
      <w:outlineLvl w:val="2"/>
    </w:pPr>
    <w:rPr>
      <w:rFonts w:ascii="黑体" w:eastAsia="黑体" w:hAnsi="黑体" w:cs="黑体" w:hint="eastAsia"/>
      <w:sz w:val="21"/>
    </w:rPr>
  </w:style>
  <w:style w:type="paragraph" w:customStyle="1" w:styleId="af3">
    <w:name w:val="标准文件_附录二级条标题"/>
    <w:next w:val="affc"/>
    <w:qFormat/>
    <w:pPr>
      <w:numPr>
        <w:ilvl w:val="2"/>
        <w:numId w:val="9"/>
      </w:numPr>
      <w:spacing w:beforeLines="50" w:before="157" w:afterLines="50" w:after="157"/>
      <w:jc w:val="both"/>
      <w:outlineLvl w:val="2"/>
    </w:pPr>
    <w:rPr>
      <w:rFonts w:ascii="黑体" w:eastAsia="黑体" w:hAnsi="黑体" w:cs="黑体" w:hint="eastAsia"/>
      <w:sz w:val="21"/>
    </w:rPr>
  </w:style>
  <w:style w:type="paragraph" w:customStyle="1" w:styleId="af4">
    <w:name w:val="标准文件_附录三级条标题"/>
    <w:next w:val="affc"/>
    <w:qFormat/>
    <w:pPr>
      <w:numPr>
        <w:ilvl w:val="3"/>
        <w:numId w:val="9"/>
      </w:numPr>
      <w:spacing w:beforeLines="50" w:before="157" w:afterLines="50" w:after="157"/>
      <w:jc w:val="both"/>
      <w:outlineLvl w:val="2"/>
    </w:pPr>
    <w:rPr>
      <w:rFonts w:ascii="黑体" w:eastAsia="黑体" w:hAnsi="黑体" w:cs="黑体" w:hint="eastAsia"/>
      <w:sz w:val="21"/>
    </w:rPr>
  </w:style>
  <w:style w:type="paragraph" w:customStyle="1" w:styleId="af5">
    <w:name w:val="标准文件_附录四级条标题"/>
    <w:next w:val="affc"/>
    <w:qFormat/>
    <w:pPr>
      <w:numPr>
        <w:ilvl w:val="4"/>
        <w:numId w:val="9"/>
      </w:numPr>
      <w:spacing w:beforeLines="50" w:before="157" w:afterLines="50" w:after="157"/>
      <w:jc w:val="both"/>
      <w:outlineLvl w:val="2"/>
    </w:pPr>
    <w:rPr>
      <w:rFonts w:ascii="黑体" w:eastAsia="黑体" w:hAnsi="黑体" w:cs="黑体" w:hint="eastAsia"/>
      <w:sz w:val="21"/>
    </w:rPr>
  </w:style>
  <w:style w:type="paragraph" w:customStyle="1" w:styleId="af6">
    <w:name w:val="标准文件_附录五级条标题"/>
    <w:next w:val="affc"/>
    <w:qFormat/>
    <w:pPr>
      <w:numPr>
        <w:ilvl w:val="5"/>
        <w:numId w:val="9"/>
      </w:numPr>
      <w:spacing w:beforeLines="50" w:before="157" w:afterLines="50" w:after="157"/>
      <w:jc w:val="both"/>
      <w:outlineLvl w:val="2"/>
    </w:pPr>
    <w:rPr>
      <w:rFonts w:ascii="黑体" w:eastAsia="黑体" w:hAnsi="黑体" w:cs="黑体" w:hint="eastAsia"/>
      <w:sz w:val="21"/>
    </w:rPr>
  </w:style>
  <w:style w:type="paragraph" w:customStyle="1" w:styleId="afffff4">
    <w:name w:val="标准文件_附录一级无标题"/>
    <w:basedOn w:val="af2"/>
    <w:qFormat/>
    <w:pPr>
      <w:spacing w:beforeLines="1" w:before="4" w:afterLines="1" w:after="4" w:line="276" w:lineRule="auto"/>
    </w:pPr>
    <w:rPr>
      <w:rFonts w:ascii="宋体" w:eastAsia="宋体" w:hAnsi="宋体" w:cs="宋体"/>
    </w:rPr>
  </w:style>
  <w:style w:type="paragraph" w:customStyle="1" w:styleId="afffff5">
    <w:name w:val="标准文件_附录二级无标题"/>
    <w:basedOn w:val="af3"/>
    <w:qFormat/>
    <w:pPr>
      <w:spacing w:beforeLines="1" w:before="4" w:afterLines="1" w:after="4" w:line="276" w:lineRule="auto"/>
    </w:pPr>
    <w:rPr>
      <w:rFonts w:ascii="宋体" w:eastAsia="宋体" w:hAnsi="宋体" w:cs="宋体"/>
    </w:rPr>
  </w:style>
  <w:style w:type="paragraph" w:customStyle="1" w:styleId="afffff6">
    <w:name w:val="标准文件_附录三级无标题"/>
    <w:basedOn w:val="af4"/>
    <w:qFormat/>
    <w:pPr>
      <w:spacing w:beforeLines="1" w:before="4" w:afterLines="1" w:after="4" w:line="276" w:lineRule="auto"/>
    </w:pPr>
    <w:rPr>
      <w:rFonts w:ascii="宋体" w:eastAsia="宋体" w:hAnsi="宋体" w:cs="宋体"/>
    </w:rPr>
  </w:style>
  <w:style w:type="paragraph" w:customStyle="1" w:styleId="afffff7">
    <w:name w:val="标准文件_附录四级无标题"/>
    <w:basedOn w:val="af5"/>
    <w:qFormat/>
    <w:pPr>
      <w:spacing w:beforeLines="1" w:before="4" w:afterLines="1" w:after="4" w:line="276" w:lineRule="auto"/>
    </w:pPr>
    <w:rPr>
      <w:rFonts w:ascii="宋体" w:eastAsia="宋体" w:hAnsi="宋体" w:cs="宋体"/>
    </w:rPr>
  </w:style>
  <w:style w:type="paragraph" w:customStyle="1" w:styleId="afffff8">
    <w:name w:val="标准文件_附录五级无标题"/>
    <w:basedOn w:val="af6"/>
    <w:qFormat/>
    <w:pPr>
      <w:spacing w:beforeLines="1" w:before="4" w:afterLines="1" w:after="4" w:line="276" w:lineRule="auto"/>
    </w:pPr>
    <w:rPr>
      <w:rFonts w:ascii="宋体" w:eastAsia="宋体" w:hAnsi="宋体" w:cs="宋体"/>
    </w:rPr>
  </w:style>
  <w:style w:type="paragraph" w:customStyle="1" w:styleId="ae">
    <w:name w:val="附录图标号"/>
    <w:basedOn w:val="affc"/>
    <w:next w:val="affc"/>
    <w:qFormat/>
    <w:pPr>
      <w:numPr>
        <w:numId w:val="3"/>
      </w:numPr>
      <w:spacing w:line="14" w:lineRule="exact"/>
      <w:ind w:left="425" w:firstLineChars="0"/>
      <w:jc w:val="center"/>
    </w:pPr>
    <w:rPr>
      <w:sz w:val="2"/>
    </w:rPr>
  </w:style>
  <w:style w:type="paragraph" w:customStyle="1" w:styleId="af">
    <w:name w:val="附录图标题"/>
    <w:next w:val="affc"/>
    <w:qFormat/>
    <w:pPr>
      <w:numPr>
        <w:ilvl w:val="1"/>
        <w:numId w:val="3"/>
      </w:numPr>
      <w:tabs>
        <w:tab w:val="left" w:pos="0"/>
      </w:tabs>
      <w:spacing w:beforeLines="50" w:before="157" w:afterLines="50" w:after="157"/>
      <w:jc w:val="center"/>
    </w:pPr>
    <w:rPr>
      <w:rFonts w:ascii="黑体" w:eastAsia="黑体" w:hAnsi="黑体" w:cs="黑体" w:hint="eastAsia"/>
      <w:sz w:val="21"/>
    </w:rPr>
  </w:style>
  <w:style w:type="paragraph" w:customStyle="1" w:styleId="ac">
    <w:name w:val="附录表标号"/>
    <w:basedOn w:val="affc"/>
    <w:next w:val="affc"/>
    <w:qFormat/>
    <w:pPr>
      <w:numPr>
        <w:numId w:val="10"/>
      </w:numPr>
      <w:spacing w:line="14" w:lineRule="exact"/>
      <w:jc w:val="center"/>
    </w:pPr>
    <w:rPr>
      <w:sz w:val="2"/>
    </w:rPr>
  </w:style>
  <w:style w:type="paragraph" w:customStyle="1" w:styleId="ad">
    <w:name w:val="附录表标题"/>
    <w:next w:val="affc"/>
    <w:qFormat/>
    <w:pPr>
      <w:numPr>
        <w:ilvl w:val="1"/>
        <w:numId w:val="10"/>
      </w:numPr>
      <w:spacing w:beforeLines="50" w:before="157" w:afterLines="50" w:after="157"/>
      <w:jc w:val="center"/>
    </w:pPr>
    <w:rPr>
      <w:rFonts w:ascii="黑体" w:eastAsia="黑体" w:hAnsi="黑体" w:cs="黑体" w:hint="eastAsia"/>
      <w:sz w:val="21"/>
    </w:rPr>
  </w:style>
  <w:style w:type="paragraph" w:customStyle="1" w:styleId="afffff9">
    <w:name w:val="标准文件_示例内容"/>
    <w:basedOn w:val="affc"/>
    <w:qFormat/>
    <w:rPr>
      <w:rFonts w:hAnsi="宋体"/>
      <w:sz w:val="18"/>
    </w:rPr>
  </w:style>
  <w:style w:type="paragraph" w:customStyle="1" w:styleId="a1">
    <w:name w:val="标准文件_示例"/>
    <w:next w:val="afffff9"/>
    <w:qFormat/>
    <w:pPr>
      <w:numPr>
        <w:numId w:val="11"/>
      </w:numPr>
      <w:tabs>
        <w:tab w:val="left" w:pos="539"/>
      </w:tabs>
      <w:jc w:val="both"/>
    </w:pPr>
    <w:rPr>
      <w:rFonts w:ascii="宋体" w:hAnsi="宋体" w:cs="宋体" w:hint="eastAsia"/>
      <w:sz w:val="18"/>
    </w:rPr>
  </w:style>
  <w:style w:type="paragraph" w:customStyle="1" w:styleId="af7">
    <w:name w:val="标准文件_示例×"/>
    <w:basedOn w:val="aff2"/>
    <w:next w:val="afffff9"/>
    <w:qFormat/>
    <w:pPr>
      <w:widowControl/>
      <w:numPr>
        <w:numId w:val="12"/>
      </w:numPr>
      <w:tabs>
        <w:tab w:val="left" w:pos="539"/>
      </w:tabs>
    </w:pPr>
    <w:rPr>
      <w:sz w:val="18"/>
    </w:rPr>
  </w:style>
  <w:style w:type="paragraph" w:customStyle="1" w:styleId="af0">
    <w:name w:val="标准文件_注"/>
    <w:next w:val="affc"/>
    <w:qFormat/>
    <w:pPr>
      <w:numPr>
        <w:numId w:val="13"/>
      </w:numPr>
      <w:tabs>
        <w:tab w:val="left" w:pos="539"/>
      </w:tabs>
      <w:autoSpaceDE w:val="0"/>
      <w:autoSpaceDN w:val="0"/>
      <w:jc w:val="both"/>
    </w:pPr>
    <w:rPr>
      <w:rFonts w:ascii="宋体" w:hAnsi="宋体" w:cs="宋体" w:hint="eastAsia"/>
      <w:sz w:val="18"/>
    </w:rPr>
  </w:style>
  <w:style w:type="paragraph" w:customStyle="1" w:styleId="a">
    <w:name w:val="标准文件_注×"/>
    <w:next w:val="affc"/>
    <w:qFormat/>
    <w:pPr>
      <w:numPr>
        <w:numId w:val="14"/>
      </w:numPr>
      <w:tabs>
        <w:tab w:val="left" w:pos="539"/>
      </w:tabs>
      <w:jc w:val="both"/>
    </w:pPr>
    <w:rPr>
      <w:rFonts w:ascii="宋体" w:hAnsi="宋体" w:cs="宋体" w:hint="eastAsia"/>
      <w:sz w:val="18"/>
    </w:rPr>
  </w:style>
  <w:style w:type="paragraph" w:customStyle="1" w:styleId="afa">
    <w:name w:val="标准文件_图表脚注"/>
    <w:basedOn w:val="aff2"/>
    <w:next w:val="affc"/>
    <w:qFormat/>
    <w:pPr>
      <w:numPr>
        <w:numId w:val="15"/>
      </w:numPr>
      <w:adjustRightInd w:val="0"/>
      <w:jc w:val="left"/>
    </w:pPr>
    <w:rPr>
      <w:rFonts w:hAnsi="宋体"/>
      <w:sz w:val="18"/>
    </w:rPr>
  </w:style>
  <w:style w:type="paragraph" w:customStyle="1" w:styleId="afffffa">
    <w:name w:val="标准文件_标准正文"/>
    <w:basedOn w:val="aff2"/>
    <w:next w:val="affc"/>
    <w:qFormat/>
    <w:pPr>
      <w:ind w:firstLineChars="200" w:firstLine="960"/>
    </w:pPr>
  </w:style>
  <w:style w:type="paragraph" w:customStyle="1" w:styleId="afffffb">
    <w:name w:val="标准文件_正文公式"/>
    <w:basedOn w:val="aff2"/>
    <w:next w:val="afffffa"/>
    <w:qFormat/>
    <w:pPr>
      <w:tabs>
        <w:tab w:val="center" w:pos="4678"/>
        <w:tab w:val="right" w:leader="middleDot" w:pos="9355"/>
      </w:tabs>
    </w:pPr>
  </w:style>
  <w:style w:type="paragraph" w:customStyle="1" w:styleId="afffffc">
    <w:name w:val="标准文件_表格"/>
    <w:basedOn w:val="affc"/>
    <w:qFormat/>
    <w:pPr>
      <w:jc w:val="center"/>
    </w:pPr>
    <w:rPr>
      <w:sz w:val="18"/>
    </w:rPr>
  </w:style>
  <w:style w:type="paragraph" w:customStyle="1" w:styleId="afffffd">
    <w:name w:val="终结线"/>
    <w:basedOn w:val="aff2"/>
    <w:qFormat/>
    <w:pPr>
      <w:framePr w:hSpace="181" w:vSpace="181" w:wrap="around" w:vAnchor="text" w:hAnchor="margin" w:xAlign="center" w:y="285"/>
    </w:pPr>
    <w:rPr>
      <w:rFonts w:ascii="Times New Roman" w:cs="Times New Roman"/>
      <w:b/>
      <w:sz w:val="34"/>
    </w:rPr>
  </w:style>
  <w:style w:type="paragraph" w:customStyle="1" w:styleId="afb">
    <w:name w:val="标准文件_正文表标题"/>
    <w:next w:val="affc"/>
    <w:qFormat/>
    <w:pPr>
      <w:numPr>
        <w:numId w:val="16"/>
      </w:numPr>
      <w:spacing w:beforeLines="50" w:before="157" w:afterLines="50" w:after="157"/>
      <w:jc w:val="center"/>
    </w:pPr>
    <w:rPr>
      <w:rFonts w:ascii="黑体" w:eastAsia="黑体" w:hAnsi="黑体" w:cs="黑体" w:hint="eastAsia"/>
      <w:sz w:val="21"/>
    </w:rPr>
  </w:style>
  <w:style w:type="paragraph" w:customStyle="1" w:styleId="a0">
    <w:name w:val="标准文件_正文图标题"/>
    <w:next w:val="affc"/>
    <w:qFormat/>
    <w:pPr>
      <w:numPr>
        <w:numId w:val="17"/>
      </w:numPr>
      <w:spacing w:beforeLines="50" w:before="157" w:afterLines="50" w:after="157"/>
      <w:jc w:val="center"/>
    </w:pPr>
    <w:rPr>
      <w:rFonts w:ascii="黑体" w:eastAsia="黑体" w:hAnsi="黑体" w:cs="黑体" w:hint="eastAsia"/>
      <w:sz w:val="21"/>
    </w:rPr>
  </w:style>
  <w:style w:type="paragraph" w:customStyle="1" w:styleId="afffffe">
    <w:name w:val="标准文件_索引标题"/>
    <w:basedOn w:val="afff2"/>
    <w:next w:val="affc"/>
    <w:qFormat/>
    <w:rPr>
      <w:rFonts w:hAnsi="黑体"/>
    </w:rPr>
  </w:style>
  <w:style w:type="paragraph" w:customStyle="1" w:styleId="affffff">
    <w:name w:val="标准文件_索引项"/>
    <w:basedOn w:val="affc"/>
    <w:next w:val="affc"/>
    <w:qFormat/>
    <w:pPr>
      <w:tabs>
        <w:tab w:val="right" w:leader="dot" w:pos="9355"/>
      </w:tabs>
      <w:autoSpaceDE w:val="0"/>
      <w:autoSpaceDN w:val="0"/>
      <w:ind w:left="177" w:hangingChars="37" w:hanging="177"/>
      <w:jc w:val="left"/>
    </w:pPr>
  </w:style>
  <w:style w:type="paragraph" w:customStyle="1" w:styleId="affffff0">
    <w:name w:val="标准文件_索引字母"/>
    <w:next w:val="affc"/>
    <w:qFormat/>
    <w:pPr>
      <w:jc w:val="center"/>
    </w:pPr>
    <w:rPr>
      <w:rFonts w:ascii="宋体" w:hAnsi="宋体" w:cs="宋体" w:hint="eastAsia"/>
      <w:b/>
      <w:kern w:val="2"/>
      <w:sz w:val="21"/>
    </w:rPr>
  </w:style>
  <w:style w:type="paragraph" w:customStyle="1" w:styleId="affffff1">
    <w:name w:val="标准文件_提示"/>
    <w:basedOn w:val="aff2"/>
    <w:qFormat/>
    <w:pPr>
      <w:ind w:firstLineChars="200" w:firstLine="960"/>
    </w:pPr>
    <w:rPr>
      <w:rFonts w:ascii="黑体" w:eastAsia="黑体" w:hAnsi="黑体" w:cs="黑体"/>
    </w:rPr>
  </w:style>
  <w:style w:type="paragraph" w:customStyle="1" w:styleId="af9">
    <w:name w:val="标准文件_参考文献编号"/>
    <w:basedOn w:val="affc"/>
    <w:qFormat/>
    <w:pPr>
      <w:numPr>
        <w:numId w:val="18"/>
      </w:numPr>
    </w:pPr>
  </w:style>
  <w:style w:type="character" w:customStyle="1" w:styleId="Char">
    <w:name w:val="标准文件_正文标准名称 Char"/>
    <w:link w:val="affff4"/>
    <w:qFormat/>
    <w:rPr>
      <w:rFonts w:ascii="黑体" w:eastAsia="黑体" w:hAnsi="黑体" w:cs="黑体"/>
      <w:sz w:val="32"/>
    </w:rPr>
  </w:style>
  <w:style w:type="character" w:styleId="affffff2">
    <w:name w:val="Placeholder Text"/>
    <w:basedOn w:val="aff3"/>
    <w:uiPriority w:val="99"/>
    <w:unhideWhenUsed/>
    <w:qFormat/>
    <w:rPr>
      <w:color w:val="666666"/>
    </w:rPr>
  </w:style>
  <w:style w:type="paragraph" w:customStyle="1" w:styleId="11">
    <w:name w:val="目录 11"/>
    <w:basedOn w:val="aff2"/>
    <w:link w:val="12"/>
    <w:qFormat/>
    <w:pPr>
      <w:spacing w:line="400" w:lineRule="exact"/>
    </w:pPr>
    <w:rPr>
      <w:rFonts w:hAnsi="宋体" w:hint="default"/>
    </w:rPr>
  </w:style>
  <w:style w:type="character" w:customStyle="1" w:styleId="12">
    <w:name w:val="目录 1 字符"/>
    <w:basedOn w:val="aff3"/>
    <w:link w:val="11"/>
    <w:qFormat/>
    <w:rPr>
      <w:rFonts w:ascii="宋体" w:eastAsia="宋体" w:hAnsi="宋体" w:cs="宋体"/>
      <w:kern w:val="2"/>
      <w:sz w:val="21"/>
      <w:szCs w:val="24"/>
    </w:rPr>
  </w:style>
  <w:style w:type="paragraph" w:customStyle="1" w:styleId="210">
    <w:name w:val="目录 21"/>
    <w:basedOn w:val="aff2"/>
    <w:link w:val="25"/>
    <w:qFormat/>
    <w:pPr>
      <w:spacing w:line="300" w:lineRule="exact"/>
    </w:pPr>
    <w:rPr>
      <w:rFonts w:hAnsi="宋体" w:hint="default"/>
    </w:rPr>
  </w:style>
  <w:style w:type="character" w:customStyle="1" w:styleId="25">
    <w:name w:val="目录 2 字符"/>
    <w:basedOn w:val="aff3"/>
    <w:link w:val="210"/>
    <w:qFormat/>
    <w:rPr>
      <w:rFonts w:ascii="宋体" w:eastAsia="宋体" w:hAnsi="宋体" w:cs="宋体"/>
      <w:kern w:val="2"/>
      <w:sz w:val="21"/>
      <w:szCs w:val="24"/>
    </w:rPr>
  </w:style>
  <w:style w:type="paragraph" w:customStyle="1" w:styleId="310">
    <w:name w:val="目录 31"/>
    <w:basedOn w:val="aff2"/>
    <w:link w:val="32"/>
    <w:qFormat/>
    <w:pPr>
      <w:spacing w:line="300" w:lineRule="exact"/>
    </w:pPr>
    <w:rPr>
      <w:rFonts w:hAnsi="宋体" w:hint="default"/>
    </w:rPr>
  </w:style>
  <w:style w:type="character" w:customStyle="1" w:styleId="32">
    <w:name w:val="目录 3 字符"/>
    <w:basedOn w:val="aff3"/>
    <w:link w:val="310"/>
    <w:qFormat/>
    <w:rPr>
      <w:rFonts w:ascii="宋体" w:eastAsia="宋体" w:hAnsi="宋体" w:cs="宋体"/>
      <w:kern w:val="2"/>
      <w:sz w:val="21"/>
      <w:szCs w:val="24"/>
    </w:rPr>
  </w:style>
  <w:style w:type="paragraph" w:customStyle="1" w:styleId="41">
    <w:name w:val="目录 41"/>
    <w:basedOn w:val="aff2"/>
    <w:link w:val="40"/>
    <w:qFormat/>
    <w:pPr>
      <w:spacing w:line="300" w:lineRule="exact"/>
    </w:pPr>
    <w:rPr>
      <w:rFonts w:hAnsi="宋体" w:hint="default"/>
    </w:rPr>
  </w:style>
  <w:style w:type="character" w:customStyle="1" w:styleId="40">
    <w:name w:val="目录 4 字符"/>
    <w:basedOn w:val="aff3"/>
    <w:link w:val="41"/>
    <w:qFormat/>
    <w:rPr>
      <w:rFonts w:ascii="宋体" w:eastAsia="宋体" w:hAnsi="宋体" w:cs="宋体"/>
      <w:kern w:val="2"/>
      <w:sz w:val="21"/>
      <w:szCs w:val="24"/>
    </w:rPr>
  </w:style>
  <w:style w:type="paragraph" w:customStyle="1" w:styleId="51">
    <w:name w:val="目录 51"/>
    <w:basedOn w:val="aff2"/>
    <w:link w:val="50"/>
    <w:qFormat/>
    <w:pPr>
      <w:spacing w:line="300" w:lineRule="exact"/>
    </w:pPr>
    <w:rPr>
      <w:rFonts w:hAnsi="宋体" w:hint="default"/>
    </w:rPr>
  </w:style>
  <w:style w:type="character" w:customStyle="1" w:styleId="50">
    <w:name w:val="目录 5 字符"/>
    <w:basedOn w:val="aff3"/>
    <w:link w:val="51"/>
    <w:qFormat/>
    <w:rPr>
      <w:rFonts w:ascii="宋体" w:eastAsia="宋体" w:hAnsi="宋体" w:cs="宋体"/>
      <w:kern w:val="2"/>
      <w:sz w:val="21"/>
      <w:szCs w:val="24"/>
    </w:rPr>
  </w:style>
  <w:style w:type="paragraph" w:customStyle="1" w:styleId="61">
    <w:name w:val="目录 61"/>
    <w:basedOn w:val="aff2"/>
    <w:link w:val="60"/>
    <w:qFormat/>
    <w:pPr>
      <w:spacing w:line="300" w:lineRule="exact"/>
    </w:pPr>
    <w:rPr>
      <w:rFonts w:hAnsi="宋体" w:hint="default"/>
    </w:rPr>
  </w:style>
  <w:style w:type="character" w:customStyle="1" w:styleId="60">
    <w:name w:val="目录 6 字符"/>
    <w:basedOn w:val="aff3"/>
    <w:link w:val="61"/>
    <w:qFormat/>
    <w:rPr>
      <w:rFonts w:ascii="宋体" w:eastAsia="宋体" w:hAnsi="宋体" w:cs="宋体"/>
      <w:kern w:val="2"/>
      <w:sz w:val="21"/>
      <w:szCs w:val="24"/>
    </w:rPr>
  </w:style>
  <w:style w:type="character" w:customStyle="1" w:styleId="10">
    <w:name w:val="标题 1 字符"/>
    <w:basedOn w:val="aff3"/>
    <w:link w:val="1"/>
    <w:rPr>
      <w:rFonts w:ascii="宋体" w:hAnsi="Times New Roman" w:cs="宋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fbe265f-1689-48da-bfa7-f06a8278586b}"/>
        <w:category>
          <w:name w:val="常规"/>
          <w:gallery w:val="placeholder"/>
        </w:category>
        <w:types>
          <w:type w:val="bbPlcHdr"/>
        </w:types>
        <w:behaviors>
          <w:behavior w:val="content"/>
        </w:behaviors>
        <w:guid w:val="{DFBE265F-1689-48DA-BFA7-F06A8278586B}"/>
      </w:docPartPr>
      <w:docPartBody>
        <w:p w:rsidR="007F2E0E" w:rsidRDefault="007F2E0E">
          <w:pPr>
            <w:rPr>
              <w:rFonts w:hint="eastAsia"/>
            </w:rPr>
          </w:pPr>
          <w:r>
            <w:rPr>
              <w:color w:val="808080"/>
            </w:rPr>
            <w:t>选择一项。</w:t>
          </w:r>
        </w:p>
      </w:docPartBody>
    </w:docPart>
    <w:docPart>
      <w:docPartPr>
        <w:name w:val="{e9c02309-bb6e-424a-934c-4ee28ff1c470}"/>
        <w:category>
          <w:name w:val="常规"/>
          <w:gallery w:val="placeholder"/>
        </w:category>
        <w:types>
          <w:type w:val="bbPlcHdr"/>
        </w:types>
        <w:behaviors>
          <w:behavior w:val="content"/>
        </w:behaviors>
        <w:guid w:val="{E9C02309-BB6E-424A-934C-4EE28FF1C470}"/>
      </w:docPartPr>
      <w:docPartBody>
        <w:p w:rsidR="007F2E0E" w:rsidRDefault="007F2E0E">
          <w:pPr>
            <w:rPr>
              <w:rFonts w:hint="eastAsia"/>
            </w:rPr>
          </w:pPr>
          <w:r>
            <w:rPr>
              <w:color w:val="808080"/>
            </w:rPr>
            <w:t>选择一项。</w:t>
          </w:r>
        </w:p>
      </w:docPartBody>
    </w:docPart>
    <w:docPart>
      <w:docPartPr>
        <w:name w:val="DefaultPlaceholder_-1854013440"/>
        <w:category>
          <w:name w:val="常规"/>
          <w:gallery w:val="placeholder"/>
        </w:category>
        <w:types>
          <w:type w:val="bbPlcHdr"/>
        </w:types>
        <w:behaviors>
          <w:behavior w:val="content"/>
        </w:behaviors>
        <w:guid w:val="{9F615C48-CC71-4DB2-95E3-62056584F194}"/>
      </w:docPartPr>
      <w:docPartBody>
        <w:p w:rsidR="007F2E0E" w:rsidRDefault="007F2E0E">
          <w:pPr>
            <w:rPr>
              <w:rFonts w:hint="eastAsia"/>
            </w:rPr>
          </w:pPr>
          <w:r>
            <w:rPr>
              <w:rStyle w:val="a3"/>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characterSpacingControl w:val="doNotCompress"/>
  <w:compat>
    <w:useFELayout/>
    <w:splitPgBreakAndParaMark/>
    <w:compatSetting w:name="compatibilityMode" w:uri="http://schemas.microsoft.com/office/word" w:val="14"/>
    <w:compatSetting w:name="useWord2013TrackBottomHyphenation" w:uri="http://schemas.microsoft.com/office/word" w:val="1"/>
  </w:compat>
  <w:rsids>
    <w:rsidRoot w:val="00AA1C2C"/>
    <w:rsid w:val="000466AF"/>
    <w:rsid w:val="000C42A3"/>
    <w:rsid w:val="00124376"/>
    <w:rsid w:val="001804E6"/>
    <w:rsid w:val="002618CC"/>
    <w:rsid w:val="002A7621"/>
    <w:rsid w:val="00340EFD"/>
    <w:rsid w:val="004B5C85"/>
    <w:rsid w:val="004F4E09"/>
    <w:rsid w:val="005115F2"/>
    <w:rsid w:val="005656D7"/>
    <w:rsid w:val="005F1FAE"/>
    <w:rsid w:val="00611C08"/>
    <w:rsid w:val="006767B0"/>
    <w:rsid w:val="00722B34"/>
    <w:rsid w:val="007F2E0E"/>
    <w:rsid w:val="008137B2"/>
    <w:rsid w:val="009561E3"/>
    <w:rsid w:val="00AA1C2C"/>
    <w:rsid w:val="00B4328D"/>
    <w:rsid w:val="00E25821"/>
    <w:rsid w:val="00E270CB"/>
    <w:rsid w:val="00EA1068"/>
    <w:rsid w:val="00F9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戀空</dc:creator>
  <cp:keywords/>
  <dc:description/>
  <cp:lastModifiedBy>武亮亮</cp:lastModifiedBy>
  <cp:revision>8</cp:revision>
  <dcterms:created xsi:type="dcterms:W3CDTF">2024-10-27T07:33:00Z</dcterms:created>
  <dcterms:modified xsi:type="dcterms:W3CDTF">2024-10-31T03:09:00Z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8968A97326194EC69142BD82522DF332_13</vt:lpwstr>
  </property>
</Properties>
</file>