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F104B">
      <w:pPr>
        <w:jc w:val="center"/>
        <w:rPr>
          <w:rFonts w:hint="eastAsia" w:ascii="黑体" w:hAnsi="黑体" w:eastAsia="黑体" w:cs="黑体"/>
          <w:b/>
          <w:bCs/>
          <w:sz w:val="44"/>
          <w:szCs w:val="44"/>
          <w:lang w:val="en-US" w:eastAsia="zh-CN"/>
        </w:rPr>
      </w:pPr>
    </w:p>
    <w:p w14:paraId="345205FE">
      <w:pPr>
        <w:jc w:val="center"/>
        <w:rPr>
          <w:rFonts w:hint="eastAsia" w:ascii="黑体" w:hAnsi="黑体" w:eastAsia="黑体" w:cs="黑体"/>
          <w:b/>
          <w:bCs/>
          <w:sz w:val="44"/>
          <w:szCs w:val="44"/>
          <w:lang w:val="en-US" w:eastAsia="zh-CN"/>
        </w:rPr>
      </w:pPr>
    </w:p>
    <w:p w14:paraId="416D84E6">
      <w:pPr>
        <w:jc w:val="center"/>
        <w:rPr>
          <w:rFonts w:hint="eastAsia" w:ascii="黑体" w:hAnsi="黑体" w:eastAsia="黑体" w:cs="黑体"/>
          <w:b/>
          <w:bCs/>
          <w:sz w:val="44"/>
          <w:szCs w:val="44"/>
          <w:lang w:val="en-US" w:eastAsia="zh-CN"/>
        </w:rPr>
      </w:pPr>
    </w:p>
    <w:p w14:paraId="74C24EC3">
      <w:pPr>
        <w:jc w:val="center"/>
        <w:rPr>
          <w:rFonts w:hint="eastAsia" w:ascii="黑体" w:hAnsi="黑体" w:eastAsia="黑体" w:cs="黑体"/>
          <w:b/>
          <w:bCs/>
          <w:sz w:val="44"/>
          <w:szCs w:val="44"/>
          <w:lang w:val="en-US" w:eastAsia="zh-CN"/>
        </w:rPr>
      </w:pPr>
    </w:p>
    <w:p w14:paraId="39334B64">
      <w:pPr>
        <w:jc w:val="center"/>
        <w:rPr>
          <w:rFonts w:hint="eastAsia" w:ascii="黑体" w:hAnsi="黑体" w:eastAsia="黑体" w:cs="黑体"/>
          <w:b/>
          <w:bCs/>
          <w:sz w:val="44"/>
          <w:szCs w:val="44"/>
          <w:lang w:val="en-US" w:eastAsia="zh-CN"/>
        </w:rPr>
      </w:pPr>
    </w:p>
    <w:p w14:paraId="516B1D33">
      <w:pPr>
        <w:jc w:val="center"/>
        <w:rPr>
          <w:rFonts w:hint="eastAsia" w:ascii="黑体" w:hAnsi="黑体" w:eastAsia="黑体" w:cs="黑体"/>
          <w:b/>
          <w:bCs/>
          <w:sz w:val="44"/>
          <w:szCs w:val="44"/>
          <w:lang w:val="en-US" w:eastAsia="zh-CN"/>
        </w:rPr>
      </w:pPr>
    </w:p>
    <w:p w14:paraId="153D21D3">
      <w:pPr>
        <w:jc w:val="center"/>
        <w:outlineLvl w:val="0"/>
        <w:rPr>
          <w:rFonts w:hint="default" w:ascii="仿宋" w:hAnsi="仿宋" w:eastAsia="仿宋" w:cs="仿宋"/>
          <w:b/>
          <w:bCs/>
          <w:sz w:val="52"/>
          <w:szCs w:val="52"/>
          <w:lang w:val="en-US" w:eastAsia="zh-CN"/>
        </w:rPr>
      </w:pPr>
      <w:bookmarkStart w:id="0" w:name="_Toc3609"/>
      <w:r>
        <w:rPr>
          <w:rFonts w:hint="eastAsia" w:ascii="黑体" w:hAnsi="黑体" w:eastAsia="黑体" w:cs="黑体"/>
          <w:b/>
          <w:bCs/>
          <w:sz w:val="52"/>
          <w:szCs w:val="52"/>
          <w:lang w:val="en-US" w:eastAsia="zh-CN"/>
        </w:rPr>
        <w:t>餐饮节约管理服务规范</w:t>
      </w:r>
      <w:bookmarkEnd w:id="0"/>
    </w:p>
    <w:p w14:paraId="551BA833">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（征求意见稿）</w:t>
      </w:r>
    </w:p>
    <w:p w14:paraId="6EBC76B4"/>
    <w:p w14:paraId="35C3B6C9"/>
    <w:p w14:paraId="688365DB">
      <w:bookmarkStart w:id="12" w:name="_GoBack"/>
      <w:bookmarkEnd w:id="12"/>
    </w:p>
    <w:p w14:paraId="00447918"/>
    <w:p w14:paraId="398611E2"/>
    <w:p w14:paraId="2167366B"/>
    <w:p w14:paraId="5E151DE4"/>
    <w:p w14:paraId="2CE85AA6"/>
    <w:p w14:paraId="603DA2B2"/>
    <w:p w14:paraId="194BE091"/>
    <w:p w14:paraId="0EB06D30"/>
    <w:p w14:paraId="31BBA419"/>
    <w:p w14:paraId="67BC584F"/>
    <w:p w14:paraId="43747131"/>
    <w:p w14:paraId="1BA6E1E2"/>
    <w:p w14:paraId="1C4B3631"/>
    <w:p w14:paraId="77185045"/>
    <w:p w14:paraId="55B3C2BE"/>
    <w:p w14:paraId="007DC8FA"/>
    <w:p w14:paraId="7C76A291"/>
    <w:p w14:paraId="323814D1"/>
    <w:p w14:paraId="12DA4802"/>
    <w:p w14:paraId="73D5DEDB"/>
    <w:p w14:paraId="74764AE5"/>
    <w:p w14:paraId="10DBA07E"/>
    <w:p w14:paraId="61F3C56A"/>
    <w:p w14:paraId="0805CD89"/>
    <w:p w14:paraId="11331ABE">
      <w:p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p>
    <w:p w14:paraId="1F1B1F4A"/>
    <w:p w14:paraId="72CEA46D">
      <w:pPr>
        <w:jc w:val="center"/>
        <w:rPr>
          <w:rFonts w:hint="eastAsia"/>
          <w:b/>
          <w:bCs/>
          <w:sz w:val="36"/>
          <w:szCs w:val="36"/>
          <w:lang w:val="en-US" w:eastAsia="zh-CN"/>
        </w:rPr>
      </w:pPr>
    </w:p>
    <w:p w14:paraId="6D9B442E">
      <w:pPr>
        <w:jc w:val="left"/>
        <w:rPr>
          <w:rFonts w:hint="eastAsia" w:ascii="宋体" w:hAnsi="宋体" w:eastAsia="宋体" w:cs="宋体"/>
          <w:b/>
          <w:bCs/>
          <w:sz w:val="24"/>
          <w:szCs w:val="24"/>
          <w:lang w:val="en-US" w:eastAsia="zh-CN"/>
        </w:rPr>
      </w:pPr>
    </w:p>
    <w:sdt>
      <w:sdtPr>
        <w:rPr>
          <w:rFonts w:ascii="宋体" w:hAnsi="宋体" w:eastAsia="宋体" w:cs="宋体"/>
          <w:kern w:val="2"/>
          <w:sz w:val="21"/>
          <w:szCs w:val="22"/>
          <w:lang w:val="en-US" w:eastAsia="zh-CN" w:bidi="ar-SA"/>
        </w:rPr>
        <w:id w:val="147479965"/>
        <w15:color w:val="DBDBDB"/>
        <w:docPartObj>
          <w:docPartGallery w:val="Table of Contents"/>
          <w:docPartUnique/>
        </w:docPartObj>
      </w:sdtPr>
      <w:sdtEndPr>
        <w:rPr>
          <w:rFonts w:hint="eastAsia" w:ascii="宋体" w:hAnsi="宋体" w:eastAsia="宋体" w:cs="宋体"/>
          <w:bCs/>
          <w:kern w:val="2"/>
          <w:sz w:val="21"/>
          <w:szCs w:val="24"/>
          <w:lang w:val="en-US" w:eastAsia="zh-CN" w:bidi="ar-SA"/>
        </w:rPr>
      </w:sdtEndPr>
      <w:sdtContent>
        <w:p w14:paraId="0C09AE03">
          <w:pPr>
            <w:spacing w:before="0" w:beforeLines="0" w:after="0" w:afterLines="0" w:line="240" w:lineRule="auto"/>
            <w:ind w:left="0" w:leftChars="0" w:right="0" w:rightChars="0" w:firstLine="0" w:firstLineChars="0"/>
            <w:jc w:val="center"/>
            <w:rPr>
              <w:rFonts w:hint="eastAsia" w:eastAsia="宋体"/>
              <w:b/>
              <w:bCs/>
              <w:sz w:val="32"/>
              <w:szCs w:val="32"/>
              <w:lang w:eastAsia="zh-CN"/>
            </w:rPr>
          </w:pPr>
          <w:r>
            <w:rPr>
              <w:rFonts w:ascii="宋体" w:hAnsi="宋体" w:eastAsia="宋体"/>
              <w:b/>
              <w:bCs/>
              <w:sz w:val="32"/>
              <w:szCs w:val="32"/>
            </w:rPr>
            <w:t>目</w:t>
          </w:r>
          <w:r>
            <w:rPr>
              <w:rFonts w:hint="eastAsia" w:ascii="宋体" w:hAnsi="宋体"/>
              <w:b/>
              <w:bCs/>
              <w:sz w:val="32"/>
              <w:szCs w:val="32"/>
              <w:lang w:val="en-US" w:eastAsia="zh-CN"/>
            </w:rPr>
            <w:t xml:space="preserve">      次</w:t>
          </w:r>
        </w:p>
        <w:p w14:paraId="2F6F3A89">
          <w:pPr>
            <w:pStyle w:val="6"/>
            <w:tabs>
              <w:tab w:val="right" w:leader="dot" w:pos="8306"/>
            </w:tabs>
          </w:pPr>
          <w:r>
            <w:rPr>
              <w:rFonts w:hint="eastAsia" w:ascii="宋体" w:hAnsi="宋体" w:cs="宋体"/>
              <w:b/>
              <w:bCs/>
              <w:sz w:val="24"/>
              <w:szCs w:val="24"/>
              <w:lang w:val="en-US" w:eastAsia="zh-CN"/>
            </w:rPr>
            <w:fldChar w:fldCharType="begin"/>
          </w:r>
          <w:r>
            <w:rPr>
              <w:rFonts w:hint="eastAsia" w:ascii="宋体" w:hAnsi="宋体" w:cs="宋体"/>
              <w:b/>
              <w:bCs/>
              <w:sz w:val="24"/>
              <w:szCs w:val="24"/>
              <w:lang w:val="en-US" w:eastAsia="zh-CN"/>
            </w:rPr>
            <w:instrText xml:space="preserve">TOC \o "1-1" \h \u </w:instrText>
          </w:r>
          <w:r>
            <w:rPr>
              <w:rFonts w:hint="eastAsia" w:ascii="宋体" w:hAnsi="宋体" w:cs="宋体"/>
              <w:b/>
              <w:bCs/>
              <w:sz w:val="24"/>
              <w:szCs w:val="24"/>
              <w:lang w:val="en-US" w:eastAsia="zh-CN"/>
            </w:rPr>
            <w:fldChar w:fldCharType="separate"/>
          </w:r>
        </w:p>
        <w:p w14:paraId="0686FDBF">
          <w:pPr>
            <w:pStyle w:val="6"/>
            <w:tabs>
              <w:tab w:val="right" w:leader="dot" w:pos="8306"/>
            </w:tabs>
            <w:spacing w:line="360" w:lineRule="auto"/>
            <w:rPr>
              <w:sz w:val="24"/>
              <w:szCs w:val="24"/>
            </w:rPr>
          </w:pPr>
        </w:p>
        <w:p w14:paraId="5EF07929">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_Toc9398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前言</w:t>
          </w:r>
          <w:r>
            <w:rPr>
              <w:sz w:val="24"/>
              <w:szCs w:val="24"/>
            </w:rPr>
            <w:tab/>
          </w:r>
          <w:r>
            <w:rPr>
              <w:rFonts w:hint="eastAsia"/>
              <w:sz w:val="24"/>
              <w:szCs w:val="24"/>
              <w:lang w:val="en-US" w:eastAsia="zh-CN"/>
            </w:rPr>
            <w:t>1</w:t>
          </w:r>
          <w:r>
            <w:rPr>
              <w:sz w:val="24"/>
              <w:szCs w:val="24"/>
            </w:rPr>
            <w:fldChar w:fldCharType="begin"/>
          </w:r>
          <w:r>
            <w:rPr>
              <w:sz w:val="24"/>
              <w:szCs w:val="24"/>
            </w:rPr>
            <w:instrText xml:space="preserve"> PAGEREF _Toc9398 \h </w:instrText>
          </w:r>
          <w:r>
            <w:rPr>
              <w:sz w:val="24"/>
              <w:szCs w:val="24"/>
            </w:rPr>
            <w:fldChar w:fldCharType="separate"/>
          </w:r>
          <w:r>
            <w:rPr>
              <w:sz w:val="24"/>
              <w:szCs w:val="24"/>
            </w:rPr>
            <w:t>1</w:t>
          </w:r>
          <w:r>
            <w:rPr>
              <w:sz w:val="24"/>
              <w:szCs w:val="24"/>
            </w:rPr>
            <w:fldChar w:fldCharType="end"/>
          </w:r>
          <w:r>
            <w:rPr>
              <w:rFonts w:hint="eastAsia" w:ascii="宋体" w:hAnsi="宋体" w:cs="宋体"/>
              <w:bCs/>
              <w:sz w:val="24"/>
              <w:szCs w:val="24"/>
              <w:lang w:val="en-US" w:eastAsia="zh-CN"/>
            </w:rPr>
            <w:fldChar w:fldCharType="end"/>
          </w:r>
        </w:p>
        <w:p w14:paraId="7A86FA26">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_Toc7096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引言</w:t>
          </w:r>
          <w:r>
            <w:rPr>
              <w:sz w:val="24"/>
              <w:szCs w:val="24"/>
            </w:rPr>
            <w:tab/>
          </w:r>
          <w:r>
            <w:rPr>
              <w:rFonts w:hint="eastAsia"/>
              <w:sz w:val="24"/>
              <w:szCs w:val="24"/>
              <w:lang w:val="en-US" w:eastAsia="zh-CN"/>
            </w:rPr>
            <w:t>1</w:t>
          </w:r>
          <w:r>
            <w:rPr>
              <w:sz w:val="24"/>
              <w:szCs w:val="24"/>
            </w:rPr>
            <w:fldChar w:fldCharType="begin"/>
          </w:r>
          <w:r>
            <w:rPr>
              <w:sz w:val="24"/>
              <w:szCs w:val="24"/>
            </w:rPr>
            <w:instrText xml:space="preserve"> PAGEREF _Toc7096 \h </w:instrText>
          </w:r>
          <w:r>
            <w:rPr>
              <w:sz w:val="24"/>
              <w:szCs w:val="24"/>
            </w:rPr>
            <w:fldChar w:fldCharType="separate"/>
          </w:r>
          <w:r>
            <w:rPr>
              <w:sz w:val="24"/>
              <w:szCs w:val="24"/>
            </w:rPr>
            <w:t>1</w:t>
          </w:r>
          <w:r>
            <w:rPr>
              <w:sz w:val="24"/>
              <w:szCs w:val="24"/>
            </w:rPr>
            <w:fldChar w:fldCharType="end"/>
          </w:r>
          <w:r>
            <w:rPr>
              <w:rFonts w:hint="eastAsia" w:ascii="宋体" w:hAnsi="宋体" w:cs="宋体"/>
              <w:bCs/>
              <w:sz w:val="24"/>
              <w:szCs w:val="24"/>
              <w:lang w:val="en-US" w:eastAsia="zh-CN"/>
            </w:rPr>
            <w:fldChar w:fldCharType="end"/>
          </w:r>
        </w:p>
        <w:p w14:paraId="7EAEF747">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_Toc18980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1 范围</w:t>
          </w:r>
          <w:r>
            <w:rPr>
              <w:sz w:val="24"/>
              <w:szCs w:val="24"/>
            </w:rPr>
            <w:tab/>
          </w:r>
          <w:r>
            <w:rPr>
              <w:sz w:val="24"/>
              <w:szCs w:val="24"/>
            </w:rPr>
            <w:fldChar w:fldCharType="begin"/>
          </w:r>
          <w:r>
            <w:rPr>
              <w:sz w:val="24"/>
              <w:szCs w:val="24"/>
            </w:rPr>
            <w:instrText xml:space="preserve"> PAGEREF _Toc18980 \h </w:instrText>
          </w:r>
          <w:r>
            <w:rPr>
              <w:sz w:val="24"/>
              <w:szCs w:val="24"/>
            </w:rPr>
            <w:fldChar w:fldCharType="separate"/>
          </w:r>
          <w:r>
            <w:rPr>
              <w:sz w:val="24"/>
              <w:szCs w:val="24"/>
            </w:rPr>
            <w:t>1</w:t>
          </w:r>
          <w:r>
            <w:rPr>
              <w:sz w:val="24"/>
              <w:szCs w:val="24"/>
            </w:rPr>
            <w:fldChar w:fldCharType="end"/>
          </w:r>
          <w:r>
            <w:rPr>
              <w:rFonts w:hint="eastAsia" w:ascii="宋体" w:hAnsi="宋体" w:cs="宋体"/>
              <w:bCs/>
              <w:sz w:val="24"/>
              <w:szCs w:val="24"/>
              <w:lang w:val="en-US" w:eastAsia="zh-CN"/>
            </w:rPr>
            <w:fldChar w:fldCharType="end"/>
          </w:r>
        </w:p>
        <w:p w14:paraId="4E735266">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_Toc16249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2 规划性引用文件</w:t>
          </w:r>
          <w:r>
            <w:rPr>
              <w:sz w:val="24"/>
              <w:szCs w:val="24"/>
            </w:rPr>
            <w:tab/>
          </w:r>
          <w:r>
            <w:rPr>
              <w:sz w:val="24"/>
              <w:szCs w:val="24"/>
            </w:rPr>
            <w:fldChar w:fldCharType="begin"/>
          </w:r>
          <w:r>
            <w:rPr>
              <w:sz w:val="24"/>
              <w:szCs w:val="24"/>
            </w:rPr>
            <w:instrText xml:space="preserve"> PAGEREF _Toc16249 \h </w:instrText>
          </w:r>
          <w:r>
            <w:rPr>
              <w:sz w:val="24"/>
              <w:szCs w:val="24"/>
            </w:rPr>
            <w:fldChar w:fldCharType="separate"/>
          </w:r>
          <w:r>
            <w:rPr>
              <w:sz w:val="24"/>
              <w:szCs w:val="24"/>
            </w:rPr>
            <w:t>1</w:t>
          </w:r>
          <w:r>
            <w:rPr>
              <w:sz w:val="24"/>
              <w:szCs w:val="24"/>
            </w:rPr>
            <w:fldChar w:fldCharType="end"/>
          </w:r>
          <w:r>
            <w:rPr>
              <w:rFonts w:hint="eastAsia" w:ascii="宋体" w:hAnsi="宋体" w:cs="宋体"/>
              <w:bCs/>
              <w:sz w:val="24"/>
              <w:szCs w:val="24"/>
              <w:lang w:val="en-US" w:eastAsia="zh-CN"/>
            </w:rPr>
            <w:fldChar w:fldCharType="end"/>
          </w:r>
        </w:p>
        <w:p w14:paraId="7FA32207">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_Toc27868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3 术语和定义</w:t>
          </w:r>
          <w:r>
            <w:rPr>
              <w:sz w:val="24"/>
              <w:szCs w:val="24"/>
            </w:rPr>
            <w:tab/>
          </w:r>
          <w:r>
            <w:rPr>
              <w:sz w:val="24"/>
              <w:szCs w:val="24"/>
            </w:rPr>
            <w:fldChar w:fldCharType="begin"/>
          </w:r>
          <w:r>
            <w:rPr>
              <w:sz w:val="24"/>
              <w:szCs w:val="24"/>
            </w:rPr>
            <w:instrText xml:space="preserve"> PAGEREF _Toc27868 \h </w:instrText>
          </w:r>
          <w:r>
            <w:rPr>
              <w:sz w:val="24"/>
              <w:szCs w:val="24"/>
            </w:rPr>
            <w:fldChar w:fldCharType="separate"/>
          </w:r>
          <w:r>
            <w:rPr>
              <w:sz w:val="24"/>
              <w:szCs w:val="24"/>
            </w:rPr>
            <w:t>1</w:t>
          </w:r>
          <w:r>
            <w:rPr>
              <w:sz w:val="24"/>
              <w:szCs w:val="24"/>
            </w:rPr>
            <w:fldChar w:fldCharType="end"/>
          </w:r>
          <w:r>
            <w:rPr>
              <w:rFonts w:hint="eastAsia" w:ascii="宋体" w:hAnsi="宋体" w:cs="宋体"/>
              <w:bCs/>
              <w:sz w:val="24"/>
              <w:szCs w:val="24"/>
              <w:lang w:val="en-US" w:eastAsia="zh-CN"/>
            </w:rPr>
            <w:fldChar w:fldCharType="end"/>
          </w:r>
        </w:p>
        <w:p w14:paraId="4DB26919">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_Toc20221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4 内容与要求</w:t>
          </w:r>
          <w:r>
            <w:rPr>
              <w:sz w:val="24"/>
              <w:szCs w:val="24"/>
            </w:rPr>
            <w:tab/>
          </w:r>
          <w:r>
            <w:rPr>
              <w:sz w:val="24"/>
              <w:szCs w:val="24"/>
            </w:rPr>
            <w:fldChar w:fldCharType="begin"/>
          </w:r>
          <w:r>
            <w:rPr>
              <w:sz w:val="24"/>
              <w:szCs w:val="24"/>
            </w:rPr>
            <w:instrText xml:space="preserve"> PAGEREF _Toc20221 \h </w:instrText>
          </w:r>
          <w:r>
            <w:rPr>
              <w:sz w:val="24"/>
              <w:szCs w:val="24"/>
            </w:rPr>
            <w:fldChar w:fldCharType="separate"/>
          </w:r>
          <w:r>
            <w:rPr>
              <w:sz w:val="24"/>
              <w:szCs w:val="24"/>
            </w:rPr>
            <w:t>2</w:t>
          </w:r>
          <w:r>
            <w:rPr>
              <w:sz w:val="24"/>
              <w:szCs w:val="24"/>
            </w:rPr>
            <w:fldChar w:fldCharType="end"/>
          </w:r>
          <w:r>
            <w:rPr>
              <w:rFonts w:hint="eastAsia" w:ascii="宋体" w:hAnsi="宋体" w:cs="宋体"/>
              <w:bCs/>
              <w:sz w:val="24"/>
              <w:szCs w:val="24"/>
              <w:lang w:val="en-US" w:eastAsia="zh-CN"/>
            </w:rPr>
            <w:fldChar w:fldCharType="end"/>
          </w:r>
        </w:p>
        <w:p w14:paraId="63688CBD">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_Toc29292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5 餐饮节约管理应用与实施</w:t>
          </w:r>
          <w:r>
            <w:rPr>
              <w:sz w:val="24"/>
              <w:szCs w:val="24"/>
            </w:rPr>
            <w:tab/>
          </w:r>
          <w:r>
            <w:rPr>
              <w:sz w:val="24"/>
              <w:szCs w:val="24"/>
            </w:rPr>
            <w:fldChar w:fldCharType="begin"/>
          </w:r>
          <w:r>
            <w:rPr>
              <w:sz w:val="24"/>
              <w:szCs w:val="24"/>
            </w:rPr>
            <w:instrText xml:space="preserve"> PAGEREF _Toc29292 \h </w:instrText>
          </w:r>
          <w:r>
            <w:rPr>
              <w:sz w:val="24"/>
              <w:szCs w:val="24"/>
            </w:rPr>
            <w:fldChar w:fldCharType="separate"/>
          </w:r>
          <w:r>
            <w:rPr>
              <w:sz w:val="24"/>
              <w:szCs w:val="24"/>
            </w:rPr>
            <w:t>3</w:t>
          </w:r>
          <w:r>
            <w:rPr>
              <w:sz w:val="24"/>
              <w:szCs w:val="24"/>
            </w:rPr>
            <w:fldChar w:fldCharType="end"/>
          </w:r>
          <w:r>
            <w:rPr>
              <w:rFonts w:hint="eastAsia" w:ascii="宋体" w:hAnsi="宋体" w:cs="宋体"/>
              <w:bCs/>
              <w:sz w:val="24"/>
              <w:szCs w:val="24"/>
              <w:lang w:val="en-US" w:eastAsia="zh-CN"/>
            </w:rPr>
            <w:fldChar w:fldCharType="end"/>
          </w:r>
        </w:p>
        <w:p w14:paraId="165CF1AC">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_Toc20635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6</w:t>
          </w:r>
          <w:r>
            <w:rPr>
              <w:rFonts w:hint="eastAsia" w:ascii="宋体" w:hAnsi="宋体" w:cs="宋体"/>
              <w:bCs/>
              <w:sz w:val="24"/>
              <w:szCs w:val="24"/>
              <w:lang w:val="en-US" w:eastAsia="zh-CN"/>
            </w:rPr>
            <w:t xml:space="preserve"> </w:t>
          </w:r>
          <w:r>
            <w:rPr>
              <w:rFonts w:hint="eastAsia" w:ascii="宋体" w:hAnsi="宋体" w:eastAsia="宋体" w:cs="宋体"/>
              <w:bCs/>
              <w:sz w:val="24"/>
              <w:szCs w:val="24"/>
              <w:lang w:val="en-US" w:eastAsia="zh-CN"/>
            </w:rPr>
            <w:t>餐饮节约服务的应用与实施</w:t>
          </w:r>
          <w:r>
            <w:rPr>
              <w:sz w:val="24"/>
              <w:szCs w:val="24"/>
            </w:rPr>
            <w:tab/>
          </w:r>
          <w:r>
            <w:rPr>
              <w:sz w:val="24"/>
              <w:szCs w:val="24"/>
            </w:rPr>
            <w:fldChar w:fldCharType="begin"/>
          </w:r>
          <w:r>
            <w:rPr>
              <w:sz w:val="24"/>
              <w:szCs w:val="24"/>
            </w:rPr>
            <w:instrText xml:space="preserve"> PAGEREF _Toc20635 \h </w:instrText>
          </w:r>
          <w:r>
            <w:rPr>
              <w:sz w:val="24"/>
              <w:szCs w:val="24"/>
            </w:rPr>
            <w:fldChar w:fldCharType="separate"/>
          </w:r>
          <w:r>
            <w:rPr>
              <w:sz w:val="24"/>
              <w:szCs w:val="24"/>
            </w:rPr>
            <w:t>4</w:t>
          </w:r>
          <w:r>
            <w:rPr>
              <w:sz w:val="24"/>
              <w:szCs w:val="24"/>
            </w:rPr>
            <w:fldChar w:fldCharType="end"/>
          </w:r>
          <w:r>
            <w:rPr>
              <w:rFonts w:hint="eastAsia" w:ascii="宋体" w:hAnsi="宋体" w:cs="宋体"/>
              <w:bCs/>
              <w:sz w:val="24"/>
              <w:szCs w:val="24"/>
              <w:lang w:val="en-US" w:eastAsia="zh-CN"/>
            </w:rPr>
            <w:fldChar w:fldCharType="end"/>
          </w:r>
        </w:p>
        <w:p w14:paraId="7391EBFE">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_Toc10949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7 餐饮培训的服务与实施</w:t>
          </w:r>
          <w:r>
            <w:rPr>
              <w:sz w:val="24"/>
              <w:szCs w:val="24"/>
            </w:rPr>
            <w:tab/>
          </w:r>
          <w:r>
            <w:rPr>
              <w:sz w:val="24"/>
              <w:szCs w:val="24"/>
            </w:rPr>
            <w:fldChar w:fldCharType="begin"/>
          </w:r>
          <w:r>
            <w:rPr>
              <w:sz w:val="24"/>
              <w:szCs w:val="24"/>
            </w:rPr>
            <w:instrText xml:space="preserve"> PAGEREF _Toc10949 \h </w:instrText>
          </w:r>
          <w:r>
            <w:rPr>
              <w:sz w:val="24"/>
              <w:szCs w:val="24"/>
            </w:rPr>
            <w:fldChar w:fldCharType="separate"/>
          </w:r>
          <w:r>
            <w:rPr>
              <w:sz w:val="24"/>
              <w:szCs w:val="24"/>
            </w:rPr>
            <w:t>4</w:t>
          </w:r>
          <w:r>
            <w:rPr>
              <w:sz w:val="24"/>
              <w:szCs w:val="24"/>
            </w:rPr>
            <w:fldChar w:fldCharType="end"/>
          </w:r>
          <w:r>
            <w:rPr>
              <w:rFonts w:hint="eastAsia" w:ascii="宋体" w:hAnsi="宋体" w:cs="宋体"/>
              <w:bCs/>
              <w:sz w:val="24"/>
              <w:szCs w:val="24"/>
              <w:lang w:val="en-US" w:eastAsia="zh-CN"/>
            </w:rPr>
            <w:fldChar w:fldCharType="end"/>
          </w:r>
        </w:p>
        <w:p w14:paraId="2DF19F97">
          <w:pPr>
            <w:pStyle w:val="6"/>
            <w:tabs>
              <w:tab w:val="right" w:leader="dot" w:pos="8306"/>
            </w:tabs>
            <w:spacing w:line="360" w:lineRule="auto"/>
            <w:rPr>
              <w:sz w:val="24"/>
              <w:szCs w:val="24"/>
            </w:rPr>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_Toc5013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8 餐饮节约管理服务标准与现有有关标准的一致性</w:t>
          </w:r>
          <w:r>
            <w:rPr>
              <w:sz w:val="24"/>
              <w:szCs w:val="24"/>
            </w:rPr>
            <w:tab/>
          </w:r>
          <w:r>
            <w:rPr>
              <w:sz w:val="24"/>
              <w:szCs w:val="24"/>
            </w:rPr>
            <w:fldChar w:fldCharType="begin"/>
          </w:r>
          <w:r>
            <w:rPr>
              <w:sz w:val="24"/>
              <w:szCs w:val="24"/>
            </w:rPr>
            <w:instrText xml:space="preserve"> PAGEREF _Toc5013 \h </w:instrText>
          </w:r>
          <w:r>
            <w:rPr>
              <w:sz w:val="24"/>
              <w:szCs w:val="24"/>
            </w:rPr>
            <w:fldChar w:fldCharType="separate"/>
          </w:r>
          <w:r>
            <w:rPr>
              <w:sz w:val="24"/>
              <w:szCs w:val="24"/>
            </w:rPr>
            <w:t>4</w:t>
          </w:r>
          <w:r>
            <w:rPr>
              <w:sz w:val="24"/>
              <w:szCs w:val="24"/>
            </w:rPr>
            <w:fldChar w:fldCharType="end"/>
          </w:r>
          <w:r>
            <w:rPr>
              <w:rFonts w:hint="eastAsia" w:ascii="宋体" w:hAnsi="宋体" w:cs="宋体"/>
              <w:bCs/>
              <w:sz w:val="24"/>
              <w:szCs w:val="24"/>
              <w:lang w:val="en-US" w:eastAsia="zh-CN"/>
            </w:rPr>
            <w:fldChar w:fldCharType="end"/>
          </w:r>
        </w:p>
        <w:p w14:paraId="591C54B1">
          <w:pPr>
            <w:pStyle w:val="6"/>
            <w:tabs>
              <w:tab w:val="right" w:leader="dot" w:pos="8306"/>
            </w:tabs>
            <w:spacing w:line="360" w:lineRule="auto"/>
          </w:pPr>
          <w:r>
            <w:rPr>
              <w:rFonts w:hint="eastAsia" w:ascii="宋体" w:hAnsi="宋体" w:cs="宋体"/>
              <w:bCs/>
              <w:sz w:val="24"/>
              <w:szCs w:val="24"/>
              <w:lang w:val="en-US" w:eastAsia="zh-CN"/>
            </w:rPr>
            <w:fldChar w:fldCharType="begin"/>
          </w:r>
          <w:r>
            <w:rPr>
              <w:rFonts w:hint="eastAsia" w:ascii="宋体" w:hAnsi="宋体" w:cs="宋体"/>
              <w:bCs/>
              <w:sz w:val="24"/>
              <w:szCs w:val="24"/>
              <w:lang w:val="en-US" w:eastAsia="zh-CN"/>
            </w:rPr>
            <w:instrText xml:space="preserve"> HYPERLINK \l _Toc13039 </w:instrText>
          </w:r>
          <w:r>
            <w:rPr>
              <w:rFonts w:hint="eastAsia" w:ascii="宋体" w:hAnsi="宋体" w:cs="宋体"/>
              <w:bCs/>
              <w:sz w:val="24"/>
              <w:szCs w:val="24"/>
              <w:lang w:val="en-US" w:eastAsia="zh-CN"/>
            </w:rPr>
            <w:fldChar w:fldCharType="separate"/>
          </w:r>
          <w:r>
            <w:rPr>
              <w:rFonts w:hint="eastAsia" w:ascii="宋体" w:hAnsi="宋体" w:eastAsia="宋体" w:cs="宋体"/>
              <w:bCs/>
              <w:sz w:val="24"/>
              <w:szCs w:val="24"/>
              <w:lang w:val="en-US" w:eastAsia="zh-CN"/>
            </w:rPr>
            <w:t>9 本标准制定和实施的预期成效</w:t>
          </w:r>
          <w:r>
            <w:rPr>
              <w:sz w:val="24"/>
              <w:szCs w:val="24"/>
            </w:rPr>
            <w:tab/>
          </w:r>
          <w:r>
            <w:rPr>
              <w:sz w:val="24"/>
              <w:szCs w:val="24"/>
            </w:rPr>
            <w:fldChar w:fldCharType="begin"/>
          </w:r>
          <w:r>
            <w:rPr>
              <w:sz w:val="24"/>
              <w:szCs w:val="24"/>
            </w:rPr>
            <w:instrText xml:space="preserve"> PAGEREF _Toc13039 \h </w:instrText>
          </w:r>
          <w:r>
            <w:rPr>
              <w:sz w:val="24"/>
              <w:szCs w:val="24"/>
            </w:rPr>
            <w:fldChar w:fldCharType="separate"/>
          </w:r>
          <w:r>
            <w:rPr>
              <w:sz w:val="24"/>
              <w:szCs w:val="24"/>
            </w:rPr>
            <w:t>5</w:t>
          </w:r>
          <w:r>
            <w:rPr>
              <w:sz w:val="24"/>
              <w:szCs w:val="24"/>
            </w:rPr>
            <w:fldChar w:fldCharType="end"/>
          </w:r>
          <w:r>
            <w:rPr>
              <w:rFonts w:hint="eastAsia" w:ascii="宋体" w:hAnsi="宋体" w:cs="宋体"/>
              <w:bCs/>
              <w:sz w:val="24"/>
              <w:szCs w:val="24"/>
              <w:lang w:val="en-US" w:eastAsia="zh-CN"/>
            </w:rPr>
            <w:fldChar w:fldCharType="end"/>
          </w:r>
        </w:p>
        <w:p w14:paraId="3303556C">
          <w:pPr>
            <w:jc w:val="left"/>
            <w:rPr>
              <w:rFonts w:hint="eastAsia" w:ascii="宋体" w:hAnsi="宋体" w:cs="宋体"/>
              <w:b/>
              <w:bCs/>
              <w:sz w:val="24"/>
              <w:szCs w:val="24"/>
              <w:lang w:val="en-US" w:eastAsia="zh-CN"/>
            </w:rPr>
          </w:pPr>
          <w:r>
            <w:rPr>
              <w:rFonts w:hint="eastAsia" w:ascii="宋体" w:hAnsi="宋体" w:cs="宋体"/>
              <w:bCs/>
              <w:szCs w:val="24"/>
              <w:lang w:val="en-US" w:eastAsia="zh-CN"/>
            </w:rPr>
            <w:fldChar w:fldCharType="end"/>
          </w:r>
        </w:p>
      </w:sdtContent>
    </w:sdt>
    <w:p w14:paraId="7E655260">
      <w:pPr>
        <w:jc w:val="left"/>
        <w:rPr>
          <w:rFonts w:hint="eastAsia" w:ascii="宋体" w:hAnsi="宋体" w:cs="宋体"/>
          <w:b/>
          <w:bCs/>
          <w:sz w:val="24"/>
          <w:szCs w:val="24"/>
          <w:lang w:val="en-US" w:eastAsia="zh-CN"/>
        </w:rPr>
      </w:pPr>
    </w:p>
    <w:p w14:paraId="53A9277C">
      <w:pPr>
        <w:jc w:val="left"/>
        <w:rPr>
          <w:rFonts w:hint="eastAsia" w:ascii="宋体" w:hAnsi="宋体" w:cs="宋体"/>
          <w:b/>
          <w:bCs/>
          <w:sz w:val="24"/>
          <w:szCs w:val="24"/>
          <w:lang w:val="en-US" w:eastAsia="zh-CN"/>
        </w:rPr>
      </w:pPr>
    </w:p>
    <w:p w14:paraId="7CAD8A23">
      <w:pPr>
        <w:jc w:val="left"/>
        <w:rPr>
          <w:rFonts w:hint="eastAsia" w:ascii="宋体" w:hAnsi="宋体" w:cs="宋体"/>
          <w:b/>
          <w:bCs/>
          <w:sz w:val="24"/>
          <w:szCs w:val="24"/>
          <w:lang w:val="en-US" w:eastAsia="zh-CN"/>
        </w:rPr>
      </w:pPr>
    </w:p>
    <w:p w14:paraId="70D76835">
      <w:pPr>
        <w:jc w:val="left"/>
        <w:rPr>
          <w:rFonts w:hint="eastAsia" w:ascii="宋体" w:hAnsi="宋体" w:cs="宋体"/>
          <w:b/>
          <w:bCs/>
          <w:sz w:val="24"/>
          <w:szCs w:val="24"/>
          <w:lang w:val="en-US" w:eastAsia="zh-CN"/>
        </w:rPr>
      </w:pPr>
    </w:p>
    <w:p w14:paraId="30B17317">
      <w:pPr>
        <w:jc w:val="left"/>
        <w:rPr>
          <w:rFonts w:hint="eastAsia" w:ascii="宋体" w:hAnsi="宋体" w:cs="宋体"/>
          <w:b/>
          <w:bCs/>
          <w:sz w:val="24"/>
          <w:szCs w:val="24"/>
          <w:lang w:val="en-US" w:eastAsia="zh-CN"/>
        </w:rPr>
      </w:pPr>
    </w:p>
    <w:p w14:paraId="4CA4A4A1">
      <w:pPr>
        <w:jc w:val="left"/>
        <w:rPr>
          <w:rFonts w:hint="eastAsia" w:ascii="宋体" w:hAnsi="宋体" w:cs="宋体"/>
          <w:b/>
          <w:bCs/>
          <w:sz w:val="24"/>
          <w:szCs w:val="24"/>
          <w:lang w:val="en-US" w:eastAsia="zh-CN"/>
        </w:rPr>
      </w:pPr>
    </w:p>
    <w:p w14:paraId="55D6E7F8">
      <w:pPr>
        <w:jc w:val="left"/>
        <w:rPr>
          <w:rFonts w:hint="eastAsia" w:ascii="宋体" w:hAnsi="宋体" w:cs="宋体"/>
          <w:b/>
          <w:bCs/>
          <w:sz w:val="24"/>
          <w:szCs w:val="24"/>
          <w:lang w:val="en-US" w:eastAsia="zh-CN"/>
        </w:rPr>
      </w:pPr>
    </w:p>
    <w:p w14:paraId="02E8776D">
      <w:pPr>
        <w:jc w:val="left"/>
        <w:rPr>
          <w:rFonts w:hint="eastAsia" w:ascii="宋体" w:hAnsi="宋体" w:cs="宋体"/>
          <w:b/>
          <w:bCs/>
          <w:sz w:val="24"/>
          <w:szCs w:val="24"/>
          <w:lang w:val="en-US" w:eastAsia="zh-CN"/>
        </w:rPr>
      </w:pPr>
    </w:p>
    <w:p w14:paraId="6AF5A8FC">
      <w:pPr>
        <w:jc w:val="left"/>
        <w:rPr>
          <w:rFonts w:hint="eastAsia" w:ascii="宋体" w:hAnsi="宋体" w:cs="宋体"/>
          <w:b/>
          <w:bCs/>
          <w:sz w:val="24"/>
          <w:szCs w:val="24"/>
          <w:lang w:val="en-US" w:eastAsia="zh-CN"/>
        </w:rPr>
      </w:pPr>
    </w:p>
    <w:p w14:paraId="42FDF509">
      <w:pPr>
        <w:jc w:val="left"/>
        <w:rPr>
          <w:rFonts w:hint="eastAsia" w:ascii="宋体" w:hAnsi="宋体" w:cs="宋体"/>
          <w:b/>
          <w:bCs/>
          <w:sz w:val="24"/>
          <w:szCs w:val="24"/>
          <w:lang w:val="en-US" w:eastAsia="zh-CN"/>
        </w:rPr>
      </w:pPr>
    </w:p>
    <w:p w14:paraId="2C84948E">
      <w:pPr>
        <w:jc w:val="left"/>
        <w:rPr>
          <w:rFonts w:hint="eastAsia" w:ascii="宋体" w:hAnsi="宋体" w:cs="宋体"/>
          <w:b/>
          <w:bCs/>
          <w:sz w:val="24"/>
          <w:szCs w:val="24"/>
          <w:lang w:val="en-US" w:eastAsia="zh-CN"/>
        </w:rPr>
      </w:pPr>
    </w:p>
    <w:p w14:paraId="20D6CC35">
      <w:pPr>
        <w:jc w:val="left"/>
        <w:rPr>
          <w:rFonts w:hint="eastAsia" w:ascii="宋体" w:hAnsi="宋体" w:cs="宋体"/>
          <w:b/>
          <w:bCs/>
          <w:sz w:val="24"/>
          <w:szCs w:val="24"/>
          <w:lang w:val="en-US" w:eastAsia="zh-CN"/>
        </w:rPr>
      </w:pPr>
    </w:p>
    <w:p w14:paraId="22B06AF3">
      <w:pPr>
        <w:jc w:val="left"/>
        <w:rPr>
          <w:rFonts w:hint="eastAsia" w:ascii="宋体" w:hAnsi="宋体" w:cs="宋体"/>
          <w:b/>
          <w:bCs/>
          <w:sz w:val="24"/>
          <w:szCs w:val="24"/>
          <w:lang w:val="en-US" w:eastAsia="zh-CN"/>
        </w:rPr>
      </w:pPr>
    </w:p>
    <w:p w14:paraId="603DF58E">
      <w:pPr>
        <w:jc w:val="left"/>
        <w:rPr>
          <w:rFonts w:hint="eastAsia" w:ascii="宋体" w:hAnsi="宋体" w:cs="宋体"/>
          <w:b/>
          <w:bCs/>
          <w:sz w:val="24"/>
          <w:szCs w:val="24"/>
          <w:lang w:val="en-US" w:eastAsia="zh-CN"/>
        </w:rPr>
      </w:pPr>
    </w:p>
    <w:p w14:paraId="6F3C8956">
      <w:pPr>
        <w:jc w:val="left"/>
        <w:rPr>
          <w:rFonts w:hint="eastAsia" w:ascii="宋体" w:hAnsi="宋体" w:cs="宋体"/>
          <w:b/>
          <w:bCs/>
          <w:sz w:val="24"/>
          <w:szCs w:val="24"/>
          <w:lang w:val="en-US" w:eastAsia="zh-CN"/>
        </w:rPr>
      </w:pPr>
    </w:p>
    <w:p w14:paraId="229D5CE0">
      <w:pPr>
        <w:jc w:val="left"/>
        <w:rPr>
          <w:rFonts w:hint="eastAsia" w:ascii="宋体" w:hAnsi="宋体" w:cs="宋体"/>
          <w:b/>
          <w:bCs/>
          <w:sz w:val="24"/>
          <w:szCs w:val="24"/>
          <w:lang w:val="en-US" w:eastAsia="zh-CN"/>
        </w:rPr>
      </w:pPr>
    </w:p>
    <w:p w14:paraId="4EF1BA6B">
      <w:pPr>
        <w:jc w:val="left"/>
        <w:rPr>
          <w:rFonts w:hint="eastAsia" w:ascii="宋体" w:hAnsi="宋体" w:cs="宋体"/>
          <w:b/>
          <w:bCs/>
          <w:sz w:val="24"/>
          <w:szCs w:val="24"/>
          <w:lang w:val="en-US" w:eastAsia="zh-CN"/>
        </w:rPr>
      </w:pPr>
    </w:p>
    <w:p w14:paraId="2361C63B">
      <w:pPr>
        <w:jc w:val="left"/>
        <w:rPr>
          <w:rFonts w:hint="eastAsia" w:ascii="宋体" w:hAnsi="宋体" w:cs="宋体"/>
          <w:b/>
          <w:bCs/>
          <w:sz w:val="24"/>
          <w:szCs w:val="24"/>
          <w:lang w:val="en-US" w:eastAsia="zh-CN"/>
        </w:rPr>
      </w:pPr>
    </w:p>
    <w:p w14:paraId="24976330">
      <w:pPr>
        <w:jc w:val="left"/>
        <w:rPr>
          <w:rFonts w:hint="eastAsia" w:ascii="宋体" w:hAnsi="宋体" w:cs="宋体"/>
          <w:b/>
          <w:bCs/>
          <w:sz w:val="24"/>
          <w:szCs w:val="24"/>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14:paraId="0C101E90">
      <w:pPr>
        <w:jc w:val="left"/>
        <w:rPr>
          <w:rFonts w:hint="eastAsia" w:ascii="宋体" w:hAnsi="宋体" w:cs="宋体"/>
          <w:b/>
          <w:bCs/>
          <w:sz w:val="24"/>
          <w:szCs w:val="24"/>
          <w:lang w:val="en-US" w:eastAsia="zh-CN"/>
        </w:rPr>
      </w:pPr>
    </w:p>
    <w:p w14:paraId="0D249A1D">
      <w:pPr>
        <w:jc w:val="left"/>
        <w:rPr>
          <w:rFonts w:hint="eastAsia" w:ascii="宋体" w:hAnsi="宋体" w:cs="宋体"/>
          <w:b/>
          <w:bCs/>
          <w:sz w:val="24"/>
          <w:szCs w:val="24"/>
          <w:lang w:val="en-US" w:eastAsia="zh-CN"/>
        </w:rPr>
      </w:pPr>
    </w:p>
    <w:p w14:paraId="7C27566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pPr>
      <w:bookmarkStart w:id="1" w:name="_Toc9398"/>
      <w:r>
        <w:rPr>
          <w:rFonts w:hint="eastAsia" w:ascii="宋体" w:hAnsi="宋体" w:eastAsia="宋体" w:cs="宋体"/>
          <w:b/>
          <w:bCs/>
          <w:sz w:val="24"/>
          <w:szCs w:val="24"/>
          <w:lang w:val="en-US" w:eastAsia="zh-CN"/>
        </w:rPr>
        <w:t>前</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言</w:t>
      </w:r>
      <w:bookmarkEnd w:id="1"/>
    </w:p>
    <w:p w14:paraId="09414CA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本规范由辽宁省商务厅提出、归口</w:t>
      </w:r>
    </w:p>
    <w:p w14:paraId="655A5C3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本规范起草单位：辽宁省饭店餐饮协会</w:t>
      </w:r>
    </w:p>
    <w:p w14:paraId="345FB0E1">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426D1430">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pPr>
      <w:bookmarkStart w:id="2" w:name="_Toc7096"/>
      <w:r>
        <w:rPr>
          <w:rFonts w:hint="eastAsia" w:ascii="宋体" w:hAnsi="宋体" w:eastAsia="宋体" w:cs="宋体"/>
          <w:b/>
          <w:bCs/>
          <w:sz w:val="24"/>
          <w:szCs w:val="24"/>
          <w:lang w:val="en-US" w:eastAsia="zh-CN"/>
        </w:rPr>
        <w:t>引</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言</w:t>
      </w:r>
      <w:bookmarkEnd w:id="2"/>
    </w:p>
    <w:p w14:paraId="752B40F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旨在促进餐饮企业开源节流，科学配餐，推动辽宁餐饮服务业健康持续发展；引导广大消费者文明用餐，增强勤俭节约美德意识和提升餐饮素质能力；避免粮食损失，维护国家粮食安全；营造文明用餐、反对浪费的良好环境。</w:t>
      </w:r>
    </w:p>
    <w:p w14:paraId="1591C3F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本规范在制定过程中，总结了国内外餐饮节约管理服务的经验与做法，收集了相关数据，借鉴了相关资料和技术规程。</w:t>
      </w:r>
    </w:p>
    <w:p w14:paraId="72B4CF0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7D8DC1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339DDA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3155E2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683D397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515DB49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3CBD73F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68C060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1E7832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6F1066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688D0F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781D74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2517914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3F5E09D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6888B75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472C066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6373C4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sectPr>
          <w:footerReference r:id="rId6" w:type="default"/>
          <w:pgSz w:w="11906" w:h="16838"/>
          <w:pgMar w:top="1440" w:right="1800" w:bottom="1440" w:left="1800" w:header="851" w:footer="992" w:gutter="0"/>
          <w:pgNumType w:fmt="decimal" w:start="1"/>
          <w:cols w:space="425" w:num="1"/>
          <w:docGrid w:type="lines" w:linePitch="312" w:charSpace="0"/>
        </w:sectPr>
      </w:pPr>
      <w:bookmarkStart w:id="3" w:name="_Toc18980"/>
    </w:p>
    <w:p w14:paraId="20990CB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1 范围</w:t>
      </w:r>
      <w:bookmarkEnd w:id="3"/>
    </w:p>
    <w:p w14:paraId="1E21334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本规范规定了辽宁省餐饮服务业食品用餐节约管理、服务、培训等的基本规范和要求。</w:t>
      </w:r>
    </w:p>
    <w:p w14:paraId="45EF8640">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本规范适应于辽宁省地域内具有合法经营资质的宾馆、饭店、酒店、社会餐饮、旅游餐饮企业、食材供应与服务企业和党政机关、大型企业、大中专院校及高初中学校的公共食堂等餐饮单位。</w:t>
      </w:r>
    </w:p>
    <w:p w14:paraId="60D5D7BE">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209F8549">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sz w:val="24"/>
          <w:szCs w:val="24"/>
          <w:lang w:val="en-US" w:eastAsia="zh-CN"/>
        </w:rPr>
      </w:pPr>
      <w:bookmarkStart w:id="4" w:name="_Toc16249"/>
      <w:r>
        <w:rPr>
          <w:rFonts w:hint="eastAsia" w:ascii="宋体" w:hAnsi="宋体" w:eastAsia="宋体" w:cs="宋体"/>
          <w:b/>
          <w:bCs/>
          <w:sz w:val="24"/>
          <w:szCs w:val="24"/>
          <w:lang w:val="en-US" w:eastAsia="zh-CN"/>
        </w:rPr>
        <w:t>2 规划性引用文件</w:t>
      </w:r>
      <w:bookmarkEnd w:id="4"/>
    </w:p>
    <w:p w14:paraId="73E087F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列条件中的条款，通过本规范的引用而成为规范的条款。凡是注明日期的引用文件，其随后所有的修改单（不包括勘误的内容）或修订版，均不适用于本规范；凡是不注明日期的引用文件，及其最新版适用于本规范。</w:t>
      </w:r>
    </w:p>
    <w:p w14:paraId="5DDB03BF">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409EDC5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sz w:val="24"/>
          <w:szCs w:val="24"/>
          <w:lang w:val="en-US" w:eastAsia="zh-CN"/>
        </w:rPr>
      </w:pPr>
      <w:bookmarkStart w:id="5" w:name="_Toc27868"/>
      <w:r>
        <w:rPr>
          <w:rFonts w:hint="eastAsia" w:ascii="宋体" w:hAnsi="宋体" w:eastAsia="宋体" w:cs="宋体"/>
          <w:b/>
          <w:bCs/>
          <w:sz w:val="24"/>
          <w:szCs w:val="24"/>
          <w:lang w:val="en-US" w:eastAsia="zh-CN"/>
        </w:rPr>
        <w:t>3 术语和定义</w:t>
      </w:r>
      <w:bookmarkEnd w:id="5"/>
    </w:p>
    <w:p w14:paraId="5558594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下面术语和定义适用于本规范</w:t>
      </w:r>
    </w:p>
    <w:p w14:paraId="7DF7871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p>
    <w:p w14:paraId="458307A8">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3.1</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餐饮节约管理</w:t>
      </w:r>
    </w:p>
    <w:p w14:paraId="704D35A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餐饮节约管理主要是对食材原料采购、筛选的管理，对食材原料运输、储存、保管的管理，对食材原料加工的管理，对食材原料科学合理营养调配的管理，菜点餐品数量和质量的管理以及餐厨垃圾科学有效地处理和文明用餐，文明餐桌等的管理。</w:t>
      </w:r>
    </w:p>
    <w:p w14:paraId="625974F4">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3.2</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餐饮节约服务</w:t>
      </w:r>
    </w:p>
    <w:p w14:paraId="4028ADF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餐饮节约服务主要是辽菜预制菜的制作与服务，肉鱼蛋半成品及其成品的制作与服务，面点食品的制作与服务，鲜食产品的制作与服务，学生营养餐和成人餐及食品礼盒等的制作、运输、储存、保管等服务，菜品优化分量，拼盘菜系、个人或多人套餐的制作与服务，指导消费者科学点餐服务；会议宴、婚丧宴、亲朋战友同学宴等的制作与服务，优质打包的引导与服务，远程</w:t>
      </w:r>
      <w:r>
        <w:rPr>
          <w:rFonts w:hint="eastAsia" w:ascii="宋体" w:hAnsi="宋体" w:eastAsia="宋体" w:cs="宋体"/>
          <w:sz w:val="24"/>
          <w:szCs w:val="24"/>
          <w:u w:val="none"/>
          <w:lang w:val="en-US" w:eastAsia="zh-CN"/>
        </w:rPr>
        <w:t>点</w:t>
      </w:r>
      <w:r>
        <w:rPr>
          <w:rFonts w:hint="eastAsia" w:ascii="宋体" w:hAnsi="宋体" w:eastAsia="宋体" w:cs="宋体"/>
          <w:sz w:val="24"/>
          <w:szCs w:val="24"/>
          <w:lang w:val="en-US" w:eastAsia="zh-CN"/>
        </w:rPr>
        <w:t>送餐的服务等。</w:t>
      </w:r>
    </w:p>
    <w:p w14:paraId="3C99ECDE">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3.3</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餐饮节约培训</w:t>
      </w:r>
    </w:p>
    <w:p w14:paraId="7CCD09F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餐饮节约培训主要是餐饮节约口号、内容的设计与服务，饭（酒）店餐厅等餐饮节约宣传及其内容、标语等规格、位置的设计与服务，公共场合专栏视频播放、宣传画张贴的内容设计与服务，从业人员餐饮节约和食品卫生安全的知识及其素质能力提升培训的内容设计与服务，消费者餐饮节约知识及其素质能力指导的内容与服务等。</w:t>
      </w:r>
    </w:p>
    <w:p w14:paraId="55A0593D">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708CE9EA">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pPr>
      <w:bookmarkStart w:id="6" w:name="_Toc20221"/>
      <w:r>
        <w:rPr>
          <w:rFonts w:hint="eastAsia" w:ascii="宋体" w:hAnsi="宋体" w:eastAsia="宋体" w:cs="宋体"/>
          <w:b/>
          <w:bCs/>
          <w:sz w:val="24"/>
          <w:szCs w:val="24"/>
          <w:lang w:val="en-US" w:eastAsia="zh-CN"/>
        </w:rPr>
        <w:t>4 内容与要求</w:t>
      </w:r>
      <w:bookmarkEnd w:id="6"/>
    </w:p>
    <w:p w14:paraId="116E9E1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jc w:val="both"/>
        <w:textAlignment w:val="auto"/>
        <w:rPr>
          <w:rFonts w:hint="eastAsia" w:ascii="宋体" w:hAnsi="宋体" w:eastAsia="宋体" w:cs="宋体"/>
          <w:b/>
          <w:bCs/>
          <w:sz w:val="24"/>
          <w:szCs w:val="24"/>
          <w:lang w:val="en-US" w:eastAsia="zh-CN"/>
        </w:rPr>
      </w:pPr>
    </w:p>
    <w:p w14:paraId="13D5BAD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4.1</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餐饮节约管理标准的主要结构构架和主要技术要求</w:t>
      </w:r>
    </w:p>
    <w:p w14:paraId="27390DA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4.1.1 食材原料的科学合理采购与筛选的数量、质量条件和技术要求；食材原料科学合理运输、储存、保管的条件和技术要求；食材原料科学合理营养调配的条件和技术要求等。</w:t>
      </w:r>
    </w:p>
    <w:p w14:paraId="25B2D72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4.1.2 菜点饮品的数量量化、质量调配的条件和技术要求等。</w:t>
      </w:r>
    </w:p>
    <w:p w14:paraId="7C382D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4.1.3 餐厨垃圾科学有效地规范处理和技术要求等。</w:t>
      </w:r>
    </w:p>
    <w:p w14:paraId="3FC259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4.1.4 餐饮企业、饭（酒）店的预制菜、半成品、成品的科学合理加工的规范程序和质量技术要求等。</w:t>
      </w:r>
    </w:p>
    <w:p w14:paraId="7B83B1C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4.1.5 餐饮企业、饭（酒）店食品优化节约、降低成本和绿色健康配餐的规范管理和技术要求等。</w:t>
      </w:r>
    </w:p>
    <w:p w14:paraId="38122E9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4.1.6 预制菜企业产品，包括预制菜、净菜、肉蛋鱼半成品、面点食品、鲜食产品等制作技术要求和规范程序等。</w:t>
      </w:r>
    </w:p>
    <w:p w14:paraId="39E3291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4.1.7 学生营养餐，企事业单位成人餐以及食品礼盒等制作、运输、保存等的规范程序和技术要求等。</w:t>
      </w:r>
    </w:p>
    <w:p w14:paraId="0BF78E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jc w:val="both"/>
        <w:textAlignment w:val="auto"/>
        <w:rPr>
          <w:rFonts w:hint="eastAsia" w:ascii="宋体" w:hAnsi="宋体" w:eastAsia="宋体" w:cs="宋体"/>
          <w:b/>
          <w:bCs/>
          <w:sz w:val="24"/>
          <w:szCs w:val="24"/>
          <w:lang w:val="en-US" w:eastAsia="zh-CN"/>
        </w:rPr>
      </w:pPr>
    </w:p>
    <w:p w14:paraId="0F80BC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4.2</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餐饮节约 服务标准的主要结构构架和主要技术要求</w:t>
      </w:r>
    </w:p>
    <w:p w14:paraId="728A267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4.2.1 预制菜等成品、半成品，净菜、团膳食品等运输、保存、服务等的规范程序和技术要求。</w:t>
      </w:r>
    </w:p>
    <w:p w14:paraId="3BEAB3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4.2.2 饭（酒）店菜点优化分类、拼盘菜系、个人或多人套餐以及指导消费者点餐等规范服务和技术要求。</w:t>
      </w:r>
    </w:p>
    <w:p w14:paraId="7DEFB1B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4.2.3 会议宴、婚丧嫁娶宴、亲朋战友同学聚餐宴等的规范服务和技术要求。</w:t>
      </w:r>
    </w:p>
    <w:p w14:paraId="30C446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4.2.4 远程点送餐规范服务和技术要求。</w:t>
      </w:r>
    </w:p>
    <w:p w14:paraId="776813E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4.2.5 饭（酒）店提供优质打包规范服务和技术要求。</w:t>
      </w:r>
    </w:p>
    <w:p w14:paraId="4CEF2FC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4.2.6 餐饮行业企业“文明餐桌”的规范服务和技术要求。</w:t>
      </w:r>
    </w:p>
    <w:p w14:paraId="738B2CC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4.2.7 饭（酒）店菜品预制菜的规范服务和技术要求。</w:t>
      </w:r>
    </w:p>
    <w:p w14:paraId="764D479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b/>
          <w:bCs/>
          <w:sz w:val="24"/>
          <w:szCs w:val="24"/>
          <w:lang w:val="en-US" w:eastAsia="zh-CN"/>
        </w:rPr>
      </w:pPr>
    </w:p>
    <w:p w14:paraId="5DD6936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4.3</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餐饮节约培训标准的主要结构构架和主要技术要求</w:t>
      </w:r>
    </w:p>
    <w:p w14:paraId="5A457D0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4.3.1 餐饮行业从业人员餐饮节约知识及其素质能力提升培训的规范程序和技术要求 。</w:t>
      </w:r>
    </w:p>
    <w:p w14:paraId="64F14C4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471"/>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4.3.2 餐饮节约标语、口号内容及其格式等的规范格式与技术要求。</w:t>
      </w:r>
    </w:p>
    <w:p w14:paraId="1DA26653">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4.3.3 饭（酒）店、餐厅、公共食堂、预制菜企业等，餐饮节约宣传画及其标语、口号等张贴的位置、规格、内容的规范与技术要求。</w:t>
      </w:r>
    </w:p>
    <w:p w14:paraId="25BD4B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4.3.4 在公共区域播放餐饮节约宣传视频等规范内容和技术要求。</w:t>
      </w:r>
    </w:p>
    <w:p w14:paraId="773F94E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4.3.5 在党政机关、企事业单位，特别是学校、社区以及公共场合张贴餐饮节约宣传画、标语、口号等的规范内容与技术要求。</w:t>
      </w:r>
    </w:p>
    <w:p w14:paraId="50A06DF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4.3.6 食品安全与卫生培训的规范内容与技术要求。通过对餐饮企业及其从业人员食品安全与卫生知识与技能的规范系统培训，确保食材和餐饮食品的质量安全，避免因食品安全与卫生问题，导致浪费损失。</w:t>
      </w:r>
    </w:p>
    <w:p w14:paraId="6465C87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4B05C9F1">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pPr>
      <w:bookmarkStart w:id="7" w:name="_Toc29292"/>
      <w:r>
        <w:rPr>
          <w:rFonts w:hint="eastAsia" w:ascii="宋体" w:hAnsi="宋体" w:eastAsia="宋体" w:cs="宋体"/>
          <w:b/>
          <w:bCs/>
          <w:sz w:val="24"/>
          <w:szCs w:val="24"/>
          <w:lang w:val="en-US" w:eastAsia="zh-CN"/>
        </w:rPr>
        <w:t>5 餐饮节约管理应用与实施</w:t>
      </w:r>
      <w:bookmarkEnd w:id="7"/>
    </w:p>
    <w:p w14:paraId="09D02C6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5.1 预制菜制作加工的程序与技术要求操作应用</w:t>
      </w:r>
    </w:p>
    <w:p w14:paraId="0DEB15E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5.2食材原料运输、储存、保管的程序与技术要求操作应用</w:t>
      </w:r>
    </w:p>
    <w:p w14:paraId="3A6024D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5.3食材原料的选购、筛选和种类调配的程序与技术要求操作应用</w:t>
      </w:r>
    </w:p>
    <w:p w14:paraId="0DED344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5.4食材原料科学加工、营养调配、工艺造型等的程序与技术要求</w:t>
      </w:r>
    </w:p>
    <w:p w14:paraId="0126E1A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 餐饮企业、饭（酒）店预制菜、半成品、成品的烹饪加工的程序与技术要求应用。</w:t>
      </w:r>
    </w:p>
    <w:p w14:paraId="4CA1575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5.6 餐饮企业、饭（酒）店食品优化节约、降低成本和绿色健康配餐的制作加工与技术要求应用。</w:t>
      </w:r>
    </w:p>
    <w:p w14:paraId="667234F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5.7 学生营养餐、成人餐以及食品礼盒等制作加工与技术要求应用。</w:t>
      </w:r>
    </w:p>
    <w:p w14:paraId="4FBF9C77">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5.8 餐厨垃圾科学有效处理的程序与技术要求应用。</w:t>
      </w:r>
    </w:p>
    <w:p w14:paraId="6C25DCA8">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28AE565E">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pPr>
      <w:bookmarkStart w:id="8" w:name="_Toc20635"/>
      <w:r>
        <w:rPr>
          <w:rFonts w:hint="eastAsia" w:ascii="宋体" w:hAnsi="宋体" w:eastAsia="宋体" w:cs="宋体"/>
          <w:b/>
          <w:bCs/>
          <w:sz w:val="24"/>
          <w:szCs w:val="24"/>
          <w:lang w:val="en-US" w:eastAsia="zh-CN"/>
        </w:rPr>
        <w:t>6</w:t>
      </w:r>
      <w:r>
        <w:rPr>
          <w:rFonts w:hint="eastAsia" w:ascii="宋体" w:hAnsi="宋体" w:cs="宋体"/>
          <w:b/>
          <w:bCs/>
          <w:sz w:val="24"/>
          <w:szCs w:val="24"/>
          <w:lang w:val="en-US" w:eastAsia="zh-CN"/>
        </w:rPr>
        <w:t xml:space="preserve"> </w:t>
      </w:r>
      <w:r>
        <w:rPr>
          <w:rFonts w:hint="eastAsia" w:ascii="宋体" w:hAnsi="宋体" w:eastAsia="宋体" w:cs="宋体"/>
          <w:b/>
          <w:bCs/>
          <w:sz w:val="24"/>
          <w:szCs w:val="24"/>
          <w:lang w:val="en-US" w:eastAsia="zh-CN"/>
        </w:rPr>
        <w:t>餐饮节约服务的应用与实施</w:t>
      </w:r>
      <w:bookmarkEnd w:id="8"/>
    </w:p>
    <w:p w14:paraId="7091F3B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6.1 预制菜成品、半成品、成品、团餐食品等运输、储存、服务的程序与技术要求和应用。</w:t>
      </w:r>
    </w:p>
    <w:p w14:paraId="075767C9">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6.2 饭（酒）店菜点优化分类、摆盘菜系、个人或多人套餐的针对性设计与技术要求应用。</w:t>
      </w:r>
    </w:p>
    <w:p w14:paraId="46BB9A9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6.3 会议宴、婚丧宴、亲朋战友同学宴等的针对性设计与技术要求应用。</w:t>
      </w:r>
    </w:p>
    <w:p w14:paraId="1FD6265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6.4 远程点送餐的针对性设计与技术要求应用。</w:t>
      </w:r>
    </w:p>
    <w:p w14:paraId="4BAB4E1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6.5 饭（酒）店提供优质打包服务的针对设计与技术要求应用。</w:t>
      </w:r>
    </w:p>
    <w:p w14:paraId="44A17F8A">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6.6 饭（酒）店“文明餐桌”服务的针对性设计与技术要求应用。</w:t>
      </w:r>
    </w:p>
    <w:p w14:paraId="5B1A9936">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2E818299">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pPr>
      <w:bookmarkStart w:id="9" w:name="_Toc10949"/>
      <w:r>
        <w:rPr>
          <w:rFonts w:hint="eastAsia" w:ascii="宋体" w:hAnsi="宋体" w:eastAsia="宋体" w:cs="宋体"/>
          <w:b/>
          <w:bCs/>
          <w:sz w:val="24"/>
          <w:szCs w:val="24"/>
          <w:lang w:val="en-US" w:eastAsia="zh-CN"/>
        </w:rPr>
        <w:t>7 餐饮培训的服务与实施</w:t>
      </w:r>
      <w:bookmarkEnd w:id="9"/>
    </w:p>
    <w:p w14:paraId="1DCA41F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7.1餐饮行业从业人员节约意识及其素质能力提升培训内容、形式、工具等的针对性设计与技术要求应用。</w:t>
      </w:r>
    </w:p>
    <w:p w14:paraId="7871F95D">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7.2 餐饮节约的标语、口号、宣传画等的内容针对性设计与技术要求应用。</w:t>
      </w:r>
    </w:p>
    <w:p w14:paraId="5266214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7.3 饭（酒）店及其餐厅、公共食堂等标语、口号、宣传画等规格、张贴位置及宣传视频等的针对性设计与技术要求应用。</w:t>
      </w:r>
    </w:p>
    <w:p w14:paraId="10D62CD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7.4 食品安全和卫生知识及其技能提升培训内容、形式、工具等内容的针对性设计和技术要求应用。</w:t>
      </w:r>
    </w:p>
    <w:p w14:paraId="580A66C2">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7CF9FAB3">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b/>
          <w:bCs/>
          <w:sz w:val="24"/>
          <w:szCs w:val="24"/>
          <w:lang w:val="en-US" w:eastAsia="zh-CN"/>
        </w:rPr>
      </w:pPr>
      <w:bookmarkStart w:id="10" w:name="_Toc5013"/>
      <w:r>
        <w:rPr>
          <w:rFonts w:hint="eastAsia" w:ascii="宋体" w:hAnsi="宋体" w:eastAsia="宋体" w:cs="宋体"/>
          <w:b/>
          <w:bCs/>
          <w:sz w:val="24"/>
          <w:szCs w:val="24"/>
          <w:lang w:val="en-US" w:eastAsia="zh-CN"/>
        </w:rPr>
        <w:t>8 餐饮节约管理服务标准与现有有关标准的一致性</w:t>
      </w:r>
      <w:bookmarkEnd w:id="10"/>
    </w:p>
    <w:p w14:paraId="1471364B">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8.1 本标准制定与应用、制定，在《反食品浪费法》的宏观原则下设计，其内容应用实施，与《反食品浪费法》一致。</w:t>
      </w:r>
    </w:p>
    <w:p w14:paraId="49000CD4">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8.2本标准的制定与实施，与《绿色餐饮评价规范》相互协调配套。</w:t>
      </w:r>
    </w:p>
    <w:p w14:paraId="017B5732">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8.3本标准的制定与实施，符合国家发展改革委员会、商务部等部门近年来制定下发的相关餐饮节约、反对食品浪费等政策法规性条件的要求。</w:t>
      </w:r>
    </w:p>
    <w:p w14:paraId="239F96B1">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rPr>
          <w:rFonts w:hint="eastAsia" w:ascii="宋体" w:hAnsi="宋体" w:eastAsia="宋体" w:cs="宋体"/>
          <w:b/>
          <w:bCs/>
          <w:sz w:val="24"/>
          <w:szCs w:val="24"/>
          <w:lang w:val="en-US" w:eastAsia="zh-CN"/>
        </w:rPr>
      </w:pPr>
    </w:p>
    <w:p w14:paraId="6122B74A">
      <w:pPr>
        <w:keepNext w:val="0"/>
        <w:keepLines w:val="0"/>
        <w:pageBreakBefore w:val="0"/>
        <w:widowControl w:val="0"/>
        <w:kinsoku/>
        <w:wordWrap/>
        <w:overflowPunct/>
        <w:topLinePunct w:val="0"/>
        <w:autoSpaceDE/>
        <w:autoSpaceDN/>
        <w:bidi w:val="0"/>
        <w:adjustRightInd/>
        <w:snapToGrid/>
        <w:spacing w:line="500" w:lineRule="exact"/>
        <w:ind w:firstLine="482" w:firstLineChars="200"/>
        <w:textAlignment w:val="auto"/>
        <w:outlineLvl w:val="0"/>
        <w:rPr>
          <w:rFonts w:hint="eastAsia" w:ascii="宋体" w:hAnsi="宋体" w:eastAsia="宋体" w:cs="宋体"/>
          <w:sz w:val="24"/>
          <w:szCs w:val="24"/>
          <w:lang w:val="en-US" w:eastAsia="zh-CN"/>
        </w:rPr>
      </w:pPr>
      <w:bookmarkStart w:id="11" w:name="_Toc13039"/>
      <w:r>
        <w:rPr>
          <w:rFonts w:hint="eastAsia" w:ascii="宋体" w:hAnsi="宋体" w:eastAsia="宋体" w:cs="宋体"/>
          <w:b/>
          <w:bCs/>
          <w:sz w:val="24"/>
          <w:szCs w:val="24"/>
          <w:lang w:val="en-US" w:eastAsia="zh-CN"/>
        </w:rPr>
        <w:t>9 本标准制定和实施的预期成效</w:t>
      </w:r>
      <w:bookmarkEnd w:id="11"/>
    </w:p>
    <w:p w14:paraId="5A7D9FB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9.1 深入贯彻落实新时代党和国家粮食等发展战略，避免经济资源浪费损失，有利于巩固国家粮食安全，促进社会稳定。</w:t>
      </w:r>
    </w:p>
    <w:p w14:paraId="4485F13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9.2 推动餐饮企业开源节流、优质服务、避免浪费、增加经济收入、降低成本、推动辽宁餐饮服务业健康持续发展。</w:t>
      </w:r>
    </w:p>
    <w:p w14:paraId="532D317E">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9.3 引导广大消费者文明用餐、减轻经济负担，培养勤俭节约美德意识 ，提高科学餐饮素质能力。</w:t>
      </w:r>
    </w:p>
    <w:p w14:paraId="26CB3A5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9.4 营造文明餐饮、反对浪费的良好环境。加强社会文明和精神文明建设。</w:t>
      </w:r>
    </w:p>
    <w:p w14:paraId="50CA490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9.5 推动餐饮节约、反对浪费长效机制的形成。</w:t>
      </w:r>
    </w:p>
    <w:p w14:paraId="4EE0523B">
      <w:pPr>
        <w:ind w:firstLine="482" w:firstLineChars="200"/>
        <w:jc w:val="left"/>
        <w:rPr>
          <w:rFonts w:hint="default" w:ascii="宋体" w:hAnsi="宋体" w:cs="宋体"/>
          <w:b/>
          <w:bCs/>
          <w:sz w:val="24"/>
          <w:szCs w:val="24"/>
          <w:lang w:val="en-US" w:eastAsia="zh-CN"/>
        </w:rPr>
      </w:pP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AAABD">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B471E">
    <w:pPr>
      <w:pStyle w:val="2"/>
      <w:rPr>
        <w:rFonts w:hint="default" w:eastAsia="宋体"/>
        <w:sz w:val="18"/>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AECF3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DAECF30">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default"/>
        <w:sz w:val="18"/>
        <w:lang w:val="en-US"/>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C50C2">
                          <w:pPr>
                            <w:pStyle w:val="2"/>
                            <w:rPr>
                              <w:rFonts w:hint="default"/>
                              <w:lang w:val="en-US" w:eastAsia="zh-CN"/>
                            </w:rPr>
                          </w:pPr>
                          <w:r>
                            <w:rPr>
                              <w:rFonts w:hint="eastAsia"/>
                              <w:lang w:val="en-US" w:eastAsia="zh-CN"/>
                            </w:rPr>
                            <w:t>1</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87C50C2">
                    <w:pPr>
                      <w:pStyle w:val="2"/>
                      <w:rPr>
                        <w:rFonts w:hint="default"/>
                        <w:lang w:val="en-US" w:eastAsia="zh-CN"/>
                      </w:rPr>
                    </w:pPr>
                    <w:r>
                      <w:rPr>
                        <w:rFonts w:hint="eastAsia"/>
                        <w:lang w:val="en-US" w:eastAsia="zh-CN"/>
                      </w:rPr>
                      <w:t>1</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61CB2">
    <w:pPr>
      <w:pStyle w:val="2"/>
      <w:rPr>
        <w:rFonts w:hint="default" w:eastAsia="宋体"/>
        <w:sz w:val="18"/>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1A47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481A473">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default"/>
        <w:sz w:val="18"/>
        <w:lang w:val="en-US"/>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99F768">
                          <w:pPr>
                            <w:pStyle w:val="2"/>
                            <w:rPr>
                              <w:rFonts w:hint="default"/>
                              <w:lang w:val="en-US" w:eastAsia="zh-CN"/>
                            </w:rPr>
                          </w:pPr>
                          <w:r>
                            <w:rPr>
                              <w:rFonts w:hint="eastAsia"/>
                              <w:lang w:val="en-US" w:eastAsia="zh-CN"/>
                            </w:rPr>
                            <w:t>1</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0E99F768">
                    <w:pPr>
                      <w:pStyle w:val="2"/>
                      <w:rPr>
                        <w:rFonts w:hint="default"/>
                        <w:lang w:val="en-US" w:eastAsia="zh-CN"/>
                      </w:rPr>
                    </w:pPr>
                    <w:r>
                      <w:rPr>
                        <w:rFonts w:hint="eastAsia"/>
                        <w:lang w:val="en-US" w:eastAsia="zh-CN"/>
                      </w:rPr>
                      <w:t>1</w:t>
                    </w:r>
                  </w:p>
                </w:txbxContent>
              </v:textbox>
            </v:shape>
          </w:pict>
        </mc:Fallback>
      </mc:AlternateContent>
    </w:r>
    <w:r>
      <w:rPr>
        <w:rFonts w:hint="eastAsia"/>
        <w:sz w:val="18"/>
        <w:lang w:val="en-US" w:eastAsia="zh-CN"/>
      </w:rPr>
      <w:t>11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80BCE">
    <w:pPr>
      <w:pStyle w:val="2"/>
      <w:rPr>
        <w:rFonts w:hint="default" w:eastAsia="宋体"/>
        <w:sz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posOffset>28575</wp:posOffset>
              </wp:positionH>
              <wp:positionV relativeFrom="paragraph">
                <wp:posOffset>-19050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8B49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5pt;margin-top:-1.5pt;height:144pt;width:144pt;mso-position-horizontal-relative:margin;mso-wrap-style:none;z-index:251663360;mso-width-relative:page;mso-height-relative:page;" filled="f" stroked="f" coordsize="21600,21600" o:gfxdata="UEsDBAoAAAAAAIdO4kAAAAAAAAAAAAAAAAAEAAAAZHJzL1BLAwQUAAAACACHTuJA9lvTOdYAAAAI&#10;AQAADwAAAGRycy9kb3ducmV2LnhtbE2PQU/DMAyF70j8h8hI3LZk3YZGaTqJiXJEYuXAMWtMW2ic&#10;Ksm68u8xJ7jZfk/P3yv2sxvEhCH2njSslgoEUuNtT62Gt7pa7EDEZMiawRNq+MYI+/L6qjC59Rd6&#10;xemYWsEhFHOjoUtpzKWMTYfOxKUfkVj78MGZxGtopQ3mwuFukJlSd9KZnvhDZ0Y8dNh8Hc9Ow6Gq&#10;6zBhDMM7Plfrz5fHDT7NWt/erNQDiIRz+jPDLz6jQ8lMJ38mG8WgYbNlo4bFmhuxnN1nfDjxsNsq&#10;kGUh/xcofwBQSwMEFAAAAAgAh07iQL3z1oQxAgAAYwQAAA4AAABkcnMvZTJvRG9jLnhtbK1US44T&#10;MRDdI3EHy3vSSRCjKEpnFCYKQoqYkQJi7bjdaUv+yXbSHQ4AN2DFhj3nyjl47k8GDSxmwcZddpVf&#10;+b2q6sVtoxU5CR+kNTmdjMaUCMNtIc0hp58+bl7NKAmRmYIpa0ROzyLQ2+XLF4vazcXUVlYVwhOA&#10;mDCvXU6rGN08ywKvhGZhZJ0wcJbWaxax9Yes8KwGulbZdDy+yWrrC+ctFyHgdN05aY/onwNoy1Jy&#10;sbb8qIWJHaoXikVQCpV0gS7b15al4PG+LIOIROUUTGO7IgnsfVqz5YLND565SvL+Cew5T3jCSTNp&#10;kPQKtWaRkaOXf0Fpyb0NtowjbnXWEWkVAYvJ+Ik2u4o50XKB1MFdRQ//D5Z/OD14Igt0AupumEbF&#10;L9+/XX78uvz8SnAGgWoX5ojbOUTG5q1tEDycBxwm3k3pdfqCEYEf8p6v8oomEp4uzaaz2RguDt+w&#10;AX72eN35EN8Jq0kycupRv1ZWdtqG2IUOISmbsRupVFtDZUid05vXb8bthasH4MogRyLRPTZZsdk3&#10;PbO9Lc4g5m3XG8HxjUTyLQvxgXk0Ax6McYn3WEplkcT2FiWV9V/+dZ7iUSN4KanRXDk1mCVK1HuD&#10;2gEwDoYfjP1gmKO+s+jWCcbQ8dbEBR/VYJbe6s+YoVXKARczHJlyGgfzLnYNjhnkYrVqg47Oy0PV&#10;XUDnORa3Zud4SpOEDG51jBCz1TgJ1KnS64bea6vUz0lq7j/3bdTjv2H5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Zb0znWAAAACAEAAA8AAAAAAAAAAQAgAAAAIgAAAGRycy9kb3ducmV2LnhtbFBL&#10;AQIUABQAAAAIAIdO4kC989aEMQIAAGMEAAAOAAAAAAAAAAEAIAAAACUBAABkcnMvZTJvRG9jLnht&#10;bFBLBQYAAAAABgAGAFkBAADIBQAAAAA=&#10;">
              <v:fill on="f" focussize="0,0"/>
              <v:stroke on="f" weight="0.5pt"/>
              <v:imagedata o:title=""/>
              <o:lock v:ext="edit" aspectratio="f"/>
              <v:textbox inset="0mm,0mm,0mm,0mm" style="mso-fit-shape-to-text:t;">
                <w:txbxContent>
                  <w:p w14:paraId="3B98B49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02F74">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YjBhZWRiNTE0ODg1NDk3ZjhiN2Y1NWM0NjMxMzcifQ=="/>
  </w:docVars>
  <w:rsids>
    <w:rsidRoot w:val="00000000"/>
    <w:rsid w:val="05F45A09"/>
    <w:rsid w:val="08C23B9D"/>
    <w:rsid w:val="09D73678"/>
    <w:rsid w:val="0EF34AB0"/>
    <w:rsid w:val="14614010"/>
    <w:rsid w:val="1867206B"/>
    <w:rsid w:val="1BF41E67"/>
    <w:rsid w:val="1E803E86"/>
    <w:rsid w:val="245711E5"/>
    <w:rsid w:val="24CF6FCD"/>
    <w:rsid w:val="2DE803CC"/>
    <w:rsid w:val="3A255BB6"/>
    <w:rsid w:val="3AAA60BB"/>
    <w:rsid w:val="3D9D3CB5"/>
    <w:rsid w:val="3DB86D41"/>
    <w:rsid w:val="46B53E1D"/>
    <w:rsid w:val="471D7DA5"/>
    <w:rsid w:val="4A954692"/>
    <w:rsid w:val="4D137AF0"/>
    <w:rsid w:val="51402E7D"/>
    <w:rsid w:val="54262F13"/>
    <w:rsid w:val="547A0454"/>
    <w:rsid w:val="56D55E16"/>
    <w:rsid w:val="572052E3"/>
    <w:rsid w:val="58A12453"/>
    <w:rsid w:val="5A3F1F24"/>
    <w:rsid w:val="5CDA23D8"/>
    <w:rsid w:val="60DD5FF3"/>
    <w:rsid w:val="65BF03BD"/>
    <w:rsid w:val="6D3E42BD"/>
    <w:rsid w:val="6FB16FC8"/>
    <w:rsid w:val="70F21646"/>
    <w:rsid w:val="75E21B92"/>
    <w:rsid w:val="776808B4"/>
    <w:rsid w:val="794C38BE"/>
    <w:rsid w:val="7EA47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2875</Words>
  <Characters>3021</Characters>
  <Lines>0</Lines>
  <Paragraphs>0</Paragraphs>
  <TotalTime>12</TotalTime>
  <ScaleCrop>false</ScaleCrop>
  <LinksUpToDate>false</LinksUpToDate>
  <CharactersWithSpaces>3109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2023-12-07T05:23:00Z</dcterms:created>
  <dc:creator>Administrator</dc:creator>
  <cp:lastModifiedBy>Administrator</cp:lastModifiedBy>
  <cp:lastPrinted>2024-04-02T07:57:00Z</cp:lastPrinted>
  <dcterms:modified xsi:type="dcterms:W3CDTF">2024-10-16T00:54:37Z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C8600ADF98A848FAAE681E9A5E5415BF_12</vt:lpwstr>
  </property>
</Properties>
</file>