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03.100.01</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w:t>
            </w:r>
            <w:r>
              <w:rPr>
                <w:rFonts w:ascii="黑体" w:hAnsi="黑体" w:eastAsia="黑体"/>
                <w:sz w:val="21"/>
                <w:szCs w:val="21"/>
              </w:rPr>
              <w:t xml:space="preserve"> </w:t>
            </w:r>
            <w:r>
              <w:rPr>
                <w:rFonts w:hint="eastAsia" w:ascii="黑体" w:hAnsi="黑体" w:eastAsia="黑体"/>
                <w:sz w:val="21"/>
                <w:szCs w:val="21"/>
              </w:rPr>
              <w:t>01</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46</w:t>
            </w:r>
            <w:r>
              <w:fldChar w:fldCharType="end"/>
            </w:r>
            <w:bookmarkEnd w:id="3"/>
          </w:p>
        </w:tc>
      </w:tr>
    </w:tbl>
    <w:p>
      <w:pPr>
        <w:pStyle w:val="51"/>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46/T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即食鲜切水果经营服务规范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024-10-20</w:t>
      </w:r>
      <w:r>
        <w:rPr>
          <w:rFonts w:hint="eastAsia"/>
          <w:sz w:val="21"/>
          <w:szCs w:val="28"/>
        </w:rPr>
        <w:t>）</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0"/>
        <w:spacing w:before="900" w:after="468"/>
      </w:pPr>
      <w:bookmarkStart w:id="21"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231"/>
        <w:ind w:firstLine="420" w:firstLineChars="200"/>
      </w:pPr>
      <w:r>
        <w:rPr>
          <w:rFonts w:hint="eastAsia" w:ascii="宋体" w:hAnsi="宋体"/>
        </w:rPr>
        <w:t>请注意本文件的某些内容可能涉及专利。本文件的发布机构不承担识别专利的责任。</w:t>
      </w:r>
    </w:p>
    <w:p>
      <w:pPr>
        <w:pStyle w:val="231"/>
        <w:ind w:firstLine="420" w:firstLineChars="200"/>
      </w:pPr>
      <w:r>
        <w:rPr>
          <w:rFonts w:hint="eastAsia" w:ascii="宋体" w:hAnsi="宋体"/>
        </w:rPr>
        <w:t>本文件由海南省市场监督管理局提出并归口。</w:t>
      </w:r>
    </w:p>
    <w:p>
      <w:pPr>
        <w:pStyle w:val="57"/>
        <w:ind w:firstLine="420"/>
      </w:pPr>
      <w:r>
        <w:rPr>
          <w:rFonts w:hint="eastAsia" w:hAnsi="宋体"/>
        </w:rPr>
        <w:t>本文件起草单位：海南省市场监督管理局、海南省检验检测研究院质量技术监督标准与信息所、海南省标准化协会。</w:t>
      </w:r>
    </w:p>
    <w:p>
      <w:pPr>
        <w:pStyle w:val="57"/>
        <w:ind w:firstLine="420"/>
      </w:pPr>
      <w:r>
        <w:rPr>
          <w:rFonts w:hint="eastAsia" w:hAnsi="宋体"/>
        </w:rPr>
        <w:t>本文件主要起草人：</w:t>
      </w:r>
    </w:p>
    <w:p>
      <w:pPr>
        <w:pStyle w:val="57"/>
        <w:ind w:firstLine="0" w:firstLineChars="0"/>
      </w:pPr>
    </w:p>
    <w:p>
      <w:pPr>
        <w:pStyle w:val="57"/>
        <w:ind w:firstLine="0" w:firstLineChars="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hint="eastAsia" w:ascii="黑体" w:hAnsi="黑体" w:eastAsia="黑体"/>
          <w:sz w:val="32"/>
          <w:szCs w:val="32"/>
        </w:rPr>
      </w:pPr>
      <w:bookmarkStart w:id="22"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DABFF501B1D449F8BAB52F3F30D1A3C7"/>
        </w:placeholder>
      </w:sdtPr>
      <w:sdtContent>
        <w:p>
          <w:pPr>
            <w:pStyle w:val="178"/>
            <w:spacing w:before="3" w:beforeLines="1" w:after="686" w:afterLines="220"/>
            <w:rPr>
              <w:rFonts w:hint="eastAsia"/>
            </w:rPr>
          </w:pPr>
          <w:bookmarkStart w:id="23" w:name="NEW_STAND_NAME"/>
          <w:r>
            <w:rPr>
              <w:rFonts w:hint="eastAsia"/>
            </w:rPr>
            <w:t>即食鲜切水果经营服务规范</w:t>
          </w:r>
        </w:p>
      </w:sdtContent>
    </w:sdt>
    <w:bookmarkEnd w:id="23"/>
    <w:p>
      <w:pPr>
        <w:pStyle w:val="105"/>
        <w:spacing w:before="312" w:after="312"/>
      </w:pPr>
      <w:bookmarkStart w:id="24" w:name="_Toc24884211"/>
      <w:bookmarkStart w:id="25" w:name="_Toc17233333"/>
      <w:bookmarkStart w:id="26" w:name="_Toc26648465"/>
      <w:bookmarkStart w:id="27" w:name="_Toc24884218"/>
      <w:bookmarkStart w:id="28" w:name="_Toc97191423"/>
      <w:bookmarkStart w:id="29" w:name="_Toc26986771"/>
      <w:bookmarkStart w:id="30" w:name="_Toc26718930"/>
      <w:bookmarkStart w:id="31" w:name="_Toc17233325"/>
      <w:bookmarkStart w:id="32" w:name="_Toc26986530"/>
      <w:r>
        <w:rPr>
          <w:rFonts w:hint="eastAsia"/>
        </w:rPr>
        <w:t>范围</w:t>
      </w:r>
      <w:bookmarkEnd w:id="24"/>
      <w:bookmarkEnd w:id="25"/>
      <w:bookmarkEnd w:id="26"/>
      <w:bookmarkEnd w:id="27"/>
      <w:bookmarkEnd w:id="28"/>
      <w:bookmarkEnd w:id="29"/>
      <w:bookmarkEnd w:id="30"/>
      <w:bookmarkEnd w:id="31"/>
      <w:bookmarkEnd w:id="32"/>
      <w:bookmarkStart w:id="33" w:name="_Toc24884212"/>
      <w:bookmarkStart w:id="34" w:name="_Toc17233326"/>
      <w:bookmarkStart w:id="35" w:name="_Toc26648466"/>
      <w:bookmarkStart w:id="36" w:name="_Toc24884219"/>
      <w:bookmarkStart w:id="37" w:name="_Toc17233334"/>
    </w:p>
    <w:p>
      <w:pPr>
        <w:pStyle w:val="57"/>
        <w:ind w:firstLine="420"/>
        <w:rPr>
          <w:kern w:val="2"/>
        </w:rPr>
      </w:pPr>
      <w:r>
        <w:rPr>
          <w:rFonts w:hint="eastAsia" w:hAnsi="宋体"/>
        </w:rPr>
        <w:t>本文件规定了</w:t>
      </w:r>
      <w:sdt>
        <w:sdtPr>
          <w:tag w:val="NEW_STAND_NAME"/>
          <w:id w:val="147483536"/>
          <w:lock w:val="sdtLocked"/>
          <w:placeholder>
            <w:docPart w:val="{6d59009f-e427-45ab-b0dd-0f9fe0dc9319}"/>
          </w:placeholder>
        </w:sdtPr>
        <w:sdtContent>
          <w:r>
            <w:rPr>
              <w:rFonts w:hint="eastAsia"/>
            </w:rPr>
            <w:t>即食鲜切水果经营服务规范</w:t>
          </w:r>
        </w:sdtContent>
      </w:sdt>
      <w:r>
        <w:rPr>
          <w:rFonts w:hint="eastAsia" w:hAnsi="宋体"/>
        </w:rPr>
        <w:t>的术语和定义、主体资格、场所要求、原料要求、基本要求、标签、包装、贮存及配送要求、记录和档案管理等内容。</w:t>
      </w:r>
    </w:p>
    <w:p>
      <w:pPr>
        <w:pStyle w:val="57"/>
        <w:ind w:firstLine="420"/>
      </w:pPr>
      <w:r>
        <w:rPr>
          <w:rFonts w:hint="eastAsia" w:hAnsi="宋体"/>
        </w:rPr>
        <w:t>本文件适用于即食鲜切水果经营者或食用农产品销售者</w:t>
      </w:r>
      <w:bookmarkStart w:id="47" w:name="_GoBack"/>
      <w:bookmarkEnd w:id="47"/>
      <w:r>
        <w:rPr>
          <w:rFonts w:hint="eastAsia" w:hAnsi="宋体"/>
        </w:rPr>
        <w:t>开展即食鲜切水果销售服务。通过网络交易平台销售的即食鲜切水果经营者可参照执行。</w:t>
      </w:r>
    </w:p>
    <w:p>
      <w:pPr>
        <w:pStyle w:val="57"/>
        <w:ind w:firstLine="420"/>
      </w:pPr>
      <w:r>
        <w:rPr>
          <w:rFonts w:hint="eastAsia" w:hAnsi="宋体"/>
        </w:rPr>
        <w:t>本文件不适用于即食鲜切水果生产加工企业，也不适用于销售环节添加酸奶、罐头食品和米浆等其它原材料或添加剂改变水果原有口味和保存方式的产品制作服务。</w:t>
      </w:r>
    </w:p>
    <w:p>
      <w:pPr>
        <w:pStyle w:val="105"/>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BC97638D37D42FA8EEFE4499A5892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color w:val="000000" w:themeColor="text1"/>
          <w14:textFill>
            <w14:solidFill>
              <w14:schemeClr w14:val="tx1"/>
            </w14:solidFill>
          </w14:textFill>
        </w:rPr>
      </w:pPr>
      <w:bookmarkStart w:id="42" w:name="_Toc97191425"/>
      <w:r>
        <w:rPr>
          <w:rFonts w:hint="eastAsia"/>
        </w:rPr>
        <w:t>GB</w:t>
      </w:r>
      <w:r>
        <w:t xml:space="preserve"> </w:t>
      </w:r>
      <w:r>
        <w:rPr>
          <w:rFonts w:hint="eastAsia"/>
        </w:rPr>
        <w:t>4806.1</w:t>
      </w:r>
      <w:r>
        <w:t xml:space="preserve"> </w:t>
      </w:r>
      <w:r>
        <w:rPr>
          <w:rFonts w:hint="eastAsia"/>
        </w:rPr>
        <w:t xml:space="preserve"> </w:t>
      </w:r>
      <w:r>
        <w:t xml:space="preserve"> 食品</w:t>
      </w:r>
      <w:r>
        <w:rPr>
          <w:color w:val="000000" w:themeColor="text1"/>
          <w14:textFill>
            <w14:solidFill>
              <w14:schemeClr w14:val="tx1"/>
            </w14:solidFill>
          </w14:textFill>
        </w:rPr>
        <w:t>安全国家标准</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食品接触材料及制品通用安全要求</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GB 4806.7   食品安全国家标准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食品接触用塑料材料及制品</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GB 14930.1  食品安全国家标准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洗涤剂</w:t>
      </w:r>
    </w:p>
    <w:p>
      <w:pPr>
        <w:pStyle w:val="57"/>
        <w:ind w:firstLine="420"/>
      </w:pPr>
      <w:r>
        <w:rPr>
          <w:rFonts w:hint="eastAsia"/>
          <w:color w:val="000000" w:themeColor="text1"/>
          <w14:textFill>
            <w14:solidFill>
              <w14:schemeClr w14:val="tx1"/>
            </w14:solidFill>
          </w14:textFill>
        </w:rPr>
        <w:t>GB 31652</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食品安全国家标准</w:t>
      </w:r>
      <w:r>
        <w:rPr>
          <w:color w:val="000000" w:themeColor="text1"/>
          <w14:textFill>
            <w14:solidFill>
              <w14:schemeClr w14:val="tx1"/>
            </w14:solidFill>
          </w14:textFill>
        </w:rPr>
        <w:t xml:space="preserve">  即食鲜切水</w:t>
      </w:r>
      <w:r>
        <w:t>果加工卫生规范</w:t>
      </w:r>
    </w:p>
    <w:p>
      <w:pPr>
        <w:pStyle w:val="57"/>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GB 14881    </w:t>
      </w:r>
      <w:r>
        <w:rPr>
          <w:color w:val="000000" w:themeColor="text1"/>
          <w14:textFill>
            <w14:solidFill>
              <w14:schemeClr w14:val="tx1"/>
            </w14:solidFill>
          </w14:textFill>
        </w:rPr>
        <w:t>食品安全国家标准 食品生产通用卫生规范</w:t>
      </w:r>
    </w:p>
    <w:p>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30768</w:t>
      </w:r>
      <w:r>
        <w:rPr>
          <w:color w:val="000000" w:themeColor="text1"/>
          <w14:textFill>
            <w14:solidFill>
              <w14:schemeClr w14:val="tx1"/>
            </w14:solidFill>
          </w14:textFill>
        </w:rPr>
        <w:t xml:space="preserve">  食品包装用纸与塑料复合膜、袋</w:t>
      </w:r>
    </w:p>
    <w:p>
      <w:pPr>
        <w:pStyle w:val="105"/>
        <w:spacing w:before="312" w:after="312"/>
      </w:pPr>
      <w:r>
        <w:rPr>
          <w:rFonts w:hint="eastAsia"/>
          <w:szCs w:val="21"/>
        </w:rPr>
        <w:t>术语和定义</w:t>
      </w:r>
      <w:bookmarkEnd w:id="42"/>
    </w:p>
    <w:sdt>
      <w:sdtPr>
        <w:id w:val="-1909835108"/>
        <w:placeholder>
          <w:docPart w:val="A327584C29204969840ED73D26FCD4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3" w:name="_Toc26986532"/>
          <w:bookmarkEnd w:id="43"/>
          <w:r>
            <w:t>下列术语和定义适用于本文件。</w:t>
          </w:r>
        </w:p>
      </w:sdtContent>
    </w:sdt>
    <w:p>
      <w:pPr>
        <w:pStyle w:val="224"/>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即食鲜切水果  ready-to-eat fresh-cut fruit</w:t>
      </w:r>
    </w:p>
    <w:p>
      <w:pPr>
        <w:pStyle w:val="57"/>
        <w:ind w:firstLine="420"/>
        <w:rPr>
          <w:kern w:val="2"/>
        </w:rPr>
      </w:pPr>
      <w:r>
        <w:rPr>
          <w:rFonts w:hint="eastAsia" w:hAnsi="宋体"/>
        </w:rPr>
        <w:t>以新鲜的水果为原材料，经预处理、清洗，在鲜切操作台</w:t>
      </w:r>
      <w:r>
        <w:rPr>
          <w:rFonts w:hint="eastAsia"/>
        </w:rPr>
        <w:t>(</w:t>
      </w:r>
      <w:r>
        <w:rPr>
          <w:rFonts w:hint="eastAsia" w:hAnsi="宋体"/>
        </w:rPr>
        <w:t>操作区</w:t>
      </w:r>
      <w:r>
        <w:rPr>
          <w:rFonts w:hint="eastAsia"/>
        </w:rPr>
        <w:t>)</w:t>
      </w:r>
      <w:r>
        <w:rPr>
          <w:rFonts w:hint="eastAsia" w:hAnsi="宋体"/>
        </w:rPr>
        <w:t>去皮或不去皮、切分或不切分、包装等制作和服务过程，采用冷链等适宜的条件贮存和销售的供消费者直接食用的水果。</w:t>
      </w:r>
    </w:p>
    <w:p>
      <w:pPr>
        <w:pStyle w:val="224"/>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即食鲜切水果经营者  operators of ready-to-eat fresh-cut fruit</w:t>
      </w:r>
    </w:p>
    <w:p>
      <w:pPr>
        <w:pStyle w:val="57"/>
        <w:ind w:firstLine="420"/>
        <w:rPr>
          <w:rFonts w:hint="eastAsia" w:hAnsi="宋体" w:cs="Calibri"/>
        </w:rPr>
      </w:pPr>
      <w:r>
        <w:rPr>
          <w:rFonts w:hint="eastAsia" w:hAnsi="宋体" w:cs="Calibri"/>
        </w:rPr>
        <w:t>从事即食鲜切水果销售服务的经营者，如超市、餐饮、便利店、水果专卖店、网络销售水果店等。</w:t>
      </w:r>
    </w:p>
    <w:p>
      <w:pPr>
        <w:pStyle w:val="224"/>
        <w:ind w:left="420" w:hanging="420" w:hangingChars="200"/>
        <w:rPr>
          <w:rFonts w:hint="eastAsia" w:ascii="黑体" w:hAnsi="黑体" w:eastAsia="黑体" w:cs="Calibri"/>
        </w:rPr>
      </w:pPr>
    </w:p>
    <w:p>
      <w:pPr>
        <w:pStyle w:val="224"/>
        <w:numPr>
          <w:ilvl w:val="0"/>
          <w:numId w:val="0"/>
        </w:numPr>
        <w:ind w:left="420"/>
        <w:rPr>
          <w:rFonts w:hint="eastAsia" w:ascii="黑体" w:hAnsi="黑体" w:eastAsia="黑体" w:cs="Calibri"/>
        </w:rPr>
      </w:pPr>
      <w:r>
        <w:rPr>
          <w:rFonts w:hint="eastAsia" w:ascii="黑体" w:hAnsi="黑体" w:eastAsia="黑体" w:cs="Calibri"/>
        </w:rPr>
        <w:t xml:space="preserve">冷藏  </w:t>
      </w:r>
      <w:r>
        <w:rPr>
          <w:rFonts w:hint="eastAsia" w:ascii="黑体" w:hAnsi="黑体" w:eastAsia="黑体"/>
        </w:rPr>
        <w:t>chilled</w:t>
      </w:r>
    </w:p>
    <w:p>
      <w:pPr>
        <w:pStyle w:val="57"/>
        <w:ind w:firstLine="420"/>
      </w:pPr>
      <w:r>
        <w:rPr>
          <w:rFonts w:hint="eastAsia"/>
        </w:rPr>
        <w:t>将原料、半成品、成品置于冰点以上较低温度下贮存的过程，冷藏环境温度的范围应在0℃～8℃。</w:t>
      </w:r>
    </w:p>
    <w:p>
      <w:pPr>
        <w:pStyle w:val="105"/>
        <w:spacing w:before="312" w:after="312"/>
      </w:pPr>
      <w:r>
        <w:rPr>
          <w:rFonts w:hint="eastAsia"/>
        </w:rPr>
        <w:t>主体资格</w:t>
      </w:r>
    </w:p>
    <w:p>
      <w:pPr>
        <w:pStyle w:val="163"/>
        <w:ind w:left="0"/>
      </w:pPr>
      <w:r>
        <w:rPr>
          <w:rFonts w:hint="eastAsia"/>
        </w:rPr>
        <w:t>经营者应取得有效的相关证照。</w:t>
      </w:r>
    </w:p>
    <w:p>
      <w:pPr>
        <w:pStyle w:val="163"/>
        <w:ind w:left="0"/>
        <w:rPr>
          <w:rFonts w:hAnsi="Courier New"/>
        </w:rPr>
      </w:pPr>
      <w:r>
        <w:rPr>
          <w:rFonts w:hint="eastAsia"/>
        </w:rPr>
        <w:t>经营许可范围应涵盖冷食类食品制售。含有“网络经营”的，食品经营许可证经营业态应含“网络”字样。</w:t>
      </w:r>
    </w:p>
    <w:p>
      <w:pPr>
        <w:pStyle w:val="105"/>
        <w:spacing w:before="312" w:after="312"/>
      </w:pPr>
      <w:r>
        <w:rPr>
          <w:rFonts w:hint="eastAsia"/>
        </w:rPr>
        <w:t>场所要求</w:t>
      </w:r>
    </w:p>
    <w:p>
      <w:pPr>
        <w:pStyle w:val="163"/>
        <w:ind w:left="0"/>
      </w:pPr>
      <w:r>
        <w:rPr>
          <w:rFonts w:hint="eastAsia"/>
        </w:rPr>
        <w:t>经营场所应保持干净、整洁、卫生，各功能分区明确。</w:t>
      </w:r>
    </w:p>
    <w:p>
      <w:pPr>
        <w:pStyle w:val="163"/>
        <w:ind w:left="0"/>
      </w:pPr>
      <w:r>
        <w:rPr>
          <w:rFonts w:hint="eastAsia"/>
        </w:rPr>
        <w:t>经营场所应设有鲜切操作台，与其他销售功能区有明显分区或隔离设施。</w:t>
      </w:r>
    </w:p>
    <w:p>
      <w:pPr>
        <w:pStyle w:val="163"/>
        <w:ind w:left="0"/>
        <w:rPr>
          <w:rFonts w:hint="eastAsia"/>
        </w:rPr>
      </w:pPr>
      <w:r>
        <w:rPr>
          <w:rFonts w:hint="eastAsia"/>
        </w:rPr>
        <w:t>操作区应配备脚踏式封盖废弃桶，并及时清除废弃物，清除废弃物后的容器应及时清洁、消毒。</w:t>
      </w:r>
    </w:p>
    <w:p>
      <w:pPr>
        <w:pStyle w:val="105"/>
        <w:spacing w:before="312" w:after="312"/>
      </w:pPr>
      <w:r>
        <w:rPr>
          <w:rFonts w:hint="eastAsia"/>
        </w:rPr>
        <w:t>原料要求</w:t>
      </w:r>
    </w:p>
    <w:p>
      <w:pPr>
        <w:pStyle w:val="106"/>
        <w:spacing w:before="156" w:after="156"/>
        <w:ind w:left="0"/>
      </w:pPr>
      <w:r>
        <w:rPr>
          <w:rFonts w:hint="eastAsia"/>
        </w:rPr>
        <w:t>基本要求</w:t>
      </w:r>
    </w:p>
    <w:p>
      <w:pPr>
        <w:pStyle w:val="166"/>
        <w:rPr>
          <w:color w:val="000000" w:themeColor="text1"/>
          <w14:textFill>
            <w14:solidFill>
              <w14:schemeClr w14:val="tx1"/>
            </w14:solidFill>
          </w14:textFill>
        </w:rPr>
      </w:pPr>
      <w:r>
        <w:rPr>
          <w:rFonts w:hint="eastAsia"/>
        </w:rPr>
        <w:t>采购原材料，应建立进货查验记录制度，索取并留存进货凭证，并核对供货者等有关信息。采购</w:t>
      </w:r>
      <w:r>
        <w:rPr>
          <w:rFonts w:hint="eastAsia"/>
          <w:color w:val="000000" w:themeColor="text1"/>
          <w14:textFill>
            <w14:solidFill>
              <w14:schemeClr w14:val="tx1"/>
            </w14:solidFill>
          </w14:textFill>
        </w:rPr>
        <w:t>进口水果，应索取并留存入境货物检验检疫证明等文件。</w:t>
      </w:r>
    </w:p>
    <w:p>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应加强水果供应商的管理和评估，控制农药残留和重金属污染。</w:t>
      </w:r>
    </w:p>
    <w:p>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水果原料应及时贮藏，以保持足够新鲜。</w:t>
      </w:r>
    </w:p>
    <w:p>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不宜生食的水果不应作为原料。</w:t>
      </w:r>
    </w:p>
    <w:p>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应根据原料特性设置适宜的贮存温度和时间,对贮存温度和时间进行监控并记录。</w:t>
      </w:r>
    </w:p>
    <w:p>
      <w:pPr>
        <w:pStyle w:val="106"/>
        <w:spacing w:before="156" w:after="156"/>
        <w:ind w:left="0"/>
      </w:pPr>
      <w:r>
        <w:rPr>
          <w:rFonts w:hint="eastAsia"/>
        </w:rPr>
        <w:t>感官要求</w:t>
      </w:r>
    </w:p>
    <w:p>
      <w:pPr>
        <w:pStyle w:val="113"/>
        <w:spacing w:before="156" w:after="156"/>
      </w:pPr>
      <w:r>
        <w:rPr>
          <w:rFonts w:hint="eastAsia"/>
        </w:rPr>
        <w:t>感官要求</w:t>
      </w:r>
    </w:p>
    <w:tbl>
      <w:tblPr>
        <w:tblStyle w:val="28"/>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5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823" w:type="dxa"/>
            <w:vAlign w:val="center"/>
          </w:tcPr>
          <w:p>
            <w:pPr>
              <w:pStyle w:val="57"/>
              <w:ind w:firstLine="0" w:firstLineChars="0"/>
              <w:jc w:val="center"/>
              <w:rPr>
                <w:sz w:val="18"/>
                <w:szCs w:val="18"/>
              </w:rPr>
            </w:pPr>
            <w:r>
              <w:rPr>
                <w:rFonts w:hint="eastAsia"/>
                <w:sz w:val="18"/>
                <w:szCs w:val="18"/>
              </w:rPr>
              <w:t xml:space="preserve">项 </w:t>
            </w:r>
            <w:r>
              <w:rPr>
                <w:sz w:val="18"/>
                <w:szCs w:val="18"/>
              </w:rPr>
              <w:t xml:space="preserve"> </w:t>
            </w:r>
            <w:r>
              <w:rPr>
                <w:rFonts w:hint="eastAsia"/>
                <w:sz w:val="18"/>
                <w:szCs w:val="18"/>
              </w:rPr>
              <w:t>目</w:t>
            </w:r>
          </w:p>
        </w:tc>
        <w:tc>
          <w:tcPr>
            <w:tcW w:w="5608" w:type="dxa"/>
            <w:vAlign w:val="center"/>
          </w:tcPr>
          <w:p>
            <w:pPr>
              <w:pStyle w:val="57"/>
              <w:ind w:firstLine="0" w:firstLineChars="0"/>
              <w:jc w:val="center"/>
              <w:rPr>
                <w:sz w:val="18"/>
                <w:szCs w:val="18"/>
              </w:rPr>
            </w:pPr>
            <w:r>
              <w:rPr>
                <w:rFonts w:hint="eastAsia"/>
                <w:sz w:val="18"/>
                <w:szCs w:val="18"/>
              </w:rPr>
              <w:t xml:space="preserve">要 </w:t>
            </w:r>
            <w:r>
              <w:rPr>
                <w:sz w:val="18"/>
                <w:szCs w:val="18"/>
              </w:rPr>
              <w:t xml:space="preserve"> </w:t>
            </w:r>
            <w:r>
              <w:rPr>
                <w:rFonts w:hint="eastAsia"/>
                <w:sz w:val="18"/>
                <w:szCs w:val="18"/>
              </w:rPr>
              <w:t>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823" w:type="dxa"/>
            <w:vAlign w:val="center"/>
          </w:tcPr>
          <w:p>
            <w:pPr>
              <w:pStyle w:val="57"/>
              <w:ind w:firstLine="0" w:firstLineChars="0"/>
              <w:jc w:val="center"/>
              <w:rPr>
                <w:sz w:val="18"/>
                <w:szCs w:val="18"/>
              </w:rPr>
            </w:pPr>
            <w:r>
              <w:rPr>
                <w:rFonts w:hint="eastAsia"/>
                <w:sz w:val="18"/>
                <w:szCs w:val="18"/>
              </w:rPr>
              <w:t xml:space="preserve">外 </w:t>
            </w:r>
            <w:r>
              <w:rPr>
                <w:sz w:val="18"/>
                <w:szCs w:val="18"/>
              </w:rPr>
              <w:t xml:space="preserve"> </w:t>
            </w:r>
            <w:r>
              <w:rPr>
                <w:rFonts w:hint="eastAsia"/>
                <w:sz w:val="18"/>
                <w:szCs w:val="18"/>
              </w:rPr>
              <w:t>观</w:t>
            </w:r>
          </w:p>
        </w:tc>
        <w:tc>
          <w:tcPr>
            <w:tcW w:w="5608" w:type="dxa"/>
            <w:vAlign w:val="center"/>
          </w:tcPr>
          <w:p>
            <w:pPr>
              <w:pStyle w:val="57"/>
              <w:ind w:firstLine="0" w:firstLineChars="0"/>
              <w:rPr>
                <w:sz w:val="18"/>
                <w:szCs w:val="18"/>
              </w:rPr>
            </w:pPr>
            <w:r>
              <w:rPr>
                <w:rFonts w:hint="eastAsia"/>
                <w:sz w:val="18"/>
                <w:szCs w:val="18"/>
              </w:rPr>
              <w:t>新鲜、无腐烂变质、无异物、无异常机械伤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3" w:type="dxa"/>
            <w:vAlign w:val="center"/>
          </w:tcPr>
          <w:p>
            <w:pPr>
              <w:pStyle w:val="57"/>
              <w:ind w:firstLine="0" w:firstLineChars="0"/>
              <w:jc w:val="center"/>
              <w:rPr>
                <w:sz w:val="18"/>
                <w:szCs w:val="18"/>
              </w:rPr>
            </w:pPr>
            <w:r>
              <w:rPr>
                <w:rFonts w:hint="eastAsia"/>
                <w:sz w:val="18"/>
                <w:szCs w:val="18"/>
              </w:rPr>
              <w:t xml:space="preserve">颜 </w:t>
            </w:r>
            <w:r>
              <w:rPr>
                <w:sz w:val="18"/>
                <w:szCs w:val="18"/>
              </w:rPr>
              <w:t xml:space="preserve"> </w:t>
            </w:r>
            <w:r>
              <w:rPr>
                <w:rFonts w:hint="eastAsia"/>
                <w:sz w:val="18"/>
                <w:szCs w:val="18"/>
              </w:rPr>
              <w:t>色</w:t>
            </w:r>
          </w:p>
        </w:tc>
        <w:tc>
          <w:tcPr>
            <w:tcW w:w="5608" w:type="dxa"/>
            <w:vAlign w:val="center"/>
          </w:tcPr>
          <w:p>
            <w:pPr>
              <w:pStyle w:val="57"/>
              <w:ind w:firstLine="0" w:firstLineChars="0"/>
              <w:rPr>
                <w:sz w:val="18"/>
                <w:szCs w:val="18"/>
              </w:rPr>
            </w:pPr>
            <w:r>
              <w:rPr>
                <w:rFonts w:hint="eastAsia"/>
                <w:sz w:val="18"/>
                <w:szCs w:val="18"/>
              </w:rPr>
              <w:t>符合该品种的色泽特征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823" w:type="dxa"/>
            <w:vAlign w:val="center"/>
          </w:tcPr>
          <w:p>
            <w:pPr>
              <w:pStyle w:val="57"/>
              <w:ind w:firstLine="0" w:firstLineChars="0"/>
              <w:jc w:val="center"/>
              <w:rPr>
                <w:sz w:val="18"/>
                <w:szCs w:val="18"/>
              </w:rPr>
            </w:pPr>
            <w:r>
              <w:rPr>
                <w:rFonts w:hint="eastAsia"/>
                <w:sz w:val="18"/>
                <w:szCs w:val="18"/>
              </w:rPr>
              <w:t xml:space="preserve">气 </w:t>
            </w:r>
            <w:r>
              <w:rPr>
                <w:sz w:val="18"/>
                <w:szCs w:val="18"/>
              </w:rPr>
              <w:t xml:space="preserve"> </w:t>
            </w:r>
            <w:r>
              <w:rPr>
                <w:rFonts w:hint="eastAsia"/>
                <w:sz w:val="18"/>
                <w:szCs w:val="18"/>
              </w:rPr>
              <w:t>味</w:t>
            </w:r>
          </w:p>
        </w:tc>
        <w:tc>
          <w:tcPr>
            <w:tcW w:w="5608" w:type="dxa"/>
            <w:vAlign w:val="center"/>
          </w:tcPr>
          <w:p>
            <w:pPr>
              <w:pStyle w:val="57"/>
              <w:ind w:firstLine="0" w:firstLineChars="0"/>
              <w:rPr>
                <w:sz w:val="18"/>
                <w:szCs w:val="18"/>
              </w:rPr>
            </w:pPr>
            <w:r>
              <w:rPr>
                <w:rFonts w:hint="eastAsia"/>
                <w:sz w:val="18"/>
                <w:szCs w:val="18"/>
              </w:rPr>
              <w:t>符合该品种正常的气味</w:t>
            </w:r>
          </w:p>
        </w:tc>
      </w:tr>
    </w:tbl>
    <w:p>
      <w:pPr>
        <w:pStyle w:val="105"/>
        <w:spacing w:before="312" w:after="312"/>
      </w:pPr>
      <w:r>
        <w:rPr>
          <w:rFonts w:hint="eastAsia"/>
        </w:rPr>
        <w:t>基本要求</w:t>
      </w:r>
    </w:p>
    <w:p>
      <w:pPr>
        <w:pStyle w:val="106"/>
        <w:spacing w:before="156" w:after="156"/>
        <w:ind w:left="0"/>
      </w:pPr>
      <w:r>
        <w:rPr>
          <w:rFonts w:hint="eastAsia"/>
        </w:rPr>
        <w:t>人员要求</w:t>
      </w:r>
    </w:p>
    <w:p>
      <w:pPr>
        <w:pStyle w:val="166"/>
        <w:rPr>
          <w:rFonts w:hAnsi="Courier New"/>
        </w:rPr>
      </w:pPr>
      <w:r>
        <w:rPr>
          <w:rFonts w:hint="eastAsia"/>
        </w:rPr>
        <w:t>即食鲜切水果从业人员应依据法律法规要求，持有有效健康证明后方可上岗，且定期进行身体检查，必要时应进行临时健康检查。</w:t>
      </w:r>
    </w:p>
    <w:p>
      <w:pPr>
        <w:pStyle w:val="166"/>
        <w:rPr>
          <w:rFonts w:hAnsi="Courier New"/>
        </w:rPr>
      </w:pPr>
      <w:r>
        <w:rPr>
          <w:rFonts w:hint="eastAsia"/>
        </w:rPr>
        <w:t>从业人员上岗前应确认健康状况。患有发热、腹泻、咽部炎症等病症及皮肤有伤口或感染等有碍食品卫生疾病的从业人员，应立即暂停从事接触水果的工作，待查明原因或者排除有碍食品卫生的病症或者治愈后，方可重新上岗。</w:t>
      </w:r>
    </w:p>
    <w:p>
      <w:pPr>
        <w:pStyle w:val="166"/>
        <w:rPr>
          <w:rFonts w:hAnsi="Courier New"/>
        </w:rPr>
      </w:pPr>
      <w:r>
        <w:rPr>
          <w:rFonts w:hint="eastAsia"/>
        </w:rPr>
        <w:t>手部有伤口的人员，应对伤口进行有效防护，禁止伤口裸露进行鲜切、包装等操作。</w:t>
      </w:r>
    </w:p>
    <w:p>
      <w:pPr>
        <w:pStyle w:val="166"/>
        <w:rPr>
          <w:rFonts w:hAnsi="Courier New"/>
        </w:rPr>
      </w:pPr>
      <w:r>
        <w:rPr>
          <w:rFonts w:hint="eastAsia"/>
        </w:rPr>
        <w:t>鲜切操作人员不得留长指甲、染指甲和涂抹香水等。工作时，应穿清洁的工作服，不得佩戴手表、手镯、手链、手串、戒指和耳环等外露饰物。</w:t>
      </w:r>
    </w:p>
    <w:p>
      <w:pPr>
        <w:pStyle w:val="166"/>
        <w:rPr>
          <w:rFonts w:hAnsi="Courier New"/>
        </w:rPr>
      </w:pPr>
      <w:r>
        <w:rPr>
          <w:rFonts w:hint="eastAsia"/>
        </w:rPr>
        <w:t>鲜切操作人员操作时应戴清洁的发网或者工作帽，发网或者工作帽应能将头发全部覆盖。</w:t>
      </w:r>
    </w:p>
    <w:p>
      <w:pPr>
        <w:pStyle w:val="166"/>
        <w:rPr>
          <w:rFonts w:hAnsi="Courier New"/>
        </w:rPr>
      </w:pPr>
      <w:r>
        <w:rPr>
          <w:rFonts w:hint="eastAsia"/>
        </w:rPr>
        <w:t>鲜切操作人员操作前应配戴口罩，并对手部进行清洗和消毒。工作时宜佩戴一次性手套，手套破损及受到污染时时，应及时更换。</w:t>
      </w:r>
    </w:p>
    <w:p>
      <w:pPr>
        <w:pStyle w:val="106"/>
        <w:spacing w:before="156" w:after="156"/>
        <w:ind w:left="0"/>
        <w:rPr>
          <w:rFonts w:hAnsi="Courier New"/>
        </w:rPr>
      </w:pPr>
      <w:r>
        <w:rPr>
          <w:rFonts w:hint="eastAsia"/>
        </w:rPr>
        <w:t>切分制作要求</w:t>
      </w:r>
    </w:p>
    <w:p>
      <w:pPr>
        <w:pStyle w:val="166"/>
        <w:rPr>
          <w:rFonts w:hAnsi="Courier New"/>
        </w:rPr>
      </w:pPr>
      <w:r>
        <w:rPr>
          <w:rFonts w:hint="eastAsia"/>
        </w:rPr>
        <w:t>应对原材料进行感官检查，发现病、虫、霉(腐)烂等缺陷果或其他感官性状异常的，不应采用。</w:t>
      </w:r>
    </w:p>
    <w:p>
      <w:pPr>
        <w:pStyle w:val="166"/>
        <w:rPr>
          <w:color w:val="000000" w:themeColor="text1"/>
          <w14:textFill>
            <w14:solidFill>
              <w14:schemeClr w14:val="tx1"/>
            </w14:solidFill>
          </w14:textFill>
        </w:rPr>
      </w:pPr>
      <w:r>
        <w:rPr>
          <w:rFonts w:hint="eastAsia" w:hAnsi="Courier New"/>
        </w:rPr>
        <w:t>切分前应对切分器具进行清洗，保持干净卫生。</w:t>
      </w:r>
    </w:p>
    <w:p>
      <w:pPr>
        <w:pStyle w:val="166"/>
        <w:rPr>
          <w:color w:val="000000" w:themeColor="text1"/>
          <w14:textFill>
            <w14:solidFill>
              <w14:schemeClr w14:val="tx1"/>
            </w14:solidFill>
          </w14:textFill>
        </w:rPr>
      </w:pPr>
      <w:r>
        <w:rPr>
          <w:rFonts w:hint="eastAsia"/>
          <w:color w:val="000000" w:themeColor="text1"/>
          <w14:textFill>
            <w14:solidFill>
              <w14:schemeClr w14:val="tx1"/>
            </w14:solidFill>
          </w14:textFill>
        </w:rPr>
        <w:t>操作用水应符合G</w:t>
      </w:r>
      <w:r>
        <w:rPr>
          <w:color w:val="000000" w:themeColor="text1"/>
          <w14:textFill>
            <w14:solidFill>
              <w14:schemeClr w14:val="tx1"/>
            </w14:solidFill>
          </w14:textFill>
        </w:rPr>
        <w:t>B 5749</w:t>
      </w:r>
      <w:r>
        <w:rPr>
          <w:rFonts w:hint="eastAsia"/>
          <w:color w:val="000000" w:themeColor="text1"/>
          <w14:textFill>
            <w14:solidFill>
              <w14:schemeClr w14:val="tx1"/>
            </w14:solidFill>
          </w14:textFill>
        </w:rPr>
        <w:t>的要求。</w:t>
      </w:r>
    </w:p>
    <w:p>
      <w:pPr>
        <w:pStyle w:val="166"/>
        <w:rPr>
          <w:rFonts w:hAnsi="Courier New"/>
        </w:rPr>
      </w:pPr>
      <w:r>
        <w:rPr>
          <w:rFonts w:hint="eastAsia"/>
        </w:rPr>
        <w:t>原材料使用前应进行清洗，清洗后去除多余水分。</w:t>
      </w:r>
    </w:p>
    <w:p>
      <w:pPr>
        <w:pStyle w:val="166"/>
        <w:rPr>
          <w:rFonts w:hAnsi="Courier New"/>
          <w:color w:val="000000" w:themeColor="text1"/>
          <w14:textFill>
            <w14:solidFill>
              <w14:schemeClr w14:val="tx1"/>
            </w14:solidFill>
          </w14:textFill>
        </w:rPr>
      </w:pPr>
      <w:r>
        <w:rPr>
          <w:rFonts w:hint="eastAsia"/>
        </w:rPr>
        <w:t>水果切分</w:t>
      </w:r>
      <w:r>
        <w:rPr>
          <w:rFonts w:hint="eastAsia"/>
          <w:color w:val="000000" w:themeColor="text1"/>
          <w14:textFill>
            <w14:solidFill>
              <w14:schemeClr w14:val="tx1"/>
            </w14:solidFill>
          </w14:textFill>
        </w:rPr>
        <w:t>后未包装前，应根据去皮、带皮水果等不同情况，通过立即包装、加膜加盖、放入不锈钢材质容器、接触性食品级容器内等方式冷藏暂存。</w:t>
      </w:r>
    </w:p>
    <w:p>
      <w:pPr>
        <w:pStyle w:val="166"/>
        <w:rPr>
          <w:rFonts w:hAnsi="Courier New"/>
          <w:color w:val="000000" w:themeColor="text1"/>
          <w14:textFill>
            <w14:solidFill>
              <w14:schemeClr w14:val="tx1"/>
            </w14:solidFill>
          </w14:textFill>
        </w:rPr>
      </w:pPr>
      <w:r>
        <w:rPr>
          <w:rFonts w:hint="eastAsia"/>
          <w:color w:val="000000" w:themeColor="text1"/>
          <w14:textFill>
            <w14:solidFill>
              <w14:schemeClr w14:val="tx1"/>
            </w14:solidFill>
          </w14:textFill>
        </w:rPr>
        <w:t>椰子果取水时开孔取汁应用过滤筛过滤到干净容器内，且应密封包装，冷藏储存；取椰肉时视椰肉软嫩度选择适宜的工具挖取椰肉，且应密封包装，冷藏储存。</w:t>
      </w:r>
    </w:p>
    <w:p>
      <w:pPr>
        <w:pStyle w:val="166"/>
        <w:rPr>
          <w:rFonts w:hAnsi="Courier New"/>
          <w:color w:val="000000" w:themeColor="text1"/>
          <w14:textFill>
            <w14:solidFill>
              <w14:schemeClr w14:val="tx1"/>
            </w14:solidFill>
          </w14:textFill>
        </w:rPr>
      </w:pPr>
      <w:r>
        <w:rPr>
          <w:rFonts w:hint="eastAsia"/>
          <w:color w:val="000000" w:themeColor="text1"/>
          <w14:textFill>
            <w14:solidFill>
              <w14:schemeClr w14:val="tx1"/>
            </w14:solidFill>
          </w14:textFill>
        </w:rPr>
        <w:t>部分切分原材料除选择适宜的温度和环境贮存外，还应做好切分时间、使用期限等记录或标识。切分未销售的原材料应当日处理，不得再使用。</w:t>
      </w:r>
    </w:p>
    <w:p>
      <w:pPr>
        <w:pStyle w:val="166"/>
        <w:rPr>
          <w:rFonts w:hAnsi="Courier New"/>
        </w:rPr>
      </w:pPr>
      <w:r>
        <w:rPr>
          <w:rFonts w:hint="eastAsia"/>
          <w:color w:val="000000" w:themeColor="text1"/>
          <w14:textFill>
            <w14:solidFill>
              <w14:schemeClr w14:val="tx1"/>
            </w14:solidFill>
          </w14:textFill>
        </w:rPr>
        <w:t>使用的手套出现破损或者连续</w:t>
      </w:r>
      <w:r>
        <w:rPr>
          <w:rFonts w:hint="eastAsia"/>
        </w:rPr>
        <w:t>使用4小时后应及时更换。</w:t>
      </w:r>
    </w:p>
    <w:p>
      <w:pPr>
        <w:pStyle w:val="105"/>
        <w:spacing w:before="312" w:after="312"/>
      </w:pPr>
      <w:r>
        <w:rPr>
          <w:rFonts w:hint="eastAsia"/>
        </w:rPr>
        <w:t>标签、包装、贮存及配送</w:t>
      </w:r>
    </w:p>
    <w:p>
      <w:pPr>
        <w:pStyle w:val="106"/>
        <w:spacing w:before="156" w:after="156"/>
        <w:ind w:left="0"/>
      </w:pPr>
      <w:r>
        <w:rPr>
          <w:rFonts w:hint="eastAsia"/>
        </w:rPr>
        <w:t>标签</w:t>
      </w:r>
    </w:p>
    <w:p>
      <w:pPr>
        <w:pStyle w:val="166"/>
        <w:rPr>
          <w:kern w:val="2"/>
        </w:rPr>
      </w:pPr>
      <w:r>
        <w:rPr>
          <w:rFonts w:hint="eastAsia"/>
        </w:rPr>
        <w:t>应注明名称、原材料产地、分切时间、具体制作时间、贮存条件，标签示例可参照附录C。</w:t>
      </w:r>
    </w:p>
    <w:p>
      <w:pPr>
        <w:pStyle w:val="166"/>
        <w:rPr>
          <w:kern w:val="2"/>
        </w:rPr>
      </w:pPr>
      <w:r>
        <w:rPr>
          <w:rFonts w:hint="eastAsia"/>
        </w:rPr>
        <w:t>根据产品特性、包装特点和售卖形式，有必要设置推荐食用期限的，应精确到小时。</w:t>
      </w:r>
    </w:p>
    <w:p>
      <w:pPr>
        <w:pStyle w:val="166"/>
        <w:rPr>
          <w:kern w:val="2"/>
        </w:rPr>
      </w:pPr>
      <w:r>
        <w:rPr>
          <w:rFonts w:hint="eastAsia"/>
        </w:rPr>
        <w:t>应贴在食品容器外表面或外包装，便于识别。</w:t>
      </w:r>
    </w:p>
    <w:p>
      <w:pPr>
        <w:pStyle w:val="106"/>
        <w:spacing w:before="156" w:after="156"/>
        <w:ind w:left="0"/>
      </w:pPr>
      <w:r>
        <w:rPr>
          <w:rFonts w:hint="eastAsia"/>
        </w:rPr>
        <w:t>包装</w:t>
      </w:r>
    </w:p>
    <w:p>
      <w:pPr>
        <w:pStyle w:val="166"/>
      </w:pPr>
      <w:r>
        <w:rPr>
          <w:rFonts w:hint="eastAsia"/>
        </w:rPr>
        <w:t>可采用单一包装或加膜加盖等方式。包装材料应符合GB</w:t>
      </w:r>
      <w:r>
        <w:t xml:space="preserve"> </w:t>
      </w:r>
      <w:r>
        <w:rPr>
          <w:rFonts w:hint="eastAsia"/>
        </w:rPr>
        <w:t>4806.1、GB4806.7和GB/T</w:t>
      </w:r>
      <w:r>
        <w:t xml:space="preserve"> </w:t>
      </w:r>
      <w:r>
        <w:rPr>
          <w:rFonts w:hint="eastAsia"/>
        </w:rPr>
        <w:t>30768的要求。</w:t>
      </w:r>
    </w:p>
    <w:p>
      <w:pPr>
        <w:pStyle w:val="166"/>
      </w:pPr>
      <w:r>
        <w:rPr>
          <w:rFonts w:hint="eastAsia"/>
        </w:rPr>
        <w:t>不宜对不同种类的即食鲜切水果搭配贮存。</w:t>
      </w:r>
    </w:p>
    <w:p>
      <w:pPr>
        <w:pStyle w:val="166"/>
      </w:pPr>
      <w:r>
        <w:rPr>
          <w:rFonts w:hint="eastAsia"/>
        </w:rPr>
        <w:t>产品随附的一次性餐具宜独立包装或覆膜防护，不应与产品直接接触。</w:t>
      </w:r>
    </w:p>
    <w:p>
      <w:pPr>
        <w:pStyle w:val="106"/>
        <w:spacing w:before="156" w:after="156"/>
        <w:ind w:left="0"/>
      </w:pPr>
      <w:r>
        <w:rPr>
          <w:rFonts w:hint="eastAsia"/>
        </w:rPr>
        <w:t>贮存</w:t>
      </w:r>
    </w:p>
    <w:p>
      <w:pPr>
        <w:pStyle w:val="166"/>
      </w:pPr>
      <w:r>
        <w:rPr>
          <w:rFonts w:hint="eastAsia"/>
        </w:rPr>
        <w:t>切分后的新鲜水果应加膜加盖等方式包装，不应与空气直接接触。</w:t>
      </w:r>
    </w:p>
    <w:p>
      <w:pPr>
        <w:pStyle w:val="166"/>
      </w:pPr>
      <w:r>
        <w:rPr>
          <w:rFonts w:hint="eastAsia"/>
        </w:rPr>
        <w:t>切分后的新鲜水果应在冷藏条件下进行售卖或贮存，且确保其在贮存售卖过程中温度稳定。</w:t>
      </w:r>
    </w:p>
    <w:p>
      <w:pPr>
        <w:pStyle w:val="106"/>
        <w:spacing w:before="156" w:after="156"/>
        <w:ind w:left="0"/>
      </w:pPr>
      <w:r>
        <w:rPr>
          <w:rFonts w:hint="eastAsia"/>
        </w:rPr>
        <w:t xml:space="preserve"> 配送</w:t>
      </w:r>
    </w:p>
    <w:p>
      <w:pPr>
        <w:pStyle w:val="166"/>
      </w:pPr>
      <w:r>
        <w:rPr>
          <w:rFonts w:hint="eastAsia"/>
        </w:rPr>
        <w:t>应采取防护措施，防止配送时污损即食鲜切水果。</w:t>
      </w:r>
    </w:p>
    <w:p>
      <w:pPr>
        <w:pStyle w:val="166"/>
      </w:pPr>
      <w:r>
        <w:rPr>
          <w:rFonts w:hint="eastAsia"/>
        </w:rPr>
        <w:t>配送箱(包)应采取必要的保冷措施，避免脱离冷链。</w:t>
      </w:r>
    </w:p>
    <w:p>
      <w:pPr>
        <w:pStyle w:val="166"/>
      </w:pPr>
      <w:r>
        <w:rPr>
          <w:rFonts w:hint="eastAsia"/>
        </w:rPr>
        <w:t>配送时应与热食类食物分隔。</w:t>
      </w:r>
    </w:p>
    <w:p>
      <w:pPr>
        <w:pStyle w:val="166"/>
      </w:pPr>
      <w:r>
        <w:rPr>
          <w:rFonts w:hint="eastAsia"/>
        </w:rPr>
        <w:t>配送箱(包)应保持清洁，并定期消毒。</w:t>
      </w:r>
    </w:p>
    <w:p>
      <w:pPr>
        <w:pStyle w:val="166"/>
      </w:pPr>
      <w:r>
        <w:rPr>
          <w:rFonts w:hint="eastAsia"/>
        </w:rPr>
        <w:t>宜采取有效的方式对外卖进行密封保护，便于消费者识别配送过程包装是否开启。</w:t>
      </w:r>
    </w:p>
    <w:p>
      <w:pPr>
        <w:pStyle w:val="105"/>
        <w:spacing w:before="312" w:after="312"/>
      </w:pPr>
      <w:r>
        <w:rPr>
          <w:rFonts w:hint="eastAsia"/>
        </w:rPr>
        <w:t>记录和档案管理</w:t>
      </w:r>
    </w:p>
    <w:p>
      <w:pPr>
        <w:pStyle w:val="163"/>
        <w:ind w:left="0"/>
      </w:pPr>
      <w:r>
        <w:rPr>
          <w:rFonts w:hint="eastAsia"/>
        </w:rPr>
        <w:t>应建立记录制度，对采购、贮存、销售、销毁等环节详细记录。记录内容应完整、真实，确保对产品从原料采购到产品销售的所有环节都可进行有效追溯。</w:t>
      </w:r>
    </w:p>
    <w:p>
      <w:pPr>
        <w:pStyle w:val="163"/>
        <w:ind w:left="0"/>
      </w:pPr>
      <w:r>
        <w:rPr>
          <w:rFonts w:hint="eastAsia"/>
        </w:rPr>
        <w:t>应如实记录原料、食品包装材料等食品相关产品的名称、规格、数量、供货者名称及联系方式、进货日期等内容。保存期限不得少于2年。</w:t>
      </w:r>
    </w:p>
    <w:p>
      <w:pPr>
        <w:pStyle w:val="163"/>
        <w:ind w:left="0"/>
      </w:pPr>
      <w:r>
        <w:rPr>
          <w:rFonts w:hint="eastAsia"/>
        </w:rPr>
        <w:t>应建立客户投诉处理机制。对客户提出的书面或口头意见、投诉，企业相关管理部门应作记录并查找原因，妥善处理。</w:t>
      </w:r>
    </w:p>
    <w:p>
      <w:pPr>
        <w:pStyle w:val="163"/>
        <w:ind w:left="0"/>
      </w:pPr>
      <w:r>
        <w:rPr>
          <w:rFonts w:hint="eastAsia"/>
        </w:rPr>
        <w:t>应建立文件的管理制度，对文件进行有效管理，确保各相关场所使用的文件均为有效版本。</w:t>
      </w:r>
    </w:p>
    <w:p>
      <w:pPr>
        <w:pStyle w:val="163"/>
        <w:ind w:left="0"/>
      </w:pPr>
      <w:r>
        <w:rPr>
          <w:rFonts w:hint="eastAsia"/>
        </w:rPr>
        <w:t>鼓励采用先进技术手段(如电子计算机信息系统)，进行记录和档案管理。</w:t>
      </w:r>
    </w:p>
    <w:p>
      <w:pPr>
        <w:pStyle w:val="57"/>
        <w:ind w:firstLine="0" w:firstLineChars="0"/>
        <w:rPr>
          <w:rFonts w:hint="eastAsia"/>
        </w:rPr>
        <w:sectPr>
          <w:pgSz w:w="11906" w:h="16838"/>
          <w:pgMar w:top="1928" w:right="1134" w:bottom="1134" w:left="1134" w:header="1418" w:footer="1134" w:gutter="284"/>
          <w:pgNumType w:start="1"/>
          <w:cols w:space="425" w:num="1"/>
          <w:formProt w:val="0"/>
          <w:docGrid w:type="lines" w:linePitch="312" w:charSpace="0"/>
        </w:sectPr>
      </w:pPr>
    </w:p>
    <w:bookmarkEnd w:id="22"/>
    <w:p>
      <w:pPr>
        <w:pStyle w:val="199"/>
        <w:rPr>
          <w:rFonts w:hint="eastAsia"/>
          <w:vanish w:val="0"/>
        </w:rPr>
      </w:pPr>
      <w:bookmarkStart w:id="44" w:name="BookMark5"/>
    </w:p>
    <w:p>
      <w:pPr>
        <w:pStyle w:val="200"/>
        <w:rPr>
          <w:vanish w:val="0"/>
        </w:rPr>
      </w:pPr>
    </w:p>
    <w:p>
      <w:pPr>
        <w:pStyle w:val="77"/>
        <w:spacing w:after="156"/>
      </w:pPr>
      <w:r>
        <w:br w:type="textWrapping"/>
      </w:r>
      <w:r>
        <w:rPr>
          <w:rFonts w:hint="eastAsia"/>
        </w:rPr>
        <w:t>（资料性）</w:t>
      </w:r>
      <w:r>
        <w:br w:type="textWrapping"/>
      </w:r>
      <w:r>
        <w:rPr>
          <w:rFonts w:hint="eastAsia"/>
        </w:rPr>
        <w:t>常见水果清洗流程</w:t>
      </w:r>
    </w:p>
    <w:p>
      <w:pPr>
        <w:pStyle w:val="57"/>
        <w:ind w:firstLine="420"/>
      </w:pPr>
      <w:r>
        <w:rPr>
          <w:rFonts w:hint="eastAsia"/>
        </w:rPr>
        <w:t>常见水果清洗流程图见图A.1。</w:t>
      </w:r>
    </w:p>
    <w:p>
      <w:pPr>
        <w:pStyle w:val="57"/>
        <w:ind w:firstLine="0" w:firstLineChars="0"/>
      </w:pPr>
      <w:r>
        <w:drawing>
          <wp:inline distT="0" distB="0" distL="0" distR="0">
            <wp:extent cx="5687695" cy="5191125"/>
            <wp:effectExtent l="0" t="0" r="8255" b="9525"/>
            <wp:docPr id="125244860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52448601" name="图片 1"/>
                    <pic:cNvPicPr>
                      <a:picLocks noChangeAspect="true"/>
                    </pic:cNvPicPr>
                  </pic:nvPicPr>
                  <pic:blipFill>
                    <a:blip r:embed="rId16"/>
                    <a:stretch>
                      <a:fillRect/>
                    </a:stretch>
                  </pic:blipFill>
                  <pic:spPr>
                    <a:xfrm>
                      <a:off x="0" y="0"/>
                      <a:ext cx="5713290" cy="5214844"/>
                    </a:xfrm>
                    <a:prstGeom prst="rect">
                      <a:avLst/>
                    </a:prstGeom>
                  </pic:spPr>
                </pic:pic>
              </a:graphicData>
            </a:graphic>
          </wp:inline>
        </w:drawing>
      </w:r>
    </w:p>
    <w:p>
      <w:pPr>
        <w:pStyle w:val="84"/>
        <w:spacing w:before="156" w:after="156"/>
      </w:pPr>
      <w:r>
        <w:rPr>
          <w:rFonts w:hint="eastAsia"/>
        </w:rPr>
        <w:t>常见水果清洗流程图</w:t>
      </w:r>
    </w:p>
    <w:p>
      <w:pPr>
        <w:pStyle w:val="57"/>
        <w:ind w:firstLine="420"/>
        <w:sectPr>
          <w:pgSz w:w="11906" w:h="16838"/>
          <w:pgMar w:top="1928" w:right="1134" w:bottom="1134" w:left="1134" w:header="1418" w:footer="1134" w:gutter="284"/>
          <w:cols w:space="425" w:num="1"/>
          <w:formProt w:val="0"/>
          <w:docGrid w:type="lines" w:linePitch="312" w:charSpace="0"/>
        </w:sectPr>
      </w:pPr>
    </w:p>
    <w:p>
      <w:pPr>
        <w:pStyle w:val="199"/>
        <w:rPr>
          <w:rFonts w:hint="eastAsia"/>
          <w:vanish w:val="0"/>
        </w:rPr>
      </w:pPr>
    </w:p>
    <w:p>
      <w:pPr>
        <w:pStyle w:val="200"/>
        <w:rPr>
          <w:vanish w:val="0"/>
        </w:rPr>
      </w:pPr>
    </w:p>
    <w:p>
      <w:pPr>
        <w:pStyle w:val="77"/>
        <w:spacing w:after="156"/>
      </w:pPr>
      <w:r>
        <w:br w:type="textWrapping"/>
      </w:r>
      <w:r>
        <w:rPr>
          <w:rFonts w:hint="eastAsia"/>
        </w:rPr>
        <w:t>（资料性）</w:t>
      </w:r>
      <w:r>
        <w:br w:type="textWrapping"/>
      </w:r>
      <w:r>
        <w:rPr>
          <w:rFonts w:hint="eastAsia"/>
        </w:rPr>
        <w:t>水果切分规格指南</w:t>
      </w:r>
    </w:p>
    <w:p>
      <w:pPr>
        <w:pStyle w:val="57"/>
        <w:ind w:firstLine="420"/>
      </w:pPr>
      <w:r>
        <w:rPr>
          <w:rFonts w:hint="eastAsia"/>
        </w:rPr>
        <w:t>水果切分规格指南表见表B.1。</w:t>
      </w:r>
    </w:p>
    <w:p>
      <w:pPr>
        <w:pStyle w:val="78"/>
        <w:spacing w:before="156" w:after="156"/>
      </w:pPr>
      <w:r>
        <w:rPr>
          <w:rFonts w:hint="eastAsia"/>
        </w:rPr>
        <w:t>水果切分规格指南表</w:t>
      </w:r>
    </w:p>
    <w:p>
      <w:pPr>
        <w:pStyle w:val="57"/>
        <w:ind w:leftChars="-67" w:hanging="140" w:hangingChars="67"/>
        <w:jc w:val="center"/>
      </w:pPr>
      <w:r>
        <w:drawing>
          <wp:inline distT="0" distB="0" distL="0" distR="0">
            <wp:extent cx="6048375" cy="5702300"/>
            <wp:effectExtent l="0" t="0" r="9525" b="0"/>
            <wp:docPr id="1272451264" name="图片 1" descr="表格&#10;&#10;描述已自动生成"/>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72451264" name="图片 1" descr="表格&#10;&#10;描述已自动生成"/>
                    <pic:cNvPicPr>
                      <a:picLocks noChangeAspect="true"/>
                    </pic:cNvPicPr>
                  </pic:nvPicPr>
                  <pic:blipFill>
                    <a:blip r:embed="rId17"/>
                    <a:stretch>
                      <a:fillRect/>
                    </a:stretch>
                  </pic:blipFill>
                  <pic:spPr>
                    <a:xfrm>
                      <a:off x="0" y="0"/>
                      <a:ext cx="6051129" cy="5704768"/>
                    </a:xfrm>
                    <a:prstGeom prst="rect">
                      <a:avLst/>
                    </a:prstGeom>
                  </pic:spPr>
                </pic:pic>
              </a:graphicData>
            </a:graphic>
          </wp:inline>
        </w:drawing>
      </w:r>
    </w:p>
    <w:p>
      <w:pPr>
        <w:pStyle w:val="78"/>
        <w:spacing w:before="156" w:after="156"/>
        <w:sectPr>
          <w:pgSz w:w="11906" w:h="16838"/>
          <w:pgMar w:top="1928" w:right="1134" w:bottom="1134" w:left="1134" w:header="1418" w:footer="1134" w:gutter="284"/>
          <w:cols w:space="425" w:num="1"/>
          <w:formProt w:val="0"/>
          <w:docGrid w:type="lines" w:linePitch="312" w:charSpace="0"/>
        </w:sectPr>
      </w:pPr>
    </w:p>
    <w:p>
      <w:pPr>
        <w:pStyle w:val="199"/>
        <w:rPr>
          <w:rFonts w:hint="eastAsia"/>
          <w:vanish w:val="0"/>
        </w:rPr>
      </w:pPr>
    </w:p>
    <w:p>
      <w:pPr>
        <w:pStyle w:val="200"/>
        <w:rPr>
          <w:vanish w:val="0"/>
        </w:rPr>
      </w:pPr>
    </w:p>
    <w:p>
      <w:pPr>
        <w:pStyle w:val="77"/>
        <w:spacing w:after="156"/>
      </w:pPr>
      <w:r>
        <w:br w:type="textWrapping"/>
      </w:r>
      <w:r>
        <w:rPr>
          <w:rFonts w:hint="eastAsia"/>
        </w:rPr>
        <w:t>（资料性）</w:t>
      </w:r>
      <w:r>
        <w:br w:type="textWrapping"/>
      </w:r>
      <w:r>
        <w:rPr>
          <w:rFonts w:hint="eastAsia"/>
        </w:rPr>
        <w:t>即食鲜切水果标签</w:t>
      </w:r>
    </w:p>
    <w:p>
      <w:pPr>
        <w:pStyle w:val="57"/>
        <w:ind w:firstLine="420"/>
      </w:pPr>
      <w:r>
        <w:rPr>
          <w:rFonts w:hint="eastAsia"/>
        </w:rPr>
        <w:t>即食鲜切水果标签示意图见图C</w:t>
      </w:r>
      <w:r>
        <w:t>.1</w:t>
      </w:r>
      <w:r>
        <w:rPr>
          <w:rFonts w:hint="eastAsia"/>
        </w:rPr>
        <w:t>。</w:t>
      </w:r>
    </w:p>
    <w:p>
      <w:pPr>
        <w:pStyle w:val="57"/>
        <w:ind w:firstLine="420"/>
        <w:jc w:val="center"/>
      </w:pPr>
    </w:p>
    <w:p>
      <w:pPr>
        <w:adjustRightInd/>
        <w:spacing w:line="240" w:lineRule="auto"/>
        <w:jc w:val="center"/>
      </w:pPr>
      <w:r>
        <w:drawing>
          <wp:inline distT="0" distB="0" distL="0" distR="0">
            <wp:extent cx="5210175" cy="2424430"/>
            <wp:effectExtent l="0" t="0" r="9525" b="0"/>
            <wp:docPr id="4" name="图片 2" descr="文本&#10;&#10;描述已自动生成"/>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2" descr="文本&#10;&#10;描述已自动生成"/>
                    <pic:cNvPicPr>
                      <a:picLocks noChangeAspect="true" noChangeArrowheads="true"/>
                    </pic:cNvPicPr>
                  </pic:nvPicPr>
                  <pic:blipFill>
                    <a:blip r:embed="rId18">
                      <a:extLst>
                        <a:ext uri="{28A0092B-C50C-407E-A947-70E740481C1C}">
                          <a14:useLocalDpi xmlns:a14="http://schemas.microsoft.com/office/drawing/2010/main" val="false"/>
                        </a:ext>
                      </a:extLst>
                    </a:blip>
                    <a:srcRect/>
                    <a:stretch>
                      <a:fillRect/>
                    </a:stretch>
                  </pic:blipFill>
                  <pic:spPr>
                    <a:xfrm>
                      <a:off x="0" y="0"/>
                      <a:ext cx="5210175" cy="2424430"/>
                    </a:xfrm>
                    <a:prstGeom prst="rect">
                      <a:avLst/>
                    </a:prstGeom>
                    <a:noFill/>
                    <a:ln>
                      <a:noFill/>
                    </a:ln>
                  </pic:spPr>
                </pic:pic>
              </a:graphicData>
            </a:graphic>
          </wp:inline>
        </w:drawing>
      </w:r>
    </w:p>
    <w:p>
      <w:pPr>
        <w:pStyle w:val="84"/>
        <w:spacing w:before="156" w:after="156"/>
      </w:pPr>
      <w:r>
        <w:rPr>
          <w:rFonts w:hint="eastAsia"/>
        </w:rPr>
        <w:t>即食鲜切水果销售外包装标签</w:t>
      </w:r>
    </w:p>
    <w:bookmarkEnd w:id="44"/>
    <w:p>
      <w:pPr>
        <w:pStyle w:val="57"/>
        <w:ind w:firstLine="420"/>
        <w:sectPr>
          <w:pgSz w:w="11906" w:h="16838"/>
          <w:pgMar w:top="1928" w:right="1134" w:bottom="1134" w:left="1134" w:header="1418" w:footer="1134" w:gutter="284"/>
          <w:cols w:space="425" w:num="1"/>
          <w:formProt w:val="0"/>
          <w:docGrid w:type="lines" w:linePitch="312" w:charSpace="0"/>
        </w:sectPr>
      </w:pPr>
      <w:bookmarkStart w:id="45" w:name="BookMark6"/>
    </w:p>
    <w:p>
      <w:pPr>
        <w:pStyle w:val="64"/>
        <w:spacing w:after="156"/>
      </w:pPr>
      <w:r>
        <w:rPr>
          <w:rFonts w:hint="eastAsia"/>
          <w:spacing w:val="105"/>
        </w:rPr>
        <w:t>参考文</w:t>
      </w:r>
      <w:r>
        <w:rPr>
          <w:rFonts w:hint="eastAsia"/>
        </w:rPr>
        <w:t>献</w:t>
      </w:r>
    </w:p>
    <w:p>
      <w:pPr>
        <w:pStyle w:val="57"/>
        <w:ind w:firstLine="420"/>
        <w:rPr>
          <w:rFonts w:hint="eastAsia"/>
        </w:rPr>
      </w:pPr>
      <w:r>
        <w:rPr>
          <w:rFonts w:hint="eastAsia"/>
        </w:rPr>
        <w:t>[</w:t>
      </w:r>
      <w:r>
        <w:t xml:space="preserve">1] </w:t>
      </w:r>
      <w:r>
        <w:rPr>
          <w:rFonts w:hint="eastAsia"/>
        </w:rPr>
        <w:t>《中华人民共和国食品安全法》</w:t>
      </w:r>
    </w:p>
    <w:p>
      <w:pPr>
        <w:pStyle w:val="57"/>
        <w:ind w:firstLine="420"/>
      </w:pPr>
      <w:r>
        <w:t>[2]</w:t>
      </w:r>
      <w:r>
        <w:rPr>
          <w:rFonts w:hint="eastAsia"/>
        </w:rPr>
        <w:t>《中华人民共和国农产品质量安全法》</w:t>
      </w:r>
    </w:p>
    <w:p>
      <w:pPr>
        <w:pStyle w:val="57"/>
        <w:ind w:firstLine="420"/>
      </w:pPr>
      <w:r>
        <w:t>[</w:t>
      </w:r>
      <w:r>
        <w:rPr>
          <w:rFonts w:hint="eastAsia"/>
        </w:rPr>
        <w:t>3</w:t>
      </w:r>
      <w:r>
        <w:t>]</w:t>
      </w:r>
      <w:r>
        <w:rPr>
          <w:rFonts w:hint="eastAsia"/>
        </w:rPr>
        <w:t>《中华人民共和国食品安全法实施条例》</w:t>
      </w:r>
    </w:p>
    <w:p>
      <w:pPr>
        <w:pStyle w:val="57"/>
        <w:ind w:firstLine="420"/>
      </w:pPr>
      <w:r>
        <w:t>[</w:t>
      </w:r>
      <w:r>
        <w:rPr>
          <w:rFonts w:hint="eastAsia"/>
        </w:rPr>
        <w:t>4</w:t>
      </w:r>
      <w:r>
        <w:t>]</w:t>
      </w:r>
      <w:r>
        <w:rPr>
          <w:rFonts w:hint="eastAsia"/>
        </w:rPr>
        <w:t>《食品经营许可和备案管理办法》</w:t>
      </w:r>
    </w:p>
    <w:p>
      <w:pPr>
        <w:pStyle w:val="57"/>
        <w:ind w:firstLine="420"/>
      </w:pPr>
      <w:r>
        <w:t>[</w:t>
      </w:r>
      <w:r>
        <w:rPr>
          <w:rFonts w:hint="eastAsia"/>
        </w:rPr>
        <w:t>5</w:t>
      </w:r>
      <w:r>
        <w:t>]</w:t>
      </w:r>
      <w:r>
        <w:rPr>
          <w:rFonts w:hint="eastAsia"/>
        </w:rPr>
        <w:t>《食用农产品市场销售质量安全监督管理办法》</w:t>
      </w:r>
    </w:p>
    <w:p>
      <w:pPr>
        <w:pStyle w:val="57"/>
        <w:ind w:firstLine="420"/>
      </w:pPr>
      <w:r>
        <w:t>[</w:t>
      </w:r>
      <w:r>
        <w:rPr>
          <w:rFonts w:hint="eastAsia"/>
        </w:rPr>
        <w:t>6</w:t>
      </w:r>
      <w:r>
        <w:t>]</w:t>
      </w:r>
      <w:r>
        <w:rPr>
          <w:rFonts w:hint="eastAsia"/>
        </w:rPr>
        <w:t>GB/T 22502</w:t>
      </w:r>
      <w:r>
        <w:t xml:space="preserve">  </w:t>
      </w:r>
      <w:r>
        <w:rPr>
          <w:rFonts w:hint="eastAsia"/>
        </w:rPr>
        <w:t>超市销售生鲜农产品基本要求</w:t>
      </w:r>
    </w:p>
    <w:p>
      <w:pPr>
        <w:pStyle w:val="57"/>
        <w:ind w:firstLine="420"/>
      </w:pPr>
      <w:r>
        <w:t>[</w:t>
      </w:r>
      <w:r>
        <w:rPr>
          <w:rFonts w:hint="eastAsia"/>
        </w:rPr>
        <w:t>7</w:t>
      </w:r>
      <w:r>
        <w:t>]</w:t>
      </w:r>
      <w:r>
        <w:rPr>
          <w:rFonts w:hint="eastAsia"/>
        </w:rPr>
        <w:t>GB/T 33129</w:t>
      </w:r>
      <w:r>
        <w:t xml:space="preserve">  </w:t>
      </w:r>
      <w:r>
        <w:rPr>
          <w:rFonts w:hint="eastAsia"/>
        </w:rPr>
        <w:t>新鲜水果、蔬菜包装和冷链运输通用操作规程</w:t>
      </w:r>
    </w:p>
    <w:p>
      <w:pPr>
        <w:pStyle w:val="57"/>
        <w:ind w:firstLine="420"/>
      </w:pPr>
      <w:r>
        <w:t>[</w:t>
      </w:r>
      <w:r>
        <w:rPr>
          <w:rFonts w:hint="eastAsia"/>
        </w:rPr>
        <w:t>8</w:t>
      </w:r>
      <w:r>
        <w:t>]</w:t>
      </w:r>
      <w:r>
        <w:rPr>
          <w:rFonts w:hint="eastAsia"/>
        </w:rPr>
        <w:t>GB/T 35105</w:t>
      </w:r>
      <w:r>
        <w:t xml:space="preserve">  </w:t>
      </w:r>
      <w:r>
        <w:rPr>
          <w:rFonts w:hint="eastAsia"/>
        </w:rPr>
        <w:t>鲜食果蔬城市配送中心服务规范</w:t>
      </w:r>
    </w:p>
    <w:p>
      <w:pPr>
        <w:pStyle w:val="57"/>
        <w:ind w:firstLine="420"/>
      </w:pPr>
      <w:r>
        <w:t>[</w:t>
      </w:r>
      <w:r>
        <w:rPr>
          <w:rFonts w:hint="eastAsia"/>
        </w:rPr>
        <w:t>9</w:t>
      </w:r>
      <w:r>
        <w:t>]</w:t>
      </w:r>
      <w:r>
        <w:rPr>
          <w:rFonts w:hint="eastAsia"/>
        </w:rPr>
        <w:t>GB/T 42500</w:t>
      </w:r>
      <w:r>
        <w:t xml:space="preserve">  </w:t>
      </w:r>
      <w:r>
        <w:rPr>
          <w:rFonts w:hint="eastAsia"/>
        </w:rPr>
        <w:t>即时配送服务规范</w:t>
      </w:r>
    </w:p>
    <w:p>
      <w:pPr>
        <w:pStyle w:val="57"/>
        <w:ind w:firstLine="420"/>
      </w:pPr>
      <w:r>
        <w:rPr>
          <w:rFonts w:hint="eastAsia"/>
        </w:rPr>
        <w:t>[10] NY/T 1529-2007 鲜切果蔬加工技术规范</w:t>
      </w:r>
    </w:p>
    <w:bookmarkEnd w:id="45"/>
    <w:p>
      <w:pPr>
        <w:pStyle w:val="57"/>
        <w:ind w:firstLine="0" w:firstLineChars="0"/>
        <w:jc w:val="center"/>
      </w:pPr>
      <w:bookmarkStart w:id="46" w:name="BookMark8"/>
      <w:r>
        <w:rPr>
          <w:rFonts w:hint="eastAsia"/>
        </w:rPr>
        <w:drawing>
          <wp:inline distT="0" distB="0" distL="0" distR="0">
            <wp:extent cx="1485900" cy="317500"/>
            <wp:effectExtent l="0" t="0" r="0" b="6350"/>
            <wp:docPr id="1286149215" name="图片 3"/>
            <wp:cNvGraphicFramePr/>
            <a:graphic xmlns:a="http://schemas.openxmlformats.org/drawingml/2006/main">
              <a:graphicData uri="http://schemas.openxmlformats.org/drawingml/2006/picture">
                <pic:pic xmlns:pic="http://schemas.openxmlformats.org/drawingml/2006/picture">
                  <pic:nvPicPr>
                    <pic:cNvPr id="1286149215" name="图片 3"/>
                    <pic:cNvPicPr/>
                  </pic:nvPicPr>
                  <pic:blipFill>
                    <a:blip r:embed="rId19">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Times New Roman"/>
    <w:panose1 w:val="020B0604020202020204"/>
    <w:charset w:val="00"/>
    <w:family w:val="swiss"/>
    <w:pitch w:val="default"/>
    <w:sig w:usb0="00000000" w:usb1="00000000" w:usb2="00000009" w:usb3="00000000" w:csb0="000001FF" w:csb1="00000000"/>
  </w:font>
  <w:font w:name="等线">
    <w:altName w:val="汉仪中圆B5"/>
    <w:panose1 w:val="02010600030101010101"/>
    <w:charset w:val="86"/>
    <w:family w:val="auto"/>
    <w:pitch w:val="default"/>
    <w:sig w:usb0="00000000" w:usb1="00000000" w:usb2="00000016" w:usb3="00000000" w:csb0="0004000F" w:csb1="00000000"/>
  </w:font>
  <w:font w:name="等线 Light">
    <w:altName w:val="汉仪中圆B5"/>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汉仪中圆B5">
    <w:panose1 w:val="02010600000101010101"/>
    <w:charset w:val="88"/>
    <w:family w:val="auto"/>
    <w:pitch w:val="default"/>
    <w:sig w:usb0="00000001" w:usb1="080E0800" w:usb2="00000002"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 46/T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46/T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71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hideSpellingErrors/>
  <w:hideGrammaticalErrors/>
  <w:attachedTemplate r:id="rId1"/>
  <w:documentProtection w:edit="forms" w:enforcement="1" w:cryptProviderType="rsaAES" w:cryptAlgorithmClass="hash" w:cryptAlgorithmType="typeAny" w:cryptAlgorithmSid="14" w:cryptSpinCount="100000" w:hash="nFMGZrcKQkeWGjrpgaJpVUTqSeF5QGTCT3VcQLTUFK9X6Vf4vZFu+7YU7zlUn6vMgXvUv0lC9ADCh7ib4iAzgw==" w:salt="MrEmE4hDjkaOkB8k/PweT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NmMTcwNmI4YjZkYzEyZjM4ZTg3NjJlN2YxZTAwZWYifQ=="/>
  </w:docVars>
  <w:rsids>
    <w:rsidRoot w:val="00D83A9B"/>
    <w:rsid w:val="0000040A"/>
    <w:rsid w:val="00000A94"/>
    <w:rsid w:val="00001972"/>
    <w:rsid w:val="00001D9A"/>
    <w:rsid w:val="00007B3A"/>
    <w:rsid w:val="000107E0"/>
    <w:rsid w:val="00010AF6"/>
    <w:rsid w:val="00011FDE"/>
    <w:rsid w:val="00012FFD"/>
    <w:rsid w:val="00014162"/>
    <w:rsid w:val="00014340"/>
    <w:rsid w:val="00016A9C"/>
    <w:rsid w:val="00022184"/>
    <w:rsid w:val="00022380"/>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32D"/>
    <w:rsid w:val="000619E9"/>
    <w:rsid w:val="000622D4"/>
    <w:rsid w:val="0006357D"/>
    <w:rsid w:val="00067F1E"/>
    <w:rsid w:val="00071CC0"/>
    <w:rsid w:val="00073C8C"/>
    <w:rsid w:val="00077B64"/>
    <w:rsid w:val="00080A1C"/>
    <w:rsid w:val="00082317"/>
    <w:rsid w:val="00083D2C"/>
    <w:rsid w:val="00085AB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862"/>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DD6"/>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0605"/>
    <w:rsid w:val="0029140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375"/>
    <w:rsid w:val="002B4508"/>
    <w:rsid w:val="002B5779"/>
    <w:rsid w:val="002B7332"/>
    <w:rsid w:val="002B7F51"/>
    <w:rsid w:val="002C09E7"/>
    <w:rsid w:val="002C1E06"/>
    <w:rsid w:val="002C1E1C"/>
    <w:rsid w:val="002C3F07"/>
    <w:rsid w:val="002C5278"/>
    <w:rsid w:val="002C64E1"/>
    <w:rsid w:val="002C7EBB"/>
    <w:rsid w:val="002D06C1"/>
    <w:rsid w:val="002D42B5"/>
    <w:rsid w:val="002D4F1A"/>
    <w:rsid w:val="002D6EC6"/>
    <w:rsid w:val="002D79AC"/>
    <w:rsid w:val="002E039D"/>
    <w:rsid w:val="002E250A"/>
    <w:rsid w:val="002E4D5A"/>
    <w:rsid w:val="002E6326"/>
    <w:rsid w:val="002F30E0"/>
    <w:rsid w:val="002F35E4"/>
    <w:rsid w:val="002F3730"/>
    <w:rsid w:val="002F38E1"/>
    <w:rsid w:val="002F7AF6"/>
    <w:rsid w:val="00300E63"/>
    <w:rsid w:val="00302DF0"/>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95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4E6"/>
    <w:rsid w:val="003D4FCD"/>
    <w:rsid w:val="003D6D61"/>
    <w:rsid w:val="003D79C6"/>
    <w:rsid w:val="003E088C"/>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B19"/>
    <w:rsid w:val="0041290A"/>
    <w:rsid w:val="0041477A"/>
    <w:rsid w:val="004167A3"/>
    <w:rsid w:val="00423A5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AD2"/>
    <w:rsid w:val="004746B1"/>
    <w:rsid w:val="0047583F"/>
    <w:rsid w:val="00475DE8"/>
    <w:rsid w:val="00476746"/>
    <w:rsid w:val="00481C44"/>
    <w:rsid w:val="0048350D"/>
    <w:rsid w:val="00484936"/>
    <w:rsid w:val="00485C89"/>
    <w:rsid w:val="00486BE3"/>
    <w:rsid w:val="004905E4"/>
    <w:rsid w:val="00490A89"/>
    <w:rsid w:val="00490AB4"/>
    <w:rsid w:val="00492F02"/>
    <w:rsid w:val="004939AE"/>
    <w:rsid w:val="004944ED"/>
    <w:rsid w:val="004A12DF"/>
    <w:rsid w:val="004A17E6"/>
    <w:rsid w:val="004A1BA8"/>
    <w:rsid w:val="004A4B57"/>
    <w:rsid w:val="004A63FA"/>
    <w:rsid w:val="004B0272"/>
    <w:rsid w:val="004B2701"/>
    <w:rsid w:val="004B2E1B"/>
    <w:rsid w:val="004B3AA8"/>
    <w:rsid w:val="004B3E93"/>
    <w:rsid w:val="004B736B"/>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E34"/>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3385"/>
    <w:rsid w:val="0056487B"/>
    <w:rsid w:val="00564FB9"/>
    <w:rsid w:val="00573D9E"/>
    <w:rsid w:val="005801E3"/>
    <w:rsid w:val="00581802"/>
    <w:rsid w:val="005836A8"/>
    <w:rsid w:val="0058409C"/>
    <w:rsid w:val="00584262"/>
    <w:rsid w:val="00586630"/>
    <w:rsid w:val="00587ADD"/>
    <w:rsid w:val="00591E27"/>
    <w:rsid w:val="0059396F"/>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72A"/>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0F"/>
    <w:rsid w:val="00651ACB"/>
    <w:rsid w:val="00651C47"/>
    <w:rsid w:val="00652AB2"/>
    <w:rsid w:val="00653FED"/>
    <w:rsid w:val="00654EC0"/>
    <w:rsid w:val="0065525B"/>
    <w:rsid w:val="006555F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2955"/>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5FE"/>
    <w:rsid w:val="00750D61"/>
    <w:rsid w:val="00750EE1"/>
    <w:rsid w:val="00752B4D"/>
    <w:rsid w:val="00755402"/>
    <w:rsid w:val="00756B26"/>
    <w:rsid w:val="00756EDF"/>
    <w:rsid w:val="007600E3"/>
    <w:rsid w:val="00765C43"/>
    <w:rsid w:val="00765EFB"/>
    <w:rsid w:val="007671CA"/>
    <w:rsid w:val="00767511"/>
    <w:rsid w:val="00767C61"/>
    <w:rsid w:val="0077008A"/>
    <w:rsid w:val="00773C1F"/>
    <w:rsid w:val="00774DA4"/>
    <w:rsid w:val="007759A8"/>
    <w:rsid w:val="00776599"/>
    <w:rsid w:val="0078114B"/>
    <w:rsid w:val="00781DD2"/>
    <w:rsid w:val="007829F8"/>
    <w:rsid w:val="00782A92"/>
    <w:rsid w:val="00782F39"/>
    <w:rsid w:val="00783ECF"/>
    <w:rsid w:val="0078413A"/>
    <w:rsid w:val="007861A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755"/>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478"/>
    <w:rsid w:val="00815419"/>
    <w:rsid w:val="008163C8"/>
    <w:rsid w:val="008164A1"/>
    <w:rsid w:val="00817325"/>
    <w:rsid w:val="008209E6"/>
    <w:rsid w:val="00823303"/>
    <w:rsid w:val="008233B2"/>
    <w:rsid w:val="00823A9F"/>
    <w:rsid w:val="00823C85"/>
    <w:rsid w:val="00825138"/>
    <w:rsid w:val="00825152"/>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2CB"/>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1EE"/>
    <w:rsid w:val="008B7E05"/>
    <w:rsid w:val="008C02FD"/>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8ED"/>
    <w:rsid w:val="009245F5"/>
    <w:rsid w:val="009249EC"/>
    <w:rsid w:val="009273B3"/>
    <w:rsid w:val="009305B5"/>
    <w:rsid w:val="00934846"/>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988"/>
    <w:rsid w:val="0098364B"/>
    <w:rsid w:val="009903C3"/>
    <w:rsid w:val="009906D1"/>
    <w:rsid w:val="009911AF"/>
    <w:rsid w:val="00991875"/>
    <w:rsid w:val="00991F92"/>
    <w:rsid w:val="00992985"/>
    <w:rsid w:val="00993889"/>
    <w:rsid w:val="0099551B"/>
    <w:rsid w:val="0099603B"/>
    <w:rsid w:val="00997BF1"/>
    <w:rsid w:val="009A089C"/>
    <w:rsid w:val="009A118E"/>
    <w:rsid w:val="009A208D"/>
    <w:rsid w:val="009A21CD"/>
    <w:rsid w:val="009A278C"/>
    <w:rsid w:val="009A2BC2"/>
    <w:rsid w:val="009A42C1"/>
    <w:rsid w:val="009A5429"/>
    <w:rsid w:val="009A72AD"/>
    <w:rsid w:val="009B09E0"/>
    <w:rsid w:val="009B0BC5"/>
    <w:rsid w:val="009B1247"/>
    <w:rsid w:val="009B46F9"/>
    <w:rsid w:val="009B6029"/>
    <w:rsid w:val="009B6971"/>
    <w:rsid w:val="009C27F1"/>
    <w:rsid w:val="009C29F7"/>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12E"/>
    <w:rsid w:val="00A648CD"/>
    <w:rsid w:val="00A6537A"/>
    <w:rsid w:val="00A67866"/>
    <w:rsid w:val="00A70B07"/>
    <w:rsid w:val="00A723F8"/>
    <w:rsid w:val="00A77CCB"/>
    <w:rsid w:val="00A83D8D"/>
    <w:rsid w:val="00A8446B"/>
    <w:rsid w:val="00A8473F"/>
    <w:rsid w:val="00A862D6"/>
    <w:rsid w:val="00A8662C"/>
    <w:rsid w:val="00A8715E"/>
    <w:rsid w:val="00A9295B"/>
    <w:rsid w:val="00A93B09"/>
    <w:rsid w:val="00A94247"/>
    <w:rsid w:val="00A952D7"/>
    <w:rsid w:val="00A96302"/>
    <w:rsid w:val="00A963F7"/>
    <w:rsid w:val="00A96AD8"/>
    <w:rsid w:val="00AA052C"/>
    <w:rsid w:val="00AA1E45"/>
    <w:rsid w:val="00AA24F4"/>
    <w:rsid w:val="00AA4286"/>
    <w:rsid w:val="00AA456B"/>
    <w:rsid w:val="00AA57F5"/>
    <w:rsid w:val="00AA5AE0"/>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50C"/>
    <w:rsid w:val="00B12981"/>
    <w:rsid w:val="00B147DD"/>
    <w:rsid w:val="00B156FD"/>
    <w:rsid w:val="00B15A7F"/>
    <w:rsid w:val="00B21F61"/>
    <w:rsid w:val="00B261F1"/>
    <w:rsid w:val="00B265BC"/>
    <w:rsid w:val="00B31FB1"/>
    <w:rsid w:val="00B3315D"/>
    <w:rsid w:val="00B33952"/>
    <w:rsid w:val="00B33C5E"/>
    <w:rsid w:val="00B342F4"/>
    <w:rsid w:val="00B34369"/>
    <w:rsid w:val="00B34DC2"/>
    <w:rsid w:val="00B378E5"/>
    <w:rsid w:val="00B41081"/>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51A"/>
    <w:rsid w:val="00BA7C9A"/>
    <w:rsid w:val="00BB203B"/>
    <w:rsid w:val="00BB29BF"/>
    <w:rsid w:val="00BB5F8F"/>
    <w:rsid w:val="00BB657A"/>
    <w:rsid w:val="00BC1A4E"/>
    <w:rsid w:val="00BC4790"/>
    <w:rsid w:val="00BC5DC7"/>
    <w:rsid w:val="00BC6B8B"/>
    <w:rsid w:val="00BC73D8"/>
    <w:rsid w:val="00BD52D7"/>
    <w:rsid w:val="00BD5AD2"/>
    <w:rsid w:val="00BE22F3"/>
    <w:rsid w:val="00BE5B52"/>
    <w:rsid w:val="00BE7B8D"/>
    <w:rsid w:val="00BF0993"/>
    <w:rsid w:val="00BF1066"/>
    <w:rsid w:val="00BF10A9"/>
    <w:rsid w:val="00BF1703"/>
    <w:rsid w:val="00BF231C"/>
    <w:rsid w:val="00BF51E5"/>
    <w:rsid w:val="00BF74A6"/>
    <w:rsid w:val="00C013AD"/>
    <w:rsid w:val="00C04904"/>
    <w:rsid w:val="00C056B3"/>
    <w:rsid w:val="00C103E5"/>
    <w:rsid w:val="00C13319"/>
    <w:rsid w:val="00C13EE9"/>
    <w:rsid w:val="00C21413"/>
    <w:rsid w:val="00C21540"/>
    <w:rsid w:val="00C21906"/>
    <w:rsid w:val="00C21BFA"/>
    <w:rsid w:val="00C22148"/>
    <w:rsid w:val="00C24C8D"/>
    <w:rsid w:val="00C25FE2"/>
    <w:rsid w:val="00C260CD"/>
    <w:rsid w:val="00C26B53"/>
    <w:rsid w:val="00C279B2"/>
    <w:rsid w:val="00C33E50"/>
    <w:rsid w:val="00C34C20"/>
    <w:rsid w:val="00C35A3E"/>
    <w:rsid w:val="00C3795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8EB"/>
    <w:rsid w:val="00CC038D"/>
    <w:rsid w:val="00CC08DB"/>
    <w:rsid w:val="00CC18A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0D9"/>
    <w:rsid w:val="00D352A2"/>
    <w:rsid w:val="00D3660F"/>
    <w:rsid w:val="00D4162B"/>
    <w:rsid w:val="00D42DE2"/>
    <w:rsid w:val="00D4514F"/>
    <w:rsid w:val="00D451E2"/>
    <w:rsid w:val="00D45E89"/>
    <w:rsid w:val="00D45E8D"/>
    <w:rsid w:val="00D466AE"/>
    <w:rsid w:val="00D4734F"/>
    <w:rsid w:val="00D478F2"/>
    <w:rsid w:val="00D51BF3"/>
    <w:rsid w:val="00D66846"/>
    <w:rsid w:val="00D675FB"/>
    <w:rsid w:val="00D7063A"/>
    <w:rsid w:val="00D71F25"/>
    <w:rsid w:val="00D72A9C"/>
    <w:rsid w:val="00D77031"/>
    <w:rsid w:val="00D83A9B"/>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437"/>
    <w:rsid w:val="00DE6E81"/>
    <w:rsid w:val="00DE703F"/>
    <w:rsid w:val="00DE7595"/>
    <w:rsid w:val="00DF1961"/>
    <w:rsid w:val="00DF3A98"/>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5ED"/>
    <w:rsid w:val="00E62FF9"/>
    <w:rsid w:val="00E635D6"/>
    <w:rsid w:val="00E639BC"/>
    <w:rsid w:val="00E6548B"/>
    <w:rsid w:val="00E664CC"/>
    <w:rsid w:val="00E70388"/>
    <w:rsid w:val="00E70F92"/>
    <w:rsid w:val="00E74C54"/>
    <w:rsid w:val="00E77A03"/>
    <w:rsid w:val="00E822E8"/>
    <w:rsid w:val="00E82554"/>
    <w:rsid w:val="00E82606"/>
    <w:rsid w:val="00E82DE4"/>
    <w:rsid w:val="00E846C8"/>
    <w:rsid w:val="00E84957"/>
    <w:rsid w:val="00E84A55"/>
    <w:rsid w:val="00E85BFF"/>
    <w:rsid w:val="00E90391"/>
    <w:rsid w:val="00E906C2"/>
    <w:rsid w:val="00E930A6"/>
    <w:rsid w:val="00E9311F"/>
    <w:rsid w:val="00E934D1"/>
    <w:rsid w:val="00E94AF0"/>
    <w:rsid w:val="00E95994"/>
    <w:rsid w:val="00E95D13"/>
    <w:rsid w:val="00E95DD3"/>
    <w:rsid w:val="00E969D5"/>
    <w:rsid w:val="00EA58D1"/>
    <w:rsid w:val="00EA61BC"/>
    <w:rsid w:val="00EA681A"/>
    <w:rsid w:val="00EA735B"/>
    <w:rsid w:val="00EB17DE"/>
    <w:rsid w:val="00EB1E69"/>
    <w:rsid w:val="00EB2086"/>
    <w:rsid w:val="00EB5EDF"/>
    <w:rsid w:val="00EB60FE"/>
    <w:rsid w:val="00EB74DB"/>
    <w:rsid w:val="00EC23E7"/>
    <w:rsid w:val="00EC5359"/>
    <w:rsid w:val="00EC562A"/>
    <w:rsid w:val="00ED067A"/>
    <w:rsid w:val="00ED2B50"/>
    <w:rsid w:val="00EE0350"/>
    <w:rsid w:val="00EE0719"/>
    <w:rsid w:val="00EE0E80"/>
    <w:rsid w:val="00EE54A6"/>
    <w:rsid w:val="00EE613F"/>
    <w:rsid w:val="00EE6AC3"/>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D39"/>
    <w:rsid w:val="00F420D5"/>
    <w:rsid w:val="00F451EA"/>
    <w:rsid w:val="00F45447"/>
    <w:rsid w:val="00F456C6"/>
    <w:rsid w:val="00F4577B"/>
    <w:rsid w:val="00F46496"/>
    <w:rsid w:val="00F474D0"/>
    <w:rsid w:val="00F50179"/>
    <w:rsid w:val="00F515EE"/>
    <w:rsid w:val="00F53E75"/>
    <w:rsid w:val="00F54B75"/>
    <w:rsid w:val="00F56511"/>
    <w:rsid w:val="00F6194E"/>
    <w:rsid w:val="00F623AC"/>
    <w:rsid w:val="00F6412A"/>
    <w:rsid w:val="00F65893"/>
    <w:rsid w:val="00F66A4A"/>
    <w:rsid w:val="00F674B2"/>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B80"/>
    <w:rsid w:val="00FA4DAC"/>
    <w:rsid w:val="00FA5DF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A4D"/>
    <w:rsid w:val="00FD2A7C"/>
    <w:rsid w:val="00FD4B5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DD7321"/>
    <w:rsid w:val="18FF60B5"/>
    <w:rsid w:val="4D4B0EE1"/>
    <w:rsid w:val="5DC34A4D"/>
    <w:rsid w:val="7A577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Plain Text"/>
    <w:basedOn w:val="1"/>
    <w:link w:val="232"/>
    <w:unhideWhenUsed/>
    <w:qFormat/>
    <w:uiPriority w:val="99"/>
    <w:rPr>
      <w:rFonts w:ascii="宋体" w:hAnsi="Courier New"/>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1"/>
    <w:basedOn w:val="1"/>
    <w:qFormat/>
    <w:uiPriority w:val="0"/>
    <w:pPr>
      <w:widowControl/>
      <w:adjustRightInd/>
      <w:spacing w:line="240" w:lineRule="auto"/>
    </w:pPr>
    <w:rPr>
      <w:rFonts w:cs="Calibri"/>
    </w:rPr>
  </w:style>
  <w:style w:type="character" w:customStyle="1" w:styleId="232">
    <w:name w:val="纯文本 字符"/>
    <w:basedOn w:val="29"/>
    <w:link w:val="16"/>
    <w:qFormat/>
    <w:uiPriority w:val="99"/>
    <w:rPr>
      <w:rFonts w:ascii="宋体" w:hAnsi="Courier New"/>
      <w:kern w:val="2"/>
      <w:sz w:val="21"/>
      <w:szCs w:val="21"/>
    </w:rPr>
  </w:style>
  <w:style w:type="paragraph" w:customStyle="1" w:styleId="233">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opt/apps/cn.wps.wps-office-pro/files/kingsoft/wps-office/office6/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BFF501B1D449F8BAB52F3F30D1A3C7"/>
        <w:style w:val=""/>
        <w:category>
          <w:name w:val="常规"/>
          <w:gallery w:val="placeholder"/>
        </w:category>
        <w:types>
          <w:type w:val="bbPlcHdr"/>
        </w:types>
        <w:behaviors>
          <w:behavior w:val="content"/>
        </w:behaviors>
        <w:description w:val=""/>
        <w:guid w:val="{6414298A-0B94-44AA-8B8D-5177EDDDC4FE}"/>
      </w:docPartPr>
      <w:docPartBody>
        <w:p>
          <w:pPr>
            <w:pStyle w:val="5"/>
            <w:rPr>
              <w:rFonts w:hint="eastAsia"/>
            </w:rPr>
          </w:pPr>
          <w:r>
            <w:rPr>
              <w:rStyle w:val="4"/>
              <w:rFonts w:hint="eastAsia"/>
            </w:rPr>
            <w:t>单击或点击此处输入文字。</w:t>
          </w:r>
        </w:p>
      </w:docPartBody>
    </w:docPart>
    <w:docPart>
      <w:docPartPr>
        <w:name w:val="5BC97638D37D42FA8EEFE4499A589251"/>
        <w:style w:val=""/>
        <w:category>
          <w:name w:val="常规"/>
          <w:gallery w:val="placeholder"/>
        </w:category>
        <w:types>
          <w:type w:val="bbPlcHdr"/>
        </w:types>
        <w:behaviors>
          <w:behavior w:val="content"/>
        </w:behaviors>
        <w:description w:val=""/>
        <w:guid w:val="{B91F9D63-BD2C-4AFE-A5D6-C1002B805276}"/>
      </w:docPartPr>
      <w:docPartBody>
        <w:p>
          <w:pPr>
            <w:pStyle w:val="6"/>
            <w:rPr>
              <w:rFonts w:hint="eastAsia"/>
            </w:rPr>
          </w:pPr>
          <w:r>
            <w:rPr>
              <w:rStyle w:val="4"/>
              <w:rFonts w:hint="eastAsia"/>
            </w:rPr>
            <w:t>选择一项。</w:t>
          </w:r>
        </w:p>
      </w:docPartBody>
    </w:docPart>
    <w:docPart>
      <w:docPartPr>
        <w:name w:val="A327584C29204969840ED73D26FCD435"/>
        <w:style w:val=""/>
        <w:category>
          <w:name w:val="常规"/>
          <w:gallery w:val="placeholder"/>
        </w:category>
        <w:types>
          <w:type w:val="bbPlcHdr"/>
        </w:types>
        <w:behaviors>
          <w:behavior w:val="content"/>
        </w:behaviors>
        <w:description w:val=""/>
        <w:guid w:val="{3BA90557-315F-4AAE-92D9-33042022389C}"/>
      </w:docPartPr>
      <w:docPartBody>
        <w:p>
          <w:pPr>
            <w:pStyle w:val="7"/>
            <w:rPr>
              <w:rFonts w:hint="eastAsia"/>
            </w:rPr>
          </w:pPr>
          <w:r>
            <w:rPr>
              <w:rStyle w:val="4"/>
              <w:rFonts w:hint="eastAsia"/>
            </w:rPr>
            <w:t>选择一项。</w:t>
          </w:r>
        </w:p>
      </w:docPartBody>
    </w:docPart>
    <w:docPart>
      <w:docPartPr>
        <w:name w:val="{6d59009f-e427-45ab-b0dd-0f9fe0dc9319}"/>
        <w:style w:val=""/>
        <w:category>
          <w:name w:val="常规"/>
          <w:gallery w:val="placeholder"/>
        </w:category>
        <w:types>
          <w:type w:val="bbPlcHdr"/>
        </w:types>
        <w:behaviors>
          <w:behavior w:val="content"/>
        </w:behaviors>
        <w:description w:val=""/>
        <w:guid w:val="{6D59009F-E427-45AB-B0DD-0F9FE0DC9319}"/>
      </w:docPartPr>
      <w:docPartBody>
        <w:p>
          <w:pPr>
            <w:pStyle w:val="5"/>
            <w:rPr>
              <w:rFonts w:hint="eastAsia"/>
            </w:rPr>
          </w:pPr>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圆B5"/>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圆B5">
    <w:panose1 w:val="02010600000101010101"/>
    <w:charset w:val="88"/>
    <w:family w:val="auto"/>
    <w:pitch w:val="default"/>
    <w:sig w:usb0="00000001" w:usb1="080E0800" w:usb2="00000002" w:usb3="00000000" w:csb0="00100000" w:csb1="00000000"/>
  </w:font>
  <w:font w:name="汉仪仿宋S">
    <w:panose1 w:val="00020600040101000101"/>
    <w:charset w:val="86"/>
    <w:family w:val="auto"/>
    <w:pitch w:val="default"/>
    <w:sig w:usb0="A00002BF" w:usb1="38CF7CFA" w:usb2="00000016" w:usb3="00000000" w:csb0="000400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true"/>
  <w:bordersDoNotSurroundHeader w:val="true"/>
  <w:bordersDoNotSurroundFooter w:val="true"/>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A4"/>
    <w:rsid w:val="000561A0"/>
    <w:rsid w:val="000F572C"/>
    <w:rsid w:val="0016573E"/>
    <w:rsid w:val="0025269E"/>
    <w:rsid w:val="002D1891"/>
    <w:rsid w:val="003F27F9"/>
    <w:rsid w:val="00480727"/>
    <w:rsid w:val="00521E34"/>
    <w:rsid w:val="00551ABE"/>
    <w:rsid w:val="00563385"/>
    <w:rsid w:val="006E68A2"/>
    <w:rsid w:val="00766894"/>
    <w:rsid w:val="007759A8"/>
    <w:rsid w:val="00782A92"/>
    <w:rsid w:val="007D5755"/>
    <w:rsid w:val="00A6012E"/>
    <w:rsid w:val="00A8662C"/>
    <w:rsid w:val="00AA5CA4"/>
    <w:rsid w:val="00B15A7F"/>
    <w:rsid w:val="00BA3397"/>
    <w:rsid w:val="00BA651A"/>
    <w:rsid w:val="00C96986"/>
    <w:rsid w:val="00D340D9"/>
    <w:rsid w:val="00E82AE5"/>
    <w:rsid w:val="00F93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ABFF501B1D449F8BAB52F3F30D1A3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BC97638D37D42FA8EEFE4499A5892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A327584C29204969840ED73D26FCD43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554</Words>
  <Characters>3164</Characters>
  <Lines>26</Lines>
  <Paragraphs>7</Paragraphs>
  <TotalTime>11250</TotalTime>
  <ScaleCrop>false</ScaleCrop>
  <LinksUpToDate>false</LinksUpToDate>
  <CharactersWithSpaces>3711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2024-07-10T10:39:00Z</dcterms:created>
  <dc:creator>Lenovo</dc:creator>
  <dc:description>&lt;config cover="true" show_menu="true" version="1.0.0" doctype="SDKXY"&gt;_x000d_
&lt;/config&gt;</dc:description>
  <cp:lastModifiedBy>uos</cp:lastModifiedBy>
  <cp:lastPrinted>2020-08-30T18:00:00Z</cp:lastPrinted>
  <dcterms:modified xsi:type="dcterms:W3CDTF">2024-10-25T09:06:15Z</dcterms:modified>
  <dc:title>地方标准</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16BBDF0083DD43C1A7FA23B522E0A9AB_12</vt:lpwstr>
  </property>
</Properties>
</file>