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spacing w:before="156" w:beforeLines="50" w:after="156" w:afterLines="50" w:line="560" w:lineRule="exact"/>
        <w:ind w:firstLine="0" w:firstLineChars="0"/>
        <w:jc w:val="center"/>
        <w:rPr>
          <w:rFonts w:ascii="方正小标宋简体" w:hAnsi="黑体" w:eastAsia="方正小标宋简体"/>
          <w:sz w:val="44"/>
          <w:szCs w:val="44"/>
        </w:rPr>
      </w:pPr>
    </w:p>
    <w:p>
      <w:pPr>
        <w:pStyle w:val="18"/>
        <w:spacing w:before="156" w:beforeLines="50" w:after="156" w:afterLines="50" w:line="560" w:lineRule="exact"/>
        <w:ind w:firstLine="0" w:firstLineChars="0"/>
        <w:jc w:val="center"/>
        <w:rPr>
          <w:rFonts w:hint="eastAsia" w:ascii="方正小标宋简体" w:hAnsi="黑体" w:eastAsia="方正小标宋简体"/>
          <w:sz w:val="44"/>
          <w:szCs w:val="44"/>
        </w:rPr>
      </w:pPr>
    </w:p>
    <w:p>
      <w:pPr>
        <w:pStyle w:val="18"/>
        <w:spacing w:before="156" w:beforeLines="50" w:after="156" w:afterLines="50" w:line="560" w:lineRule="exact"/>
        <w:ind w:firstLine="0" w:firstLineChars="0"/>
        <w:jc w:val="center"/>
        <w:rPr>
          <w:rFonts w:ascii="方正小标宋简体" w:hAnsi="黑体" w:eastAsia="方正小标宋简体"/>
          <w:sz w:val="44"/>
          <w:szCs w:val="44"/>
        </w:rPr>
      </w:pPr>
    </w:p>
    <w:p>
      <w:pPr>
        <w:pStyle w:val="18"/>
        <w:spacing w:before="156" w:beforeLines="50" w:after="156" w:afterLines="50" w:line="560" w:lineRule="exact"/>
        <w:ind w:firstLine="0" w:firstLineChars="0"/>
        <w:jc w:val="center"/>
        <w:rPr>
          <w:rFonts w:hint="eastAsia" w:ascii="华文中宋" w:hAnsi="华文中宋" w:eastAsia="华文中宋" w:cs="华文中宋"/>
          <w:sz w:val="44"/>
          <w:szCs w:val="44"/>
        </w:rPr>
      </w:pPr>
      <w:r>
        <w:rPr>
          <w:rFonts w:hint="eastAsia" w:ascii="华文中宋" w:hAnsi="华文中宋" w:eastAsia="华文中宋" w:cs="华文中宋"/>
          <w:sz w:val="44"/>
          <w:szCs w:val="44"/>
          <w:lang w:val="en-US" w:eastAsia="zh-CN"/>
        </w:rPr>
        <w:t>海南省</w:t>
      </w:r>
      <w:r>
        <w:rPr>
          <w:rFonts w:hint="eastAsia" w:ascii="华文中宋" w:hAnsi="华文中宋" w:eastAsia="华文中宋" w:cs="华文中宋"/>
          <w:sz w:val="44"/>
          <w:szCs w:val="44"/>
        </w:rPr>
        <w:t>地方标准</w:t>
      </w:r>
    </w:p>
    <w:p>
      <w:pPr>
        <w:pStyle w:val="18"/>
        <w:spacing w:before="156" w:beforeLines="50" w:after="156" w:afterLines="50" w:line="560" w:lineRule="exact"/>
        <w:ind w:firstLine="0" w:firstLineChars="0"/>
        <w:jc w:val="center"/>
        <w:rPr>
          <w:rFonts w:hint="eastAsia" w:ascii="华文中宋" w:hAnsi="华文中宋" w:eastAsia="华文中宋" w:cs="华文中宋"/>
          <w:sz w:val="44"/>
          <w:szCs w:val="44"/>
        </w:rPr>
      </w:pPr>
      <w:r>
        <w:rPr>
          <w:rFonts w:hint="eastAsia" w:ascii="华文中宋" w:hAnsi="华文中宋" w:eastAsia="华文中宋" w:cs="华文中宋"/>
          <w:sz w:val="44"/>
          <w:szCs w:val="44"/>
        </w:rPr>
        <w:t>《即食鲜切水果经营</w:t>
      </w:r>
      <w:r>
        <w:rPr>
          <w:rFonts w:hint="eastAsia" w:ascii="华文中宋" w:hAnsi="华文中宋" w:eastAsia="华文中宋" w:cs="华文中宋"/>
          <w:sz w:val="44"/>
          <w:szCs w:val="44"/>
          <w:lang w:val="en-US" w:eastAsia="zh-CN"/>
        </w:rPr>
        <w:t>服务</w:t>
      </w:r>
      <w:r>
        <w:rPr>
          <w:rFonts w:hint="eastAsia" w:ascii="华文中宋" w:hAnsi="华文中宋" w:eastAsia="华文中宋" w:cs="华文中宋"/>
          <w:sz w:val="44"/>
          <w:szCs w:val="44"/>
        </w:rPr>
        <w:t>规范》编制说明</w:t>
      </w:r>
    </w:p>
    <w:p>
      <w:pPr>
        <w:pStyle w:val="18"/>
        <w:spacing w:before="156" w:beforeLines="50" w:after="156" w:afterLines="50" w:line="560" w:lineRule="exact"/>
        <w:ind w:firstLine="0" w:firstLineChars="0"/>
        <w:jc w:val="center"/>
        <w:rPr>
          <w:rFonts w:ascii="方正小标宋简体" w:hAnsi="黑体" w:eastAsia="方正小标宋简体"/>
          <w:sz w:val="44"/>
          <w:szCs w:val="44"/>
        </w:rPr>
      </w:pPr>
    </w:p>
    <w:p>
      <w:pPr>
        <w:pStyle w:val="18"/>
        <w:spacing w:before="156" w:beforeLines="50" w:after="156" w:afterLines="50" w:line="560" w:lineRule="exact"/>
        <w:ind w:firstLine="0" w:firstLineChars="0"/>
        <w:jc w:val="center"/>
        <w:rPr>
          <w:rFonts w:ascii="方正小标宋简体" w:hAnsi="黑体" w:eastAsia="方正小标宋简体"/>
          <w:sz w:val="44"/>
          <w:szCs w:val="44"/>
        </w:rPr>
      </w:pPr>
    </w:p>
    <w:p>
      <w:pPr>
        <w:pStyle w:val="18"/>
        <w:spacing w:before="156" w:beforeLines="50" w:after="156" w:afterLines="50" w:line="560" w:lineRule="exact"/>
        <w:ind w:firstLine="0" w:firstLineChars="0"/>
        <w:jc w:val="center"/>
        <w:rPr>
          <w:rFonts w:ascii="方正小标宋简体" w:hAnsi="黑体" w:eastAsia="方正小标宋简体"/>
          <w:sz w:val="44"/>
          <w:szCs w:val="44"/>
        </w:rPr>
      </w:pPr>
    </w:p>
    <w:p>
      <w:pPr>
        <w:pStyle w:val="18"/>
        <w:spacing w:before="156" w:beforeLines="50" w:after="156" w:afterLines="50" w:line="560" w:lineRule="exact"/>
        <w:ind w:firstLine="0" w:firstLineChars="0"/>
        <w:jc w:val="center"/>
        <w:rPr>
          <w:rFonts w:ascii="方正小标宋简体" w:hAnsi="黑体" w:eastAsia="方正小标宋简体"/>
          <w:sz w:val="44"/>
          <w:szCs w:val="44"/>
        </w:rPr>
      </w:pPr>
    </w:p>
    <w:p>
      <w:pPr>
        <w:pStyle w:val="18"/>
        <w:spacing w:before="156" w:beforeLines="50" w:after="156" w:afterLines="50" w:line="560" w:lineRule="exact"/>
        <w:ind w:firstLine="0" w:firstLineChars="0"/>
        <w:jc w:val="center"/>
        <w:rPr>
          <w:rFonts w:ascii="方正小标宋简体" w:hAnsi="黑体" w:eastAsia="方正小标宋简体"/>
          <w:sz w:val="44"/>
          <w:szCs w:val="44"/>
        </w:rPr>
      </w:pPr>
    </w:p>
    <w:p>
      <w:pPr>
        <w:pStyle w:val="18"/>
        <w:spacing w:before="156" w:beforeLines="50" w:after="156" w:afterLines="50" w:line="560" w:lineRule="exact"/>
        <w:ind w:firstLine="0" w:firstLineChars="0"/>
        <w:jc w:val="center"/>
        <w:rPr>
          <w:rFonts w:ascii="方正小标宋简体" w:hAnsi="黑体" w:eastAsia="方正小标宋简体"/>
          <w:sz w:val="44"/>
          <w:szCs w:val="44"/>
        </w:rPr>
      </w:pPr>
    </w:p>
    <w:p>
      <w:pPr>
        <w:pStyle w:val="18"/>
        <w:spacing w:before="156" w:beforeLines="50" w:after="156" w:afterLines="50" w:line="560" w:lineRule="exact"/>
        <w:ind w:firstLine="0" w:firstLineChars="0"/>
        <w:jc w:val="center"/>
        <w:rPr>
          <w:rFonts w:ascii="方正小标宋简体" w:hAnsi="黑体" w:eastAsia="方正小标宋简体"/>
          <w:sz w:val="44"/>
          <w:szCs w:val="44"/>
        </w:rPr>
      </w:pPr>
    </w:p>
    <w:p>
      <w:pPr>
        <w:pStyle w:val="18"/>
        <w:spacing w:before="156" w:beforeLines="50" w:after="156" w:afterLines="50" w:line="560" w:lineRule="exact"/>
        <w:ind w:firstLine="0" w:firstLineChars="0"/>
        <w:jc w:val="center"/>
        <w:rPr>
          <w:rFonts w:hint="eastAsia" w:ascii="方正小标宋简体" w:hAnsi="黑体" w:eastAsia="方正小标宋简体"/>
          <w:sz w:val="44"/>
          <w:szCs w:val="44"/>
        </w:rPr>
      </w:pPr>
    </w:p>
    <w:p>
      <w:pPr>
        <w:pStyle w:val="18"/>
        <w:spacing w:before="156" w:beforeLines="50" w:after="156" w:afterLines="50" w:line="560" w:lineRule="exact"/>
        <w:ind w:firstLine="0" w:firstLineChars="0"/>
        <w:jc w:val="center"/>
        <w:rPr>
          <w:rFonts w:hint="eastAsia" w:ascii="华文中宋" w:hAnsi="华文中宋" w:eastAsia="华文中宋" w:cs="华文中宋"/>
          <w:sz w:val="44"/>
          <w:szCs w:val="44"/>
          <w:lang w:val="en-US" w:eastAsia="zh-CN"/>
        </w:rPr>
      </w:pPr>
    </w:p>
    <w:p>
      <w:pPr>
        <w:pStyle w:val="18"/>
        <w:spacing w:before="156" w:beforeLines="50" w:after="156" w:afterLines="50" w:line="560" w:lineRule="exact"/>
        <w:ind w:firstLine="0" w:firstLineChars="0"/>
        <w:jc w:val="center"/>
        <w:rPr>
          <w:rFonts w:hint="eastAsia" w:ascii="华文中宋" w:hAnsi="华文中宋" w:eastAsia="华文中宋" w:cs="华文中宋"/>
          <w:sz w:val="44"/>
          <w:szCs w:val="44"/>
          <w:lang w:val="en-US" w:eastAsia="zh-CN"/>
        </w:rPr>
      </w:pPr>
      <w:r>
        <w:rPr>
          <w:rFonts w:hint="eastAsia" w:ascii="华文中宋" w:hAnsi="华文中宋" w:eastAsia="华文中宋" w:cs="华文中宋"/>
          <w:sz w:val="44"/>
          <w:szCs w:val="44"/>
          <w:lang w:val="en-US" w:eastAsia="zh-CN"/>
        </w:rPr>
        <w:t>2024年9月</w:t>
      </w:r>
    </w:p>
    <w:p>
      <w:pPr>
        <w:pStyle w:val="18"/>
        <w:spacing w:before="156" w:beforeLines="50" w:after="156" w:afterLines="50" w:line="560" w:lineRule="exact"/>
        <w:ind w:firstLine="0" w:firstLineChars="0"/>
        <w:jc w:val="center"/>
        <w:rPr>
          <w:rFonts w:hint="eastAsia" w:ascii="方正小标宋简体" w:hAnsi="黑体" w:eastAsia="方正小标宋简体"/>
          <w:sz w:val="44"/>
          <w:szCs w:val="44"/>
        </w:rPr>
      </w:pPr>
    </w:p>
    <w:p>
      <w:pPr>
        <w:pStyle w:val="18"/>
        <w:spacing w:before="156" w:beforeLines="50" w:after="156" w:afterLines="50" w:line="560" w:lineRule="exact"/>
        <w:ind w:firstLine="0" w:firstLineChars="0"/>
        <w:jc w:val="center"/>
        <w:rPr>
          <w:rFonts w:ascii="方正小标宋简体" w:hAnsi="黑体" w:eastAsia="方正小标宋简体"/>
          <w:sz w:val="44"/>
          <w:szCs w:val="44"/>
        </w:rPr>
      </w:pPr>
    </w:p>
    <w:p>
      <w:pPr>
        <w:pStyle w:val="18"/>
        <w:spacing w:before="156" w:beforeLines="50" w:after="156" w:afterLines="50" w:line="560" w:lineRule="exact"/>
        <w:ind w:firstLine="0" w:firstLineChars="0"/>
        <w:jc w:val="center"/>
        <w:rPr>
          <w:rFonts w:hint="eastAsia" w:ascii="方正小标宋简体" w:hAnsi="黑体" w:eastAsia="方正小标宋简体"/>
          <w:sz w:val="44"/>
          <w:szCs w:val="44"/>
        </w:rPr>
      </w:pPr>
      <w:r>
        <mc:AlternateContent>
          <mc:Choice Requires="wps">
            <w:drawing>
              <wp:anchor distT="45720" distB="45720" distL="114300" distR="114300" simplePos="0" relativeHeight="251659264" behindDoc="0" locked="0" layoutInCell="1" allowOverlap="1">
                <wp:simplePos x="0" y="0"/>
                <wp:positionH relativeFrom="column">
                  <wp:posOffset>1687830</wp:posOffset>
                </wp:positionH>
                <wp:positionV relativeFrom="paragraph">
                  <wp:posOffset>617220</wp:posOffset>
                </wp:positionV>
                <wp:extent cx="2111375" cy="289560"/>
                <wp:effectExtent l="0" t="0" r="3175" b="15240"/>
                <wp:wrapSquare wrapText="bothSides"/>
                <wp:docPr id="1" name="文本框 2"/>
                <wp:cNvGraphicFramePr/>
                <a:graphic xmlns:a="http://schemas.openxmlformats.org/drawingml/2006/main">
                  <a:graphicData uri="http://schemas.microsoft.com/office/word/2010/wordprocessingShape">
                    <wps:wsp>
                      <wps:cNvSpPr txBox="true"/>
                      <wps:spPr>
                        <a:xfrm>
                          <a:off x="0" y="0"/>
                          <a:ext cx="2111375" cy="289560"/>
                        </a:xfrm>
                        <a:prstGeom prst="rect">
                          <a:avLst/>
                        </a:prstGeom>
                        <a:solidFill>
                          <a:srgbClr val="FFFFFF"/>
                        </a:solidFill>
                        <a:ln>
                          <a:noFill/>
                        </a:ln>
                      </wps:spPr>
                      <wps:txbx>
                        <w:txbxContent>
                          <w:p/>
                        </w:txbxContent>
                      </wps:txbx>
                      <wps:bodyPr upright="true">
                        <a:spAutoFit/>
                      </wps:bodyPr>
                    </wps:wsp>
                  </a:graphicData>
                </a:graphic>
                <wp14:sizeRelH relativeFrom="margin">
                  <wp14:pctWidth>40000</wp14:pctWidth>
                </wp14:sizeRelH>
                <wp14:sizeRelV relativeFrom="margin">
                  <wp14:pctHeight>20000</wp14:pctHeight>
                </wp14:sizeRelV>
              </wp:anchor>
            </w:drawing>
          </mc:Choice>
          <mc:Fallback>
            <w:pict>
              <v:shape id="文本框 2" o:spid="_x0000_s1026" o:spt="202" type="#_x0000_t202" style="position:absolute;left:0pt;margin-left:132.9pt;margin-top:48.6pt;height:22.8pt;width:166.25pt;mso-wrap-distance-bottom:3.6pt;mso-wrap-distance-left:9pt;mso-wrap-distance-right:9pt;mso-wrap-distance-top:3.6pt;z-index:251659264;mso-width-relative:margin;mso-height-relative:margin;mso-width-percent:400;mso-height-percent:200;" fillcolor="#FFFFFF" filled="t" stroked="f" coordsize="21600,21600" o:gfxdata="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BYAAABkcnMvUEsBAhQAFAAAAAgAh07iQBvCOOPaAAAACgEAAA8AAAAAAAAAAQAgAAAAOAAA&#10;AGRycy9kb3ducmV2LnhtbFBLAQIUABQAAAAIAIdO4kDlaTGLtwEAAEkDAAAOAAAAAAAAAAEAIAAA&#10;AD8BAABkcnMvZTJvRG9jLnhtbFBLBQYAAAAABgAGAFkBAABoBQAAAAA=&#10;">
                <v:fill on="t" focussize="0,0"/>
                <v:stroke on="f"/>
                <v:imagedata o:title=""/>
                <o:lock v:ext="edit" aspectratio="f"/>
                <v:textbox style="mso-fit-shape-to-text:t;">
                  <w:txbxContent>
                    <w:p/>
                  </w:txbxContent>
                </v:textbox>
                <w10:wrap type="square"/>
              </v:shape>
            </w:pict>
          </mc:Fallback>
        </mc:AlternateContent>
      </w:r>
    </w:p>
    <w:p>
      <w:pPr>
        <w:pStyle w:val="3"/>
        <w:rPr>
          <w:rFonts w:ascii="黑体" w:hAnsi="黑体" w:eastAsia="黑体"/>
        </w:rPr>
      </w:pPr>
      <w:r>
        <w:rPr>
          <w:rFonts w:ascii="黑体" w:hAnsi="黑体" w:eastAsia="黑体"/>
        </w:rPr>
        <w:t>一、项目简况</w:t>
      </w:r>
    </w:p>
    <w:p>
      <w:pPr>
        <w:ind w:firstLine="642" w:firstLineChars="200"/>
        <w:rPr>
          <w:rFonts w:ascii="仿宋" w:hAnsi="仿宋" w:eastAsia="仿宋"/>
          <w:sz w:val="32"/>
          <w:szCs w:val="32"/>
        </w:rPr>
      </w:pPr>
      <w:r>
        <w:rPr>
          <w:rFonts w:ascii="仿宋" w:hAnsi="仿宋" w:eastAsia="仿宋"/>
          <w:b/>
          <w:sz w:val="32"/>
          <w:szCs w:val="32"/>
        </w:rPr>
        <w:t>（一）标准名称：</w:t>
      </w:r>
      <w:r>
        <w:rPr>
          <w:rFonts w:hint="eastAsia" w:ascii="仿宋" w:hAnsi="仿宋" w:eastAsia="仿宋"/>
          <w:sz w:val="32"/>
          <w:szCs w:val="32"/>
        </w:rPr>
        <w:t>《即食鲜切水果经营</w:t>
      </w:r>
      <w:r>
        <w:rPr>
          <w:rFonts w:hint="eastAsia" w:ascii="仿宋" w:hAnsi="仿宋" w:eastAsia="仿宋"/>
          <w:sz w:val="32"/>
          <w:szCs w:val="32"/>
          <w:lang w:val="en-US" w:eastAsia="zh-CN"/>
        </w:rPr>
        <w:t>服务</w:t>
      </w:r>
      <w:r>
        <w:rPr>
          <w:rFonts w:hint="eastAsia" w:ascii="仿宋" w:hAnsi="仿宋" w:eastAsia="仿宋"/>
          <w:sz w:val="32"/>
          <w:szCs w:val="32"/>
        </w:rPr>
        <w:t>规范》</w:t>
      </w:r>
    </w:p>
    <w:p>
      <w:pPr>
        <w:ind w:firstLine="640" w:firstLineChars="200"/>
        <w:rPr>
          <w:rFonts w:hint="default" w:ascii="仿宋" w:hAnsi="仿宋" w:eastAsia="仿宋"/>
          <w:sz w:val="32"/>
          <w:szCs w:val="32"/>
          <w:lang w:val="en-US" w:eastAsia="zh-CN"/>
        </w:rPr>
      </w:pPr>
      <w:r>
        <w:rPr>
          <w:rFonts w:ascii="仿宋" w:hAnsi="仿宋" w:eastAsia="仿宋"/>
          <w:sz w:val="32"/>
          <w:szCs w:val="32"/>
        </w:rPr>
        <w:t>（</w:t>
      </w:r>
      <w:r>
        <w:rPr>
          <w:rFonts w:ascii="仿宋" w:hAnsi="仿宋" w:eastAsia="仿宋"/>
          <w:b/>
          <w:sz w:val="32"/>
          <w:szCs w:val="32"/>
        </w:rPr>
        <w:t>二）任务来源（项目计划号）：</w:t>
      </w:r>
      <w:r>
        <w:rPr>
          <w:rFonts w:hint="eastAsia" w:ascii="仿宋" w:hAnsi="仿宋" w:eastAsia="仿宋"/>
          <w:sz w:val="32"/>
          <w:szCs w:val="32"/>
          <w:lang w:val="en-US" w:eastAsia="zh-CN"/>
        </w:rPr>
        <w:t>XXX</w:t>
      </w:r>
    </w:p>
    <w:p>
      <w:pPr>
        <w:ind w:firstLine="642" w:firstLineChars="200"/>
        <w:rPr>
          <w:rFonts w:hint="default" w:ascii="仿宋" w:hAnsi="仿宋" w:eastAsia="仿宋"/>
          <w:sz w:val="32"/>
          <w:szCs w:val="32"/>
          <w:lang w:val="en-US" w:eastAsia="zh-CN"/>
        </w:rPr>
      </w:pPr>
      <w:r>
        <w:rPr>
          <w:rFonts w:ascii="仿宋" w:hAnsi="仿宋" w:eastAsia="仿宋"/>
          <w:b/>
          <w:sz w:val="32"/>
          <w:szCs w:val="32"/>
        </w:rPr>
        <w:t>（三）起草单位：</w:t>
      </w:r>
      <w:r>
        <w:rPr>
          <w:rFonts w:hint="eastAsia" w:ascii="仿宋" w:hAnsi="仿宋" w:eastAsia="仿宋"/>
          <w:sz w:val="32"/>
          <w:szCs w:val="32"/>
        </w:rPr>
        <w:t>海南省</w:t>
      </w:r>
      <w:r>
        <w:rPr>
          <w:rFonts w:hint="eastAsia" w:ascii="仿宋" w:hAnsi="仿宋" w:eastAsia="仿宋"/>
          <w:sz w:val="32"/>
          <w:szCs w:val="32"/>
          <w:lang w:val="en-US" w:eastAsia="zh-CN"/>
        </w:rPr>
        <w:t>标准化协会</w:t>
      </w:r>
    </w:p>
    <w:p>
      <w:pPr>
        <w:ind w:firstLine="642" w:firstLineChars="200"/>
        <w:rPr>
          <w:rFonts w:hint="default" w:ascii="仿宋" w:hAnsi="仿宋" w:eastAsia="仿宋"/>
          <w:sz w:val="32"/>
          <w:szCs w:val="32"/>
          <w:lang w:val="en-US" w:eastAsia="zh-CN"/>
        </w:rPr>
      </w:pPr>
      <w:r>
        <w:rPr>
          <w:rFonts w:ascii="仿宋" w:hAnsi="仿宋" w:eastAsia="仿宋"/>
          <w:b/>
          <w:sz w:val="32"/>
          <w:szCs w:val="32"/>
        </w:rPr>
        <w:t>（四）单位地址：</w:t>
      </w:r>
      <w:r>
        <w:rPr>
          <w:rFonts w:hint="eastAsia" w:ascii="仿宋" w:hAnsi="仿宋" w:eastAsia="仿宋"/>
          <w:sz w:val="32"/>
          <w:szCs w:val="32"/>
        </w:rPr>
        <w:t>海口市美兰区</w:t>
      </w:r>
      <w:r>
        <w:rPr>
          <w:rFonts w:hint="eastAsia" w:ascii="仿宋" w:hAnsi="仿宋" w:eastAsia="仿宋"/>
          <w:sz w:val="32"/>
          <w:szCs w:val="32"/>
          <w:lang w:val="en-US" w:eastAsia="zh-CN"/>
        </w:rPr>
        <w:t>蓝天路46号</w:t>
      </w:r>
    </w:p>
    <w:p>
      <w:pPr>
        <w:ind w:firstLine="642" w:firstLineChars="200"/>
        <w:rPr>
          <w:rFonts w:ascii="仿宋" w:hAnsi="仿宋" w:eastAsia="仿宋"/>
          <w:b/>
          <w:sz w:val="32"/>
          <w:szCs w:val="32"/>
        </w:rPr>
      </w:pPr>
      <w:r>
        <w:rPr>
          <w:rFonts w:ascii="仿宋" w:hAnsi="仿宋" w:eastAsia="仿宋"/>
          <w:b/>
          <w:sz w:val="32"/>
          <w:szCs w:val="32"/>
        </w:rPr>
        <w:t>（五）参与起草单位：</w:t>
      </w:r>
    </w:p>
    <w:p>
      <w:pPr>
        <w:ind w:firstLine="640" w:firstLineChars="200"/>
        <w:rPr>
          <w:rFonts w:ascii="仿宋" w:hAnsi="仿宋" w:eastAsia="仿宋"/>
          <w:sz w:val="32"/>
          <w:szCs w:val="32"/>
        </w:rPr>
      </w:pPr>
      <w:r>
        <w:rPr>
          <w:rFonts w:hint="eastAsia" w:ascii="仿宋" w:hAnsi="仿宋" w:eastAsia="仿宋"/>
          <w:sz w:val="32"/>
          <w:szCs w:val="32"/>
          <w:lang w:val="en-US" w:eastAsia="zh-CN"/>
        </w:rPr>
        <w:t>海南省市场监督管理局食品经营安全监督管理处、</w:t>
      </w:r>
      <w:r>
        <w:rPr>
          <w:rFonts w:hint="eastAsia" w:ascii="仿宋" w:hAnsi="仿宋" w:eastAsia="仿宋"/>
          <w:sz w:val="32"/>
          <w:szCs w:val="32"/>
        </w:rPr>
        <w:t>海南省标准化协会</w:t>
      </w:r>
    </w:p>
    <w:p>
      <w:pPr>
        <w:ind w:firstLine="642" w:firstLineChars="200"/>
        <w:rPr>
          <w:rFonts w:ascii="仿宋" w:hAnsi="仿宋" w:eastAsia="仿宋"/>
          <w:b/>
          <w:sz w:val="32"/>
          <w:szCs w:val="32"/>
        </w:rPr>
      </w:pPr>
      <w:r>
        <w:rPr>
          <w:rFonts w:ascii="仿宋" w:hAnsi="仿宋" w:eastAsia="仿宋"/>
          <w:b/>
          <w:sz w:val="32"/>
          <w:szCs w:val="32"/>
        </w:rPr>
        <w:t>（六）标准起草人：</w:t>
      </w:r>
    </w:p>
    <w:p>
      <w:pPr>
        <w:jc w:val="center"/>
        <w:rPr>
          <w:rFonts w:ascii="黑体" w:hAnsi="黑体" w:eastAsia="黑体" w:cs="黑体"/>
          <w:b/>
          <w:bCs/>
          <w:color w:val="000000"/>
          <w:sz w:val="28"/>
          <w:szCs w:val="28"/>
        </w:rPr>
      </w:pPr>
      <w:r>
        <w:rPr>
          <w:rFonts w:hint="eastAsia" w:ascii="黑体" w:hAnsi="黑体" w:eastAsia="黑体" w:cs="黑体"/>
          <w:b/>
          <w:bCs/>
          <w:color w:val="000000"/>
          <w:sz w:val="28"/>
          <w:szCs w:val="28"/>
        </w:rPr>
        <w:t>表1 标准起草人</w:t>
      </w:r>
    </w:p>
    <w:tbl>
      <w:tblPr>
        <w:tblStyle w:val="9"/>
        <w:tblpPr w:leftFromText="180" w:rightFromText="180" w:vertAnchor="text" w:horzAnchor="page" w:tblpXSpec="center" w:tblpY="62"/>
        <w:tblOverlap w:val="never"/>
        <w:tblW w:w="9565" w:type="dxa"/>
        <w:tblInd w:w="-108"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835"/>
        <w:gridCol w:w="1092"/>
        <w:gridCol w:w="2594"/>
        <w:gridCol w:w="1706"/>
        <w:gridCol w:w="2151"/>
        <w:gridCol w:w="1187"/>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397" w:hRule="atLeast"/>
        </w:trPr>
        <w:tc>
          <w:tcPr>
            <w:tcW w:w="835" w:type="dxa"/>
            <w:tcBorders>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default" w:ascii="仿宋" w:hAnsi="仿宋" w:eastAsia="仿宋"/>
                <w:sz w:val="24"/>
                <w:szCs w:val="24"/>
              </w:rPr>
              <w:t>序号</w:t>
            </w:r>
          </w:p>
        </w:tc>
        <w:tc>
          <w:tcPr>
            <w:tcW w:w="1092"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default" w:ascii="仿宋" w:hAnsi="仿宋" w:eastAsia="仿宋"/>
                <w:sz w:val="24"/>
                <w:szCs w:val="24"/>
              </w:rPr>
              <w:t>姓名</w:t>
            </w:r>
          </w:p>
        </w:tc>
        <w:tc>
          <w:tcPr>
            <w:tcW w:w="2594"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default" w:ascii="仿宋" w:hAnsi="仿宋" w:eastAsia="仿宋"/>
                <w:sz w:val="24"/>
                <w:szCs w:val="24"/>
              </w:rPr>
              <w:t>单位</w:t>
            </w:r>
          </w:p>
        </w:tc>
        <w:tc>
          <w:tcPr>
            <w:tcW w:w="1706"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default" w:ascii="仿宋" w:hAnsi="仿宋" w:eastAsia="仿宋"/>
                <w:sz w:val="24"/>
                <w:szCs w:val="24"/>
              </w:rPr>
              <w:t>职务</w:t>
            </w:r>
            <w:r>
              <w:rPr>
                <w:rFonts w:hint="eastAsia" w:ascii="仿宋" w:hAnsi="仿宋" w:eastAsia="仿宋"/>
                <w:sz w:val="24"/>
                <w:szCs w:val="24"/>
                <w:lang w:val="en-US" w:eastAsia="zh-CN"/>
              </w:rPr>
              <w:t>/</w:t>
            </w:r>
            <w:r>
              <w:rPr>
                <w:rFonts w:hint="default" w:ascii="仿宋" w:hAnsi="仿宋" w:eastAsia="仿宋"/>
                <w:sz w:val="24"/>
                <w:szCs w:val="24"/>
              </w:rPr>
              <w:t>职称</w:t>
            </w:r>
          </w:p>
        </w:tc>
        <w:tc>
          <w:tcPr>
            <w:tcW w:w="2151"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任务分工</w:t>
            </w:r>
          </w:p>
        </w:tc>
        <w:tc>
          <w:tcPr>
            <w:tcW w:w="1187" w:type="dxa"/>
            <w:tcBorders>
              <w:left w:val="nil"/>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sz w:val="24"/>
                <w:szCs w:val="24"/>
              </w:rPr>
            </w:pPr>
            <w:r>
              <w:rPr>
                <w:rFonts w:hint="eastAsia" w:ascii="宋体" w:hAnsi="宋体"/>
                <w:color w:val="000000"/>
                <w:sz w:val="24"/>
                <w:szCs w:val="24"/>
              </w:rPr>
              <w:t>联系方式</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397" w:hRule="atLeast"/>
        </w:trPr>
        <w:tc>
          <w:tcPr>
            <w:tcW w:w="835" w:type="dxa"/>
            <w:tcBorders>
              <w:top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1</w:t>
            </w:r>
          </w:p>
        </w:tc>
        <w:tc>
          <w:tcPr>
            <w:tcW w:w="1092"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 xml:space="preserve">王雪梅 </w:t>
            </w:r>
          </w:p>
        </w:tc>
        <w:tc>
          <w:tcPr>
            <w:tcW w:w="2594"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sz w:val="24"/>
                <w:szCs w:val="24"/>
                <w:lang w:val="en-US" w:eastAsia="zh-CN"/>
              </w:rPr>
            </w:pPr>
            <w:r>
              <w:rPr>
                <w:rFonts w:hint="eastAsia" w:ascii="仿宋" w:hAnsi="仿宋" w:eastAsia="仿宋"/>
                <w:sz w:val="24"/>
                <w:szCs w:val="24"/>
                <w:lang w:val="en-US" w:eastAsia="zh-CN"/>
              </w:rPr>
              <w:t>海南省市场监督管理局食品经营安全监督管理处</w:t>
            </w:r>
          </w:p>
        </w:tc>
        <w:tc>
          <w:tcPr>
            <w:tcW w:w="170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lang w:val="en-US" w:eastAsia="zh-CN"/>
              </w:rPr>
              <w:t>处长</w:t>
            </w:r>
          </w:p>
        </w:tc>
        <w:tc>
          <w:tcPr>
            <w:tcW w:w="2151"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sz w:val="24"/>
                <w:szCs w:val="24"/>
              </w:rPr>
            </w:pPr>
            <w:r>
              <w:rPr>
                <w:rFonts w:hint="eastAsia" w:ascii="仿宋" w:hAnsi="仿宋" w:eastAsia="仿宋"/>
                <w:sz w:val="24"/>
                <w:szCs w:val="24"/>
              </w:rPr>
              <w:t>标准起草及修改</w:t>
            </w:r>
          </w:p>
        </w:tc>
        <w:tc>
          <w:tcPr>
            <w:tcW w:w="1187" w:type="dxa"/>
            <w:tcBorders>
              <w:top w:val="single" w:color="auto" w:sz="4" w:space="0"/>
              <w:left w:val="nil"/>
              <w:bottom w:val="single" w:color="auto" w:sz="4" w:space="0"/>
            </w:tcBorders>
            <w:vAlign w:val="center"/>
          </w:tcPr>
          <w:p>
            <w:pPr>
              <w:keepNext w:val="0"/>
              <w:keepLines w:val="0"/>
              <w:suppressLineNumbers w:val="0"/>
              <w:spacing w:before="0" w:beforeAutospacing="0" w:after="0" w:afterAutospacing="0"/>
              <w:ind w:left="0" w:right="0"/>
              <w:rPr>
                <w:rFonts w:hint="default" w:ascii="宋体" w:hAnsi="宋体"/>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397" w:hRule="atLeast"/>
        </w:trPr>
        <w:tc>
          <w:tcPr>
            <w:tcW w:w="835" w:type="dxa"/>
            <w:tcBorders>
              <w:top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2</w:t>
            </w:r>
          </w:p>
        </w:tc>
        <w:tc>
          <w:tcPr>
            <w:tcW w:w="1092"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王运选</w:t>
            </w:r>
          </w:p>
        </w:tc>
        <w:tc>
          <w:tcPr>
            <w:tcW w:w="2594"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sz w:val="24"/>
                <w:szCs w:val="24"/>
              </w:rPr>
            </w:pPr>
            <w:r>
              <w:rPr>
                <w:rFonts w:hint="eastAsia" w:ascii="仿宋" w:hAnsi="仿宋" w:eastAsia="仿宋"/>
                <w:sz w:val="24"/>
                <w:szCs w:val="24"/>
                <w:lang w:val="en-US" w:eastAsia="zh-CN"/>
              </w:rPr>
              <w:t>儋州市疾病预防控制中心</w:t>
            </w:r>
          </w:p>
        </w:tc>
        <w:tc>
          <w:tcPr>
            <w:tcW w:w="170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食品工程师</w:t>
            </w:r>
          </w:p>
        </w:tc>
        <w:tc>
          <w:tcPr>
            <w:tcW w:w="2151"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sz w:val="24"/>
                <w:szCs w:val="24"/>
              </w:rPr>
            </w:pPr>
            <w:r>
              <w:rPr>
                <w:rFonts w:hint="eastAsia" w:ascii="仿宋" w:hAnsi="仿宋" w:eastAsia="仿宋"/>
                <w:sz w:val="24"/>
                <w:szCs w:val="24"/>
              </w:rPr>
              <w:t>标准起草及修改</w:t>
            </w:r>
          </w:p>
        </w:tc>
        <w:tc>
          <w:tcPr>
            <w:tcW w:w="1187" w:type="dxa"/>
            <w:tcBorders>
              <w:top w:val="single" w:color="auto" w:sz="4" w:space="0"/>
              <w:left w:val="nil"/>
              <w:bottom w:val="single" w:color="auto" w:sz="4" w:space="0"/>
            </w:tcBorders>
            <w:vAlign w:val="center"/>
          </w:tcPr>
          <w:p>
            <w:pPr>
              <w:keepNext w:val="0"/>
              <w:keepLines w:val="0"/>
              <w:suppressLineNumbers w:val="0"/>
              <w:spacing w:before="0" w:beforeAutospacing="0" w:after="0" w:afterAutospacing="0"/>
              <w:ind w:left="0" w:right="0"/>
              <w:rPr>
                <w:rFonts w:hint="default" w:ascii="宋体" w:hAnsi="宋体"/>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397" w:hRule="atLeast"/>
        </w:trPr>
        <w:tc>
          <w:tcPr>
            <w:tcW w:w="835" w:type="dxa"/>
            <w:tcBorders>
              <w:top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3</w:t>
            </w:r>
          </w:p>
        </w:tc>
        <w:tc>
          <w:tcPr>
            <w:tcW w:w="1092"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hint="default" w:ascii="仿宋" w:hAnsi="仿宋" w:eastAsia="仿宋"/>
                <w:sz w:val="24"/>
                <w:szCs w:val="24"/>
              </w:rPr>
            </w:pPr>
            <w:r>
              <w:rPr>
                <w:rFonts w:hint="eastAsia" w:ascii="仿宋" w:hAnsi="仿宋" w:eastAsia="仿宋"/>
                <w:sz w:val="24"/>
                <w:szCs w:val="24"/>
                <w:lang w:val="en-US" w:eastAsia="zh-CN"/>
              </w:rPr>
              <w:t>陈昌旭</w:t>
            </w:r>
          </w:p>
        </w:tc>
        <w:tc>
          <w:tcPr>
            <w:tcW w:w="2594"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left"/>
              <w:rPr>
                <w:rFonts w:hint="default" w:ascii="仿宋" w:hAnsi="仿宋" w:eastAsia="仿宋"/>
                <w:sz w:val="24"/>
                <w:szCs w:val="24"/>
              </w:rPr>
            </w:pPr>
            <w:r>
              <w:rPr>
                <w:rFonts w:hint="eastAsia" w:ascii="仿宋" w:hAnsi="仿宋" w:eastAsia="仿宋"/>
                <w:sz w:val="24"/>
                <w:szCs w:val="24"/>
                <w:lang w:val="en-US" w:eastAsia="zh-CN"/>
              </w:rPr>
              <w:t>海南省市场监督管理局食品经营安全监督管理处</w:t>
            </w:r>
          </w:p>
        </w:tc>
        <w:tc>
          <w:tcPr>
            <w:tcW w:w="170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hint="default" w:ascii="仿宋" w:hAnsi="仿宋" w:eastAsia="仿宋"/>
                <w:sz w:val="24"/>
                <w:szCs w:val="24"/>
              </w:rPr>
            </w:pPr>
            <w:r>
              <w:rPr>
                <w:rFonts w:hint="eastAsia" w:ascii="仿宋" w:hAnsi="仿宋" w:eastAsia="仿宋"/>
                <w:sz w:val="24"/>
                <w:szCs w:val="24"/>
                <w:lang w:val="en-US" w:eastAsia="zh-CN"/>
              </w:rPr>
              <w:t>三级</w:t>
            </w:r>
            <w:r>
              <w:rPr>
                <w:rFonts w:hint="default" w:ascii="仿宋" w:hAnsi="仿宋" w:eastAsia="仿宋"/>
                <w:sz w:val="24"/>
                <w:szCs w:val="24"/>
              </w:rPr>
              <w:t>主任</w:t>
            </w:r>
            <w:r>
              <w:rPr>
                <w:rFonts w:hint="eastAsia" w:ascii="仿宋" w:hAnsi="仿宋" w:eastAsia="仿宋"/>
                <w:sz w:val="24"/>
                <w:szCs w:val="24"/>
                <w:lang w:val="en-US" w:eastAsia="zh-CN"/>
              </w:rPr>
              <w:t>科员</w:t>
            </w:r>
          </w:p>
        </w:tc>
        <w:tc>
          <w:tcPr>
            <w:tcW w:w="2151"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left"/>
              <w:rPr>
                <w:rFonts w:hint="default" w:ascii="仿宋" w:hAnsi="仿宋" w:eastAsia="仿宋"/>
                <w:sz w:val="24"/>
                <w:szCs w:val="24"/>
              </w:rPr>
            </w:pPr>
            <w:r>
              <w:rPr>
                <w:rFonts w:hint="eastAsia" w:ascii="仿宋" w:hAnsi="仿宋" w:eastAsia="仿宋"/>
                <w:sz w:val="24"/>
                <w:szCs w:val="24"/>
              </w:rPr>
              <w:t>标准起草及修改</w:t>
            </w:r>
          </w:p>
        </w:tc>
        <w:tc>
          <w:tcPr>
            <w:tcW w:w="1187" w:type="dxa"/>
            <w:tcBorders>
              <w:top w:val="single" w:color="auto" w:sz="4" w:space="0"/>
              <w:left w:val="nil"/>
              <w:bottom w:val="single" w:color="auto" w:sz="4" w:space="0"/>
            </w:tcBorders>
            <w:vAlign w:val="center"/>
          </w:tcPr>
          <w:p>
            <w:pPr>
              <w:keepNext w:val="0"/>
              <w:keepLines w:val="0"/>
              <w:suppressLineNumbers w:val="0"/>
              <w:spacing w:before="0" w:beforeAutospacing="0" w:after="0" w:afterAutospacing="0"/>
              <w:ind w:left="0" w:right="0"/>
              <w:rPr>
                <w:rFonts w:hint="default" w:ascii="宋体" w:hAnsi="宋体"/>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397" w:hRule="atLeast"/>
        </w:trPr>
        <w:tc>
          <w:tcPr>
            <w:tcW w:w="835" w:type="dxa"/>
            <w:tcBorders>
              <w:top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4</w:t>
            </w:r>
          </w:p>
        </w:tc>
        <w:tc>
          <w:tcPr>
            <w:tcW w:w="1092"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hint="default" w:ascii="仿宋" w:hAnsi="仿宋" w:eastAsia="仿宋"/>
                <w:sz w:val="24"/>
                <w:szCs w:val="24"/>
                <w:lang w:val="en-US" w:eastAsia="zh-CN"/>
              </w:rPr>
            </w:pPr>
            <w:r>
              <w:rPr>
                <w:rFonts w:hint="default" w:ascii="仿宋" w:hAnsi="仿宋" w:eastAsia="仿宋"/>
                <w:sz w:val="24"/>
                <w:szCs w:val="24"/>
              </w:rPr>
              <w:t>杜磊</w:t>
            </w:r>
          </w:p>
        </w:tc>
        <w:tc>
          <w:tcPr>
            <w:tcW w:w="2594"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left"/>
              <w:rPr>
                <w:rFonts w:hint="default" w:ascii="仿宋" w:hAnsi="仿宋" w:eastAsia="仿宋"/>
                <w:sz w:val="24"/>
                <w:szCs w:val="24"/>
              </w:rPr>
            </w:pPr>
            <w:r>
              <w:rPr>
                <w:rFonts w:hint="eastAsia" w:ascii="仿宋" w:hAnsi="仿宋" w:eastAsia="仿宋"/>
                <w:sz w:val="24"/>
                <w:szCs w:val="24"/>
              </w:rPr>
              <w:t>海南省标准化协会</w:t>
            </w:r>
          </w:p>
        </w:tc>
        <w:tc>
          <w:tcPr>
            <w:tcW w:w="170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hint="default" w:ascii="仿宋" w:hAnsi="仿宋" w:eastAsia="仿宋"/>
                <w:sz w:val="24"/>
                <w:szCs w:val="24"/>
              </w:rPr>
            </w:pPr>
            <w:r>
              <w:rPr>
                <w:rFonts w:hint="default" w:ascii="仿宋" w:hAnsi="仿宋" w:eastAsia="仿宋"/>
                <w:sz w:val="24"/>
                <w:szCs w:val="24"/>
              </w:rPr>
              <w:t>秘书长</w:t>
            </w:r>
          </w:p>
        </w:tc>
        <w:tc>
          <w:tcPr>
            <w:tcW w:w="2151"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left"/>
              <w:rPr>
                <w:rFonts w:hint="default" w:ascii="仿宋" w:hAnsi="仿宋" w:eastAsia="仿宋"/>
                <w:sz w:val="24"/>
                <w:szCs w:val="24"/>
              </w:rPr>
            </w:pPr>
            <w:r>
              <w:rPr>
                <w:rFonts w:hint="eastAsia" w:ascii="仿宋" w:hAnsi="仿宋" w:eastAsia="仿宋"/>
                <w:sz w:val="24"/>
                <w:szCs w:val="24"/>
              </w:rPr>
              <w:t>标准起草</w:t>
            </w:r>
            <w:r>
              <w:rPr>
                <w:rFonts w:hint="eastAsia" w:ascii="仿宋" w:hAnsi="仿宋" w:eastAsia="仿宋"/>
                <w:sz w:val="24"/>
                <w:szCs w:val="24"/>
                <w:lang w:eastAsia="zh-CN"/>
              </w:rPr>
              <w:t>、</w:t>
            </w:r>
            <w:r>
              <w:rPr>
                <w:rFonts w:hint="eastAsia" w:ascii="仿宋" w:hAnsi="仿宋" w:eastAsia="仿宋"/>
                <w:sz w:val="24"/>
                <w:szCs w:val="24"/>
              </w:rPr>
              <w:t>修改</w:t>
            </w:r>
            <w:r>
              <w:rPr>
                <w:rFonts w:hint="eastAsia" w:ascii="仿宋" w:hAnsi="仿宋" w:eastAsia="仿宋"/>
                <w:sz w:val="24"/>
                <w:szCs w:val="24"/>
                <w:lang w:val="en-US" w:eastAsia="zh-CN"/>
              </w:rPr>
              <w:t>及</w:t>
            </w:r>
            <w:r>
              <w:rPr>
                <w:rFonts w:hint="eastAsia" w:ascii="仿宋" w:hAnsi="仿宋" w:eastAsia="仿宋"/>
                <w:sz w:val="24"/>
                <w:szCs w:val="24"/>
              </w:rPr>
              <w:t>意见处理</w:t>
            </w:r>
          </w:p>
        </w:tc>
        <w:tc>
          <w:tcPr>
            <w:tcW w:w="1187" w:type="dxa"/>
            <w:tcBorders>
              <w:top w:val="single" w:color="auto" w:sz="4" w:space="0"/>
              <w:left w:val="nil"/>
              <w:bottom w:val="single" w:color="auto" w:sz="4" w:space="0"/>
            </w:tcBorders>
            <w:vAlign w:val="center"/>
          </w:tcPr>
          <w:p>
            <w:pPr>
              <w:keepNext w:val="0"/>
              <w:keepLines w:val="0"/>
              <w:suppressLineNumbers w:val="0"/>
              <w:spacing w:before="0" w:beforeAutospacing="0" w:after="0" w:afterAutospacing="0"/>
              <w:ind w:left="0" w:right="0"/>
              <w:rPr>
                <w:rFonts w:hint="default" w:ascii="宋体" w:hAnsi="宋体"/>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397" w:hRule="atLeast"/>
        </w:trPr>
        <w:tc>
          <w:tcPr>
            <w:tcW w:w="835" w:type="dxa"/>
            <w:tcBorders>
              <w:top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sz w:val="24"/>
                <w:szCs w:val="24"/>
              </w:rPr>
            </w:pPr>
            <w:r>
              <w:rPr>
                <w:rFonts w:hint="eastAsia" w:ascii="仿宋" w:hAnsi="仿宋" w:eastAsia="仿宋"/>
                <w:sz w:val="24"/>
                <w:szCs w:val="24"/>
              </w:rPr>
              <w:t>4</w:t>
            </w:r>
          </w:p>
        </w:tc>
        <w:tc>
          <w:tcPr>
            <w:tcW w:w="1092"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黄家将</w:t>
            </w:r>
          </w:p>
        </w:tc>
        <w:tc>
          <w:tcPr>
            <w:tcW w:w="2594"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left"/>
              <w:rPr>
                <w:rFonts w:hint="default" w:ascii="仿宋" w:hAnsi="仿宋" w:eastAsia="仿宋"/>
                <w:sz w:val="24"/>
                <w:szCs w:val="24"/>
                <w:lang w:val="en-US" w:eastAsia="zh-CN"/>
              </w:rPr>
            </w:pPr>
            <w:r>
              <w:rPr>
                <w:rFonts w:hint="eastAsia" w:ascii="仿宋" w:hAnsi="仿宋" w:eastAsia="仿宋"/>
                <w:sz w:val="24"/>
                <w:szCs w:val="24"/>
              </w:rPr>
              <w:t>海南省标准化协会</w:t>
            </w:r>
          </w:p>
        </w:tc>
        <w:tc>
          <w:tcPr>
            <w:tcW w:w="170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hint="default" w:ascii="仿宋" w:hAnsi="仿宋" w:eastAsia="仿宋"/>
                <w:sz w:val="24"/>
                <w:szCs w:val="24"/>
              </w:rPr>
            </w:pPr>
            <w:r>
              <w:rPr>
                <w:rFonts w:hint="default" w:ascii="仿宋" w:hAnsi="仿宋" w:eastAsia="仿宋"/>
                <w:sz w:val="24"/>
                <w:szCs w:val="24"/>
              </w:rPr>
              <w:t>助理工程师</w:t>
            </w:r>
          </w:p>
        </w:tc>
        <w:tc>
          <w:tcPr>
            <w:tcW w:w="2151"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left"/>
              <w:rPr>
                <w:rFonts w:hint="eastAsia" w:ascii="仿宋" w:hAnsi="仿宋" w:eastAsia="仿宋"/>
                <w:sz w:val="24"/>
                <w:szCs w:val="24"/>
              </w:rPr>
            </w:pPr>
            <w:r>
              <w:rPr>
                <w:rFonts w:hint="eastAsia" w:ascii="仿宋" w:hAnsi="仿宋" w:eastAsia="仿宋"/>
                <w:sz w:val="24"/>
                <w:szCs w:val="24"/>
              </w:rPr>
              <w:t>负责收集汇总相关材料、标准起草、编制说明编写</w:t>
            </w:r>
          </w:p>
        </w:tc>
        <w:tc>
          <w:tcPr>
            <w:tcW w:w="1187" w:type="dxa"/>
            <w:tcBorders>
              <w:top w:val="single" w:color="auto" w:sz="4" w:space="0"/>
              <w:left w:val="nil"/>
              <w:bottom w:val="single" w:color="auto" w:sz="4" w:space="0"/>
            </w:tcBorders>
            <w:vAlign w:val="center"/>
          </w:tcPr>
          <w:p>
            <w:pPr>
              <w:keepNext w:val="0"/>
              <w:keepLines w:val="0"/>
              <w:suppressLineNumbers w:val="0"/>
              <w:spacing w:before="0" w:beforeAutospacing="0" w:after="0" w:afterAutospacing="0"/>
              <w:ind w:left="0" w:right="0"/>
              <w:rPr>
                <w:rFonts w:hint="default" w:ascii="宋体" w:hAnsi="宋体"/>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cantSplit/>
          <w:trHeight w:val="397" w:hRule="atLeast"/>
        </w:trPr>
        <w:tc>
          <w:tcPr>
            <w:tcW w:w="835" w:type="dxa"/>
            <w:tcBorders>
              <w:top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5</w:t>
            </w:r>
          </w:p>
        </w:tc>
        <w:tc>
          <w:tcPr>
            <w:tcW w:w="1092"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王杏文</w:t>
            </w:r>
          </w:p>
        </w:tc>
        <w:tc>
          <w:tcPr>
            <w:tcW w:w="2594"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sz w:val="24"/>
                <w:szCs w:val="24"/>
              </w:rPr>
            </w:pPr>
            <w:r>
              <w:rPr>
                <w:rFonts w:hint="eastAsia" w:ascii="仿宋" w:hAnsi="仿宋" w:eastAsia="仿宋"/>
                <w:sz w:val="24"/>
                <w:szCs w:val="24"/>
              </w:rPr>
              <w:t>海南省标准化协会</w:t>
            </w:r>
          </w:p>
        </w:tc>
        <w:tc>
          <w:tcPr>
            <w:tcW w:w="170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color w:val="000000"/>
                <w:sz w:val="24"/>
                <w:szCs w:val="24"/>
                <w:lang w:val="en-US" w:eastAsia="zh-CN"/>
              </w:rPr>
              <w:t>科员</w:t>
            </w:r>
          </w:p>
        </w:tc>
        <w:tc>
          <w:tcPr>
            <w:tcW w:w="2151"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sz w:val="24"/>
                <w:szCs w:val="24"/>
              </w:rPr>
            </w:pPr>
            <w:r>
              <w:rPr>
                <w:rFonts w:hint="eastAsia" w:ascii="仿宋" w:hAnsi="仿宋" w:eastAsia="仿宋"/>
                <w:sz w:val="24"/>
                <w:szCs w:val="24"/>
              </w:rPr>
              <w:t>负责收集汇总相关材料、标准起草、编制说明编写、意见处理</w:t>
            </w:r>
          </w:p>
        </w:tc>
        <w:tc>
          <w:tcPr>
            <w:tcW w:w="1187" w:type="dxa"/>
            <w:tcBorders>
              <w:top w:val="single" w:color="auto" w:sz="4" w:space="0"/>
              <w:left w:val="nil"/>
              <w:bottom w:val="single" w:color="auto" w:sz="4" w:space="0"/>
            </w:tcBorders>
            <w:vAlign w:val="center"/>
          </w:tcPr>
          <w:p>
            <w:pPr>
              <w:keepNext w:val="0"/>
              <w:keepLines w:val="0"/>
              <w:suppressLineNumbers w:val="0"/>
              <w:spacing w:before="0" w:beforeAutospacing="0" w:after="0" w:afterAutospacing="0"/>
              <w:ind w:left="0" w:right="0"/>
              <w:rPr>
                <w:rFonts w:hint="default" w:ascii="宋体" w:hAnsi="宋体"/>
                <w:sz w:val="24"/>
                <w:szCs w:val="24"/>
              </w:rPr>
            </w:pPr>
          </w:p>
        </w:tc>
      </w:tr>
    </w:tbl>
    <w:p>
      <w:pPr>
        <w:pStyle w:val="3"/>
        <w:rPr>
          <w:rFonts w:ascii="黑体" w:hAnsi="黑体" w:eastAsia="黑体"/>
        </w:rPr>
      </w:pPr>
      <w:r>
        <w:rPr>
          <w:rFonts w:ascii="黑体" w:hAnsi="黑体" w:eastAsia="黑体"/>
        </w:rPr>
        <w:t>二、编制情况</w:t>
      </w:r>
    </w:p>
    <w:p>
      <w:pPr>
        <w:ind w:firstLine="642" w:firstLineChars="200"/>
        <w:rPr>
          <w:rFonts w:hint="eastAsia" w:ascii="楷体_GB2312" w:hAnsi="仿宋" w:eastAsia="楷体_GB2312"/>
          <w:b/>
          <w:sz w:val="32"/>
          <w:szCs w:val="32"/>
        </w:rPr>
      </w:pPr>
      <w:r>
        <w:rPr>
          <w:rFonts w:hint="eastAsia" w:ascii="楷体_GB2312" w:hAnsi="仿宋" w:eastAsia="楷体_GB2312"/>
          <w:b/>
          <w:sz w:val="32"/>
          <w:szCs w:val="32"/>
          <w:lang w:val="en-US" w:eastAsia="zh-CN"/>
        </w:rPr>
        <w:t>1、</w:t>
      </w:r>
      <w:r>
        <w:rPr>
          <w:rFonts w:hint="eastAsia" w:ascii="楷体_GB2312" w:hAnsi="仿宋" w:eastAsia="楷体_GB2312"/>
          <w:b/>
          <w:sz w:val="32"/>
          <w:szCs w:val="32"/>
        </w:rPr>
        <w:t>编制标准的必要性和意义及背景</w:t>
      </w:r>
    </w:p>
    <w:p>
      <w:pPr>
        <w:keepNext w:val="0"/>
        <w:keepLines w:val="0"/>
        <w:pageBreakBefore w:val="0"/>
        <w:widowControl w:val="0"/>
        <w:kinsoku/>
        <w:wordWrap/>
        <w:overflowPunct/>
        <w:topLinePunct w:val="0"/>
        <w:autoSpaceDE/>
        <w:autoSpaceDN/>
        <w:bidi w:val="0"/>
        <w:adjustRightInd/>
        <w:snapToGrid/>
        <w:ind w:firstLine="642" w:firstLineChars="200"/>
        <w:textAlignment w:val="auto"/>
        <w:rPr>
          <w:rFonts w:hint="eastAsia" w:ascii="楷体_GB2312" w:hAnsi="仿宋" w:eastAsia="楷体_GB2312"/>
          <w:b/>
          <w:sz w:val="32"/>
          <w:szCs w:val="32"/>
          <w:lang w:val="en-US" w:eastAsia="zh-CN"/>
        </w:rPr>
      </w:pPr>
      <w:r>
        <w:rPr>
          <w:rFonts w:hint="eastAsia" w:ascii="楷体_GB2312" w:hAnsi="仿宋" w:eastAsia="楷体_GB2312"/>
          <w:b/>
          <w:sz w:val="32"/>
          <w:szCs w:val="32"/>
          <w:lang w:val="en-US" w:eastAsia="zh-CN"/>
        </w:rPr>
        <w:t>（1）</w:t>
      </w:r>
      <w:r>
        <w:rPr>
          <w:rFonts w:hint="eastAsia" w:ascii="楷体_GB2312" w:hAnsi="仿宋" w:eastAsia="楷体_GB2312"/>
          <w:b/>
          <w:sz w:val="32"/>
          <w:szCs w:val="32"/>
        </w:rPr>
        <w:t>必要性和意义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民以食为先，食以安为先。习近平总书记指出：“能不能在食品安全上给老百姓一个满意的交代，是对我们执政能力的重大考验”。各级市场监管部门要贯彻落实党中央、国务院决策部署，按照“讲政治、强监管、促发展、保安全”的工作总思路，坚决扛牢食品安全政治责任，深刻把握新时代食品安全工作，更好统筹高质量发展和高水平安全，全面提升食品安全风险管理能力，不断提高人民群众食品安全满意度。要着力健全监管协调机制，完善责任体系，严防严管严控食品安全风险，全面提升监管执法质效；强化作风建设，力戒形式主义、减轻基层负担；加强宣传引导，凝聚各方合力，全力保障人民群众“舌尖上的安全”。</w:t>
      </w:r>
      <w:r>
        <w:rPr>
          <w:rFonts w:hint="eastAsia" w:ascii="仿宋" w:hAnsi="仿宋" w:eastAsia="仿宋"/>
          <w:sz w:val="32"/>
          <w:szCs w:val="32"/>
          <w:lang w:val="en-US" w:eastAsia="zh-CN"/>
        </w:rPr>
        <w:cr/>
      </w:r>
      <w:r>
        <w:rPr>
          <w:rFonts w:hint="eastAsia" w:ascii="仿宋" w:hAnsi="仿宋" w:eastAsia="仿宋"/>
          <w:sz w:val="32"/>
          <w:szCs w:val="32"/>
          <w:lang w:val="en-US" w:eastAsia="zh-CN"/>
        </w:rPr>
        <w:t xml:space="preserve">    近年来，国家、行业和地方等陆续发布即食鲜切水果相关的标准中，国家制定并发布的《食品安全国家标准 即食鲜切果蔬加工卫生规范》（G</w:t>
      </w:r>
      <w:r>
        <w:rPr>
          <w:rFonts w:hint="default" w:ascii="仿宋" w:hAnsi="仿宋" w:eastAsia="仿宋"/>
          <w:sz w:val="32"/>
          <w:szCs w:val="32"/>
          <w:lang w:val="en-US" w:eastAsia="zh-CN"/>
        </w:rPr>
        <w:t>B 31652-2021）</w:t>
      </w:r>
      <w:r>
        <w:rPr>
          <w:rFonts w:hint="eastAsia" w:ascii="仿宋" w:hAnsi="仿宋" w:eastAsia="仿宋"/>
          <w:sz w:val="32"/>
          <w:szCs w:val="32"/>
          <w:lang w:val="en-US" w:eastAsia="zh-CN"/>
        </w:rPr>
        <w:t>中，对中央厨房或鲜切水果生产企业的即食鲜切水果加工卫生、加工技术、包装等相关环节以及经营者进行了相关的规范，在保证食品安全方面发挥了重要作用，但不适用于超市、专卖店、餐饮等现场制作即食鲜切水果。当前也仅有</w:t>
      </w:r>
      <w:r>
        <w:rPr>
          <w:rFonts w:hint="default" w:ascii="仿宋" w:hAnsi="仿宋" w:eastAsia="仿宋"/>
          <w:sz w:val="32"/>
          <w:szCs w:val="32"/>
          <w:lang w:val="en-US" w:eastAsia="zh-CN"/>
        </w:rPr>
        <w:t>重庆市</w:t>
      </w:r>
      <w:r>
        <w:rPr>
          <w:rFonts w:hint="eastAsia" w:ascii="仿宋" w:hAnsi="仿宋" w:eastAsia="仿宋"/>
          <w:sz w:val="32"/>
          <w:szCs w:val="32"/>
          <w:lang w:val="en-US" w:eastAsia="zh-CN"/>
        </w:rPr>
        <w:t>发布了1项地方标准</w:t>
      </w:r>
      <w:r>
        <w:rPr>
          <w:rFonts w:hint="default" w:ascii="仿宋" w:hAnsi="仿宋" w:eastAsia="仿宋"/>
          <w:sz w:val="32"/>
          <w:szCs w:val="32"/>
          <w:lang w:val="en-US" w:eastAsia="zh-CN"/>
        </w:rPr>
        <w:t>《</w:t>
      </w:r>
      <w:r>
        <w:rPr>
          <w:rFonts w:hint="default" w:ascii="仿宋" w:hAnsi="仿宋" w:eastAsia="仿宋"/>
          <w:sz w:val="32"/>
          <w:szCs w:val="32"/>
          <w:lang w:val="en-US" w:eastAsia="zh-CN"/>
        </w:rPr>
        <w:fldChar w:fldCharType="begin"/>
      </w:r>
      <w:r>
        <w:rPr>
          <w:rFonts w:hint="default" w:ascii="仿宋" w:hAnsi="仿宋" w:eastAsia="仿宋"/>
          <w:sz w:val="32"/>
          <w:szCs w:val="32"/>
          <w:lang w:val="en-US" w:eastAsia="zh-CN"/>
        </w:rPr>
        <w:instrText xml:space="preserve"> HYPERLINK "https://dbba.sacinfo.org.cn/stdDetail/b2c1557c367d196fad1d798276eb91134f5f9bb3509a221bacfbc7c89ecaa099" \t "_blank" </w:instrText>
      </w:r>
      <w:r>
        <w:rPr>
          <w:rFonts w:hint="default" w:ascii="仿宋" w:hAnsi="仿宋" w:eastAsia="仿宋"/>
          <w:sz w:val="32"/>
          <w:szCs w:val="32"/>
          <w:lang w:val="en-US" w:eastAsia="zh-CN"/>
        </w:rPr>
        <w:fldChar w:fldCharType="separate"/>
      </w:r>
      <w:r>
        <w:rPr>
          <w:rFonts w:hint="default" w:ascii="仿宋" w:hAnsi="仿宋" w:eastAsia="仿宋"/>
          <w:sz w:val="32"/>
          <w:szCs w:val="32"/>
          <w:lang w:val="en-US" w:eastAsia="zh-CN"/>
        </w:rPr>
        <w:t>即食鲜切水果经营规范</w:t>
      </w:r>
      <w:r>
        <w:rPr>
          <w:rFonts w:hint="default" w:ascii="仿宋" w:hAnsi="仿宋" w:eastAsia="仿宋"/>
          <w:sz w:val="32"/>
          <w:szCs w:val="32"/>
          <w:lang w:val="en-US" w:eastAsia="zh-CN"/>
        </w:rPr>
        <w:fldChar w:fldCharType="end"/>
      </w:r>
      <w:r>
        <w:rPr>
          <w:rFonts w:hint="default" w:ascii="仿宋" w:hAnsi="仿宋" w:eastAsia="仿宋"/>
          <w:sz w:val="32"/>
          <w:szCs w:val="32"/>
          <w:lang w:val="en-US" w:eastAsia="zh-CN"/>
        </w:rPr>
        <w:t>》（DB50/T 1535-2023），</w:t>
      </w:r>
      <w:r>
        <w:rPr>
          <w:rFonts w:hint="eastAsia" w:ascii="仿宋" w:hAnsi="仿宋" w:eastAsia="仿宋"/>
          <w:sz w:val="32"/>
          <w:szCs w:val="32"/>
          <w:lang w:val="en-US" w:eastAsia="zh-CN"/>
        </w:rPr>
        <w:t>其他省市尚未出台相关标准</w:t>
      </w:r>
      <w:r>
        <w:rPr>
          <w:rFonts w:hint="default" w:ascii="仿宋" w:hAnsi="仿宋" w:eastAsia="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目前，我省尚未对即食鲜切水果销售进行规范，如超市、水果专卖店、果切专卖店、便利店等食品经营实体店，以及通过互联网消费平台开展即食鲜切水果销售的经营者在开展自制现售即食鲜切水果加工和销售活动时容易存在原料质量差、以次充好、加工和包装环境简陋、产品标识不规范、产品质量参差不齐等问题，对食品安全构成潜在风险，对相应的监管工作提出了挑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为了针对即食鲜切水果这一新兴监管业态经营质量安全监管研究，明晰即食鲜切水果新兴业态质量安全监管，通过对即食鲜切水果经营质量安全监管研究，指导即食鲜切水果经营者不断规范自身在即食鲜切水果销售中的操作行为,增强消费者对于即食鲜切水果食品安全意识，降低即食鲜切水果食品安全风险隐患，高质量保障即食鲜切水果行业快速发展，特申请制定海南省地方标准《即食鲜切水果经营规范》，以标准技术手段规范经营环境、明确监管方向、塑造良好的消费风气、防范食品销售环节食品安全风险，全面提升我省即食鲜切水果监管能力和水平，守护好人民群众“舌尖上的安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因此，在新形式为了规范即食鲜切水果的经营行为，保障消费者的食品安全增强消费者信任。制定本经营服务规范一是</w:t>
      </w:r>
      <w:r>
        <w:rPr>
          <w:rFonts w:hint="default" w:ascii="仿宋" w:hAnsi="仿宋" w:eastAsia="仿宋"/>
          <w:sz w:val="32"/>
          <w:szCs w:val="32"/>
          <w:lang w:val="en-US" w:eastAsia="zh-CN"/>
        </w:rPr>
        <w:t>明确即食鲜切水果经营过程中的各项要求，确保水果的新鲜、卫生，降低食品安全风险，保护消费者的健康</w:t>
      </w:r>
      <w:r>
        <w:rPr>
          <w:rFonts w:hint="eastAsia" w:ascii="仿宋" w:hAnsi="仿宋" w:eastAsia="仿宋"/>
          <w:sz w:val="32"/>
          <w:szCs w:val="32"/>
          <w:lang w:val="en-US" w:eastAsia="zh-CN"/>
        </w:rPr>
        <w:t>；二是</w:t>
      </w:r>
      <w:r>
        <w:rPr>
          <w:rFonts w:hint="default" w:ascii="仿宋" w:hAnsi="仿宋" w:eastAsia="仿宋"/>
          <w:sz w:val="32"/>
          <w:szCs w:val="32"/>
          <w:lang w:val="en-US" w:eastAsia="zh-CN"/>
        </w:rPr>
        <w:t>为即食鲜切水果经营者提供统一的操作标准和管理规范，提高行业的整体水平，促进即食鲜切水果行业的健康发展</w:t>
      </w:r>
      <w:r>
        <w:rPr>
          <w:rFonts w:hint="eastAsia" w:ascii="仿宋" w:hAnsi="仿宋" w:eastAsia="仿宋"/>
          <w:sz w:val="32"/>
          <w:szCs w:val="32"/>
          <w:lang w:val="en-US" w:eastAsia="zh-CN"/>
        </w:rPr>
        <w:t>；三是</w:t>
      </w:r>
      <w:r>
        <w:rPr>
          <w:rFonts w:hint="default" w:ascii="仿宋" w:hAnsi="仿宋" w:eastAsia="仿宋"/>
          <w:sz w:val="32"/>
          <w:szCs w:val="32"/>
          <w:lang w:val="en-US" w:eastAsia="zh-CN"/>
        </w:rPr>
        <w:t>通过规范的制定和实施，提高即食鲜切水果的质量和安全性，增强消费者对即食鲜切水果的信任度，扩大市场需求。</w:t>
      </w:r>
    </w:p>
    <w:p>
      <w:pPr>
        <w:keepNext w:val="0"/>
        <w:keepLines w:val="0"/>
        <w:pageBreakBefore w:val="0"/>
        <w:widowControl w:val="0"/>
        <w:kinsoku/>
        <w:wordWrap/>
        <w:overflowPunct/>
        <w:topLinePunct w:val="0"/>
        <w:autoSpaceDE/>
        <w:autoSpaceDN/>
        <w:bidi w:val="0"/>
        <w:adjustRightInd/>
        <w:snapToGrid/>
        <w:ind w:firstLine="642" w:firstLineChars="200"/>
        <w:textAlignment w:val="auto"/>
        <w:rPr>
          <w:rFonts w:hint="eastAsia" w:ascii="楷体_GB2312" w:hAnsi="仿宋" w:eastAsia="楷体_GB2312"/>
          <w:b/>
          <w:sz w:val="32"/>
          <w:szCs w:val="32"/>
          <w:lang w:val="en-US" w:eastAsia="zh-CN"/>
        </w:rPr>
      </w:pPr>
      <w:r>
        <w:rPr>
          <w:rFonts w:hint="eastAsia" w:ascii="楷体_GB2312" w:hAnsi="仿宋" w:eastAsia="楷体_GB2312"/>
          <w:b/>
          <w:sz w:val="32"/>
          <w:szCs w:val="32"/>
          <w:lang w:val="en-US" w:eastAsia="zh-CN"/>
        </w:rPr>
        <w:t>（2）背景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 w:hAnsi="仿宋" w:eastAsiaTheme="minorEastAsia"/>
          <w:sz w:val="32"/>
          <w:szCs w:val="32"/>
          <w:lang w:val="en-US" w:eastAsia="zh-CN"/>
        </w:rPr>
      </w:pPr>
      <w:r>
        <w:rPr>
          <w:rFonts w:hint="eastAsia" w:ascii="仿宋" w:hAnsi="仿宋" w:eastAsia="仿宋"/>
          <w:sz w:val="32"/>
          <w:szCs w:val="32"/>
          <w:lang w:val="en-US" w:eastAsia="zh-CN"/>
        </w:rPr>
        <w:t>随着民众生活水平与健康意识的升级，消费者的饮食需求、饮食习惯正发生着快速的转变。追求营养、矿物质和维生素搭配的合理膳食已成为消费者的广泛共识。因一次性消费种类多、快捷方便等优势，年轻消费者越来越青睐于购买即食鲜切果蔬产品。但果蔬切分过程中，往往容易导致该类产品代谢加速、致病性微生物和食源性致病菌污染风险加剧，保质期显著短于未切分果实。随着我国即食鲜切果蔬产业快速发展，尤其是在国内的一二线大城市即食鲜切水果已经成为一种常见的水果消费形式，同时机关食堂、中央厨房、连锁店和大型超市等对即食鲜切水果的需求较大。目前，面对新环境的消费趋势，我省尚未在即食水果鲜切出台相关要求规范行业经营行为。为了进一步保障食品安全、规范经营行为、增强消费者信任，我省迫切起草</w:t>
      </w:r>
      <w:r>
        <w:rPr>
          <w:rFonts w:hint="default" w:ascii="仿宋" w:hAnsi="仿宋" w:eastAsia="仿宋"/>
          <w:sz w:val="32"/>
          <w:szCs w:val="32"/>
          <w:lang w:val="en-US" w:eastAsia="zh-CN"/>
        </w:rPr>
        <w:t>《</w:t>
      </w:r>
      <w:r>
        <w:rPr>
          <w:rFonts w:hint="default" w:ascii="仿宋" w:hAnsi="仿宋" w:eastAsia="仿宋"/>
          <w:sz w:val="32"/>
          <w:szCs w:val="32"/>
          <w:lang w:val="en-US" w:eastAsia="zh-CN"/>
        </w:rPr>
        <w:fldChar w:fldCharType="begin"/>
      </w:r>
      <w:r>
        <w:rPr>
          <w:rFonts w:hint="default" w:ascii="仿宋" w:hAnsi="仿宋" w:eastAsia="仿宋"/>
          <w:sz w:val="32"/>
          <w:szCs w:val="32"/>
          <w:lang w:val="en-US" w:eastAsia="zh-CN"/>
        </w:rPr>
        <w:instrText xml:space="preserve"> HYPERLINK "https://dbba.sacinfo.org.cn/stdDetail/b2c1557c367d196fad1d798276eb91134f5f9bb3509a221bacfbc7c89ecaa099" \t "_blank" </w:instrText>
      </w:r>
      <w:r>
        <w:rPr>
          <w:rFonts w:hint="default" w:ascii="仿宋" w:hAnsi="仿宋" w:eastAsia="仿宋"/>
          <w:sz w:val="32"/>
          <w:szCs w:val="32"/>
          <w:lang w:val="en-US" w:eastAsia="zh-CN"/>
        </w:rPr>
        <w:fldChar w:fldCharType="separate"/>
      </w:r>
      <w:r>
        <w:rPr>
          <w:rFonts w:hint="default" w:ascii="仿宋" w:hAnsi="仿宋" w:eastAsia="仿宋"/>
          <w:sz w:val="32"/>
          <w:szCs w:val="32"/>
          <w:lang w:val="en-US" w:eastAsia="zh-CN"/>
        </w:rPr>
        <w:t>即食鲜切水果经营</w:t>
      </w:r>
      <w:r>
        <w:rPr>
          <w:rFonts w:hint="eastAsia" w:ascii="仿宋" w:hAnsi="仿宋" w:eastAsia="仿宋"/>
          <w:sz w:val="32"/>
          <w:szCs w:val="32"/>
          <w:lang w:val="en-US" w:eastAsia="zh-CN"/>
        </w:rPr>
        <w:t>服务</w:t>
      </w:r>
      <w:r>
        <w:rPr>
          <w:rFonts w:hint="default" w:ascii="仿宋" w:hAnsi="仿宋" w:eastAsia="仿宋"/>
          <w:sz w:val="32"/>
          <w:szCs w:val="32"/>
          <w:lang w:val="en-US" w:eastAsia="zh-CN"/>
        </w:rPr>
        <w:t>规范</w:t>
      </w:r>
      <w:r>
        <w:rPr>
          <w:rFonts w:hint="default" w:ascii="仿宋" w:hAnsi="仿宋" w:eastAsia="仿宋"/>
          <w:sz w:val="32"/>
          <w:szCs w:val="32"/>
          <w:lang w:val="en-US" w:eastAsia="zh-CN"/>
        </w:rPr>
        <w:fldChar w:fldCharType="end"/>
      </w:r>
      <w:r>
        <w:rPr>
          <w:rFonts w:hint="default" w:ascii="仿宋" w:hAnsi="仿宋" w:eastAsia="仿宋"/>
          <w:sz w:val="32"/>
          <w:szCs w:val="32"/>
          <w:lang w:val="en-US" w:eastAsia="zh-CN"/>
        </w:rPr>
        <w:t>》</w:t>
      </w:r>
      <w:r>
        <w:rPr>
          <w:rFonts w:hint="eastAsia" w:ascii="仿宋" w:hAnsi="仿宋" w:eastAsia="仿宋"/>
          <w:sz w:val="32"/>
          <w:szCs w:val="32"/>
          <w:lang w:val="en-US" w:eastAsia="zh-CN"/>
        </w:rPr>
        <w:t>海南省地方标准。</w:t>
      </w:r>
    </w:p>
    <w:p>
      <w:pPr>
        <w:ind w:firstLine="642" w:firstLineChars="200"/>
        <w:rPr>
          <w:rFonts w:ascii="楷体_GB2312" w:hAnsi="仿宋" w:eastAsia="楷体_GB2312"/>
          <w:b/>
          <w:sz w:val="32"/>
          <w:szCs w:val="32"/>
        </w:rPr>
      </w:pPr>
      <w:r>
        <w:rPr>
          <w:rFonts w:hint="eastAsia" w:ascii="楷体_GB2312" w:hAnsi="仿宋" w:eastAsia="楷体_GB2312"/>
          <w:b/>
          <w:sz w:val="32"/>
          <w:szCs w:val="32"/>
        </w:rPr>
        <w:t>（二）编制过程简介</w:t>
      </w:r>
    </w:p>
    <w:p>
      <w:pPr>
        <w:pStyle w:val="12"/>
        <w:spacing w:line="560" w:lineRule="exact"/>
        <w:ind w:firstLine="560"/>
        <w:rPr>
          <w:rFonts w:hint="default"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sz w:val="32"/>
          <w:szCs w:val="32"/>
          <w:lang w:val="en-US" w:eastAsia="zh-CN"/>
        </w:rPr>
        <w:t>4</w:t>
      </w:r>
      <w:r>
        <w:rPr>
          <w:rFonts w:hint="eastAsia" w:ascii="仿宋" w:hAnsi="仿宋" w:eastAsia="仿宋"/>
          <w:sz w:val="32"/>
          <w:szCs w:val="32"/>
        </w:rPr>
        <w:t>月根据《地方标准管理办法》和《地方标准制修订工作程序》（DB46/T 74-2021）等要求</w:t>
      </w:r>
      <w:r>
        <w:rPr>
          <w:rFonts w:hint="eastAsia" w:ascii="仿宋" w:hAnsi="仿宋" w:eastAsia="仿宋"/>
          <w:sz w:val="32"/>
          <w:szCs w:val="32"/>
          <w:lang w:val="en-US" w:eastAsia="zh-CN"/>
        </w:rPr>
        <w:t>，</w:t>
      </w:r>
      <w:r>
        <w:rPr>
          <w:rFonts w:hint="eastAsia" w:ascii="仿宋" w:hAnsi="仿宋" w:eastAsia="仿宋"/>
          <w:sz w:val="32"/>
          <w:szCs w:val="32"/>
        </w:rPr>
        <w:t>海南省标准化协会</w:t>
      </w:r>
      <w:r>
        <w:rPr>
          <w:rFonts w:hint="eastAsia" w:ascii="仿宋" w:hAnsi="仿宋" w:eastAsia="仿宋"/>
          <w:sz w:val="32"/>
          <w:szCs w:val="32"/>
          <w:lang w:val="en-US" w:eastAsia="zh-CN"/>
        </w:rPr>
        <w:t xml:space="preserve">协同海南省市场监督管理局食品经营安全监督管理处召集专业技术人员成立标准编制小组、制定编制计划，由相关专业技术人员组成标准起草组。 </w:t>
      </w:r>
    </w:p>
    <w:p>
      <w:pPr>
        <w:autoSpaceDN w:val="0"/>
        <w:spacing w:line="480" w:lineRule="auto"/>
        <w:ind w:firstLine="642" w:firstLineChars="200"/>
        <w:rPr>
          <w:rFonts w:hint="eastAsia" w:ascii="仿宋" w:hAnsi="仿宋" w:eastAsia="仿宋"/>
          <w:b/>
          <w:sz w:val="32"/>
          <w:szCs w:val="32"/>
          <w:lang w:val="en-US" w:eastAsia="zh-CN"/>
        </w:rPr>
      </w:pPr>
      <w:r>
        <w:rPr>
          <w:rFonts w:hint="eastAsia" w:ascii="仿宋" w:hAnsi="仿宋" w:eastAsia="仿宋"/>
          <w:b/>
          <w:sz w:val="32"/>
          <w:szCs w:val="32"/>
          <w:lang w:val="en-US" w:eastAsia="zh-CN"/>
        </w:rPr>
        <w:t>（1）标准起草过程：</w:t>
      </w:r>
    </w:p>
    <w:p>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依据《中华人民共和国食品安全法》《食品经营许可管理办法》等相关法律法规，确保经营规范的合法性和合规性；参考相关的食品安全国家标准、行业标准和地方标准，如《食品安全国家标准 食品经营过程卫生规范》（GB 31621）等，保证经营规范的科学性和合理性。</w:t>
      </w:r>
    </w:p>
    <w:p>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2024年6月起草组广泛查阅和收集省内外相关资料和标准。起草组根据收集的材料，经过多次讨论，完成了标准工作组讨论稿。</w:t>
      </w:r>
      <w:bookmarkStart w:id="0" w:name="_GoBack"/>
      <w:bookmarkEnd w:id="0"/>
    </w:p>
    <w:p>
      <w:pPr>
        <w:numPr>
          <w:ilvl w:val="0"/>
          <w:numId w:val="2"/>
        </w:numPr>
        <w:autoSpaceDN w:val="0"/>
        <w:spacing w:line="480" w:lineRule="auto"/>
        <w:ind w:firstLine="642" w:firstLineChars="200"/>
        <w:rPr>
          <w:rFonts w:hint="eastAsia" w:ascii="仿宋" w:hAnsi="仿宋" w:eastAsia="仿宋"/>
          <w:b/>
          <w:sz w:val="32"/>
          <w:szCs w:val="32"/>
        </w:rPr>
      </w:pPr>
      <w:r>
        <w:rPr>
          <w:rFonts w:ascii="仿宋" w:hAnsi="仿宋" w:eastAsia="仿宋"/>
          <w:b/>
          <w:sz w:val="32"/>
          <w:szCs w:val="32"/>
        </w:rPr>
        <w:t>拟定初稿</w:t>
      </w:r>
      <w:r>
        <w:rPr>
          <w:rFonts w:hint="eastAsia" w:ascii="仿宋" w:hAnsi="仿宋" w:eastAsia="仿宋"/>
          <w:b/>
          <w:sz w:val="32"/>
          <w:szCs w:val="32"/>
        </w:rPr>
        <w:t>：</w:t>
      </w:r>
    </w:p>
    <w:p>
      <w:pPr>
        <w:autoSpaceDN w:val="0"/>
        <w:spacing w:line="480" w:lineRule="auto"/>
        <w:ind w:firstLine="640" w:firstLineChars="200"/>
        <w:rPr>
          <w:rFonts w:ascii="仿宋" w:hAnsi="仿宋" w:eastAsia="仿宋"/>
          <w:sz w:val="32"/>
          <w:szCs w:val="32"/>
        </w:rPr>
      </w:pPr>
      <w:r>
        <w:rPr>
          <w:rFonts w:ascii="仿宋" w:hAnsi="仿宋" w:eastAsia="仿宋"/>
          <w:sz w:val="32"/>
          <w:szCs w:val="32"/>
        </w:rPr>
        <w:t>标准起草人员组织相关专业技术人员和技术顾问讨论、总结及归纳，同时查阅了相关规定和国内标准进行论证，确定了该标准的适用范围、术语和定义</w:t>
      </w:r>
      <w:r>
        <w:rPr>
          <w:rFonts w:hint="eastAsia" w:ascii="仿宋" w:hAnsi="仿宋" w:eastAsia="仿宋"/>
          <w:sz w:val="32"/>
          <w:szCs w:val="32"/>
        </w:rPr>
        <w:t>、缩略语、总体要求、服务模型、服务方式</w:t>
      </w:r>
      <w:r>
        <w:rPr>
          <w:rFonts w:ascii="仿宋" w:hAnsi="仿宋" w:eastAsia="仿宋"/>
          <w:sz w:val="32"/>
          <w:szCs w:val="32"/>
        </w:rPr>
        <w:t>等内容，随之拟定了初稿。</w:t>
      </w:r>
      <w:r>
        <w:rPr>
          <w:rFonts w:hint="eastAsia" w:ascii="仿宋" w:hAnsi="仿宋" w:eastAsia="仿宋"/>
          <w:sz w:val="32"/>
          <w:szCs w:val="32"/>
        </w:rPr>
        <w:t>标准编制小组与省检验检测研究院技术人员多次召开标准讨论会，围绕本标准的编制情况展开讨论和研究，完成标准的征求意见稿和编制说明。</w:t>
      </w:r>
    </w:p>
    <w:p>
      <w:pPr>
        <w:ind w:firstLine="642" w:firstLineChars="200"/>
        <w:rPr>
          <w:rFonts w:ascii="楷体_GB2312" w:hAnsi="仿宋" w:eastAsia="楷体_GB2312"/>
          <w:b/>
          <w:sz w:val="32"/>
          <w:szCs w:val="32"/>
        </w:rPr>
      </w:pPr>
      <w:r>
        <w:rPr>
          <w:rFonts w:hint="eastAsia" w:ascii="楷体_GB2312" w:hAnsi="仿宋" w:eastAsia="楷体_GB2312"/>
          <w:b/>
          <w:sz w:val="32"/>
          <w:szCs w:val="32"/>
        </w:rPr>
        <w:t>（三）制定标准的原则和依据，与现行法律法规、标准的关系</w:t>
      </w:r>
    </w:p>
    <w:p>
      <w:pPr>
        <w:ind w:firstLine="642" w:firstLineChars="200"/>
        <w:rPr>
          <w:rFonts w:ascii="仿宋" w:hAnsi="仿宋" w:eastAsia="仿宋"/>
          <w:b/>
          <w:sz w:val="32"/>
          <w:szCs w:val="32"/>
        </w:rPr>
      </w:pPr>
      <w:r>
        <w:rPr>
          <w:rFonts w:hint="eastAsia" w:ascii="仿宋" w:hAnsi="仿宋" w:eastAsia="仿宋"/>
          <w:b/>
          <w:sz w:val="32"/>
          <w:szCs w:val="32"/>
        </w:rPr>
        <w:t>1、制定标准的原则</w:t>
      </w:r>
    </w:p>
    <w:p>
      <w:pPr>
        <w:ind w:firstLine="640" w:firstLineChars="200"/>
        <w:rPr>
          <w:rFonts w:ascii="仿宋" w:hAnsi="仿宋" w:eastAsia="仿宋"/>
          <w:sz w:val="32"/>
          <w:szCs w:val="32"/>
        </w:rPr>
      </w:pPr>
      <w:r>
        <w:rPr>
          <w:rFonts w:hint="eastAsia" w:ascii="仿宋" w:hAnsi="仿宋" w:eastAsia="仿宋"/>
          <w:sz w:val="32"/>
          <w:szCs w:val="32"/>
        </w:rPr>
        <w:t>制定标准主要遵循“</w:t>
      </w:r>
      <w:r>
        <w:rPr>
          <w:rFonts w:hint="eastAsia" w:ascii="仿宋" w:hAnsi="仿宋" w:eastAsia="仿宋"/>
          <w:sz w:val="32"/>
          <w:szCs w:val="32"/>
          <w:lang w:val="en-US" w:eastAsia="zh-CN"/>
        </w:rPr>
        <w:t>科学</w:t>
      </w:r>
      <w:r>
        <w:rPr>
          <w:rFonts w:hint="eastAsia" w:ascii="仿宋" w:hAnsi="仿宋" w:eastAsia="仿宋"/>
          <w:sz w:val="32"/>
          <w:szCs w:val="32"/>
        </w:rPr>
        <w:t>性、适用性、一致性、规范性</w:t>
      </w:r>
      <w:r>
        <w:rPr>
          <w:rFonts w:hint="eastAsia" w:ascii="仿宋" w:hAnsi="仿宋" w:eastAsia="仿宋"/>
          <w:sz w:val="32"/>
          <w:szCs w:val="32"/>
          <w:lang w:eastAsia="zh-CN"/>
        </w:rPr>
        <w:t>、</w:t>
      </w:r>
      <w:r>
        <w:rPr>
          <w:rFonts w:hint="eastAsia" w:ascii="仿宋" w:hAnsi="仿宋" w:eastAsia="仿宋"/>
          <w:sz w:val="32"/>
          <w:szCs w:val="32"/>
        </w:rPr>
        <w:t>协调性”的原则，尽可能与国际通行标准接轨，注重标准的可操作性。</w:t>
      </w:r>
    </w:p>
    <w:p>
      <w:pPr>
        <w:ind w:firstLine="642" w:firstLineChars="200"/>
        <w:rPr>
          <w:rFonts w:ascii="仿宋" w:hAnsi="仿宋" w:eastAsia="仿宋"/>
          <w:b/>
          <w:sz w:val="32"/>
          <w:szCs w:val="32"/>
        </w:rPr>
      </w:pPr>
      <w:r>
        <w:rPr>
          <w:rFonts w:hint="eastAsia" w:ascii="仿宋" w:hAnsi="仿宋" w:eastAsia="仿宋"/>
          <w:b/>
          <w:sz w:val="32"/>
          <w:szCs w:val="32"/>
        </w:rPr>
        <w:t>2、制定标准的依据</w:t>
      </w:r>
    </w:p>
    <w:p>
      <w:pPr>
        <w:ind w:firstLine="640" w:firstLineChars="200"/>
        <w:rPr>
          <w:rFonts w:ascii="仿宋" w:hAnsi="仿宋" w:eastAsia="仿宋"/>
          <w:sz w:val="32"/>
          <w:szCs w:val="32"/>
        </w:rPr>
      </w:pPr>
      <w:r>
        <w:rPr>
          <w:rFonts w:hint="eastAsia" w:ascii="仿宋" w:hAnsi="仿宋" w:eastAsia="仿宋"/>
          <w:sz w:val="32"/>
          <w:szCs w:val="32"/>
        </w:rPr>
        <w:t>标准编写按照相关国家标准的要求，如《标准化工作导则 第1 部分：标准的结构和编写》（GB/T1.1-2020），《地方标准制修订工作规范》（DB</w:t>
      </w:r>
      <w:r>
        <w:rPr>
          <w:rFonts w:ascii="仿宋" w:hAnsi="仿宋" w:eastAsia="仿宋"/>
          <w:sz w:val="32"/>
          <w:szCs w:val="32"/>
        </w:rPr>
        <w:t>46</w:t>
      </w:r>
      <w:r>
        <w:rPr>
          <w:rFonts w:hint="eastAsia" w:ascii="仿宋" w:hAnsi="仿宋" w:eastAsia="仿宋"/>
          <w:sz w:val="32"/>
          <w:szCs w:val="32"/>
        </w:rPr>
        <w:t xml:space="preserve">/T </w:t>
      </w:r>
      <w:r>
        <w:rPr>
          <w:rFonts w:ascii="仿宋" w:hAnsi="仿宋" w:eastAsia="仿宋"/>
          <w:sz w:val="32"/>
          <w:szCs w:val="32"/>
        </w:rPr>
        <w:t>74</w:t>
      </w:r>
      <w:r>
        <w:rPr>
          <w:rFonts w:hint="eastAsia" w:ascii="仿宋" w:hAnsi="仿宋" w:eastAsia="仿宋"/>
          <w:sz w:val="32"/>
          <w:szCs w:val="32"/>
        </w:rPr>
        <w:t>—202</w:t>
      </w:r>
      <w:r>
        <w:rPr>
          <w:rFonts w:ascii="仿宋" w:hAnsi="仿宋" w:eastAsia="仿宋"/>
          <w:sz w:val="32"/>
          <w:szCs w:val="32"/>
        </w:rPr>
        <w:t>1</w:t>
      </w:r>
      <w:r>
        <w:rPr>
          <w:rFonts w:hint="eastAsia" w:ascii="仿宋" w:hAnsi="仿宋" w:eastAsia="仿宋"/>
          <w:sz w:val="32"/>
          <w:szCs w:val="32"/>
        </w:rPr>
        <w:t>）等。</w:t>
      </w:r>
    </w:p>
    <w:p>
      <w:pPr>
        <w:ind w:firstLine="642" w:firstLineChars="200"/>
        <w:rPr>
          <w:rFonts w:ascii="仿宋_GB2312" w:hAnsi="仿宋" w:eastAsia="仿宋_GB2312"/>
          <w:b/>
          <w:sz w:val="32"/>
          <w:szCs w:val="32"/>
        </w:rPr>
      </w:pPr>
      <w:r>
        <w:rPr>
          <w:rFonts w:hint="eastAsia" w:ascii="仿宋_GB2312" w:hAnsi="仿宋" w:eastAsia="仿宋_GB2312"/>
          <w:b/>
          <w:sz w:val="32"/>
          <w:szCs w:val="32"/>
        </w:rPr>
        <w:t>（三）与有关的现行法律法规、标准的关系</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法律法规：依据《中华人民共和国食品安全法》《食品经营许可管理办法》等相关法律法规，确保经营规范的合法性和合规性。</w:t>
      </w:r>
    </w:p>
    <w:p>
      <w:pPr>
        <w:pStyle w:val="8"/>
        <w:keepNext w:val="0"/>
        <w:keepLines w:val="0"/>
        <w:widowControl/>
        <w:suppressLineNumbers w:val="0"/>
        <w:autoSpaceDE w:val="0"/>
        <w:autoSpaceDN w:val="0"/>
        <w:adjustRightInd/>
        <w:spacing w:before="0" w:beforeAutospacing="0" w:after="0" w:afterAutospacing="0" w:line="240" w:lineRule="auto"/>
        <w:ind w:left="0" w:right="0" w:firstLine="640" w:firstLineChars="200"/>
        <w:jc w:val="both"/>
        <w:rPr>
          <w:rFonts w:hint="eastAsia" w:ascii="仿宋" w:hAnsi="仿宋" w:eastAsia="仿宋"/>
          <w:sz w:val="32"/>
          <w:szCs w:val="32"/>
        </w:rPr>
      </w:pPr>
      <w:r>
        <w:rPr>
          <w:rFonts w:hint="eastAsia" w:ascii="仿宋" w:hAnsi="仿宋" w:eastAsia="仿宋"/>
          <w:sz w:val="32"/>
          <w:szCs w:val="32"/>
        </w:rPr>
        <w:t>2. 国家标准和行业标准：参考相关的食品安全国家标准、行业标准和地方标准，如《食品安全国家标准 食品经营过程卫生规范》（GB 31621）</w:t>
      </w:r>
      <w:r>
        <w:rPr>
          <w:rFonts w:hint="eastAsia" w:ascii="仿宋" w:hAnsi="仿宋" w:eastAsia="仿宋"/>
          <w:sz w:val="32"/>
          <w:szCs w:val="32"/>
          <w:lang w:eastAsia="zh-CN"/>
        </w:rPr>
        <w:t>、</w:t>
      </w:r>
      <w:r>
        <w:rPr>
          <w:rFonts w:hint="eastAsia" w:ascii="仿宋" w:hAnsi="仿宋" w:eastAsia="仿宋"/>
          <w:sz w:val="32"/>
          <w:szCs w:val="32"/>
        </w:rPr>
        <w:t>《</w:t>
      </w:r>
      <w:r>
        <w:rPr>
          <w:rFonts w:hint="eastAsia" w:ascii="仿宋" w:hAnsi="仿宋" w:eastAsia="仿宋"/>
          <w:sz w:val="32"/>
          <w:szCs w:val="32"/>
          <w:lang w:val="en-US" w:eastAsia="zh-CN"/>
        </w:rPr>
        <w:t>食品安全国家标准  即食鲜切水果加工卫生规范</w:t>
      </w:r>
      <w:r>
        <w:rPr>
          <w:rFonts w:hint="eastAsia" w:ascii="仿宋" w:hAnsi="仿宋" w:eastAsia="仿宋"/>
          <w:sz w:val="32"/>
          <w:szCs w:val="32"/>
        </w:rPr>
        <w:t xml:space="preserve">》（GB </w:t>
      </w:r>
      <w:r>
        <w:rPr>
          <w:rFonts w:hint="eastAsia" w:ascii="仿宋" w:hAnsi="仿宋" w:eastAsia="仿宋"/>
          <w:sz w:val="32"/>
          <w:szCs w:val="32"/>
          <w:lang w:val="en-US" w:eastAsia="zh-CN"/>
        </w:rPr>
        <w:t>31652</w:t>
      </w:r>
      <w:r>
        <w:rPr>
          <w:rFonts w:hint="eastAsia" w:ascii="仿宋" w:hAnsi="仿宋" w:eastAsia="仿宋"/>
          <w:sz w:val="32"/>
          <w:szCs w:val="32"/>
        </w:rPr>
        <w:t>）等，保证经营规范的科学性和合理性。</w:t>
      </w:r>
    </w:p>
    <w:p>
      <w:pPr>
        <w:ind w:firstLine="642" w:firstLineChars="200"/>
        <w:rPr>
          <w:rFonts w:ascii="仿宋" w:hAnsi="仿宋" w:eastAsia="仿宋"/>
          <w:b/>
          <w:sz w:val="32"/>
          <w:szCs w:val="32"/>
        </w:rPr>
      </w:pPr>
      <w:r>
        <w:rPr>
          <w:rFonts w:ascii="仿宋" w:hAnsi="仿宋" w:eastAsia="仿宋"/>
          <w:b/>
          <w:sz w:val="32"/>
          <w:szCs w:val="32"/>
        </w:rPr>
        <w:t>（四）主要条款的说明，主要技术指标、参数、试验验证的论述</w:t>
      </w:r>
    </w:p>
    <w:p>
      <w:pPr>
        <w:pStyle w:val="18"/>
        <w:ind w:firstLine="640"/>
        <w:rPr>
          <w:rFonts w:ascii="楷体_GB2312" w:hAnsi="宋体" w:eastAsia="楷体_GB2312"/>
          <w:b/>
          <w:bCs/>
          <w:sz w:val="32"/>
          <w:szCs w:val="32"/>
        </w:rPr>
      </w:pPr>
      <w:r>
        <w:rPr>
          <w:rFonts w:hint="eastAsia" w:ascii="楷体_GB2312" w:hAnsi="宋体" w:eastAsia="楷体_GB2312"/>
          <w:b/>
          <w:bCs/>
          <w:sz w:val="32"/>
          <w:szCs w:val="32"/>
        </w:rPr>
        <w:t>1.主要条款的说明、</w:t>
      </w:r>
      <w:r>
        <w:rPr>
          <w:rFonts w:hint="eastAsia" w:ascii="楷体_GB2312" w:hAnsi="宋体" w:eastAsia="楷体_GB2312"/>
          <w:b/>
          <w:bCs/>
          <w:kern w:val="2"/>
          <w:sz w:val="32"/>
          <w:szCs w:val="32"/>
        </w:rPr>
        <w:t>主要技术指标、参数</w:t>
      </w:r>
    </w:p>
    <w:p>
      <w:pPr>
        <w:pStyle w:val="8"/>
        <w:keepNext w:val="0"/>
        <w:keepLines w:val="0"/>
        <w:widowControl/>
        <w:suppressLineNumbers w:val="0"/>
        <w:autoSpaceDE w:val="0"/>
        <w:autoSpaceDN w:val="0"/>
        <w:adjustRightInd/>
        <w:spacing w:before="0" w:beforeAutospacing="0" w:after="0" w:afterAutospacing="0" w:line="240" w:lineRule="auto"/>
        <w:ind w:left="0" w:right="0" w:firstLine="640" w:firstLineChars="200"/>
        <w:jc w:val="both"/>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本文件规定了即食鲜切水果经营服务规范的术语和定义、主体资格、场所要求、原料要求、基本要求、标签、包装、贮存及配送要求、记录和档案管理等内容。</w:t>
      </w:r>
    </w:p>
    <w:p>
      <w:pPr>
        <w:ind w:firstLine="640" w:firstLineChars="200"/>
        <w:rPr>
          <w:rFonts w:hint="eastAsia" w:ascii="仿宋" w:hAnsi="仿宋" w:eastAsia="仿宋"/>
          <w:sz w:val="32"/>
          <w:szCs w:val="32"/>
        </w:rPr>
      </w:pPr>
      <w:r>
        <w:rPr>
          <w:rFonts w:hint="eastAsia" w:ascii="仿宋" w:hAnsi="仿宋" w:eastAsia="仿宋"/>
          <w:sz w:val="32"/>
          <w:szCs w:val="32"/>
        </w:rPr>
        <w:t>本文件适用于即食鲜切水果经营者或食用农产品销售者开展即食鲜切水果销售服务。通过网络交易平台销售的即食鲜切水果经营者可参照执行。</w:t>
      </w:r>
    </w:p>
    <w:p>
      <w:pPr>
        <w:ind w:firstLine="640" w:firstLineChars="200"/>
        <w:rPr>
          <w:rFonts w:hint="eastAsia" w:ascii="仿宋" w:hAnsi="仿宋" w:eastAsia="仿宋"/>
          <w:sz w:val="32"/>
          <w:szCs w:val="32"/>
        </w:rPr>
      </w:pPr>
      <w:r>
        <w:rPr>
          <w:rFonts w:hint="eastAsia" w:ascii="仿宋" w:hAnsi="仿宋" w:eastAsia="仿宋"/>
          <w:sz w:val="32"/>
          <w:szCs w:val="32"/>
        </w:rPr>
        <w:t>本文件不适用于即食鲜切水果生产加工企业，也不适用于销售环节添加酸奶、罐头食品和米浆等其它原材料或添加剂改变水果原有口味和保存方式的产品制作服务。</w:t>
      </w:r>
    </w:p>
    <w:p>
      <w:pPr>
        <w:ind w:firstLine="640" w:firstLineChars="200"/>
        <w:rPr>
          <w:rFonts w:hint="eastAsia" w:ascii="仿宋" w:hAnsi="仿宋" w:eastAsia="仿宋"/>
          <w:sz w:val="32"/>
          <w:szCs w:val="32"/>
        </w:rPr>
      </w:pPr>
      <w:r>
        <w:rPr>
          <w:rFonts w:hint="eastAsia" w:ascii="仿宋" w:hAnsi="仿宋" w:eastAsia="仿宋"/>
          <w:sz w:val="32"/>
          <w:szCs w:val="32"/>
        </w:rPr>
        <w:t>第1至3章分别给出了范围、规范性引用文件及术语和定义。</w:t>
      </w:r>
    </w:p>
    <w:p>
      <w:pPr>
        <w:ind w:firstLine="640" w:firstLineChars="200"/>
        <w:rPr>
          <w:rFonts w:hint="eastAsia" w:ascii="仿宋" w:hAnsi="仿宋" w:eastAsia="仿宋"/>
          <w:sz w:val="32"/>
          <w:szCs w:val="32"/>
          <w:lang w:eastAsia="zh-CN"/>
        </w:rPr>
      </w:pPr>
      <w:r>
        <w:rPr>
          <w:rFonts w:hint="eastAsia" w:ascii="仿宋" w:hAnsi="仿宋" w:eastAsia="仿宋"/>
          <w:sz w:val="32"/>
          <w:szCs w:val="32"/>
        </w:rPr>
        <w:t>第4章</w:t>
      </w:r>
      <w:r>
        <w:rPr>
          <w:rFonts w:hint="eastAsia" w:ascii="仿宋" w:hAnsi="仿宋" w:eastAsia="仿宋"/>
          <w:sz w:val="32"/>
          <w:szCs w:val="32"/>
          <w:lang w:eastAsia="zh-CN"/>
        </w:rPr>
        <w:t>明确了主体资格：即食鲜切水果经营者应取得有效的营业执照等合法主体资格。</w:t>
      </w:r>
    </w:p>
    <w:p>
      <w:pPr>
        <w:ind w:firstLine="640" w:firstLineChars="200"/>
        <w:rPr>
          <w:rFonts w:hint="eastAsia" w:ascii="仿宋" w:hAnsi="仿宋" w:eastAsia="仿宋"/>
          <w:sz w:val="32"/>
          <w:szCs w:val="32"/>
          <w:lang w:eastAsia="zh-CN"/>
        </w:rPr>
      </w:pPr>
      <w:r>
        <w:rPr>
          <w:rFonts w:hint="eastAsia" w:ascii="仿宋" w:hAnsi="仿宋" w:eastAsia="仿宋"/>
          <w:sz w:val="32"/>
          <w:szCs w:val="32"/>
        </w:rPr>
        <w:t>第5章</w:t>
      </w:r>
      <w:r>
        <w:rPr>
          <w:rFonts w:hint="eastAsia" w:ascii="仿宋" w:hAnsi="仿宋" w:eastAsia="仿宋"/>
          <w:sz w:val="32"/>
          <w:szCs w:val="32"/>
          <w:lang w:val="en-US" w:eastAsia="zh-CN"/>
        </w:rPr>
        <w:t>对场所进行明确要求</w:t>
      </w:r>
      <w:r>
        <w:rPr>
          <w:rFonts w:hint="eastAsia" w:ascii="仿宋" w:hAnsi="仿宋" w:eastAsia="仿宋"/>
          <w:sz w:val="32"/>
          <w:szCs w:val="32"/>
          <w:lang w:eastAsia="zh-CN"/>
        </w:rPr>
        <w:t>等。</w:t>
      </w:r>
    </w:p>
    <w:p>
      <w:pPr>
        <w:ind w:firstLine="640" w:firstLineChars="200"/>
        <w:rPr>
          <w:rFonts w:hint="eastAsia" w:ascii="仿宋" w:hAnsi="仿宋" w:eastAsia="仿宋"/>
          <w:sz w:val="32"/>
          <w:szCs w:val="32"/>
        </w:rPr>
      </w:pPr>
      <w:r>
        <w:rPr>
          <w:rFonts w:hint="eastAsia" w:ascii="仿宋" w:hAnsi="仿宋" w:eastAsia="仿宋"/>
          <w:sz w:val="32"/>
          <w:szCs w:val="32"/>
        </w:rPr>
        <w:t>第6</w:t>
      </w:r>
      <w:r>
        <w:rPr>
          <w:rFonts w:hint="eastAsia" w:ascii="仿宋" w:hAnsi="仿宋" w:eastAsia="仿宋"/>
          <w:sz w:val="32"/>
          <w:szCs w:val="32"/>
          <w:lang w:val="en-US" w:eastAsia="zh-CN"/>
        </w:rPr>
        <w:t>-7</w:t>
      </w:r>
      <w:r>
        <w:rPr>
          <w:rFonts w:hint="eastAsia" w:ascii="仿宋" w:hAnsi="仿宋" w:eastAsia="仿宋"/>
          <w:sz w:val="32"/>
          <w:szCs w:val="32"/>
        </w:rPr>
        <w:t>章规定了</w:t>
      </w:r>
      <w:r>
        <w:rPr>
          <w:rFonts w:hint="eastAsia" w:ascii="仿宋" w:hAnsi="仿宋" w:eastAsia="仿宋"/>
          <w:sz w:val="32"/>
          <w:szCs w:val="32"/>
          <w:lang w:val="en-US" w:eastAsia="zh-CN"/>
        </w:rPr>
        <w:t>原料要求和基本要求，对原料、人员、切分制作做了明确要求</w:t>
      </w:r>
      <w:r>
        <w:rPr>
          <w:rFonts w:hint="eastAsia" w:ascii="仿宋" w:hAnsi="仿宋" w:eastAsia="仿宋"/>
          <w:sz w:val="32"/>
          <w:szCs w:val="32"/>
        </w:rPr>
        <w:t>。</w:t>
      </w:r>
    </w:p>
    <w:p>
      <w:pPr>
        <w:ind w:firstLine="640" w:firstLineChars="200"/>
        <w:rPr>
          <w:rFonts w:hint="eastAsia" w:ascii="仿宋" w:hAnsi="仿宋" w:eastAsia="仿宋"/>
          <w:sz w:val="32"/>
          <w:szCs w:val="32"/>
        </w:rPr>
      </w:pPr>
      <w:r>
        <w:rPr>
          <w:rFonts w:hint="eastAsia" w:ascii="仿宋" w:hAnsi="仿宋" w:eastAsia="仿宋"/>
          <w:sz w:val="32"/>
          <w:szCs w:val="32"/>
        </w:rPr>
        <w:t>第</w:t>
      </w:r>
      <w:r>
        <w:rPr>
          <w:rFonts w:hint="eastAsia" w:ascii="仿宋" w:hAnsi="仿宋" w:eastAsia="仿宋"/>
          <w:sz w:val="32"/>
          <w:szCs w:val="32"/>
          <w:lang w:val="en-US" w:eastAsia="zh-CN"/>
        </w:rPr>
        <w:t>8</w:t>
      </w:r>
      <w:r>
        <w:rPr>
          <w:rFonts w:hint="eastAsia" w:ascii="仿宋" w:hAnsi="仿宋" w:eastAsia="仿宋"/>
          <w:sz w:val="32"/>
          <w:szCs w:val="32"/>
        </w:rPr>
        <w:t>章</w:t>
      </w:r>
      <w:r>
        <w:rPr>
          <w:rFonts w:hint="eastAsia" w:ascii="仿宋" w:hAnsi="仿宋" w:eastAsia="仿宋"/>
          <w:sz w:val="32"/>
          <w:szCs w:val="32"/>
          <w:lang w:eastAsia="zh-CN"/>
        </w:rPr>
        <w:t>对标签、包装、</w:t>
      </w:r>
      <w:r>
        <w:rPr>
          <w:rFonts w:hint="eastAsia" w:ascii="仿宋" w:hAnsi="仿宋" w:eastAsia="仿宋"/>
          <w:sz w:val="32"/>
          <w:szCs w:val="32"/>
          <w:lang w:val="en-US" w:eastAsia="zh-CN"/>
        </w:rPr>
        <w:t>贮存</w:t>
      </w:r>
      <w:r>
        <w:rPr>
          <w:rFonts w:hint="eastAsia" w:ascii="仿宋" w:hAnsi="仿宋" w:eastAsia="仿宋"/>
          <w:sz w:val="32"/>
          <w:szCs w:val="32"/>
          <w:lang w:eastAsia="zh-CN"/>
        </w:rPr>
        <w:t>及配送</w:t>
      </w:r>
      <w:r>
        <w:rPr>
          <w:rFonts w:hint="eastAsia" w:ascii="仿宋" w:hAnsi="仿宋" w:eastAsia="仿宋"/>
          <w:sz w:val="32"/>
          <w:szCs w:val="32"/>
          <w:lang w:val="en-US" w:eastAsia="zh-CN"/>
        </w:rPr>
        <w:t>同时做出了具体要求</w:t>
      </w:r>
      <w:r>
        <w:rPr>
          <w:rFonts w:hint="eastAsia" w:ascii="仿宋" w:hAnsi="仿宋" w:eastAsia="仿宋"/>
          <w:sz w:val="32"/>
          <w:szCs w:val="32"/>
        </w:rPr>
        <w:t>。</w:t>
      </w:r>
    </w:p>
    <w:p>
      <w:pPr>
        <w:ind w:firstLine="640" w:firstLineChars="200"/>
        <w:rPr>
          <w:rFonts w:hint="default" w:ascii="仿宋" w:hAnsi="仿宋" w:eastAsia="仿宋"/>
          <w:sz w:val="32"/>
          <w:szCs w:val="32"/>
          <w:lang w:val="en-US" w:eastAsia="zh-CN"/>
        </w:rPr>
      </w:pPr>
      <w:r>
        <w:rPr>
          <w:rFonts w:hint="eastAsia" w:ascii="仿宋" w:hAnsi="仿宋" w:eastAsia="仿宋"/>
          <w:sz w:val="32"/>
          <w:szCs w:val="32"/>
        </w:rPr>
        <w:t>第</w:t>
      </w:r>
      <w:r>
        <w:rPr>
          <w:rFonts w:hint="eastAsia" w:ascii="仿宋" w:hAnsi="仿宋" w:eastAsia="仿宋"/>
          <w:sz w:val="32"/>
          <w:szCs w:val="32"/>
          <w:lang w:val="en-US" w:eastAsia="zh-CN"/>
        </w:rPr>
        <w:t>9</w:t>
      </w:r>
      <w:r>
        <w:rPr>
          <w:rFonts w:hint="eastAsia" w:ascii="仿宋" w:hAnsi="仿宋" w:eastAsia="仿宋"/>
          <w:sz w:val="32"/>
          <w:szCs w:val="32"/>
        </w:rPr>
        <w:t>章</w:t>
      </w:r>
      <w:r>
        <w:rPr>
          <w:rFonts w:hint="eastAsia" w:ascii="仿宋" w:hAnsi="仿宋" w:eastAsia="仿宋"/>
          <w:sz w:val="32"/>
          <w:szCs w:val="32"/>
          <w:lang w:val="en-US" w:eastAsia="zh-CN"/>
        </w:rPr>
        <w:t>规定了记录和档案管理。</w:t>
      </w:r>
    </w:p>
    <w:p>
      <w:pPr>
        <w:ind w:firstLine="642" w:firstLineChars="200"/>
        <w:rPr>
          <w:rFonts w:ascii="仿宋" w:hAnsi="仿宋" w:eastAsia="仿宋"/>
          <w:b/>
          <w:sz w:val="32"/>
          <w:szCs w:val="32"/>
        </w:rPr>
      </w:pPr>
      <w:r>
        <w:rPr>
          <w:rFonts w:ascii="仿宋" w:hAnsi="仿宋" w:eastAsia="仿宋"/>
          <w:b/>
          <w:sz w:val="32"/>
          <w:szCs w:val="32"/>
        </w:rPr>
        <w:t>（五）标准中如果涉及专利，应有明确的知识产权说明</w:t>
      </w:r>
    </w:p>
    <w:p>
      <w:pPr>
        <w:ind w:firstLine="640" w:firstLineChars="200"/>
        <w:rPr>
          <w:rFonts w:ascii="仿宋" w:hAnsi="仿宋" w:eastAsia="仿宋"/>
          <w:sz w:val="32"/>
          <w:szCs w:val="32"/>
        </w:rPr>
      </w:pPr>
      <w:r>
        <w:rPr>
          <w:rFonts w:hint="eastAsia" w:ascii="仿宋" w:hAnsi="仿宋" w:eastAsia="仿宋"/>
          <w:sz w:val="32"/>
          <w:szCs w:val="32"/>
        </w:rPr>
        <w:t>本文件未涉及专利。</w:t>
      </w:r>
    </w:p>
    <w:p>
      <w:pPr>
        <w:ind w:firstLine="642" w:firstLineChars="200"/>
        <w:rPr>
          <w:rFonts w:ascii="仿宋" w:hAnsi="仿宋" w:eastAsia="仿宋"/>
          <w:b/>
          <w:sz w:val="32"/>
          <w:szCs w:val="32"/>
        </w:rPr>
      </w:pPr>
      <w:r>
        <w:rPr>
          <w:rFonts w:ascii="仿宋" w:hAnsi="仿宋" w:eastAsia="仿宋"/>
          <w:b/>
          <w:sz w:val="32"/>
          <w:szCs w:val="32"/>
        </w:rPr>
        <w:t>（六）采用国际标准或国外先进标准的，说明采标程度，以及国内外同类标准水平的对比情况</w:t>
      </w:r>
    </w:p>
    <w:p>
      <w:pPr>
        <w:ind w:firstLine="640" w:firstLineChars="200"/>
        <w:rPr>
          <w:rFonts w:ascii="仿宋" w:hAnsi="仿宋" w:eastAsia="仿宋"/>
          <w:sz w:val="32"/>
          <w:szCs w:val="32"/>
        </w:rPr>
      </w:pPr>
      <w:r>
        <w:rPr>
          <w:rFonts w:hint="eastAsia" w:ascii="仿宋" w:hAnsi="仿宋" w:eastAsia="仿宋"/>
          <w:sz w:val="32"/>
          <w:szCs w:val="32"/>
        </w:rPr>
        <w:t>未采用国际标准或国外先进标准。</w:t>
      </w:r>
    </w:p>
    <w:p>
      <w:pPr>
        <w:ind w:firstLine="642" w:firstLineChars="200"/>
        <w:rPr>
          <w:rFonts w:ascii="仿宋" w:hAnsi="仿宋" w:eastAsia="仿宋"/>
          <w:b/>
          <w:sz w:val="32"/>
          <w:szCs w:val="32"/>
        </w:rPr>
      </w:pPr>
      <w:r>
        <w:rPr>
          <w:rFonts w:ascii="仿宋" w:hAnsi="仿宋" w:eastAsia="仿宋"/>
          <w:b/>
          <w:sz w:val="32"/>
          <w:szCs w:val="32"/>
        </w:rPr>
        <w:t>（七）重大分歧意见的处理依据和结果</w:t>
      </w:r>
    </w:p>
    <w:p>
      <w:pPr>
        <w:ind w:firstLine="640" w:firstLineChars="200"/>
        <w:rPr>
          <w:rFonts w:ascii="仿宋" w:hAnsi="仿宋" w:eastAsia="仿宋"/>
          <w:sz w:val="32"/>
          <w:szCs w:val="32"/>
        </w:rPr>
      </w:pPr>
      <w:r>
        <w:rPr>
          <w:rFonts w:ascii="仿宋" w:hAnsi="仿宋" w:eastAsia="仿宋"/>
          <w:sz w:val="32"/>
          <w:szCs w:val="32"/>
        </w:rPr>
        <w:t>无</w:t>
      </w:r>
      <w:r>
        <w:rPr>
          <w:rFonts w:hint="eastAsia" w:ascii="仿宋" w:hAnsi="仿宋" w:eastAsia="仿宋"/>
          <w:sz w:val="32"/>
          <w:szCs w:val="32"/>
        </w:rPr>
        <w:t>。</w:t>
      </w:r>
    </w:p>
    <w:p>
      <w:pPr>
        <w:ind w:firstLine="642" w:firstLineChars="200"/>
        <w:rPr>
          <w:rFonts w:ascii="仿宋" w:hAnsi="仿宋" w:eastAsia="仿宋"/>
          <w:b/>
          <w:sz w:val="32"/>
          <w:szCs w:val="32"/>
        </w:rPr>
      </w:pPr>
      <w:r>
        <w:rPr>
          <w:rFonts w:ascii="仿宋" w:hAnsi="仿宋" w:eastAsia="仿宋"/>
          <w:b/>
          <w:sz w:val="32"/>
          <w:szCs w:val="32"/>
        </w:rPr>
        <w:t>（八）贯彻标准的要求和措施建议</w:t>
      </w:r>
    </w:p>
    <w:p>
      <w:pPr>
        <w:ind w:firstLine="640" w:firstLineChars="200"/>
        <w:rPr>
          <w:rFonts w:ascii="仿宋" w:hAnsi="仿宋" w:eastAsia="仿宋"/>
          <w:sz w:val="32"/>
          <w:szCs w:val="32"/>
        </w:rPr>
      </w:pPr>
      <w:r>
        <w:rPr>
          <w:rFonts w:hint="eastAsia" w:ascii="仿宋" w:hAnsi="仿宋" w:eastAsia="仿宋"/>
          <w:sz w:val="32"/>
          <w:szCs w:val="32"/>
        </w:rPr>
        <w:t>待本标准发布后，通过多种渠道和方式，对即食鲜切水果经营者和从业人员进行经营规范的宣传和培训，提高他们的食品安全意识和操作技能，确保规范的有效实施</w:t>
      </w:r>
      <w:r>
        <w:rPr>
          <w:rFonts w:hint="eastAsia" w:ascii="仿宋" w:hAnsi="仿宋" w:eastAsia="仿宋"/>
          <w:sz w:val="32"/>
          <w:szCs w:val="32"/>
          <w:lang w:eastAsia="zh-CN"/>
        </w:rPr>
        <w:t>；</w:t>
      </w:r>
      <w:r>
        <w:rPr>
          <w:rFonts w:hint="eastAsia" w:ascii="仿宋" w:hAnsi="仿宋" w:eastAsia="仿宋"/>
          <w:sz w:val="32"/>
          <w:szCs w:val="32"/>
        </w:rPr>
        <w:t>相关监管部门应加强对即食鲜切水果经营行为的监督检查，严厉查处违法违规行为，保障消费者的合法权益</w:t>
      </w:r>
      <w:r>
        <w:rPr>
          <w:rFonts w:hint="eastAsia" w:ascii="仿宋" w:hAnsi="仿宋" w:eastAsia="仿宋"/>
          <w:sz w:val="32"/>
          <w:szCs w:val="32"/>
          <w:lang w:eastAsia="zh-CN"/>
        </w:rPr>
        <w:t>；</w:t>
      </w:r>
      <w:r>
        <w:rPr>
          <w:rFonts w:hint="eastAsia" w:ascii="仿宋" w:hAnsi="仿宋" w:eastAsia="仿宋"/>
          <w:sz w:val="32"/>
          <w:szCs w:val="32"/>
        </w:rPr>
        <w:t>根据即食鲜切水果行业的发展和变化，及时对经营规范进行修订和完善，不断提高规范的科学性和适应性。</w:t>
      </w:r>
    </w:p>
    <w:p>
      <w:pPr>
        <w:tabs>
          <w:tab w:val="left" w:pos="2127"/>
        </w:tabs>
        <w:ind w:firstLine="642" w:firstLineChars="200"/>
        <w:rPr>
          <w:rFonts w:ascii="仿宋" w:hAnsi="仿宋" w:eastAsia="仿宋"/>
          <w:b/>
          <w:sz w:val="32"/>
          <w:szCs w:val="32"/>
        </w:rPr>
      </w:pPr>
      <w:r>
        <w:rPr>
          <w:rFonts w:ascii="仿宋" w:hAnsi="仿宋" w:eastAsia="仿宋"/>
          <w:b/>
          <w:sz w:val="32"/>
          <w:szCs w:val="32"/>
        </w:rPr>
        <w:t>（九）预期效果</w:t>
      </w:r>
    </w:p>
    <w:p>
      <w:pPr>
        <w:ind w:firstLine="640" w:firstLineChars="200"/>
        <w:rPr>
          <w:rFonts w:ascii="仿宋" w:hAnsi="仿宋" w:eastAsia="仿宋"/>
          <w:sz w:val="32"/>
          <w:szCs w:val="32"/>
        </w:rPr>
      </w:pPr>
      <w:r>
        <w:rPr>
          <w:rFonts w:hint="eastAsia" w:ascii="仿宋" w:hAnsi="仿宋" w:eastAsia="仿宋"/>
          <w:sz w:val="32"/>
          <w:szCs w:val="32"/>
        </w:rPr>
        <w:t>本标准实施</w:t>
      </w:r>
      <w:r>
        <w:rPr>
          <w:rFonts w:hint="eastAsia" w:ascii="仿宋" w:hAnsi="仿宋" w:eastAsia="仿宋"/>
          <w:sz w:val="32"/>
          <w:szCs w:val="32"/>
          <w:lang w:val="en-US" w:eastAsia="zh-CN"/>
        </w:rPr>
        <w:t>降低即食鲜切水果经营食品安全风险隐患，全面提升即食鲜切水果食品监管能力和水平，保障即食鲜切水果食品安全，守好人民群众“舌尖上的安全”。</w:t>
      </w:r>
    </w:p>
    <w:p>
      <w:pPr>
        <w:ind w:firstLine="642" w:firstLineChars="200"/>
        <w:rPr>
          <w:rFonts w:ascii="仿宋" w:hAnsi="仿宋" w:eastAsia="仿宋"/>
          <w:b/>
          <w:sz w:val="32"/>
          <w:szCs w:val="32"/>
        </w:rPr>
      </w:pPr>
      <w:r>
        <w:rPr>
          <w:rFonts w:ascii="仿宋" w:hAnsi="仿宋" w:eastAsia="仿宋"/>
          <w:b/>
          <w:sz w:val="32"/>
          <w:szCs w:val="32"/>
        </w:rPr>
        <w:t>（十）其他应予说明的事项</w:t>
      </w:r>
    </w:p>
    <w:p>
      <w:pPr>
        <w:ind w:firstLine="640" w:firstLineChars="200"/>
      </w:pPr>
      <w:r>
        <w:rPr>
          <w:rFonts w:ascii="仿宋" w:hAnsi="仿宋" w:eastAsia="仿宋"/>
          <w:sz w:val="32"/>
          <w:szCs w:val="32"/>
        </w:rPr>
        <w:t>无</w:t>
      </w:r>
      <w:r>
        <w:rPr>
          <w:rFonts w:hint="eastAsia" w:ascii="仿宋" w:hAnsi="仿宋" w:eastAsia="仿宋"/>
          <w:sz w:val="32"/>
          <w:szCs w:val="32"/>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华文中宋">
    <w:altName w:val="汉仪中宋简"/>
    <w:panose1 w:val="02010600040101010101"/>
    <w:charset w:val="86"/>
    <w:family w:val="auto"/>
    <w:pitch w:val="default"/>
    <w:sig w:usb0="00000000" w:usb1="0000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 w:name="汉仪中宋简">
    <w:panose1 w:val="02010600000101010101"/>
    <w:charset w:val="86"/>
    <w:family w:val="auto"/>
    <w:pitch w:val="default"/>
    <w:sig w:usb0="00000001" w:usb1="080E0800" w:usb2="00000002" w:usb3="00000000" w:csb0="00040000" w:csb1="00000000"/>
  </w:font>
  <w:font w:name="方正仿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3767155"/>
      <w:docPartObj>
        <w:docPartGallery w:val="autotext"/>
      </w:docPartObj>
    </w:sdtPr>
    <w:sdtContent>
      <w:p>
        <w:pPr>
          <w:pStyle w:val="6"/>
          <w:jc w:val="center"/>
        </w:pPr>
        <w:r>
          <w:fldChar w:fldCharType="begin"/>
        </w:r>
        <w:r>
          <w:instrText xml:space="preserve">PAGE   \* MERGEFORMAT</w:instrText>
        </w:r>
        <w:r>
          <w:fldChar w:fldCharType="separate"/>
        </w:r>
        <w:r>
          <w:rPr>
            <w:lang w:val="zh-CN"/>
          </w:rPr>
          <w:t>8</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13DA2B"/>
    <w:multiLevelType w:val="singleLevel"/>
    <w:tmpl w:val="6613DA2B"/>
    <w:lvl w:ilvl="0" w:tentative="0">
      <w:start w:val="2"/>
      <w:numFmt w:val="decimal"/>
      <w:suff w:val="nothing"/>
      <w:lvlText w:val="（%1）"/>
      <w:lvlJc w:val="left"/>
    </w:lvl>
  </w:abstractNum>
  <w:abstractNum w:abstractNumId="1">
    <w:nsid w:val="6CEA2025"/>
    <w:multiLevelType w:val="multilevel"/>
    <w:tmpl w:val="6CEA2025"/>
    <w:lvl w:ilvl="0" w:tentative="0">
      <w:start w:val="1"/>
      <w:numFmt w:val="none"/>
      <w:pStyle w:val="24"/>
      <w:suff w:val="nothing"/>
      <w:lvlText w:val="%1"/>
      <w:lvlJc w:val="left"/>
      <w:pPr>
        <w:ind w:left="0" w:firstLine="0"/>
      </w:pPr>
      <w:rPr>
        <w:rFonts w:hint="eastAsia"/>
      </w:rPr>
    </w:lvl>
    <w:lvl w:ilvl="1" w:tentative="0">
      <w:start w:val="1"/>
      <w:numFmt w:val="decimal"/>
      <w:pStyle w:val="22"/>
      <w:suff w:val="nothing"/>
      <w:lvlText w:val="%1%2　"/>
      <w:lvlJc w:val="left"/>
      <w:pPr>
        <w:ind w:left="0" w:firstLine="0"/>
      </w:pPr>
      <w:rPr>
        <w:rFonts w:hint="eastAsia" w:ascii="黑体" w:eastAsia="黑体"/>
        <w:b w:val="0"/>
        <w:i w:val="0"/>
        <w:sz w:val="21"/>
      </w:rPr>
    </w:lvl>
    <w:lvl w:ilvl="2" w:tentative="0">
      <w:start w:val="1"/>
      <w:numFmt w:val="decimal"/>
      <w:pStyle w:val="23"/>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7"/>
      <w:suff w:val="nothing"/>
      <w:lvlText w:val="%1%2.%3.%4　"/>
      <w:lvlJc w:val="left"/>
      <w:pPr>
        <w:ind w:left="0" w:firstLine="0"/>
      </w:pPr>
      <w:rPr>
        <w:rFonts w:hint="eastAsia" w:ascii="黑体" w:eastAsia="黑体"/>
        <w:b w:val="0"/>
        <w:i w:val="0"/>
        <w:sz w:val="21"/>
      </w:rPr>
    </w:lvl>
    <w:lvl w:ilvl="4" w:tentative="0">
      <w:start w:val="1"/>
      <w:numFmt w:val="decimal"/>
      <w:pStyle w:val="19"/>
      <w:suff w:val="nothing"/>
      <w:lvlText w:val="%1%2.%3.%4.%5　"/>
      <w:lvlJc w:val="left"/>
      <w:pPr>
        <w:ind w:left="0" w:firstLine="0"/>
      </w:pPr>
      <w:rPr>
        <w:rFonts w:hint="eastAsia" w:ascii="黑体" w:eastAsia="黑体"/>
        <w:b w:val="0"/>
        <w:i w:val="0"/>
        <w:sz w:val="21"/>
      </w:rPr>
    </w:lvl>
    <w:lvl w:ilvl="5" w:tentative="0">
      <w:start w:val="1"/>
      <w:numFmt w:val="decimal"/>
      <w:pStyle w:val="20"/>
      <w:suff w:val="nothing"/>
      <w:lvlText w:val="%1%2.%3.%4.%5.%6　"/>
      <w:lvlJc w:val="left"/>
      <w:pPr>
        <w:ind w:left="0" w:firstLine="0"/>
      </w:pPr>
      <w:rPr>
        <w:rFonts w:hint="eastAsia" w:ascii="黑体" w:eastAsia="黑体"/>
        <w:b w:val="0"/>
        <w:i w:val="0"/>
        <w:sz w:val="21"/>
      </w:rPr>
    </w:lvl>
    <w:lvl w:ilvl="6" w:tentative="0">
      <w:start w:val="1"/>
      <w:numFmt w:val="decimal"/>
      <w:pStyle w:val="21"/>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bordersDoNotSurroundHeader w:val="true"/>
  <w:bordersDoNotSurroundFooter w:val="true"/>
  <w:trackRevisions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mMTcwNmI4YjZkYzEyZjM4ZTg3NjJlN2YxZTAwZWYifQ=="/>
  </w:docVars>
  <w:rsids>
    <w:rsidRoot w:val="00EC2A36"/>
    <w:rsid w:val="000013FC"/>
    <w:rsid w:val="00007641"/>
    <w:rsid w:val="00014B5D"/>
    <w:rsid w:val="00022C1A"/>
    <w:rsid w:val="0003309E"/>
    <w:rsid w:val="00033B87"/>
    <w:rsid w:val="00053B30"/>
    <w:rsid w:val="000B50C2"/>
    <w:rsid w:val="000F1167"/>
    <w:rsid w:val="00110893"/>
    <w:rsid w:val="00110BE1"/>
    <w:rsid w:val="00122DCA"/>
    <w:rsid w:val="00125868"/>
    <w:rsid w:val="00130DA4"/>
    <w:rsid w:val="0015086E"/>
    <w:rsid w:val="001648BB"/>
    <w:rsid w:val="00180E3C"/>
    <w:rsid w:val="00190753"/>
    <w:rsid w:val="001A4138"/>
    <w:rsid w:val="001A6FE4"/>
    <w:rsid w:val="001B0471"/>
    <w:rsid w:val="001B3EDF"/>
    <w:rsid w:val="001C335B"/>
    <w:rsid w:val="001D078C"/>
    <w:rsid w:val="001D091E"/>
    <w:rsid w:val="001E42F4"/>
    <w:rsid w:val="001F39EF"/>
    <w:rsid w:val="00203602"/>
    <w:rsid w:val="00233BAE"/>
    <w:rsid w:val="00235AD2"/>
    <w:rsid w:val="00241C7B"/>
    <w:rsid w:val="00282FD9"/>
    <w:rsid w:val="00295CD6"/>
    <w:rsid w:val="002A206A"/>
    <w:rsid w:val="002B4E66"/>
    <w:rsid w:val="002C397D"/>
    <w:rsid w:val="002D02AC"/>
    <w:rsid w:val="002D08D2"/>
    <w:rsid w:val="002D6016"/>
    <w:rsid w:val="002E2158"/>
    <w:rsid w:val="002E328E"/>
    <w:rsid w:val="002F7B88"/>
    <w:rsid w:val="0030565A"/>
    <w:rsid w:val="00305CBF"/>
    <w:rsid w:val="00333D45"/>
    <w:rsid w:val="00350839"/>
    <w:rsid w:val="0036770D"/>
    <w:rsid w:val="00385F26"/>
    <w:rsid w:val="003B2C29"/>
    <w:rsid w:val="003B5C14"/>
    <w:rsid w:val="003B60AA"/>
    <w:rsid w:val="003F2DC0"/>
    <w:rsid w:val="003F532C"/>
    <w:rsid w:val="00430658"/>
    <w:rsid w:val="00430B28"/>
    <w:rsid w:val="00457733"/>
    <w:rsid w:val="00470684"/>
    <w:rsid w:val="00484A7A"/>
    <w:rsid w:val="004A6C5D"/>
    <w:rsid w:val="004E302D"/>
    <w:rsid w:val="004E7368"/>
    <w:rsid w:val="004F14B1"/>
    <w:rsid w:val="004F267A"/>
    <w:rsid w:val="00530797"/>
    <w:rsid w:val="005B0E8B"/>
    <w:rsid w:val="005C2B83"/>
    <w:rsid w:val="005D63C5"/>
    <w:rsid w:val="00621C9E"/>
    <w:rsid w:val="00624A63"/>
    <w:rsid w:val="00627933"/>
    <w:rsid w:val="00631653"/>
    <w:rsid w:val="00635980"/>
    <w:rsid w:val="00661158"/>
    <w:rsid w:val="00664AB6"/>
    <w:rsid w:val="00696441"/>
    <w:rsid w:val="006A1FF8"/>
    <w:rsid w:val="006F6CB6"/>
    <w:rsid w:val="00715401"/>
    <w:rsid w:val="00715DD1"/>
    <w:rsid w:val="00730E2F"/>
    <w:rsid w:val="0076117E"/>
    <w:rsid w:val="007B189C"/>
    <w:rsid w:val="007D5A8B"/>
    <w:rsid w:val="007D78C5"/>
    <w:rsid w:val="007E5586"/>
    <w:rsid w:val="00803E46"/>
    <w:rsid w:val="0081079C"/>
    <w:rsid w:val="00824242"/>
    <w:rsid w:val="00826E3D"/>
    <w:rsid w:val="00836642"/>
    <w:rsid w:val="00843AAA"/>
    <w:rsid w:val="0087448A"/>
    <w:rsid w:val="00882BBD"/>
    <w:rsid w:val="00884E1D"/>
    <w:rsid w:val="008A259D"/>
    <w:rsid w:val="008B6DE2"/>
    <w:rsid w:val="008E58A0"/>
    <w:rsid w:val="008F2119"/>
    <w:rsid w:val="008F3D2E"/>
    <w:rsid w:val="009029BE"/>
    <w:rsid w:val="00955C27"/>
    <w:rsid w:val="00990377"/>
    <w:rsid w:val="009A2B64"/>
    <w:rsid w:val="009A5186"/>
    <w:rsid w:val="009A6868"/>
    <w:rsid w:val="009E5025"/>
    <w:rsid w:val="00A067E2"/>
    <w:rsid w:val="00A10ACE"/>
    <w:rsid w:val="00A16352"/>
    <w:rsid w:val="00A5090A"/>
    <w:rsid w:val="00A62DE4"/>
    <w:rsid w:val="00A734FD"/>
    <w:rsid w:val="00A805A5"/>
    <w:rsid w:val="00A81CFD"/>
    <w:rsid w:val="00A90B22"/>
    <w:rsid w:val="00A90DF5"/>
    <w:rsid w:val="00AA6398"/>
    <w:rsid w:val="00AB4F85"/>
    <w:rsid w:val="00AC11AE"/>
    <w:rsid w:val="00AF50D0"/>
    <w:rsid w:val="00AF68C0"/>
    <w:rsid w:val="00B051CF"/>
    <w:rsid w:val="00B30630"/>
    <w:rsid w:val="00B507CA"/>
    <w:rsid w:val="00B55219"/>
    <w:rsid w:val="00B61EFA"/>
    <w:rsid w:val="00B7213D"/>
    <w:rsid w:val="00B74C89"/>
    <w:rsid w:val="00B77AB9"/>
    <w:rsid w:val="00B956A4"/>
    <w:rsid w:val="00B96837"/>
    <w:rsid w:val="00BA11D9"/>
    <w:rsid w:val="00BA26CC"/>
    <w:rsid w:val="00BA44F1"/>
    <w:rsid w:val="00BA6C7A"/>
    <w:rsid w:val="00BD14BD"/>
    <w:rsid w:val="00C000AA"/>
    <w:rsid w:val="00C11D55"/>
    <w:rsid w:val="00C27F63"/>
    <w:rsid w:val="00C362FD"/>
    <w:rsid w:val="00C652FC"/>
    <w:rsid w:val="00C65EEA"/>
    <w:rsid w:val="00C83187"/>
    <w:rsid w:val="00C9307E"/>
    <w:rsid w:val="00C96741"/>
    <w:rsid w:val="00CA1E6E"/>
    <w:rsid w:val="00CA2BB7"/>
    <w:rsid w:val="00CE0BBC"/>
    <w:rsid w:val="00CE45DD"/>
    <w:rsid w:val="00D317D6"/>
    <w:rsid w:val="00D3383A"/>
    <w:rsid w:val="00D35B13"/>
    <w:rsid w:val="00D57E70"/>
    <w:rsid w:val="00D77421"/>
    <w:rsid w:val="00D91550"/>
    <w:rsid w:val="00DA2257"/>
    <w:rsid w:val="00DC3628"/>
    <w:rsid w:val="00DC7906"/>
    <w:rsid w:val="00DE2E02"/>
    <w:rsid w:val="00DF05FC"/>
    <w:rsid w:val="00DF1241"/>
    <w:rsid w:val="00DF18CE"/>
    <w:rsid w:val="00E01AA0"/>
    <w:rsid w:val="00E25335"/>
    <w:rsid w:val="00E307FC"/>
    <w:rsid w:val="00E441C3"/>
    <w:rsid w:val="00E606F8"/>
    <w:rsid w:val="00E60807"/>
    <w:rsid w:val="00E617CD"/>
    <w:rsid w:val="00E6388A"/>
    <w:rsid w:val="00E64097"/>
    <w:rsid w:val="00E855E4"/>
    <w:rsid w:val="00E9121C"/>
    <w:rsid w:val="00EA5D63"/>
    <w:rsid w:val="00EB32F6"/>
    <w:rsid w:val="00EC2A36"/>
    <w:rsid w:val="00EE73B9"/>
    <w:rsid w:val="00F04B5B"/>
    <w:rsid w:val="00F20154"/>
    <w:rsid w:val="00F27A40"/>
    <w:rsid w:val="00F507CE"/>
    <w:rsid w:val="00F53E48"/>
    <w:rsid w:val="00F76DA0"/>
    <w:rsid w:val="00F9218A"/>
    <w:rsid w:val="00FA2249"/>
    <w:rsid w:val="00FC45BE"/>
    <w:rsid w:val="00FE6F61"/>
    <w:rsid w:val="07DE3F62"/>
    <w:rsid w:val="15F64E85"/>
    <w:rsid w:val="1B3D3DDC"/>
    <w:rsid w:val="247A50FB"/>
    <w:rsid w:val="29333F50"/>
    <w:rsid w:val="36F6462E"/>
    <w:rsid w:val="3EFEE49D"/>
    <w:rsid w:val="49CB5B82"/>
    <w:rsid w:val="4CB15087"/>
    <w:rsid w:val="4CE27936"/>
    <w:rsid w:val="4F2F2DE8"/>
    <w:rsid w:val="52A22178"/>
    <w:rsid w:val="541846A7"/>
    <w:rsid w:val="6B96396E"/>
    <w:rsid w:val="BA7B23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4">
    <w:name w:val="Document Map"/>
    <w:basedOn w:val="1"/>
    <w:link w:val="25"/>
    <w:semiHidden/>
    <w:unhideWhenUsed/>
    <w:qFormat/>
    <w:uiPriority w:val="99"/>
    <w:rPr>
      <w:rFonts w:ascii="宋体" w:eastAsia="宋体"/>
      <w:sz w:val="18"/>
      <w:szCs w:val="18"/>
    </w:rPr>
  </w:style>
  <w:style w:type="paragraph" w:styleId="5">
    <w:name w:val="Body Text"/>
    <w:basedOn w:val="1"/>
    <w:semiHidden/>
    <w:qFormat/>
    <w:uiPriority w:val="0"/>
    <w:rPr>
      <w:rFonts w:ascii="宋体" w:hAnsi="宋体" w:eastAsia="宋体" w:cs="宋体"/>
      <w:sz w:val="29"/>
      <w:szCs w:val="29"/>
      <w:lang w:val="en-US" w:eastAsia="en-US" w:bidi="ar-SA"/>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rPr>
      <w:sz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2">
    <w:name w:val="List Paragraph"/>
    <w:basedOn w:val="1"/>
    <w:qFormat/>
    <w:uiPriority w:val="34"/>
    <w:pPr>
      <w:ind w:firstLine="420" w:firstLineChars="200"/>
    </w:pPr>
  </w:style>
  <w:style w:type="character" w:customStyle="1" w:styleId="13">
    <w:name w:val="标题 1 Char"/>
    <w:basedOn w:val="11"/>
    <w:link w:val="2"/>
    <w:qFormat/>
    <w:uiPriority w:val="9"/>
    <w:rPr>
      <w:b/>
      <w:bCs/>
      <w:kern w:val="44"/>
      <w:sz w:val="44"/>
      <w:szCs w:val="44"/>
    </w:rPr>
  </w:style>
  <w:style w:type="character" w:customStyle="1" w:styleId="14">
    <w:name w:val="标题 2 Char"/>
    <w:basedOn w:val="11"/>
    <w:link w:val="3"/>
    <w:qFormat/>
    <w:uiPriority w:val="9"/>
    <w:rPr>
      <w:rFonts w:asciiTheme="majorHAnsi" w:hAnsiTheme="majorHAnsi" w:eastAsiaTheme="majorEastAsia" w:cstheme="majorBidi"/>
      <w:b/>
      <w:bCs/>
      <w:sz w:val="32"/>
      <w:szCs w:val="32"/>
    </w:rPr>
  </w:style>
  <w:style w:type="character" w:customStyle="1" w:styleId="15">
    <w:name w:val="页眉 Char"/>
    <w:basedOn w:val="11"/>
    <w:link w:val="7"/>
    <w:qFormat/>
    <w:uiPriority w:val="99"/>
    <w:rPr>
      <w:sz w:val="18"/>
      <w:szCs w:val="18"/>
    </w:rPr>
  </w:style>
  <w:style w:type="character" w:customStyle="1" w:styleId="16">
    <w:name w:val="页脚 Char"/>
    <w:basedOn w:val="11"/>
    <w:link w:val="6"/>
    <w:qFormat/>
    <w:uiPriority w:val="99"/>
    <w:rPr>
      <w:sz w:val="18"/>
      <w:szCs w:val="18"/>
    </w:rPr>
  </w:style>
  <w:style w:type="paragraph" w:customStyle="1" w:styleId="17">
    <w:name w:val="标准文件_二级条标题"/>
    <w:next w:val="18"/>
    <w:qFormat/>
    <w:uiPriority w:val="0"/>
    <w:pPr>
      <w:widowControl w:val="0"/>
      <w:numPr>
        <w:ilvl w:val="3"/>
        <w:numId w:val="1"/>
      </w:numPr>
      <w:spacing w:beforeLines="50" w:afterLines="50"/>
      <w:jc w:val="both"/>
      <w:outlineLvl w:val="2"/>
    </w:pPr>
    <w:rPr>
      <w:rFonts w:ascii="黑体" w:hAnsi="Times New Roman" w:eastAsia="黑体" w:cs="Times New Roman"/>
      <w:kern w:val="0"/>
      <w:sz w:val="21"/>
      <w:szCs w:val="20"/>
      <w:lang w:val="en-US" w:eastAsia="zh-CN" w:bidi="ar-SA"/>
    </w:rPr>
  </w:style>
  <w:style w:type="paragraph" w:customStyle="1" w:styleId="1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9">
    <w:name w:val="标准文件_三级条标题"/>
    <w:basedOn w:val="17"/>
    <w:next w:val="1"/>
    <w:qFormat/>
    <w:uiPriority w:val="0"/>
    <w:pPr>
      <w:widowControl/>
      <w:numPr>
        <w:ilvl w:val="4"/>
      </w:numPr>
      <w:outlineLvl w:val="3"/>
    </w:pPr>
  </w:style>
  <w:style w:type="paragraph" w:customStyle="1" w:styleId="20">
    <w:name w:val="标准文件_四级条标题"/>
    <w:next w:val="1"/>
    <w:qFormat/>
    <w:uiPriority w:val="0"/>
    <w:pPr>
      <w:widowControl w:val="0"/>
      <w:numPr>
        <w:ilvl w:val="5"/>
        <w:numId w:val="1"/>
      </w:numPr>
      <w:spacing w:beforeLines="50" w:afterLines="50"/>
      <w:jc w:val="both"/>
      <w:outlineLvl w:val="4"/>
    </w:pPr>
    <w:rPr>
      <w:rFonts w:ascii="黑体" w:hAnsi="Times New Roman" w:eastAsia="黑体" w:cs="Times New Roman"/>
      <w:kern w:val="0"/>
      <w:sz w:val="21"/>
      <w:szCs w:val="20"/>
      <w:lang w:val="en-US" w:eastAsia="zh-CN" w:bidi="ar-SA"/>
    </w:rPr>
  </w:style>
  <w:style w:type="paragraph" w:customStyle="1" w:styleId="21">
    <w:name w:val="标准文件_五级条标题"/>
    <w:next w:val="1"/>
    <w:qFormat/>
    <w:uiPriority w:val="0"/>
    <w:pPr>
      <w:widowControl w:val="0"/>
      <w:numPr>
        <w:ilvl w:val="6"/>
        <w:numId w:val="1"/>
      </w:numPr>
      <w:spacing w:beforeLines="50" w:afterLines="50"/>
      <w:jc w:val="both"/>
      <w:outlineLvl w:val="5"/>
    </w:pPr>
    <w:rPr>
      <w:rFonts w:ascii="黑体" w:hAnsi="Times New Roman" w:eastAsia="黑体" w:cs="Times New Roman"/>
      <w:kern w:val="0"/>
      <w:sz w:val="21"/>
      <w:szCs w:val="20"/>
      <w:lang w:val="en-US" w:eastAsia="zh-CN" w:bidi="ar-SA"/>
    </w:rPr>
  </w:style>
  <w:style w:type="paragraph" w:customStyle="1" w:styleId="22">
    <w:name w:val="标准文件_章标题"/>
    <w:next w:val="18"/>
    <w:qFormat/>
    <w:uiPriority w:val="0"/>
    <w:pPr>
      <w:numPr>
        <w:ilvl w:val="1"/>
        <w:numId w:val="1"/>
      </w:numPr>
      <w:spacing w:beforeLines="100" w:afterLines="100"/>
      <w:jc w:val="both"/>
      <w:outlineLvl w:val="0"/>
    </w:pPr>
    <w:rPr>
      <w:rFonts w:ascii="黑体" w:hAnsi="Times New Roman" w:eastAsia="黑体" w:cs="Times New Roman"/>
      <w:kern w:val="0"/>
      <w:sz w:val="21"/>
      <w:szCs w:val="20"/>
      <w:lang w:val="en-US" w:eastAsia="zh-CN" w:bidi="ar-SA"/>
    </w:rPr>
  </w:style>
  <w:style w:type="paragraph" w:customStyle="1" w:styleId="23">
    <w:name w:val="标准文件_一级条标题"/>
    <w:basedOn w:val="22"/>
    <w:next w:val="18"/>
    <w:qFormat/>
    <w:uiPriority w:val="0"/>
    <w:pPr>
      <w:numPr>
        <w:ilvl w:val="2"/>
      </w:numPr>
      <w:spacing w:beforeLines="50" w:afterLines="50"/>
      <w:outlineLvl w:val="1"/>
    </w:pPr>
  </w:style>
  <w:style w:type="paragraph" w:customStyle="1" w:styleId="24">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character" w:customStyle="1" w:styleId="25">
    <w:name w:val="文档结构图 Char"/>
    <w:basedOn w:val="11"/>
    <w:link w:val="4"/>
    <w:semiHidden/>
    <w:qFormat/>
    <w:uiPriority w:val="99"/>
    <w:rPr>
      <w:rFonts w:ascii="宋体" w:eastAsia="宋体"/>
      <w:sz w:val="18"/>
      <w:szCs w:val="18"/>
    </w:rPr>
  </w:style>
  <w:style w:type="character" w:customStyle="1" w:styleId="26">
    <w:name w:val="标准文件_段 Char"/>
    <w:basedOn w:val="11"/>
    <w:qFormat/>
    <w:uiPriority w:val="0"/>
    <w:rPr>
      <w:rFonts w:hint="eastAsia" w:ascii="宋体" w:hAnsi="Times New Roman" w:eastAsia="宋体" w:cs="宋体"/>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3492</Words>
  <Characters>3577</Characters>
  <Lines>28</Lines>
  <Paragraphs>7</Paragraphs>
  <TotalTime>1</TotalTime>
  <ScaleCrop>false</ScaleCrop>
  <LinksUpToDate>false</LinksUpToDate>
  <CharactersWithSpaces>3599</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2021-12-06T10:35:00Z</dcterms:created>
  <dc:creator>ASUS</dc:creator>
  <cp:lastModifiedBy>uos</cp:lastModifiedBy>
  <dcterms:modified xsi:type="dcterms:W3CDTF">2024-10-25T09:04:29Z</dcterms:modified>
  <dc:title>海南省地方标准</dc:title>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637891F88A954D9589C5872B25A195B0_13</vt:lpwstr>
  </property>
</Properties>
</file>