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D85D1">
      <w:pPr>
        <w:jc w:val="center"/>
        <w:rPr>
          <w:rFonts w:ascii="方正小标宋简体" w:eastAsia="方正小标宋简体"/>
          <w:sz w:val="44"/>
          <w:szCs w:val="44"/>
        </w:rPr>
      </w:pPr>
      <w:r>
        <w:rPr>
          <w:rFonts w:hint="eastAsia" w:ascii="方正小标宋简体" w:eastAsia="方正小标宋简体"/>
          <w:sz w:val="44"/>
          <w:szCs w:val="44"/>
        </w:rPr>
        <w:t>《法人和其他组织统一社会信用代码管理和应用规范》编制说明</w:t>
      </w:r>
    </w:p>
    <w:p w14:paraId="3F358821">
      <w:pPr>
        <w:pStyle w:val="3"/>
        <w:rPr>
          <w:rFonts w:ascii="黑体" w:hAnsi="黑体" w:eastAsia="黑体"/>
        </w:rPr>
      </w:pPr>
      <w:r>
        <w:rPr>
          <w:rFonts w:ascii="黑体" w:hAnsi="黑体" w:eastAsia="黑体"/>
        </w:rPr>
        <w:t>一、项目简况</w:t>
      </w:r>
    </w:p>
    <w:p w14:paraId="2882B5C8">
      <w:pPr>
        <w:ind w:firstLine="643" w:firstLineChars="200"/>
        <w:rPr>
          <w:rFonts w:hint="eastAsia" w:ascii="仿宋" w:hAnsi="仿宋" w:eastAsia="仿宋"/>
          <w:sz w:val="32"/>
          <w:szCs w:val="32"/>
        </w:rPr>
      </w:pPr>
      <w:r>
        <w:rPr>
          <w:rFonts w:ascii="仿宋" w:hAnsi="仿宋" w:eastAsia="仿宋"/>
          <w:b/>
          <w:sz w:val="32"/>
          <w:szCs w:val="32"/>
        </w:rPr>
        <w:t>（一）标准名称：</w:t>
      </w:r>
      <w:r>
        <w:rPr>
          <w:rFonts w:hint="eastAsia" w:ascii="仿宋" w:hAnsi="仿宋" w:eastAsia="仿宋"/>
          <w:sz w:val="32"/>
          <w:szCs w:val="32"/>
        </w:rPr>
        <w:t>《法人和其他组织统一社会信用代码管理和应用规范》</w:t>
      </w:r>
    </w:p>
    <w:p w14:paraId="2ECA18EC">
      <w:pPr>
        <w:ind w:firstLine="640" w:firstLineChars="200"/>
        <w:rPr>
          <w:rFonts w:ascii="仿宋" w:hAnsi="仿宋" w:eastAsia="仿宋"/>
          <w:sz w:val="32"/>
          <w:szCs w:val="32"/>
        </w:rPr>
      </w:pPr>
      <w:r>
        <w:rPr>
          <w:rFonts w:ascii="仿宋" w:hAnsi="仿宋" w:eastAsia="仿宋"/>
          <w:sz w:val="32"/>
          <w:szCs w:val="32"/>
        </w:rPr>
        <w:t>（</w:t>
      </w:r>
      <w:r>
        <w:rPr>
          <w:rFonts w:ascii="仿宋" w:hAnsi="仿宋" w:eastAsia="仿宋"/>
          <w:b/>
          <w:sz w:val="32"/>
          <w:szCs w:val="32"/>
        </w:rPr>
        <w:t>二）任务来源（项目计划号）：</w:t>
      </w:r>
      <w:r>
        <w:rPr>
          <w:rFonts w:hint="eastAsia" w:ascii="仿宋" w:hAnsi="仿宋" w:eastAsia="仿宋"/>
          <w:b/>
          <w:sz w:val="32"/>
          <w:szCs w:val="32"/>
        </w:rPr>
        <w:t> </w:t>
      </w:r>
      <w:r>
        <w:rPr>
          <w:rFonts w:hint="eastAsia" w:ascii="仿宋" w:hAnsi="仿宋" w:eastAsia="仿宋"/>
          <w:sz w:val="32"/>
          <w:szCs w:val="32"/>
        </w:rPr>
        <w:t>海南省2024年第三批地方标准制修订项目计划</w:t>
      </w:r>
    </w:p>
    <w:p w14:paraId="74E661BE">
      <w:pPr>
        <w:ind w:firstLine="643" w:firstLineChars="200"/>
        <w:rPr>
          <w:rFonts w:ascii="仿宋" w:hAnsi="仿宋" w:eastAsia="仿宋"/>
          <w:sz w:val="32"/>
          <w:szCs w:val="32"/>
        </w:rPr>
      </w:pPr>
      <w:r>
        <w:rPr>
          <w:rFonts w:ascii="仿宋" w:hAnsi="仿宋" w:eastAsia="仿宋"/>
          <w:b/>
          <w:sz w:val="32"/>
          <w:szCs w:val="32"/>
        </w:rPr>
        <w:t>（三）起草单位：</w:t>
      </w:r>
      <w:r>
        <w:rPr>
          <w:rFonts w:hint="eastAsia" w:ascii="仿宋" w:hAnsi="仿宋" w:eastAsia="仿宋"/>
          <w:sz w:val="32"/>
          <w:szCs w:val="32"/>
        </w:rPr>
        <w:t>海南省市场监督管理局</w:t>
      </w:r>
    </w:p>
    <w:p w14:paraId="0EE83E9A">
      <w:pPr>
        <w:ind w:firstLine="643" w:firstLineChars="200"/>
        <w:rPr>
          <w:rFonts w:ascii="仿宋" w:hAnsi="仿宋" w:eastAsia="仿宋"/>
          <w:sz w:val="32"/>
          <w:szCs w:val="32"/>
        </w:rPr>
      </w:pPr>
      <w:r>
        <w:rPr>
          <w:rFonts w:ascii="仿宋" w:hAnsi="仿宋" w:eastAsia="仿宋"/>
          <w:b/>
          <w:sz w:val="32"/>
          <w:szCs w:val="32"/>
        </w:rPr>
        <w:t>（四）单位地址：</w:t>
      </w:r>
      <w:r>
        <w:rPr>
          <w:rFonts w:hint="eastAsia" w:ascii="仿宋" w:hAnsi="仿宋" w:eastAsia="仿宋"/>
          <w:sz w:val="32"/>
          <w:szCs w:val="32"/>
        </w:rPr>
        <w:t>海口市美兰区海府路</w:t>
      </w:r>
    </w:p>
    <w:p w14:paraId="48F4CFD0">
      <w:pPr>
        <w:ind w:firstLine="643" w:firstLineChars="200"/>
        <w:rPr>
          <w:rFonts w:ascii="仿宋" w:hAnsi="仿宋" w:eastAsia="仿宋"/>
          <w:b/>
          <w:sz w:val="32"/>
          <w:szCs w:val="32"/>
        </w:rPr>
      </w:pPr>
      <w:r>
        <w:rPr>
          <w:rFonts w:ascii="仿宋" w:hAnsi="仿宋" w:eastAsia="仿宋"/>
          <w:b/>
          <w:sz w:val="32"/>
          <w:szCs w:val="32"/>
        </w:rPr>
        <w:t>（五）参与起草单位：</w:t>
      </w:r>
    </w:p>
    <w:p w14:paraId="3B44E49C">
      <w:pPr>
        <w:ind w:firstLine="640" w:firstLineChars="200"/>
        <w:rPr>
          <w:rFonts w:ascii="仿宋" w:hAnsi="仿宋" w:eastAsia="仿宋"/>
          <w:sz w:val="32"/>
          <w:szCs w:val="32"/>
        </w:rPr>
      </w:pPr>
      <w:r>
        <w:rPr>
          <w:rFonts w:hint="eastAsia" w:ascii="仿宋" w:hAnsi="仿宋" w:eastAsia="仿宋"/>
          <w:sz w:val="32"/>
          <w:szCs w:val="32"/>
        </w:rPr>
        <w:t>海南省检验检测研究院、海南省标准化协会</w:t>
      </w:r>
    </w:p>
    <w:p w14:paraId="4B30FD3E">
      <w:pPr>
        <w:ind w:firstLine="643" w:firstLineChars="200"/>
        <w:rPr>
          <w:rFonts w:ascii="仿宋" w:hAnsi="仿宋" w:eastAsia="仿宋"/>
          <w:b/>
          <w:sz w:val="32"/>
          <w:szCs w:val="32"/>
        </w:rPr>
      </w:pPr>
      <w:r>
        <w:rPr>
          <w:rFonts w:ascii="仿宋" w:hAnsi="仿宋" w:eastAsia="仿宋"/>
          <w:b/>
          <w:sz w:val="32"/>
          <w:szCs w:val="32"/>
        </w:rPr>
        <w:t>（六）标准起草人：</w:t>
      </w:r>
    </w:p>
    <w:p w14:paraId="04EFD305">
      <w:pPr>
        <w:jc w:val="center"/>
        <w:rPr>
          <w:rFonts w:ascii="黑体" w:hAnsi="黑体" w:eastAsia="黑体" w:cs="黑体"/>
          <w:b/>
          <w:bCs/>
          <w:color w:val="000000"/>
          <w:sz w:val="28"/>
          <w:szCs w:val="28"/>
        </w:rPr>
      </w:pPr>
      <w:r>
        <w:rPr>
          <w:rFonts w:hint="eastAsia" w:ascii="黑体" w:hAnsi="黑体" w:eastAsia="黑体" w:cs="黑体"/>
          <w:b/>
          <w:bCs/>
          <w:color w:val="000000"/>
          <w:sz w:val="28"/>
          <w:szCs w:val="28"/>
        </w:rPr>
        <w:t>表1 标准起草人</w:t>
      </w:r>
    </w:p>
    <w:tbl>
      <w:tblPr>
        <w:tblStyle w:val="7"/>
        <w:tblpPr w:leftFromText="180" w:rightFromText="180" w:vertAnchor="text" w:horzAnchor="page" w:tblpXSpec="center" w:tblpY="62"/>
        <w:tblOverlap w:val="never"/>
        <w:tblW w:w="10044"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635"/>
        <w:gridCol w:w="1005"/>
        <w:gridCol w:w="2700"/>
        <w:gridCol w:w="1457"/>
        <w:gridCol w:w="2992"/>
        <w:gridCol w:w="1255"/>
      </w:tblGrid>
      <w:tr w14:paraId="72FF3CD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bottom w:val="single" w:color="auto" w:sz="4" w:space="0"/>
              <w:right w:val="single" w:color="auto" w:sz="4" w:space="0"/>
            </w:tcBorders>
            <w:vAlign w:val="center"/>
          </w:tcPr>
          <w:p w14:paraId="15748937">
            <w:pPr>
              <w:jc w:val="center"/>
              <w:rPr>
                <w:rFonts w:ascii="仿宋" w:hAnsi="仿宋" w:eastAsia="仿宋"/>
                <w:sz w:val="24"/>
                <w:szCs w:val="24"/>
              </w:rPr>
            </w:pPr>
            <w:r>
              <w:rPr>
                <w:rFonts w:ascii="仿宋" w:hAnsi="仿宋" w:eastAsia="仿宋"/>
                <w:sz w:val="24"/>
                <w:szCs w:val="24"/>
              </w:rPr>
              <w:t>序号</w:t>
            </w:r>
          </w:p>
        </w:tc>
        <w:tc>
          <w:tcPr>
            <w:tcW w:w="1005" w:type="dxa"/>
            <w:tcBorders>
              <w:left w:val="nil"/>
              <w:bottom w:val="single" w:color="auto" w:sz="4" w:space="0"/>
              <w:right w:val="single" w:color="auto" w:sz="4" w:space="0"/>
            </w:tcBorders>
            <w:vAlign w:val="center"/>
          </w:tcPr>
          <w:p w14:paraId="21F92C09">
            <w:pPr>
              <w:jc w:val="center"/>
              <w:rPr>
                <w:rFonts w:ascii="仿宋" w:hAnsi="仿宋" w:eastAsia="仿宋"/>
                <w:sz w:val="24"/>
                <w:szCs w:val="24"/>
              </w:rPr>
            </w:pPr>
            <w:r>
              <w:rPr>
                <w:rFonts w:ascii="仿宋" w:hAnsi="仿宋" w:eastAsia="仿宋"/>
                <w:sz w:val="24"/>
                <w:szCs w:val="24"/>
              </w:rPr>
              <w:t>姓名</w:t>
            </w:r>
          </w:p>
        </w:tc>
        <w:tc>
          <w:tcPr>
            <w:tcW w:w="2700" w:type="dxa"/>
            <w:tcBorders>
              <w:left w:val="nil"/>
              <w:bottom w:val="single" w:color="auto" w:sz="4" w:space="0"/>
              <w:right w:val="single" w:color="auto" w:sz="4" w:space="0"/>
            </w:tcBorders>
            <w:vAlign w:val="center"/>
          </w:tcPr>
          <w:p w14:paraId="143491F6">
            <w:pPr>
              <w:jc w:val="center"/>
              <w:rPr>
                <w:rFonts w:ascii="仿宋" w:hAnsi="仿宋" w:eastAsia="仿宋"/>
                <w:sz w:val="24"/>
                <w:szCs w:val="24"/>
              </w:rPr>
            </w:pPr>
            <w:r>
              <w:rPr>
                <w:rFonts w:ascii="仿宋" w:hAnsi="仿宋" w:eastAsia="仿宋"/>
                <w:sz w:val="24"/>
                <w:szCs w:val="24"/>
              </w:rPr>
              <w:t>单位</w:t>
            </w:r>
          </w:p>
        </w:tc>
        <w:tc>
          <w:tcPr>
            <w:tcW w:w="1457" w:type="dxa"/>
            <w:tcBorders>
              <w:left w:val="nil"/>
              <w:bottom w:val="single" w:color="auto" w:sz="4" w:space="0"/>
              <w:right w:val="single" w:color="auto" w:sz="4" w:space="0"/>
            </w:tcBorders>
            <w:vAlign w:val="center"/>
          </w:tcPr>
          <w:p w14:paraId="0DB763A9">
            <w:pPr>
              <w:jc w:val="center"/>
              <w:rPr>
                <w:rFonts w:ascii="仿宋" w:hAnsi="仿宋" w:eastAsia="仿宋"/>
                <w:sz w:val="24"/>
                <w:szCs w:val="24"/>
              </w:rPr>
            </w:pPr>
            <w:r>
              <w:rPr>
                <w:rFonts w:ascii="仿宋" w:hAnsi="仿宋" w:eastAsia="仿宋"/>
                <w:sz w:val="24"/>
                <w:szCs w:val="24"/>
              </w:rPr>
              <w:t>职务</w:t>
            </w:r>
          </w:p>
        </w:tc>
        <w:tc>
          <w:tcPr>
            <w:tcW w:w="2992" w:type="dxa"/>
            <w:tcBorders>
              <w:left w:val="nil"/>
              <w:bottom w:val="single" w:color="auto" w:sz="4" w:space="0"/>
              <w:right w:val="single" w:color="auto" w:sz="4" w:space="0"/>
            </w:tcBorders>
            <w:vAlign w:val="center"/>
          </w:tcPr>
          <w:p w14:paraId="5D40009C">
            <w:pPr>
              <w:jc w:val="center"/>
              <w:rPr>
                <w:rFonts w:ascii="仿宋" w:hAnsi="仿宋" w:eastAsia="仿宋"/>
                <w:sz w:val="24"/>
                <w:szCs w:val="24"/>
              </w:rPr>
            </w:pPr>
            <w:r>
              <w:rPr>
                <w:rFonts w:hint="eastAsia" w:ascii="仿宋" w:hAnsi="仿宋" w:eastAsia="仿宋"/>
                <w:sz w:val="24"/>
                <w:szCs w:val="24"/>
              </w:rPr>
              <w:t>任务分工</w:t>
            </w:r>
          </w:p>
        </w:tc>
        <w:tc>
          <w:tcPr>
            <w:tcW w:w="1255" w:type="dxa"/>
            <w:tcBorders>
              <w:left w:val="nil"/>
              <w:bottom w:val="single" w:color="auto" w:sz="4" w:space="0"/>
            </w:tcBorders>
            <w:vAlign w:val="center"/>
          </w:tcPr>
          <w:p w14:paraId="796EF2EF">
            <w:pPr>
              <w:jc w:val="center"/>
              <w:rPr>
                <w:rFonts w:ascii="宋体" w:hAnsi="宋体"/>
                <w:sz w:val="24"/>
                <w:szCs w:val="24"/>
              </w:rPr>
            </w:pPr>
            <w:r>
              <w:rPr>
                <w:rFonts w:hint="eastAsia" w:ascii="宋体" w:hAnsi="宋体"/>
                <w:color w:val="000000"/>
                <w:sz w:val="24"/>
                <w:szCs w:val="24"/>
              </w:rPr>
              <w:t>联系方式</w:t>
            </w:r>
          </w:p>
        </w:tc>
      </w:tr>
      <w:tr w14:paraId="6735614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top w:val="nil"/>
              <w:bottom w:val="single" w:color="auto" w:sz="4" w:space="0"/>
              <w:right w:val="single" w:color="auto" w:sz="4" w:space="0"/>
            </w:tcBorders>
            <w:vAlign w:val="center"/>
          </w:tcPr>
          <w:p w14:paraId="1C3343FB">
            <w:pPr>
              <w:jc w:val="center"/>
              <w:rPr>
                <w:rFonts w:ascii="仿宋" w:hAnsi="仿宋" w:eastAsia="仿宋"/>
                <w:sz w:val="24"/>
                <w:szCs w:val="24"/>
              </w:rPr>
            </w:pPr>
            <w:r>
              <w:rPr>
                <w:rFonts w:hint="eastAsia" w:ascii="仿宋" w:hAnsi="仿宋" w:eastAsia="仿宋"/>
                <w:sz w:val="24"/>
                <w:szCs w:val="24"/>
              </w:rPr>
              <w:t>1</w:t>
            </w:r>
          </w:p>
        </w:tc>
        <w:tc>
          <w:tcPr>
            <w:tcW w:w="1005" w:type="dxa"/>
            <w:tcBorders>
              <w:top w:val="nil"/>
              <w:left w:val="nil"/>
              <w:bottom w:val="single" w:color="auto" w:sz="4" w:space="0"/>
              <w:right w:val="single" w:color="auto" w:sz="4" w:space="0"/>
            </w:tcBorders>
            <w:shd w:val="clear" w:color="auto" w:fill="auto"/>
            <w:vAlign w:val="center"/>
          </w:tcPr>
          <w:p w14:paraId="58909FB5">
            <w:pPr>
              <w:jc w:val="center"/>
              <w:rPr>
                <w:rFonts w:hint="default"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杨俊斌</w:t>
            </w:r>
          </w:p>
        </w:tc>
        <w:tc>
          <w:tcPr>
            <w:tcW w:w="2700" w:type="dxa"/>
            <w:tcBorders>
              <w:top w:val="single" w:color="auto" w:sz="4" w:space="0"/>
              <w:left w:val="nil"/>
              <w:bottom w:val="single" w:color="auto" w:sz="4" w:space="0"/>
              <w:right w:val="single" w:color="auto" w:sz="4" w:space="0"/>
            </w:tcBorders>
            <w:shd w:val="clear" w:color="auto" w:fill="auto"/>
            <w:vAlign w:val="center"/>
          </w:tcPr>
          <w:p w14:paraId="628AD859">
            <w:pPr>
              <w:rPr>
                <w:rFonts w:hint="default"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海南省检验检测研究院</w:t>
            </w:r>
          </w:p>
        </w:tc>
        <w:tc>
          <w:tcPr>
            <w:tcW w:w="1457" w:type="dxa"/>
            <w:tcBorders>
              <w:top w:val="single" w:color="auto" w:sz="4" w:space="0"/>
              <w:left w:val="nil"/>
              <w:bottom w:val="single" w:color="auto" w:sz="4" w:space="0"/>
              <w:right w:val="single" w:color="auto" w:sz="4" w:space="0"/>
            </w:tcBorders>
            <w:shd w:val="clear" w:color="auto" w:fill="auto"/>
            <w:vAlign w:val="center"/>
          </w:tcPr>
          <w:p w14:paraId="7B42F822">
            <w:pPr>
              <w:jc w:val="center"/>
              <w:rPr>
                <w:rFonts w:hint="default"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专职副书记</w:t>
            </w:r>
          </w:p>
        </w:tc>
        <w:tc>
          <w:tcPr>
            <w:tcW w:w="2992" w:type="dxa"/>
            <w:tcBorders>
              <w:top w:val="single" w:color="auto" w:sz="4" w:space="0"/>
              <w:left w:val="nil"/>
              <w:bottom w:val="single" w:color="auto" w:sz="4" w:space="0"/>
              <w:right w:val="single" w:color="auto" w:sz="4" w:space="0"/>
            </w:tcBorders>
            <w:shd w:val="clear" w:color="auto" w:fill="auto"/>
            <w:vAlign w:val="center"/>
          </w:tcPr>
          <w:p w14:paraId="4B9D949A">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标准起草及修改</w:t>
            </w:r>
          </w:p>
        </w:tc>
        <w:tc>
          <w:tcPr>
            <w:tcW w:w="1255" w:type="dxa"/>
            <w:tcBorders>
              <w:top w:val="single" w:color="auto" w:sz="4" w:space="0"/>
              <w:left w:val="nil"/>
              <w:bottom w:val="single" w:color="auto" w:sz="4" w:space="0"/>
            </w:tcBorders>
            <w:shd w:val="clear" w:color="auto" w:fill="auto"/>
            <w:vAlign w:val="center"/>
          </w:tcPr>
          <w:p w14:paraId="39919055">
            <w:pPr>
              <w:rPr>
                <w:rFonts w:hint="eastAsia" w:ascii="仿宋" w:hAnsi="仿宋" w:eastAsia="仿宋" w:cstheme="minorBidi"/>
                <w:kern w:val="2"/>
                <w:sz w:val="24"/>
                <w:szCs w:val="24"/>
                <w:lang w:val="en-US" w:eastAsia="zh-CN" w:bidi="ar-SA"/>
              </w:rPr>
            </w:pPr>
            <w:r>
              <w:rPr>
                <w:rFonts w:hint="eastAsia" w:ascii="仿宋" w:hAnsi="仿宋" w:eastAsia="仿宋"/>
                <w:sz w:val="24"/>
                <w:szCs w:val="24"/>
                <w:lang w:val="en-US" w:eastAsia="zh-CN"/>
              </w:rPr>
              <w:t>65372595</w:t>
            </w:r>
          </w:p>
        </w:tc>
      </w:tr>
      <w:tr w14:paraId="5017C7E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top w:val="nil"/>
              <w:bottom w:val="single" w:color="auto" w:sz="4" w:space="0"/>
              <w:right w:val="single" w:color="auto" w:sz="4" w:space="0"/>
            </w:tcBorders>
            <w:shd w:val="clear" w:color="auto" w:fill="auto"/>
            <w:vAlign w:val="center"/>
          </w:tcPr>
          <w:p w14:paraId="759AC7EC">
            <w:pPr>
              <w:jc w:val="center"/>
              <w:rPr>
                <w:rFonts w:hint="eastAsia" w:ascii="仿宋" w:hAnsi="仿宋" w:eastAsia="仿宋" w:cstheme="minorBidi"/>
                <w:kern w:val="2"/>
                <w:sz w:val="24"/>
                <w:szCs w:val="24"/>
                <w:lang w:val="en-US" w:eastAsia="zh-CN" w:bidi="ar-SA"/>
              </w:rPr>
            </w:pPr>
            <w:r>
              <w:rPr>
                <w:rFonts w:hint="eastAsia" w:ascii="仿宋" w:hAnsi="仿宋" w:eastAsia="仿宋"/>
                <w:sz w:val="24"/>
                <w:szCs w:val="24"/>
              </w:rPr>
              <w:t>2</w:t>
            </w:r>
          </w:p>
        </w:tc>
        <w:tc>
          <w:tcPr>
            <w:tcW w:w="1005" w:type="dxa"/>
            <w:tcBorders>
              <w:top w:val="nil"/>
              <w:left w:val="nil"/>
              <w:bottom w:val="single" w:color="auto" w:sz="4" w:space="0"/>
              <w:right w:val="single" w:color="auto" w:sz="4" w:space="0"/>
            </w:tcBorders>
            <w:shd w:val="clear" w:color="auto" w:fill="auto"/>
            <w:vAlign w:val="center"/>
          </w:tcPr>
          <w:p w14:paraId="277C940E">
            <w:pPr>
              <w:jc w:val="center"/>
              <w:rPr>
                <w:rFonts w:hint="eastAsia" w:ascii="仿宋" w:hAnsi="仿宋" w:eastAsia="仿宋" w:cstheme="minorBidi"/>
                <w:kern w:val="2"/>
                <w:sz w:val="24"/>
                <w:szCs w:val="24"/>
                <w:lang w:val="en-US" w:eastAsia="zh-CN" w:bidi="ar-SA"/>
              </w:rPr>
            </w:pPr>
            <w:r>
              <w:rPr>
                <w:rFonts w:hint="eastAsia" w:ascii="仿宋" w:hAnsi="仿宋" w:eastAsia="仿宋"/>
                <w:sz w:val="24"/>
                <w:szCs w:val="24"/>
              </w:rPr>
              <w:t>黄文秀</w:t>
            </w:r>
          </w:p>
        </w:tc>
        <w:tc>
          <w:tcPr>
            <w:tcW w:w="2700" w:type="dxa"/>
            <w:tcBorders>
              <w:top w:val="single" w:color="auto" w:sz="4" w:space="0"/>
              <w:left w:val="nil"/>
              <w:bottom w:val="single" w:color="auto" w:sz="4" w:space="0"/>
              <w:right w:val="single" w:color="auto" w:sz="4" w:space="0"/>
            </w:tcBorders>
            <w:shd w:val="clear" w:color="auto" w:fill="auto"/>
            <w:vAlign w:val="center"/>
          </w:tcPr>
          <w:p w14:paraId="6181537D">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海南省检验检测研究院</w:t>
            </w:r>
          </w:p>
        </w:tc>
        <w:tc>
          <w:tcPr>
            <w:tcW w:w="1457" w:type="dxa"/>
            <w:tcBorders>
              <w:top w:val="single" w:color="auto" w:sz="4" w:space="0"/>
              <w:left w:val="nil"/>
              <w:bottom w:val="single" w:color="auto" w:sz="4" w:space="0"/>
              <w:right w:val="single" w:color="auto" w:sz="4" w:space="0"/>
            </w:tcBorders>
            <w:shd w:val="clear" w:color="auto" w:fill="auto"/>
            <w:vAlign w:val="center"/>
          </w:tcPr>
          <w:p w14:paraId="60BE8938">
            <w:pPr>
              <w:jc w:val="center"/>
              <w:rPr>
                <w:rFonts w:ascii="仿宋" w:hAnsi="仿宋" w:eastAsia="仿宋" w:cstheme="minorBidi"/>
                <w:kern w:val="2"/>
                <w:sz w:val="24"/>
                <w:szCs w:val="24"/>
                <w:lang w:val="en-US" w:eastAsia="zh-CN" w:bidi="ar-SA"/>
              </w:rPr>
            </w:pPr>
            <w:r>
              <w:rPr>
                <w:rFonts w:ascii="仿宋" w:hAnsi="仿宋" w:eastAsia="仿宋"/>
                <w:sz w:val="24"/>
                <w:szCs w:val="24"/>
              </w:rPr>
              <w:t>副所长</w:t>
            </w:r>
          </w:p>
        </w:tc>
        <w:tc>
          <w:tcPr>
            <w:tcW w:w="2992" w:type="dxa"/>
            <w:tcBorders>
              <w:top w:val="single" w:color="auto" w:sz="4" w:space="0"/>
              <w:left w:val="nil"/>
              <w:bottom w:val="single" w:color="auto" w:sz="4" w:space="0"/>
              <w:right w:val="single" w:color="auto" w:sz="4" w:space="0"/>
            </w:tcBorders>
            <w:shd w:val="clear" w:color="auto" w:fill="auto"/>
            <w:vAlign w:val="center"/>
          </w:tcPr>
          <w:p w14:paraId="71E02971">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标准起草及修改</w:t>
            </w:r>
          </w:p>
        </w:tc>
        <w:tc>
          <w:tcPr>
            <w:tcW w:w="1255" w:type="dxa"/>
            <w:tcBorders>
              <w:top w:val="single" w:color="auto" w:sz="4" w:space="0"/>
              <w:left w:val="nil"/>
              <w:bottom w:val="single" w:color="auto" w:sz="4" w:space="0"/>
            </w:tcBorders>
            <w:shd w:val="clear" w:color="auto" w:fill="auto"/>
            <w:vAlign w:val="center"/>
          </w:tcPr>
          <w:p w14:paraId="4208E864">
            <w:pPr>
              <w:rPr>
                <w:rFonts w:hint="eastAsia" w:ascii="仿宋" w:hAnsi="仿宋" w:eastAsia="仿宋" w:cstheme="minorBidi"/>
                <w:kern w:val="2"/>
                <w:sz w:val="24"/>
                <w:szCs w:val="24"/>
                <w:lang w:val="en-US" w:eastAsia="zh-CN" w:bidi="ar-SA"/>
              </w:rPr>
            </w:pPr>
            <w:r>
              <w:rPr>
                <w:rFonts w:hint="eastAsia" w:ascii="仿宋" w:hAnsi="仿宋" w:eastAsia="仿宋"/>
                <w:sz w:val="24"/>
                <w:szCs w:val="24"/>
                <w:lang w:val="en-US" w:eastAsia="zh-CN"/>
              </w:rPr>
              <w:t>65372595</w:t>
            </w:r>
          </w:p>
        </w:tc>
      </w:tr>
      <w:tr w14:paraId="63059C0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top w:val="nil"/>
              <w:bottom w:val="single" w:color="auto" w:sz="4" w:space="0"/>
              <w:right w:val="single" w:color="auto" w:sz="4" w:space="0"/>
            </w:tcBorders>
            <w:shd w:val="clear" w:color="auto" w:fill="auto"/>
            <w:vAlign w:val="center"/>
          </w:tcPr>
          <w:p w14:paraId="08443ADE">
            <w:pPr>
              <w:jc w:val="center"/>
              <w:rPr>
                <w:rFonts w:ascii="仿宋" w:hAnsi="仿宋" w:eastAsia="仿宋" w:cstheme="minorBidi"/>
                <w:kern w:val="2"/>
                <w:sz w:val="24"/>
                <w:szCs w:val="24"/>
                <w:lang w:val="en-US" w:eastAsia="zh-CN" w:bidi="ar-SA"/>
              </w:rPr>
            </w:pPr>
            <w:r>
              <w:rPr>
                <w:rFonts w:hint="eastAsia" w:ascii="仿宋" w:hAnsi="仿宋" w:eastAsia="仿宋"/>
                <w:sz w:val="24"/>
                <w:szCs w:val="24"/>
              </w:rPr>
              <w:t>3</w:t>
            </w:r>
          </w:p>
        </w:tc>
        <w:tc>
          <w:tcPr>
            <w:tcW w:w="1005" w:type="dxa"/>
            <w:tcBorders>
              <w:top w:val="nil"/>
              <w:left w:val="nil"/>
              <w:bottom w:val="single" w:color="auto" w:sz="4" w:space="0"/>
              <w:right w:val="single" w:color="auto" w:sz="4" w:space="0"/>
            </w:tcBorders>
            <w:shd w:val="clear" w:color="auto" w:fill="auto"/>
            <w:vAlign w:val="center"/>
          </w:tcPr>
          <w:p w14:paraId="3BD8E5B5">
            <w:pPr>
              <w:jc w:val="center"/>
              <w:rPr>
                <w:rFonts w:hint="eastAsia" w:ascii="仿宋" w:hAnsi="仿宋" w:eastAsia="仿宋" w:cstheme="minorBidi"/>
                <w:kern w:val="2"/>
                <w:sz w:val="24"/>
                <w:szCs w:val="24"/>
                <w:lang w:val="en-US" w:eastAsia="zh-CN" w:bidi="ar-SA"/>
              </w:rPr>
            </w:pPr>
            <w:r>
              <w:rPr>
                <w:rFonts w:hint="eastAsia" w:ascii="仿宋" w:hAnsi="仿宋" w:eastAsia="仿宋"/>
                <w:sz w:val="24"/>
                <w:szCs w:val="24"/>
              </w:rPr>
              <w:t>吴清宇</w:t>
            </w:r>
          </w:p>
        </w:tc>
        <w:tc>
          <w:tcPr>
            <w:tcW w:w="2700" w:type="dxa"/>
            <w:tcBorders>
              <w:top w:val="single" w:color="auto" w:sz="4" w:space="0"/>
              <w:left w:val="nil"/>
              <w:bottom w:val="single" w:color="auto" w:sz="4" w:space="0"/>
              <w:right w:val="single" w:color="auto" w:sz="4" w:space="0"/>
            </w:tcBorders>
            <w:shd w:val="clear" w:color="auto" w:fill="auto"/>
            <w:vAlign w:val="center"/>
          </w:tcPr>
          <w:p w14:paraId="24067410">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海南省检验检测研究院</w:t>
            </w:r>
          </w:p>
        </w:tc>
        <w:tc>
          <w:tcPr>
            <w:tcW w:w="1457" w:type="dxa"/>
            <w:tcBorders>
              <w:top w:val="single" w:color="auto" w:sz="4" w:space="0"/>
              <w:left w:val="nil"/>
              <w:bottom w:val="single" w:color="auto" w:sz="4" w:space="0"/>
              <w:right w:val="single" w:color="auto" w:sz="4" w:space="0"/>
            </w:tcBorders>
            <w:shd w:val="clear" w:color="auto" w:fill="auto"/>
            <w:vAlign w:val="center"/>
          </w:tcPr>
          <w:p w14:paraId="044AA33B">
            <w:pPr>
              <w:jc w:val="center"/>
              <w:rPr>
                <w:rFonts w:ascii="仿宋" w:hAnsi="仿宋" w:eastAsia="仿宋" w:cstheme="minorBidi"/>
                <w:kern w:val="2"/>
                <w:sz w:val="24"/>
                <w:szCs w:val="24"/>
                <w:lang w:val="en-US" w:eastAsia="zh-CN" w:bidi="ar-SA"/>
              </w:rPr>
            </w:pPr>
            <w:r>
              <w:rPr>
                <w:rFonts w:ascii="仿宋" w:hAnsi="仿宋" w:eastAsia="仿宋"/>
                <w:sz w:val="24"/>
                <w:szCs w:val="24"/>
              </w:rPr>
              <w:t>副院长</w:t>
            </w:r>
          </w:p>
        </w:tc>
        <w:tc>
          <w:tcPr>
            <w:tcW w:w="2992" w:type="dxa"/>
            <w:tcBorders>
              <w:top w:val="single" w:color="auto" w:sz="4" w:space="0"/>
              <w:left w:val="nil"/>
              <w:bottom w:val="single" w:color="auto" w:sz="4" w:space="0"/>
              <w:right w:val="single" w:color="auto" w:sz="4" w:space="0"/>
            </w:tcBorders>
            <w:shd w:val="clear" w:color="auto" w:fill="auto"/>
            <w:vAlign w:val="center"/>
          </w:tcPr>
          <w:p w14:paraId="7D6D4855">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标准起草及修改</w:t>
            </w:r>
          </w:p>
        </w:tc>
        <w:tc>
          <w:tcPr>
            <w:tcW w:w="1255" w:type="dxa"/>
            <w:tcBorders>
              <w:top w:val="single" w:color="auto" w:sz="4" w:space="0"/>
              <w:left w:val="nil"/>
              <w:bottom w:val="single" w:color="auto" w:sz="4" w:space="0"/>
            </w:tcBorders>
            <w:shd w:val="clear" w:color="auto" w:fill="auto"/>
            <w:vAlign w:val="center"/>
          </w:tcPr>
          <w:p w14:paraId="5E687E10">
            <w:pPr>
              <w:rPr>
                <w:rFonts w:hint="default" w:ascii="仿宋" w:hAnsi="仿宋" w:eastAsia="仿宋" w:cstheme="minorBidi"/>
                <w:kern w:val="2"/>
                <w:sz w:val="24"/>
                <w:szCs w:val="24"/>
                <w:lang w:val="en-US" w:eastAsia="zh-CN" w:bidi="ar-SA"/>
              </w:rPr>
            </w:pPr>
            <w:r>
              <w:rPr>
                <w:rFonts w:hint="eastAsia" w:ascii="仿宋" w:hAnsi="仿宋" w:eastAsia="仿宋"/>
                <w:sz w:val="24"/>
                <w:szCs w:val="24"/>
                <w:lang w:val="en-US" w:eastAsia="zh-CN"/>
              </w:rPr>
              <w:t>65372595</w:t>
            </w:r>
          </w:p>
        </w:tc>
      </w:tr>
      <w:tr w14:paraId="70902A2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top w:val="nil"/>
              <w:bottom w:val="single" w:color="auto" w:sz="4" w:space="0"/>
              <w:right w:val="single" w:color="auto" w:sz="4" w:space="0"/>
            </w:tcBorders>
            <w:shd w:val="clear" w:color="auto" w:fill="auto"/>
            <w:vAlign w:val="center"/>
          </w:tcPr>
          <w:p w14:paraId="3C7AE374">
            <w:pPr>
              <w:jc w:val="center"/>
              <w:rPr>
                <w:rFonts w:ascii="仿宋" w:hAnsi="仿宋" w:eastAsia="仿宋" w:cstheme="minorBidi"/>
                <w:kern w:val="2"/>
                <w:sz w:val="24"/>
                <w:szCs w:val="24"/>
                <w:lang w:val="en-US" w:eastAsia="zh-CN" w:bidi="ar-SA"/>
              </w:rPr>
            </w:pPr>
            <w:r>
              <w:rPr>
                <w:rFonts w:hint="eastAsia" w:ascii="仿宋" w:hAnsi="仿宋" w:eastAsia="仿宋"/>
                <w:sz w:val="24"/>
                <w:szCs w:val="24"/>
              </w:rPr>
              <w:t>4</w:t>
            </w:r>
          </w:p>
        </w:tc>
        <w:tc>
          <w:tcPr>
            <w:tcW w:w="1005" w:type="dxa"/>
            <w:tcBorders>
              <w:top w:val="nil"/>
              <w:left w:val="nil"/>
              <w:bottom w:val="single" w:color="auto" w:sz="4" w:space="0"/>
              <w:right w:val="single" w:color="auto" w:sz="4" w:space="0"/>
            </w:tcBorders>
            <w:vAlign w:val="center"/>
          </w:tcPr>
          <w:p w14:paraId="224E7448">
            <w:pPr>
              <w:jc w:val="center"/>
              <w:rPr>
                <w:rFonts w:ascii="仿宋" w:hAnsi="仿宋" w:eastAsia="仿宋"/>
                <w:sz w:val="24"/>
                <w:szCs w:val="24"/>
              </w:rPr>
            </w:pPr>
            <w:r>
              <w:rPr>
                <w:rFonts w:hint="eastAsia" w:ascii="仿宋" w:hAnsi="仿宋" w:eastAsia="仿宋"/>
                <w:sz w:val="24"/>
                <w:szCs w:val="24"/>
              </w:rPr>
              <w:t>周玉玲</w:t>
            </w:r>
          </w:p>
        </w:tc>
        <w:tc>
          <w:tcPr>
            <w:tcW w:w="2700" w:type="dxa"/>
            <w:tcBorders>
              <w:top w:val="single" w:color="auto" w:sz="4" w:space="0"/>
              <w:left w:val="nil"/>
              <w:bottom w:val="single" w:color="auto" w:sz="4" w:space="0"/>
              <w:right w:val="single" w:color="auto" w:sz="4" w:space="0"/>
            </w:tcBorders>
            <w:vAlign w:val="center"/>
          </w:tcPr>
          <w:p w14:paraId="124A3D11">
            <w:pPr>
              <w:rPr>
                <w:rFonts w:ascii="仿宋" w:hAnsi="仿宋" w:eastAsia="仿宋"/>
                <w:sz w:val="24"/>
                <w:szCs w:val="24"/>
              </w:rPr>
            </w:pPr>
            <w:r>
              <w:rPr>
                <w:rFonts w:hint="eastAsia" w:ascii="仿宋" w:hAnsi="仿宋" w:eastAsia="仿宋"/>
                <w:sz w:val="24"/>
                <w:szCs w:val="24"/>
              </w:rPr>
              <w:t>海南省检验检测研究院</w:t>
            </w:r>
          </w:p>
        </w:tc>
        <w:tc>
          <w:tcPr>
            <w:tcW w:w="1457" w:type="dxa"/>
            <w:tcBorders>
              <w:top w:val="single" w:color="auto" w:sz="4" w:space="0"/>
              <w:left w:val="nil"/>
              <w:bottom w:val="single" w:color="auto" w:sz="4" w:space="0"/>
              <w:right w:val="single" w:color="auto" w:sz="4" w:space="0"/>
            </w:tcBorders>
            <w:vAlign w:val="center"/>
          </w:tcPr>
          <w:p w14:paraId="04B8E93B">
            <w:pPr>
              <w:jc w:val="center"/>
              <w:rPr>
                <w:rFonts w:ascii="仿宋" w:hAnsi="仿宋" w:eastAsia="仿宋"/>
                <w:sz w:val="24"/>
                <w:szCs w:val="24"/>
              </w:rPr>
            </w:pPr>
            <w:r>
              <w:rPr>
                <w:rFonts w:ascii="仿宋" w:hAnsi="仿宋" w:eastAsia="仿宋"/>
                <w:sz w:val="24"/>
                <w:szCs w:val="24"/>
              </w:rPr>
              <w:t>副所长</w:t>
            </w:r>
          </w:p>
        </w:tc>
        <w:tc>
          <w:tcPr>
            <w:tcW w:w="2992" w:type="dxa"/>
            <w:tcBorders>
              <w:top w:val="single" w:color="auto" w:sz="4" w:space="0"/>
              <w:left w:val="nil"/>
              <w:bottom w:val="single" w:color="auto" w:sz="4" w:space="0"/>
              <w:right w:val="single" w:color="auto" w:sz="4" w:space="0"/>
            </w:tcBorders>
            <w:vAlign w:val="center"/>
          </w:tcPr>
          <w:p w14:paraId="45533905">
            <w:pPr>
              <w:rPr>
                <w:rFonts w:hint="eastAsia" w:ascii="仿宋" w:hAnsi="仿宋" w:eastAsia="仿宋"/>
                <w:sz w:val="24"/>
                <w:szCs w:val="24"/>
              </w:rPr>
            </w:pPr>
            <w:r>
              <w:rPr>
                <w:rFonts w:hint="eastAsia" w:ascii="仿宋" w:hAnsi="仿宋" w:eastAsia="仿宋"/>
                <w:sz w:val="24"/>
                <w:szCs w:val="24"/>
              </w:rPr>
              <w:t>标准起草及修改</w:t>
            </w:r>
          </w:p>
        </w:tc>
        <w:tc>
          <w:tcPr>
            <w:tcW w:w="1255" w:type="dxa"/>
            <w:tcBorders>
              <w:top w:val="single" w:color="auto" w:sz="4" w:space="0"/>
              <w:left w:val="nil"/>
              <w:bottom w:val="single" w:color="auto" w:sz="4" w:space="0"/>
            </w:tcBorders>
            <w:vAlign w:val="center"/>
          </w:tcPr>
          <w:p w14:paraId="0D12B36F">
            <w:pPr>
              <w:rPr>
                <w:rFonts w:hint="eastAsia" w:ascii="仿宋" w:hAnsi="仿宋" w:eastAsia="仿宋"/>
                <w:sz w:val="24"/>
                <w:szCs w:val="24"/>
              </w:rPr>
            </w:pPr>
            <w:r>
              <w:rPr>
                <w:rFonts w:hint="eastAsia" w:ascii="仿宋" w:hAnsi="仿宋" w:eastAsia="仿宋"/>
                <w:sz w:val="24"/>
                <w:szCs w:val="24"/>
                <w:lang w:val="en-US" w:eastAsia="zh-CN"/>
              </w:rPr>
              <w:t>65372595</w:t>
            </w:r>
          </w:p>
        </w:tc>
      </w:tr>
      <w:tr w14:paraId="213A721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top w:val="nil"/>
              <w:bottom w:val="single" w:color="auto" w:sz="4" w:space="0"/>
              <w:right w:val="single" w:color="auto" w:sz="4" w:space="0"/>
            </w:tcBorders>
            <w:shd w:val="clear" w:color="auto" w:fill="auto"/>
            <w:vAlign w:val="center"/>
          </w:tcPr>
          <w:p w14:paraId="5DE69140">
            <w:pPr>
              <w:jc w:val="center"/>
              <w:rPr>
                <w:rFonts w:ascii="仿宋" w:hAnsi="仿宋" w:eastAsia="仿宋" w:cstheme="minorBidi"/>
                <w:kern w:val="2"/>
                <w:sz w:val="24"/>
                <w:szCs w:val="24"/>
                <w:lang w:val="en-US" w:eastAsia="zh-CN" w:bidi="ar-SA"/>
              </w:rPr>
            </w:pPr>
            <w:r>
              <w:rPr>
                <w:rFonts w:hint="eastAsia" w:ascii="仿宋" w:hAnsi="仿宋" w:eastAsia="仿宋"/>
                <w:sz w:val="24"/>
                <w:szCs w:val="24"/>
              </w:rPr>
              <w:t>5</w:t>
            </w:r>
          </w:p>
        </w:tc>
        <w:tc>
          <w:tcPr>
            <w:tcW w:w="1005" w:type="dxa"/>
            <w:tcBorders>
              <w:top w:val="nil"/>
              <w:left w:val="nil"/>
              <w:bottom w:val="single" w:color="auto" w:sz="4" w:space="0"/>
              <w:right w:val="single" w:color="auto" w:sz="4" w:space="0"/>
            </w:tcBorders>
            <w:vAlign w:val="center"/>
          </w:tcPr>
          <w:p w14:paraId="719F1296">
            <w:pPr>
              <w:jc w:val="center"/>
              <w:rPr>
                <w:rFonts w:ascii="仿宋" w:hAnsi="仿宋" w:eastAsia="仿宋"/>
                <w:sz w:val="24"/>
                <w:szCs w:val="24"/>
              </w:rPr>
            </w:pPr>
            <w:r>
              <w:rPr>
                <w:rFonts w:hint="eastAsia" w:ascii="仿宋" w:hAnsi="仿宋" w:eastAsia="仿宋"/>
                <w:sz w:val="24"/>
                <w:szCs w:val="24"/>
              </w:rPr>
              <w:t>冯文</w:t>
            </w:r>
          </w:p>
        </w:tc>
        <w:tc>
          <w:tcPr>
            <w:tcW w:w="2700" w:type="dxa"/>
            <w:tcBorders>
              <w:top w:val="single" w:color="auto" w:sz="4" w:space="0"/>
              <w:left w:val="nil"/>
              <w:bottom w:val="single" w:color="auto" w:sz="4" w:space="0"/>
              <w:right w:val="single" w:color="auto" w:sz="4" w:space="0"/>
            </w:tcBorders>
            <w:vAlign w:val="center"/>
          </w:tcPr>
          <w:p w14:paraId="32F7D22C">
            <w:pPr>
              <w:rPr>
                <w:rFonts w:ascii="仿宋" w:hAnsi="仿宋" w:eastAsia="仿宋"/>
                <w:sz w:val="24"/>
                <w:szCs w:val="24"/>
              </w:rPr>
            </w:pPr>
            <w:r>
              <w:rPr>
                <w:rFonts w:hint="eastAsia" w:ascii="仿宋" w:hAnsi="仿宋" w:eastAsia="仿宋"/>
                <w:sz w:val="24"/>
                <w:szCs w:val="24"/>
              </w:rPr>
              <w:t>海南省检验检测研究院</w:t>
            </w:r>
          </w:p>
        </w:tc>
        <w:tc>
          <w:tcPr>
            <w:tcW w:w="1457" w:type="dxa"/>
            <w:tcBorders>
              <w:top w:val="single" w:color="auto" w:sz="4" w:space="0"/>
              <w:left w:val="nil"/>
              <w:bottom w:val="single" w:color="auto" w:sz="4" w:space="0"/>
              <w:right w:val="single" w:color="auto" w:sz="4" w:space="0"/>
            </w:tcBorders>
            <w:vAlign w:val="center"/>
          </w:tcPr>
          <w:p w14:paraId="633A169B">
            <w:pPr>
              <w:jc w:val="center"/>
              <w:rPr>
                <w:rFonts w:ascii="仿宋" w:hAnsi="仿宋" w:eastAsia="仿宋"/>
                <w:sz w:val="24"/>
                <w:szCs w:val="24"/>
              </w:rPr>
            </w:pPr>
            <w:r>
              <w:rPr>
                <w:rFonts w:ascii="仿宋" w:hAnsi="仿宋" w:eastAsia="仿宋"/>
                <w:sz w:val="24"/>
                <w:szCs w:val="24"/>
              </w:rPr>
              <w:t>主任</w:t>
            </w:r>
          </w:p>
        </w:tc>
        <w:tc>
          <w:tcPr>
            <w:tcW w:w="2992" w:type="dxa"/>
            <w:tcBorders>
              <w:top w:val="single" w:color="auto" w:sz="4" w:space="0"/>
              <w:left w:val="nil"/>
              <w:bottom w:val="single" w:color="auto" w:sz="4" w:space="0"/>
              <w:right w:val="single" w:color="auto" w:sz="4" w:space="0"/>
            </w:tcBorders>
            <w:vAlign w:val="center"/>
          </w:tcPr>
          <w:p w14:paraId="19B1B026">
            <w:pPr>
              <w:rPr>
                <w:rFonts w:hint="eastAsia" w:ascii="仿宋" w:hAnsi="仿宋" w:eastAsia="仿宋"/>
                <w:sz w:val="24"/>
                <w:szCs w:val="24"/>
              </w:rPr>
            </w:pPr>
            <w:r>
              <w:rPr>
                <w:rFonts w:hint="eastAsia" w:ascii="仿宋" w:hAnsi="仿宋" w:eastAsia="仿宋"/>
                <w:sz w:val="24"/>
                <w:szCs w:val="24"/>
              </w:rPr>
              <w:t>标准起草及修改</w:t>
            </w:r>
          </w:p>
        </w:tc>
        <w:tc>
          <w:tcPr>
            <w:tcW w:w="1255" w:type="dxa"/>
            <w:tcBorders>
              <w:top w:val="single" w:color="auto" w:sz="4" w:space="0"/>
              <w:left w:val="nil"/>
              <w:bottom w:val="single" w:color="auto" w:sz="4" w:space="0"/>
            </w:tcBorders>
            <w:vAlign w:val="center"/>
          </w:tcPr>
          <w:p w14:paraId="7F60ED86">
            <w:pPr>
              <w:rPr>
                <w:rFonts w:hint="eastAsia" w:ascii="仿宋" w:hAnsi="仿宋" w:eastAsia="仿宋"/>
                <w:sz w:val="24"/>
                <w:szCs w:val="24"/>
              </w:rPr>
            </w:pPr>
            <w:r>
              <w:rPr>
                <w:rFonts w:hint="eastAsia" w:ascii="仿宋" w:hAnsi="仿宋" w:eastAsia="仿宋"/>
                <w:sz w:val="24"/>
                <w:szCs w:val="24"/>
                <w:lang w:val="en-US" w:eastAsia="zh-CN"/>
              </w:rPr>
              <w:t>65372595</w:t>
            </w:r>
          </w:p>
        </w:tc>
      </w:tr>
      <w:tr w14:paraId="4FDFE65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top w:val="nil"/>
              <w:bottom w:val="single" w:color="auto" w:sz="4" w:space="0"/>
              <w:right w:val="single" w:color="auto" w:sz="4" w:space="0"/>
            </w:tcBorders>
            <w:shd w:val="clear" w:color="auto" w:fill="auto"/>
            <w:vAlign w:val="center"/>
          </w:tcPr>
          <w:p w14:paraId="3705CA56">
            <w:pPr>
              <w:jc w:val="center"/>
              <w:rPr>
                <w:rFonts w:hint="eastAsia" w:ascii="仿宋" w:hAnsi="仿宋" w:eastAsia="仿宋" w:cstheme="minorBidi"/>
                <w:kern w:val="2"/>
                <w:sz w:val="24"/>
                <w:szCs w:val="24"/>
                <w:lang w:val="en-US" w:eastAsia="zh-CN" w:bidi="ar-SA"/>
              </w:rPr>
            </w:pPr>
            <w:r>
              <w:rPr>
                <w:rFonts w:ascii="仿宋" w:hAnsi="仿宋" w:eastAsia="仿宋"/>
                <w:sz w:val="24"/>
                <w:szCs w:val="24"/>
              </w:rPr>
              <w:t>6</w:t>
            </w:r>
          </w:p>
        </w:tc>
        <w:tc>
          <w:tcPr>
            <w:tcW w:w="1005" w:type="dxa"/>
            <w:tcBorders>
              <w:top w:val="nil"/>
              <w:left w:val="nil"/>
              <w:bottom w:val="single" w:color="auto" w:sz="4" w:space="0"/>
              <w:right w:val="single" w:color="auto" w:sz="4" w:space="0"/>
            </w:tcBorders>
            <w:vAlign w:val="center"/>
          </w:tcPr>
          <w:p w14:paraId="42C958A3">
            <w:pPr>
              <w:jc w:val="center"/>
              <w:rPr>
                <w:rFonts w:ascii="仿宋" w:hAnsi="仿宋" w:eastAsia="仿宋"/>
                <w:sz w:val="24"/>
                <w:szCs w:val="24"/>
              </w:rPr>
            </w:pPr>
            <w:r>
              <w:rPr>
                <w:rFonts w:hint="eastAsia" w:ascii="仿宋" w:hAnsi="仿宋" w:eastAsia="仿宋"/>
                <w:sz w:val="24"/>
                <w:szCs w:val="24"/>
              </w:rPr>
              <w:t>林</w:t>
            </w:r>
            <w:r>
              <w:rPr>
                <w:rFonts w:ascii="仿宋" w:hAnsi="仿宋" w:eastAsia="仿宋"/>
                <w:sz w:val="24"/>
                <w:szCs w:val="24"/>
              </w:rPr>
              <w:t>尤涛</w:t>
            </w:r>
          </w:p>
        </w:tc>
        <w:tc>
          <w:tcPr>
            <w:tcW w:w="2700" w:type="dxa"/>
            <w:tcBorders>
              <w:top w:val="single" w:color="auto" w:sz="4" w:space="0"/>
              <w:left w:val="nil"/>
              <w:bottom w:val="single" w:color="auto" w:sz="4" w:space="0"/>
              <w:right w:val="single" w:color="auto" w:sz="4" w:space="0"/>
            </w:tcBorders>
            <w:vAlign w:val="center"/>
          </w:tcPr>
          <w:p w14:paraId="1588D4BB">
            <w:pPr>
              <w:rPr>
                <w:rFonts w:ascii="仿宋" w:hAnsi="仿宋" w:eastAsia="仿宋"/>
                <w:sz w:val="24"/>
                <w:szCs w:val="24"/>
              </w:rPr>
            </w:pPr>
            <w:r>
              <w:rPr>
                <w:rFonts w:hint="eastAsia" w:ascii="仿宋" w:hAnsi="仿宋" w:eastAsia="仿宋"/>
                <w:sz w:val="24"/>
                <w:szCs w:val="24"/>
              </w:rPr>
              <w:t>海南省检验检测研究院</w:t>
            </w:r>
          </w:p>
        </w:tc>
        <w:tc>
          <w:tcPr>
            <w:tcW w:w="1457" w:type="dxa"/>
            <w:tcBorders>
              <w:top w:val="single" w:color="auto" w:sz="4" w:space="0"/>
              <w:left w:val="nil"/>
              <w:bottom w:val="single" w:color="auto" w:sz="4" w:space="0"/>
              <w:right w:val="single" w:color="auto" w:sz="4" w:space="0"/>
            </w:tcBorders>
            <w:vAlign w:val="center"/>
          </w:tcPr>
          <w:p w14:paraId="111EA034">
            <w:pPr>
              <w:jc w:val="center"/>
              <w:rPr>
                <w:rFonts w:ascii="仿宋" w:hAnsi="仿宋" w:eastAsia="仿宋"/>
                <w:sz w:val="24"/>
                <w:szCs w:val="24"/>
              </w:rPr>
            </w:pPr>
            <w:r>
              <w:rPr>
                <w:rFonts w:hint="eastAsia" w:ascii="仿宋" w:hAnsi="仿宋" w:eastAsia="仿宋"/>
                <w:sz w:val="24"/>
                <w:szCs w:val="24"/>
              </w:rPr>
              <w:t>主任</w:t>
            </w:r>
          </w:p>
        </w:tc>
        <w:tc>
          <w:tcPr>
            <w:tcW w:w="2992" w:type="dxa"/>
            <w:tcBorders>
              <w:top w:val="single" w:color="auto" w:sz="4" w:space="0"/>
              <w:left w:val="nil"/>
              <w:bottom w:val="single" w:color="auto" w:sz="4" w:space="0"/>
              <w:right w:val="single" w:color="auto" w:sz="4" w:space="0"/>
            </w:tcBorders>
            <w:vAlign w:val="center"/>
          </w:tcPr>
          <w:p w14:paraId="5584B066">
            <w:pPr>
              <w:rPr>
                <w:rFonts w:hint="eastAsia" w:ascii="仿宋" w:hAnsi="仿宋" w:eastAsia="仿宋"/>
                <w:sz w:val="24"/>
                <w:szCs w:val="24"/>
              </w:rPr>
            </w:pPr>
            <w:r>
              <w:rPr>
                <w:rFonts w:hint="eastAsia" w:ascii="仿宋" w:hAnsi="仿宋" w:eastAsia="仿宋"/>
                <w:sz w:val="24"/>
                <w:szCs w:val="24"/>
              </w:rPr>
              <w:t>标准起草及修改</w:t>
            </w:r>
          </w:p>
        </w:tc>
        <w:tc>
          <w:tcPr>
            <w:tcW w:w="1255" w:type="dxa"/>
            <w:tcBorders>
              <w:top w:val="single" w:color="auto" w:sz="4" w:space="0"/>
              <w:left w:val="nil"/>
              <w:bottom w:val="single" w:color="auto" w:sz="4" w:space="0"/>
            </w:tcBorders>
            <w:vAlign w:val="center"/>
          </w:tcPr>
          <w:p w14:paraId="238C096E">
            <w:pPr>
              <w:rPr>
                <w:rFonts w:hint="eastAsia" w:ascii="仿宋" w:hAnsi="仿宋" w:eastAsia="仿宋"/>
                <w:sz w:val="24"/>
                <w:szCs w:val="24"/>
              </w:rPr>
            </w:pPr>
            <w:r>
              <w:rPr>
                <w:rFonts w:hint="eastAsia" w:ascii="仿宋" w:hAnsi="仿宋" w:eastAsia="仿宋"/>
                <w:sz w:val="24"/>
                <w:szCs w:val="24"/>
                <w:lang w:val="en-US" w:eastAsia="zh-CN"/>
              </w:rPr>
              <w:t>65372595</w:t>
            </w:r>
          </w:p>
        </w:tc>
      </w:tr>
      <w:tr w14:paraId="63A9FD1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top w:val="nil"/>
              <w:bottom w:val="single" w:color="auto" w:sz="4" w:space="0"/>
              <w:right w:val="single" w:color="auto" w:sz="4" w:space="0"/>
            </w:tcBorders>
            <w:shd w:val="clear" w:color="auto" w:fill="auto"/>
            <w:vAlign w:val="center"/>
          </w:tcPr>
          <w:p w14:paraId="3CFA3F8E">
            <w:pPr>
              <w:jc w:val="center"/>
              <w:rPr>
                <w:rFonts w:hint="eastAsia" w:ascii="仿宋" w:hAnsi="仿宋" w:eastAsia="仿宋" w:cstheme="minorBidi"/>
                <w:kern w:val="2"/>
                <w:sz w:val="24"/>
                <w:szCs w:val="24"/>
                <w:lang w:val="en-US" w:eastAsia="zh-CN" w:bidi="ar-SA"/>
              </w:rPr>
            </w:pPr>
            <w:r>
              <w:rPr>
                <w:rFonts w:hint="eastAsia" w:ascii="仿宋" w:hAnsi="仿宋" w:eastAsia="仿宋"/>
                <w:sz w:val="24"/>
                <w:szCs w:val="24"/>
              </w:rPr>
              <w:t>7</w:t>
            </w:r>
          </w:p>
        </w:tc>
        <w:tc>
          <w:tcPr>
            <w:tcW w:w="1005" w:type="dxa"/>
            <w:tcBorders>
              <w:top w:val="nil"/>
              <w:left w:val="nil"/>
              <w:bottom w:val="single" w:color="auto" w:sz="4" w:space="0"/>
              <w:right w:val="single" w:color="auto" w:sz="4" w:space="0"/>
            </w:tcBorders>
            <w:vAlign w:val="center"/>
          </w:tcPr>
          <w:p w14:paraId="17E8D646">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常虹</w:t>
            </w:r>
          </w:p>
        </w:tc>
        <w:tc>
          <w:tcPr>
            <w:tcW w:w="2700" w:type="dxa"/>
            <w:tcBorders>
              <w:top w:val="single" w:color="auto" w:sz="4" w:space="0"/>
              <w:left w:val="nil"/>
              <w:bottom w:val="single" w:color="auto" w:sz="4" w:space="0"/>
              <w:right w:val="single" w:color="auto" w:sz="4" w:space="0"/>
            </w:tcBorders>
            <w:vAlign w:val="center"/>
          </w:tcPr>
          <w:p w14:paraId="463E4352">
            <w:pPr>
              <w:rPr>
                <w:rFonts w:hint="eastAsia" w:ascii="仿宋" w:hAnsi="仿宋" w:eastAsia="仿宋"/>
                <w:sz w:val="24"/>
                <w:szCs w:val="24"/>
              </w:rPr>
            </w:pPr>
            <w:r>
              <w:rPr>
                <w:rFonts w:hint="eastAsia" w:ascii="仿宋" w:hAnsi="仿宋" w:eastAsia="仿宋"/>
                <w:sz w:val="24"/>
                <w:szCs w:val="24"/>
              </w:rPr>
              <w:t>海南省检验检测研究院</w:t>
            </w:r>
          </w:p>
        </w:tc>
        <w:tc>
          <w:tcPr>
            <w:tcW w:w="1457" w:type="dxa"/>
            <w:tcBorders>
              <w:top w:val="single" w:color="auto" w:sz="4" w:space="0"/>
              <w:left w:val="nil"/>
              <w:bottom w:val="single" w:color="auto" w:sz="4" w:space="0"/>
              <w:right w:val="single" w:color="auto" w:sz="4" w:space="0"/>
            </w:tcBorders>
            <w:vAlign w:val="center"/>
          </w:tcPr>
          <w:p w14:paraId="55B0750B">
            <w:pPr>
              <w:jc w:val="center"/>
              <w:rPr>
                <w:rFonts w:hint="eastAsia" w:ascii="仿宋" w:hAnsi="仿宋" w:eastAsia="仿宋"/>
                <w:sz w:val="24"/>
                <w:szCs w:val="24"/>
              </w:rPr>
            </w:pPr>
            <w:r>
              <w:rPr>
                <w:rFonts w:ascii="仿宋" w:hAnsi="仿宋" w:eastAsia="仿宋"/>
                <w:color w:val="000000"/>
                <w:sz w:val="24"/>
                <w:szCs w:val="24"/>
              </w:rPr>
              <w:t>技术人员</w:t>
            </w:r>
          </w:p>
        </w:tc>
        <w:tc>
          <w:tcPr>
            <w:tcW w:w="2992" w:type="dxa"/>
            <w:tcBorders>
              <w:top w:val="single" w:color="auto" w:sz="4" w:space="0"/>
              <w:left w:val="nil"/>
              <w:bottom w:val="single" w:color="auto" w:sz="4" w:space="0"/>
              <w:right w:val="single" w:color="auto" w:sz="4" w:space="0"/>
            </w:tcBorders>
            <w:vAlign w:val="center"/>
          </w:tcPr>
          <w:p w14:paraId="283132CA">
            <w:pPr>
              <w:rPr>
                <w:rFonts w:hint="eastAsia" w:ascii="仿宋" w:hAnsi="仿宋" w:eastAsia="仿宋"/>
                <w:sz w:val="24"/>
                <w:szCs w:val="24"/>
              </w:rPr>
            </w:pPr>
            <w:r>
              <w:rPr>
                <w:rFonts w:hint="eastAsia" w:ascii="仿宋" w:hAnsi="仿宋" w:eastAsia="仿宋"/>
                <w:sz w:val="24"/>
                <w:szCs w:val="24"/>
              </w:rPr>
              <w:t>标准起草及修改</w:t>
            </w:r>
          </w:p>
        </w:tc>
        <w:tc>
          <w:tcPr>
            <w:tcW w:w="1255" w:type="dxa"/>
            <w:tcBorders>
              <w:top w:val="single" w:color="auto" w:sz="4" w:space="0"/>
              <w:left w:val="nil"/>
              <w:bottom w:val="single" w:color="auto" w:sz="4" w:space="0"/>
            </w:tcBorders>
            <w:vAlign w:val="center"/>
          </w:tcPr>
          <w:p w14:paraId="222DADC2">
            <w:pPr>
              <w:rPr>
                <w:rFonts w:hint="eastAsia" w:ascii="仿宋" w:hAnsi="仿宋" w:eastAsia="仿宋"/>
                <w:sz w:val="24"/>
                <w:szCs w:val="24"/>
                <w:lang w:val="en-US" w:eastAsia="zh-CN"/>
              </w:rPr>
            </w:pPr>
            <w:r>
              <w:rPr>
                <w:rFonts w:hint="eastAsia" w:ascii="仿宋" w:hAnsi="仿宋" w:eastAsia="仿宋"/>
                <w:sz w:val="24"/>
                <w:szCs w:val="24"/>
                <w:lang w:val="en-US" w:eastAsia="zh-CN"/>
              </w:rPr>
              <w:t>65225991</w:t>
            </w:r>
          </w:p>
        </w:tc>
      </w:tr>
      <w:tr w14:paraId="30DAAD2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top w:val="nil"/>
              <w:bottom w:val="single" w:color="auto" w:sz="4" w:space="0"/>
              <w:right w:val="single" w:color="auto" w:sz="4" w:space="0"/>
            </w:tcBorders>
            <w:shd w:val="clear" w:color="auto" w:fill="auto"/>
            <w:vAlign w:val="center"/>
          </w:tcPr>
          <w:p w14:paraId="5ADDDA8B">
            <w:pPr>
              <w:jc w:val="center"/>
              <w:rPr>
                <w:rFonts w:ascii="仿宋" w:hAnsi="仿宋" w:eastAsia="仿宋" w:cstheme="minorBidi"/>
                <w:kern w:val="2"/>
                <w:sz w:val="24"/>
                <w:szCs w:val="24"/>
                <w:lang w:val="en-US" w:eastAsia="zh-CN" w:bidi="ar-SA"/>
              </w:rPr>
            </w:pPr>
            <w:r>
              <w:rPr>
                <w:rFonts w:hint="eastAsia" w:ascii="仿宋" w:hAnsi="仿宋" w:eastAsia="仿宋"/>
                <w:sz w:val="24"/>
                <w:szCs w:val="24"/>
              </w:rPr>
              <w:t>8</w:t>
            </w:r>
          </w:p>
        </w:tc>
        <w:tc>
          <w:tcPr>
            <w:tcW w:w="1005" w:type="dxa"/>
            <w:tcBorders>
              <w:top w:val="nil"/>
              <w:left w:val="nil"/>
              <w:bottom w:val="single" w:color="auto" w:sz="4" w:space="0"/>
              <w:right w:val="single" w:color="auto" w:sz="4" w:space="0"/>
            </w:tcBorders>
            <w:vAlign w:val="center"/>
          </w:tcPr>
          <w:p w14:paraId="0E9DCB81">
            <w:pPr>
              <w:jc w:val="center"/>
              <w:rPr>
                <w:rFonts w:ascii="仿宋" w:hAnsi="仿宋" w:eastAsia="仿宋"/>
                <w:sz w:val="24"/>
                <w:szCs w:val="24"/>
              </w:rPr>
            </w:pPr>
            <w:r>
              <w:rPr>
                <w:rFonts w:hint="eastAsia" w:ascii="仿宋" w:hAnsi="仿宋" w:eastAsia="仿宋"/>
                <w:sz w:val="24"/>
                <w:szCs w:val="24"/>
              </w:rPr>
              <w:t>李淑珍</w:t>
            </w:r>
          </w:p>
        </w:tc>
        <w:tc>
          <w:tcPr>
            <w:tcW w:w="2700" w:type="dxa"/>
            <w:tcBorders>
              <w:top w:val="single" w:color="auto" w:sz="4" w:space="0"/>
              <w:left w:val="nil"/>
              <w:bottom w:val="single" w:color="auto" w:sz="4" w:space="0"/>
              <w:right w:val="single" w:color="auto" w:sz="4" w:space="0"/>
            </w:tcBorders>
            <w:vAlign w:val="center"/>
          </w:tcPr>
          <w:p w14:paraId="4D781780">
            <w:pPr>
              <w:rPr>
                <w:rFonts w:ascii="仿宋" w:hAnsi="仿宋" w:eastAsia="仿宋"/>
                <w:sz w:val="24"/>
                <w:szCs w:val="24"/>
              </w:rPr>
            </w:pPr>
            <w:r>
              <w:rPr>
                <w:rFonts w:hint="eastAsia" w:ascii="仿宋" w:hAnsi="仿宋" w:eastAsia="仿宋"/>
                <w:sz w:val="24"/>
                <w:szCs w:val="24"/>
              </w:rPr>
              <w:t>海南省标准化协会</w:t>
            </w:r>
          </w:p>
        </w:tc>
        <w:tc>
          <w:tcPr>
            <w:tcW w:w="1457" w:type="dxa"/>
            <w:tcBorders>
              <w:top w:val="single" w:color="auto" w:sz="4" w:space="0"/>
              <w:left w:val="nil"/>
              <w:bottom w:val="single" w:color="auto" w:sz="4" w:space="0"/>
              <w:right w:val="single" w:color="auto" w:sz="4" w:space="0"/>
            </w:tcBorders>
            <w:vAlign w:val="center"/>
          </w:tcPr>
          <w:p w14:paraId="36B299BC">
            <w:pPr>
              <w:jc w:val="center"/>
              <w:rPr>
                <w:rFonts w:ascii="仿宋" w:hAnsi="仿宋" w:eastAsia="仿宋"/>
                <w:color w:val="000000"/>
                <w:sz w:val="24"/>
                <w:szCs w:val="24"/>
              </w:rPr>
            </w:pPr>
            <w:r>
              <w:rPr>
                <w:rFonts w:ascii="仿宋" w:hAnsi="仿宋" w:eastAsia="仿宋"/>
                <w:color w:val="000000"/>
                <w:sz w:val="24"/>
                <w:szCs w:val="24"/>
              </w:rPr>
              <w:t>技术人员</w:t>
            </w:r>
          </w:p>
        </w:tc>
        <w:tc>
          <w:tcPr>
            <w:tcW w:w="2992" w:type="dxa"/>
            <w:tcBorders>
              <w:top w:val="single" w:color="auto" w:sz="4" w:space="0"/>
              <w:left w:val="nil"/>
              <w:bottom w:val="single" w:color="auto" w:sz="4" w:space="0"/>
              <w:right w:val="single" w:color="auto" w:sz="4" w:space="0"/>
            </w:tcBorders>
            <w:vAlign w:val="center"/>
          </w:tcPr>
          <w:p w14:paraId="2E4D825B">
            <w:pPr>
              <w:rPr>
                <w:rFonts w:hint="eastAsia" w:ascii="仿宋" w:hAnsi="仿宋" w:eastAsia="仿宋"/>
                <w:sz w:val="24"/>
                <w:szCs w:val="24"/>
              </w:rPr>
            </w:pPr>
            <w:r>
              <w:rPr>
                <w:rFonts w:hint="eastAsia" w:ascii="仿宋" w:hAnsi="仿宋" w:eastAsia="仿宋"/>
                <w:sz w:val="24"/>
                <w:szCs w:val="24"/>
              </w:rPr>
              <w:t>负责收集汇总相关材料、标准起草、编制说明编写、意见处理</w:t>
            </w:r>
          </w:p>
        </w:tc>
        <w:tc>
          <w:tcPr>
            <w:tcW w:w="1255" w:type="dxa"/>
            <w:tcBorders>
              <w:top w:val="single" w:color="auto" w:sz="4" w:space="0"/>
              <w:left w:val="nil"/>
              <w:bottom w:val="single" w:color="auto" w:sz="4" w:space="0"/>
            </w:tcBorders>
            <w:vAlign w:val="center"/>
          </w:tcPr>
          <w:p w14:paraId="483AA8A9">
            <w:pPr>
              <w:rPr>
                <w:rFonts w:hint="default" w:ascii="仿宋" w:hAnsi="仿宋" w:eastAsia="仿宋"/>
                <w:sz w:val="24"/>
                <w:szCs w:val="24"/>
                <w:lang w:val="en-US" w:eastAsia="zh-CN"/>
              </w:rPr>
            </w:pPr>
            <w:r>
              <w:rPr>
                <w:rFonts w:hint="eastAsia" w:ascii="仿宋" w:hAnsi="仿宋" w:eastAsia="仿宋"/>
                <w:sz w:val="24"/>
                <w:szCs w:val="24"/>
                <w:lang w:val="en-US" w:eastAsia="zh-CN"/>
              </w:rPr>
              <w:t>65225991</w:t>
            </w:r>
          </w:p>
        </w:tc>
      </w:tr>
      <w:tr w14:paraId="460A5F7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635" w:type="dxa"/>
            <w:tcBorders>
              <w:top w:val="nil"/>
              <w:bottom w:val="single" w:color="auto" w:sz="4" w:space="0"/>
              <w:right w:val="single" w:color="auto" w:sz="4" w:space="0"/>
            </w:tcBorders>
            <w:shd w:val="clear" w:color="auto" w:fill="auto"/>
            <w:vAlign w:val="center"/>
          </w:tcPr>
          <w:p w14:paraId="303D3768">
            <w:pPr>
              <w:jc w:val="center"/>
              <w:rPr>
                <w:rFonts w:ascii="仿宋" w:hAnsi="仿宋" w:eastAsia="仿宋" w:cstheme="minorBidi"/>
                <w:kern w:val="2"/>
                <w:sz w:val="24"/>
                <w:szCs w:val="24"/>
                <w:lang w:val="en-US" w:eastAsia="zh-CN" w:bidi="ar-SA"/>
              </w:rPr>
            </w:pPr>
            <w:r>
              <w:rPr>
                <w:rFonts w:hint="eastAsia" w:ascii="仿宋" w:hAnsi="仿宋" w:eastAsia="仿宋"/>
                <w:sz w:val="24"/>
                <w:szCs w:val="24"/>
                <w:lang w:val="en-US" w:eastAsia="zh-CN"/>
              </w:rPr>
              <w:t>9</w:t>
            </w:r>
          </w:p>
        </w:tc>
        <w:tc>
          <w:tcPr>
            <w:tcW w:w="1005" w:type="dxa"/>
            <w:tcBorders>
              <w:top w:val="nil"/>
              <w:left w:val="nil"/>
              <w:bottom w:val="single" w:color="auto" w:sz="4" w:space="0"/>
              <w:right w:val="single" w:color="auto" w:sz="4" w:space="0"/>
            </w:tcBorders>
            <w:vAlign w:val="center"/>
          </w:tcPr>
          <w:p w14:paraId="75CE830B">
            <w:pPr>
              <w:jc w:val="center"/>
              <w:rPr>
                <w:rFonts w:ascii="仿宋" w:hAnsi="仿宋" w:eastAsia="仿宋"/>
                <w:sz w:val="24"/>
                <w:szCs w:val="24"/>
              </w:rPr>
            </w:pPr>
            <w:r>
              <w:rPr>
                <w:rFonts w:hint="eastAsia" w:ascii="仿宋" w:hAnsi="仿宋" w:eastAsia="仿宋"/>
                <w:sz w:val="24"/>
                <w:szCs w:val="24"/>
              </w:rPr>
              <w:t>李廷秀</w:t>
            </w:r>
          </w:p>
        </w:tc>
        <w:tc>
          <w:tcPr>
            <w:tcW w:w="2700" w:type="dxa"/>
            <w:tcBorders>
              <w:top w:val="single" w:color="auto" w:sz="4" w:space="0"/>
              <w:left w:val="nil"/>
              <w:bottom w:val="single" w:color="auto" w:sz="4" w:space="0"/>
              <w:right w:val="single" w:color="auto" w:sz="4" w:space="0"/>
            </w:tcBorders>
            <w:vAlign w:val="center"/>
          </w:tcPr>
          <w:p w14:paraId="155730D5">
            <w:pPr>
              <w:rPr>
                <w:rFonts w:ascii="仿宋" w:hAnsi="仿宋" w:eastAsia="仿宋"/>
                <w:sz w:val="24"/>
                <w:szCs w:val="24"/>
              </w:rPr>
            </w:pPr>
            <w:r>
              <w:rPr>
                <w:rFonts w:hint="eastAsia" w:ascii="仿宋" w:hAnsi="仿宋" w:eastAsia="仿宋"/>
                <w:sz w:val="24"/>
                <w:szCs w:val="24"/>
              </w:rPr>
              <w:t>海南省标准化协会</w:t>
            </w:r>
          </w:p>
        </w:tc>
        <w:tc>
          <w:tcPr>
            <w:tcW w:w="1457" w:type="dxa"/>
            <w:tcBorders>
              <w:top w:val="single" w:color="auto" w:sz="4" w:space="0"/>
              <w:left w:val="nil"/>
              <w:bottom w:val="single" w:color="auto" w:sz="4" w:space="0"/>
              <w:right w:val="single" w:color="auto" w:sz="4" w:space="0"/>
            </w:tcBorders>
            <w:vAlign w:val="center"/>
          </w:tcPr>
          <w:p w14:paraId="5AD5E456">
            <w:pPr>
              <w:jc w:val="center"/>
              <w:rPr>
                <w:rFonts w:ascii="仿宋" w:hAnsi="仿宋" w:eastAsia="仿宋"/>
                <w:sz w:val="24"/>
                <w:szCs w:val="24"/>
              </w:rPr>
            </w:pPr>
            <w:r>
              <w:rPr>
                <w:rFonts w:ascii="仿宋" w:hAnsi="仿宋" w:eastAsia="仿宋"/>
                <w:color w:val="000000"/>
                <w:sz w:val="24"/>
                <w:szCs w:val="24"/>
              </w:rPr>
              <w:t>技术人员</w:t>
            </w:r>
          </w:p>
        </w:tc>
        <w:tc>
          <w:tcPr>
            <w:tcW w:w="2992" w:type="dxa"/>
            <w:tcBorders>
              <w:top w:val="single" w:color="auto" w:sz="4" w:space="0"/>
              <w:left w:val="nil"/>
              <w:bottom w:val="single" w:color="auto" w:sz="4" w:space="0"/>
              <w:right w:val="single" w:color="auto" w:sz="4" w:space="0"/>
            </w:tcBorders>
            <w:vAlign w:val="center"/>
          </w:tcPr>
          <w:p w14:paraId="7D0C7291">
            <w:pPr>
              <w:rPr>
                <w:rFonts w:hint="eastAsia" w:ascii="仿宋" w:hAnsi="仿宋" w:eastAsia="仿宋"/>
                <w:sz w:val="24"/>
                <w:szCs w:val="24"/>
              </w:rPr>
            </w:pPr>
            <w:r>
              <w:rPr>
                <w:rFonts w:hint="eastAsia" w:ascii="仿宋" w:hAnsi="仿宋" w:eastAsia="仿宋"/>
                <w:sz w:val="24"/>
                <w:szCs w:val="24"/>
              </w:rPr>
              <w:t>负责收集汇总相关材料、标准起草、编制说明编写、意见处理</w:t>
            </w:r>
          </w:p>
        </w:tc>
        <w:tc>
          <w:tcPr>
            <w:tcW w:w="1255" w:type="dxa"/>
            <w:tcBorders>
              <w:top w:val="single" w:color="auto" w:sz="4" w:space="0"/>
              <w:left w:val="nil"/>
              <w:bottom w:val="single" w:color="auto" w:sz="4" w:space="0"/>
            </w:tcBorders>
            <w:vAlign w:val="center"/>
          </w:tcPr>
          <w:p w14:paraId="2989053B">
            <w:pPr>
              <w:rPr>
                <w:rFonts w:hint="default" w:ascii="仿宋" w:hAnsi="仿宋" w:eastAsia="仿宋"/>
                <w:sz w:val="24"/>
                <w:szCs w:val="24"/>
                <w:lang w:val="en-US" w:eastAsia="zh-CN"/>
              </w:rPr>
            </w:pPr>
            <w:r>
              <w:rPr>
                <w:rFonts w:hint="eastAsia" w:ascii="仿宋" w:hAnsi="仿宋" w:eastAsia="仿宋"/>
                <w:sz w:val="24"/>
                <w:szCs w:val="24"/>
                <w:lang w:val="en-US" w:eastAsia="zh-CN"/>
              </w:rPr>
              <w:t>65225991</w:t>
            </w:r>
          </w:p>
        </w:tc>
      </w:tr>
      <w:tr w14:paraId="09CF394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722" w:hRule="atLeast"/>
        </w:trPr>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14:paraId="0A149145">
            <w:pPr>
              <w:jc w:val="center"/>
              <w:rPr>
                <w:rFonts w:hint="default" w:ascii="仿宋" w:hAnsi="仿宋" w:eastAsia="仿宋" w:cstheme="minorBidi"/>
                <w:kern w:val="2"/>
                <w:sz w:val="24"/>
                <w:szCs w:val="24"/>
                <w:lang w:val="en-US" w:eastAsia="zh-CN" w:bidi="ar-SA"/>
              </w:rPr>
            </w:pPr>
            <w:r>
              <w:rPr>
                <w:rFonts w:hint="eastAsia" w:ascii="仿宋" w:hAnsi="仿宋" w:eastAsia="仿宋"/>
                <w:sz w:val="24"/>
                <w:szCs w:val="24"/>
                <w:lang w:val="en-US" w:eastAsia="zh-CN"/>
              </w:rPr>
              <w:t>10</w:t>
            </w:r>
          </w:p>
        </w:tc>
        <w:tc>
          <w:tcPr>
            <w:tcW w:w="1005" w:type="dxa"/>
            <w:tcBorders>
              <w:top w:val="single" w:color="auto" w:sz="4" w:space="0"/>
              <w:left w:val="single" w:color="auto" w:sz="4" w:space="0"/>
              <w:bottom w:val="single" w:color="auto" w:sz="4" w:space="0"/>
              <w:right w:val="single" w:color="auto" w:sz="4" w:space="0"/>
            </w:tcBorders>
            <w:vAlign w:val="center"/>
          </w:tcPr>
          <w:p w14:paraId="6661634B">
            <w:pPr>
              <w:jc w:val="center"/>
              <w:rPr>
                <w:rFonts w:ascii="仿宋" w:hAnsi="仿宋" w:eastAsia="仿宋"/>
                <w:sz w:val="24"/>
                <w:szCs w:val="24"/>
              </w:rPr>
            </w:pPr>
            <w:r>
              <w:rPr>
                <w:rFonts w:ascii="仿宋" w:hAnsi="仿宋" w:eastAsia="仿宋"/>
                <w:sz w:val="24"/>
                <w:szCs w:val="24"/>
              </w:rPr>
              <w:t>黄家将</w:t>
            </w:r>
          </w:p>
        </w:tc>
        <w:tc>
          <w:tcPr>
            <w:tcW w:w="2700" w:type="dxa"/>
            <w:tcBorders>
              <w:top w:val="single" w:color="auto" w:sz="4" w:space="0"/>
              <w:left w:val="single" w:color="auto" w:sz="4" w:space="0"/>
              <w:bottom w:val="single" w:color="auto" w:sz="4" w:space="0"/>
              <w:right w:val="single" w:color="auto" w:sz="4" w:space="0"/>
            </w:tcBorders>
            <w:vAlign w:val="center"/>
          </w:tcPr>
          <w:p w14:paraId="465C04BD">
            <w:pPr>
              <w:rPr>
                <w:rFonts w:ascii="仿宋" w:hAnsi="仿宋" w:eastAsia="仿宋"/>
                <w:sz w:val="24"/>
                <w:szCs w:val="24"/>
              </w:rPr>
            </w:pPr>
            <w:r>
              <w:rPr>
                <w:rFonts w:hint="eastAsia" w:ascii="仿宋" w:hAnsi="仿宋" w:eastAsia="仿宋"/>
                <w:sz w:val="24"/>
                <w:szCs w:val="24"/>
              </w:rPr>
              <w:t>海南省标准化协会</w:t>
            </w:r>
          </w:p>
        </w:tc>
        <w:tc>
          <w:tcPr>
            <w:tcW w:w="1457" w:type="dxa"/>
            <w:tcBorders>
              <w:top w:val="single" w:color="auto" w:sz="4" w:space="0"/>
              <w:left w:val="single" w:color="auto" w:sz="4" w:space="0"/>
              <w:bottom w:val="single" w:color="auto" w:sz="4" w:space="0"/>
              <w:right w:val="single" w:color="auto" w:sz="4" w:space="0"/>
            </w:tcBorders>
            <w:vAlign w:val="center"/>
          </w:tcPr>
          <w:p w14:paraId="339735AF">
            <w:pPr>
              <w:jc w:val="center"/>
              <w:rPr>
                <w:rFonts w:ascii="仿宋" w:hAnsi="仿宋" w:eastAsia="仿宋"/>
                <w:color w:val="000000"/>
                <w:sz w:val="24"/>
                <w:szCs w:val="24"/>
              </w:rPr>
            </w:pPr>
            <w:r>
              <w:rPr>
                <w:rFonts w:ascii="仿宋" w:hAnsi="仿宋" w:eastAsia="仿宋"/>
                <w:color w:val="000000"/>
                <w:sz w:val="24"/>
                <w:szCs w:val="24"/>
              </w:rPr>
              <w:t>技术人员</w:t>
            </w:r>
          </w:p>
        </w:tc>
        <w:tc>
          <w:tcPr>
            <w:tcW w:w="2992" w:type="dxa"/>
            <w:tcBorders>
              <w:top w:val="single" w:color="auto" w:sz="4" w:space="0"/>
              <w:left w:val="nil"/>
              <w:bottom w:val="single" w:color="auto" w:sz="4" w:space="0"/>
              <w:right w:val="single" w:color="auto" w:sz="4" w:space="0"/>
            </w:tcBorders>
            <w:vAlign w:val="center"/>
          </w:tcPr>
          <w:p w14:paraId="77C766CE">
            <w:pPr>
              <w:rPr>
                <w:rFonts w:hint="eastAsia" w:ascii="仿宋" w:hAnsi="仿宋" w:eastAsia="仿宋"/>
                <w:sz w:val="24"/>
                <w:szCs w:val="24"/>
              </w:rPr>
            </w:pPr>
            <w:r>
              <w:rPr>
                <w:rFonts w:hint="eastAsia" w:ascii="仿宋" w:hAnsi="仿宋" w:eastAsia="仿宋"/>
                <w:sz w:val="24"/>
                <w:szCs w:val="24"/>
              </w:rPr>
              <w:t>负责收集汇总相关材料、标准起草、编制说明编写、意见处理</w:t>
            </w:r>
          </w:p>
        </w:tc>
        <w:tc>
          <w:tcPr>
            <w:tcW w:w="1255" w:type="dxa"/>
            <w:tcBorders>
              <w:top w:val="single" w:color="auto" w:sz="4" w:space="0"/>
              <w:left w:val="nil"/>
              <w:bottom w:val="single" w:color="auto" w:sz="4" w:space="0"/>
            </w:tcBorders>
            <w:vAlign w:val="center"/>
          </w:tcPr>
          <w:p w14:paraId="67E404CA">
            <w:pPr>
              <w:rPr>
                <w:rFonts w:hint="eastAsia" w:ascii="仿宋" w:hAnsi="仿宋" w:eastAsia="仿宋"/>
                <w:sz w:val="24"/>
                <w:szCs w:val="24"/>
              </w:rPr>
            </w:pPr>
            <w:r>
              <w:rPr>
                <w:rFonts w:hint="eastAsia" w:ascii="仿宋" w:hAnsi="仿宋" w:eastAsia="仿宋"/>
                <w:sz w:val="24"/>
                <w:szCs w:val="24"/>
                <w:lang w:val="en-US" w:eastAsia="zh-CN"/>
              </w:rPr>
              <w:t>65225991</w:t>
            </w:r>
          </w:p>
        </w:tc>
      </w:tr>
      <w:tr w14:paraId="4F82CE0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722" w:hRule="atLeast"/>
        </w:trPr>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14:paraId="3568B115">
            <w:pPr>
              <w:jc w:val="center"/>
              <w:rPr>
                <w:rFonts w:hint="default" w:ascii="仿宋" w:hAnsi="仿宋" w:eastAsia="仿宋" w:cstheme="minorBidi"/>
                <w:kern w:val="2"/>
                <w:sz w:val="24"/>
                <w:szCs w:val="24"/>
                <w:lang w:val="en-US" w:eastAsia="zh-CN" w:bidi="ar-SA"/>
              </w:rPr>
            </w:pPr>
            <w:r>
              <w:rPr>
                <w:rFonts w:hint="eastAsia" w:ascii="仿宋" w:hAnsi="仿宋" w:eastAsia="仿宋"/>
                <w:sz w:val="24"/>
                <w:szCs w:val="24"/>
                <w:lang w:val="en-US" w:eastAsia="zh-CN"/>
              </w:rPr>
              <w:t>11</w:t>
            </w:r>
          </w:p>
        </w:tc>
        <w:tc>
          <w:tcPr>
            <w:tcW w:w="1005" w:type="dxa"/>
            <w:tcBorders>
              <w:top w:val="single" w:color="auto" w:sz="4" w:space="0"/>
              <w:left w:val="single" w:color="auto" w:sz="4" w:space="0"/>
              <w:bottom w:val="single" w:color="auto" w:sz="4" w:space="0"/>
              <w:right w:val="single" w:color="auto" w:sz="4" w:space="0"/>
            </w:tcBorders>
            <w:vAlign w:val="center"/>
          </w:tcPr>
          <w:p w14:paraId="14A3F351">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汤雪</w:t>
            </w:r>
          </w:p>
        </w:tc>
        <w:tc>
          <w:tcPr>
            <w:tcW w:w="2700" w:type="dxa"/>
            <w:tcBorders>
              <w:top w:val="single" w:color="auto" w:sz="4" w:space="0"/>
              <w:left w:val="single" w:color="auto" w:sz="4" w:space="0"/>
              <w:bottom w:val="single" w:color="auto" w:sz="4" w:space="0"/>
              <w:right w:val="single" w:color="auto" w:sz="4" w:space="0"/>
            </w:tcBorders>
            <w:vAlign w:val="center"/>
          </w:tcPr>
          <w:p w14:paraId="443BA4C8">
            <w:pPr>
              <w:rPr>
                <w:rFonts w:hint="eastAsia" w:ascii="仿宋" w:hAnsi="仿宋" w:eastAsia="仿宋"/>
                <w:sz w:val="24"/>
                <w:szCs w:val="24"/>
              </w:rPr>
            </w:pPr>
            <w:r>
              <w:rPr>
                <w:rFonts w:hint="eastAsia" w:ascii="仿宋" w:hAnsi="仿宋" w:eastAsia="仿宋"/>
                <w:sz w:val="24"/>
                <w:szCs w:val="24"/>
              </w:rPr>
              <w:t>海南省标准化协会</w:t>
            </w:r>
          </w:p>
        </w:tc>
        <w:tc>
          <w:tcPr>
            <w:tcW w:w="1457" w:type="dxa"/>
            <w:tcBorders>
              <w:top w:val="single" w:color="auto" w:sz="4" w:space="0"/>
              <w:left w:val="single" w:color="auto" w:sz="4" w:space="0"/>
              <w:bottom w:val="single" w:color="auto" w:sz="4" w:space="0"/>
              <w:right w:val="single" w:color="auto" w:sz="4" w:space="0"/>
            </w:tcBorders>
            <w:vAlign w:val="center"/>
          </w:tcPr>
          <w:p w14:paraId="4A56ED97">
            <w:pPr>
              <w:jc w:val="center"/>
              <w:rPr>
                <w:rFonts w:ascii="仿宋" w:hAnsi="仿宋" w:eastAsia="仿宋"/>
                <w:color w:val="000000"/>
                <w:sz w:val="24"/>
                <w:szCs w:val="24"/>
              </w:rPr>
            </w:pPr>
            <w:r>
              <w:rPr>
                <w:rFonts w:ascii="仿宋" w:hAnsi="仿宋" w:eastAsia="仿宋"/>
                <w:color w:val="000000"/>
                <w:sz w:val="24"/>
                <w:szCs w:val="24"/>
              </w:rPr>
              <w:t>技术人员</w:t>
            </w:r>
          </w:p>
        </w:tc>
        <w:tc>
          <w:tcPr>
            <w:tcW w:w="2992" w:type="dxa"/>
            <w:tcBorders>
              <w:top w:val="single" w:color="auto" w:sz="4" w:space="0"/>
              <w:left w:val="nil"/>
              <w:bottom w:val="single" w:color="auto" w:sz="4" w:space="0"/>
              <w:right w:val="single" w:color="auto" w:sz="4" w:space="0"/>
            </w:tcBorders>
            <w:vAlign w:val="center"/>
          </w:tcPr>
          <w:p w14:paraId="15968028">
            <w:pPr>
              <w:rPr>
                <w:rFonts w:hint="eastAsia" w:ascii="仿宋" w:hAnsi="仿宋" w:eastAsia="仿宋"/>
                <w:sz w:val="24"/>
                <w:szCs w:val="24"/>
              </w:rPr>
            </w:pPr>
            <w:r>
              <w:rPr>
                <w:rFonts w:hint="eastAsia" w:ascii="仿宋" w:hAnsi="仿宋" w:eastAsia="仿宋"/>
                <w:sz w:val="24"/>
                <w:szCs w:val="24"/>
              </w:rPr>
              <w:t>负责收集汇总相关材料、标准起草、编制说明编写、意见处理</w:t>
            </w:r>
          </w:p>
        </w:tc>
        <w:tc>
          <w:tcPr>
            <w:tcW w:w="1255" w:type="dxa"/>
            <w:tcBorders>
              <w:top w:val="single" w:color="auto" w:sz="4" w:space="0"/>
              <w:left w:val="nil"/>
              <w:bottom w:val="single" w:color="auto" w:sz="4" w:space="0"/>
            </w:tcBorders>
            <w:vAlign w:val="center"/>
          </w:tcPr>
          <w:p w14:paraId="348F4313">
            <w:pPr>
              <w:rPr>
                <w:rFonts w:hint="eastAsia" w:ascii="宋体" w:hAnsi="宋体"/>
                <w:sz w:val="24"/>
                <w:szCs w:val="24"/>
                <w:lang w:val="en-US" w:eastAsia="zh-CN"/>
              </w:rPr>
            </w:pPr>
            <w:r>
              <w:rPr>
                <w:rFonts w:hint="eastAsia" w:ascii="仿宋" w:hAnsi="仿宋" w:eastAsia="仿宋"/>
                <w:sz w:val="24"/>
                <w:szCs w:val="24"/>
                <w:lang w:val="en-US" w:eastAsia="zh-CN"/>
              </w:rPr>
              <w:t>65225991</w:t>
            </w:r>
          </w:p>
        </w:tc>
      </w:tr>
      <w:tr w14:paraId="00D6149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722" w:hRule="atLeast"/>
        </w:trPr>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14:paraId="47F839F1">
            <w:pPr>
              <w:jc w:val="center"/>
              <w:rPr>
                <w:rFonts w:hint="default" w:ascii="仿宋" w:hAnsi="仿宋" w:eastAsia="仿宋" w:cstheme="minorBidi"/>
                <w:kern w:val="2"/>
                <w:sz w:val="24"/>
                <w:szCs w:val="24"/>
                <w:lang w:val="en-US" w:eastAsia="zh-CN" w:bidi="ar-SA"/>
              </w:rPr>
            </w:pPr>
            <w:r>
              <w:rPr>
                <w:rFonts w:hint="eastAsia" w:ascii="仿宋" w:hAnsi="仿宋" w:eastAsia="仿宋"/>
                <w:sz w:val="24"/>
                <w:szCs w:val="24"/>
                <w:lang w:val="en-US" w:eastAsia="zh-CN"/>
              </w:rPr>
              <w:t>12</w:t>
            </w:r>
          </w:p>
        </w:tc>
        <w:tc>
          <w:tcPr>
            <w:tcW w:w="1005" w:type="dxa"/>
            <w:tcBorders>
              <w:top w:val="single" w:color="auto" w:sz="4" w:space="0"/>
              <w:left w:val="single" w:color="auto" w:sz="4" w:space="0"/>
              <w:bottom w:val="single" w:color="auto" w:sz="4" w:space="0"/>
              <w:right w:val="single" w:color="auto" w:sz="4" w:space="0"/>
            </w:tcBorders>
            <w:vAlign w:val="center"/>
          </w:tcPr>
          <w:p w14:paraId="6917EC21">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李伟</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201BDD26">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海南省标准化协会</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14:paraId="1CAB1BBF">
            <w:pPr>
              <w:jc w:val="center"/>
              <w:rPr>
                <w:rFonts w:ascii="仿宋" w:hAnsi="仿宋" w:eastAsia="仿宋" w:cstheme="minorBidi"/>
                <w:color w:val="000000"/>
                <w:kern w:val="2"/>
                <w:sz w:val="24"/>
                <w:szCs w:val="24"/>
                <w:lang w:val="en-US" w:eastAsia="zh-CN" w:bidi="ar-SA"/>
              </w:rPr>
            </w:pPr>
            <w:r>
              <w:rPr>
                <w:rFonts w:ascii="仿宋" w:hAnsi="仿宋" w:eastAsia="仿宋"/>
                <w:color w:val="000000"/>
                <w:sz w:val="24"/>
                <w:szCs w:val="24"/>
              </w:rPr>
              <w:t>技术人员</w:t>
            </w:r>
          </w:p>
        </w:tc>
        <w:tc>
          <w:tcPr>
            <w:tcW w:w="2992" w:type="dxa"/>
            <w:tcBorders>
              <w:top w:val="single" w:color="auto" w:sz="4" w:space="0"/>
              <w:left w:val="nil"/>
              <w:bottom w:val="single" w:color="auto" w:sz="4" w:space="0"/>
              <w:right w:val="single" w:color="auto" w:sz="4" w:space="0"/>
            </w:tcBorders>
            <w:shd w:val="clear" w:color="auto" w:fill="auto"/>
            <w:vAlign w:val="center"/>
          </w:tcPr>
          <w:p w14:paraId="4AB8F17D">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负责收集汇总相关材料、标准起草、编制说明编写、意见处理</w:t>
            </w:r>
          </w:p>
        </w:tc>
        <w:tc>
          <w:tcPr>
            <w:tcW w:w="1255" w:type="dxa"/>
            <w:tcBorders>
              <w:top w:val="single" w:color="auto" w:sz="4" w:space="0"/>
              <w:left w:val="nil"/>
              <w:bottom w:val="single" w:color="auto" w:sz="4" w:space="0"/>
            </w:tcBorders>
            <w:shd w:val="clear" w:color="auto" w:fill="auto"/>
            <w:vAlign w:val="center"/>
          </w:tcPr>
          <w:p w14:paraId="71C591AE">
            <w:pPr>
              <w:rPr>
                <w:rFonts w:hint="eastAsia" w:ascii="宋体" w:hAnsi="宋体" w:eastAsiaTheme="minorEastAsia" w:cstheme="minorBidi"/>
                <w:kern w:val="2"/>
                <w:sz w:val="24"/>
                <w:szCs w:val="24"/>
                <w:lang w:val="en-US" w:eastAsia="zh-CN" w:bidi="ar-SA"/>
              </w:rPr>
            </w:pPr>
            <w:r>
              <w:rPr>
                <w:rFonts w:hint="eastAsia" w:ascii="仿宋" w:hAnsi="仿宋" w:eastAsia="仿宋"/>
                <w:sz w:val="24"/>
                <w:szCs w:val="24"/>
                <w:lang w:val="en-US" w:eastAsia="zh-CN"/>
              </w:rPr>
              <w:t>65225991</w:t>
            </w:r>
          </w:p>
        </w:tc>
      </w:tr>
      <w:tr w14:paraId="41CAA2D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722" w:hRule="atLeast"/>
        </w:trPr>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14:paraId="018A0ACB">
            <w:pPr>
              <w:jc w:val="center"/>
              <w:rPr>
                <w:rFonts w:hint="default" w:ascii="仿宋" w:hAnsi="仿宋" w:eastAsia="仿宋" w:cstheme="minorBidi"/>
                <w:kern w:val="2"/>
                <w:sz w:val="24"/>
                <w:szCs w:val="24"/>
                <w:lang w:val="en-US" w:eastAsia="zh-CN" w:bidi="ar-SA"/>
              </w:rPr>
            </w:pPr>
            <w:r>
              <w:rPr>
                <w:rFonts w:hint="eastAsia" w:ascii="仿宋" w:hAnsi="仿宋" w:eastAsia="仿宋"/>
                <w:sz w:val="24"/>
                <w:szCs w:val="24"/>
                <w:lang w:val="en-US" w:eastAsia="zh-CN"/>
              </w:rPr>
              <w:t>13</w:t>
            </w:r>
          </w:p>
        </w:tc>
        <w:tc>
          <w:tcPr>
            <w:tcW w:w="1005" w:type="dxa"/>
            <w:tcBorders>
              <w:top w:val="single" w:color="auto" w:sz="4" w:space="0"/>
              <w:left w:val="single" w:color="auto" w:sz="4" w:space="0"/>
              <w:bottom w:val="single" w:color="auto" w:sz="4" w:space="0"/>
              <w:right w:val="single" w:color="auto" w:sz="4" w:space="0"/>
            </w:tcBorders>
            <w:vAlign w:val="center"/>
          </w:tcPr>
          <w:p w14:paraId="3AE005D7">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金佳佳</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31DDD44F">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海南省标准化协会</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14:paraId="2C55AAEE">
            <w:pPr>
              <w:jc w:val="center"/>
              <w:rPr>
                <w:rFonts w:ascii="仿宋" w:hAnsi="仿宋" w:eastAsia="仿宋" w:cstheme="minorBidi"/>
                <w:color w:val="000000"/>
                <w:kern w:val="2"/>
                <w:sz w:val="24"/>
                <w:szCs w:val="24"/>
                <w:lang w:val="en-US" w:eastAsia="zh-CN" w:bidi="ar-SA"/>
              </w:rPr>
            </w:pPr>
            <w:r>
              <w:rPr>
                <w:rFonts w:ascii="仿宋" w:hAnsi="仿宋" w:eastAsia="仿宋"/>
                <w:color w:val="000000"/>
                <w:sz w:val="24"/>
                <w:szCs w:val="24"/>
              </w:rPr>
              <w:t>技术人员</w:t>
            </w:r>
          </w:p>
        </w:tc>
        <w:tc>
          <w:tcPr>
            <w:tcW w:w="2992" w:type="dxa"/>
            <w:tcBorders>
              <w:top w:val="single" w:color="auto" w:sz="4" w:space="0"/>
              <w:left w:val="nil"/>
              <w:bottom w:val="single" w:color="auto" w:sz="4" w:space="0"/>
              <w:right w:val="single" w:color="auto" w:sz="4" w:space="0"/>
            </w:tcBorders>
            <w:shd w:val="clear" w:color="auto" w:fill="auto"/>
            <w:vAlign w:val="center"/>
          </w:tcPr>
          <w:p w14:paraId="764D96C6">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负责收集汇总相关材料、标准起草、编制说明编写、意见处理</w:t>
            </w:r>
          </w:p>
        </w:tc>
        <w:tc>
          <w:tcPr>
            <w:tcW w:w="1255" w:type="dxa"/>
            <w:tcBorders>
              <w:top w:val="single" w:color="auto" w:sz="4" w:space="0"/>
              <w:left w:val="nil"/>
              <w:bottom w:val="single" w:color="auto" w:sz="4" w:space="0"/>
            </w:tcBorders>
            <w:shd w:val="clear" w:color="auto" w:fill="auto"/>
            <w:vAlign w:val="center"/>
          </w:tcPr>
          <w:p w14:paraId="46681910">
            <w:pPr>
              <w:rPr>
                <w:rFonts w:hint="eastAsia" w:ascii="宋体" w:hAnsi="宋体" w:eastAsiaTheme="minorEastAsia" w:cstheme="minorBidi"/>
                <w:kern w:val="2"/>
                <w:sz w:val="24"/>
                <w:szCs w:val="24"/>
                <w:lang w:val="en-US" w:eastAsia="zh-CN" w:bidi="ar-SA"/>
              </w:rPr>
            </w:pPr>
            <w:r>
              <w:rPr>
                <w:rFonts w:hint="eastAsia" w:ascii="仿宋" w:hAnsi="仿宋" w:eastAsia="仿宋"/>
                <w:sz w:val="24"/>
                <w:szCs w:val="24"/>
                <w:lang w:val="en-US" w:eastAsia="zh-CN"/>
              </w:rPr>
              <w:t>65225991</w:t>
            </w:r>
          </w:p>
        </w:tc>
      </w:tr>
      <w:tr w14:paraId="0B63F10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722" w:hRule="atLeast"/>
        </w:trPr>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14:paraId="6FA14FD2">
            <w:pPr>
              <w:jc w:val="center"/>
              <w:rPr>
                <w:rFonts w:hint="default" w:ascii="仿宋" w:hAnsi="仿宋" w:eastAsia="仿宋" w:cstheme="minorBidi"/>
                <w:kern w:val="2"/>
                <w:sz w:val="24"/>
                <w:szCs w:val="24"/>
                <w:lang w:val="en-US" w:eastAsia="zh-CN" w:bidi="ar-SA"/>
              </w:rPr>
            </w:pPr>
            <w:r>
              <w:rPr>
                <w:rFonts w:hint="eastAsia" w:ascii="仿宋" w:hAnsi="仿宋" w:eastAsia="仿宋"/>
                <w:sz w:val="24"/>
                <w:szCs w:val="24"/>
                <w:lang w:val="en-US" w:eastAsia="zh-CN"/>
              </w:rPr>
              <w:t>14</w:t>
            </w:r>
          </w:p>
        </w:tc>
        <w:tc>
          <w:tcPr>
            <w:tcW w:w="1005" w:type="dxa"/>
            <w:tcBorders>
              <w:top w:val="single" w:color="auto" w:sz="4" w:space="0"/>
              <w:left w:val="single" w:color="auto" w:sz="4" w:space="0"/>
              <w:bottom w:val="single" w:color="auto" w:sz="4" w:space="0"/>
              <w:right w:val="single" w:color="auto" w:sz="4" w:space="0"/>
            </w:tcBorders>
            <w:vAlign w:val="center"/>
          </w:tcPr>
          <w:p w14:paraId="4DF9A926">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王杏文</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17242AA1">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海南省标准化协会</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14:paraId="0590AA58">
            <w:pPr>
              <w:jc w:val="center"/>
              <w:rPr>
                <w:rFonts w:ascii="仿宋" w:hAnsi="仿宋" w:eastAsia="仿宋" w:cstheme="minorBidi"/>
                <w:color w:val="000000"/>
                <w:kern w:val="2"/>
                <w:sz w:val="24"/>
                <w:szCs w:val="24"/>
                <w:lang w:val="en-US" w:eastAsia="zh-CN" w:bidi="ar-SA"/>
              </w:rPr>
            </w:pPr>
            <w:r>
              <w:rPr>
                <w:rFonts w:ascii="仿宋" w:hAnsi="仿宋" w:eastAsia="仿宋"/>
                <w:color w:val="000000"/>
                <w:sz w:val="24"/>
                <w:szCs w:val="24"/>
              </w:rPr>
              <w:t>技术人员</w:t>
            </w:r>
          </w:p>
        </w:tc>
        <w:tc>
          <w:tcPr>
            <w:tcW w:w="2992" w:type="dxa"/>
            <w:tcBorders>
              <w:top w:val="single" w:color="auto" w:sz="4" w:space="0"/>
              <w:left w:val="nil"/>
              <w:bottom w:val="single" w:color="auto" w:sz="4" w:space="0"/>
              <w:right w:val="single" w:color="auto" w:sz="4" w:space="0"/>
            </w:tcBorders>
            <w:shd w:val="clear" w:color="auto" w:fill="auto"/>
            <w:vAlign w:val="center"/>
          </w:tcPr>
          <w:p w14:paraId="5E0CBFF7">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负责收集汇总相关材料、标准起草、编制说明编写、意见处理</w:t>
            </w:r>
          </w:p>
        </w:tc>
        <w:tc>
          <w:tcPr>
            <w:tcW w:w="1255" w:type="dxa"/>
            <w:tcBorders>
              <w:top w:val="single" w:color="auto" w:sz="4" w:space="0"/>
              <w:left w:val="nil"/>
              <w:bottom w:val="single" w:color="auto" w:sz="4" w:space="0"/>
            </w:tcBorders>
            <w:shd w:val="clear" w:color="auto" w:fill="auto"/>
            <w:vAlign w:val="center"/>
          </w:tcPr>
          <w:p w14:paraId="53135563">
            <w:pPr>
              <w:rPr>
                <w:rFonts w:hint="eastAsia" w:ascii="宋体" w:hAnsi="宋体" w:eastAsiaTheme="minorEastAsia" w:cstheme="minorBidi"/>
                <w:kern w:val="2"/>
                <w:sz w:val="24"/>
                <w:szCs w:val="24"/>
                <w:lang w:val="en-US" w:eastAsia="zh-CN" w:bidi="ar-SA"/>
              </w:rPr>
            </w:pPr>
            <w:r>
              <w:rPr>
                <w:rFonts w:hint="eastAsia" w:ascii="仿宋" w:hAnsi="仿宋" w:eastAsia="仿宋"/>
                <w:sz w:val="24"/>
                <w:szCs w:val="24"/>
                <w:lang w:val="en-US" w:eastAsia="zh-CN"/>
              </w:rPr>
              <w:t>65225991</w:t>
            </w:r>
          </w:p>
        </w:tc>
      </w:tr>
      <w:tr w14:paraId="5DD43C3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722" w:hRule="atLeast"/>
        </w:trPr>
        <w:tc>
          <w:tcPr>
            <w:tcW w:w="635" w:type="dxa"/>
            <w:tcBorders>
              <w:top w:val="single" w:color="auto" w:sz="4" w:space="0"/>
              <w:left w:val="single" w:color="auto" w:sz="4" w:space="0"/>
              <w:bottom w:val="single" w:color="auto" w:sz="4" w:space="0"/>
              <w:right w:val="single" w:color="auto" w:sz="4" w:space="0"/>
            </w:tcBorders>
            <w:vAlign w:val="center"/>
          </w:tcPr>
          <w:p w14:paraId="669DFBB4">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15</w:t>
            </w:r>
          </w:p>
        </w:tc>
        <w:tc>
          <w:tcPr>
            <w:tcW w:w="1005" w:type="dxa"/>
            <w:tcBorders>
              <w:top w:val="single" w:color="auto" w:sz="4" w:space="0"/>
              <w:left w:val="single" w:color="auto" w:sz="4" w:space="0"/>
              <w:bottom w:val="single" w:color="auto" w:sz="4" w:space="0"/>
              <w:right w:val="single" w:color="auto" w:sz="4" w:space="0"/>
            </w:tcBorders>
            <w:vAlign w:val="center"/>
          </w:tcPr>
          <w:p w14:paraId="7D017628">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黄宏毓</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340F8D21">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海南省标准化协会</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14:paraId="195DBC7A">
            <w:pPr>
              <w:jc w:val="center"/>
              <w:rPr>
                <w:rFonts w:ascii="仿宋" w:hAnsi="仿宋" w:eastAsia="仿宋" w:cstheme="minorBidi"/>
                <w:color w:val="000000"/>
                <w:kern w:val="2"/>
                <w:sz w:val="24"/>
                <w:szCs w:val="24"/>
                <w:lang w:val="en-US" w:eastAsia="zh-CN" w:bidi="ar-SA"/>
              </w:rPr>
            </w:pPr>
            <w:r>
              <w:rPr>
                <w:rFonts w:ascii="仿宋" w:hAnsi="仿宋" w:eastAsia="仿宋"/>
                <w:color w:val="000000"/>
                <w:sz w:val="24"/>
                <w:szCs w:val="24"/>
              </w:rPr>
              <w:t>技术人员</w:t>
            </w:r>
          </w:p>
        </w:tc>
        <w:tc>
          <w:tcPr>
            <w:tcW w:w="2992" w:type="dxa"/>
            <w:tcBorders>
              <w:top w:val="single" w:color="auto" w:sz="4" w:space="0"/>
              <w:left w:val="nil"/>
              <w:bottom w:val="single" w:color="auto" w:sz="4" w:space="0"/>
              <w:right w:val="single" w:color="auto" w:sz="4" w:space="0"/>
            </w:tcBorders>
            <w:shd w:val="clear" w:color="auto" w:fill="auto"/>
            <w:vAlign w:val="center"/>
          </w:tcPr>
          <w:p w14:paraId="45458505">
            <w:pPr>
              <w:rPr>
                <w:rFonts w:hint="eastAsia" w:ascii="仿宋" w:hAnsi="仿宋" w:eastAsia="仿宋" w:cstheme="minorBidi"/>
                <w:kern w:val="2"/>
                <w:sz w:val="24"/>
                <w:szCs w:val="24"/>
                <w:lang w:val="en-US" w:eastAsia="zh-CN" w:bidi="ar-SA"/>
              </w:rPr>
            </w:pPr>
            <w:r>
              <w:rPr>
                <w:rFonts w:hint="eastAsia" w:ascii="仿宋" w:hAnsi="仿宋" w:eastAsia="仿宋"/>
                <w:sz w:val="24"/>
                <w:szCs w:val="24"/>
              </w:rPr>
              <w:t>负责收集汇总相关材料、标准起草、编制说明编写、意见处理</w:t>
            </w:r>
          </w:p>
        </w:tc>
        <w:tc>
          <w:tcPr>
            <w:tcW w:w="1255" w:type="dxa"/>
            <w:tcBorders>
              <w:top w:val="single" w:color="auto" w:sz="4" w:space="0"/>
              <w:left w:val="nil"/>
              <w:bottom w:val="single" w:color="auto" w:sz="4" w:space="0"/>
            </w:tcBorders>
            <w:shd w:val="clear" w:color="auto" w:fill="auto"/>
            <w:vAlign w:val="center"/>
          </w:tcPr>
          <w:p w14:paraId="44BC1D24">
            <w:pPr>
              <w:rPr>
                <w:rFonts w:hint="eastAsia" w:ascii="宋体" w:hAnsi="宋体" w:eastAsiaTheme="minorEastAsia" w:cstheme="minorBidi"/>
                <w:kern w:val="2"/>
                <w:sz w:val="24"/>
                <w:szCs w:val="24"/>
                <w:lang w:val="en-US" w:eastAsia="zh-CN" w:bidi="ar-SA"/>
              </w:rPr>
            </w:pPr>
            <w:r>
              <w:rPr>
                <w:rFonts w:hint="eastAsia" w:ascii="仿宋" w:hAnsi="仿宋" w:eastAsia="仿宋"/>
                <w:sz w:val="24"/>
                <w:szCs w:val="24"/>
                <w:lang w:val="en-US" w:eastAsia="zh-CN"/>
              </w:rPr>
              <w:t>65225991</w:t>
            </w:r>
          </w:p>
        </w:tc>
      </w:tr>
    </w:tbl>
    <w:p w14:paraId="64A9F081">
      <w:pPr>
        <w:pStyle w:val="3"/>
        <w:rPr>
          <w:rFonts w:ascii="黑体" w:hAnsi="黑体" w:eastAsia="黑体"/>
        </w:rPr>
      </w:pPr>
      <w:r>
        <w:rPr>
          <w:rFonts w:ascii="黑体" w:hAnsi="黑体" w:eastAsia="黑体"/>
        </w:rPr>
        <w:t>二、编制情况</w:t>
      </w:r>
    </w:p>
    <w:p w14:paraId="4A512C11">
      <w:pPr>
        <w:ind w:firstLine="643" w:firstLineChars="200"/>
        <w:rPr>
          <w:rFonts w:ascii="楷体_GB2312" w:hAnsi="仿宋" w:eastAsia="楷体_GB2312"/>
          <w:b/>
          <w:sz w:val="32"/>
          <w:szCs w:val="32"/>
        </w:rPr>
      </w:pPr>
      <w:r>
        <w:rPr>
          <w:rFonts w:hint="eastAsia" w:ascii="楷体_GB2312" w:hAnsi="仿宋" w:eastAsia="楷体_GB2312"/>
          <w:b/>
          <w:sz w:val="32"/>
          <w:szCs w:val="32"/>
        </w:rPr>
        <w:t>（一）编制标准的必要性和意义及背景</w:t>
      </w:r>
    </w:p>
    <w:p w14:paraId="58DF3A7F">
      <w:pPr>
        <w:spacing w:line="360" w:lineRule="auto"/>
        <w:ind w:firstLine="640" w:firstLineChars="200"/>
        <w:rPr>
          <w:rFonts w:ascii="仿宋" w:hAnsi="仿宋" w:eastAsia="仿宋"/>
          <w:sz w:val="32"/>
          <w:szCs w:val="32"/>
        </w:rPr>
      </w:pPr>
      <w:r>
        <w:rPr>
          <w:rFonts w:hint="eastAsia" w:ascii="仿宋" w:hAnsi="仿宋" w:eastAsia="仿宋"/>
          <w:sz w:val="32"/>
          <w:szCs w:val="32"/>
        </w:rPr>
        <w:t>2015年6月，国务院发布《法人和其他组织统一社会信用代码制度建设总体方案》（国发【2015】33号），正式实施统一社会信用代码（以下简称“统一代码”）制度。统一代码取代了我国多年来并存使用的各类机构代码，如工商注册号、组织机构代码、纳税人识别号等，以建立覆盖全面、稳定且唯一的机构代码制度，为转变政府职能、提升行政效能、减轻法人和其他组织负担奠定了基础。统一社会信用代码是组织机构在中华人民共和国境内唯一的、始终不变的法定代码标识，是部门间数据共享、信用公示、联合惩戒的主要抓手，是推动社会信用体系建设高质量发展的重要基石。</w:t>
      </w:r>
    </w:p>
    <w:p w14:paraId="111C05DE">
      <w:pPr>
        <w:spacing w:line="360" w:lineRule="auto"/>
        <w:ind w:firstLine="640" w:firstLineChars="200"/>
        <w:rPr>
          <w:rFonts w:ascii="仿宋" w:hAnsi="仿宋" w:eastAsia="仿宋"/>
          <w:sz w:val="32"/>
          <w:szCs w:val="32"/>
        </w:rPr>
      </w:pPr>
      <w:r>
        <w:rPr>
          <w:rFonts w:hint="eastAsia" w:ascii="仿宋" w:hAnsi="仿宋" w:eastAsia="仿宋"/>
          <w:sz w:val="32"/>
          <w:szCs w:val="32"/>
        </w:rPr>
        <w:t>统一代码由各登记管理部门源头赋码，并及时将登记信息回传至统一代码数据库。统一代码数据库是由组织机构代码管理部门负责建设和运维，对来源于登记管理部门的数据进行清洗、整合后，形成的包含所有依法成立的法人和其他组织的基础信息数据库。统一代码数据库包含了机关、企事业单位、社团、工会等所有依法成立的组织机构，实现了对各类组织机构的全覆盖，真正实现了一数一源，一机构一码，是政务信息共享的重要主数据。</w:t>
      </w:r>
    </w:p>
    <w:p w14:paraId="632C04A3">
      <w:pPr>
        <w:spacing w:line="360" w:lineRule="auto"/>
        <w:ind w:firstLine="640" w:firstLineChars="200"/>
        <w:rPr>
          <w:rFonts w:ascii="仿宋" w:hAnsi="仿宋" w:eastAsia="仿宋"/>
          <w:sz w:val="32"/>
          <w:szCs w:val="32"/>
        </w:rPr>
      </w:pPr>
      <w:r>
        <w:rPr>
          <w:rFonts w:hint="eastAsia" w:ascii="仿宋" w:hAnsi="仿宋" w:eastAsia="仿宋"/>
          <w:sz w:val="32"/>
          <w:szCs w:val="32"/>
        </w:rPr>
        <w:t>按照33号文规定的流程，目前各地在建设统一代码数据库时，基本都是由组织机构代码管理部门通过政务数据共享平台等方式，获取登记管理部门所上传的数据，再进行适当的数据清洗、加工而完成。全国统一代码数据库则是由各地统一代码数据汇聚而实现。可以看出，这种工作机制中，组织机构代码管理部门完全处于被动接收信息的地位，无法形成有效的数据校核、反馈、勘误机制，数据质量无法得到保证。</w:t>
      </w:r>
    </w:p>
    <w:p w14:paraId="33B1F376">
      <w:pPr>
        <w:ind w:firstLine="640" w:firstLineChars="200"/>
        <w:rPr>
          <w:rFonts w:ascii="仿宋" w:hAnsi="仿宋" w:eastAsia="仿宋"/>
          <w:sz w:val="32"/>
          <w:szCs w:val="32"/>
        </w:rPr>
      </w:pPr>
      <w:r>
        <w:rPr>
          <w:rFonts w:hint="eastAsia" w:ascii="仿宋" w:hAnsi="仿宋" w:eastAsia="仿宋"/>
          <w:sz w:val="32"/>
          <w:szCs w:val="32"/>
        </w:rPr>
        <w:t>海南自2014年12月开展多证合一以来，机构改革工作一直走在全国前列。在此过程中，组织机构代码管理部门积极参与，主动承担了“多证合一”系统集成工作，负责“多证合一、一照一码”</w:t>
      </w:r>
      <w:r>
        <w:rPr>
          <w:rFonts w:hint="eastAsia" w:ascii="仿宋" w:hAnsi="仿宋" w:eastAsia="仿宋"/>
          <w:color w:val="0000FF"/>
          <w:sz w:val="32"/>
          <w:szCs w:val="32"/>
        </w:rPr>
        <w:t>登记中几个部门之间数据分发和校核等</w:t>
      </w:r>
      <w:r>
        <w:rPr>
          <w:rFonts w:hint="eastAsia" w:ascii="仿宋" w:hAnsi="仿宋" w:eastAsia="仿宋"/>
          <w:sz w:val="32"/>
          <w:szCs w:val="32"/>
        </w:rPr>
        <w:t>工作。在统一代码制度实施之后，也是延续了这种高效的工作流程，即：登记管理部门负责赋码和信息采集，并实时回传至组织机构代码管理部门；组织机构代码管理部门负责数据接收和数据校核，并将数据</w:t>
      </w:r>
      <w:r>
        <w:rPr>
          <w:rFonts w:hint="eastAsia" w:ascii="仿宋" w:hAnsi="仿宋" w:eastAsia="仿宋"/>
          <w:color w:val="0000FF"/>
          <w:sz w:val="32"/>
          <w:szCs w:val="32"/>
          <w:lang w:val="en-US" w:eastAsia="zh-CN"/>
        </w:rPr>
        <w:t>共享到政务共享平台</w:t>
      </w:r>
      <w:r>
        <w:rPr>
          <w:rFonts w:hint="eastAsia" w:ascii="仿宋" w:hAnsi="仿宋" w:eastAsia="仿宋"/>
          <w:sz w:val="32"/>
          <w:szCs w:val="32"/>
        </w:rPr>
        <w:t>；税务、社保、公积金、公安等的登记管理相关部门</w:t>
      </w:r>
      <w:r>
        <w:rPr>
          <w:rFonts w:hint="eastAsia" w:ascii="仿宋" w:hAnsi="仿宋" w:eastAsia="仿宋"/>
          <w:sz w:val="32"/>
          <w:szCs w:val="32"/>
          <w:lang w:val="en-US" w:eastAsia="zh-CN"/>
        </w:rPr>
        <w:t>通过共享平台</w:t>
      </w:r>
      <w:r>
        <w:rPr>
          <w:rFonts w:hint="eastAsia" w:ascii="仿宋" w:hAnsi="仿宋" w:eastAsia="仿宋"/>
          <w:sz w:val="32"/>
          <w:szCs w:val="32"/>
        </w:rPr>
        <w:t>实时接收的数据，实现信息共享和业</w:t>
      </w:r>
      <w:r>
        <w:rPr>
          <w:rFonts w:ascii="仿宋" w:hAnsi="仿宋" w:eastAsia="仿宋"/>
          <w:sz w:val="32"/>
          <w:szCs w:val="32"/>
        </w:rPr>
        <w:t>务联动。因此，在我省统一代码数据库的建设过程中，依托前期组织机构代码管理部门与各登记管理部门所建立的数据校核、反馈、纠正机制，有效保障了统一代码数据采集的正确率和质量</w:t>
      </w:r>
      <w:r>
        <w:rPr>
          <w:rFonts w:hint="eastAsia" w:ascii="仿宋" w:hAnsi="仿宋" w:eastAsia="仿宋"/>
          <w:sz w:val="32"/>
          <w:szCs w:val="32"/>
        </w:rPr>
        <w:t>。</w:t>
      </w:r>
    </w:p>
    <w:p w14:paraId="25A3C3AD">
      <w:pPr>
        <w:spacing w:line="360" w:lineRule="auto"/>
        <w:ind w:firstLine="640" w:firstLineChars="200"/>
        <w:rPr>
          <w:rFonts w:ascii="仿宋" w:hAnsi="仿宋" w:eastAsia="仿宋"/>
          <w:sz w:val="32"/>
          <w:szCs w:val="32"/>
        </w:rPr>
      </w:pPr>
      <w:r>
        <w:rPr>
          <w:rFonts w:hint="eastAsia" w:ascii="仿宋" w:hAnsi="仿宋" w:eastAsia="仿宋"/>
          <w:sz w:val="32"/>
          <w:szCs w:val="32"/>
        </w:rPr>
        <w:t>为推动我国统一社会信用代码工作的规范化，</w:t>
      </w:r>
      <w:r>
        <w:rPr>
          <w:rFonts w:ascii="仿宋" w:hAnsi="仿宋" w:eastAsia="仿宋"/>
          <w:sz w:val="32"/>
          <w:szCs w:val="32"/>
        </w:rPr>
        <w:t>国家</w:t>
      </w:r>
      <w:r>
        <w:rPr>
          <w:rFonts w:hint="eastAsia" w:ascii="仿宋" w:hAnsi="仿宋" w:eastAsia="仿宋"/>
          <w:sz w:val="32"/>
          <w:szCs w:val="32"/>
        </w:rPr>
        <w:t>相继出台了《法人和其他组织统一社会信用代码编码规则》(GB 32100-2015</w:t>
      </w:r>
      <w:r>
        <w:rPr>
          <w:rFonts w:ascii="仿宋" w:hAnsi="仿宋" w:eastAsia="仿宋"/>
          <w:sz w:val="32"/>
          <w:szCs w:val="32"/>
        </w:rPr>
        <w:t>)《法人和其他组织统一社会信用代码基础数据元》</w:t>
      </w:r>
      <w:r>
        <w:rPr>
          <w:rFonts w:hint="eastAsia" w:ascii="仿宋" w:hAnsi="仿宋" w:eastAsia="仿宋"/>
          <w:sz w:val="32"/>
          <w:szCs w:val="32"/>
        </w:rPr>
        <w:t>(</w:t>
      </w:r>
      <w:r>
        <w:rPr>
          <w:rFonts w:ascii="仿宋" w:hAnsi="仿宋" w:eastAsia="仿宋"/>
          <w:sz w:val="32"/>
          <w:szCs w:val="32"/>
        </w:rPr>
        <w:t>GB/T</w:t>
      </w:r>
      <w:r>
        <w:rPr>
          <w:rFonts w:ascii="Calibri" w:hAnsi="Calibri" w:eastAsia="仿宋" w:cs="Calibri"/>
          <w:sz w:val="32"/>
          <w:szCs w:val="32"/>
        </w:rPr>
        <w:t> </w:t>
      </w:r>
      <w:r>
        <w:rPr>
          <w:rFonts w:ascii="仿宋" w:hAnsi="仿宋" w:eastAsia="仿宋"/>
          <w:sz w:val="32"/>
          <w:szCs w:val="32"/>
        </w:rPr>
        <w:t>36104-2018)</w:t>
      </w:r>
      <w:r>
        <w:rPr>
          <w:rFonts w:hint="eastAsia" w:ascii="仿宋" w:hAnsi="仿宋" w:eastAsia="仿宋"/>
          <w:sz w:val="32"/>
          <w:szCs w:val="32"/>
        </w:rPr>
        <w:t>《法人和其他组织统一社会信用代码赋码操作规范》(GB/T 36105-2018</w:t>
      </w:r>
      <w:r>
        <w:rPr>
          <w:rFonts w:ascii="仿宋" w:hAnsi="仿宋" w:eastAsia="仿宋"/>
          <w:sz w:val="32"/>
          <w:szCs w:val="32"/>
        </w:rPr>
        <w:t>)</w:t>
      </w:r>
      <w:r>
        <w:rPr>
          <w:rFonts w:hint="eastAsia" w:ascii="仿宋" w:hAnsi="仿宋" w:eastAsia="仿宋"/>
          <w:sz w:val="32"/>
          <w:szCs w:val="32"/>
        </w:rPr>
        <w:t>《</w:t>
      </w:r>
      <w:r>
        <w:fldChar w:fldCharType="begin"/>
      </w:r>
      <w:r>
        <w:instrText xml:space="preserve"> HYPERLINK "https://std.samr.gov.cn/gb/search/gbDetailed?id=71F772D82D5FD3A7E05397BE0A0AB82A" \t "https://std.samr.gov.cn/search/stdPage?q=GB/_blank" </w:instrText>
      </w:r>
      <w:r>
        <w:fldChar w:fldCharType="separate"/>
      </w:r>
      <w:r>
        <w:rPr>
          <w:rFonts w:hint="eastAsia" w:ascii="仿宋" w:hAnsi="仿宋" w:eastAsia="仿宋"/>
          <w:sz w:val="32"/>
          <w:szCs w:val="32"/>
        </w:rPr>
        <w:t>法人和其他组织统一社会信用代码数据管理规范</w:t>
      </w:r>
      <w:r>
        <w:rPr>
          <w:rFonts w:hint="eastAsia" w:ascii="仿宋" w:hAnsi="仿宋" w:eastAsia="仿宋"/>
          <w:sz w:val="32"/>
          <w:szCs w:val="32"/>
        </w:rPr>
        <w:fldChar w:fldCharType="end"/>
      </w:r>
      <w:r>
        <w:rPr>
          <w:rFonts w:hint="eastAsia" w:ascii="仿宋" w:hAnsi="仿宋" w:eastAsia="仿宋"/>
          <w:sz w:val="32"/>
          <w:szCs w:val="32"/>
        </w:rPr>
        <w:t>》(GB/T 36106-2018</w:t>
      </w:r>
      <w:r>
        <w:rPr>
          <w:rFonts w:ascii="仿宋" w:hAnsi="仿宋" w:eastAsia="仿宋"/>
          <w:sz w:val="32"/>
          <w:szCs w:val="32"/>
        </w:rPr>
        <w:t>)</w:t>
      </w:r>
      <w:r>
        <w:rPr>
          <w:rFonts w:hint="eastAsia" w:ascii="仿宋" w:hAnsi="仿宋" w:eastAsia="仿宋"/>
          <w:sz w:val="32"/>
          <w:szCs w:val="32"/>
        </w:rPr>
        <w:t>《法人和其他组织统一社会信用代码数据交换接口》(GB/T 36107-2018</w:t>
      </w:r>
      <w:r>
        <w:rPr>
          <w:rFonts w:ascii="仿宋" w:hAnsi="仿宋" w:eastAsia="仿宋"/>
          <w:sz w:val="32"/>
          <w:szCs w:val="32"/>
        </w:rPr>
        <w:t>)</w:t>
      </w:r>
      <w:r>
        <w:rPr>
          <w:rFonts w:hint="eastAsia" w:ascii="仿宋" w:hAnsi="仿宋" w:eastAsia="仿宋"/>
          <w:sz w:val="32"/>
          <w:szCs w:val="32"/>
        </w:rPr>
        <w:t>《用于微博客的法人和其他组织统一社会信用代码实名认证服务接口规范》(GB/T 36610-2018</w:t>
      </w:r>
      <w:r>
        <w:rPr>
          <w:rFonts w:ascii="仿宋" w:hAnsi="仿宋" w:eastAsia="仿宋"/>
          <w:sz w:val="32"/>
          <w:szCs w:val="32"/>
        </w:rPr>
        <w:t>)</w:t>
      </w:r>
      <w:r>
        <w:rPr>
          <w:rFonts w:hint="eastAsia" w:ascii="仿宋" w:hAnsi="仿宋" w:eastAsia="仿宋"/>
          <w:sz w:val="32"/>
          <w:szCs w:val="32"/>
        </w:rPr>
        <w:t>《法人和其他组织统一社会信用代码数据库建设和管理要求》(GB/T</w:t>
      </w:r>
      <w:r>
        <w:rPr>
          <w:rFonts w:ascii="Calibri" w:hAnsi="Calibri" w:eastAsia="仿宋" w:cs="Calibri"/>
          <w:sz w:val="32"/>
          <w:szCs w:val="32"/>
        </w:rPr>
        <w:t> </w:t>
      </w:r>
      <w:r>
        <w:rPr>
          <w:rFonts w:hint="eastAsia" w:ascii="仿宋" w:hAnsi="仿宋" w:eastAsia="仿宋"/>
          <w:sz w:val="32"/>
          <w:szCs w:val="32"/>
        </w:rPr>
        <w:t>40840-2021</w:t>
      </w:r>
      <w:r>
        <w:rPr>
          <w:rFonts w:ascii="仿宋" w:hAnsi="仿宋" w:eastAsia="仿宋"/>
          <w:sz w:val="32"/>
          <w:szCs w:val="32"/>
        </w:rPr>
        <w:t>)</w:t>
      </w:r>
      <w:r>
        <w:rPr>
          <w:rFonts w:hint="eastAsia" w:ascii="仿宋" w:hAnsi="仿宋" w:eastAsia="仿宋"/>
          <w:sz w:val="32"/>
          <w:szCs w:val="32"/>
        </w:rPr>
        <w:t>等国家标准。但是在统一社会信用代码应用服务方面，并没有明确规定</w:t>
      </w:r>
      <w:r>
        <w:rPr>
          <w:rFonts w:ascii="仿宋" w:hAnsi="仿宋" w:eastAsia="仿宋"/>
          <w:sz w:val="32"/>
          <w:szCs w:val="32"/>
        </w:rPr>
        <w:t>。</w:t>
      </w:r>
    </w:p>
    <w:p w14:paraId="5B88D1DE">
      <w:pPr>
        <w:spacing w:line="360" w:lineRule="auto"/>
        <w:ind w:firstLine="640" w:firstLineChars="200"/>
        <w:rPr>
          <w:rFonts w:ascii="仿宋" w:hAnsi="仿宋" w:eastAsia="仿宋"/>
          <w:sz w:val="32"/>
          <w:szCs w:val="32"/>
        </w:rPr>
      </w:pPr>
      <w:r>
        <w:rPr>
          <w:rFonts w:hint="eastAsia" w:ascii="仿宋" w:hAnsi="仿宋" w:eastAsia="仿宋"/>
          <w:sz w:val="32"/>
          <w:szCs w:val="32"/>
        </w:rPr>
        <w:t>为进一步推动政府、企业对统一社会信用代码信息的应用，以及统一社会信用代码信息管理方利用统一社会信用代码数据提供信息服务，促进信用体系建设和数字中国建设，因此提出编写此文件。文件从</w:t>
      </w:r>
      <w:r>
        <w:rPr>
          <w:rFonts w:hint="eastAsia" w:ascii="仿宋" w:hAnsi="仿宋" w:eastAsia="仿宋"/>
          <w:sz w:val="32"/>
          <w:szCs w:val="32"/>
          <w:lang w:eastAsia="zh-CN"/>
        </w:rPr>
        <w:t>范围、规范性引用文件、</w:t>
      </w:r>
      <w:r>
        <w:rPr>
          <w:rFonts w:hint="eastAsia" w:ascii="仿宋" w:hAnsi="仿宋" w:eastAsia="仿宋"/>
          <w:color w:val="0000FF"/>
          <w:sz w:val="32"/>
          <w:szCs w:val="32"/>
        </w:rPr>
        <w:t>术语和定义、</w:t>
      </w:r>
      <w:r>
        <w:rPr>
          <w:rFonts w:hint="eastAsia" w:ascii="仿宋" w:hAnsi="仿宋" w:eastAsia="仿宋"/>
          <w:color w:val="0000FF"/>
          <w:sz w:val="32"/>
          <w:szCs w:val="32"/>
          <w:lang w:val="en-US" w:eastAsia="zh-CN"/>
        </w:rPr>
        <w:t>数据管理</w:t>
      </w:r>
      <w:r>
        <w:rPr>
          <w:rFonts w:hint="eastAsia" w:ascii="仿宋" w:hAnsi="仿宋" w:eastAsia="仿宋"/>
          <w:color w:val="0000FF"/>
          <w:sz w:val="32"/>
          <w:szCs w:val="32"/>
        </w:rPr>
        <w:t>、</w:t>
      </w:r>
      <w:r>
        <w:rPr>
          <w:rFonts w:hint="eastAsia" w:ascii="仿宋" w:hAnsi="仿宋" w:eastAsia="仿宋"/>
          <w:color w:val="0000FF"/>
          <w:sz w:val="32"/>
          <w:szCs w:val="32"/>
          <w:lang w:val="en-US" w:eastAsia="zh-CN"/>
        </w:rPr>
        <w:t>数据应用</w:t>
      </w:r>
      <w:r>
        <w:rPr>
          <w:rFonts w:hint="eastAsia" w:ascii="仿宋" w:hAnsi="仿宋" w:eastAsia="仿宋"/>
          <w:color w:val="0000FF"/>
          <w:sz w:val="32"/>
          <w:szCs w:val="32"/>
        </w:rPr>
        <w:t>、</w:t>
      </w:r>
      <w:r>
        <w:rPr>
          <w:rFonts w:hint="eastAsia" w:ascii="仿宋" w:hAnsi="仿宋" w:eastAsia="仿宋"/>
          <w:color w:val="0000FF"/>
          <w:sz w:val="32"/>
          <w:szCs w:val="32"/>
          <w:lang w:val="en-US" w:eastAsia="zh-CN"/>
        </w:rPr>
        <w:t>数据应用</w:t>
      </w:r>
      <w:r>
        <w:rPr>
          <w:rFonts w:hint="eastAsia" w:ascii="仿宋" w:hAnsi="仿宋" w:eastAsia="仿宋"/>
          <w:color w:val="0000FF"/>
          <w:sz w:val="32"/>
          <w:szCs w:val="32"/>
        </w:rPr>
        <w:t>服务模型、</w:t>
      </w:r>
      <w:r>
        <w:rPr>
          <w:rFonts w:hint="eastAsia" w:ascii="仿宋" w:hAnsi="仿宋" w:eastAsia="仿宋"/>
          <w:color w:val="0000FF"/>
          <w:sz w:val="32"/>
          <w:szCs w:val="32"/>
          <w:lang w:eastAsia="zh-CN"/>
        </w:rPr>
        <w:t>数据应用</w:t>
      </w:r>
      <w:r>
        <w:rPr>
          <w:rFonts w:hint="eastAsia" w:ascii="仿宋" w:hAnsi="仿宋" w:eastAsia="仿宋"/>
          <w:color w:val="0000FF"/>
          <w:sz w:val="32"/>
          <w:szCs w:val="32"/>
        </w:rPr>
        <w:t>服务方式</w:t>
      </w:r>
      <w:r>
        <w:rPr>
          <w:rFonts w:hint="eastAsia" w:ascii="仿宋" w:hAnsi="仿宋" w:eastAsia="仿宋"/>
          <w:color w:val="0000FF"/>
          <w:sz w:val="32"/>
          <w:szCs w:val="32"/>
          <w:lang w:eastAsia="zh-CN"/>
        </w:rPr>
        <w:t>等七</w:t>
      </w:r>
      <w:r>
        <w:rPr>
          <w:rFonts w:hint="eastAsia" w:ascii="仿宋" w:hAnsi="仿宋" w:eastAsia="仿宋"/>
          <w:color w:val="0000FF"/>
          <w:sz w:val="32"/>
          <w:szCs w:val="32"/>
        </w:rPr>
        <w:t>个</w:t>
      </w:r>
      <w:r>
        <w:rPr>
          <w:rFonts w:hint="eastAsia" w:ascii="仿宋" w:hAnsi="仿宋" w:eastAsia="仿宋"/>
          <w:sz w:val="32"/>
          <w:szCs w:val="32"/>
        </w:rPr>
        <w:t>方面为法人和其他组织统一社会信用代码</w:t>
      </w:r>
      <w:r>
        <w:rPr>
          <w:rFonts w:hint="eastAsia" w:ascii="仿宋" w:hAnsi="仿宋" w:eastAsia="仿宋"/>
          <w:sz w:val="32"/>
          <w:szCs w:val="32"/>
          <w:lang w:eastAsia="zh-CN"/>
        </w:rPr>
        <w:t>管理和</w:t>
      </w:r>
      <w:r>
        <w:rPr>
          <w:rFonts w:hint="eastAsia" w:ascii="仿宋" w:hAnsi="仿宋" w:eastAsia="仿宋"/>
          <w:sz w:val="32"/>
          <w:szCs w:val="32"/>
        </w:rPr>
        <w:t>应用提供了指南，为促进信用体系建设和数字中国建设，助力数字政府建设奠定坚实的基础。</w:t>
      </w:r>
    </w:p>
    <w:p w14:paraId="739FAC1D">
      <w:pPr>
        <w:ind w:firstLine="640" w:firstLineChars="200"/>
        <w:rPr>
          <w:rFonts w:ascii="仿宋" w:hAnsi="仿宋" w:eastAsia="仿宋"/>
          <w:sz w:val="32"/>
          <w:szCs w:val="32"/>
        </w:rPr>
      </w:pPr>
      <w:r>
        <w:rPr>
          <w:rFonts w:hint="eastAsia" w:ascii="仿宋" w:hAnsi="仿宋" w:eastAsia="仿宋"/>
          <w:sz w:val="32"/>
          <w:szCs w:val="32"/>
        </w:rPr>
        <w:t>中共中央、国务院《关于构建更加完善的要素市场化配置体制机制的意见》，首次将数据作为新型生产要素提到国家战略层面。统一社会信用代码信息作为机构的基础数据，可以通过统一数据标准，打通数据孤岛，可以有效地促进信息在不同地区、不同部门及不同行业间流动，进一步推动数字中国建设提供动力。</w:t>
      </w:r>
    </w:p>
    <w:p w14:paraId="632062EE">
      <w:pPr>
        <w:ind w:firstLine="643" w:firstLineChars="200"/>
        <w:rPr>
          <w:rFonts w:ascii="楷体_GB2312" w:hAnsi="仿宋" w:eastAsia="楷体_GB2312"/>
          <w:b/>
          <w:sz w:val="32"/>
          <w:szCs w:val="32"/>
        </w:rPr>
      </w:pPr>
      <w:r>
        <w:rPr>
          <w:rFonts w:hint="eastAsia" w:ascii="楷体_GB2312" w:hAnsi="仿宋" w:eastAsia="楷体_GB2312"/>
          <w:b/>
          <w:sz w:val="32"/>
          <w:szCs w:val="32"/>
        </w:rPr>
        <w:t>（二）编制过程简介</w:t>
      </w:r>
    </w:p>
    <w:p w14:paraId="00F4291A">
      <w:pPr>
        <w:ind w:firstLine="640" w:firstLineChars="200"/>
        <w:jc w:val="left"/>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w:t>
      </w:r>
      <w:r>
        <w:rPr>
          <w:rFonts w:ascii="仿宋" w:hAnsi="仿宋" w:eastAsia="仿宋"/>
          <w:sz w:val="32"/>
          <w:szCs w:val="32"/>
        </w:rPr>
        <w:t>4</w:t>
      </w:r>
      <w:r>
        <w:rPr>
          <w:rFonts w:hint="eastAsia" w:ascii="仿宋" w:hAnsi="仿宋" w:eastAsia="仿宋"/>
          <w:sz w:val="32"/>
          <w:szCs w:val="32"/>
        </w:rPr>
        <w:t>月</w:t>
      </w:r>
      <w:r>
        <w:rPr>
          <w:rFonts w:ascii="仿宋" w:hAnsi="仿宋" w:eastAsia="仿宋"/>
          <w:sz w:val="32"/>
          <w:szCs w:val="32"/>
        </w:rPr>
        <w:t>29</w:t>
      </w:r>
      <w:r>
        <w:rPr>
          <w:rFonts w:hint="eastAsia" w:ascii="仿宋" w:hAnsi="仿宋" w:eastAsia="仿宋"/>
          <w:sz w:val="32"/>
          <w:szCs w:val="32"/>
        </w:rPr>
        <w:t>日，海南省检验检测研究院向海南省市场监督管理局提出将《法人和其他组织统一社会信用代码管理和应用规范》列入省局2024年度第三批地方标准制修订项目计划表</w:t>
      </w:r>
      <w:r>
        <w:rPr>
          <w:rFonts w:ascii="仿宋" w:hAnsi="仿宋" w:eastAsia="仿宋"/>
          <w:sz w:val="32"/>
          <w:szCs w:val="32"/>
        </w:rPr>
        <w:t>。</w:t>
      </w:r>
      <w:r>
        <w:rPr>
          <w:rFonts w:hint="eastAsia" w:ascii="仿宋" w:hAnsi="仿宋" w:eastAsia="仿宋"/>
          <w:sz w:val="32"/>
          <w:szCs w:val="32"/>
        </w:rPr>
        <w:t>同时，海南省检验检测研究院联合海南省标准化协会召集专业技术人员成立标准编制小组，制定编制计划，收集相关政策和国家标准、行业标准和地方标准文件，研究分析相关技术要求，按照《地方标准制修订工作规范》（DB46/T 74-2021），结合海南省实际情况，起草形成《法人和其他组织统一社会信用代码管理和应用规范》征求意见稿，</w:t>
      </w:r>
      <w:r>
        <w:rPr>
          <w:rFonts w:ascii="仿宋" w:hAnsi="仿宋" w:eastAsia="仿宋"/>
          <w:sz w:val="32"/>
          <w:szCs w:val="32"/>
        </w:rPr>
        <w:t>已</w:t>
      </w:r>
      <w:r>
        <w:rPr>
          <w:rFonts w:hint="eastAsia" w:ascii="仿宋" w:hAnsi="仿宋" w:eastAsia="仿宋"/>
          <w:sz w:val="32"/>
          <w:szCs w:val="32"/>
        </w:rPr>
        <w:t>报</w:t>
      </w:r>
      <w:r>
        <w:rPr>
          <w:rFonts w:ascii="仿宋" w:hAnsi="仿宋" w:eastAsia="仿宋"/>
          <w:sz w:val="32"/>
          <w:szCs w:val="32"/>
        </w:rPr>
        <w:t>送</w:t>
      </w:r>
      <w:r>
        <w:rPr>
          <w:rFonts w:hint="eastAsia" w:ascii="仿宋" w:hAnsi="仿宋" w:eastAsia="仿宋"/>
          <w:sz w:val="32"/>
          <w:szCs w:val="32"/>
        </w:rPr>
        <w:t>相关</w:t>
      </w:r>
      <w:r>
        <w:rPr>
          <w:rFonts w:ascii="仿宋" w:hAnsi="仿宋" w:eastAsia="仿宋"/>
          <w:sz w:val="32"/>
          <w:szCs w:val="32"/>
        </w:rPr>
        <w:t>处室征求意见并催办</w:t>
      </w:r>
      <w:r>
        <w:rPr>
          <w:rFonts w:hint="eastAsia" w:ascii="仿宋" w:hAnsi="仿宋" w:eastAsia="仿宋"/>
          <w:sz w:val="32"/>
          <w:szCs w:val="32"/>
        </w:rPr>
        <w:t>。</w:t>
      </w:r>
    </w:p>
    <w:p w14:paraId="0AC28922">
      <w:pPr>
        <w:ind w:firstLine="640" w:firstLineChars="200"/>
        <w:jc w:val="left"/>
        <w:rPr>
          <w:rFonts w:ascii="仿宋" w:hAnsi="仿宋" w:eastAsia="仿宋"/>
          <w:sz w:val="32"/>
          <w:szCs w:val="32"/>
        </w:rPr>
      </w:pPr>
      <w:r>
        <w:rPr>
          <w:rFonts w:ascii="楷体" w:hAnsi="楷体" w:eastAsia="楷体"/>
          <w:sz w:val="32"/>
          <w:szCs w:val="32"/>
        </w:rPr>
        <w:t>标准起草过程</w:t>
      </w:r>
      <w:r>
        <w:rPr>
          <w:rFonts w:hint="eastAsia" w:ascii="仿宋" w:hAnsi="仿宋" w:eastAsia="仿宋"/>
          <w:sz w:val="32"/>
          <w:szCs w:val="32"/>
        </w:rPr>
        <w:t>：</w:t>
      </w:r>
    </w:p>
    <w:p w14:paraId="61D04DC0">
      <w:pPr>
        <w:ind w:firstLine="643" w:firstLineChars="200"/>
        <w:rPr>
          <w:rFonts w:ascii="仿宋" w:hAnsi="仿宋" w:eastAsia="仿宋" w:cs="仿宋_GB2312"/>
          <w:sz w:val="32"/>
          <w:szCs w:val="32"/>
        </w:rPr>
      </w:pPr>
      <w:r>
        <w:rPr>
          <w:rFonts w:hint="eastAsia" w:ascii="仿宋" w:hAnsi="仿宋" w:eastAsia="仿宋"/>
          <w:b/>
          <w:sz w:val="32"/>
          <w:szCs w:val="32"/>
        </w:rPr>
        <w:t>（1）资料收集：</w:t>
      </w:r>
      <w:r>
        <w:rPr>
          <w:rFonts w:hint="eastAsia" w:ascii="仿宋" w:hAnsi="仿宋" w:eastAsia="仿宋" w:cs="仿宋_GB2312"/>
          <w:sz w:val="32"/>
          <w:szCs w:val="32"/>
        </w:rPr>
        <w:t>项目组对国内标准进行收集整理，截至到202</w:t>
      </w:r>
      <w:r>
        <w:rPr>
          <w:rFonts w:ascii="仿宋" w:hAnsi="仿宋" w:eastAsia="仿宋" w:cs="仿宋_GB2312"/>
          <w:sz w:val="32"/>
          <w:szCs w:val="32"/>
        </w:rPr>
        <w:t>4</w:t>
      </w:r>
      <w:r>
        <w:rPr>
          <w:rFonts w:hint="eastAsia" w:ascii="仿宋" w:hAnsi="仿宋" w:eastAsia="仿宋" w:cs="仿宋_GB2312"/>
          <w:sz w:val="32"/>
          <w:szCs w:val="32"/>
        </w:rPr>
        <w:t>年</w:t>
      </w:r>
      <w:r>
        <w:rPr>
          <w:rFonts w:ascii="仿宋" w:hAnsi="仿宋" w:eastAsia="仿宋" w:cs="仿宋_GB2312"/>
          <w:sz w:val="32"/>
          <w:szCs w:val="32"/>
        </w:rPr>
        <w:t>8</w:t>
      </w:r>
      <w:r>
        <w:rPr>
          <w:rFonts w:hint="eastAsia" w:ascii="仿宋" w:hAnsi="仿宋" w:eastAsia="仿宋" w:cs="仿宋_GB2312"/>
          <w:sz w:val="32"/>
          <w:szCs w:val="32"/>
        </w:rPr>
        <w:t>月，已发布相关国家标准有《法人和其他组织统一社会信用代码编码规则》(GB 32100-2015</w:t>
      </w:r>
      <w:r>
        <w:rPr>
          <w:rFonts w:ascii="仿宋" w:hAnsi="仿宋" w:eastAsia="仿宋" w:cs="仿宋_GB2312"/>
          <w:sz w:val="32"/>
          <w:szCs w:val="32"/>
        </w:rPr>
        <w:t>)《法人和其他组织统一社会信用代码基础数据元》</w:t>
      </w:r>
      <w:r>
        <w:rPr>
          <w:rFonts w:hint="eastAsia" w:ascii="仿宋" w:hAnsi="仿宋" w:eastAsia="仿宋" w:cs="仿宋_GB2312"/>
          <w:sz w:val="32"/>
          <w:szCs w:val="32"/>
        </w:rPr>
        <w:t>(</w:t>
      </w:r>
      <w:r>
        <w:rPr>
          <w:rFonts w:ascii="仿宋" w:hAnsi="仿宋" w:eastAsia="仿宋" w:cs="仿宋_GB2312"/>
          <w:sz w:val="32"/>
          <w:szCs w:val="32"/>
        </w:rPr>
        <w:t>GB/T</w:t>
      </w:r>
      <w:r>
        <w:rPr>
          <w:rFonts w:ascii="Calibri" w:hAnsi="Calibri" w:eastAsia="仿宋" w:cs="Calibri"/>
          <w:sz w:val="32"/>
          <w:szCs w:val="32"/>
        </w:rPr>
        <w:t> </w:t>
      </w:r>
      <w:r>
        <w:rPr>
          <w:rFonts w:ascii="仿宋" w:hAnsi="仿宋" w:eastAsia="仿宋" w:cs="仿宋_GB2312"/>
          <w:sz w:val="32"/>
          <w:szCs w:val="32"/>
        </w:rPr>
        <w:t>36104-2018)</w:t>
      </w:r>
      <w:r>
        <w:rPr>
          <w:rFonts w:hint="eastAsia" w:ascii="仿宋" w:hAnsi="仿宋" w:eastAsia="仿宋" w:cs="仿宋_GB2312"/>
          <w:sz w:val="32"/>
          <w:szCs w:val="32"/>
        </w:rPr>
        <w:t>《法人和其他组织统一社会信用代码赋码操作规范》(GB/T 36105-2018</w:t>
      </w:r>
      <w:r>
        <w:rPr>
          <w:rFonts w:ascii="仿宋" w:hAnsi="仿宋" w:eastAsia="仿宋" w:cs="仿宋_GB2312"/>
          <w:sz w:val="32"/>
          <w:szCs w:val="32"/>
        </w:rPr>
        <w:t>)</w:t>
      </w:r>
      <w:r>
        <w:rPr>
          <w:rFonts w:hint="eastAsia" w:ascii="仿宋" w:hAnsi="仿宋" w:eastAsia="仿宋" w:cs="仿宋_GB2312"/>
          <w:sz w:val="32"/>
          <w:szCs w:val="32"/>
        </w:rPr>
        <w:t>《</w:t>
      </w:r>
      <w:r>
        <w:fldChar w:fldCharType="begin"/>
      </w:r>
      <w:r>
        <w:instrText xml:space="preserve"> HYPERLINK "https://std.samr.gov.cn/gb/search/gbDetailed?id=71F772D82D5FD3A7E05397BE0A0AB82A" \t "https://std.samr.gov.cn/search/stdPage?q=GB/_blank" </w:instrText>
      </w:r>
      <w:r>
        <w:fldChar w:fldCharType="separate"/>
      </w:r>
      <w:r>
        <w:rPr>
          <w:rFonts w:hint="eastAsia" w:ascii="仿宋" w:hAnsi="仿宋" w:eastAsia="仿宋" w:cs="仿宋_GB2312"/>
          <w:sz w:val="32"/>
          <w:szCs w:val="32"/>
        </w:rPr>
        <w:t>法人和其他组织统一社会信用代码数据管理规范</w:t>
      </w:r>
      <w:r>
        <w:rPr>
          <w:rFonts w:hint="eastAsia" w:ascii="仿宋" w:hAnsi="仿宋" w:eastAsia="仿宋" w:cs="仿宋_GB2312"/>
          <w:sz w:val="32"/>
          <w:szCs w:val="32"/>
        </w:rPr>
        <w:fldChar w:fldCharType="end"/>
      </w:r>
      <w:r>
        <w:rPr>
          <w:rFonts w:hint="eastAsia" w:ascii="仿宋" w:hAnsi="仿宋" w:eastAsia="仿宋" w:cs="仿宋_GB2312"/>
          <w:sz w:val="32"/>
          <w:szCs w:val="32"/>
        </w:rPr>
        <w:t>》(GB/T 36106-2018</w:t>
      </w:r>
      <w:r>
        <w:rPr>
          <w:rFonts w:ascii="仿宋" w:hAnsi="仿宋" w:eastAsia="仿宋" w:cs="仿宋_GB2312"/>
          <w:sz w:val="32"/>
          <w:szCs w:val="32"/>
        </w:rPr>
        <w:t>)</w:t>
      </w:r>
      <w:r>
        <w:rPr>
          <w:rFonts w:hint="eastAsia" w:ascii="仿宋" w:hAnsi="仿宋" w:eastAsia="仿宋" w:cs="仿宋_GB2312"/>
          <w:sz w:val="32"/>
          <w:szCs w:val="32"/>
        </w:rPr>
        <w:t>《法人和其他组织统一社会信用代码数据交换接口》(GB/T 36107-2018</w:t>
      </w:r>
      <w:r>
        <w:rPr>
          <w:rFonts w:ascii="仿宋" w:hAnsi="仿宋" w:eastAsia="仿宋" w:cs="仿宋_GB2312"/>
          <w:sz w:val="32"/>
          <w:szCs w:val="32"/>
        </w:rPr>
        <w:t>)</w:t>
      </w:r>
      <w:r>
        <w:rPr>
          <w:rFonts w:hint="eastAsia" w:ascii="仿宋" w:hAnsi="仿宋" w:eastAsia="仿宋" w:cs="仿宋_GB2312"/>
          <w:sz w:val="32"/>
          <w:szCs w:val="32"/>
        </w:rPr>
        <w:t>《用于微博客的法人和其他组织统一社会信用代码实名认证服务接口规范》(GB/T 36610-2018</w:t>
      </w:r>
      <w:r>
        <w:rPr>
          <w:rFonts w:ascii="仿宋" w:hAnsi="仿宋" w:eastAsia="仿宋" w:cs="仿宋_GB2312"/>
          <w:sz w:val="32"/>
          <w:szCs w:val="32"/>
        </w:rPr>
        <w:t>)</w:t>
      </w:r>
      <w:r>
        <w:rPr>
          <w:rFonts w:hint="eastAsia" w:ascii="仿宋" w:hAnsi="仿宋" w:eastAsia="仿宋" w:cs="仿宋_GB2312"/>
          <w:sz w:val="32"/>
          <w:szCs w:val="32"/>
        </w:rPr>
        <w:t>《法人和其他组织统一社会信用代码数据库建设和管理要求》(GB/T</w:t>
      </w:r>
      <w:r>
        <w:rPr>
          <w:rFonts w:ascii="Calibri" w:hAnsi="Calibri" w:eastAsia="仿宋" w:cs="Calibri"/>
          <w:sz w:val="32"/>
          <w:szCs w:val="32"/>
        </w:rPr>
        <w:t> </w:t>
      </w:r>
      <w:r>
        <w:rPr>
          <w:rFonts w:hint="eastAsia" w:ascii="仿宋" w:hAnsi="仿宋" w:eastAsia="仿宋" w:cs="仿宋_GB2312"/>
          <w:sz w:val="32"/>
          <w:szCs w:val="32"/>
        </w:rPr>
        <w:t>40840-2021</w:t>
      </w:r>
      <w:r>
        <w:rPr>
          <w:rFonts w:ascii="仿宋" w:hAnsi="仿宋" w:eastAsia="仿宋" w:cs="仿宋_GB2312"/>
          <w:sz w:val="32"/>
          <w:szCs w:val="32"/>
        </w:rPr>
        <w:t>)</w:t>
      </w:r>
      <w:r>
        <w:rPr>
          <w:rFonts w:hint="eastAsia" w:ascii="仿宋" w:hAnsi="仿宋" w:eastAsia="仿宋" w:cs="仿宋_GB2312"/>
          <w:sz w:val="32"/>
          <w:szCs w:val="32"/>
        </w:rPr>
        <w:t>等国家标准等。通过对比研讨分析，深入了解掌握法人和其他组织统一社会信用代码</w:t>
      </w:r>
      <w:r>
        <w:rPr>
          <w:rFonts w:hint="eastAsia" w:ascii="仿宋" w:hAnsi="仿宋" w:eastAsia="仿宋" w:cs="仿宋_GB2312"/>
          <w:sz w:val="32"/>
          <w:szCs w:val="32"/>
          <w:lang w:val="en-US" w:eastAsia="zh-CN"/>
        </w:rPr>
        <w:t>管理和</w:t>
      </w:r>
      <w:r>
        <w:rPr>
          <w:rFonts w:hint="eastAsia" w:ascii="仿宋" w:hAnsi="仿宋" w:eastAsia="仿宋" w:cs="仿宋_GB2312"/>
          <w:sz w:val="32"/>
          <w:szCs w:val="32"/>
        </w:rPr>
        <w:t>应用服务规范适用的范围、术语和定义、</w:t>
      </w:r>
      <w:r>
        <w:rPr>
          <w:rFonts w:hint="eastAsia" w:ascii="仿宋" w:hAnsi="仿宋" w:eastAsia="仿宋" w:cs="仿宋_GB2312"/>
          <w:sz w:val="32"/>
          <w:szCs w:val="32"/>
          <w:lang w:val="en-US" w:eastAsia="zh-CN"/>
        </w:rPr>
        <w:t>数据管理</w:t>
      </w:r>
      <w:r>
        <w:rPr>
          <w:rFonts w:hint="eastAsia" w:ascii="仿宋" w:hAnsi="仿宋" w:eastAsia="仿宋" w:cs="仿宋_GB2312"/>
          <w:sz w:val="32"/>
          <w:szCs w:val="32"/>
        </w:rPr>
        <w:t>、</w:t>
      </w:r>
      <w:r>
        <w:rPr>
          <w:rFonts w:hint="eastAsia" w:ascii="仿宋" w:hAnsi="仿宋" w:eastAsia="仿宋" w:cs="仿宋_GB2312"/>
          <w:sz w:val="32"/>
          <w:szCs w:val="32"/>
          <w:lang w:val="en-US" w:eastAsia="zh-CN"/>
        </w:rPr>
        <w:t>数据应用</w:t>
      </w:r>
      <w:r>
        <w:rPr>
          <w:rFonts w:hint="eastAsia" w:ascii="仿宋" w:hAnsi="仿宋" w:eastAsia="仿宋" w:cs="仿宋_GB2312"/>
          <w:sz w:val="32"/>
          <w:szCs w:val="32"/>
        </w:rPr>
        <w:t>、</w:t>
      </w:r>
      <w:r>
        <w:rPr>
          <w:rFonts w:hint="eastAsia" w:ascii="仿宋" w:hAnsi="仿宋" w:eastAsia="仿宋" w:cs="仿宋_GB2312"/>
          <w:sz w:val="32"/>
          <w:szCs w:val="32"/>
          <w:lang w:val="en-US" w:eastAsia="zh-CN"/>
        </w:rPr>
        <w:t>数据应用</w:t>
      </w:r>
      <w:r>
        <w:rPr>
          <w:rFonts w:hint="eastAsia" w:ascii="仿宋" w:hAnsi="仿宋" w:eastAsia="仿宋" w:cs="仿宋_GB2312"/>
          <w:sz w:val="32"/>
          <w:szCs w:val="32"/>
        </w:rPr>
        <w:t>服务模型、</w:t>
      </w:r>
      <w:r>
        <w:rPr>
          <w:rFonts w:hint="eastAsia" w:ascii="仿宋" w:hAnsi="仿宋" w:eastAsia="仿宋" w:cs="仿宋_GB2312"/>
          <w:sz w:val="32"/>
          <w:szCs w:val="32"/>
          <w:lang w:val="en-US" w:eastAsia="zh-CN"/>
        </w:rPr>
        <w:t>数据应用</w:t>
      </w:r>
      <w:r>
        <w:rPr>
          <w:rFonts w:hint="eastAsia" w:ascii="仿宋" w:hAnsi="仿宋" w:eastAsia="仿宋" w:cs="仿宋_GB2312"/>
          <w:sz w:val="32"/>
          <w:szCs w:val="32"/>
        </w:rPr>
        <w:t>服务方式的要求等。</w:t>
      </w:r>
    </w:p>
    <w:p w14:paraId="2C6528F0">
      <w:pPr>
        <w:autoSpaceDN w:val="0"/>
        <w:spacing w:line="480" w:lineRule="auto"/>
        <w:ind w:firstLine="643" w:firstLineChars="200"/>
        <w:rPr>
          <w:rFonts w:ascii="仿宋" w:hAnsi="仿宋" w:eastAsia="仿宋"/>
          <w:sz w:val="32"/>
          <w:szCs w:val="32"/>
        </w:rPr>
      </w:pPr>
      <w:r>
        <w:rPr>
          <w:rFonts w:hint="eastAsia" w:ascii="仿宋" w:hAnsi="仿宋" w:eastAsia="仿宋"/>
          <w:b/>
          <w:sz w:val="32"/>
          <w:szCs w:val="32"/>
        </w:rPr>
        <w:t>（2）</w:t>
      </w:r>
      <w:r>
        <w:rPr>
          <w:rFonts w:ascii="仿宋" w:hAnsi="仿宋" w:eastAsia="仿宋"/>
          <w:b/>
          <w:sz w:val="32"/>
          <w:szCs w:val="32"/>
        </w:rPr>
        <w:t>拟定初稿</w:t>
      </w:r>
      <w:r>
        <w:rPr>
          <w:rFonts w:hint="eastAsia" w:ascii="仿宋" w:hAnsi="仿宋" w:eastAsia="仿宋"/>
          <w:b/>
          <w:sz w:val="32"/>
          <w:szCs w:val="32"/>
        </w:rPr>
        <w:t>：</w:t>
      </w:r>
      <w:r>
        <w:rPr>
          <w:rFonts w:ascii="仿宋" w:hAnsi="仿宋" w:eastAsia="仿宋"/>
          <w:sz w:val="32"/>
          <w:szCs w:val="32"/>
        </w:rPr>
        <w:t>标准起草人员组织相关专业技术人员和技术顾问讨论、总结及归纳，同时查阅了相关规定和国内标准进行论证，确定了该标准的适用</w:t>
      </w:r>
      <w:r>
        <w:rPr>
          <w:rFonts w:hint="eastAsia" w:ascii="仿宋" w:hAnsi="仿宋" w:eastAsia="仿宋" w:cs="仿宋_GB2312"/>
          <w:sz w:val="32"/>
          <w:szCs w:val="32"/>
        </w:rPr>
        <w:t>范围、术语和定义、</w:t>
      </w:r>
      <w:r>
        <w:rPr>
          <w:rFonts w:hint="eastAsia" w:ascii="仿宋" w:hAnsi="仿宋" w:eastAsia="仿宋" w:cs="仿宋_GB2312"/>
          <w:sz w:val="32"/>
          <w:szCs w:val="32"/>
          <w:lang w:val="en-US" w:eastAsia="zh-CN"/>
        </w:rPr>
        <w:t>数据管理</w:t>
      </w:r>
      <w:r>
        <w:rPr>
          <w:rFonts w:hint="eastAsia" w:ascii="仿宋" w:hAnsi="仿宋" w:eastAsia="仿宋" w:cs="仿宋_GB2312"/>
          <w:sz w:val="32"/>
          <w:szCs w:val="32"/>
        </w:rPr>
        <w:t>、</w:t>
      </w:r>
      <w:r>
        <w:rPr>
          <w:rFonts w:hint="eastAsia" w:ascii="仿宋" w:hAnsi="仿宋" w:eastAsia="仿宋" w:cs="仿宋_GB2312"/>
          <w:sz w:val="32"/>
          <w:szCs w:val="32"/>
          <w:lang w:val="en-US" w:eastAsia="zh-CN"/>
        </w:rPr>
        <w:t>数据应用</w:t>
      </w:r>
      <w:r>
        <w:rPr>
          <w:rFonts w:hint="eastAsia" w:ascii="仿宋" w:hAnsi="仿宋" w:eastAsia="仿宋" w:cs="仿宋_GB2312"/>
          <w:sz w:val="32"/>
          <w:szCs w:val="32"/>
        </w:rPr>
        <w:t>、</w:t>
      </w:r>
      <w:r>
        <w:rPr>
          <w:rFonts w:hint="eastAsia" w:ascii="仿宋" w:hAnsi="仿宋" w:eastAsia="仿宋" w:cs="仿宋_GB2312"/>
          <w:sz w:val="32"/>
          <w:szCs w:val="32"/>
          <w:lang w:val="en-US" w:eastAsia="zh-CN"/>
        </w:rPr>
        <w:t>数据应用</w:t>
      </w:r>
      <w:r>
        <w:rPr>
          <w:rFonts w:hint="eastAsia" w:ascii="仿宋" w:hAnsi="仿宋" w:eastAsia="仿宋" w:cs="仿宋_GB2312"/>
          <w:sz w:val="32"/>
          <w:szCs w:val="32"/>
        </w:rPr>
        <w:t>服务模型、</w:t>
      </w:r>
      <w:r>
        <w:rPr>
          <w:rFonts w:hint="eastAsia" w:ascii="仿宋" w:hAnsi="仿宋" w:eastAsia="仿宋" w:cs="仿宋_GB2312"/>
          <w:sz w:val="32"/>
          <w:szCs w:val="32"/>
          <w:lang w:val="en-US" w:eastAsia="zh-CN"/>
        </w:rPr>
        <w:t>数据应用</w:t>
      </w:r>
      <w:r>
        <w:rPr>
          <w:rFonts w:hint="eastAsia" w:ascii="仿宋" w:hAnsi="仿宋" w:eastAsia="仿宋" w:cs="仿宋_GB2312"/>
          <w:sz w:val="32"/>
          <w:szCs w:val="32"/>
        </w:rPr>
        <w:t>服务方式</w:t>
      </w:r>
      <w:r>
        <w:rPr>
          <w:rFonts w:ascii="仿宋" w:hAnsi="仿宋" w:eastAsia="仿宋"/>
          <w:sz w:val="32"/>
          <w:szCs w:val="32"/>
        </w:rPr>
        <w:t>等内容，随之拟定了初稿。</w:t>
      </w:r>
      <w:r>
        <w:rPr>
          <w:rFonts w:hint="eastAsia" w:ascii="仿宋" w:hAnsi="仿宋" w:eastAsia="仿宋"/>
          <w:sz w:val="32"/>
          <w:szCs w:val="32"/>
        </w:rPr>
        <w:t>标准编制小组与省检验检测研究院技术人员多次召开标准讨论会，围绕本标准的编制情况展开讨论和研究，完成标准的征求意见稿和编制说明。</w:t>
      </w:r>
    </w:p>
    <w:p w14:paraId="38AD6396">
      <w:pPr>
        <w:ind w:firstLine="643" w:firstLineChars="200"/>
        <w:rPr>
          <w:rFonts w:ascii="仿宋" w:hAnsi="仿宋" w:eastAsia="仿宋"/>
          <w:b/>
          <w:sz w:val="32"/>
          <w:szCs w:val="32"/>
        </w:rPr>
      </w:pPr>
      <w:r>
        <w:rPr>
          <w:rFonts w:hint="eastAsia" w:ascii="仿宋" w:hAnsi="仿宋" w:eastAsia="仿宋"/>
          <w:b/>
          <w:sz w:val="32"/>
          <w:szCs w:val="32"/>
        </w:rPr>
        <w:t>（3）</w:t>
      </w:r>
      <w:r>
        <w:rPr>
          <w:rFonts w:ascii="仿宋" w:hAnsi="仿宋" w:eastAsia="仿宋"/>
          <w:b/>
          <w:sz w:val="32"/>
          <w:szCs w:val="32"/>
        </w:rPr>
        <w:t>征求意见情况：</w:t>
      </w:r>
    </w:p>
    <w:p w14:paraId="63837A83">
      <w:pPr>
        <w:ind w:firstLine="643" w:firstLineChars="200"/>
        <w:rPr>
          <w:rFonts w:ascii="楷体_GB2312" w:hAnsi="仿宋" w:eastAsia="楷体_GB2312"/>
          <w:b/>
          <w:sz w:val="32"/>
          <w:szCs w:val="32"/>
        </w:rPr>
      </w:pPr>
      <w:r>
        <w:rPr>
          <w:rFonts w:hint="eastAsia" w:ascii="楷体_GB2312" w:hAnsi="仿宋" w:eastAsia="楷体_GB2312"/>
          <w:b/>
          <w:sz w:val="32"/>
          <w:szCs w:val="32"/>
        </w:rPr>
        <w:t>（三）制定标准的原则和依据，与现行法律法规、标准的关系</w:t>
      </w:r>
    </w:p>
    <w:p w14:paraId="7EB64384">
      <w:pPr>
        <w:ind w:firstLine="643" w:firstLineChars="200"/>
        <w:rPr>
          <w:rFonts w:ascii="仿宋" w:hAnsi="仿宋" w:eastAsia="仿宋"/>
          <w:b/>
          <w:sz w:val="32"/>
          <w:szCs w:val="32"/>
        </w:rPr>
      </w:pPr>
      <w:r>
        <w:rPr>
          <w:rFonts w:hint="eastAsia" w:ascii="仿宋" w:hAnsi="仿宋" w:eastAsia="仿宋"/>
          <w:b/>
          <w:sz w:val="32"/>
          <w:szCs w:val="32"/>
        </w:rPr>
        <w:t>1、制定标准的原则</w:t>
      </w:r>
    </w:p>
    <w:p w14:paraId="2C72E89B">
      <w:pPr>
        <w:ind w:firstLine="640" w:firstLineChars="200"/>
        <w:rPr>
          <w:rFonts w:ascii="仿宋" w:hAnsi="仿宋" w:eastAsia="仿宋"/>
          <w:sz w:val="32"/>
          <w:szCs w:val="32"/>
        </w:rPr>
      </w:pPr>
      <w:r>
        <w:rPr>
          <w:rFonts w:hint="eastAsia" w:ascii="仿宋" w:hAnsi="仿宋" w:eastAsia="仿宋"/>
          <w:sz w:val="32"/>
          <w:szCs w:val="32"/>
        </w:rPr>
        <w:t>制定标准主要遵循“统一性、协调性、适用性、一致性、规范性”的原则，尽可能与国际通行标准接轨，注重标准的可操作性。</w:t>
      </w:r>
    </w:p>
    <w:p w14:paraId="70365D7A">
      <w:pPr>
        <w:ind w:firstLine="643" w:firstLineChars="200"/>
        <w:rPr>
          <w:rFonts w:ascii="仿宋" w:hAnsi="仿宋" w:eastAsia="仿宋"/>
          <w:b/>
          <w:sz w:val="32"/>
          <w:szCs w:val="32"/>
        </w:rPr>
      </w:pPr>
      <w:r>
        <w:rPr>
          <w:rFonts w:hint="eastAsia" w:ascii="仿宋" w:hAnsi="仿宋" w:eastAsia="仿宋"/>
          <w:b/>
          <w:sz w:val="32"/>
          <w:szCs w:val="32"/>
        </w:rPr>
        <w:t>2、制定标准的依据</w:t>
      </w:r>
    </w:p>
    <w:p w14:paraId="3EA367C0">
      <w:pPr>
        <w:ind w:firstLine="640" w:firstLineChars="200"/>
        <w:rPr>
          <w:rFonts w:ascii="仿宋" w:hAnsi="仿宋" w:eastAsia="仿宋"/>
          <w:sz w:val="32"/>
          <w:szCs w:val="32"/>
        </w:rPr>
      </w:pPr>
      <w:r>
        <w:rPr>
          <w:rFonts w:hint="eastAsia" w:ascii="仿宋" w:hAnsi="仿宋" w:eastAsia="仿宋"/>
          <w:sz w:val="32"/>
          <w:szCs w:val="32"/>
        </w:rPr>
        <w:t>标准编写按照相关国家标准的要求，如《标准化工作导则 第1 部分：标准的结构和编写》（GB/T1.1-2020），《地方标准制修订工作规范》（DB</w:t>
      </w:r>
      <w:r>
        <w:rPr>
          <w:rFonts w:ascii="仿宋" w:hAnsi="仿宋" w:eastAsia="仿宋"/>
          <w:sz w:val="32"/>
          <w:szCs w:val="32"/>
        </w:rPr>
        <w:t>46</w:t>
      </w:r>
      <w:r>
        <w:rPr>
          <w:rFonts w:hint="eastAsia" w:ascii="仿宋" w:hAnsi="仿宋" w:eastAsia="仿宋"/>
          <w:sz w:val="32"/>
          <w:szCs w:val="32"/>
        </w:rPr>
        <w:t xml:space="preserve">/T </w:t>
      </w:r>
      <w:r>
        <w:rPr>
          <w:rFonts w:ascii="仿宋" w:hAnsi="仿宋" w:eastAsia="仿宋"/>
          <w:sz w:val="32"/>
          <w:szCs w:val="32"/>
        </w:rPr>
        <w:t>74</w:t>
      </w:r>
      <w:r>
        <w:rPr>
          <w:rFonts w:hint="eastAsia" w:ascii="仿宋" w:hAnsi="仿宋" w:eastAsia="仿宋"/>
          <w:sz w:val="32"/>
          <w:szCs w:val="32"/>
        </w:rPr>
        <w:t>—202</w:t>
      </w:r>
      <w:r>
        <w:rPr>
          <w:rFonts w:ascii="仿宋" w:hAnsi="仿宋" w:eastAsia="仿宋"/>
          <w:sz w:val="32"/>
          <w:szCs w:val="32"/>
        </w:rPr>
        <w:t>1</w:t>
      </w:r>
      <w:r>
        <w:rPr>
          <w:rFonts w:hint="eastAsia" w:ascii="仿宋" w:hAnsi="仿宋" w:eastAsia="仿宋"/>
          <w:sz w:val="32"/>
          <w:szCs w:val="32"/>
        </w:rPr>
        <w:t>）等。</w:t>
      </w:r>
    </w:p>
    <w:p w14:paraId="09CF5B36">
      <w:pPr>
        <w:ind w:firstLine="643" w:firstLineChars="200"/>
        <w:rPr>
          <w:rFonts w:ascii="仿宋_GB2312" w:hAnsi="仿宋" w:eastAsia="仿宋_GB2312"/>
          <w:b/>
          <w:sz w:val="32"/>
          <w:szCs w:val="32"/>
        </w:rPr>
      </w:pPr>
      <w:r>
        <w:rPr>
          <w:rFonts w:hint="eastAsia" w:ascii="仿宋_GB2312" w:hAnsi="仿宋" w:eastAsia="仿宋_GB2312"/>
          <w:b/>
          <w:sz w:val="32"/>
          <w:szCs w:val="32"/>
        </w:rPr>
        <w:t>（三）与有关的现行法律法规、标准的关系</w:t>
      </w:r>
    </w:p>
    <w:p w14:paraId="4964EFE4">
      <w:pPr>
        <w:ind w:firstLine="640" w:firstLineChars="200"/>
        <w:rPr>
          <w:rFonts w:ascii="仿宋" w:hAnsi="仿宋" w:eastAsia="仿宋"/>
          <w:sz w:val="32"/>
          <w:szCs w:val="32"/>
        </w:rPr>
      </w:pPr>
      <w:r>
        <w:rPr>
          <w:rFonts w:hint="eastAsia" w:ascii="仿宋" w:hAnsi="仿宋" w:eastAsia="仿宋"/>
          <w:sz w:val="32"/>
          <w:szCs w:val="32"/>
        </w:rPr>
        <w:t>符合国家、行业标准的相关规定，能与现行有关的法律、法规相衔接，与相关的国家、行业强制性标准无冲突。</w:t>
      </w:r>
    </w:p>
    <w:p w14:paraId="7364202E">
      <w:pPr>
        <w:ind w:firstLine="643" w:firstLineChars="200"/>
        <w:rPr>
          <w:rFonts w:ascii="仿宋" w:hAnsi="仿宋" w:eastAsia="仿宋"/>
          <w:b/>
          <w:sz w:val="32"/>
          <w:szCs w:val="32"/>
        </w:rPr>
      </w:pPr>
      <w:r>
        <w:rPr>
          <w:rFonts w:ascii="仿宋" w:hAnsi="仿宋" w:eastAsia="仿宋"/>
          <w:b/>
          <w:sz w:val="32"/>
          <w:szCs w:val="32"/>
        </w:rPr>
        <w:t xml:space="preserve">（四）主要条款的说明，主要技术指标、参数、试验验证的论述 </w:t>
      </w:r>
    </w:p>
    <w:p w14:paraId="312CE844">
      <w:pPr>
        <w:ind w:firstLine="640" w:firstLineChars="200"/>
        <w:rPr>
          <w:rFonts w:ascii="仿宋" w:hAnsi="仿宋" w:eastAsia="仿宋"/>
          <w:sz w:val="32"/>
          <w:szCs w:val="32"/>
        </w:rPr>
      </w:pPr>
      <w:r>
        <w:rPr>
          <w:rFonts w:hint="eastAsia" w:ascii="仿宋" w:hAnsi="仿宋" w:eastAsia="仿宋"/>
          <w:sz w:val="32"/>
          <w:szCs w:val="32"/>
        </w:rPr>
        <w:t>《法人和其他组织统一社会信用代码管理和应用规范》遵循标准编写的体例格式和基本要素，由目次、前言和正文构成。</w:t>
      </w:r>
    </w:p>
    <w:p w14:paraId="54B83F57">
      <w:pPr>
        <w:ind w:firstLine="640" w:firstLineChars="200"/>
        <w:rPr>
          <w:rFonts w:ascii="仿宋" w:hAnsi="仿宋" w:eastAsia="仿宋"/>
          <w:sz w:val="32"/>
          <w:szCs w:val="32"/>
        </w:rPr>
      </w:pPr>
      <w:r>
        <w:rPr>
          <w:rFonts w:hint="eastAsia" w:ascii="仿宋" w:hAnsi="仿宋" w:eastAsia="仿宋"/>
          <w:sz w:val="32"/>
          <w:szCs w:val="32"/>
        </w:rPr>
        <w:t>其中，正文除范围、规范性引用文件、术语和定义等通用条款外，重点对</w:t>
      </w:r>
      <w:r>
        <w:rPr>
          <w:rFonts w:hint="eastAsia" w:ascii="仿宋" w:hAnsi="仿宋" w:eastAsia="仿宋"/>
          <w:sz w:val="32"/>
          <w:szCs w:val="32"/>
          <w:lang w:val="en-US" w:eastAsia="zh-CN"/>
        </w:rPr>
        <w:t>数据管理</w:t>
      </w:r>
      <w:r>
        <w:rPr>
          <w:rFonts w:hint="eastAsia" w:ascii="仿宋" w:hAnsi="仿宋" w:eastAsia="仿宋"/>
          <w:sz w:val="32"/>
          <w:szCs w:val="32"/>
        </w:rPr>
        <w:t>、</w:t>
      </w:r>
      <w:r>
        <w:rPr>
          <w:rFonts w:hint="eastAsia" w:ascii="仿宋" w:hAnsi="仿宋" w:eastAsia="仿宋"/>
          <w:sz w:val="32"/>
          <w:szCs w:val="32"/>
          <w:lang w:val="en-US" w:eastAsia="zh-CN"/>
        </w:rPr>
        <w:t>数据应用、数据应用</w:t>
      </w:r>
      <w:r>
        <w:rPr>
          <w:rFonts w:hint="eastAsia" w:ascii="仿宋" w:hAnsi="仿宋" w:eastAsia="仿宋"/>
          <w:sz w:val="32"/>
          <w:szCs w:val="32"/>
        </w:rPr>
        <w:t>服务模型、</w:t>
      </w:r>
      <w:r>
        <w:rPr>
          <w:rFonts w:hint="eastAsia" w:ascii="仿宋" w:hAnsi="仿宋" w:eastAsia="仿宋"/>
          <w:sz w:val="32"/>
          <w:szCs w:val="32"/>
          <w:lang w:val="en-US" w:eastAsia="zh-CN"/>
        </w:rPr>
        <w:t>数据应用</w:t>
      </w:r>
      <w:r>
        <w:rPr>
          <w:rFonts w:hint="eastAsia" w:ascii="仿宋" w:hAnsi="仿宋" w:eastAsia="仿宋"/>
          <w:sz w:val="32"/>
          <w:szCs w:val="32"/>
        </w:rPr>
        <w:t>服务方式等内容做了规定。现重点对主要条款做以下说明：</w:t>
      </w:r>
    </w:p>
    <w:p w14:paraId="5695B7CC">
      <w:pPr>
        <w:ind w:firstLine="640" w:firstLineChars="200"/>
        <w:rPr>
          <w:rFonts w:ascii="仿宋" w:hAnsi="仿宋" w:eastAsia="仿宋"/>
          <w:sz w:val="32"/>
          <w:szCs w:val="32"/>
        </w:rPr>
      </w:pPr>
      <w:r>
        <w:rPr>
          <w:rFonts w:hint="eastAsia" w:ascii="楷体" w:hAnsi="楷体" w:eastAsia="楷体"/>
          <w:sz w:val="32"/>
          <w:szCs w:val="32"/>
          <w:lang w:val="en-US" w:eastAsia="zh-CN"/>
        </w:rPr>
        <w:t>关于</w:t>
      </w:r>
      <w:r>
        <w:rPr>
          <w:rFonts w:hint="eastAsia" w:ascii="楷体" w:hAnsi="楷体" w:eastAsia="楷体"/>
          <w:sz w:val="32"/>
          <w:szCs w:val="32"/>
        </w:rPr>
        <w:t>第</w:t>
      </w:r>
      <w:r>
        <w:rPr>
          <w:rFonts w:ascii="楷体" w:hAnsi="楷体" w:eastAsia="楷体"/>
          <w:sz w:val="32"/>
          <w:szCs w:val="32"/>
        </w:rPr>
        <w:t>4</w:t>
      </w:r>
      <w:r>
        <w:rPr>
          <w:rFonts w:hint="eastAsia" w:ascii="楷体" w:hAnsi="楷体" w:eastAsia="楷体"/>
          <w:sz w:val="32"/>
          <w:szCs w:val="32"/>
        </w:rPr>
        <w:t xml:space="preserve">章 </w:t>
      </w:r>
      <w:r>
        <w:rPr>
          <w:rFonts w:ascii="楷体" w:hAnsi="楷体" w:eastAsia="楷体"/>
          <w:sz w:val="32"/>
          <w:szCs w:val="32"/>
        </w:rPr>
        <w:t xml:space="preserve"> </w:t>
      </w:r>
      <w:r>
        <w:rPr>
          <w:rFonts w:hint="eastAsia" w:ascii="楷体" w:hAnsi="楷体" w:eastAsia="楷体"/>
          <w:sz w:val="32"/>
          <w:szCs w:val="32"/>
          <w:lang w:val="en-US" w:eastAsia="zh-CN"/>
        </w:rPr>
        <w:t>数据管理</w:t>
      </w:r>
      <w:r>
        <w:rPr>
          <w:rFonts w:hint="eastAsia" w:ascii="仿宋" w:hAnsi="仿宋" w:eastAsia="仿宋"/>
          <w:sz w:val="32"/>
          <w:szCs w:val="32"/>
        </w:rPr>
        <w:t>。该部分主要对法人和其他组织统一社会信用代码</w:t>
      </w:r>
      <w:r>
        <w:rPr>
          <w:rFonts w:hint="eastAsia" w:ascii="仿宋" w:hAnsi="仿宋" w:eastAsia="仿宋"/>
          <w:sz w:val="32"/>
          <w:szCs w:val="32"/>
          <w:lang w:val="en-US" w:eastAsia="zh-CN"/>
        </w:rPr>
        <w:t>数据管理流程、赋码管理、统一社会信用代码的发放和标注、数据采集、信息回传、数据自动校核、证照发放与数据修正、数据分发、数据加工、数据上报与接收和质量控制等内容</w:t>
      </w:r>
      <w:r>
        <w:rPr>
          <w:rFonts w:hint="eastAsia" w:ascii="仿宋" w:hAnsi="仿宋" w:eastAsia="仿宋"/>
          <w:sz w:val="32"/>
          <w:szCs w:val="32"/>
        </w:rPr>
        <w:t>给出明确</w:t>
      </w:r>
      <w:r>
        <w:rPr>
          <w:rFonts w:hint="eastAsia" w:ascii="仿宋" w:hAnsi="仿宋" w:eastAsia="仿宋"/>
          <w:sz w:val="32"/>
          <w:szCs w:val="32"/>
          <w:lang w:val="en-US" w:eastAsia="zh-CN"/>
        </w:rPr>
        <w:t>要求</w:t>
      </w:r>
      <w:r>
        <w:rPr>
          <w:rFonts w:hint="eastAsia" w:ascii="仿宋" w:hAnsi="仿宋" w:eastAsia="仿宋"/>
          <w:sz w:val="32"/>
          <w:szCs w:val="32"/>
        </w:rPr>
        <w:t>。</w:t>
      </w:r>
    </w:p>
    <w:p w14:paraId="13E5A87A">
      <w:pPr>
        <w:ind w:firstLine="640" w:firstLineChars="200"/>
        <w:rPr>
          <w:rFonts w:ascii="仿宋" w:hAnsi="仿宋" w:eastAsia="仿宋"/>
          <w:sz w:val="32"/>
          <w:szCs w:val="32"/>
        </w:rPr>
      </w:pPr>
      <w:r>
        <w:rPr>
          <w:rFonts w:hint="eastAsia" w:ascii="楷体" w:hAnsi="楷体" w:eastAsia="楷体"/>
          <w:sz w:val="32"/>
          <w:szCs w:val="32"/>
        </w:rPr>
        <w:t>关于第</w:t>
      </w:r>
      <w:r>
        <w:rPr>
          <w:rFonts w:ascii="楷体" w:hAnsi="楷体" w:eastAsia="楷体"/>
          <w:sz w:val="32"/>
          <w:szCs w:val="32"/>
        </w:rPr>
        <w:t>5</w:t>
      </w:r>
      <w:r>
        <w:rPr>
          <w:rFonts w:hint="eastAsia" w:ascii="楷体" w:hAnsi="楷体" w:eastAsia="楷体"/>
          <w:sz w:val="32"/>
          <w:szCs w:val="32"/>
        </w:rPr>
        <w:t xml:space="preserve">章 </w:t>
      </w:r>
      <w:r>
        <w:rPr>
          <w:rFonts w:hint="eastAsia" w:ascii="楷体" w:hAnsi="楷体" w:eastAsia="楷体"/>
          <w:sz w:val="32"/>
          <w:szCs w:val="32"/>
          <w:lang w:val="en-US" w:eastAsia="zh-CN"/>
        </w:rPr>
        <w:t>数据应用</w:t>
      </w:r>
      <w:r>
        <w:rPr>
          <w:rFonts w:hint="eastAsia" w:ascii="楷体" w:hAnsi="楷体" w:eastAsia="楷体"/>
          <w:sz w:val="32"/>
          <w:szCs w:val="32"/>
        </w:rPr>
        <w:t>。</w:t>
      </w:r>
      <w:r>
        <w:rPr>
          <w:rFonts w:hint="eastAsia" w:ascii="仿宋" w:hAnsi="仿宋" w:eastAsia="仿宋"/>
          <w:sz w:val="32"/>
          <w:szCs w:val="32"/>
        </w:rPr>
        <w:t>本部分对法人和其他组织统一社会信用代码数据</w:t>
      </w:r>
      <w:r>
        <w:rPr>
          <w:rFonts w:hint="eastAsia" w:ascii="仿宋" w:hAnsi="仿宋" w:eastAsia="仿宋"/>
          <w:sz w:val="32"/>
          <w:szCs w:val="32"/>
          <w:lang w:val="en-US" w:eastAsia="zh-CN"/>
        </w:rPr>
        <w:t>应用的代码</w:t>
      </w:r>
      <w:r>
        <w:rPr>
          <w:rFonts w:hint="eastAsia" w:ascii="仿宋" w:hAnsi="仿宋" w:eastAsia="仿宋"/>
          <w:sz w:val="32"/>
          <w:szCs w:val="32"/>
        </w:rPr>
        <w:t>应用</w:t>
      </w:r>
      <w:r>
        <w:rPr>
          <w:rFonts w:hint="eastAsia" w:ascii="仿宋" w:hAnsi="仿宋" w:eastAsia="仿宋"/>
          <w:sz w:val="32"/>
          <w:szCs w:val="32"/>
          <w:lang w:val="en-US" w:eastAsia="zh-CN"/>
        </w:rPr>
        <w:t>和数据应用两</w:t>
      </w:r>
      <w:r>
        <w:rPr>
          <w:rFonts w:hint="eastAsia" w:ascii="仿宋" w:hAnsi="仿宋" w:eastAsia="仿宋"/>
          <w:sz w:val="32"/>
          <w:szCs w:val="32"/>
        </w:rPr>
        <w:t>方面提出了要求。</w:t>
      </w:r>
    </w:p>
    <w:p w14:paraId="6BD60EF6">
      <w:pPr>
        <w:ind w:firstLine="640" w:firstLineChars="200"/>
        <w:rPr>
          <w:rFonts w:ascii="仿宋" w:hAnsi="仿宋" w:eastAsia="仿宋"/>
          <w:color w:val="000000" w:themeColor="text1"/>
          <w:sz w:val="32"/>
          <w:szCs w:val="32"/>
          <w14:textFill>
            <w14:solidFill>
              <w14:schemeClr w14:val="tx1"/>
            </w14:solidFill>
          </w14:textFill>
        </w:rPr>
      </w:pPr>
      <w:r>
        <w:rPr>
          <w:rFonts w:hint="eastAsia" w:ascii="楷体" w:hAnsi="楷体" w:eastAsia="楷体"/>
          <w:sz w:val="32"/>
          <w:szCs w:val="32"/>
        </w:rPr>
        <w:t>关于第</w:t>
      </w:r>
      <w:r>
        <w:rPr>
          <w:rFonts w:ascii="楷体" w:hAnsi="楷体" w:eastAsia="楷体"/>
          <w:sz w:val="32"/>
          <w:szCs w:val="32"/>
        </w:rPr>
        <w:t>6</w:t>
      </w:r>
      <w:r>
        <w:rPr>
          <w:rFonts w:hint="eastAsia" w:ascii="楷体" w:hAnsi="楷体" w:eastAsia="楷体"/>
          <w:sz w:val="32"/>
          <w:szCs w:val="32"/>
        </w:rPr>
        <w:t xml:space="preserve">章 </w:t>
      </w:r>
      <w:r>
        <w:rPr>
          <w:rFonts w:hint="eastAsia" w:ascii="楷体" w:hAnsi="楷体" w:eastAsia="楷体"/>
          <w:sz w:val="32"/>
          <w:szCs w:val="32"/>
          <w:lang w:val="en-US" w:eastAsia="zh-CN"/>
        </w:rPr>
        <w:t>数据应用</w:t>
      </w:r>
      <w:r>
        <w:rPr>
          <w:rFonts w:hint="eastAsia" w:ascii="楷体" w:hAnsi="楷体" w:eastAsia="楷体"/>
          <w:sz w:val="32"/>
          <w:szCs w:val="32"/>
        </w:rPr>
        <w:t>服务模型。</w:t>
      </w:r>
      <w:r>
        <w:rPr>
          <w:rFonts w:hint="eastAsia" w:ascii="仿宋" w:hAnsi="仿宋" w:eastAsia="仿宋"/>
          <w:sz w:val="32"/>
          <w:szCs w:val="32"/>
        </w:rPr>
        <w:t>本部分对法人和其他组织统一社会信用代码数据应用服务模型</w:t>
      </w:r>
      <w:r>
        <w:rPr>
          <w:rFonts w:hint="eastAsia" w:ascii="仿宋" w:hAnsi="仿宋" w:eastAsia="仿宋"/>
          <w:sz w:val="32"/>
          <w:szCs w:val="32"/>
          <w:lang w:val="en-US" w:eastAsia="zh-CN"/>
        </w:rPr>
        <w:t>的概述、数据资源层、数据支撑层、应用层和用户层等</w:t>
      </w:r>
      <w:r>
        <w:rPr>
          <w:rFonts w:hint="eastAsia" w:ascii="仿宋" w:hAnsi="仿宋" w:eastAsia="仿宋"/>
          <w:sz w:val="32"/>
          <w:szCs w:val="32"/>
        </w:rPr>
        <w:t>进行了详细介绍并提出了具</w:t>
      </w:r>
      <w:r>
        <w:rPr>
          <w:rFonts w:hint="eastAsia" w:ascii="仿宋" w:hAnsi="仿宋" w:eastAsia="仿宋"/>
          <w:color w:val="000000" w:themeColor="text1"/>
          <w:sz w:val="32"/>
          <w:szCs w:val="32"/>
          <w14:textFill>
            <w14:solidFill>
              <w14:schemeClr w14:val="tx1"/>
            </w14:solidFill>
          </w14:textFill>
        </w:rPr>
        <w:t>体要求。</w:t>
      </w:r>
    </w:p>
    <w:p w14:paraId="1E163751">
      <w:pPr>
        <w:ind w:firstLine="640" w:firstLineChars="200"/>
        <w:rPr>
          <w:rFonts w:ascii="仿宋" w:hAnsi="仿宋" w:eastAsia="仿宋"/>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关于第</w:t>
      </w:r>
      <w:r>
        <w:rPr>
          <w:rFonts w:ascii="楷体" w:hAnsi="楷体" w:eastAsia="楷体"/>
          <w:color w:val="000000" w:themeColor="text1"/>
          <w:sz w:val="32"/>
          <w:szCs w:val="32"/>
          <w14:textFill>
            <w14:solidFill>
              <w14:schemeClr w14:val="tx1"/>
            </w14:solidFill>
          </w14:textFill>
        </w:rPr>
        <w:t>7</w:t>
      </w:r>
      <w:r>
        <w:rPr>
          <w:rFonts w:hint="eastAsia" w:ascii="楷体" w:hAnsi="楷体" w:eastAsia="楷体"/>
          <w:color w:val="000000" w:themeColor="text1"/>
          <w:sz w:val="32"/>
          <w:szCs w:val="32"/>
          <w14:textFill>
            <w14:solidFill>
              <w14:schemeClr w14:val="tx1"/>
            </w14:solidFill>
          </w14:textFill>
        </w:rPr>
        <w:t xml:space="preserve">章 </w:t>
      </w:r>
      <w:r>
        <w:rPr>
          <w:rFonts w:hint="eastAsia" w:ascii="楷体" w:hAnsi="楷体" w:eastAsia="楷体"/>
          <w:color w:val="000000" w:themeColor="text1"/>
          <w:sz w:val="32"/>
          <w:szCs w:val="32"/>
          <w:lang w:val="en-US" w:eastAsia="zh-CN"/>
          <w14:textFill>
            <w14:solidFill>
              <w14:schemeClr w14:val="tx1"/>
            </w14:solidFill>
          </w14:textFill>
        </w:rPr>
        <w:t>数据应用服务方式</w:t>
      </w:r>
      <w:r>
        <w:rPr>
          <w:rFonts w:hint="eastAsia" w:ascii="楷体" w:hAnsi="楷体" w:eastAsia="楷体"/>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本部分对法人和其他组织统一社会信用代码数据</w:t>
      </w:r>
      <w:r>
        <w:rPr>
          <w:rFonts w:hint="eastAsia" w:ascii="仿宋" w:hAnsi="仿宋" w:eastAsia="仿宋"/>
          <w:color w:val="000000" w:themeColor="text1"/>
          <w:sz w:val="32"/>
          <w:szCs w:val="32"/>
          <w:lang w:val="en-US" w:eastAsia="zh-CN"/>
          <w14:textFill>
            <w14:solidFill>
              <w14:schemeClr w14:val="tx1"/>
            </w14:solidFill>
          </w14:textFill>
        </w:rPr>
        <w:t>应用</w:t>
      </w:r>
      <w:r>
        <w:rPr>
          <w:rFonts w:hint="eastAsia" w:ascii="仿宋" w:hAnsi="仿宋" w:eastAsia="仿宋"/>
          <w:color w:val="000000" w:themeColor="text1"/>
          <w:sz w:val="32"/>
          <w:szCs w:val="32"/>
          <w14:textFill>
            <w14:solidFill>
              <w14:schemeClr w14:val="tx1"/>
            </w14:solidFill>
          </w14:textFill>
        </w:rPr>
        <w:t>服务方式</w:t>
      </w:r>
      <w:r>
        <w:rPr>
          <w:rFonts w:hint="eastAsia" w:ascii="仿宋" w:hAnsi="仿宋" w:eastAsia="仿宋"/>
          <w:color w:val="000000" w:themeColor="text1"/>
          <w:sz w:val="32"/>
          <w:szCs w:val="32"/>
          <w:lang w:val="en-US" w:eastAsia="zh-CN"/>
          <w14:textFill>
            <w14:solidFill>
              <w14:schemeClr w14:val="tx1"/>
            </w14:solidFill>
          </w14:textFill>
        </w:rPr>
        <w:t>从信息查询公示、接口服务、安全措施等</w:t>
      </w:r>
      <w:r>
        <w:rPr>
          <w:rFonts w:hint="eastAsia" w:ascii="仿宋" w:hAnsi="仿宋" w:eastAsia="仿宋"/>
          <w:color w:val="000000" w:themeColor="text1"/>
          <w:sz w:val="32"/>
          <w:szCs w:val="32"/>
          <w14:textFill>
            <w14:solidFill>
              <w14:schemeClr w14:val="tx1"/>
            </w14:solidFill>
          </w14:textFill>
        </w:rPr>
        <w:t>提出具体要求。</w:t>
      </w:r>
    </w:p>
    <w:p w14:paraId="0FE6ACBD">
      <w:pPr>
        <w:ind w:firstLine="643" w:firstLineChars="200"/>
        <w:rPr>
          <w:rFonts w:ascii="仿宋" w:hAnsi="仿宋" w:eastAsia="仿宋"/>
          <w:b/>
          <w:sz w:val="32"/>
          <w:szCs w:val="32"/>
        </w:rPr>
      </w:pPr>
      <w:r>
        <w:rPr>
          <w:rFonts w:ascii="仿宋" w:hAnsi="仿宋" w:eastAsia="仿宋"/>
          <w:b/>
          <w:sz w:val="32"/>
          <w:szCs w:val="32"/>
        </w:rPr>
        <w:t>（五）标准中如果涉及专利，应有明确的知识产权说明</w:t>
      </w:r>
    </w:p>
    <w:p w14:paraId="24727702">
      <w:pPr>
        <w:ind w:firstLine="640" w:firstLineChars="200"/>
        <w:rPr>
          <w:rFonts w:ascii="仿宋" w:hAnsi="仿宋" w:eastAsia="仿宋"/>
          <w:sz w:val="32"/>
          <w:szCs w:val="32"/>
        </w:rPr>
      </w:pPr>
      <w:r>
        <w:rPr>
          <w:rFonts w:hint="eastAsia" w:ascii="仿宋" w:hAnsi="仿宋" w:eastAsia="仿宋"/>
          <w:sz w:val="32"/>
          <w:szCs w:val="32"/>
        </w:rPr>
        <w:t>本文件未涉及专利。</w:t>
      </w:r>
    </w:p>
    <w:p w14:paraId="2DD98A31">
      <w:pPr>
        <w:ind w:firstLine="643" w:firstLineChars="200"/>
        <w:rPr>
          <w:rFonts w:ascii="仿宋" w:hAnsi="仿宋" w:eastAsia="仿宋"/>
          <w:b/>
          <w:sz w:val="32"/>
          <w:szCs w:val="32"/>
        </w:rPr>
      </w:pPr>
      <w:r>
        <w:rPr>
          <w:rFonts w:ascii="仿宋" w:hAnsi="仿宋" w:eastAsia="仿宋"/>
          <w:b/>
          <w:sz w:val="32"/>
          <w:szCs w:val="32"/>
        </w:rPr>
        <w:t>（六）采用国际标准或国外先进标准的，说明采标程度，以及国内外同类标准水平的对比情况</w:t>
      </w:r>
    </w:p>
    <w:p w14:paraId="67B825CA">
      <w:pPr>
        <w:ind w:firstLine="640" w:firstLineChars="200"/>
        <w:rPr>
          <w:rFonts w:ascii="仿宋" w:hAnsi="仿宋" w:eastAsia="仿宋"/>
          <w:sz w:val="32"/>
          <w:szCs w:val="32"/>
        </w:rPr>
      </w:pPr>
      <w:r>
        <w:rPr>
          <w:rFonts w:hint="eastAsia" w:ascii="仿宋" w:hAnsi="仿宋" w:eastAsia="仿宋"/>
          <w:sz w:val="32"/>
          <w:szCs w:val="32"/>
        </w:rPr>
        <w:t>未采用国际标准或国外先进标准。</w:t>
      </w:r>
    </w:p>
    <w:p w14:paraId="2A37B2D4">
      <w:pPr>
        <w:ind w:firstLine="643" w:firstLineChars="200"/>
        <w:rPr>
          <w:rFonts w:ascii="仿宋" w:hAnsi="仿宋" w:eastAsia="仿宋"/>
          <w:b/>
          <w:sz w:val="32"/>
          <w:szCs w:val="32"/>
        </w:rPr>
      </w:pPr>
      <w:r>
        <w:rPr>
          <w:rFonts w:ascii="仿宋" w:hAnsi="仿宋" w:eastAsia="仿宋"/>
          <w:b/>
          <w:sz w:val="32"/>
          <w:szCs w:val="32"/>
        </w:rPr>
        <w:t>（七）重大分歧意见的处理依据和结果</w:t>
      </w:r>
    </w:p>
    <w:p w14:paraId="0473895A">
      <w:pPr>
        <w:ind w:firstLine="640" w:firstLineChars="200"/>
        <w:rPr>
          <w:rFonts w:ascii="仿宋" w:hAnsi="仿宋" w:eastAsia="仿宋"/>
          <w:sz w:val="32"/>
          <w:szCs w:val="32"/>
        </w:rPr>
      </w:pPr>
      <w:r>
        <w:rPr>
          <w:rFonts w:ascii="仿宋" w:hAnsi="仿宋" w:eastAsia="仿宋"/>
          <w:sz w:val="32"/>
          <w:szCs w:val="32"/>
        </w:rPr>
        <w:t>无</w:t>
      </w:r>
      <w:r>
        <w:rPr>
          <w:rFonts w:hint="eastAsia" w:ascii="仿宋" w:hAnsi="仿宋" w:eastAsia="仿宋"/>
          <w:sz w:val="32"/>
          <w:szCs w:val="32"/>
        </w:rPr>
        <w:t>。</w:t>
      </w:r>
    </w:p>
    <w:p w14:paraId="479DAA1C">
      <w:pPr>
        <w:ind w:firstLine="643" w:firstLineChars="200"/>
        <w:rPr>
          <w:rFonts w:ascii="仿宋" w:hAnsi="仿宋" w:eastAsia="仿宋"/>
          <w:b/>
          <w:sz w:val="32"/>
          <w:szCs w:val="32"/>
        </w:rPr>
      </w:pPr>
      <w:r>
        <w:rPr>
          <w:rFonts w:ascii="仿宋" w:hAnsi="仿宋" w:eastAsia="仿宋"/>
          <w:b/>
          <w:sz w:val="32"/>
          <w:szCs w:val="32"/>
        </w:rPr>
        <w:t>（八）贯彻标准的要求和措施建议</w:t>
      </w:r>
    </w:p>
    <w:p w14:paraId="12BD7BC4">
      <w:pPr>
        <w:ind w:firstLine="640" w:firstLineChars="200"/>
        <w:rPr>
          <w:rFonts w:ascii="仿宋" w:hAnsi="仿宋" w:eastAsia="仿宋"/>
          <w:sz w:val="32"/>
          <w:szCs w:val="32"/>
        </w:rPr>
      </w:pPr>
      <w:r>
        <w:rPr>
          <w:rFonts w:hint="eastAsia" w:ascii="仿宋" w:hAnsi="仿宋" w:eastAsia="仿宋"/>
          <w:sz w:val="32"/>
          <w:szCs w:val="32"/>
        </w:rPr>
        <w:t>待本标准发布后，由海南省市场监督管理局主动联合海南省检验检测研究院、海南省标准化协会以及相关企业做好新标准的宣贯。利用多媒体以及短视频等方式对法人和其他组织统一社会信用代码数据应用服务人员进行标准内容的培训和公开宣传。</w:t>
      </w:r>
    </w:p>
    <w:p w14:paraId="0F0D7E9B">
      <w:pPr>
        <w:tabs>
          <w:tab w:val="left" w:pos="2127"/>
        </w:tabs>
        <w:ind w:firstLine="643" w:firstLineChars="200"/>
        <w:rPr>
          <w:rFonts w:ascii="仿宋" w:hAnsi="仿宋" w:eastAsia="仿宋"/>
          <w:b/>
          <w:sz w:val="32"/>
          <w:szCs w:val="32"/>
        </w:rPr>
      </w:pPr>
      <w:r>
        <w:rPr>
          <w:rFonts w:ascii="仿宋" w:hAnsi="仿宋" w:eastAsia="仿宋"/>
          <w:b/>
          <w:sz w:val="32"/>
          <w:szCs w:val="32"/>
        </w:rPr>
        <w:t>（九）预期效果</w:t>
      </w:r>
    </w:p>
    <w:p w14:paraId="4AAD620E">
      <w:pPr>
        <w:ind w:firstLine="640" w:firstLineChars="200"/>
        <w:rPr>
          <w:rFonts w:ascii="仿宋" w:hAnsi="仿宋" w:eastAsia="仿宋"/>
          <w:sz w:val="32"/>
          <w:szCs w:val="32"/>
        </w:rPr>
      </w:pPr>
      <w:r>
        <w:rPr>
          <w:rFonts w:hint="eastAsia" w:ascii="仿宋" w:hAnsi="仿宋" w:eastAsia="仿宋"/>
          <w:sz w:val="32"/>
          <w:szCs w:val="32"/>
        </w:rPr>
        <w:t>《法人和其他组织统一社会信用代码管理和应用规范》地方标准的发布实施，通过统一数据标准，打通数据孤岛，可以有效地促进信息在不同地区、不同部门及不同行业间流动，进一步为推动数字中国建设提供动力。</w:t>
      </w:r>
    </w:p>
    <w:p w14:paraId="1841B373">
      <w:pPr>
        <w:ind w:firstLine="643" w:firstLineChars="200"/>
        <w:rPr>
          <w:rFonts w:ascii="仿宋" w:hAnsi="仿宋" w:eastAsia="仿宋"/>
          <w:b/>
          <w:sz w:val="32"/>
          <w:szCs w:val="32"/>
        </w:rPr>
      </w:pPr>
      <w:r>
        <w:rPr>
          <w:rFonts w:ascii="仿宋" w:hAnsi="仿宋" w:eastAsia="仿宋"/>
          <w:b/>
          <w:sz w:val="32"/>
          <w:szCs w:val="32"/>
        </w:rPr>
        <w:t>（十）其他应予说明的事项</w:t>
      </w:r>
    </w:p>
    <w:p w14:paraId="72ACE331">
      <w:pPr>
        <w:ind w:firstLine="640" w:firstLineChars="200"/>
      </w:pPr>
      <w:r>
        <w:rPr>
          <w:rFonts w:ascii="仿宋" w:hAnsi="仿宋" w:eastAsia="仿宋"/>
          <w:sz w:val="32"/>
          <w:szCs w:val="32"/>
        </w:rPr>
        <w:t>无</w:t>
      </w:r>
      <w:r>
        <w:rPr>
          <w:rFonts w:hint="eastAsia" w:ascii="仿宋" w:hAnsi="仿宋" w:eastAsia="仿宋"/>
          <w:sz w:val="32"/>
          <w:szCs w:val="3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3767155"/>
      <w:docPartObj>
        <w:docPartGallery w:val="autotext"/>
      </w:docPartObj>
    </w:sdtPr>
    <w:sdtContent>
      <w:p w14:paraId="24514D5F">
        <w:pPr>
          <w:pStyle w:val="5"/>
          <w:jc w:val="center"/>
        </w:pPr>
        <w:r>
          <w:fldChar w:fldCharType="begin"/>
        </w:r>
        <w:r>
          <w:instrText xml:space="preserve">PAGE   \* MERGEFORMAT</w:instrText>
        </w:r>
        <w:r>
          <w:fldChar w:fldCharType="separate"/>
        </w:r>
        <w:r>
          <w:rPr>
            <w:lang w:val="zh-CN"/>
          </w:rPr>
          <w:t>7</w:t>
        </w:r>
        <w:r>
          <w:fldChar w:fldCharType="end"/>
        </w:r>
      </w:p>
    </w:sdtContent>
  </w:sdt>
  <w:p w14:paraId="4E670C42">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22"/>
      <w:suff w:val="nothing"/>
      <w:lvlText w:val="%1"/>
      <w:lvlJc w:val="left"/>
      <w:pPr>
        <w:ind w:left="0" w:firstLine="0"/>
      </w:pPr>
      <w:rPr>
        <w:rFonts w:hint="eastAsia"/>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pStyle w:val="2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6"/>
      <w:suff w:val="nothing"/>
      <w:lvlText w:val="%1%2.%3.%4　"/>
      <w:lvlJc w:val="left"/>
      <w:pPr>
        <w:ind w:left="0" w:firstLine="0"/>
      </w:pPr>
      <w:rPr>
        <w:rFonts w:hint="eastAsia" w:ascii="黑体" w:eastAsia="黑体"/>
        <w:b w:val="0"/>
        <w:i w:val="0"/>
        <w:sz w:val="21"/>
      </w:rPr>
    </w:lvl>
    <w:lvl w:ilvl="4" w:tentative="0">
      <w:start w:val="1"/>
      <w:numFmt w:val="decimal"/>
      <w:pStyle w:val="17"/>
      <w:suff w:val="nothing"/>
      <w:lvlText w:val="%1%2.%3.%4.%5　"/>
      <w:lvlJc w:val="left"/>
      <w:pPr>
        <w:ind w:left="0" w:firstLine="0"/>
      </w:pPr>
      <w:rPr>
        <w:rFonts w:hint="eastAsia" w:ascii="黑体" w:eastAsia="黑体"/>
        <w:b w:val="0"/>
        <w:i w:val="0"/>
        <w:sz w:val="21"/>
      </w:rPr>
    </w:lvl>
    <w:lvl w:ilvl="5" w:tentative="0">
      <w:start w:val="1"/>
      <w:numFmt w:val="decimal"/>
      <w:pStyle w:val="18"/>
      <w:suff w:val="nothing"/>
      <w:lvlText w:val="%1%2.%3.%4.%5.%6　"/>
      <w:lvlJc w:val="left"/>
      <w:pPr>
        <w:ind w:left="0" w:firstLine="0"/>
      </w:pPr>
      <w:rPr>
        <w:rFonts w:hint="eastAsia" w:ascii="黑体" w:eastAsia="黑体"/>
        <w:b w:val="0"/>
        <w:i w:val="0"/>
        <w:sz w:val="21"/>
      </w:rPr>
    </w:lvl>
    <w:lvl w:ilvl="6" w:tentative="0">
      <w:start w:val="1"/>
      <w:numFmt w:val="decimal"/>
      <w:pStyle w:val="1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zNDM4OWY5OTg5N2I2ZWE4MGIzYTFmOGRjNDE1NzAifQ=="/>
  </w:docVars>
  <w:rsids>
    <w:rsidRoot w:val="00EC2A36"/>
    <w:rsid w:val="000013FC"/>
    <w:rsid w:val="00007641"/>
    <w:rsid w:val="00014B5D"/>
    <w:rsid w:val="00022C1A"/>
    <w:rsid w:val="0003309E"/>
    <w:rsid w:val="00033B87"/>
    <w:rsid w:val="00053B30"/>
    <w:rsid w:val="00067A2C"/>
    <w:rsid w:val="000B50C2"/>
    <w:rsid w:val="000F1167"/>
    <w:rsid w:val="00110893"/>
    <w:rsid w:val="00110BE1"/>
    <w:rsid w:val="00122DCA"/>
    <w:rsid w:val="00125868"/>
    <w:rsid w:val="00130DA4"/>
    <w:rsid w:val="0015086E"/>
    <w:rsid w:val="001648BB"/>
    <w:rsid w:val="00180E3C"/>
    <w:rsid w:val="00190753"/>
    <w:rsid w:val="001A4138"/>
    <w:rsid w:val="001A6FE4"/>
    <w:rsid w:val="001B0471"/>
    <w:rsid w:val="001B3EDF"/>
    <w:rsid w:val="001C335B"/>
    <w:rsid w:val="001D078C"/>
    <w:rsid w:val="001D091E"/>
    <w:rsid w:val="001D5E16"/>
    <w:rsid w:val="001E42F4"/>
    <w:rsid w:val="001F39EF"/>
    <w:rsid w:val="00203602"/>
    <w:rsid w:val="00227AD0"/>
    <w:rsid w:val="00233BAE"/>
    <w:rsid w:val="00235AD2"/>
    <w:rsid w:val="00241C7B"/>
    <w:rsid w:val="00282FD9"/>
    <w:rsid w:val="00295CD6"/>
    <w:rsid w:val="002A206A"/>
    <w:rsid w:val="002B4E66"/>
    <w:rsid w:val="002C397D"/>
    <w:rsid w:val="002D02AC"/>
    <w:rsid w:val="002D08D2"/>
    <w:rsid w:val="002D6016"/>
    <w:rsid w:val="002E2158"/>
    <w:rsid w:val="002E328E"/>
    <w:rsid w:val="002F7B88"/>
    <w:rsid w:val="0030565A"/>
    <w:rsid w:val="00305CBF"/>
    <w:rsid w:val="00333D45"/>
    <w:rsid w:val="00350839"/>
    <w:rsid w:val="0036770D"/>
    <w:rsid w:val="00385F26"/>
    <w:rsid w:val="003B2C29"/>
    <w:rsid w:val="003B5C14"/>
    <w:rsid w:val="003B60AA"/>
    <w:rsid w:val="003D6AF1"/>
    <w:rsid w:val="003D700E"/>
    <w:rsid w:val="003F2DC0"/>
    <w:rsid w:val="003F532C"/>
    <w:rsid w:val="00430658"/>
    <w:rsid w:val="00430B28"/>
    <w:rsid w:val="00447863"/>
    <w:rsid w:val="00457733"/>
    <w:rsid w:val="00470684"/>
    <w:rsid w:val="00484A7A"/>
    <w:rsid w:val="004A6C5D"/>
    <w:rsid w:val="004E302D"/>
    <w:rsid w:val="004E7368"/>
    <w:rsid w:val="004F14B1"/>
    <w:rsid w:val="004F267A"/>
    <w:rsid w:val="00530797"/>
    <w:rsid w:val="005667D2"/>
    <w:rsid w:val="005B0E8B"/>
    <w:rsid w:val="005C2B83"/>
    <w:rsid w:val="005D63C5"/>
    <w:rsid w:val="00607436"/>
    <w:rsid w:val="00621C9E"/>
    <w:rsid w:val="00624A63"/>
    <w:rsid w:val="00627933"/>
    <w:rsid w:val="00631653"/>
    <w:rsid w:val="00635980"/>
    <w:rsid w:val="00661158"/>
    <w:rsid w:val="00664AB6"/>
    <w:rsid w:val="00696441"/>
    <w:rsid w:val="006A1FF8"/>
    <w:rsid w:val="006B6D0F"/>
    <w:rsid w:val="006C4DCF"/>
    <w:rsid w:val="006E55E3"/>
    <w:rsid w:val="006F6CB6"/>
    <w:rsid w:val="00715401"/>
    <w:rsid w:val="00715DD1"/>
    <w:rsid w:val="00730E2F"/>
    <w:rsid w:val="00744DF5"/>
    <w:rsid w:val="0076117E"/>
    <w:rsid w:val="00771251"/>
    <w:rsid w:val="007B189C"/>
    <w:rsid w:val="007D5A8B"/>
    <w:rsid w:val="007D78C5"/>
    <w:rsid w:val="007E5586"/>
    <w:rsid w:val="00803E46"/>
    <w:rsid w:val="0081079C"/>
    <w:rsid w:val="00824242"/>
    <w:rsid w:val="00826E3D"/>
    <w:rsid w:val="00836642"/>
    <w:rsid w:val="00843AAA"/>
    <w:rsid w:val="0087448A"/>
    <w:rsid w:val="00882BBD"/>
    <w:rsid w:val="00884E1D"/>
    <w:rsid w:val="008A259D"/>
    <w:rsid w:val="008B6DE2"/>
    <w:rsid w:val="008E58A0"/>
    <w:rsid w:val="008F2119"/>
    <w:rsid w:val="008F3D2E"/>
    <w:rsid w:val="009029BE"/>
    <w:rsid w:val="00955C27"/>
    <w:rsid w:val="00990377"/>
    <w:rsid w:val="009A2B64"/>
    <w:rsid w:val="009A5186"/>
    <w:rsid w:val="009A6868"/>
    <w:rsid w:val="009E5025"/>
    <w:rsid w:val="00A067E2"/>
    <w:rsid w:val="00A10ACE"/>
    <w:rsid w:val="00A16352"/>
    <w:rsid w:val="00A5090A"/>
    <w:rsid w:val="00A62DE4"/>
    <w:rsid w:val="00A734FD"/>
    <w:rsid w:val="00A805A5"/>
    <w:rsid w:val="00A81CFD"/>
    <w:rsid w:val="00A90B22"/>
    <w:rsid w:val="00A90DF5"/>
    <w:rsid w:val="00AA6398"/>
    <w:rsid w:val="00AB4F85"/>
    <w:rsid w:val="00AC11AE"/>
    <w:rsid w:val="00AE3239"/>
    <w:rsid w:val="00AF50D0"/>
    <w:rsid w:val="00AF68C0"/>
    <w:rsid w:val="00B051CF"/>
    <w:rsid w:val="00B30630"/>
    <w:rsid w:val="00B507CA"/>
    <w:rsid w:val="00B55219"/>
    <w:rsid w:val="00B61EFA"/>
    <w:rsid w:val="00B7213D"/>
    <w:rsid w:val="00B74C89"/>
    <w:rsid w:val="00B77AB9"/>
    <w:rsid w:val="00B956A4"/>
    <w:rsid w:val="00B96837"/>
    <w:rsid w:val="00BA11D9"/>
    <w:rsid w:val="00BA26CC"/>
    <w:rsid w:val="00BA44F1"/>
    <w:rsid w:val="00BA6C7A"/>
    <w:rsid w:val="00BD14BD"/>
    <w:rsid w:val="00BE6173"/>
    <w:rsid w:val="00C000AA"/>
    <w:rsid w:val="00C11D55"/>
    <w:rsid w:val="00C27F63"/>
    <w:rsid w:val="00C362FD"/>
    <w:rsid w:val="00C652FC"/>
    <w:rsid w:val="00C65EEA"/>
    <w:rsid w:val="00C83187"/>
    <w:rsid w:val="00C9307E"/>
    <w:rsid w:val="00C96741"/>
    <w:rsid w:val="00CA1E6E"/>
    <w:rsid w:val="00CA2BB7"/>
    <w:rsid w:val="00CE0BBC"/>
    <w:rsid w:val="00CE45DD"/>
    <w:rsid w:val="00D317D6"/>
    <w:rsid w:val="00D3383A"/>
    <w:rsid w:val="00D35B13"/>
    <w:rsid w:val="00D57E70"/>
    <w:rsid w:val="00D77421"/>
    <w:rsid w:val="00D91550"/>
    <w:rsid w:val="00DA2257"/>
    <w:rsid w:val="00DC3628"/>
    <w:rsid w:val="00DC7906"/>
    <w:rsid w:val="00DE2E02"/>
    <w:rsid w:val="00DF05FC"/>
    <w:rsid w:val="00DF1241"/>
    <w:rsid w:val="00DF18CE"/>
    <w:rsid w:val="00E01AA0"/>
    <w:rsid w:val="00E25335"/>
    <w:rsid w:val="00E307FC"/>
    <w:rsid w:val="00E441C3"/>
    <w:rsid w:val="00E606F8"/>
    <w:rsid w:val="00E60807"/>
    <w:rsid w:val="00E617CD"/>
    <w:rsid w:val="00E6388A"/>
    <w:rsid w:val="00E64097"/>
    <w:rsid w:val="00E855E4"/>
    <w:rsid w:val="00E9121C"/>
    <w:rsid w:val="00EA5D63"/>
    <w:rsid w:val="00EB32F6"/>
    <w:rsid w:val="00EC2A36"/>
    <w:rsid w:val="00EE73B9"/>
    <w:rsid w:val="00F04B5B"/>
    <w:rsid w:val="00F20154"/>
    <w:rsid w:val="00F27A40"/>
    <w:rsid w:val="00F507CE"/>
    <w:rsid w:val="00F53E48"/>
    <w:rsid w:val="00F76DA0"/>
    <w:rsid w:val="00F9218A"/>
    <w:rsid w:val="00FA2249"/>
    <w:rsid w:val="00FC45BE"/>
    <w:rsid w:val="00FD0193"/>
    <w:rsid w:val="00FE6F61"/>
    <w:rsid w:val="05FC6690"/>
    <w:rsid w:val="0A7315F2"/>
    <w:rsid w:val="0B071F4F"/>
    <w:rsid w:val="12F00C2F"/>
    <w:rsid w:val="138E49D5"/>
    <w:rsid w:val="1AD431F4"/>
    <w:rsid w:val="27327D45"/>
    <w:rsid w:val="292F07FF"/>
    <w:rsid w:val="2A3224D8"/>
    <w:rsid w:val="2D7E268A"/>
    <w:rsid w:val="2F210D6D"/>
    <w:rsid w:val="3094115A"/>
    <w:rsid w:val="31CA1248"/>
    <w:rsid w:val="3C4F5748"/>
    <w:rsid w:val="469814BD"/>
    <w:rsid w:val="47B507B7"/>
    <w:rsid w:val="50576512"/>
    <w:rsid w:val="53D631C8"/>
    <w:rsid w:val="56764C4B"/>
    <w:rsid w:val="58730FAA"/>
    <w:rsid w:val="5BBC75A4"/>
    <w:rsid w:val="63690012"/>
    <w:rsid w:val="72B81EF2"/>
    <w:rsid w:val="74F8204A"/>
    <w:rsid w:val="7F5547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3"/>
    <w:semiHidden/>
    <w:unhideWhenUsed/>
    <w:qFormat/>
    <w:uiPriority w:val="99"/>
    <w:rPr>
      <w:rFonts w:ascii="宋体" w:eastAsia="宋体"/>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unhideWhenUsed/>
    <w:qFormat/>
    <w:uiPriority w:val="99"/>
    <w:rPr>
      <w:color w:val="0000FF"/>
      <w:u w:val="single"/>
    </w:rPr>
  </w:style>
  <w:style w:type="paragraph" w:styleId="11">
    <w:name w:val="List Paragraph"/>
    <w:basedOn w:val="1"/>
    <w:qFormat/>
    <w:uiPriority w:val="34"/>
    <w:pPr>
      <w:ind w:firstLine="420" w:firstLineChars="200"/>
    </w:pPr>
  </w:style>
  <w:style w:type="character" w:customStyle="1" w:styleId="12">
    <w:name w:val="标题 1 Char"/>
    <w:basedOn w:val="9"/>
    <w:link w:val="2"/>
    <w:qFormat/>
    <w:uiPriority w:val="9"/>
    <w:rPr>
      <w:b/>
      <w:bCs/>
      <w:kern w:val="44"/>
      <w:sz w:val="44"/>
      <w:szCs w:val="44"/>
    </w:rPr>
  </w:style>
  <w:style w:type="character" w:customStyle="1" w:styleId="13">
    <w:name w:val="标题 2 Char"/>
    <w:basedOn w:val="9"/>
    <w:link w:val="3"/>
    <w:qFormat/>
    <w:uiPriority w:val="9"/>
    <w:rPr>
      <w:rFonts w:asciiTheme="majorHAnsi" w:hAnsiTheme="majorHAnsi" w:eastAsiaTheme="majorEastAsia" w:cstheme="majorBidi"/>
      <w:b/>
      <w:bCs/>
      <w:sz w:val="32"/>
      <w:szCs w:val="32"/>
    </w:rPr>
  </w:style>
  <w:style w:type="character" w:customStyle="1" w:styleId="14">
    <w:name w:val="页眉 Char"/>
    <w:basedOn w:val="9"/>
    <w:link w:val="6"/>
    <w:qFormat/>
    <w:uiPriority w:val="99"/>
    <w:rPr>
      <w:sz w:val="18"/>
      <w:szCs w:val="18"/>
    </w:rPr>
  </w:style>
  <w:style w:type="character" w:customStyle="1" w:styleId="15">
    <w:name w:val="页脚 Char"/>
    <w:basedOn w:val="9"/>
    <w:link w:val="5"/>
    <w:qFormat/>
    <w:uiPriority w:val="99"/>
    <w:rPr>
      <w:sz w:val="18"/>
      <w:szCs w:val="18"/>
    </w:rPr>
  </w:style>
  <w:style w:type="paragraph" w:customStyle="1" w:styleId="16">
    <w:name w:val="标准文件_二级条标题"/>
    <w:next w:val="1"/>
    <w:qFormat/>
    <w:uiPriority w:val="0"/>
    <w:pPr>
      <w:widowControl w:val="0"/>
      <w:numPr>
        <w:ilvl w:val="3"/>
        <w:numId w:val="1"/>
      </w:numPr>
      <w:spacing w:beforeLines="50" w:afterLines="50"/>
      <w:jc w:val="both"/>
      <w:outlineLvl w:val="2"/>
    </w:pPr>
    <w:rPr>
      <w:rFonts w:ascii="黑体" w:hAnsi="Times New Roman" w:eastAsia="黑体" w:cs="Times New Roman"/>
      <w:kern w:val="0"/>
      <w:sz w:val="21"/>
      <w:szCs w:val="20"/>
      <w:lang w:val="en-US" w:eastAsia="zh-CN" w:bidi="ar-SA"/>
    </w:rPr>
  </w:style>
  <w:style w:type="paragraph" w:customStyle="1" w:styleId="17">
    <w:name w:val="标准文件_三级条标题"/>
    <w:basedOn w:val="16"/>
    <w:next w:val="1"/>
    <w:qFormat/>
    <w:uiPriority w:val="0"/>
    <w:pPr>
      <w:widowControl/>
      <w:numPr>
        <w:ilvl w:val="4"/>
      </w:numPr>
      <w:outlineLvl w:val="3"/>
    </w:pPr>
  </w:style>
  <w:style w:type="paragraph" w:customStyle="1" w:styleId="18">
    <w:name w:val="标准文件_四级条标题"/>
    <w:next w:val="1"/>
    <w:qFormat/>
    <w:uiPriority w:val="0"/>
    <w:pPr>
      <w:widowControl w:val="0"/>
      <w:numPr>
        <w:ilvl w:val="5"/>
        <w:numId w:val="1"/>
      </w:numPr>
      <w:spacing w:beforeLines="50" w:afterLines="50"/>
      <w:jc w:val="both"/>
      <w:outlineLvl w:val="4"/>
    </w:pPr>
    <w:rPr>
      <w:rFonts w:ascii="黑体" w:hAnsi="Times New Roman" w:eastAsia="黑体" w:cs="Times New Roman"/>
      <w:kern w:val="0"/>
      <w:sz w:val="21"/>
      <w:szCs w:val="20"/>
      <w:lang w:val="en-US" w:eastAsia="zh-CN" w:bidi="ar-SA"/>
    </w:rPr>
  </w:style>
  <w:style w:type="paragraph" w:customStyle="1" w:styleId="19">
    <w:name w:val="标准文件_五级条标题"/>
    <w:next w:val="1"/>
    <w:qFormat/>
    <w:uiPriority w:val="0"/>
    <w:pPr>
      <w:widowControl w:val="0"/>
      <w:numPr>
        <w:ilvl w:val="6"/>
        <w:numId w:val="1"/>
      </w:numPr>
      <w:spacing w:beforeLines="50" w:afterLines="50"/>
      <w:jc w:val="both"/>
      <w:outlineLvl w:val="5"/>
    </w:pPr>
    <w:rPr>
      <w:rFonts w:ascii="黑体" w:hAnsi="Times New Roman" w:eastAsia="黑体" w:cs="Times New Roman"/>
      <w:kern w:val="0"/>
      <w:sz w:val="21"/>
      <w:szCs w:val="20"/>
      <w:lang w:val="en-US" w:eastAsia="zh-CN" w:bidi="ar-SA"/>
    </w:rPr>
  </w:style>
  <w:style w:type="paragraph" w:customStyle="1" w:styleId="20">
    <w:name w:val="标准文件_章标题"/>
    <w:next w:val="1"/>
    <w:qFormat/>
    <w:uiPriority w:val="0"/>
    <w:pPr>
      <w:numPr>
        <w:ilvl w:val="1"/>
        <w:numId w:val="1"/>
      </w:numPr>
      <w:spacing w:beforeLines="100" w:afterLines="100"/>
      <w:jc w:val="both"/>
      <w:outlineLvl w:val="0"/>
    </w:pPr>
    <w:rPr>
      <w:rFonts w:ascii="黑体" w:hAnsi="Times New Roman" w:eastAsia="黑体" w:cs="Times New Roman"/>
      <w:kern w:val="0"/>
      <w:sz w:val="21"/>
      <w:szCs w:val="20"/>
      <w:lang w:val="en-US" w:eastAsia="zh-CN" w:bidi="ar-SA"/>
    </w:rPr>
  </w:style>
  <w:style w:type="paragraph" w:customStyle="1" w:styleId="21">
    <w:name w:val="标准文件_一级条标题"/>
    <w:basedOn w:val="20"/>
    <w:next w:val="1"/>
    <w:qFormat/>
    <w:uiPriority w:val="0"/>
    <w:pPr>
      <w:numPr>
        <w:ilvl w:val="2"/>
      </w:numPr>
      <w:spacing w:beforeLines="50" w:afterLines="50"/>
      <w:outlineLvl w:val="1"/>
    </w:pPr>
  </w:style>
  <w:style w:type="paragraph" w:customStyle="1" w:styleId="22">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character" w:customStyle="1" w:styleId="23">
    <w:name w:val="文档结构图 Char"/>
    <w:basedOn w:val="9"/>
    <w:link w:val="4"/>
    <w:semiHidden/>
    <w:qFormat/>
    <w:uiPriority w:val="99"/>
    <w:rPr>
      <w:rFonts w:ascii="宋体" w:eastAsia="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30222-22DC-460C-AD86-43F1DA0BA1E0}">
  <ds:schemaRefs/>
</ds:datastoreItem>
</file>

<file path=docProps/app.xml><?xml version="1.0" encoding="utf-8"?>
<Properties xmlns="http://schemas.openxmlformats.org/officeDocument/2006/extended-properties" xmlns:vt="http://schemas.openxmlformats.org/officeDocument/2006/docPropsVTypes">
  <Template>Normal</Template>
  <Pages>9</Pages>
  <Words>4102</Words>
  <Characters>4461</Characters>
  <Lines>31</Lines>
  <Paragraphs>8</Paragraphs>
  <TotalTime>3</TotalTime>
  <ScaleCrop>false</ScaleCrop>
  <LinksUpToDate>false</LinksUpToDate>
  <CharactersWithSpaces>4487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2024-09-26T16:55:00Z</dcterms:created>
  <dc:creator>ASUS</dc:creator>
  <cp:lastModifiedBy>玉玲</cp:lastModifiedBy>
  <cp:lastPrinted>2024-10-12T02:04:00Z</cp:lastPrinted>
  <dcterms:modified xsi:type="dcterms:W3CDTF">2024-10-29T04:30:49Z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A6D012669C5442CEABB38AD919AFC979_12</vt:lpwstr>
  </property>
</Properties>
</file>