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A4838">
      <w:pPr>
        <w:pStyle w:val="56"/>
      </w:pPr>
      <w:r>
        <w:rPr>
          <w:rFonts w:ascii="Times New Roman"/>
        </w:rPr>
        <w:t>ICS</w:t>
      </w:r>
      <w:r>
        <w:rPr>
          <w:rFonts w:hAnsi="黑体"/>
        </w:rPr>
        <w:t> </w:t>
      </w:r>
      <w:r>
        <w:fldChar w:fldCharType="begin">
          <w:ffData>
            <w:name w:val="ICS"/>
            <w:enabled/>
            <w:calcOnExit w:val="0"/>
            <w:helpText w:type="text" w:val="请输入正确的ICS号："/>
            <w:textInput>
              <w:default w:val="点击此处添加ICS号"/>
            </w:textInput>
          </w:ffData>
        </w:fldChar>
      </w:r>
      <w:bookmarkStart w:id="0" w:name="ICS"/>
      <w:r>
        <w:instrText xml:space="preserve"> FORMTEXT </w:instrText>
      </w:r>
      <w:r>
        <w:fldChar w:fldCharType="separate"/>
      </w:r>
      <w:r>
        <w:rPr>
          <w:rFonts w:hint="eastAsia"/>
        </w:rPr>
        <w:t>点击此处添加ICS号</w:t>
      </w:r>
      <w:r>
        <w:fldChar w:fldCharType="end"/>
      </w:r>
      <w:bookmarkEnd w:id="0"/>
    </w:p>
    <w:p w14:paraId="118A718A">
      <w:pPr>
        <w:pStyle w:val="56"/>
      </w:pPr>
      <w:r>
        <w:fldChar w:fldCharType="begin">
          <w:ffData>
            <w:name w:val="WXFLH"/>
            <w:enabled/>
            <w:calcOnExit w:val="0"/>
            <w:helpText w:type="text" w:val="请输入中国标准文献分类号："/>
            <w:textInput>
              <w:default w:val="点击此处添加中国标准文献分类号"/>
            </w:textInput>
          </w:ffData>
        </w:fldChar>
      </w:r>
      <w:bookmarkStart w:id="1" w:name="WXFLH"/>
      <w:r>
        <w:instrText xml:space="preserve"> FORMTEXT </w:instrText>
      </w:r>
      <w:r>
        <w:fldChar w:fldCharType="separate"/>
      </w:r>
      <w:r>
        <w:rPr>
          <w:rFonts w:hint="eastAsia"/>
        </w:rPr>
        <w:t>点击此处添加中国标准文献分类号</w:t>
      </w:r>
      <w:r>
        <w:fldChar w:fldCharType="end"/>
      </w:r>
      <w:bookmarkEnd w:id="1"/>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252872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4" w:type="dxa"/>
            <w:tcBorders>
              <w:top w:val="nil"/>
              <w:left w:val="nil"/>
              <w:bottom w:val="nil"/>
              <w:right w:val="nil"/>
            </w:tcBorders>
            <w:noWrap w:val="0"/>
            <w:vAlign w:val="top"/>
          </w:tcPr>
          <w:p w14:paraId="50BF1FD2">
            <w:pPr>
              <w:pStyle w:val="56"/>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TPozLABAABnAwAADgAAAGRycy9lMm9Eb2MueG1srVNNb9sw&#10;DL0P2H8QdF8cB1uaGXGKbkG2w7AV6PYDFFmyBehrpBIn/36UnKZbd+mhPsikSD3yPUrr25Oz7KgA&#10;TfAtr2dzzpSXoTO+b/mvn7t3K84wCd8JG7xq+Vkhv928fbMeY6MWYQi2U8AIxGMzxpYPKcWmqlAO&#10;ygmchag8BXUAJxK50FcdiJHQna0W8/myGgN0EYJUiLS7nYL8gggvAQxaG6m2QR6c8mlCBWVFIko4&#10;mIh8U7rVWsn0Q2tUidmWE9NUVipC9j6v1WYtmh5EHIy8tCBe0sIzTk4YT0WvUFuRBDuA+Q/KGQkB&#10;g04zGVw1ESmKEIt6/kybh0FEVbiQ1BivouPrwcrvx3tgpmv5e868cDTwT3dfsyxjxIaiD/EeLh6S&#10;mTmeNLj8p+7ZqUh5vkqpTolJ2lwtlzc3HziTFKo/rupFkbp6OhwB0xcVHMtGy4EmVQQUx2+YqCCl&#10;PqbkWhis6XbG2uJAv/9sgR0FTXVXvtwxHfknzfqc7EM+NoXzTpWJTVSytQ/dmRQY6Qq0HH8fBCjO&#10;DhFMP1BbdcHNeaR/qXC5K3nAf/sF9+l9bP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yK4v7NUA&#10;AAAHAQAADwAAAAAAAAABACAAAAAiAAAAZHJzL2Rvd25yZXYueG1sUEsBAhQAFAAAAAgAh07iQLEz&#10;6MywAQAAZwMAAA4AAAAAAAAAAQAgAAAAJAEAAGRycy9lMm9Eb2MueG1sUEsFBgAAAAAGAAYAWQEA&#10;AEYFA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4EF867DD">
      <w:pPr>
        <w:pStyle w:val="131"/>
      </w:pPr>
      <w:r>
        <w:t>DB</w:t>
      </w:r>
      <w:r>
        <w:fldChar w:fldCharType="begin">
          <w:ffData>
            <w:name w:val="c3"/>
            <w:enabled/>
            <w:calcOnExit w:val="0"/>
            <w:textInput>
              <w:maxLength w:val="2"/>
            </w:textInput>
          </w:ffData>
        </w:fldChar>
      </w:r>
      <w:bookmarkStart w:id="3" w:name="c3"/>
      <w:r>
        <w:instrText xml:space="preserve"> FORMTEXT </w:instrText>
      </w:r>
      <w:r>
        <w:fldChar w:fldCharType="separate"/>
      </w:r>
      <w:r>
        <w:t>  </w:t>
      </w:r>
      <w:r>
        <w:fldChar w:fldCharType="end"/>
      </w:r>
      <w:bookmarkEnd w:id="3"/>
    </w:p>
    <w:p w14:paraId="0BA6624B">
      <w:pPr>
        <w:pStyle w:val="65"/>
      </w:pPr>
      <w:r>
        <w:fldChar w:fldCharType="begin">
          <w:ffData>
            <w:name w:val="c4"/>
            <w:enabled/>
            <w:calcOnExit w:val="0"/>
            <w:textInput/>
          </w:ffData>
        </w:fldChar>
      </w:r>
      <w:bookmarkStart w:id="4" w:name="c4"/>
      <w:r>
        <w:instrText xml:space="preserve"> FORMTEXT </w:instrText>
      </w:r>
      <w:r>
        <w:fldChar w:fldCharType="separate"/>
      </w:r>
      <w:r>
        <w:t>     </w:t>
      </w:r>
      <w:r>
        <w:fldChar w:fldCharType="end"/>
      </w:r>
      <w:bookmarkEnd w:id="4"/>
      <w:r>
        <w:rPr>
          <w:rFonts w:hint="eastAsia"/>
        </w:rPr>
        <w:t>地方标准</w:t>
      </w:r>
    </w:p>
    <w:p w14:paraId="3C94F46A">
      <w:pPr>
        <w:pStyle w:val="84"/>
        <w:rPr>
          <w:rFonts w:hAnsi="黑体"/>
        </w:rPr>
      </w:pPr>
      <w:r>
        <w:rPr>
          <w:rFonts w:ascii="Times New Roman"/>
        </w:rPr>
        <w:t xml:space="preserve">DB </w:t>
      </w:r>
      <w:r>
        <w:rPr>
          <w:rFonts w:hAnsi="黑体"/>
        </w:rPr>
        <w:fldChar w:fldCharType="begin">
          <w:ffData>
            <w:name w:val="StdNo0"/>
            <w:enabled/>
            <w:calcOnExit w:val="0"/>
            <w:textInput>
              <w:default w:val="XX"/>
              <w:maxLength w:val="2"/>
            </w:textInput>
          </w:ffData>
        </w:fldChar>
      </w:r>
      <w:bookmarkStart w:id="5" w:name="StdNo0"/>
      <w:r>
        <w:rPr>
          <w:rFonts w:hAnsi="黑体"/>
        </w:rPr>
        <w:instrText xml:space="preserve"> FORMTEXT </w:instrText>
      </w:r>
      <w:r>
        <w:rPr>
          <w:rFonts w:hAnsi="黑体"/>
        </w:rPr>
        <w:fldChar w:fldCharType="separate"/>
      </w:r>
      <w:r>
        <w:rPr>
          <w:rFonts w:hint="eastAsia" w:hAnsi="黑体"/>
        </w:rPr>
        <w:t>36</w:t>
      </w:r>
      <w:r>
        <w:rPr>
          <w:rFonts w:hAnsi="黑体"/>
        </w:rPr>
        <w:fldChar w:fldCharType="end"/>
      </w:r>
      <w:bookmarkEnd w:id="5"/>
      <w:r>
        <w:rPr>
          <w:rFonts w:hAnsi="黑体"/>
        </w:rPr>
        <w:t xml:space="preserve">/ </w:t>
      </w:r>
      <w:r>
        <w:rPr>
          <w:rFonts w:hAnsi="黑体"/>
        </w:rPr>
        <w:fldChar w:fldCharType="begin">
          <w:ffData>
            <w:name w:val="StdNo1"/>
            <w:enabled/>
            <w:calcOnExit w:val="0"/>
            <w:textInput>
              <w:default w:val="XXXXX"/>
            </w:textInput>
          </w:ffData>
        </w:fldChar>
      </w:r>
      <w:bookmarkStart w:id="6" w:name="StdNo1"/>
      <w:r>
        <w:rPr>
          <w:rFonts w:hAnsi="黑体"/>
        </w:rPr>
        <w:instrText xml:space="preserve"> FORMTEXT </w:instrText>
      </w:r>
      <w:r>
        <w:rPr>
          <w:rFonts w:hAnsi="黑体"/>
        </w:rPr>
        <w:fldChar w:fldCharType="separate"/>
      </w:r>
      <w:r>
        <w:rPr>
          <w:rFonts w:hAnsi="黑体"/>
        </w:rPr>
        <w:t>XXXXX</w:t>
      </w:r>
      <w:r>
        <w:rPr>
          <w:rFonts w:hAnsi="黑体"/>
        </w:rPr>
        <w:fldChar w:fldCharType="end"/>
      </w:r>
      <w:bookmarkEnd w:id="6"/>
      <w:r>
        <w:rPr>
          <w:rFonts w:hAnsi="黑体"/>
        </w:rPr>
        <w:t>—</w:t>
      </w:r>
      <w:r>
        <w:rPr>
          <w:rFonts w:hAnsi="黑体"/>
        </w:rPr>
        <w:fldChar w:fldCharType="begin">
          <w:ffData>
            <w:name w:val="StdNo2"/>
            <w:enabled/>
            <w:calcOnExit w:val="0"/>
            <w:textInput>
              <w:default w:val="XXXX"/>
              <w:maxLength w:val="4"/>
            </w:textInput>
          </w:ffData>
        </w:fldChar>
      </w:r>
      <w:bookmarkStart w:id="7" w:name="StdNo2"/>
      <w:r>
        <w:rPr>
          <w:rFonts w:hAnsi="黑体"/>
        </w:rPr>
        <w:instrText xml:space="preserve"> FORMTEXT </w:instrText>
      </w:r>
      <w:r>
        <w:rPr>
          <w:rFonts w:hAnsi="黑体"/>
        </w:rPr>
        <w:fldChar w:fldCharType="separate"/>
      </w:r>
      <w:r>
        <w:rPr>
          <w:rFonts w:hAnsi="黑体"/>
        </w:rPr>
        <w:t>XXXX</w:t>
      </w:r>
      <w:r>
        <w:rPr>
          <w:rFonts w:hAnsi="黑体"/>
        </w:rPr>
        <w:fldChar w:fldCharType="end"/>
      </w:r>
      <w:bookmarkEnd w:id="7"/>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721975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2076C2F9">
            <w:pPr>
              <w:pStyle w:val="88"/>
            </w:pPr>
            <w: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afUQqqAQAAZwMAAA4AAABkcnMvZTJvRG9jLnhtbK1TTW/b&#10;MAy9D+h/EHRvZKdDURhxeliQXYqtQLsfoMiyLUBfI5U4+fejZC/duksP80EmReqJ75HaPJ6dZScN&#10;aIJveb2qONNehc74oeU/Xve3D5xhkr6TNnjd8otG/ri9+bSZYqPXYQy208AIxGMzxZaPKcVGCFSj&#10;dhJXIWpPwT6Ak4lcGEQHciJ0Z8W6qu7FFKCLEJRGpN3dHOQLInwEMPS9UXoX1NFpn2ZU0FYmooSj&#10;ici3pdq+1yp973vUidmWE9NUVrqE7ENexXYjmwFkHI1aSpAfKeEdJyeNp0uvUDuZJDuC+QfKGQUB&#10;Q59WKjgxEymKEIu6eqfNyyijLlxIaoxX0fH/wapvp2dgpqNJ4MxLRw3fvWZVpogNBV/iMywekpkp&#10;nntw+U/Fs3NR8nJVUp8TU7RZ15/vqopEVhRbrx/uySYY8XY6AqavOjiWjZYDdaoIKE9PmObU3yn5&#10;MgzWdHtjbXFgOHyxwE6Surov34L+V5r1OdmHfGxGzDsiM5u5ZOsQugspMNEItBx/HiVozo4RzDBS&#10;WXXBzXmkf6l/mZXc4D/9gvv2Pr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5g8svWAAAACAEA&#10;AA8AAAAAAAAAAQAgAAAAIgAAAGRycy9kb3ducmV2LnhtbFBLAQIUABQAAAAIAIdO4kD2n1EKqgEA&#10;AGcDAAAOAAAAAAAAAAEAIAAAACUBAABkcnMvZTJvRG9jLnhtbFBLBQYAAAAABgAGAFkBAABBBQAA&#10;AAA=&#10;">
                      <v:fill on="t" focussize="0,0"/>
                      <v:stroke on="f"/>
                      <v:imagedata o:title=""/>
                      <o:lock v:ext="edit" aspectratio="f"/>
                    </v:rect>
                  </w:pict>
                </mc:Fallback>
              </mc:AlternateContent>
            </w:r>
            <w:r>
              <w:fldChar w:fldCharType="begin">
                <w:ffData>
                  <w:name w:val="DT"/>
                  <w:enabled/>
                  <w:calcOnExit w:val="0"/>
                  <w:textInput/>
                </w:ffData>
              </w:fldChar>
            </w:r>
            <w:bookmarkStart w:id="8" w:name="DT"/>
            <w:r>
              <w:instrText xml:space="preserve"> FORMTEXT </w:instrText>
            </w:r>
            <w:r>
              <w:fldChar w:fldCharType="separate"/>
            </w:r>
            <w:r>
              <w:t>     </w:t>
            </w:r>
            <w:r>
              <w:fldChar w:fldCharType="end"/>
            </w:r>
            <w:bookmarkEnd w:id="8"/>
          </w:p>
        </w:tc>
      </w:tr>
    </w:tbl>
    <w:p w14:paraId="31EC6888">
      <w:pPr>
        <w:pStyle w:val="84"/>
        <w:rPr>
          <w:rFonts w:hAnsi="黑体"/>
        </w:rPr>
      </w:pPr>
    </w:p>
    <w:p w14:paraId="09168CF9">
      <w:pPr>
        <w:pStyle w:val="84"/>
        <w:rPr>
          <w:rFonts w:hAnsi="黑体"/>
        </w:rPr>
      </w:pPr>
    </w:p>
    <w:p w14:paraId="18DD9090">
      <w:pPr>
        <w:pStyle w:val="51"/>
      </w:pPr>
      <w:r>
        <w:fldChar w:fldCharType="begin">
          <w:ffData>
            <w:name w:val="StdName"/>
            <w:enabled/>
            <w:calcOnExit w:val="0"/>
            <w:textInput>
              <w:default w:val="点击此处添加标准名称"/>
            </w:textInput>
          </w:ffData>
        </w:fldChar>
      </w:r>
      <w:bookmarkStart w:id="9" w:name="StdName"/>
      <w:r>
        <w:instrText xml:space="preserve"> FORMTEXT </w:instrText>
      </w:r>
      <w:r>
        <w:fldChar w:fldCharType="separate"/>
      </w:r>
      <w:r>
        <w:rPr>
          <w:rFonts w:hint="eastAsia"/>
        </w:rPr>
        <w:t>食品快速检测产品评价技术规范</w:t>
      </w:r>
      <w:r>
        <w:fldChar w:fldCharType="end"/>
      </w:r>
      <w:bookmarkEnd w:id="9"/>
    </w:p>
    <w:p w14:paraId="299C344A">
      <w:pPr>
        <w:pStyle w:val="50"/>
      </w:pPr>
      <w:r>
        <w:fldChar w:fldCharType="begin">
          <w:ffData>
            <w:name w:val="StdEnglishName"/>
            <w:enabled/>
            <w:calcOnExit w:val="0"/>
            <w:textInput>
              <w:default w:val="点击此处添加标准英文译名"/>
            </w:textInput>
          </w:ffData>
        </w:fldChar>
      </w:r>
      <w:bookmarkStart w:id="10" w:name="StdEnglishName"/>
      <w:r>
        <w:instrText xml:space="preserve"> FORMTEXT </w:instrText>
      </w:r>
      <w:r>
        <w:fldChar w:fldCharType="separate"/>
      </w:r>
      <w:r>
        <w:rPr>
          <w:rFonts w:hint="eastAsia"/>
        </w:rPr>
        <w:t xml:space="preserve"> Technology specification for the e</w:t>
      </w:r>
      <w:r>
        <w:t>valuation</w:t>
      </w:r>
      <w:r>
        <w:rPr>
          <w:rFonts w:hint="eastAsia"/>
        </w:rPr>
        <w:t xml:space="preserve"> of food rapid detection products </w:t>
      </w:r>
      <w:r>
        <w:fldChar w:fldCharType="end"/>
      </w:r>
      <w:bookmarkEnd w:id="10"/>
    </w:p>
    <w:p w14:paraId="6465BF3D">
      <w:pPr>
        <w:pStyle w:val="59"/>
      </w:pPr>
      <w:r>
        <w:fldChar w:fldCharType="begin">
          <w:ffData>
            <w:name w:val="YZBS"/>
            <w:enabled/>
            <w:calcOnExit w:val="0"/>
            <w:textInput>
              <w:default w:val="点击此处添加与国际标准一致性程度的标识"/>
            </w:textInput>
          </w:ffData>
        </w:fldChar>
      </w:r>
      <w:bookmarkStart w:id="11" w:name="YZBS"/>
      <w:r>
        <w:instrText xml:space="preserve"> FORMTEXT </w:instrText>
      </w:r>
      <w:r>
        <w:fldChar w:fldCharType="separate"/>
      </w:r>
      <w:r>
        <w:rPr>
          <w:rFonts w:hint="eastAsia"/>
        </w:rPr>
        <w:t>点击此处添加与国际标准一致性程度的标识</w:t>
      </w:r>
      <w:r>
        <w:fldChar w:fldCharType="end"/>
      </w:r>
      <w:bookmarkEnd w:id="11"/>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0D42CF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0CF7FDAA">
            <w:pPr>
              <w:pStyle w:val="58"/>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jWJ5laoBAABnAwAADgAAAGRycy9lMm9Eb2MueG1srVNNb9sw&#10;DL0P2H8QdF/kZOuwGXF6aJBdhrZbux+gyLItQF8jlTj596NkN926Sw/1QSZF6pHvUVpfn5xlRw1o&#10;gm/4clFxpr0KrfF9w3897j584QyT9K20weuGnzXy6837d+sx1noVhmBbDYxAPNZjbPiQUqyFQDVo&#10;J3ERovYU7AI4mciFXrQgR0J3Vqyq6rMYA7QRgtKItLudgnxGhNcAhq4zSm+DOjjt04QK2spElHAw&#10;EfmmdNt1WqW7rkOdmG04MU1lpSJk7/MqNmtZ9yDjYNTcgnxNCy84OWk8Fb1AbWWS7ADmPyhnFAQM&#10;XVqo4MREpChCLJbVC20eBhl14UJSY7yIjm8Hq26P98BM2/CPnHnpaOA/f2RVxog1BR/iPcwekpkp&#10;njpw+U/Ns1NR8nxRUp8SU7S5/FpdVRWJrCi2uvqUbYIRz6cjYPqmg2PZaDjQpIqA8vgd05T6lJKL&#10;YbCm3RlriwP9/sYCO0qa6q58M/o/adbnZB/ysQkx74jMbOKSrX1oz6TASFeg4fj7IEFzdohg+oHa&#10;WhbcnEf6l/7nu5IH/LdfcJ/fx+Y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BYmuktUAAAAKAQAA&#10;DwAAAAAAAAABACAAAAAiAAAAZHJzL2Rvd25yZXYueG1sUEsBAhQAFAAAAAgAh07iQI1ieZWqAQAA&#10;ZwMAAA4AAAAAAAAAAQAgAAAAJAEAAGRycy9lMm9Eb2MueG1sUEsFBgAAAAAGAAYAWQEAAEAFAAAA&#10;AA==&#10;">
                      <v:fill on="t" focussize="0,0"/>
                      <v:stroke on="f"/>
                      <v:imagedata o:title=""/>
                      <o:lock v:ext="edit" aspectratio="f"/>
                      <w10:anchorlock/>
                    </v:rect>
                  </w:pict>
                </mc:Fallback>
              </mc:AlternateContent>
            </w:r>
            <w: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fBLqpAQAAZwMAAA4AAABkcnMvZTJvRG9jLnhtbK1TTW/b&#10;MAy9D+h/EHRf5GTDVhhxCqxBdim2Al1/gCLLtgB9lVTi5N+Pkr3069LDdJBJkXrke5TXNydn2VED&#10;muAbvlxUnGmvQmt83/DHP7vP15xhkr6VNnjd8LNGfrO5+rQeY61XYQi21cAIxGM9xoYPKcVaCFSD&#10;dhIXIWpPwS6Ak4lc6EULciR0Z8Wqqr6JMUAbISiNSKfbKchnRPgIYOg6o/Q2qIPTPk2ooK1MRAkH&#10;E5FvSrddp1X63XWoE7MNJ6ap7FSE7H3exWYt6x5kHIyaW5AfaeENJyeNp6IXqK1Mkh3AvINyRkHA&#10;0KWFCk5MRIoixGJZvdHmYZBRFy4kNcaL6Pj/YNWv4z0w0zZ8xZmXjgZ+9yOrMkasKfgQ72H2kMxM&#10;8dSBy19qnp2KkueLkvqUmKLD5ep7RYszRbEv1ddrsglGPN+OgOmnDo5lo+FAkyoCyuMdpin1X0ou&#10;hsGadmesLQ70+1sL7ChpqruyZvRXadbnZB/ytQkxn4jMbOKSrX1oz6TASE+g4fh0kKA5O0Qw/UBt&#10;LQtuziP9S//zW8kDfukX3Of/Y/M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A+GL5dYAAAAJAQAA&#10;DwAAAAAAAAABACAAAAAiAAAAZHJzL2Rvd25yZXYueG1sUEsBAhQAFAAAAAgAh07iQBXfBLqpAQAA&#10;ZwMAAA4AAAAAAAAAAQAgAAAAJQEAAGRycy9lMm9Eb2MueG1sUEsFBgAAAAAGAAYAWQEAAEAFAAAA&#10;AA==&#10;">
                      <v:fill on="t" focussize="0,0"/>
                      <v:stroke on="f"/>
                      <v:imagedata o:title=""/>
                      <o:lock v:ext="edit" aspectratio="f"/>
                    </v:rect>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separate"/>
            </w:r>
            <w:r>
              <w:fldChar w:fldCharType="end"/>
            </w:r>
            <w:bookmarkEnd w:id="12"/>
          </w:p>
        </w:tc>
      </w:tr>
      <w:tr w14:paraId="207946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710A62B9">
            <w:pPr>
              <w:pStyle w:val="105"/>
            </w:pPr>
            <w:r>
              <w:fldChar w:fldCharType="begin">
                <w:ffData>
                  <w:name w:val="WCRQ"/>
                  <w:enabled/>
                  <w:calcOnExit w:val="0"/>
                  <w:textInput/>
                </w:ffData>
              </w:fldChar>
            </w:r>
            <w:bookmarkStart w:id="13" w:name="WCRQ"/>
            <w:r>
              <w:instrText xml:space="preserve"> FORMTEXT </w:instrText>
            </w:r>
            <w:r>
              <w:fldChar w:fldCharType="separate"/>
            </w:r>
            <w:r>
              <w:t>     </w:t>
            </w:r>
            <w:r>
              <w:fldChar w:fldCharType="end"/>
            </w:r>
            <w:bookmarkEnd w:id="13"/>
          </w:p>
        </w:tc>
      </w:tr>
    </w:tbl>
    <w:p w14:paraId="0C949242">
      <w:pPr>
        <w:pStyle w:val="91"/>
      </w:pPr>
      <w:r>
        <w:rPr>
          <w:rFonts w:ascii="黑体"/>
        </w:rPr>
        <w:fldChar w:fldCharType="begin">
          <w:ffData>
            <w:name w:val="FY"/>
            <w:enabled/>
            <w:calcOnExit w:val="0"/>
            <w:textInput>
              <w:default w:val="XXXX"/>
              <w:maxLength w:val="4"/>
            </w:textInput>
          </w:ffData>
        </w:fldChar>
      </w:r>
      <w:bookmarkStart w:id="14" w:name="F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FD"/>
            <w:enabled/>
            <w:calcOnExit w:val="0"/>
            <w:textInput>
              <w:default w:val="XX"/>
              <w:maxLength w:val="2"/>
            </w:textInput>
          </w:ffData>
        </w:fldChar>
      </w:r>
      <w:bookmarkStart w:id="15" w:name="F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5" name="直线 1034"/>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34"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GYe8jTqAQAA3gMAAA4AAABkcnMvZTJvRG9jLnhtbK1TS44T&#10;MRDdI3EHy3vSnQwzglY6s5gwbBBEYjhAxXZ3W/JPLiednIVrsGLDceYalN2ZDAybLMiiU3aVX733&#10;yl7eHqxhexVRe9fy+azmTDnhpXZ9y7893L95xxkmcBKMd6rlR4X8dvX61XIMjVr4wRupIiMQh80Y&#10;Wj6kFJqqQjEoCzjzQTlKdj5aSLSMfSUjjIRuTbWo65tq9FGG6IVCpN31lOQnxHgJoO86LdTai51V&#10;Lk2oURlIJAkHHZCvCtuuUyJ96TpUiZmWk9JUvtSE4m3+VqslNH2EMGhxogCXUHihyYJ21PQMtYYE&#10;bBf1P1BWi+jRd2kmvK0mIcURUjGvX3jzdYCgihayGsPZdPx/sOLzfhOZli2/5syBpYE/fv/x+PMX&#10;m9dXb7M9Y8CGqu7cJp5WGDYxaz100eZ/UsEOxdLj2VJ1SEzQ5s2cdF2R2+IpVz0fDBHTR+Uty0HL&#10;jXZZLTSw/4SJmlHpU0neNo6NLX9/vSCqAujqdTRyCm0g+uj6cha90fJeG5NPYOy3dyayPeTxl1+W&#10;RLh/leUma8Bhqiup6WIMCuQHJ1k6BjLG0XvgmYJVkjOj6PnkiAChSaDNJZXU2jhikF2dfMzR1ssj&#10;jWEXou4HcmJeWOYMjb3wPV3RfK/+XBek52e5+g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lh2s8&#10;1gAAAAsBAAAPAAAAAAAAAAEAIAAAACIAAABkcnMvZG93bnJldi54bWxQSwECFAAUAAAACACHTuJA&#10;Zh7yNOoBAADeAwAADgAAAAAAAAABACAAAAAlAQAAZHJzL2Uyb0RvYy54bWxQSwUGAAAAAAYABgBZ&#10;AQAAgQUAAAAA&#10;">
                <v:fill on="f" focussize="0,0"/>
                <v:stroke color="#000000" joinstyle="round"/>
                <v:imagedata o:title=""/>
                <o:lock v:ext="edit" aspectratio="f"/>
                <w10:anchorlock/>
              </v:line>
            </w:pict>
          </mc:Fallback>
        </mc:AlternateContent>
      </w:r>
    </w:p>
    <w:p w14:paraId="0EF69915">
      <w:pPr>
        <w:pStyle w:val="89"/>
      </w:pPr>
      <w:r>
        <w:rPr>
          <w:rFonts w:ascii="黑体"/>
        </w:rPr>
        <w:fldChar w:fldCharType="begin">
          <w:ffData>
            <w:name w:val="SY"/>
            <w:enabled/>
            <w:calcOnExit w:val="0"/>
            <w:textInput>
              <w:default w:val="XXXX"/>
              <w:maxLength w:val="4"/>
            </w:textInput>
          </w:ffData>
        </w:fldChar>
      </w:r>
      <w:bookmarkStart w:id="16" w:name="S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SM"/>
            <w:enabled/>
            <w:calcOnExit w:val="0"/>
            <w:textInput>
              <w:default w:val="XX"/>
              <w:maxLength w:val="2"/>
            </w:textInput>
          </w:ffData>
        </w:fldChar>
      </w:r>
      <w:bookmarkStart w:id="17" w:name="S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SD"/>
            <w:enabled/>
            <w:calcOnExit w:val="0"/>
            <w:textInput>
              <w:default w:val="XX"/>
              <w:maxLength w:val="2"/>
            </w:textInput>
          </w:ffData>
        </w:fldChar>
      </w:r>
      <w:bookmarkStart w:id="18" w:name="S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1FF8847E">
      <w:pPr>
        <w:pStyle w:val="123"/>
      </w:pPr>
      <w:r>
        <w:fldChar w:fldCharType="begin">
          <w:ffData>
            <w:name w:val="fm"/>
            <w:enabled/>
            <w:calcOnExit w:val="0"/>
            <w:textInput/>
          </w:ffData>
        </w:fldChar>
      </w:r>
      <w:bookmarkStart w:id="19" w:name="fm"/>
      <w:r>
        <w:instrText xml:space="preserve"> FORMTEXT </w:instrText>
      </w:r>
      <w:r>
        <w:fldChar w:fldCharType="separate"/>
      </w:r>
      <w:r>
        <w:t>  </w:t>
      </w:r>
      <w:r>
        <w:rPr>
          <w:rFonts w:hint="eastAsia"/>
        </w:rPr>
        <w:t>江西省市场监督管理局</w:t>
      </w:r>
      <w:r>
        <w:t>   </w:t>
      </w:r>
      <w:r>
        <w:fldChar w:fldCharType="end"/>
      </w:r>
      <w:bookmarkEnd w:id="19"/>
      <w:r>
        <w:rPr>
          <w:rFonts w:hAnsi="黑体"/>
        </w:rPr>
        <w:t>   </w:t>
      </w:r>
      <w:r>
        <w:rPr>
          <w:rStyle w:val="39"/>
          <w:rFonts w:hint="eastAsia"/>
        </w:rPr>
        <w:t>发布</w:t>
      </w:r>
    </w:p>
    <w:p w14:paraId="5C5BC981">
      <w:pPr>
        <w:pStyle w:val="20"/>
        <w:sectPr>
          <w:headerReference r:id="rId5" w:type="first"/>
          <w:footerReference r:id="rId8" w:type="first"/>
          <w:headerReference r:id="rId3" w:type="default"/>
          <w:footerReference r:id="rId6" w:type="default"/>
          <w:headerReference r:id="rId4" w:type="even"/>
          <w:footerReference r:id="rId7" w:type="even"/>
          <w:pgSz w:w="11906" w:h="16838"/>
          <w:pgMar w:top="567" w:right="850" w:bottom="1134" w:left="1418" w:header="0" w:footer="0" w:gutter="0"/>
          <w:pgNumType w:start="1"/>
          <w:cols w:space="720" w:num="1"/>
          <w:docGrid w:type="lines" w:linePitch="312" w:charSpace="0"/>
        </w:sectPr>
      </w:pPr>
      <w:r>
        <mc:AlternateContent>
          <mc:Choice Requires="wps">
            <w:drawing>
              <wp:anchor distT="0" distB="0" distL="114300" distR="114300" simplePos="0" relativeHeight="251664384" behindDoc="0" locked="0" layoutInCell="1" allowOverlap="1">
                <wp:simplePos x="0" y="0"/>
                <wp:positionH relativeFrom="column">
                  <wp:posOffset>-635</wp:posOffset>
                </wp:positionH>
                <wp:positionV relativeFrom="paragraph">
                  <wp:posOffset>2339975</wp:posOffset>
                </wp:positionV>
                <wp:extent cx="6120130" cy="0"/>
                <wp:effectExtent l="0" t="4445" r="0" b="5080"/>
                <wp:wrapNone/>
                <wp:docPr id="6" name="直线 103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35" o:spid="_x0000_s1026" o:spt="20" style="position:absolute;left:0pt;margin-left:-0.05pt;margin-top:184.25pt;height:0pt;width:481.9pt;z-index:25166438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cOAQ76gEAAN4DAAAOAAAAZHJzL2Uyb0RvYy54bWytU0tu&#10;2zAQ3RfoHQjua9kObLSC5SzipJuiNdD2AGOSkgjwBw5t2WfpNbrqpsfJNTqkHKdNN15EC2rIGb6Z&#10;92a4uj1aww4qovau4bPJlDPlhJfadQ3//u3h3XvOMIGTYLxTDT8p5Lfrt29WQ6jV3PfeSBUZgTis&#10;h9DwPqVQVxWKXlnAiQ/KkbP10UKibewqGWEgdGuq+XS6rAYfZYheKEQ63YxOfkaM1wD6ttVCbbzY&#10;W+XSiBqVgUSUsNcB+bpU27ZKpC9tiyox03BimspKScje5bVar6DuIoRei3MJcE0JLzhZ0I6SXqA2&#10;kIDto/4PymoRPfo2TYS31UikKEIsZtMX2nztIajChaTGcBEdXw9WfD5sI9Oy4UvOHFhq+OOPn4+/&#10;frPZ9GaR5RkC1hR157bxvMOwjZnrsY02/4kFOxZJTxdJ1TExQYfLGfG6IbXFk696vhgipo/KW5aN&#10;hhvtMluo4fAJEyWj0KeQfGwcGxr+YTFfEBzQ6LXUcjJtoPLRdeUueqPlgzYm38DY7e5MZAfI7S9f&#10;pkS4/4TlJBvAfowrrnEwegXy3kmWToGEcfQeeC7BKsmZUfR8skWAUCfQ5ppISm0cVZBVHXXM1s7L&#10;E7VhH6LuelJiVqrMHmp7qfc8onmu/t4XpOdnuf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QkHi&#10;X9cAAAAJAQAADwAAAAAAAAABACAAAAAiAAAAZHJzL2Rvd25yZXYueG1sUEsBAhQAFAAAAAgAh07i&#10;QNw4BDvqAQAA3gMAAA4AAAAAAAAAAQAgAAAAJgEAAGRycy9lMm9Eb2MueG1sUEsFBgAAAAAGAAYA&#10;WQEAAIIFAAAAAA==&#10;">
                <v:fill on="f" focussize="0,0"/>
                <v:stroke color="#000000" joinstyle="round"/>
                <v:imagedata o:title=""/>
                <o:lock v:ext="edit" aspectratio="f"/>
              </v:line>
            </w:pict>
          </mc:Fallback>
        </mc:AlternateContent>
      </w:r>
    </w:p>
    <w:p w14:paraId="5C42239C">
      <w:pPr>
        <w:pStyle w:val="99"/>
        <w:rPr>
          <w:rFonts w:hint="eastAsia"/>
          <w:highlight w:val="none"/>
        </w:rPr>
      </w:pPr>
      <w:bookmarkStart w:id="20" w:name="_Toc56504124"/>
      <w:bookmarkStart w:id="21" w:name="_Toc38036381"/>
      <w:bookmarkStart w:id="22" w:name="_Toc57127126"/>
      <w:bookmarkStart w:id="23" w:name="_Toc56503704"/>
      <w:bookmarkStart w:id="24" w:name="_Toc38036224"/>
      <w:r>
        <w:rPr>
          <w:rFonts w:hint="eastAsia"/>
          <w:highlight w:val="none"/>
        </w:rPr>
        <w:t>目</w:t>
      </w:r>
      <w:bookmarkStart w:id="25" w:name="BKML"/>
      <w:r>
        <w:rPr>
          <w:rFonts w:hAnsi="黑体"/>
          <w:highlight w:val="none"/>
        </w:rPr>
        <w:t>  </w:t>
      </w:r>
      <w:r>
        <w:rPr>
          <w:rFonts w:hint="eastAsia"/>
          <w:highlight w:val="none"/>
        </w:rPr>
        <w:t>次</w:t>
      </w:r>
      <w:bookmarkEnd w:id="25"/>
    </w:p>
    <w:p w14:paraId="4F957D68">
      <w:pPr>
        <w:pStyle w:val="16"/>
        <w:spacing w:before="78" w:after="78"/>
        <w:rPr>
          <w:rFonts w:ascii="Calibri" w:hAnsi="Calibri"/>
          <w:szCs w:val="22"/>
        </w:rPr>
      </w:pPr>
      <w:r>
        <w:fldChar w:fldCharType="begin" w:fldLock="1"/>
      </w:r>
      <w:r>
        <w:instrText xml:space="preserve"> </w:instrText>
      </w:r>
      <w:r>
        <w:rPr>
          <w:rFonts w:hint="eastAsia"/>
        </w:rPr>
        <w:instrText xml:space="preserve">TOC \h \z \t"前言、引言标题,1,参考文献、索引标题,1,章标题,1,参考文献,1,附录标识,1" \* MERGEFORMAT</w:instrText>
      </w:r>
      <w:r>
        <w:instrText xml:space="preserve"> </w:instrText>
      </w:r>
      <w:r>
        <w:fldChar w:fldCharType="separate"/>
      </w:r>
      <w:r>
        <w:fldChar w:fldCharType="begin" w:fldLock="1"/>
      </w:r>
      <w:r>
        <w:rPr>
          <w:rStyle w:val="34"/>
        </w:rPr>
        <w:instrText xml:space="preserve"> </w:instrText>
      </w:r>
      <w:r>
        <w:instrText xml:space="preserve">HYPERLINK \l "_Toc57127164"</w:instrText>
      </w:r>
      <w:r>
        <w:rPr>
          <w:rStyle w:val="34"/>
        </w:rPr>
        <w:instrText xml:space="preserve"> </w:instrText>
      </w:r>
      <w:r>
        <w:fldChar w:fldCharType="separate"/>
      </w:r>
      <w:r>
        <w:rPr>
          <w:rStyle w:val="34"/>
          <w:rFonts w:hint="eastAsia"/>
        </w:rPr>
        <w:t>前</w:t>
      </w:r>
      <w:r>
        <w:rPr>
          <w:rStyle w:val="34"/>
          <w:rFonts w:hAnsi="黑体"/>
        </w:rPr>
        <w:t>  </w:t>
      </w:r>
      <w:r>
        <w:rPr>
          <w:rStyle w:val="34"/>
          <w:rFonts w:hint="eastAsia"/>
        </w:rPr>
        <w:t>言</w:t>
      </w:r>
      <w:r>
        <w:tab/>
      </w:r>
      <w:r>
        <w:fldChar w:fldCharType="begin" w:fldLock="1"/>
      </w:r>
      <w:r>
        <w:instrText xml:space="preserve"> PAGEREF _Toc57127164 \h </w:instrText>
      </w:r>
      <w:r>
        <w:fldChar w:fldCharType="separate"/>
      </w:r>
      <w:r>
        <w:t>II</w:t>
      </w:r>
      <w:r>
        <w:fldChar w:fldCharType="end"/>
      </w:r>
      <w:r>
        <w:fldChar w:fldCharType="end"/>
      </w:r>
    </w:p>
    <w:p w14:paraId="62650399">
      <w:pPr>
        <w:pStyle w:val="16"/>
        <w:spacing w:before="78" w:after="78"/>
        <w:rPr>
          <w:rFonts w:ascii="Calibri" w:hAnsi="Calibri"/>
          <w:szCs w:val="22"/>
        </w:rPr>
      </w:pPr>
      <w:r>
        <w:fldChar w:fldCharType="begin" w:fldLock="1"/>
      </w:r>
      <w:r>
        <w:rPr>
          <w:rStyle w:val="34"/>
        </w:rPr>
        <w:instrText xml:space="preserve"> </w:instrText>
      </w:r>
      <w:r>
        <w:instrText xml:space="preserve">HYPERLINK \l "_Toc57127165"</w:instrText>
      </w:r>
      <w:r>
        <w:rPr>
          <w:rStyle w:val="34"/>
        </w:rPr>
        <w:instrText xml:space="preserve"> </w:instrText>
      </w:r>
      <w:r>
        <w:fldChar w:fldCharType="separate"/>
      </w:r>
      <w:r>
        <w:rPr>
          <w:rStyle w:val="34"/>
        </w:rPr>
        <w:t>1</w:t>
      </w:r>
      <w:r>
        <w:rPr>
          <w:rStyle w:val="34"/>
          <w:rFonts w:hint="eastAsia"/>
        </w:rPr>
        <w:t>　范围</w:t>
      </w:r>
      <w:r>
        <w:tab/>
      </w:r>
      <w:r>
        <w:fldChar w:fldCharType="begin" w:fldLock="1"/>
      </w:r>
      <w:r>
        <w:instrText xml:space="preserve"> PAGEREF _Toc57127165 \h </w:instrText>
      </w:r>
      <w:r>
        <w:fldChar w:fldCharType="separate"/>
      </w:r>
      <w:r>
        <w:t>1</w:t>
      </w:r>
      <w:r>
        <w:fldChar w:fldCharType="end"/>
      </w:r>
      <w:r>
        <w:fldChar w:fldCharType="end"/>
      </w:r>
    </w:p>
    <w:p w14:paraId="2B62719A">
      <w:pPr>
        <w:pStyle w:val="16"/>
        <w:spacing w:before="78" w:after="78"/>
        <w:rPr>
          <w:rFonts w:ascii="Calibri" w:hAnsi="Calibri"/>
          <w:szCs w:val="22"/>
        </w:rPr>
      </w:pPr>
      <w:r>
        <w:fldChar w:fldCharType="begin" w:fldLock="1"/>
      </w:r>
      <w:r>
        <w:rPr>
          <w:rStyle w:val="34"/>
        </w:rPr>
        <w:instrText xml:space="preserve"> </w:instrText>
      </w:r>
      <w:r>
        <w:instrText xml:space="preserve">HYPERLINK \l "_Toc57127166"</w:instrText>
      </w:r>
      <w:r>
        <w:rPr>
          <w:rStyle w:val="34"/>
        </w:rPr>
        <w:instrText xml:space="preserve"> </w:instrText>
      </w:r>
      <w:r>
        <w:fldChar w:fldCharType="separate"/>
      </w:r>
      <w:r>
        <w:rPr>
          <w:rStyle w:val="34"/>
        </w:rPr>
        <w:t>2</w:t>
      </w:r>
      <w:r>
        <w:rPr>
          <w:rStyle w:val="34"/>
          <w:rFonts w:hint="eastAsia"/>
        </w:rPr>
        <w:t>　规范性引用文件</w:t>
      </w:r>
      <w:r>
        <w:tab/>
      </w:r>
      <w:r>
        <w:fldChar w:fldCharType="begin" w:fldLock="1"/>
      </w:r>
      <w:r>
        <w:instrText xml:space="preserve"> PAGEREF _Toc57127166 \h </w:instrText>
      </w:r>
      <w:r>
        <w:fldChar w:fldCharType="separate"/>
      </w:r>
      <w:r>
        <w:t>1</w:t>
      </w:r>
      <w:r>
        <w:fldChar w:fldCharType="end"/>
      </w:r>
      <w:r>
        <w:fldChar w:fldCharType="end"/>
      </w:r>
    </w:p>
    <w:p w14:paraId="600B696C">
      <w:pPr>
        <w:pStyle w:val="16"/>
        <w:spacing w:before="78" w:after="78"/>
        <w:rPr>
          <w:rFonts w:ascii="Calibri" w:hAnsi="Calibri"/>
          <w:szCs w:val="22"/>
        </w:rPr>
      </w:pPr>
      <w:r>
        <w:fldChar w:fldCharType="begin" w:fldLock="1"/>
      </w:r>
      <w:r>
        <w:rPr>
          <w:rStyle w:val="34"/>
        </w:rPr>
        <w:instrText xml:space="preserve"> </w:instrText>
      </w:r>
      <w:r>
        <w:instrText xml:space="preserve">HYPERLINK \l "_Toc57127167"</w:instrText>
      </w:r>
      <w:r>
        <w:rPr>
          <w:rStyle w:val="34"/>
        </w:rPr>
        <w:instrText xml:space="preserve"> </w:instrText>
      </w:r>
      <w:r>
        <w:fldChar w:fldCharType="separate"/>
      </w:r>
      <w:r>
        <w:rPr>
          <w:rStyle w:val="34"/>
        </w:rPr>
        <w:t>3</w:t>
      </w:r>
      <w:r>
        <w:rPr>
          <w:rStyle w:val="34"/>
          <w:rFonts w:hint="eastAsia"/>
        </w:rPr>
        <w:t>　术语和定义</w:t>
      </w:r>
      <w:r>
        <w:tab/>
      </w:r>
      <w:r>
        <w:fldChar w:fldCharType="begin" w:fldLock="1"/>
      </w:r>
      <w:r>
        <w:instrText xml:space="preserve"> PAGEREF _Toc57127167 \h </w:instrText>
      </w:r>
      <w:r>
        <w:fldChar w:fldCharType="separate"/>
      </w:r>
      <w:r>
        <w:t>1</w:t>
      </w:r>
      <w:r>
        <w:fldChar w:fldCharType="end"/>
      </w:r>
      <w:r>
        <w:fldChar w:fldCharType="end"/>
      </w:r>
    </w:p>
    <w:p w14:paraId="50AFE784">
      <w:pPr>
        <w:pStyle w:val="16"/>
        <w:spacing w:before="78" w:after="78"/>
        <w:rPr>
          <w:rFonts w:ascii="Calibri" w:hAnsi="Calibri"/>
          <w:szCs w:val="22"/>
        </w:rPr>
      </w:pPr>
      <w:r>
        <w:fldChar w:fldCharType="begin" w:fldLock="1"/>
      </w:r>
      <w:r>
        <w:rPr>
          <w:rStyle w:val="34"/>
        </w:rPr>
        <w:instrText xml:space="preserve"> </w:instrText>
      </w:r>
      <w:r>
        <w:instrText xml:space="preserve">HYPERLINK \l "_Toc57127168"</w:instrText>
      </w:r>
      <w:r>
        <w:rPr>
          <w:rStyle w:val="34"/>
        </w:rPr>
        <w:instrText xml:space="preserve"> </w:instrText>
      </w:r>
      <w:r>
        <w:fldChar w:fldCharType="separate"/>
      </w:r>
      <w:r>
        <w:rPr>
          <w:rStyle w:val="34"/>
        </w:rPr>
        <w:t>4</w:t>
      </w:r>
      <w:r>
        <w:rPr>
          <w:rStyle w:val="34"/>
          <w:rFonts w:hint="eastAsia"/>
        </w:rPr>
        <w:t>　通用要求</w:t>
      </w:r>
      <w:r>
        <w:tab/>
      </w:r>
      <w:r>
        <w:fldChar w:fldCharType="begin" w:fldLock="1"/>
      </w:r>
      <w:r>
        <w:instrText xml:space="preserve"> PAGEREF _Toc57127168 \h </w:instrText>
      </w:r>
      <w:r>
        <w:fldChar w:fldCharType="separate"/>
      </w:r>
      <w:r>
        <w:t>2</w:t>
      </w:r>
      <w:r>
        <w:fldChar w:fldCharType="end"/>
      </w:r>
      <w:r>
        <w:fldChar w:fldCharType="end"/>
      </w:r>
    </w:p>
    <w:p w14:paraId="331BD6E6">
      <w:pPr>
        <w:pStyle w:val="16"/>
        <w:spacing w:before="78" w:after="78"/>
        <w:rPr>
          <w:rFonts w:ascii="Calibri" w:hAnsi="Calibri"/>
          <w:szCs w:val="22"/>
        </w:rPr>
      </w:pPr>
      <w:r>
        <w:fldChar w:fldCharType="begin" w:fldLock="1"/>
      </w:r>
      <w:r>
        <w:rPr>
          <w:rStyle w:val="34"/>
        </w:rPr>
        <w:instrText xml:space="preserve"> </w:instrText>
      </w:r>
      <w:r>
        <w:instrText xml:space="preserve">HYPERLINK \l "_Toc57127169"</w:instrText>
      </w:r>
      <w:r>
        <w:rPr>
          <w:rStyle w:val="34"/>
        </w:rPr>
        <w:instrText xml:space="preserve"> </w:instrText>
      </w:r>
      <w:r>
        <w:fldChar w:fldCharType="separate"/>
      </w:r>
      <w:r>
        <w:rPr>
          <w:rStyle w:val="34"/>
        </w:rPr>
        <w:t>5</w:t>
      </w:r>
      <w:r>
        <w:rPr>
          <w:rStyle w:val="34"/>
          <w:rFonts w:hint="eastAsia"/>
        </w:rPr>
        <w:t>　评价指标</w:t>
      </w:r>
      <w:r>
        <w:tab/>
      </w:r>
      <w:r>
        <w:rPr>
          <w:rFonts w:hint="eastAsia"/>
          <w:lang w:val="en-US" w:eastAsia="zh-CN"/>
        </w:rPr>
        <w:t>3</w:t>
      </w:r>
      <w:r>
        <w:fldChar w:fldCharType="end"/>
      </w:r>
    </w:p>
    <w:p w14:paraId="13E20AE2">
      <w:pPr>
        <w:pStyle w:val="16"/>
        <w:spacing w:before="78" w:after="78"/>
        <w:rPr>
          <w:rFonts w:ascii="Calibri" w:hAnsi="Calibri"/>
          <w:szCs w:val="22"/>
        </w:rPr>
      </w:pPr>
      <w:r>
        <w:fldChar w:fldCharType="begin" w:fldLock="1"/>
      </w:r>
      <w:r>
        <w:rPr>
          <w:rStyle w:val="34"/>
        </w:rPr>
        <w:instrText xml:space="preserve"> </w:instrText>
      </w:r>
      <w:r>
        <w:instrText xml:space="preserve">HYPERLINK \l "_Toc57127170"</w:instrText>
      </w:r>
      <w:r>
        <w:rPr>
          <w:rStyle w:val="34"/>
        </w:rPr>
        <w:instrText xml:space="preserve"> </w:instrText>
      </w:r>
      <w:r>
        <w:fldChar w:fldCharType="separate"/>
      </w:r>
      <w:r>
        <w:rPr>
          <w:rStyle w:val="34"/>
        </w:rPr>
        <w:t>6</w:t>
      </w:r>
      <w:r>
        <w:rPr>
          <w:rStyle w:val="34"/>
          <w:rFonts w:hint="eastAsia"/>
        </w:rPr>
        <w:t>　评价步骤</w:t>
      </w:r>
      <w:r>
        <w:tab/>
      </w:r>
      <w:r>
        <w:rPr>
          <w:rFonts w:hint="eastAsia"/>
          <w:lang w:val="en-US" w:eastAsia="zh-CN"/>
        </w:rPr>
        <w:t>5</w:t>
      </w:r>
      <w:r>
        <w:fldChar w:fldCharType="end"/>
      </w:r>
    </w:p>
    <w:p w14:paraId="63542AE5">
      <w:pPr>
        <w:pStyle w:val="16"/>
        <w:spacing w:before="78" w:after="78"/>
        <w:rPr>
          <w:rFonts w:ascii="Calibri" w:hAnsi="Calibri"/>
          <w:szCs w:val="22"/>
        </w:rPr>
      </w:pPr>
      <w:r>
        <w:fldChar w:fldCharType="begin" w:fldLock="1"/>
      </w:r>
      <w:r>
        <w:rPr>
          <w:rStyle w:val="34"/>
        </w:rPr>
        <w:instrText xml:space="preserve"> </w:instrText>
      </w:r>
      <w:r>
        <w:instrText xml:space="preserve">HYPERLINK \l "_Toc57127171"</w:instrText>
      </w:r>
      <w:r>
        <w:rPr>
          <w:rStyle w:val="34"/>
        </w:rPr>
        <w:instrText xml:space="preserve"> </w:instrText>
      </w:r>
      <w:r>
        <w:fldChar w:fldCharType="separate"/>
      </w:r>
      <w:r>
        <w:rPr>
          <w:rStyle w:val="34"/>
        </w:rPr>
        <w:t>7</w:t>
      </w:r>
      <w:r>
        <w:rPr>
          <w:rStyle w:val="34"/>
          <w:rFonts w:hint="eastAsia"/>
        </w:rPr>
        <w:t>　评价结果及报告出具</w:t>
      </w:r>
      <w:r>
        <w:tab/>
      </w:r>
      <w:r>
        <w:rPr>
          <w:rFonts w:hint="eastAsia"/>
          <w:lang w:val="en-US" w:eastAsia="zh-CN"/>
        </w:rPr>
        <w:t>6</w:t>
      </w:r>
      <w:r>
        <w:fldChar w:fldCharType="end"/>
      </w:r>
    </w:p>
    <w:p w14:paraId="272C50D4">
      <w:pPr>
        <w:pStyle w:val="16"/>
        <w:spacing w:before="78" w:after="78"/>
        <w:rPr>
          <w:rFonts w:ascii="Calibri" w:hAnsi="Calibri"/>
          <w:szCs w:val="22"/>
        </w:rPr>
      </w:pPr>
      <w:r>
        <w:fldChar w:fldCharType="begin" w:fldLock="1"/>
      </w:r>
      <w:r>
        <w:rPr>
          <w:rStyle w:val="34"/>
        </w:rPr>
        <w:instrText xml:space="preserve"> </w:instrText>
      </w:r>
      <w:r>
        <w:instrText xml:space="preserve">HYPERLINK \l "_Toc57127172"</w:instrText>
      </w:r>
      <w:r>
        <w:rPr>
          <w:rStyle w:val="34"/>
        </w:rPr>
        <w:instrText xml:space="preserve"> </w:instrText>
      </w:r>
      <w:r>
        <w:fldChar w:fldCharType="separate"/>
      </w:r>
      <w:r>
        <w:rPr>
          <w:rStyle w:val="34"/>
          <w:rFonts w:hint="eastAsia"/>
        </w:rPr>
        <w:t>附录A（资料性附录）</w:t>
      </w:r>
      <w:r>
        <w:rPr>
          <w:rStyle w:val="34"/>
        </w:rPr>
        <w:t>　</w:t>
      </w:r>
      <w:r>
        <w:rPr>
          <w:rStyle w:val="34"/>
          <w:rFonts w:hint="eastAsia"/>
        </w:rPr>
        <w:t>食品快速检测产品评价原始记录模板</w:t>
      </w:r>
      <w:r>
        <w:tab/>
      </w:r>
      <w:r>
        <w:rPr>
          <w:rFonts w:hint="eastAsia"/>
          <w:lang w:val="en-US" w:eastAsia="zh-CN"/>
        </w:rPr>
        <w:t>8</w:t>
      </w:r>
      <w:r>
        <w:fldChar w:fldCharType="end"/>
      </w:r>
    </w:p>
    <w:p w14:paraId="795A3446">
      <w:pPr>
        <w:pStyle w:val="16"/>
        <w:spacing w:before="78" w:after="78"/>
        <w:rPr>
          <w:rFonts w:ascii="Calibri" w:hAnsi="Calibri"/>
          <w:szCs w:val="22"/>
        </w:rPr>
      </w:pPr>
      <w:r>
        <w:fldChar w:fldCharType="begin" w:fldLock="1"/>
      </w:r>
      <w:r>
        <w:rPr>
          <w:rStyle w:val="34"/>
        </w:rPr>
        <w:instrText xml:space="preserve"> </w:instrText>
      </w:r>
      <w:r>
        <w:instrText xml:space="preserve">HYPERLINK \l "_Toc57127173"</w:instrText>
      </w:r>
      <w:r>
        <w:rPr>
          <w:rStyle w:val="34"/>
        </w:rPr>
        <w:instrText xml:space="preserve"> </w:instrText>
      </w:r>
      <w:r>
        <w:fldChar w:fldCharType="separate"/>
      </w:r>
      <w:r>
        <w:rPr>
          <w:rStyle w:val="34"/>
          <w:rFonts w:hint="eastAsia"/>
        </w:rPr>
        <w:t>附录B（资料性附录）</w:t>
      </w:r>
      <w:r>
        <w:rPr>
          <w:rStyle w:val="34"/>
        </w:rPr>
        <w:t>　</w:t>
      </w:r>
      <w:r>
        <w:rPr>
          <w:rStyle w:val="34"/>
          <w:rFonts w:hint="eastAsia"/>
        </w:rPr>
        <w:t>食品快速检测产品技术指标计算表模板</w:t>
      </w:r>
      <w:r>
        <w:tab/>
      </w:r>
      <w:r>
        <w:rPr>
          <w:rFonts w:hint="eastAsia"/>
          <w:lang w:val="en-US" w:eastAsia="zh-CN"/>
        </w:rPr>
        <w:t>9</w:t>
      </w:r>
      <w:r>
        <w:fldChar w:fldCharType="end"/>
      </w:r>
    </w:p>
    <w:p w14:paraId="00CAC61D">
      <w:pPr>
        <w:pStyle w:val="16"/>
        <w:spacing w:before="78" w:after="78"/>
      </w:pPr>
      <w:r>
        <w:fldChar w:fldCharType="begin" w:fldLock="1"/>
      </w:r>
      <w:r>
        <w:rPr>
          <w:rStyle w:val="34"/>
        </w:rPr>
        <w:instrText xml:space="preserve"> </w:instrText>
      </w:r>
      <w:r>
        <w:instrText xml:space="preserve">HYPERLINK \l "_Toc57127174"</w:instrText>
      </w:r>
      <w:r>
        <w:rPr>
          <w:rStyle w:val="34"/>
        </w:rPr>
        <w:instrText xml:space="preserve"> </w:instrText>
      </w:r>
      <w:r>
        <w:fldChar w:fldCharType="separate"/>
      </w:r>
      <w:r>
        <w:rPr>
          <w:rStyle w:val="34"/>
          <w:rFonts w:hint="eastAsia"/>
        </w:rPr>
        <w:t>附录C（资料性附录）</w:t>
      </w:r>
      <w:r>
        <w:rPr>
          <w:rStyle w:val="34"/>
        </w:rPr>
        <w:t>　</w:t>
      </w:r>
      <w:r>
        <w:rPr>
          <w:rStyle w:val="34"/>
          <w:rFonts w:hint="eastAsia"/>
        </w:rPr>
        <w:t>食品快速检测产品评价报告模板</w:t>
      </w:r>
      <w:r>
        <w:tab/>
      </w:r>
      <w:r>
        <w:rPr>
          <w:rFonts w:hint="eastAsia"/>
          <w:lang w:val="en-US" w:eastAsia="zh-CN"/>
        </w:rPr>
        <w:t>10</w:t>
      </w:r>
      <w:r>
        <w:fldChar w:fldCharType="end"/>
      </w:r>
    </w:p>
    <w:p w14:paraId="4C3FC2B7">
      <w:pPr>
        <w:pStyle w:val="16"/>
        <w:spacing w:before="78" w:after="78"/>
        <w:rPr>
          <w:rFonts w:ascii="Calibri" w:hAnsi="Calibri"/>
          <w:szCs w:val="22"/>
        </w:rPr>
      </w:pPr>
      <w:r>
        <w:fldChar w:fldCharType="begin" w:fldLock="1"/>
      </w:r>
      <w:r>
        <w:rPr>
          <w:rStyle w:val="34"/>
        </w:rPr>
        <w:instrText xml:space="preserve"> </w:instrText>
      </w:r>
      <w:r>
        <w:instrText xml:space="preserve">HYPERLINK \l "_Toc57127171"</w:instrText>
      </w:r>
      <w:r>
        <w:rPr>
          <w:rStyle w:val="34"/>
        </w:rPr>
        <w:instrText xml:space="preserve"> </w:instrText>
      </w:r>
      <w:r>
        <w:fldChar w:fldCharType="separate"/>
      </w:r>
      <w:r>
        <w:rPr>
          <w:rStyle w:val="34"/>
          <w:rFonts w:hint="eastAsia"/>
          <w:lang w:eastAsia="zh-CN"/>
        </w:rPr>
        <w:t>参考文献</w:t>
      </w:r>
      <w:r>
        <w:tab/>
      </w:r>
      <w:r>
        <w:rPr>
          <w:rFonts w:hint="eastAsia"/>
          <w:lang w:val="en-US" w:eastAsia="zh-CN"/>
        </w:rPr>
        <w:t>11</w:t>
      </w:r>
      <w:r>
        <w:fldChar w:fldCharType="end"/>
      </w:r>
    </w:p>
    <w:p w14:paraId="028EBB87"/>
    <w:p w14:paraId="5E49AA44">
      <w:pPr>
        <w:pStyle w:val="20"/>
        <w:rPr>
          <w:rFonts w:hint="eastAsia"/>
        </w:rPr>
      </w:pPr>
      <w:r>
        <w:fldChar w:fldCharType="end"/>
      </w:r>
    </w:p>
    <w:p w14:paraId="025C075F">
      <w:pPr>
        <w:pStyle w:val="116"/>
        <w:rPr>
          <w:rFonts w:hint="eastAsia"/>
          <w:color w:val="000000"/>
        </w:rPr>
      </w:pPr>
      <w:bookmarkStart w:id="26" w:name="_Toc57127164"/>
      <w:r>
        <w:rPr>
          <w:rFonts w:hint="eastAsia"/>
          <w:color w:val="000000"/>
        </w:rPr>
        <w:t>前</w:t>
      </w:r>
      <w:bookmarkStart w:id="27" w:name="BKQY"/>
      <w:r>
        <w:rPr>
          <w:rFonts w:hAnsi="黑体"/>
          <w:color w:val="000000"/>
        </w:rPr>
        <w:t>  </w:t>
      </w:r>
      <w:r>
        <w:rPr>
          <w:rFonts w:hint="eastAsia"/>
          <w:color w:val="000000"/>
        </w:rPr>
        <w:t>言</w:t>
      </w:r>
      <w:bookmarkEnd w:id="20"/>
      <w:bookmarkEnd w:id="21"/>
      <w:bookmarkEnd w:id="22"/>
      <w:bookmarkEnd w:id="23"/>
      <w:bookmarkEnd w:id="24"/>
      <w:bookmarkEnd w:id="26"/>
      <w:bookmarkEnd w:id="27"/>
    </w:p>
    <w:p w14:paraId="7008D3C8">
      <w:pPr>
        <w:pStyle w:val="20"/>
        <w:rPr>
          <w:rFonts w:hint="eastAsia"/>
          <w:color w:val="000000"/>
          <w:highlight w:val="none"/>
        </w:rPr>
      </w:pPr>
      <w:r>
        <w:rPr>
          <w:rFonts w:hint="eastAsia"/>
          <w:color w:val="000000"/>
          <w:highlight w:val="none"/>
        </w:rPr>
        <w:t>本文件按照GB/T 1.1-2020《标准化工作导则 第1部分：标准化文件的结构和起草规则》的规定起草。</w:t>
      </w:r>
    </w:p>
    <w:p w14:paraId="2549E0EE">
      <w:pPr>
        <w:pStyle w:val="20"/>
        <w:rPr>
          <w:rFonts w:hint="eastAsia"/>
          <w:color w:val="000000"/>
          <w:highlight w:val="none"/>
        </w:rPr>
      </w:pPr>
      <w:bookmarkStart w:id="183" w:name="_GoBack"/>
      <w:bookmarkEnd w:id="183"/>
      <w:r>
        <w:rPr>
          <w:rFonts w:hint="eastAsia"/>
          <w:color w:val="000000"/>
          <w:highlight w:val="none"/>
        </w:rPr>
        <w:t>请注意本文件的某些内容可能涉及专利。本文件的发布机构不承担识别专利的责任。</w:t>
      </w:r>
    </w:p>
    <w:p w14:paraId="20BFE053">
      <w:pPr>
        <w:pStyle w:val="20"/>
        <w:rPr>
          <w:rFonts w:hint="eastAsia" w:eastAsia="宋体"/>
          <w:color w:val="000000"/>
          <w:highlight w:val="none"/>
          <w:lang w:eastAsia="zh-CN"/>
        </w:rPr>
      </w:pPr>
      <w:r>
        <w:rPr>
          <w:rFonts w:hint="eastAsia"/>
          <w:color w:val="000000"/>
          <w:highlight w:val="none"/>
        </w:rPr>
        <w:t>本标准与DB 36/T 1334-2020相比</w:t>
      </w:r>
      <w:r>
        <w:rPr>
          <w:rFonts w:hint="eastAsia"/>
          <w:color w:val="000000"/>
          <w:highlight w:val="none"/>
          <w:lang w:eastAsia="zh-CN"/>
        </w:rPr>
        <w:t>，</w:t>
      </w:r>
      <w:r>
        <w:rPr>
          <w:rFonts w:hint="eastAsia"/>
          <w:color w:val="000000"/>
          <w:highlight w:val="none"/>
        </w:rPr>
        <w:t>主要变化如下</w:t>
      </w:r>
      <w:r>
        <w:rPr>
          <w:rFonts w:hint="eastAsia"/>
          <w:color w:val="000000"/>
          <w:highlight w:val="none"/>
          <w:lang w:eastAsia="zh-CN"/>
        </w:rPr>
        <w:t>：</w:t>
      </w:r>
    </w:p>
    <w:p w14:paraId="586DB7ED">
      <w:pPr>
        <w:pStyle w:val="20"/>
        <w:rPr>
          <w:rFonts w:hint="eastAsia" w:eastAsia="宋体"/>
          <w:color w:val="000000"/>
          <w:highlight w:val="none"/>
          <w:lang w:eastAsia="zh-CN"/>
        </w:rPr>
      </w:pPr>
      <w:r>
        <w:rPr>
          <w:rFonts w:hint="eastAsia"/>
          <w:color w:val="000000"/>
          <w:highlight w:val="none"/>
          <w:lang w:eastAsia="zh-CN"/>
        </w:rPr>
        <w:t>——</w:t>
      </w:r>
      <w:r>
        <w:rPr>
          <w:rFonts w:hint="eastAsia"/>
          <w:color w:val="000000"/>
          <w:highlight w:val="none"/>
        </w:rPr>
        <w:t>增加了“评价机构要求</w:t>
      </w:r>
      <w:r>
        <w:rPr>
          <w:rFonts w:hint="eastAsia"/>
          <w:color w:val="000000"/>
          <w:highlight w:val="none"/>
          <w:lang w:eastAsia="zh-CN"/>
        </w:rPr>
        <w:t>”“</w:t>
      </w:r>
      <w:r>
        <w:rPr>
          <w:rFonts w:hint="eastAsia"/>
          <w:color w:val="000000"/>
          <w:highlight w:val="none"/>
        </w:rPr>
        <w:t>评价受理要求、</w:t>
      </w:r>
      <w:r>
        <w:rPr>
          <w:rFonts w:hint="eastAsia"/>
          <w:color w:val="000000"/>
          <w:highlight w:val="none"/>
          <w:lang w:eastAsia="zh-CN"/>
        </w:rPr>
        <w:t>“</w:t>
      </w:r>
      <w:r>
        <w:rPr>
          <w:rFonts w:hint="eastAsia"/>
          <w:color w:val="000000"/>
          <w:highlight w:val="none"/>
        </w:rPr>
        <w:t>评价工作要求”</w:t>
      </w:r>
      <w:r>
        <w:rPr>
          <w:rFonts w:hint="eastAsia"/>
          <w:color w:val="000000"/>
          <w:highlight w:val="none"/>
          <w:lang w:eastAsia="zh-CN"/>
        </w:rPr>
        <w:t>；</w:t>
      </w:r>
    </w:p>
    <w:p w14:paraId="6FED1EF9">
      <w:pPr>
        <w:pStyle w:val="20"/>
        <w:rPr>
          <w:rFonts w:hint="eastAsia" w:eastAsia="宋体"/>
          <w:color w:val="000000"/>
          <w:highlight w:val="none"/>
          <w:lang w:eastAsia="zh-CN"/>
        </w:rPr>
      </w:pPr>
      <w:r>
        <w:rPr>
          <w:rFonts w:hint="eastAsia"/>
          <w:color w:val="000000"/>
          <w:highlight w:val="none"/>
          <w:lang w:eastAsia="zh-CN"/>
        </w:rPr>
        <w:t>——</w:t>
      </w:r>
      <w:r>
        <w:rPr>
          <w:rFonts w:hint="eastAsia"/>
          <w:color w:val="000000"/>
          <w:highlight w:val="none"/>
        </w:rPr>
        <w:t>修改了</w:t>
      </w:r>
      <w:r>
        <w:rPr>
          <w:rFonts w:hint="eastAsia"/>
          <w:color w:val="000000"/>
          <w:highlight w:val="none"/>
          <w:lang w:eastAsia="zh-CN"/>
        </w:rPr>
        <w:t>“</w:t>
      </w:r>
      <w:r>
        <w:rPr>
          <w:rFonts w:hint="eastAsia"/>
          <w:color w:val="000000"/>
          <w:highlight w:val="none"/>
        </w:rPr>
        <w:t>规范性引用文件</w:t>
      </w:r>
      <w:r>
        <w:rPr>
          <w:rFonts w:hint="eastAsia"/>
          <w:color w:val="000000"/>
          <w:highlight w:val="none"/>
          <w:lang w:eastAsia="zh-CN"/>
        </w:rPr>
        <w:t>”“</w:t>
      </w:r>
      <w:r>
        <w:rPr>
          <w:rFonts w:hint="eastAsia"/>
          <w:color w:val="000000"/>
          <w:highlight w:val="none"/>
        </w:rPr>
        <w:t>术语和定义</w:t>
      </w:r>
      <w:r>
        <w:rPr>
          <w:rFonts w:hint="eastAsia"/>
          <w:color w:val="000000"/>
          <w:highlight w:val="none"/>
          <w:lang w:eastAsia="zh-CN"/>
        </w:rPr>
        <w:t>”“一般指标”“技术指标”。</w:t>
      </w:r>
    </w:p>
    <w:p w14:paraId="6C93A32B">
      <w:pPr>
        <w:pStyle w:val="20"/>
        <w:rPr>
          <w:rFonts w:hint="eastAsia"/>
          <w:color w:val="000000"/>
          <w:highlight w:val="none"/>
        </w:rPr>
      </w:pPr>
      <w:r>
        <w:rPr>
          <w:rFonts w:hint="eastAsia"/>
          <w:color w:val="000000"/>
          <w:highlight w:val="none"/>
        </w:rPr>
        <w:t>本文件由江西省食品安全快速检测标准化技术委员会提出并归口。</w:t>
      </w:r>
    </w:p>
    <w:p w14:paraId="46869641">
      <w:pPr>
        <w:pStyle w:val="20"/>
        <w:rPr>
          <w:rFonts w:hint="eastAsia"/>
          <w:color w:val="000000"/>
        </w:rPr>
      </w:pPr>
      <w:r>
        <w:rPr>
          <w:rFonts w:hint="eastAsia"/>
          <w:color w:val="000000"/>
        </w:rPr>
        <w:t>本文件起草单位：</w:t>
      </w:r>
    </w:p>
    <w:p w14:paraId="73D2801B">
      <w:pPr>
        <w:pStyle w:val="20"/>
        <w:rPr>
          <w:rFonts w:hint="eastAsia" w:eastAsia="宋体"/>
          <w:color w:val="000000"/>
          <w:lang w:eastAsia="zh-CN"/>
        </w:rPr>
      </w:pPr>
      <w:r>
        <w:rPr>
          <w:rFonts w:hint="eastAsia"/>
          <w:color w:val="000000"/>
        </w:rPr>
        <w:t>本文件主要起草人：</w:t>
      </w:r>
    </w:p>
    <w:p w14:paraId="60659EFC">
      <w:pPr>
        <w:pStyle w:val="20"/>
        <w:rPr>
          <w:rFonts w:hint="eastAsia"/>
          <w:color w:val="000000"/>
        </w:rPr>
      </w:pPr>
    </w:p>
    <w:p w14:paraId="41F9CA6D">
      <w:pPr>
        <w:pStyle w:val="20"/>
        <w:rPr>
          <w:color w:val="000000"/>
        </w:rPr>
        <w:sectPr>
          <w:headerReference r:id="rId9" w:type="default"/>
          <w:footerReference r:id="rId10" w:type="default"/>
          <w:pgSz w:w="11906" w:h="16838"/>
          <w:pgMar w:top="567" w:right="1134" w:bottom="1134" w:left="1418" w:header="1418" w:footer="1134" w:gutter="0"/>
          <w:pgNumType w:fmt="upperRoman" w:start="1"/>
          <w:cols w:space="720" w:num="1"/>
          <w:formProt w:val="0"/>
          <w:docGrid w:type="lines" w:linePitch="312" w:charSpace="0"/>
        </w:sectPr>
      </w:pPr>
    </w:p>
    <w:p w14:paraId="5289971A">
      <w:pPr>
        <w:pStyle w:val="99"/>
        <w:rPr>
          <w:rFonts w:hint="eastAsia"/>
          <w:color w:val="000000"/>
        </w:rPr>
      </w:pPr>
      <w:r>
        <w:rPr>
          <w:rFonts w:hint="eastAsia"/>
          <w:color w:val="000000"/>
        </w:rPr>
        <w:t>食</w:t>
      </w:r>
      <w:bookmarkStart w:id="28" w:name="StandardName"/>
      <w:r>
        <w:rPr>
          <w:rFonts w:hint="eastAsia"/>
          <w:color w:val="000000"/>
        </w:rPr>
        <w:t>品快速检测产品评价技术规范</w:t>
      </w:r>
      <w:bookmarkEnd w:id="28"/>
    </w:p>
    <w:p w14:paraId="5766C094">
      <w:pPr>
        <w:pStyle w:val="62"/>
        <w:rPr>
          <w:rFonts w:hint="eastAsia"/>
          <w:color w:val="000000"/>
        </w:rPr>
      </w:pPr>
      <w:bookmarkStart w:id="29" w:name="_Toc57127127"/>
      <w:bookmarkStart w:id="30" w:name="_Toc57127165"/>
      <w:bookmarkStart w:id="31" w:name="_Toc38036225"/>
      <w:bookmarkStart w:id="32" w:name="_Toc38028122"/>
      <w:bookmarkStart w:id="33" w:name="_Toc38036382"/>
      <w:bookmarkStart w:id="34" w:name="_Toc56503705"/>
      <w:bookmarkStart w:id="35" w:name="_Toc56504125"/>
      <w:r>
        <w:rPr>
          <w:rFonts w:hint="eastAsia"/>
          <w:color w:val="000000"/>
        </w:rPr>
        <w:t>范围</w:t>
      </w:r>
      <w:bookmarkEnd w:id="29"/>
      <w:bookmarkEnd w:id="30"/>
      <w:bookmarkEnd w:id="31"/>
      <w:bookmarkEnd w:id="32"/>
      <w:bookmarkEnd w:id="33"/>
      <w:bookmarkEnd w:id="34"/>
      <w:bookmarkEnd w:id="35"/>
    </w:p>
    <w:p w14:paraId="76C38E87">
      <w:pPr>
        <w:pStyle w:val="20"/>
        <w:rPr>
          <w:rFonts w:hint="eastAsia"/>
          <w:color w:val="000000"/>
          <w:highlight w:val="none"/>
        </w:rPr>
      </w:pPr>
      <w:r>
        <w:rPr>
          <w:rFonts w:hint="eastAsia"/>
          <w:color w:val="000000"/>
        </w:rPr>
        <w:t>本文件规定了食</w:t>
      </w:r>
      <w:r>
        <w:rPr>
          <w:rFonts w:hint="eastAsia"/>
          <w:color w:val="000000"/>
          <w:highlight w:val="none"/>
        </w:rPr>
        <w:t>品快速检</w:t>
      </w:r>
      <w:r>
        <w:rPr>
          <w:rFonts w:hint="eastAsia"/>
          <w:color w:val="000000"/>
          <w:highlight w:val="none"/>
          <w:lang w:eastAsia="zh-CN"/>
        </w:rPr>
        <w:t>测</w:t>
      </w:r>
      <w:r>
        <w:rPr>
          <w:color w:val="000000"/>
          <w:highlight w:val="none"/>
        </w:rPr>
        <w:t>产品</w:t>
      </w:r>
      <w:r>
        <w:rPr>
          <w:rFonts w:hint="eastAsia"/>
          <w:color w:val="000000"/>
          <w:highlight w:val="none"/>
        </w:rPr>
        <w:t>评价的评价机构要求、评价受理要求、评价工作要求、盲样要求、评价指标、评价步骤、评价结果及出具等要求。</w:t>
      </w:r>
    </w:p>
    <w:p w14:paraId="6504A14A">
      <w:pPr>
        <w:pStyle w:val="20"/>
        <w:rPr>
          <w:rFonts w:hint="eastAsia"/>
          <w:color w:val="000000"/>
          <w:highlight w:val="none"/>
        </w:rPr>
      </w:pPr>
      <w:r>
        <w:rPr>
          <w:rFonts w:hint="eastAsia"/>
          <w:color w:val="000000"/>
          <w:highlight w:val="none"/>
        </w:rPr>
        <w:t>本文件适用于食品</w:t>
      </w:r>
      <w:r>
        <w:rPr>
          <w:color w:val="000000"/>
          <w:highlight w:val="none"/>
        </w:rPr>
        <w:t>快速检测产品的评价</w:t>
      </w:r>
      <w:r>
        <w:rPr>
          <w:rFonts w:hint="eastAsia"/>
          <w:color w:val="000000"/>
          <w:highlight w:val="none"/>
        </w:rPr>
        <w:t>。</w:t>
      </w:r>
    </w:p>
    <w:p w14:paraId="1C704E59">
      <w:pPr>
        <w:pStyle w:val="62"/>
        <w:rPr>
          <w:rFonts w:hint="eastAsia"/>
          <w:color w:val="000000"/>
          <w:highlight w:val="none"/>
        </w:rPr>
      </w:pPr>
      <w:bookmarkStart w:id="36" w:name="_Toc57127128"/>
      <w:bookmarkStart w:id="37" w:name="_Toc38036383"/>
      <w:bookmarkStart w:id="38" w:name="_Toc38036226"/>
      <w:bookmarkStart w:id="39" w:name="_Toc38028123"/>
      <w:bookmarkStart w:id="40" w:name="_Toc56503706"/>
      <w:bookmarkStart w:id="41" w:name="_Toc56504126"/>
      <w:bookmarkStart w:id="42" w:name="_Toc57127166"/>
      <w:r>
        <w:rPr>
          <w:rFonts w:hint="eastAsia"/>
          <w:color w:val="000000"/>
          <w:highlight w:val="none"/>
        </w:rPr>
        <w:t>规范性引用文件</w:t>
      </w:r>
      <w:bookmarkEnd w:id="36"/>
      <w:bookmarkEnd w:id="37"/>
      <w:bookmarkEnd w:id="38"/>
      <w:bookmarkEnd w:id="39"/>
      <w:bookmarkEnd w:id="40"/>
      <w:bookmarkEnd w:id="41"/>
      <w:bookmarkEnd w:id="42"/>
    </w:p>
    <w:p w14:paraId="7EBC5F5B">
      <w:pPr>
        <w:pStyle w:val="20"/>
        <w:rPr>
          <w:rFonts w:hint="eastAsia"/>
          <w:color w:val="auto"/>
          <w:highlight w:val="none"/>
        </w:rPr>
      </w:pPr>
      <w:r>
        <w:rPr>
          <w:rFonts w:hint="eastAsia"/>
          <w:color w:val="000000"/>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7B1A7E5">
      <w:pPr>
        <w:spacing w:line="300" w:lineRule="auto"/>
        <w:ind w:firstLine="315" w:firstLineChars="150"/>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《市场监管总局关于规范食品快速检测使用的意见》（国市监食检规〔2023〕1号）</w:t>
      </w:r>
    </w:p>
    <w:p w14:paraId="4F4DD31F">
      <w:pPr>
        <w:pStyle w:val="20"/>
        <w:rPr>
          <w:rFonts w:hint="eastAsia"/>
          <w:color w:val="auto"/>
          <w:highlight w:val="none"/>
        </w:rPr>
      </w:pPr>
      <w:r>
        <w:rPr>
          <w:rFonts w:hint="eastAsia"/>
          <w:color w:val="auto"/>
          <w:highlight w:val="none"/>
        </w:rPr>
        <w:t>SN/T 2775</w:t>
      </w:r>
      <w:r>
        <w:rPr>
          <w:rFonts w:hint="eastAsia"/>
          <w:color w:val="auto"/>
          <w:highlight w:val="none"/>
          <w:lang w:val="en-US" w:eastAsia="zh-CN"/>
        </w:rPr>
        <w:t xml:space="preserve"> </w:t>
      </w:r>
      <w:r>
        <w:rPr>
          <w:rFonts w:hint="eastAsia"/>
          <w:color w:val="auto"/>
          <w:highlight w:val="none"/>
        </w:rPr>
        <w:t xml:space="preserve"> 商品化食品检测试剂盒评价方法</w:t>
      </w:r>
    </w:p>
    <w:p w14:paraId="7BE8E0FF">
      <w:pPr>
        <w:pStyle w:val="62"/>
        <w:rPr>
          <w:rFonts w:hint="eastAsia"/>
          <w:color w:val="auto"/>
        </w:rPr>
      </w:pPr>
      <w:bookmarkStart w:id="43" w:name="_Toc38028124"/>
      <w:bookmarkEnd w:id="43"/>
      <w:bookmarkStart w:id="44" w:name="_Toc56503707"/>
      <w:bookmarkStart w:id="45" w:name="_Toc57127167"/>
      <w:bookmarkStart w:id="46" w:name="_Toc56504127"/>
      <w:bookmarkStart w:id="47" w:name="_Toc38036227"/>
      <w:bookmarkStart w:id="48" w:name="_Toc38036384"/>
      <w:bookmarkStart w:id="49" w:name="_Toc57127129"/>
      <w:r>
        <w:rPr>
          <w:rFonts w:hint="eastAsia"/>
          <w:color w:val="auto"/>
        </w:rPr>
        <w:t>术语和定义</w:t>
      </w:r>
      <w:bookmarkEnd w:id="44"/>
      <w:bookmarkEnd w:id="45"/>
      <w:bookmarkEnd w:id="46"/>
      <w:bookmarkEnd w:id="47"/>
      <w:bookmarkEnd w:id="48"/>
      <w:bookmarkEnd w:id="49"/>
    </w:p>
    <w:p w14:paraId="2F1895E1">
      <w:pPr>
        <w:pStyle w:val="20"/>
        <w:rPr>
          <w:rFonts w:hint="eastAsia"/>
          <w:color w:val="000000"/>
        </w:rPr>
      </w:pPr>
      <w:r>
        <w:rPr>
          <w:rFonts w:hint="eastAsia"/>
          <w:color w:val="000000"/>
        </w:rPr>
        <w:t>下列术语和定义适用于本文件。</w:t>
      </w:r>
    </w:p>
    <w:p w14:paraId="5369606D">
      <w:pPr>
        <w:pStyle w:val="71"/>
        <w:rPr>
          <w:rFonts w:hint="eastAsia"/>
          <w:color w:val="000000"/>
        </w:rPr>
      </w:pPr>
      <w:bookmarkStart w:id="50" w:name="_Toc57127130"/>
      <w:bookmarkEnd w:id="50"/>
      <w:bookmarkStart w:id="51" w:name="_Toc56503708"/>
      <w:bookmarkEnd w:id="51"/>
      <w:bookmarkStart w:id="52" w:name="_Toc38036385"/>
      <w:bookmarkStart w:id="53" w:name="_Toc38036228"/>
    </w:p>
    <w:p w14:paraId="0F07D05A">
      <w:pPr>
        <w:pStyle w:val="71"/>
        <w:numPr>
          <w:ilvl w:val="0"/>
          <w:numId w:val="0"/>
        </w:numPr>
        <w:ind w:firstLine="420" w:firstLineChars="200"/>
        <w:rPr>
          <w:rFonts w:hint="eastAsia"/>
          <w:color w:val="000000"/>
        </w:rPr>
      </w:pPr>
      <w:bookmarkStart w:id="54" w:name="_Toc57127131"/>
      <w:bookmarkStart w:id="55" w:name="_Toc56503709"/>
      <w:r>
        <w:rPr>
          <w:rFonts w:hint="eastAsia"/>
          <w:color w:val="000000"/>
        </w:rPr>
        <w:t>食品快速检测产品</w:t>
      </w:r>
      <w:bookmarkEnd w:id="52"/>
      <w:bookmarkEnd w:id="53"/>
      <w:r>
        <w:rPr>
          <w:rFonts w:hint="eastAsia"/>
          <w:color w:val="000000"/>
        </w:rPr>
        <w:t>food rapid detection products</w:t>
      </w:r>
      <w:bookmarkEnd w:id="54"/>
      <w:bookmarkEnd w:id="55"/>
    </w:p>
    <w:p w14:paraId="53709BB7">
      <w:pPr>
        <w:pStyle w:val="20"/>
        <w:rPr>
          <w:rFonts w:hint="eastAsia"/>
          <w:color w:val="000000"/>
        </w:rPr>
      </w:pPr>
      <w:r>
        <w:rPr>
          <w:rFonts w:hint="eastAsia"/>
          <w:color w:val="000000"/>
        </w:rPr>
        <w:t>由一种食品快速检测方法的主要或关键组分构成，用以确定食品中目标分析物的存在或含量的产品，包括试剂、试纸条、试剂盒和快检设备等。</w:t>
      </w:r>
    </w:p>
    <w:p w14:paraId="2E60022E">
      <w:pPr>
        <w:pStyle w:val="71"/>
        <w:rPr>
          <w:rFonts w:hint="eastAsia"/>
          <w:color w:val="000000"/>
        </w:rPr>
      </w:pPr>
      <w:bookmarkStart w:id="56" w:name="_Toc56503710"/>
      <w:bookmarkEnd w:id="56"/>
      <w:bookmarkStart w:id="57" w:name="_Toc57127132"/>
      <w:bookmarkEnd w:id="57"/>
      <w:bookmarkStart w:id="58" w:name="_Toc38036229"/>
      <w:bookmarkStart w:id="59" w:name="_Toc38036386"/>
    </w:p>
    <w:p w14:paraId="7D2F0AB0">
      <w:pPr>
        <w:pStyle w:val="71"/>
        <w:numPr>
          <w:ilvl w:val="0"/>
          <w:numId w:val="0"/>
        </w:numPr>
        <w:ind w:firstLine="420" w:firstLineChars="200"/>
        <w:rPr>
          <w:rFonts w:hint="eastAsia"/>
          <w:color w:val="000000"/>
        </w:rPr>
      </w:pPr>
      <w:bookmarkStart w:id="60" w:name="_Toc56503711"/>
      <w:bookmarkStart w:id="61" w:name="_Toc57127133"/>
      <w:r>
        <w:rPr>
          <w:rFonts w:hint="eastAsia"/>
          <w:color w:val="000000"/>
        </w:rPr>
        <w:t>基质</w:t>
      </w:r>
      <w:bookmarkEnd w:id="58"/>
      <w:bookmarkEnd w:id="59"/>
      <w:r>
        <w:rPr>
          <w:rFonts w:hint="eastAsia"/>
          <w:color w:val="000000"/>
        </w:rPr>
        <w:t xml:space="preserve"> matrix</w:t>
      </w:r>
      <w:bookmarkEnd w:id="60"/>
      <w:bookmarkEnd w:id="61"/>
    </w:p>
    <w:p w14:paraId="064CB11E">
      <w:pPr>
        <w:pStyle w:val="20"/>
        <w:rPr>
          <w:rFonts w:hint="eastAsia"/>
          <w:color w:val="000000"/>
        </w:rPr>
      </w:pPr>
      <w:r>
        <w:rPr>
          <w:rFonts w:hint="eastAsia"/>
          <w:color w:val="000000"/>
        </w:rPr>
        <w:t>样品中除目标分析物以外的一切组成。</w:t>
      </w:r>
    </w:p>
    <w:p w14:paraId="545E5710">
      <w:pPr>
        <w:pStyle w:val="71"/>
        <w:rPr>
          <w:rFonts w:hint="eastAsia"/>
          <w:color w:val="000000"/>
        </w:rPr>
      </w:pPr>
      <w:bookmarkStart w:id="62" w:name="_Toc57127134"/>
      <w:bookmarkEnd w:id="62"/>
      <w:bookmarkStart w:id="63" w:name="_Toc56503712"/>
      <w:bookmarkEnd w:id="63"/>
      <w:bookmarkStart w:id="64" w:name="_Toc38036387"/>
      <w:bookmarkStart w:id="65" w:name="_Toc38036230"/>
    </w:p>
    <w:p w14:paraId="7A419897">
      <w:pPr>
        <w:pStyle w:val="71"/>
        <w:numPr>
          <w:ilvl w:val="0"/>
          <w:numId w:val="0"/>
        </w:numPr>
        <w:ind w:firstLine="420" w:firstLineChars="200"/>
        <w:rPr>
          <w:rFonts w:hint="eastAsia"/>
          <w:color w:val="000000"/>
        </w:rPr>
      </w:pPr>
      <w:bookmarkStart w:id="66" w:name="_Toc57127135"/>
      <w:bookmarkStart w:id="67" w:name="_Toc56503713"/>
      <w:r>
        <w:rPr>
          <w:rFonts w:hint="eastAsia"/>
          <w:color w:val="000000"/>
        </w:rPr>
        <w:t>标准物质</w:t>
      </w:r>
      <w:bookmarkEnd w:id="64"/>
      <w:bookmarkEnd w:id="65"/>
      <w:r>
        <w:rPr>
          <w:rFonts w:hint="eastAsia"/>
          <w:color w:val="000000"/>
        </w:rPr>
        <w:t xml:space="preserve"> reference material</w:t>
      </w:r>
      <w:bookmarkEnd w:id="66"/>
      <w:bookmarkEnd w:id="67"/>
    </w:p>
    <w:p w14:paraId="463B402B">
      <w:pPr>
        <w:pStyle w:val="20"/>
        <w:rPr>
          <w:rFonts w:hint="eastAsia"/>
          <w:color w:val="000000"/>
        </w:rPr>
      </w:pPr>
      <w:r>
        <w:rPr>
          <w:rFonts w:hint="eastAsia"/>
          <w:color w:val="000000"/>
        </w:rPr>
        <w:t>具有一种或多种足够均匀和很好地确定了特性的，用以校准装置、评价测量方法或给材料赋值的一种材料或物质。</w:t>
      </w:r>
    </w:p>
    <w:p w14:paraId="59CE3F78">
      <w:pPr>
        <w:pStyle w:val="71"/>
        <w:rPr>
          <w:rFonts w:hint="eastAsia"/>
          <w:color w:val="000000"/>
        </w:rPr>
      </w:pPr>
      <w:bookmarkStart w:id="68" w:name="_Toc56503714"/>
      <w:bookmarkEnd w:id="68"/>
      <w:bookmarkStart w:id="69" w:name="_Toc57127136"/>
      <w:bookmarkEnd w:id="69"/>
      <w:bookmarkStart w:id="70" w:name="_Toc38036388"/>
      <w:bookmarkStart w:id="71" w:name="_Toc38036231"/>
    </w:p>
    <w:p w14:paraId="0E71E84C">
      <w:pPr>
        <w:pStyle w:val="71"/>
        <w:numPr>
          <w:ilvl w:val="0"/>
          <w:numId w:val="0"/>
        </w:numPr>
        <w:ind w:firstLine="420" w:firstLineChars="200"/>
        <w:rPr>
          <w:rFonts w:hint="eastAsia"/>
          <w:color w:val="000000"/>
        </w:rPr>
      </w:pPr>
      <w:bookmarkStart w:id="72" w:name="_Toc56503715"/>
      <w:bookmarkStart w:id="73" w:name="_Toc57127137"/>
      <w:r>
        <w:rPr>
          <w:rFonts w:hint="eastAsia"/>
          <w:color w:val="000000"/>
        </w:rPr>
        <w:t>参比方法</w:t>
      </w:r>
      <w:bookmarkEnd w:id="70"/>
      <w:bookmarkEnd w:id="71"/>
      <w:r>
        <w:rPr>
          <w:rFonts w:hint="eastAsia"/>
          <w:color w:val="000000"/>
        </w:rPr>
        <w:t xml:space="preserve"> reference method</w:t>
      </w:r>
      <w:bookmarkEnd w:id="72"/>
      <w:bookmarkEnd w:id="73"/>
    </w:p>
    <w:p w14:paraId="56A2B22F">
      <w:pPr>
        <w:pStyle w:val="20"/>
        <w:rPr>
          <w:rFonts w:hint="eastAsia"/>
          <w:color w:val="000000"/>
          <w:highlight w:val="none"/>
        </w:rPr>
      </w:pPr>
      <w:r>
        <w:rPr>
          <w:rFonts w:hint="eastAsia"/>
          <w:color w:val="000000"/>
          <w:highlight w:val="none"/>
        </w:rPr>
        <w:t>经过全面研究</w:t>
      </w:r>
      <w:r>
        <w:rPr>
          <w:rFonts w:hint="eastAsia"/>
          <w:color w:val="000000"/>
          <w:highlight w:val="none"/>
          <w:lang w:eastAsia="zh-CN"/>
        </w:rPr>
        <w:t>，</w:t>
      </w:r>
      <w:r>
        <w:rPr>
          <w:rFonts w:hint="eastAsia"/>
          <w:color w:val="000000"/>
          <w:highlight w:val="none"/>
        </w:rPr>
        <w:t>清楚而严密地描述所需条件和程序</w:t>
      </w:r>
      <w:r>
        <w:rPr>
          <w:rFonts w:hint="eastAsia"/>
          <w:color w:val="000000"/>
          <w:highlight w:val="none"/>
          <w:lang w:eastAsia="zh-CN"/>
        </w:rPr>
        <w:t>，</w:t>
      </w:r>
      <w:r>
        <w:rPr>
          <w:rFonts w:hint="eastAsia"/>
          <w:color w:val="000000"/>
          <w:highlight w:val="none"/>
        </w:rPr>
        <w:t>用于对目标分析物一种或多种特性值进行测量的方法</w:t>
      </w:r>
      <w:r>
        <w:rPr>
          <w:rFonts w:hint="eastAsia"/>
          <w:color w:val="000000"/>
          <w:highlight w:val="none"/>
          <w:lang w:eastAsia="zh-CN"/>
        </w:rPr>
        <w:t>。</w:t>
      </w:r>
      <w:r>
        <w:rPr>
          <w:rFonts w:hint="eastAsia"/>
          <w:color w:val="000000"/>
          <w:highlight w:val="none"/>
        </w:rPr>
        <w:t>该方法已经证明具有与预期用途相称的准确度及其他性能</w:t>
      </w:r>
      <w:r>
        <w:rPr>
          <w:rFonts w:hint="eastAsia"/>
          <w:color w:val="000000"/>
          <w:highlight w:val="none"/>
          <w:lang w:eastAsia="zh-CN"/>
        </w:rPr>
        <w:t>，</w:t>
      </w:r>
      <w:r>
        <w:rPr>
          <w:rFonts w:hint="eastAsia"/>
          <w:color w:val="000000"/>
          <w:highlight w:val="none"/>
        </w:rPr>
        <w:t>参考方法可以用来评价对同一测量过程所使用的其他方法。</w:t>
      </w:r>
    </w:p>
    <w:p w14:paraId="405A9FE4">
      <w:pPr>
        <w:pStyle w:val="71"/>
        <w:rPr>
          <w:rFonts w:hint="eastAsia"/>
          <w:color w:val="000000"/>
          <w:highlight w:val="none"/>
        </w:rPr>
      </w:pPr>
      <w:bookmarkStart w:id="74" w:name="_Toc56503716"/>
      <w:bookmarkEnd w:id="74"/>
      <w:bookmarkStart w:id="75" w:name="_Toc57127138"/>
      <w:bookmarkEnd w:id="75"/>
      <w:bookmarkStart w:id="76" w:name="_Toc38036232"/>
      <w:bookmarkStart w:id="77" w:name="_Toc38036389"/>
    </w:p>
    <w:p w14:paraId="632F6805">
      <w:pPr>
        <w:pStyle w:val="71"/>
        <w:numPr>
          <w:ilvl w:val="0"/>
          <w:numId w:val="0"/>
        </w:numPr>
        <w:ind w:firstLine="420" w:firstLineChars="200"/>
        <w:rPr>
          <w:rFonts w:hint="eastAsia"/>
          <w:color w:val="000000"/>
          <w:highlight w:val="none"/>
        </w:rPr>
      </w:pPr>
      <w:bookmarkStart w:id="78" w:name="_Toc56503717"/>
      <w:bookmarkStart w:id="79" w:name="_Toc57127139"/>
      <w:r>
        <w:rPr>
          <w:rFonts w:hint="eastAsia"/>
          <w:color w:val="000000"/>
          <w:highlight w:val="none"/>
        </w:rPr>
        <w:t>检</w:t>
      </w:r>
      <w:r>
        <w:rPr>
          <w:rFonts w:hint="eastAsia"/>
          <w:color w:val="000000"/>
          <w:highlight w:val="none"/>
          <w:lang w:eastAsia="zh-CN"/>
        </w:rPr>
        <w:t>出</w:t>
      </w:r>
      <w:r>
        <w:rPr>
          <w:rFonts w:hint="eastAsia"/>
          <w:color w:val="000000"/>
          <w:highlight w:val="none"/>
        </w:rPr>
        <w:t>限</w:t>
      </w:r>
      <w:bookmarkEnd w:id="76"/>
      <w:bookmarkEnd w:id="77"/>
      <w:r>
        <w:rPr>
          <w:rFonts w:hint="eastAsia"/>
          <w:color w:val="000000"/>
          <w:highlight w:val="none"/>
        </w:rPr>
        <w:t xml:space="preserve"> limit of detection</w:t>
      </w:r>
      <w:bookmarkEnd w:id="78"/>
      <w:bookmarkEnd w:id="79"/>
    </w:p>
    <w:p w14:paraId="3FDD67D6">
      <w:pPr>
        <w:pStyle w:val="20"/>
        <w:rPr>
          <w:rFonts w:hint="eastAsia"/>
          <w:color w:val="000000"/>
          <w:highlight w:val="none"/>
        </w:rPr>
      </w:pPr>
      <w:r>
        <w:rPr>
          <w:rFonts w:hint="eastAsia"/>
          <w:color w:val="000000"/>
          <w:highlight w:val="none"/>
          <w:lang w:eastAsia="zh-CN"/>
        </w:rPr>
        <w:t>指</w:t>
      </w:r>
      <w:r>
        <w:rPr>
          <w:rFonts w:hint="eastAsia"/>
          <w:color w:val="000000"/>
          <w:highlight w:val="none"/>
        </w:rPr>
        <w:t>在给定的置信水平上，按照快速检测产品说明书操作，样品中目标分析物能被可靠地与基质干扰区分的最低浓度或含量。</w:t>
      </w:r>
    </w:p>
    <w:p w14:paraId="12A5E5BA">
      <w:pPr>
        <w:pStyle w:val="71"/>
        <w:rPr>
          <w:rFonts w:hint="eastAsia"/>
          <w:color w:val="000000"/>
          <w:highlight w:val="none"/>
        </w:rPr>
      </w:pPr>
      <w:bookmarkStart w:id="80" w:name="_Toc57127140"/>
      <w:bookmarkEnd w:id="80"/>
      <w:bookmarkStart w:id="81" w:name="_Toc56503718"/>
      <w:bookmarkEnd w:id="81"/>
      <w:bookmarkStart w:id="82" w:name="_Toc38036233"/>
      <w:bookmarkStart w:id="83" w:name="_Toc38036390"/>
    </w:p>
    <w:p w14:paraId="70B77086">
      <w:pPr>
        <w:pStyle w:val="71"/>
        <w:numPr>
          <w:ilvl w:val="0"/>
          <w:numId w:val="0"/>
        </w:numPr>
        <w:ind w:firstLine="420" w:firstLineChars="200"/>
        <w:rPr>
          <w:rFonts w:hint="eastAsia"/>
          <w:color w:val="000000"/>
          <w:highlight w:val="none"/>
        </w:rPr>
      </w:pPr>
      <w:bookmarkStart w:id="84" w:name="_Toc57127141"/>
      <w:bookmarkStart w:id="85" w:name="_Toc56503719"/>
      <w:r>
        <w:rPr>
          <w:rFonts w:hint="eastAsia"/>
          <w:color w:val="000000"/>
          <w:highlight w:val="none"/>
        </w:rPr>
        <w:t>灵敏度</w:t>
      </w:r>
      <w:bookmarkEnd w:id="82"/>
      <w:bookmarkEnd w:id="83"/>
      <w:r>
        <w:rPr>
          <w:rFonts w:hint="eastAsia"/>
          <w:color w:val="000000"/>
          <w:highlight w:val="none"/>
        </w:rPr>
        <w:t xml:space="preserve"> sensitivity</w:t>
      </w:r>
      <w:bookmarkEnd w:id="84"/>
      <w:bookmarkEnd w:id="85"/>
    </w:p>
    <w:p w14:paraId="6366F791">
      <w:pPr>
        <w:pStyle w:val="20"/>
        <w:rPr>
          <w:rFonts w:hint="eastAsia"/>
          <w:color w:val="000000"/>
          <w:highlight w:val="none"/>
        </w:rPr>
      </w:pPr>
      <w:r>
        <w:rPr>
          <w:rFonts w:hint="eastAsia"/>
          <w:color w:val="000000"/>
          <w:highlight w:val="none"/>
        </w:rPr>
        <w:t>指方法在实验条件下达到的实际检出限时，检出阳性结果的阳性样品数占总阳性样品数的百分比。</w:t>
      </w:r>
    </w:p>
    <w:p w14:paraId="7138E45D">
      <w:pPr>
        <w:pStyle w:val="71"/>
        <w:rPr>
          <w:rFonts w:hint="eastAsia"/>
          <w:color w:val="000000"/>
          <w:highlight w:val="none"/>
        </w:rPr>
      </w:pPr>
      <w:bookmarkStart w:id="86" w:name="_Toc57127142"/>
      <w:bookmarkEnd w:id="86"/>
      <w:bookmarkStart w:id="87" w:name="_Toc56503720"/>
      <w:bookmarkEnd w:id="87"/>
      <w:bookmarkStart w:id="88" w:name="_Toc38036234"/>
      <w:bookmarkStart w:id="89" w:name="_Toc38036391"/>
    </w:p>
    <w:p w14:paraId="199F2E83">
      <w:pPr>
        <w:pStyle w:val="71"/>
        <w:numPr>
          <w:ilvl w:val="0"/>
          <w:numId w:val="0"/>
        </w:numPr>
        <w:ind w:firstLine="420" w:firstLineChars="200"/>
        <w:rPr>
          <w:rFonts w:hint="eastAsia"/>
          <w:color w:val="000000"/>
          <w:highlight w:val="none"/>
        </w:rPr>
      </w:pPr>
      <w:bookmarkStart w:id="90" w:name="_Toc57127143"/>
      <w:bookmarkStart w:id="91" w:name="_Toc56503721"/>
      <w:r>
        <w:rPr>
          <w:rFonts w:hint="eastAsia"/>
          <w:color w:val="000000"/>
          <w:highlight w:val="none"/>
        </w:rPr>
        <w:t>特异性</w:t>
      </w:r>
      <w:bookmarkEnd w:id="88"/>
      <w:bookmarkEnd w:id="89"/>
      <w:r>
        <w:rPr>
          <w:rFonts w:hint="eastAsia"/>
          <w:color w:val="000000"/>
          <w:highlight w:val="none"/>
        </w:rPr>
        <w:t xml:space="preserve"> specificity</w:t>
      </w:r>
      <w:bookmarkEnd w:id="90"/>
      <w:bookmarkEnd w:id="91"/>
    </w:p>
    <w:p w14:paraId="2AA8CC51">
      <w:pPr>
        <w:pStyle w:val="20"/>
        <w:rPr>
          <w:rFonts w:hint="eastAsia"/>
          <w:color w:val="000000"/>
          <w:highlight w:val="none"/>
        </w:rPr>
      </w:pPr>
      <w:r>
        <w:rPr>
          <w:rFonts w:hint="eastAsia"/>
          <w:color w:val="000000"/>
          <w:highlight w:val="none"/>
        </w:rPr>
        <w:t>指方法在实验条件下达到的实际检出限时，</w:t>
      </w:r>
      <w:r>
        <w:rPr>
          <w:rFonts w:hint="eastAsia"/>
          <w:color w:val="000000"/>
          <w:highlight w:val="none"/>
          <w:lang w:eastAsia="zh-CN"/>
        </w:rPr>
        <w:t>检出</w:t>
      </w:r>
      <w:r>
        <w:rPr>
          <w:rFonts w:hint="eastAsia"/>
          <w:color w:val="000000"/>
          <w:highlight w:val="none"/>
        </w:rPr>
        <w:t>阴性结果</w:t>
      </w:r>
      <w:r>
        <w:rPr>
          <w:rFonts w:hint="eastAsia"/>
          <w:color w:val="000000"/>
          <w:highlight w:val="none"/>
          <w:lang w:eastAsia="zh-CN"/>
        </w:rPr>
        <w:t>的阴性样品数</w:t>
      </w:r>
      <w:r>
        <w:rPr>
          <w:rFonts w:hint="eastAsia"/>
          <w:color w:val="000000"/>
          <w:highlight w:val="none"/>
        </w:rPr>
        <w:t>占总</w:t>
      </w:r>
      <w:r>
        <w:rPr>
          <w:rFonts w:hint="eastAsia"/>
          <w:color w:val="000000"/>
          <w:highlight w:val="none"/>
          <w:lang w:eastAsia="zh-CN"/>
        </w:rPr>
        <w:t>阴</w:t>
      </w:r>
      <w:r>
        <w:rPr>
          <w:rFonts w:hint="eastAsia"/>
          <w:color w:val="000000"/>
          <w:highlight w:val="none"/>
        </w:rPr>
        <w:t>性样品数的百分比。</w:t>
      </w:r>
    </w:p>
    <w:p w14:paraId="00F08716">
      <w:pPr>
        <w:pStyle w:val="71"/>
        <w:rPr>
          <w:rFonts w:hint="eastAsia"/>
          <w:color w:val="000000"/>
          <w:highlight w:val="none"/>
        </w:rPr>
      </w:pPr>
      <w:bookmarkStart w:id="92" w:name="_Toc56503722"/>
      <w:bookmarkEnd w:id="92"/>
      <w:bookmarkStart w:id="93" w:name="_Toc57127144"/>
      <w:bookmarkEnd w:id="93"/>
      <w:bookmarkStart w:id="94" w:name="_Toc38036392"/>
      <w:bookmarkStart w:id="95" w:name="_Toc38036235"/>
    </w:p>
    <w:p w14:paraId="576761B4">
      <w:pPr>
        <w:pStyle w:val="71"/>
        <w:numPr>
          <w:ilvl w:val="0"/>
          <w:numId w:val="0"/>
        </w:numPr>
        <w:ind w:firstLine="420" w:firstLineChars="200"/>
        <w:rPr>
          <w:rFonts w:hint="eastAsia"/>
          <w:color w:val="000000"/>
          <w:highlight w:val="none"/>
        </w:rPr>
      </w:pPr>
      <w:bookmarkStart w:id="96" w:name="_Toc56503723"/>
      <w:bookmarkStart w:id="97" w:name="_Toc57127145"/>
      <w:r>
        <w:rPr>
          <w:rFonts w:hint="eastAsia"/>
          <w:color w:val="000000"/>
          <w:highlight w:val="none"/>
        </w:rPr>
        <w:t>假阴性率</w:t>
      </w:r>
      <w:bookmarkEnd w:id="94"/>
      <w:bookmarkEnd w:id="95"/>
      <w:r>
        <w:rPr>
          <w:rFonts w:hint="eastAsia"/>
          <w:color w:val="000000"/>
          <w:highlight w:val="none"/>
        </w:rPr>
        <w:t xml:space="preserve"> false negative rate</w:t>
      </w:r>
      <w:bookmarkEnd w:id="96"/>
      <w:bookmarkEnd w:id="97"/>
    </w:p>
    <w:p w14:paraId="2BBEC5DE">
      <w:pPr>
        <w:pStyle w:val="20"/>
        <w:rPr>
          <w:rFonts w:hint="eastAsia"/>
          <w:color w:val="000000"/>
          <w:highlight w:val="none"/>
        </w:rPr>
      </w:pPr>
      <w:r>
        <w:rPr>
          <w:rFonts w:hint="eastAsia"/>
          <w:color w:val="000000"/>
          <w:highlight w:val="none"/>
        </w:rPr>
        <w:t>指方法在实验条件下达到的检出限时，阳性样品中检出阴性结果的最大概率(以百分比计)计算结果为方法最大假阴性率的结果。</w:t>
      </w:r>
    </w:p>
    <w:p w14:paraId="2D162213">
      <w:pPr>
        <w:pStyle w:val="71"/>
        <w:rPr>
          <w:rFonts w:hint="eastAsia"/>
          <w:color w:val="000000"/>
          <w:highlight w:val="none"/>
        </w:rPr>
      </w:pPr>
      <w:bookmarkStart w:id="98" w:name="_Toc56503724"/>
      <w:bookmarkEnd w:id="98"/>
      <w:bookmarkStart w:id="99" w:name="_Toc57127146"/>
      <w:bookmarkEnd w:id="99"/>
      <w:bookmarkStart w:id="100" w:name="_Toc38036236"/>
      <w:bookmarkStart w:id="101" w:name="_Toc38036393"/>
    </w:p>
    <w:p w14:paraId="4541A729">
      <w:pPr>
        <w:pStyle w:val="71"/>
        <w:numPr>
          <w:ilvl w:val="0"/>
          <w:numId w:val="0"/>
        </w:numPr>
        <w:ind w:firstLine="420" w:firstLineChars="200"/>
        <w:rPr>
          <w:rFonts w:hint="eastAsia"/>
          <w:color w:val="000000"/>
          <w:highlight w:val="none"/>
        </w:rPr>
      </w:pPr>
      <w:bookmarkStart w:id="102" w:name="_Toc56503725"/>
      <w:bookmarkStart w:id="103" w:name="_Toc57127147"/>
      <w:r>
        <w:rPr>
          <w:rFonts w:hint="eastAsia"/>
          <w:color w:val="000000"/>
          <w:highlight w:val="none"/>
        </w:rPr>
        <w:t>假阳性率</w:t>
      </w:r>
      <w:bookmarkEnd w:id="100"/>
      <w:bookmarkEnd w:id="101"/>
      <w:r>
        <w:rPr>
          <w:rFonts w:hint="eastAsia"/>
          <w:color w:val="000000"/>
          <w:highlight w:val="none"/>
        </w:rPr>
        <w:t>false positive rate</w:t>
      </w:r>
      <w:bookmarkEnd w:id="102"/>
      <w:bookmarkEnd w:id="103"/>
    </w:p>
    <w:p w14:paraId="4F4831AF">
      <w:pPr>
        <w:pStyle w:val="20"/>
        <w:rPr>
          <w:rFonts w:hint="eastAsia"/>
          <w:color w:val="000000"/>
          <w:highlight w:val="none"/>
        </w:rPr>
      </w:pPr>
      <w:r>
        <w:rPr>
          <w:rFonts w:hint="eastAsia"/>
          <w:color w:val="000000"/>
          <w:highlight w:val="none"/>
        </w:rPr>
        <w:t>指方法在实验条件下达到的检出限时，阴性样品中检出阳性结果的最大概率(以百分比计</w:t>
      </w:r>
      <w:r>
        <w:rPr>
          <w:rFonts w:hint="eastAsia"/>
          <w:color w:val="000000"/>
          <w:highlight w:val="none"/>
          <w:lang w:eastAsia="zh-CN"/>
        </w:rPr>
        <w:t>），</w:t>
      </w:r>
      <w:r>
        <w:rPr>
          <w:rFonts w:hint="eastAsia"/>
          <w:color w:val="000000"/>
          <w:highlight w:val="none"/>
        </w:rPr>
        <w:t>计算结果为方法最大假阳性率的结果。</w:t>
      </w:r>
    </w:p>
    <w:p w14:paraId="76C2D458">
      <w:pPr>
        <w:pStyle w:val="62"/>
        <w:rPr>
          <w:rFonts w:hint="eastAsia"/>
          <w:color w:val="000000"/>
          <w:highlight w:val="none"/>
        </w:rPr>
      </w:pPr>
      <w:bookmarkStart w:id="104" w:name="_Toc56503726"/>
      <w:bookmarkStart w:id="105" w:name="_Toc57127148"/>
      <w:bookmarkStart w:id="106" w:name="_Toc38036237"/>
      <w:bookmarkStart w:id="107" w:name="_Toc56504128"/>
      <w:bookmarkStart w:id="108" w:name="_Toc38036394"/>
      <w:bookmarkStart w:id="109" w:name="_Toc57127168"/>
      <w:r>
        <w:rPr>
          <w:rFonts w:hint="eastAsia"/>
          <w:color w:val="000000"/>
          <w:highlight w:val="none"/>
        </w:rPr>
        <w:t>通用要求</w:t>
      </w:r>
      <w:bookmarkEnd w:id="104"/>
      <w:bookmarkEnd w:id="105"/>
      <w:bookmarkEnd w:id="106"/>
      <w:bookmarkEnd w:id="107"/>
      <w:bookmarkEnd w:id="108"/>
      <w:bookmarkEnd w:id="109"/>
    </w:p>
    <w:p w14:paraId="38C15CEF">
      <w:pPr>
        <w:pStyle w:val="71"/>
        <w:rPr>
          <w:rFonts w:hint="eastAsia"/>
          <w:color w:val="auto"/>
          <w:highlight w:val="none"/>
        </w:rPr>
      </w:pPr>
      <w:bookmarkStart w:id="110" w:name="_Toc38036238"/>
      <w:bookmarkStart w:id="111" w:name="_Toc38036395"/>
      <w:bookmarkStart w:id="112" w:name="_Toc57127149"/>
      <w:bookmarkStart w:id="113" w:name="_Toc56503727"/>
      <w:r>
        <w:rPr>
          <w:rFonts w:hint="eastAsia"/>
          <w:color w:val="auto"/>
          <w:highlight w:val="none"/>
          <w:lang w:eastAsia="zh-CN"/>
        </w:rPr>
        <w:t>评价</w:t>
      </w:r>
      <w:r>
        <w:rPr>
          <w:rFonts w:hint="eastAsia"/>
          <w:color w:val="auto"/>
          <w:highlight w:val="none"/>
        </w:rPr>
        <w:t>机构要求</w:t>
      </w:r>
      <w:bookmarkEnd w:id="110"/>
      <w:bookmarkEnd w:id="111"/>
      <w:bookmarkEnd w:id="112"/>
      <w:bookmarkEnd w:id="113"/>
    </w:p>
    <w:p w14:paraId="712C3973">
      <w:pPr>
        <w:pStyle w:val="20"/>
        <w:rPr>
          <w:rFonts w:hint="eastAsia"/>
          <w:color w:val="auto"/>
          <w:highlight w:val="none"/>
        </w:rPr>
      </w:pPr>
      <w:r>
        <w:rPr>
          <w:rFonts w:hint="eastAsia"/>
          <w:color w:val="auto"/>
          <w:highlight w:val="none"/>
          <w:lang w:eastAsia="zh-CN"/>
        </w:rPr>
        <w:t>评价</w:t>
      </w:r>
      <w:r>
        <w:rPr>
          <w:rFonts w:hint="eastAsia"/>
          <w:color w:val="auto"/>
          <w:highlight w:val="none"/>
        </w:rPr>
        <w:t>机构应</w:t>
      </w:r>
      <w:r>
        <w:rPr>
          <w:rFonts w:hint="eastAsia"/>
          <w:color w:val="auto"/>
          <w:highlight w:val="none"/>
          <w:lang w:eastAsia="zh-CN"/>
        </w:rPr>
        <w:t>同时</w:t>
      </w:r>
      <w:r>
        <w:rPr>
          <w:rFonts w:hint="eastAsia"/>
          <w:color w:val="auto"/>
          <w:highlight w:val="none"/>
        </w:rPr>
        <w:t>具</w:t>
      </w:r>
      <w:r>
        <w:rPr>
          <w:rFonts w:hint="eastAsia"/>
          <w:color w:val="auto"/>
          <w:highlight w:val="none"/>
          <w:lang w:eastAsia="zh-CN"/>
        </w:rPr>
        <w:t>备的条件：</w:t>
      </w:r>
    </w:p>
    <w:p w14:paraId="6D110106">
      <w:pPr>
        <w:pStyle w:val="20"/>
        <w:rPr>
          <w:rFonts w:hint="default" w:eastAsia="宋体"/>
          <w:color w:val="auto"/>
          <w:highlight w:val="none"/>
          <w:lang w:val="en-US" w:eastAsia="zh-CN"/>
        </w:rPr>
      </w:pPr>
      <w:r>
        <w:rPr>
          <w:rFonts w:hint="eastAsia"/>
          <w:color w:val="auto"/>
          <w:highlight w:val="none"/>
          <w:lang w:val="en-US" w:eastAsia="zh-CN"/>
        </w:rPr>
        <w:t>a）拥有与食品快检产品评价工作相匹配的人员、设备设施及环境条件，并保证质量管理体系有效运行；</w:t>
      </w:r>
    </w:p>
    <w:p w14:paraId="56F77513">
      <w:pPr>
        <w:pStyle w:val="20"/>
        <w:rPr>
          <w:rFonts w:hint="eastAsia" w:eastAsia="宋体"/>
          <w:color w:val="auto"/>
          <w:highlight w:val="none"/>
          <w:lang w:val="en-US" w:eastAsia="zh-CN"/>
        </w:rPr>
      </w:pPr>
      <w:r>
        <w:rPr>
          <w:rFonts w:hint="eastAsia"/>
          <w:color w:val="auto"/>
          <w:highlight w:val="none"/>
          <w:lang w:val="en-US" w:eastAsia="zh-CN"/>
        </w:rPr>
        <w:t>b）具备食品中污染物、农药残留、兽药残留、非法添加物质等实验室检验检测资质，检验检测资质项目范围覆盖快检产品检测项目；</w:t>
      </w:r>
    </w:p>
    <w:p w14:paraId="2381658F">
      <w:pPr>
        <w:pStyle w:val="20"/>
        <w:rPr>
          <w:rFonts w:hint="eastAsia" w:eastAsia="宋体"/>
          <w:color w:val="auto"/>
          <w:highlight w:val="none"/>
          <w:lang w:val="en-US" w:eastAsia="zh-CN"/>
        </w:rPr>
      </w:pPr>
      <w:r>
        <w:rPr>
          <w:rFonts w:hint="eastAsia"/>
          <w:color w:val="auto"/>
          <w:highlight w:val="none"/>
          <w:lang w:val="en-US" w:eastAsia="zh-CN"/>
        </w:rPr>
        <w:t>c）从事食品快检方法研制、使用、验证或评价活动两年以上；</w:t>
      </w:r>
    </w:p>
    <w:p w14:paraId="4102B3B9">
      <w:pPr>
        <w:pStyle w:val="20"/>
        <w:rPr>
          <w:rFonts w:hint="default" w:eastAsia="宋体"/>
          <w:color w:val="auto"/>
          <w:highlight w:val="none"/>
          <w:lang w:val="en-US" w:eastAsia="zh-CN"/>
        </w:rPr>
      </w:pPr>
      <w:r>
        <w:rPr>
          <w:rFonts w:hint="eastAsia"/>
          <w:color w:val="auto"/>
          <w:highlight w:val="none"/>
          <w:lang w:val="en-US" w:eastAsia="zh-CN"/>
        </w:rPr>
        <w:t>d)在相关食品检验领域具有国内领先水平，近五年参加国际或权威机构组织的实验室间比对活动1次以上，并获得满意结果；</w:t>
      </w:r>
    </w:p>
    <w:p w14:paraId="3A1DD2AA">
      <w:pPr>
        <w:pStyle w:val="20"/>
        <w:rPr>
          <w:rFonts w:hint="eastAsia"/>
          <w:color w:val="auto"/>
          <w:highlight w:val="none"/>
          <w:lang w:val="en-US" w:eastAsia="zh-CN"/>
        </w:rPr>
      </w:pPr>
      <w:r>
        <w:rPr>
          <w:rFonts w:hint="eastAsia"/>
          <w:color w:val="auto"/>
          <w:highlight w:val="none"/>
          <w:lang w:val="en-US" w:eastAsia="zh-CN"/>
        </w:rPr>
        <w:t>e）近三年无违法违规行为。</w:t>
      </w:r>
    </w:p>
    <w:p w14:paraId="7DCA61D7">
      <w:pPr>
        <w:pStyle w:val="71"/>
        <w:rPr>
          <w:rFonts w:hint="eastAsia"/>
          <w:color w:val="auto"/>
        </w:rPr>
      </w:pPr>
      <w:r>
        <w:rPr>
          <w:rFonts w:hint="eastAsia"/>
          <w:color w:val="auto"/>
          <w:lang w:eastAsia="zh-CN"/>
        </w:rPr>
        <w:t>评价受理要求</w:t>
      </w:r>
    </w:p>
    <w:p w14:paraId="76227CB0">
      <w:pPr>
        <w:pStyle w:val="20"/>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color w:val="auto"/>
          <w:highlight w:val="none"/>
          <w:lang w:val="en-US" w:eastAsia="zh-CN"/>
        </w:rPr>
      </w:pPr>
      <w:r>
        <w:rPr>
          <w:rFonts w:hint="eastAsia" w:ascii="黑体" w:eastAsia="黑体"/>
          <w:color w:val="auto"/>
          <w:szCs w:val="21"/>
        </w:rPr>
        <w:t>4</w:t>
      </w:r>
      <w:r>
        <w:rPr>
          <w:rFonts w:ascii="黑体" w:eastAsia="黑体"/>
          <w:color w:val="auto"/>
          <w:szCs w:val="21"/>
        </w:rPr>
        <w:t xml:space="preserve">.2.1 </w:t>
      </w:r>
      <w:r>
        <w:rPr>
          <w:rFonts w:hint="eastAsia" w:hAnsi="Times New Roman" w:eastAsia="宋体" w:cs="Times New Roman"/>
          <w:color w:val="auto"/>
          <w:lang w:val="zh-CN" w:eastAsia="zh-CN"/>
        </w:rPr>
        <w:t>食品快检产品生产或代理企业自愿向评价机构提出食品快检产品评价书面申请。生产企业应具有固定的生产场所和良好的质量管理体系，代理企业申请产品评价应取得相关产品生产企业授权。如发现</w:t>
      </w:r>
      <w:r>
        <w:rPr>
          <w:rFonts w:hint="eastAsia" w:hAnsi="Times New Roman" w:eastAsia="宋体" w:cs="Times New Roman"/>
          <w:color w:val="auto"/>
          <w:highlight w:val="none"/>
          <w:lang w:val="zh-CN" w:eastAsia="zh-CN"/>
        </w:rPr>
        <w:t>不符合质量管理体系要求以及生产销售假冒产品等情况的，应终止评价。</w:t>
      </w:r>
    </w:p>
    <w:p w14:paraId="05CC8C41">
      <w:pPr>
        <w:pStyle w:val="20"/>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ascii="黑体" w:eastAsia="黑体"/>
          <w:color w:val="auto"/>
          <w:szCs w:val="21"/>
          <w:highlight w:val="none"/>
        </w:rPr>
      </w:pPr>
      <w:r>
        <w:rPr>
          <w:rFonts w:hint="eastAsia" w:ascii="黑体" w:eastAsia="黑体"/>
          <w:color w:val="auto"/>
          <w:szCs w:val="21"/>
          <w:highlight w:val="none"/>
        </w:rPr>
        <w:t>4</w:t>
      </w:r>
      <w:r>
        <w:rPr>
          <w:rFonts w:ascii="黑体" w:eastAsia="黑体"/>
          <w:color w:val="auto"/>
          <w:szCs w:val="21"/>
          <w:highlight w:val="none"/>
        </w:rPr>
        <w:t>.2.</w:t>
      </w:r>
      <w:r>
        <w:rPr>
          <w:rFonts w:hint="eastAsia" w:ascii="黑体" w:eastAsia="黑体"/>
          <w:color w:val="auto"/>
          <w:szCs w:val="21"/>
          <w:highlight w:val="none"/>
          <w:lang w:val="en-US" w:eastAsia="zh-CN"/>
        </w:rPr>
        <w:t>2</w:t>
      </w:r>
      <w:r>
        <w:rPr>
          <w:rFonts w:ascii="黑体" w:eastAsia="黑体"/>
          <w:color w:val="auto"/>
          <w:szCs w:val="21"/>
          <w:highlight w:val="none"/>
        </w:rPr>
        <w:t xml:space="preserve"> </w:t>
      </w:r>
      <w:r>
        <w:rPr>
          <w:rFonts w:hint="eastAsia" w:hAnsi="Times New Roman" w:eastAsia="宋体" w:cs="Times New Roman"/>
          <w:color w:val="auto"/>
          <w:highlight w:val="none"/>
          <w:lang w:val="zh-CN" w:eastAsia="zh-CN"/>
        </w:rPr>
        <w:t>食品安全监管机构或食品快检产品采购机构可向评价机构提出食品快检产品评价书面申请。食品快检产品采购机构申请产品评价应取得相关产品生产企业授权。</w:t>
      </w:r>
    </w:p>
    <w:p w14:paraId="05198F67">
      <w:pPr>
        <w:pStyle w:val="20"/>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color w:val="auto"/>
          <w:highlight w:val="none"/>
          <w:lang w:val="en-US" w:eastAsia="zh-CN"/>
        </w:rPr>
      </w:pPr>
      <w:r>
        <w:rPr>
          <w:rFonts w:hint="eastAsia" w:ascii="黑体" w:eastAsia="黑体"/>
          <w:color w:val="auto"/>
          <w:szCs w:val="21"/>
          <w:highlight w:val="none"/>
        </w:rPr>
        <w:t>4</w:t>
      </w:r>
      <w:r>
        <w:rPr>
          <w:rFonts w:ascii="黑体" w:eastAsia="黑体"/>
          <w:color w:val="auto"/>
          <w:szCs w:val="21"/>
          <w:highlight w:val="none"/>
        </w:rPr>
        <w:t>.2.</w:t>
      </w:r>
      <w:r>
        <w:rPr>
          <w:rFonts w:hint="eastAsia" w:ascii="黑体" w:eastAsia="黑体"/>
          <w:color w:val="auto"/>
          <w:szCs w:val="21"/>
          <w:highlight w:val="none"/>
          <w:lang w:val="en-US" w:eastAsia="zh-CN"/>
        </w:rPr>
        <w:t>3</w:t>
      </w:r>
      <w:r>
        <w:rPr>
          <w:rFonts w:ascii="黑体" w:eastAsia="黑体"/>
          <w:color w:val="auto"/>
          <w:szCs w:val="21"/>
          <w:highlight w:val="none"/>
        </w:rPr>
        <w:t xml:space="preserve"> </w:t>
      </w:r>
      <w:r>
        <w:rPr>
          <w:rFonts w:hint="eastAsia" w:hAnsi="Times New Roman" w:eastAsia="宋体" w:cs="Times New Roman"/>
          <w:color w:val="auto"/>
          <w:highlight w:val="none"/>
          <w:lang w:val="zh-CN" w:eastAsia="zh-CN"/>
        </w:rPr>
        <w:t>申请食品快检产品评价的机构应向评价机构提交书面申请材料。材料包括但不限于产品技术参数、检验报告、产品说明书及中文标签等。申请机构应当对所提交材料的真实性负责。</w:t>
      </w:r>
    </w:p>
    <w:p w14:paraId="2FE7E816">
      <w:pPr>
        <w:pStyle w:val="20"/>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Times New Roman" w:eastAsia="宋体" w:cs="Times New Roman"/>
          <w:color w:val="auto"/>
          <w:highlight w:val="none"/>
          <w:lang w:val="zh-CN" w:eastAsia="zh-CN"/>
        </w:rPr>
      </w:pPr>
      <w:r>
        <w:rPr>
          <w:rFonts w:hint="eastAsia" w:ascii="黑体" w:eastAsia="黑体"/>
          <w:color w:val="auto"/>
          <w:szCs w:val="21"/>
          <w:highlight w:val="none"/>
        </w:rPr>
        <w:t>4</w:t>
      </w:r>
      <w:r>
        <w:rPr>
          <w:rFonts w:ascii="黑体" w:eastAsia="黑体"/>
          <w:color w:val="auto"/>
          <w:szCs w:val="21"/>
          <w:highlight w:val="none"/>
        </w:rPr>
        <w:t>.2.</w:t>
      </w:r>
      <w:r>
        <w:rPr>
          <w:rFonts w:hint="eastAsia" w:ascii="黑体" w:eastAsia="黑体"/>
          <w:color w:val="auto"/>
          <w:szCs w:val="21"/>
          <w:highlight w:val="none"/>
          <w:lang w:val="en-US" w:eastAsia="zh-CN"/>
        </w:rPr>
        <w:t>4</w:t>
      </w:r>
      <w:r>
        <w:rPr>
          <w:rFonts w:ascii="黑体" w:eastAsia="黑体"/>
          <w:color w:val="auto"/>
          <w:szCs w:val="21"/>
          <w:highlight w:val="none"/>
        </w:rPr>
        <w:t xml:space="preserve"> </w:t>
      </w:r>
      <w:r>
        <w:rPr>
          <w:rFonts w:hint="eastAsia" w:hAnsi="Times New Roman" w:eastAsia="宋体" w:cs="Times New Roman"/>
          <w:color w:val="auto"/>
          <w:highlight w:val="none"/>
          <w:lang w:val="zh-CN" w:eastAsia="zh-CN"/>
        </w:rPr>
        <w:t>评价机构对提交的申请材料进行初审。评价机构应在开展评价工作前，与通过材料初审的食品快检产品评价申请机构签署技术服务合同，然后评价机构开展评价。</w:t>
      </w:r>
    </w:p>
    <w:p w14:paraId="1E33B7CD">
      <w:pPr>
        <w:pStyle w:val="71"/>
        <w:rPr>
          <w:rFonts w:hint="eastAsia"/>
          <w:color w:val="auto"/>
          <w:highlight w:val="none"/>
        </w:rPr>
      </w:pPr>
      <w:r>
        <w:rPr>
          <w:rFonts w:hint="eastAsia"/>
          <w:color w:val="auto"/>
          <w:highlight w:val="none"/>
          <w:lang w:eastAsia="zh-CN"/>
        </w:rPr>
        <w:t>评价工作要求</w:t>
      </w:r>
    </w:p>
    <w:p w14:paraId="4F7B471F">
      <w:pPr>
        <w:pStyle w:val="20"/>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color w:val="auto"/>
          <w:highlight w:val="none"/>
          <w:lang w:val="en-US" w:eastAsia="zh-CN"/>
        </w:rPr>
      </w:pPr>
      <w:r>
        <w:rPr>
          <w:rFonts w:hint="eastAsia" w:ascii="黑体" w:eastAsia="黑体"/>
          <w:color w:val="auto"/>
          <w:szCs w:val="21"/>
          <w:highlight w:val="none"/>
        </w:rPr>
        <w:t>4</w:t>
      </w:r>
      <w:r>
        <w:rPr>
          <w:rFonts w:ascii="黑体" w:eastAsia="黑体"/>
          <w:color w:val="auto"/>
          <w:szCs w:val="21"/>
          <w:highlight w:val="none"/>
        </w:rPr>
        <w:t>.</w:t>
      </w:r>
      <w:r>
        <w:rPr>
          <w:rFonts w:hint="eastAsia" w:ascii="黑体" w:eastAsia="黑体"/>
          <w:color w:val="auto"/>
          <w:szCs w:val="21"/>
          <w:highlight w:val="none"/>
          <w:lang w:val="en-US" w:eastAsia="zh-CN"/>
        </w:rPr>
        <w:t>3</w:t>
      </w:r>
      <w:r>
        <w:rPr>
          <w:rFonts w:ascii="黑体" w:eastAsia="黑体"/>
          <w:color w:val="auto"/>
          <w:szCs w:val="21"/>
          <w:highlight w:val="none"/>
        </w:rPr>
        <w:t xml:space="preserve">.1 </w:t>
      </w:r>
      <w:r>
        <w:rPr>
          <w:rFonts w:hint="eastAsia" w:hAnsi="Times New Roman" w:eastAsia="宋体" w:cs="Times New Roman"/>
          <w:color w:val="auto"/>
          <w:highlight w:val="none"/>
          <w:lang w:val="zh-CN" w:eastAsia="zh-CN"/>
        </w:rPr>
        <w:t>评价机构应根据所评价的食品快检产品制定评价实施方案,方案包括评价目的、评价项目、评价程序等内容。</w:t>
      </w:r>
    </w:p>
    <w:p w14:paraId="5ABA222D">
      <w:pPr>
        <w:pStyle w:val="20"/>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ascii="黑体" w:eastAsia="黑体"/>
          <w:color w:val="auto"/>
          <w:szCs w:val="21"/>
          <w:highlight w:val="none"/>
        </w:rPr>
      </w:pPr>
      <w:r>
        <w:rPr>
          <w:rFonts w:hint="eastAsia" w:ascii="黑体" w:eastAsia="黑体"/>
          <w:color w:val="auto"/>
          <w:szCs w:val="21"/>
          <w:highlight w:val="none"/>
        </w:rPr>
        <w:t>4</w:t>
      </w:r>
      <w:r>
        <w:rPr>
          <w:rFonts w:ascii="黑体" w:eastAsia="黑体"/>
          <w:color w:val="auto"/>
          <w:szCs w:val="21"/>
          <w:highlight w:val="none"/>
        </w:rPr>
        <w:t>.</w:t>
      </w:r>
      <w:r>
        <w:rPr>
          <w:rFonts w:hint="eastAsia" w:ascii="黑体" w:eastAsia="黑体"/>
          <w:color w:val="auto"/>
          <w:szCs w:val="21"/>
          <w:highlight w:val="none"/>
          <w:lang w:val="en-US" w:eastAsia="zh-CN"/>
        </w:rPr>
        <w:t>3</w:t>
      </w:r>
      <w:r>
        <w:rPr>
          <w:rFonts w:ascii="黑体" w:eastAsia="黑体"/>
          <w:color w:val="auto"/>
          <w:szCs w:val="21"/>
          <w:highlight w:val="none"/>
        </w:rPr>
        <w:t>.</w:t>
      </w:r>
      <w:r>
        <w:rPr>
          <w:rFonts w:hint="eastAsia" w:ascii="黑体" w:eastAsia="黑体"/>
          <w:color w:val="auto"/>
          <w:szCs w:val="21"/>
          <w:highlight w:val="none"/>
          <w:lang w:val="en-US" w:eastAsia="zh-CN"/>
        </w:rPr>
        <w:t>2</w:t>
      </w:r>
      <w:r>
        <w:rPr>
          <w:rFonts w:ascii="黑体" w:eastAsia="黑体"/>
          <w:color w:val="auto"/>
          <w:szCs w:val="21"/>
          <w:highlight w:val="none"/>
        </w:rPr>
        <w:t xml:space="preserve"> </w:t>
      </w:r>
      <w:r>
        <w:rPr>
          <w:rFonts w:hint="eastAsia" w:hAnsi="Times New Roman" w:eastAsia="宋体" w:cs="Times New Roman"/>
          <w:color w:val="auto"/>
          <w:highlight w:val="none"/>
          <w:lang w:val="zh-CN" w:eastAsia="zh-CN"/>
        </w:rPr>
        <w:t>评价机构应组织不少于1/3人数的非本单位专家参与，做到程序规范、记录完整、数据真实、过程可追溯，关键实验环节应进行全程录像，确保评价结果的公正、科学、准确。</w:t>
      </w:r>
    </w:p>
    <w:p w14:paraId="47F5A715">
      <w:pPr>
        <w:pStyle w:val="20"/>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color w:val="auto"/>
          <w:highlight w:val="none"/>
          <w:lang w:val="en-US" w:eastAsia="zh-CN"/>
        </w:rPr>
      </w:pPr>
      <w:r>
        <w:rPr>
          <w:rFonts w:hint="eastAsia" w:ascii="黑体" w:eastAsia="黑体"/>
          <w:color w:val="auto"/>
          <w:szCs w:val="21"/>
          <w:highlight w:val="none"/>
        </w:rPr>
        <w:t>4</w:t>
      </w:r>
      <w:r>
        <w:rPr>
          <w:rFonts w:ascii="黑体" w:eastAsia="黑体"/>
          <w:color w:val="auto"/>
          <w:szCs w:val="21"/>
          <w:highlight w:val="none"/>
        </w:rPr>
        <w:t>.</w:t>
      </w:r>
      <w:r>
        <w:rPr>
          <w:rFonts w:hint="eastAsia" w:ascii="黑体" w:eastAsia="黑体"/>
          <w:color w:val="auto"/>
          <w:szCs w:val="21"/>
          <w:highlight w:val="none"/>
          <w:lang w:val="en-US" w:eastAsia="zh-CN"/>
        </w:rPr>
        <w:t>3</w:t>
      </w:r>
      <w:r>
        <w:rPr>
          <w:rFonts w:ascii="黑体" w:eastAsia="黑体"/>
          <w:color w:val="auto"/>
          <w:szCs w:val="21"/>
          <w:highlight w:val="none"/>
        </w:rPr>
        <w:t>.</w:t>
      </w:r>
      <w:r>
        <w:rPr>
          <w:rFonts w:hint="eastAsia" w:ascii="黑体" w:eastAsia="黑体"/>
          <w:color w:val="auto"/>
          <w:szCs w:val="21"/>
          <w:highlight w:val="none"/>
          <w:lang w:val="en-US" w:eastAsia="zh-CN"/>
        </w:rPr>
        <w:t>3</w:t>
      </w:r>
      <w:r>
        <w:rPr>
          <w:rFonts w:ascii="黑体" w:eastAsia="黑体"/>
          <w:color w:val="auto"/>
          <w:szCs w:val="21"/>
          <w:highlight w:val="none"/>
        </w:rPr>
        <w:t xml:space="preserve"> </w:t>
      </w:r>
      <w:r>
        <w:rPr>
          <w:rFonts w:hint="eastAsia" w:hAnsi="Times New Roman" w:eastAsia="宋体" w:cs="Times New Roman"/>
          <w:color w:val="auto"/>
          <w:highlight w:val="none"/>
          <w:lang w:val="zh-CN" w:eastAsia="zh-CN"/>
        </w:rPr>
        <w:t>食品快检产品评价采取盲样测试的方式进行，食品快检产品评价技术要求见“</w:t>
      </w:r>
      <w:r>
        <w:rPr>
          <w:rFonts w:hint="eastAsia" w:hAnsi="Times New Roman" w:eastAsia="宋体" w:cs="Times New Roman"/>
          <w:color w:val="auto"/>
          <w:highlight w:val="none"/>
          <w:lang w:val="en-US" w:eastAsia="zh-CN"/>
        </w:rPr>
        <w:t>5 评价指标</w:t>
      </w:r>
      <w:r>
        <w:rPr>
          <w:rFonts w:hint="eastAsia" w:hAnsi="Times New Roman" w:eastAsia="宋体" w:cs="Times New Roman"/>
          <w:color w:val="auto"/>
          <w:highlight w:val="none"/>
          <w:lang w:val="zh-CN" w:eastAsia="zh-CN"/>
        </w:rPr>
        <w:t>”。</w:t>
      </w:r>
    </w:p>
    <w:p w14:paraId="526A772A">
      <w:pPr>
        <w:pStyle w:val="20"/>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Times New Roman" w:eastAsia="宋体" w:cs="Times New Roman"/>
          <w:color w:val="auto"/>
          <w:highlight w:val="none"/>
          <w:lang w:val="zh-CN" w:eastAsia="zh-CN"/>
        </w:rPr>
      </w:pPr>
      <w:r>
        <w:rPr>
          <w:rFonts w:hint="eastAsia" w:ascii="黑体" w:eastAsia="黑体"/>
          <w:color w:val="auto"/>
          <w:szCs w:val="21"/>
          <w:highlight w:val="none"/>
        </w:rPr>
        <w:t>4</w:t>
      </w:r>
      <w:r>
        <w:rPr>
          <w:rFonts w:ascii="黑体" w:eastAsia="黑体"/>
          <w:color w:val="auto"/>
          <w:szCs w:val="21"/>
          <w:highlight w:val="none"/>
        </w:rPr>
        <w:t>.</w:t>
      </w:r>
      <w:r>
        <w:rPr>
          <w:rFonts w:hint="eastAsia" w:ascii="黑体" w:eastAsia="黑体"/>
          <w:color w:val="auto"/>
          <w:szCs w:val="21"/>
          <w:highlight w:val="none"/>
          <w:lang w:val="en-US" w:eastAsia="zh-CN"/>
        </w:rPr>
        <w:t>3</w:t>
      </w:r>
      <w:r>
        <w:rPr>
          <w:rFonts w:ascii="黑体" w:eastAsia="黑体"/>
          <w:color w:val="auto"/>
          <w:szCs w:val="21"/>
          <w:highlight w:val="none"/>
        </w:rPr>
        <w:t>.</w:t>
      </w:r>
      <w:r>
        <w:rPr>
          <w:rFonts w:hint="eastAsia" w:ascii="黑体" w:eastAsia="黑体"/>
          <w:color w:val="auto"/>
          <w:szCs w:val="21"/>
          <w:highlight w:val="none"/>
          <w:lang w:val="en-US" w:eastAsia="zh-CN"/>
        </w:rPr>
        <w:t>4</w:t>
      </w:r>
      <w:r>
        <w:rPr>
          <w:rFonts w:ascii="黑体" w:eastAsia="黑体"/>
          <w:color w:val="auto"/>
          <w:szCs w:val="21"/>
          <w:highlight w:val="none"/>
        </w:rPr>
        <w:t xml:space="preserve"> </w:t>
      </w:r>
      <w:r>
        <w:rPr>
          <w:rFonts w:hint="eastAsia" w:hAnsi="Times New Roman" w:eastAsia="宋体" w:cs="Times New Roman"/>
          <w:color w:val="auto"/>
          <w:highlight w:val="none"/>
          <w:lang w:val="zh-CN" w:eastAsia="zh-CN"/>
        </w:rPr>
        <w:t>评价机构组织专家对评价结论进行审评,并出具审评意见。</w:t>
      </w:r>
    </w:p>
    <w:p w14:paraId="4C3953EC">
      <w:pPr>
        <w:pStyle w:val="20"/>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Times New Roman" w:eastAsia="宋体" w:cs="Times New Roman"/>
          <w:color w:val="auto"/>
          <w:highlight w:val="none"/>
          <w:lang w:val="zh-CN" w:eastAsia="zh-CN"/>
        </w:rPr>
      </w:pPr>
      <w:r>
        <w:rPr>
          <w:rFonts w:hint="eastAsia" w:ascii="黑体" w:eastAsia="黑体"/>
          <w:color w:val="auto"/>
          <w:szCs w:val="21"/>
          <w:highlight w:val="none"/>
        </w:rPr>
        <w:t>4</w:t>
      </w:r>
      <w:r>
        <w:rPr>
          <w:rFonts w:ascii="黑体" w:eastAsia="黑体"/>
          <w:color w:val="auto"/>
          <w:szCs w:val="21"/>
          <w:highlight w:val="none"/>
        </w:rPr>
        <w:t>.</w:t>
      </w:r>
      <w:r>
        <w:rPr>
          <w:rFonts w:hint="eastAsia" w:ascii="黑体" w:eastAsia="黑体"/>
          <w:color w:val="auto"/>
          <w:szCs w:val="21"/>
          <w:highlight w:val="none"/>
          <w:lang w:val="en-US" w:eastAsia="zh-CN"/>
        </w:rPr>
        <w:t>3</w:t>
      </w:r>
      <w:r>
        <w:rPr>
          <w:rFonts w:ascii="黑体" w:eastAsia="黑体"/>
          <w:color w:val="auto"/>
          <w:szCs w:val="21"/>
          <w:highlight w:val="none"/>
        </w:rPr>
        <w:t>.</w:t>
      </w:r>
      <w:r>
        <w:rPr>
          <w:rFonts w:hint="eastAsia" w:ascii="黑体" w:eastAsia="黑体"/>
          <w:color w:val="auto"/>
          <w:szCs w:val="21"/>
          <w:highlight w:val="none"/>
          <w:lang w:val="en-US" w:eastAsia="zh-CN"/>
        </w:rPr>
        <w:t>5</w:t>
      </w:r>
      <w:r>
        <w:rPr>
          <w:rFonts w:ascii="黑体" w:eastAsia="黑体"/>
          <w:color w:val="auto"/>
          <w:szCs w:val="21"/>
          <w:highlight w:val="none"/>
        </w:rPr>
        <w:t xml:space="preserve"> </w:t>
      </w:r>
      <w:r>
        <w:rPr>
          <w:rFonts w:hint="eastAsia" w:hAnsi="Times New Roman" w:eastAsia="宋体" w:cs="Times New Roman"/>
          <w:color w:val="auto"/>
          <w:highlight w:val="none"/>
          <w:lang w:val="zh-CN" w:eastAsia="zh-CN"/>
        </w:rPr>
        <w:t>评价工作实行评价机构与评价人负责制。评价机构和评价人对出具的食品快检产品评价数据和意见负责。</w:t>
      </w:r>
    </w:p>
    <w:p w14:paraId="0D35AE28">
      <w:pPr>
        <w:pStyle w:val="20"/>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hAnsi="Times New Roman" w:eastAsia="宋体" w:cs="Times New Roman"/>
          <w:color w:val="auto"/>
          <w:highlight w:val="none"/>
          <w:lang w:val="en-US" w:eastAsia="zh-CN"/>
        </w:rPr>
      </w:pPr>
      <w:r>
        <w:rPr>
          <w:rFonts w:hint="eastAsia" w:ascii="黑体" w:eastAsia="黑体"/>
          <w:color w:val="auto"/>
          <w:szCs w:val="21"/>
          <w:highlight w:val="none"/>
        </w:rPr>
        <w:t>4</w:t>
      </w:r>
      <w:r>
        <w:rPr>
          <w:rFonts w:ascii="黑体" w:eastAsia="黑体"/>
          <w:color w:val="auto"/>
          <w:szCs w:val="21"/>
          <w:highlight w:val="none"/>
        </w:rPr>
        <w:t>.</w:t>
      </w:r>
      <w:r>
        <w:rPr>
          <w:rFonts w:hint="eastAsia" w:ascii="黑体" w:eastAsia="黑体"/>
          <w:color w:val="auto"/>
          <w:szCs w:val="21"/>
          <w:highlight w:val="none"/>
          <w:lang w:val="en-US" w:eastAsia="zh-CN"/>
        </w:rPr>
        <w:t>3</w:t>
      </w:r>
      <w:r>
        <w:rPr>
          <w:rFonts w:ascii="黑体" w:eastAsia="黑体"/>
          <w:color w:val="auto"/>
          <w:szCs w:val="21"/>
          <w:highlight w:val="none"/>
        </w:rPr>
        <w:t>.</w:t>
      </w:r>
      <w:r>
        <w:rPr>
          <w:rFonts w:hint="eastAsia" w:ascii="黑体" w:eastAsia="黑体"/>
          <w:color w:val="auto"/>
          <w:szCs w:val="21"/>
          <w:highlight w:val="none"/>
          <w:lang w:val="en-US" w:eastAsia="zh-CN"/>
        </w:rPr>
        <w:t>6</w:t>
      </w:r>
      <w:r>
        <w:rPr>
          <w:rFonts w:ascii="黑体" w:eastAsia="黑体"/>
          <w:color w:val="auto"/>
          <w:szCs w:val="21"/>
          <w:highlight w:val="none"/>
        </w:rPr>
        <w:t xml:space="preserve"> </w:t>
      </w:r>
      <w:r>
        <w:rPr>
          <w:rFonts w:hint="eastAsia" w:hAnsi="Times New Roman" w:eastAsia="宋体" w:cs="Times New Roman"/>
          <w:color w:val="auto"/>
          <w:highlight w:val="none"/>
          <w:lang w:val="zh-CN" w:eastAsia="zh-CN"/>
        </w:rPr>
        <w:t>产品评价申请机构对评价实施过程进行监督。</w:t>
      </w:r>
    </w:p>
    <w:p w14:paraId="42EB0BCB">
      <w:pPr>
        <w:pStyle w:val="71"/>
        <w:rPr>
          <w:rFonts w:hint="eastAsia"/>
          <w:color w:val="auto"/>
          <w:highlight w:val="none"/>
        </w:rPr>
      </w:pPr>
      <w:bookmarkStart w:id="114" w:name="_Toc56503728"/>
      <w:bookmarkStart w:id="115" w:name="_Toc57127150"/>
      <w:bookmarkStart w:id="116" w:name="_Toc38036397"/>
      <w:bookmarkStart w:id="117" w:name="_Toc38036240"/>
      <w:r>
        <w:rPr>
          <w:rFonts w:hint="eastAsia"/>
          <w:color w:val="auto"/>
          <w:highlight w:val="none"/>
        </w:rPr>
        <w:t>盲样要求</w:t>
      </w:r>
      <w:bookmarkEnd w:id="114"/>
      <w:bookmarkEnd w:id="115"/>
      <w:bookmarkEnd w:id="116"/>
      <w:bookmarkEnd w:id="117"/>
    </w:p>
    <w:p w14:paraId="4B1CDDA0">
      <w:pPr>
        <w:pStyle w:val="20"/>
        <w:rPr>
          <w:rFonts w:hAnsi="宋体"/>
          <w:color w:val="auto"/>
          <w:highlight w:val="none"/>
        </w:rPr>
      </w:pPr>
      <w:r>
        <w:rPr>
          <w:rFonts w:hint="eastAsia" w:hAnsi="宋体"/>
          <w:color w:val="auto"/>
          <w:highlight w:val="none"/>
        </w:rPr>
        <w:t>制备盲样的基质、均匀性、稳定性、浓度水平和数量等要求应符合《</w:t>
      </w:r>
      <w:r>
        <w:rPr>
          <w:rFonts w:hint="eastAsia" w:ascii="宋体" w:hAnsi="宋体" w:cs="仿宋_GB2312"/>
          <w:color w:val="auto"/>
          <w:kern w:val="0"/>
          <w:szCs w:val="21"/>
          <w:highlight w:val="none"/>
          <w:lang w:eastAsia="zh-CN"/>
        </w:rPr>
        <w:t>市场监管总局</w:t>
      </w:r>
      <w:r>
        <w:rPr>
          <w:rFonts w:hint="eastAsia" w:ascii="宋体" w:hAnsi="宋体" w:cs="仿宋_GB2312"/>
          <w:color w:val="auto"/>
          <w:kern w:val="0"/>
          <w:szCs w:val="21"/>
          <w:highlight w:val="none"/>
        </w:rPr>
        <w:t>关于规范食品快速检测使用的意见</w:t>
      </w:r>
      <w:r>
        <w:rPr>
          <w:rFonts w:hint="eastAsia" w:hAnsi="宋体"/>
          <w:color w:val="auto"/>
          <w:highlight w:val="none"/>
        </w:rPr>
        <w:t>》（国市监食检规〔2023〕1号）的相关规定。</w:t>
      </w:r>
    </w:p>
    <w:p w14:paraId="17C157D9">
      <w:pPr>
        <w:pStyle w:val="20"/>
        <w:ind w:firstLine="0" w:firstLineChars="0"/>
        <w:rPr>
          <w:color w:val="auto"/>
          <w:highlight w:val="none"/>
        </w:rPr>
      </w:pPr>
      <w:r>
        <w:rPr>
          <w:rFonts w:hint="eastAsia" w:ascii="黑体" w:eastAsia="黑体"/>
          <w:color w:val="auto"/>
          <w:szCs w:val="21"/>
          <w:highlight w:val="none"/>
        </w:rPr>
        <w:t>4</w:t>
      </w:r>
      <w:r>
        <w:rPr>
          <w:rFonts w:ascii="黑体" w:eastAsia="黑体"/>
          <w:color w:val="auto"/>
          <w:szCs w:val="21"/>
          <w:highlight w:val="none"/>
        </w:rPr>
        <w:t>.</w:t>
      </w:r>
      <w:r>
        <w:rPr>
          <w:rFonts w:hint="eastAsia" w:ascii="黑体" w:eastAsia="黑体"/>
          <w:color w:val="auto"/>
          <w:szCs w:val="21"/>
          <w:highlight w:val="none"/>
          <w:lang w:val="en-US" w:eastAsia="zh-CN"/>
        </w:rPr>
        <w:t>4</w:t>
      </w:r>
      <w:r>
        <w:rPr>
          <w:rFonts w:ascii="黑体" w:eastAsia="黑体"/>
          <w:color w:val="auto"/>
          <w:szCs w:val="21"/>
          <w:highlight w:val="none"/>
        </w:rPr>
        <w:t xml:space="preserve">.1 </w:t>
      </w:r>
      <w:r>
        <w:rPr>
          <w:rFonts w:hint="eastAsia" w:hAnsi="Times New Roman" w:eastAsia="宋体" w:cs="Times New Roman"/>
          <w:color w:val="auto"/>
          <w:highlight w:val="none"/>
        </w:rPr>
        <w:t>可使用与盲样基质一致的有证食品标准物质、参考物质作为盲样，</w:t>
      </w:r>
      <w:r>
        <w:rPr>
          <w:rFonts w:hint="eastAsia"/>
          <w:color w:val="auto"/>
          <w:highlight w:val="none"/>
        </w:rPr>
        <w:t>也可以是均匀性和稳定性满足统计学要求且经过参比方法定值的实际样品或基质加标样品。</w:t>
      </w:r>
    </w:p>
    <w:p w14:paraId="63506764">
      <w:pPr>
        <w:pStyle w:val="20"/>
        <w:ind w:firstLine="0" w:firstLineChars="0"/>
        <w:rPr>
          <w:color w:val="auto"/>
          <w:highlight w:val="none"/>
        </w:rPr>
      </w:pPr>
      <w:r>
        <w:rPr>
          <w:rFonts w:hint="eastAsia" w:ascii="黑体" w:eastAsia="黑体"/>
          <w:color w:val="auto"/>
          <w:szCs w:val="21"/>
          <w:highlight w:val="none"/>
        </w:rPr>
        <w:t>4</w:t>
      </w:r>
      <w:r>
        <w:rPr>
          <w:rFonts w:ascii="黑体" w:eastAsia="黑体"/>
          <w:color w:val="auto"/>
          <w:szCs w:val="21"/>
          <w:highlight w:val="none"/>
        </w:rPr>
        <w:t>.</w:t>
      </w:r>
      <w:r>
        <w:rPr>
          <w:rFonts w:hint="eastAsia" w:ascii="黑体" w:eastAsia="黑体"/>
          <w:color w:val="auto"/>
          <w:szCs w:val="21"/>
          <w:highlight w:val="none"/>
          <w:lang w:val="en-US" w:eastAsia="zh-CN"/>
        </w:rPr>
        <w:t>4</w:t>
      </w:r>
      <w:r>
        <w:rPr>
          <w:rFonts w:ascii="黑体" w:eastAsia="黑体"/>
          <w:color w:val="auto"/>
          <w:szCs w:val="21"/>
          <w:highlight w:val="none"/>
        </w:rPr>
        <w:t>.2</w:t>
      </w:r>
      <w:r>
        <w:rPr>
          <w:color w:val="auto"/>
          <w:highlight w:val="none"/>
        </w:rPr>
        <w:t xml:space="preserve"> </w:t>
      </w:r>
      <w:r>
        <w:rPr>
          <w:rFonts w:hint="eastAsia"/>
          <w:color w:val="auto"/>
          <w:highlight w:val="none"/>
        </w:rPr>
        <w:t>自行制备的盲样，其均匀性和稳定性计算参照CNAS</w:t>
      </w:r>
      <w:r>
        <w:rPr>
          <w:color w:val="auto"/>
          <w:highlight w:val="none"/>
        </w:rPr>
        <w:t>-</w:t>
      </w:r>
      <w:r>
        <w:rPr>
          <w:rFonts w:hint="eastAsia"/>
          <w:color w:val="auto"/>
          <w:highlight w:val="none"/>
        </w:rPr>
        <w:t>GL003</w:t>
      </w:r>
      <w:r>
        <w:rPr>
          <w:color w:val="auto"/>
          <w:highlight w:val="none"/>
        </w:rPr>
        <w:t xml:space="preserve"> </w:t>
      </w:r>
      <w:r>
        <w:rPr>
          <w:rFonts w:hint="eastAsia"/>
          <w:color w:val="auto"/>
          <w:highlight w:val="none"/>
        </w:rPr>
        <w:t>《能力验证样品均匀性和稳定性评价指南》。</w:t>
      </w:r>
    </w:p>
    <w:p w14:paraId="0F26F589">
      <w:pPr>
        <w:pStyle w:val="20"/>
        <w:ind w:firstLine="0" w:firstLineChars="0"/>
        <w:rPr>
          <w:color w:val="auto"/>
          <w:highlight w:val="none"/>
        </w:rPr>
      </w:pPr>
      <w:r>
        <w:rPr>
          <w:rFonts w:ascii="黑体" w:eastAsia="黑体"/>
          <w:color w:val="auto"/>
          <w:szCs w:val="21"/>
          <w:highlight w:val="none"/>
        </w:rPr>
        <w:t>4.</w:t>
      </w:r>
      <w:r>
        <w:rPr>
          <w:rFonts w:hint="eastAsia" w:ascii="黑体" w:eastAsia="黑体"/>
          <w:color w:val="auto"/>
          <w:szCs w:val="21"/>
          <w:highlight w:val="none"/>
          <w:lang w:val="en-US" w:eastAsia="zh-CN"/>
        </w:rPr>
        <w:t>4</w:t>
      </w:r>
      <w:r>
        <w:rPr>
          <w:rFonts w:ascii="黑体" w:eastAsia="黑体"/>
          <w:color w:val="auto"/>
          <w:szCs w:val="21"/>
          <w:highlight w:val="none"/>
        </w:rPr>
        <w:t>.3</w:t>
      </w:r>
      <w:r>
        <w:rPr>
          <w:color w:val="auto"/>
          <w:highlight w:val="none"/>
        </w:rPr>
        <w:t xml:space="preserve"> </w:t>
      </w:r>
      <w:r>
        <w:rPr>
          <w:rFonts w:hint="eastAsia"/>
          <w:color w:val="auto"/>
          <w:highlight w:val="none"/>
        </w:rPr>
        <w:t>盲样基质应根据食品快检方法的应用需要，覆盖相应的典型样品基质。</w:t>
      </w:r>
    </w:p>
    <w:p w14:paraId="78BCA858">
      <w:pPr>
        <w:pStyle w:val="20"/>
        <w:ind w:firstLine="0" w:firstLineChars="0"/>
        <w:rPr>
          <w:rFonts w:hint="eastAsia"/>
          <w:color w:val="auto"/>
          <w:highlight w:val="none"/>
        </w:rPr>
      </w:pPr>
      <w:r>
        <w:rPr>
          <w:rFonts w:ascii="黑体" w:eastAsia="黑体"/>
          <w:color w:val="auto"/>
          <w:szCs w:val="21"/>
          <w:highlight w:val="none"/>
        </w:rPr>
        <w:t>4.</w:t>
      </w:r>
      <w:r>
        <w:rPr>
          <w:rFonts w:hint="eastAsia" w:ascii="黑体" w:eastAsia="黑体"/>
          <w:color w:val="auto"/>
          <w:szCs w:val="21"/>
          <w:highlight w:val="none"/>
          <w:lang w:val="en-US" w:eastAsia="zh-CN"/>
        </w:rPr>
        <w:t>4</w:t>
      </w:r>
      <w:r>
        <w:rPr>
          <w:rFonts w:ascii="黑体" w:eastAsia="黑体"/>
          <w:color w:val="auto"/>
          <w:szCs w:val="21"/>
          <w:highlight w:val="none"/>
        </w:rPr>
        <w:t xml:space="preserve">.4 </w:t>
      </w:r>
      <w:r>
        <w:rPr>
          <w:rFonts w:hint="eastAsia"/>
          <w:color w:val="auto"/>
          <w:highlight w:val="none"/>
        </w:rPr>
        <w:t>盲样应随机编号，并随机派发给不同评价人员进行独立测试。</w:t>
      </w:r>
    </w:p>
    <w:p w14:paraId="75849A1F">
      <w:pPr>
        <w:pStyle w:val="71"/>
        <w:rPr>
          <w:rFonts w:hint="eastAsia"/>
          <w:color w:val="auto"/>
          <w:highlight w:val="none"/>
        </w:rPr>
      </w:pPr>
      <w:bookmarkStart w:id="118" w:name="_Toc38036241"/>
      <w:bookmarkStart w:id="119" w:name="_Toc57127151"/>
      <w:bookmarkStart w:id="120" w:name="_Toc38036398"/>
      <w:bookmarkStart w:id="121" w:name="_Toc56503729"/>
      <w:r>
        <w:rPr>
          <w:rFonts w:hint="eastAsia"/>
          <w:color w:val="auto"/>
          <w:highlight w:val="none"/>
        </w:rPr>
        <w:t>试验测试要求</w:t>
      </w:r>
      <w:bookmarkEnd w:id="118"/>
      <w:bookmarkEnd w:id="119"/>
      <w:bookmarkEnd w:id="120"/>
      <w:bookmarkEnd w:id="121"/>
    </w:p>
    <w:p w14:paraId="0C1AF3D8">
      <w:pPr>
        <w:pStyle w:val="20"/>
        <w:rPr>
          <w:rFonts w:hint="eastAsia"/>
          <w:color w:val="auto"/>
          <w:highlight w:val="none"/>
        </w:rPr>
      </w:pPr>
      <w:r>
        <w:rPr>
          <w:rFonts w:hint="eastAsia"/>
          <w:color w:val="auto"/>
          <w:highlight w:val="none"/>
        </w:rPr>
        <w:t>评价试验的环境应符合</w:t>
      </w:r>
      <w:r>
        <w:rPr>
          <w:rFonts w:ascii="Times New Roman"/>
          <w:color w:val="auto"/>
          <w:highlight w:val="none"/>
        </w:rPr>
        <w:t>RB/T 214</w:t>
      </w:r>
      <w:r>
        <w:rPr>
          <w:rFonts w:hint="eastAsia" w:ascii="Times New Roman"/>
          <w:color w:val="auto"/>
          <w:highlight w:val="none"/>
        </w:rPr>
        <w:t>的</w:t>
      </w:r>
      <w:r>
        <w:rPr>
          <w:rFonts w:hint="eastAsia"/>
          <w:color w:val="auto"/>
          <w:highlight w:val="none"/>
        </w:rPr>
        <w:t>相关规定。评价人员应熟悉待评价产品的检测原理、实验方法等相关内容，盲样制备、评价实施等工作应为独立环节，盲样制备人与评价人不得为同一人。</w:t>
      </w:r>
    </w:p>
    <w:p w14:paraId="33FB2698">
      <w:pPr>
        <w:pStyle w:val="62"/>
        <w:rPr>
          <w:rFonts w:hint="eastAsia"/>
          <w:color w:val="auto"/>
          <w:highlight w:val="none"/>
        </w:rPr>
      </w:pPr>
      <w:bookmarkStart w:id="122" w:name="_Toc56504129"/>
      <w:bookmarkStart w:id="123" w:name="_Toc56503730"/>
      <w:bookmarkStart w:id="124" w:name="_Toc38036399"/>
      <w:bookmarkStart w:id="125" w:name="_Toc57127169"/>
      <w:bookmarkStart w:id="126" w:name="_Toc38036242"/>
      <w:bookmarkStart w:id="127" w:name="_Toc57127152"/>
      <w:r>
        <w:rPr>
          <w:rFonts w:hint="eastAsia"/>
          <w:color w:val="auto"/>
          <w:highlight w:val="none"/>
        </w:rPr>
        <w:t>评价指标</w:t>
      </w:r>
      <w:bookmarkEnd w:id="122"/>
      <w:bookmarkEnd w:id="123"/>
      <w:bookmarkEnd w:id="124"/>
      <w:bookmarkEnd w:id="125"/>
      <w:bookmarkEnd w:id="126"/>
      <w:bookmarkEnd w:id="127"/>
    </w:p>
    <w:p w14:paraId="0DE29905">
      <w:pPr>
        <w:pStyle w:val="71"/>
        <w:rPr>
          <w:rFonts w:hint="eastAsia"/>
          <w:color w:val="auto"/>
          <w:highlight w:val="none"/>
        </w:rPr>
      </w:pPr>
      <w:bookmarkStart w:id="128" w:name="_Toc38036400"/>
      <w:bookmarkStart w:id="129" w:name="_Toc38036243"/>
      <w:bookmarkStart w:id="130" w:name="_Toc57127153"/>
      <w:bookmarkStart w:id="131" w:name="_Toc56503731"/>
      <w:r>
        <w:rPr>
          <w:rFonts w:hint="eastAsia"/>
          <w:color w:val="auto"/>
          <w:highlight w:val="none"/>
        </w:rPr>
        <w:t>一般指标</w:t>
      </w:r>
      <w:bookmarkEnd w:id="128"/>
      <w:bookmarkEnd w:id="129"/>
      <w:bookmarkEnd w:id="130"/>
      <w:bookmarkEnd w:id="131"/>
    </w:p>
    <w:p w14:paraId="192BA90D">
      <w:pPr>
        <w:pStyle w:val="20"/>
        <w:rPr>
          <w:rFonts w:hint="eastAsia"/>
          <w:color w:val="auto"/>
          <w:highlight w:val="none"/>
          <w:lang w:eastAsia="zh-CN"/>
        </w:rPr>
      </w:pPr>
      <w:r>
        <w:rPr>
          <w:rFonts w:hint="eastAsia"/>
          <w:color w:val="auto"/>
          <w:highlight w:val="none"/>
        </w:rPr>
        <w:t>试剂盒必须包装完整</w:t>
      </w:r>
      <w:r>
        <w:rPr>
          <w:rFonts w:hint="eastAsia"/>
          <w:color w:val="auto"/>
          <w:highlight w:val="none"/>
          <w:lang w:eastAsia="zh-CN"/>
        </w:rPr>
        <w:t>，</w:t>
      </w:r>
      <w:r>
        <w:rPr>
          <w:rFonts w:hint="eastAsia"/>
          <w:color w:val="auto"/>
          <w:highlight w:val="none"/>
        </w:rPr>
        <w:t>组成各部分外观符合要求</w:t>
      </w:r>
      <w:r>
        <w:rPr>
          <w:rFonts w:hint="eastAsia"/>
          <w:color w:val="auto"/>
          <w:highlight w:val="none"/>
          <w:lang w:eastAsia="zh-CN"/>
        </w:rPr>
        <w:t>；</w:t>
      </w:r>
      <w:r>
        <w:rPr>
          <w:rFonts w:hint="eastAsia"/>
          <w:color w:val="auto"/>
          <w:highlight w:val="none"/>
        </w:rPr>
        <w:t>标签</w:t>
      </w:r>
      <w:r>
        <w:rPr>
          <w:rFonts w:hint="eastAsia"/>
          <w:color w:val="auto"/>
          <w:highlight w:val="none"/>
          <w:lang w:eastAsia="zh-CN"/>
        </w:rPr>
        <w:t>、</w:t>
      </w:r>
      <w:r>
        <w:rPr>
          <w:rFonts w:hint="eastAsia"/>
          <w:color w:val="auto"/>
          <w:highlight w:val="none"/>
        </w:rPr>
        <w:t>标识清晰</w:t>
      </w:r>
      <w:r>
        <w:rPr>
          <w:rFonts w:hint="eastAsia"/>
          <w:color w:val="auto"/>
          <w:highlight w:val="none"/>
          <w:lang w:eastAsia="zh-CN"/>
        </w:rPr>
        <w:t>、</w:t>
      </w:r>
      <w:r>
        <w:rPr>
          <w:rFonts w:hint="eastAsia"/>
          <w:color w:val="auto"/>
          <w:highlight w:val="none"/>
        </w:rPr>
        <w:t>规范</w:t>
      </w:r>
      <w:r>
        <w:rPr>
          <w:rFonts w:hint="eastAsia"/>
          <w:color w:val="auto"/>
          <w:highlight w:val="none"/>
          <w:lang w:eastAsia="zh-CN"/>
        </w:rPr>
        <w:t>；</w:t>
      </w:r>
      <w:r>
        <w:rPr>
          <w:rFonts w:hint="eastAsia"/>
          <w:color w:val="auto"/>
          <w:highlight w:val="none"/>
        </w:rPr>
        <w:t>带有使用说明书或等同指导性文件</w:t>
      </w:r>
      <w:r>
        <w:rPr>
          <w:rFonts w:hint="eastAsia"/>
          <w:color w:val="auto"/>
          <w:highlight w:val="none"/>
          <w:lang w:eastAsia="zh-CN"/>
        </w:rPr>
        <w:t>，</w:t>
      </w:r>
      <w:r>
        <w:rPr>
          <w:rFonts w:hint="eastAsia"/>
          <w:color w:val="auto"/>
          <w:highlight w:val="none"/>
        </w:rPr>
        <w:t>文件内容应包括但不限于以下部分</w:t>
      </w:r>
      <w:r>
        <w:rPr>
          <w:rFonts w:hint="eastAsia"/>
          <w:color w:val="auto"/>
          <w:highlight w:val="none"/>
          <w:lang w:eastAsia="zh-CN"/>
        </w:rPr>
        <w:t>：</w:t>
      </w:r>
    </w:p>
    <w:p w14:paraId="3CA7B9FB">
      <w:pPr>
        <w:pStyle w:val="20"/>
        <w:rPr>
          <w:rFonts w:hint="eastAsia"/>
          <w:color w:val="auto"/>
          <w:highlight w:val="none"/>
          <w:lang w:eastAsia="zh-CN"/>
        </w:rPr>
      </w:pPr>
      <w:r>
        <w:rPr>
          <w:rFonts w:hint="eastAsia"/>
          <w:color w:val="auto"/>
          <w:highlight w:val="none"/>
          <w:lang w:val="en-US" w:eastAsia="zh-CN"/>
        </w:rPr>
        <w:t>a）明确该检测试剂盒的名称及规格、生产批号、产品主要组成成分。</w:t>
      </w:r>
    </w:p>
    <w:p w14:paraId="0F04D8E8">
      <w:pPr>
        <w:pStyle w:val="20"/>
        <w:rPr>
          <w:rFonts w:hint="eastAsia"/>
          <w:color w:val="auto"/>
          <w:highlight w:val="none"/>
          <w:lang w:eastAsia="zh-CN"/>
        </w:rPr>
      </w:pPr>
      <w:r>
        <w:rPr>
          <w:rFonts w:hint="eastAsia"/>
          <w:color w:val="auto"/>
          <w:highlight w:val="none"/>
          <w:lang w:val="en-US" w:eastAsia="zh-CN"/>
        </w:rPr>
        <w:t>b）</w:t>
      </w:r>
      <w:r>
        <w:rPr>
          <w:rFonts w:hint="eastAsia"/>
          <w:color w:val="auto"/>
          <w:highlight w:val="none"/>
          <w:lang w:eastAsia="zh-CN"/>
        </w:rPr>
        <w:t>检测试剂盒的应用范围：包括检测的目标物和适用的基质范围。</w:t>
      </w:r>
    </w:p>
    <w:p w14:paraId="780277F5">
      <w:pPr>
        <w:pStyle w:val="20"/>
        <w:rPr>
          <w:rFonts w:hint="eastAsia"/>
          <w:color w:val="auto"/>
          <w:highlight w:val="none"/>
          <w:lang w:eastAsia="zh-CN"/>
        </w:rPr>
      </w:pPr>
      <w:r>
        <w:rPr>
          <w:rFonts w:hint="eastAsia"/>
          <w:color w:val="auto"/>
          <w:highlight w:val="none"/>
          <w:lang w:val="en-US" w:eastAsia="zh-CN"/>
        </w:rPr>
        <w:t>c）</w:t>
      </w:r>
      <w:r>
        <w:rPr>
          <w:rFonts w:hint="eastAsia"/>
          <w:color w:val="auto"/>
          <w:highlight w:val="none"/>
          <w:lang w:eastAsia="zh-CN"/>
        </w:rPr>
        <w:t>对检测原理、技术参数及结果的表述与解释。</w:t>
      </w:r>
    </w:p>
    <w:p w14:paraId="282EF1B4">
      <w:pPr>
        <w:pStyle w:val="20"/>
        <w:rPr>
          <w:rFonts w:hint="eastAsia"/>
          <w:color w:val="auto"/>
          <w:highlight w:val="none"/>
          <w:lang w:eastAsia="zh-CN"/>
        </w:rPr>
      </w:pPr>
      <w:r>
        <w:rPr>
          <w:rFonts w:hint="eastAsia"/>
          <w:color w:val="auto"/>
          <w:highlight w:val="none"/>
          <w:lang w:val="en-US" w:eastAsia="zh-CN"/>
        </w:rPr>
        <w:t>d）</w:t>
      </w:r>
      <w:r>
        <w:rPr>
          <w:rFonts w:hint="eastAsia"/>
          <w:color w:val="auto"/>
          <w:highlight w:val="none"/>
          <w:lang w:eastAsia="zh-CN"/>
        </w:rPr>
        <w:t>操作指南：明确检测所要求的样本缩分，分析物提取等步骤，包括完整的检测操作程序和质控手段。</w:t>
      </w:r>
    </w:p>
    <w:p w14:paraId="49B0C901">
      <w:pPr>
        <w:pStyle w:val="20"/>
        <w:rPr>
          <w:rFonts w:hint="eastAsia"/>
          <w:color w:val="auto"/>
          <w:highlight w:val="none"/>
          <w:lang w:eastAsia="zh-CN"/>
        </w:rPr>
      </w:pPr>
      <w:r>
        <w:rPr>
          <w:rFonts w:hint="eastAsia"/>
          <w:color w:val="auto"/>
          <w:highlight w:val="none"/>
          <w:lang w:val="en-US" w:eastAsia="zh-CN"/>
        </w:rPr>
        <w:t>e）</w:t>
      </w:r>
      <w:r>
        <w:rPr>
          <w:rFonts w:hint="eastAsia"/>
          <w:color w:val="auto"/>
          <w:highlight w:val="none"/>
          <w:lang w:eastAsia="zh-CN"/>
        </w:rPr>
        <w:t>有效期：明确检测试剂盒的保存时间与保存条件。</w:t>
      </w:r>
    </w:p>
    <w:p w14:paraId="2015BC60">
      <w:pPr>
        <w:pStyle w:val="20"/>
        <w:rPr>
          <w:rFonts w:hint="default"/>
          <w:color w:val="auto"/>
          <w:highlight w:val="none"/>
          <w:lang w:val="en-US" w:eastAsia="zh-CN"/>
        </w:rPr>
      </w:pPr>
      <w:r>
        <w:rPr>
          <w:rFonts w:hint="eastAsia"/>
          <w:color w:val="auto"/>
          <w:highlight w:val="none"/>
          <w:lang w:val="en-US" w:eastAsia="zh-CN"/>
        </w:rPr>
        <w:t>f）</w:t>
      </w:r>
      <w:r>
        <w:rPr>
          <w:rFonts w:hint="eastAsia"/>
          <w:color w:val="auto"/>
          <w:highlight w:val="none"/>
          <w:lang w:eastAsia="zh-CN"/>
        </w:rPr>
        <w:t>环境要求：明确使用检测试剂盒时是否有环境温度与湿度、实验操作场所等的要求。</w:t>
      </w:r>
    </w:p>
    <w:p w14:paraId="43E1DEAF">
      <w:pPr>
        <w:pStyle w:val="20"/>
        <w:rPr>
          <w:rFonts w:hint="eastAsia"/>
          <w:color w:val="auto"/>
          <w:highlight w:val="none"/>
          <w:lang w:eastAsia="zh-CN"/>
        </w:rPr>
      </w:pPr>
      <w:r>
        <w:rPr>
          <w:rFonts w:hint="eastAsia"/>
          <w:color w:val="auto"/>
          <w:highlight w:val="none"/>
          <w:lang w:val="en-US" w:eastAsia="zh-CN"/>
        </w:rPr>
        <w:t>g）</w:t>
      </w:r>
      <w:r>
        <w:rPr>
          <w:rFonts w:hint="eastAsia"/>
          <w:color w:val="auto"/>
          <w:highlight w:val="none"/>
          <w:lang w:eastAsia="zh-CN"/>
        </w:rPr>
        <w:t>交叉反应：明确检测试剂盒对目标分析物的类似特征化合物、代谢产物或可能出现在基质里的非目标化合物的响应情况。</w:t>
      </w:r>
    </w:p>
    <w:p w14:paraId="52043A79">
      <w:pPr>
        <w:pStyle w:val="20"/>
        <w:rPr>
          <w:rFonts w:hint="eastAsia"/>
          <w:color w:val="auto"/>
          <w:highlight w:val="none"/>
          <w:lang w:eastAsia="zh-CN"/>
        </w:rPr>
      </w:pPr>
      <w:r>
        <w:rPr>
          <w:rFonts w:hint="eastAsia"/>
          <w:color w:val="auto"/>
          <w:highlight w:val="none"/>
          <w:lang w:val="en-US" w:eastAsia="zh-CN"/>
        </w:rPr>
        <w:t>h）</w:t>
      </w:r>
      <w:r>
        <w:rPr>
          <w:rFonts w:hint="eastAsia"/>
          <w:color w:val="auto"/>
          <w:highlight w:val="none"/>
          <w:lang w:eastAsia="zh-CN"/>
        </w:rPr>
        <w:t>注意事项：包括安全提示、废弃物处理、可能存在危害的操作步骤。</w:t>
      </w:r>
    </w:p>
    <w:p w14:paraId="31F4EE39">
      <w:pPr>
        <w:pStyle w:val="20"/>
        <w:rPr>
          <w:rFonts w:hint="eastAsia"/>
          <w:color w:val="auto"/>
          <w:highlight w:val="none"/>
          <w:lang w:eastAsia="zh-CN"/>
        </w:rPr>
      </w:pPr>
      <w:r>
        <w:rPr>
          <w:rFonts w:hint="eastAsia"/>
          <w:color w:val="auto"/>
          <w:highlight w:val="none"/>
          <w:lang w:val="en-US" w:eastAsia="zh-CN"/>
        </w:rPr>
        <w:t>i）</w:t>
      </w:r>
      <w:r>
        <w:rPr>
          <w:rFonts w:hint="eastAsia"/>
          <w:color w:val="auto"/>
          <w:highlight w:val="none"/>
          <w:lang w:eastAsia="zh-CN"/>
        </w:rPr>
        <w:t>技术支持：提供用户可获得技术支持的联系人、电话或传真、邮箱地址。</w:t>
      </w:r>
    </w:p>
    <w:p w14:paraId="42774388">
      <w:pPr>
        <w:pStyle w:val="20"/>
        <w:rPr>
          <w:rFonts w:hint="eastAsia"/>
          <w:color w:val="auto"/>
          <w:highlight w:val="none"/>
          <w:lang w:eastAsia="zh-CN"/>
        </w:rPr>
      </w:pPr>
      <w:r>
        <w:rPr>
          <w:rFonts w:hint="eastAsia"/>
          <w:color w:val="auto"/>
          <w:highlight w:val="none"/>
          <w:lang w:val="en-US" w:eastAsia="zh-CN"/>
        </w:rPr>
        <w:t>j）</w:t>
      </w:r>
      <w:r>
        <w:rPr>
          <w:rFonts w:hint="eastAsia"/>
          <w:color w:val="auto"/>
          <w:highlight w:val="none"/>
          <w:lang w:eastAsia="zh-CN"/>
        </w:rPr>
        <w:t>质量合格证书。</w:t>
      </w:r>
    </w:p>
    <w:p w14:paraId="220C596A">
      <w:pPr>
        <w:pStyle w:val="20"/>
        <w:rPr>
          <w:rFonts w:hint="default"/>
          <w:color w:val="auto"/>
          <w:highlight w:val="none"/>
          <w:lang w:val="en-US" w:eastAsia="zh-CN"/>
        </w:rPr>
      </w:pPr>
      <w:r>
        <w:rPr>
          <w:rFonts w:hint="eastAsia"/>
          <w:color w:val="auto"/>
          <w:highlight w:val="none"/>
          <w:lang w:val="en-US" w:eastAsia="zh-CN"/>
        </w:rPr>
        <w:t>k）</w:t>
      </w:r>
      <w:r>
        <w:rPr>
          <w:rFonts w:hint="eastAsia"/>
          <w:color w:val="auto"/>
          <w:highlight w:val="none"/>
          <w:lang w:eastAsia="zh-CN"/>
        </w:rPr>
        <w:t>其它应告知用户的事项。</w:t>
      </w:r>
    </w:p>
    <w:p w14:paraId="531FEE14">
      <w:pPr>
        <w:pStyle w:val="71"/>
        <w:rPr>
          <w:rFonts w:hint="eastAsia"/>
          <w:color w:val="000000"/>
          <w:highlight w:val="none"/>
        </w:rPr>
      </w:pPr>
      <w:bookmarkStart w:id="132" w:name="_Toc38036244"/>
      <w:bookmarkStart w:id="133" w:name="_Toc57127154"/>
      <w:bookmarkStart w:id="134" w:name="_Toc38036401"/>
      <w:bookmarkStart w:id="135" w:name="_Toc56503732"/>
      <w:r>
        <w:rPr>
          <w:rFonts w:hint="eastAsia"/>
          <w:color w:val="000000"/>
          <w:highlight w:val="none"/>
        </w:rPr>
        <w:t>技术指标</w:t>
      </w:r>
      <w:bookmarkEnd w:id="132"/>
      <w:bookmarkEnd w:id="133"/>
      <w:bookmarkEnd w:id="134"/>
      <w:bookmarkEnd w:id="135"/>
    </w:p>
    <w:p w14:paraId="2C78D7F6">
      <w:pPr>
        <w:pStyle w:val="70"/>
        <w:spacing w:before="156" w:after="156"/>
        <w:rPr>
          <w:rFonts w:hint="eastAsia"/>
          <w:color w:val="auto"/>
          <w:highlight w:val="none"/>
        </w:rPr>
      </w:pPr>
      <w:r>
        <w:rPr>
          <w:rFonts w:hint="eastAsia"/>
          <w:color w:val="000000"/>
          <w:highlight w:val="none"/>
        </w:rPr>
        <w:t>检</w:t>
      </w:r>
      <w:r>
        <w:rPr>
          <w:rFonts w:hint="eastAsia"/>
          <w:color w:val="000000"/>
          <w:highlight w:val="none"/>
          <w:lang w:eastAsia="zh-CN"/>
        </w:rPr>
        <w:t>出</w:t>
      </w:r>
      <w:r>
        <w:rPr>
          <w:rFonts w:hint="eastAsia"/>
          <w:color w:val="000000"/>
          <w:highlight w:val="none"/>
        </w:rPr>
        <w:t>限</w:t>
      </w:r>
    </w:p>
    <w:p w14:paraId="2CFF9343">
      <w:pPr>
        <w:pStyle w:val="69"/>
        <w:spacing w:before="156" w:after="156"/>
        <w:ind w:left="0"/>
        <w:rPr>
          <w:rFonts w:hint="eastAsia" w:ascii="宋体" w:hAnsi="宋体" w:eastAsia="宋体"/>
          <w:color w:val="auto"/>
          <w:highlight w:val="none"/>
        </w:rPr>
      </w:pPr>
      <w:r>
        <w:rPr>
          <w:rFonts w:hint="eastAsia" w:ascii="宋体" w:hAnsi="宋体" w:eastAsia="宋体"/>
          <w:color w:val="auto"/>
          <w:highlight w:val="none"/>
          <w:lang w:eastAsia="zh-CN"/>
        </w:rPr>
        <w:t>每种基质类型的检出限单独验证。</w:t>
      </w:r>
    </w:p>
    <w:p w14:paraId="014E5455">
      <w:pPr>
        <w:pStyle w:val="69"/>
        <w:spacing w:before="156" w:after="156"/>
        <w:ind w:left="0"/>
        <w:rPr>
          <w:rFonts w:hint="eastAsia" w:ascii="宋体" w:hAnsi="宋体" w:eastAsia="宋体"/>
          <w:color w:val="auto"/>
          <w:highlight w:val="none"/>
        </w:rPr>
      </w:pPr>
      <w:r>
        <w:rPr>
          <w:rFonts w:hint="eastAsia" w:ascii="宋体" w:hAnsi="宋体" w:eastAsia="宋体"/>
          <w:color w:val="auto"/>
          <w:highlight w:val="none"/>
          <w:lang w:eastAsia="zh-CN"/>
        </w:rPr>
        <w:t>用</w:t>
      </w:r>
      <w:r>
        <w:rPr>
          <w:rFonts w:hint="eastAsia" w:ascii="宋体" w:hAnsi="宋体" w:eastAsia="宋体"/>
          <w:color w:val="auto"/>
          <w:highlight w:val="none"/>
          <w:lang w:val="en-US" w:eastAsia="zh-CN"/>
        </w:rPr>
        <w:t>20个平行样品对快检产品进行测试，当灵敏度≥95%时，对应的最低浓度则为相应基质类型的检出限。</w:t>
      </w:r>
    </w:p>
    <w:p w14:paraId="5F8D2A72">
      <w:pPr>
        <w:pStyle w:val="70"/>
        <w:spacing w:before="156" w:after="156"/>
        <w:rPr>
          <w:rFonts w:ascii="宋体" w:hAnsi="宋体" w:eastAsia="宋体"/>
          <w:color w:val="auto"/>
          <w:highlight w:val="none"/>
        </w:rPr>
      </w:pPr>
      <w:r>
        <w:rPr>
          <w:rFonts w:hint="eastAsia"/>
          <w:color w:val="000000"/>
          <w:highlight w:val="none"/>
        </w:rPr>
        <w:t>灵敏度</w:t>
      </w:r>
      <w:r>
        <w:rPr>
          <w:rFonts w:hint="eastAsia"/>
          <w:color w:val="000000"/>
          <w:highlight w:val="none"/>
        </w:rPr>
        <w:br w:type="textWrapping"/>
      </w:r>
      <w:r>
        <w:rPr>
          <w:color w:val="auto"/>
          <w:highlight w:val="none"/>
        </w:rPr>
        <w:t xml:space="preserve">5.2.2.1 </w:t>
      </w:r>
      <w:r>
        <w:rPr>
          <w:rFonts w:hint="eastAsia" w:ascii="宋体" w:hAnsi="宋体" w:eastAsia="宋体"/>
          <w:color w:val="auto"/>
          <w:highlight w:val="none"/>
          <w:lang w:eastAsia="zh-CN"/>
        </w:rPr>
        <w:t>每种基质类型的灵敏度单独验证。</w:t>
      </w:r>
    </w:p>
    <w:p w14:paraId="6136BBBB">
      <w:pPr>
        <w:pStyle w:val="70"/>
        <w:numPr>
          <w:ilvl w:val="0"/>
          <w:numId w:val="0"/>
        </w:numPr>
        <w:spacing w:before="156" w:after="156"/>
        <w:ind w:leftChars="0"/>
        <w:rPr>
          <w:rFonts w:hint="eastAsia" w:ascii="宋体" w:hAnsi="宋体" w:eastAsia="宋体" w:cs="Times New Roman"/>
          <w:color w:val="auto"/>
          <w:highlight w:val="none"/>
          <w:lang w:eastAsia="zh-CN"/>
        </w:rPr>
      </w:pPr>
      <w:r>
        <w:rPr>
          <w:rFonts w:hint="eastAsia" w:hAnsi="Times New Roman" w:cs="Times New Roman"/>
          <w:color w:val="auto"/>
          <w:highlight w:val="none"/>
          <w:lang w:val="en-US" w:eastAsia="zh-CN"/>
        </w:rPr>
        <w:t xml:space="preserve">5.2.2.2 </w:t>
      </w:r>
      <w:r>
        <w:rPr>
          <w:rFonts w:hint="eastAsia" w:ascii="宋体" w:hAnsi="宋体" w:eastAsia="宋体" w:cs="Times New Roman"/>
          <w:color w:val="auto"/>
          <w:highlight w:val="none"/>
          <w:lang w:eastAsia="zh-CN"/>
        </w:rPr>
        <w:t>按产品检出限的浓度水平作为测试样品浓度水平，每种基质类型不少于</w:t>
      </w:r>
      <w:r>
        <w:rPr>
          <w:rFonts w:hint="eastAsia" w:ascii="宋体" w:hAnsi="宋体" w:eastAsia="宋体" w:cs="Times New Roman"/>
          <w:color w:val="auto"/>
          <w:highlight w:val="none"/>
          <w:lang w:val="en-US" w:eastAsia="zh-CN"/>
        </w:rPr>
        <w:t>50份平行测试样品</w:t>
      </w:r>
      <w:r>
        <w:rPr>
          <w:rFonts w:hint="eastAsia" w:ascii="宋体" w:hAnsi="宋体" w:eastAsia="宋体" w:cs="Times New Roman"/>
          <w:color w:val="auto"/>
          <w:highlight w:val="none"/>
          <w:lang w:eastAsia="zh-CN"/>
        </w:rPr>
        <w:t>。</w:t>
      </w:r>
    </w:p>
    <w:p w14:paraId="29FD7320">
      <w:pPr>
        <w:pStyle w:val="20"/>
        <w:rPr>
          <w:rFonts w:hint="default" w:ascii="宋体" w:hAnsi="宋体" w:eastAsia="宋体" w:cs="Times New Roman"/>
          <w:color w:val="auto"/>
          <w:sz w:val="21"/>
          <w:szCs w:val="21"/>
          <w:highlight w:val="none"/>
          <w:lang w:val="en-US" w:eastAsia="zh-CN" w:bidi="ar-SA"/>
        </w:rPr>
      </w:pPr>
      <w:r>
        <w:rPr>
          <w:rFonts w:hint="eastAsia" w:ascii="宋体" w:hAnsi="宋体" w:eastAsia="宋体" w:cs="Times New Roman"/>
          <w:color w:val="auto"/>
          <w:sz w:val="21"/>
          <w:szCs w:val="21"/>
          <w:highlight w:val="none"/>
          <w:lang w:val="en-US" w:eastAsia="zh-CN" w:bidi="ar-SA"/>
        </w:rPr>
        <w:t>灵敏度=</w:t>
      </w:r>
      <w:r>
        <w:rPr>
          <w:rFonts w:hint="eastAsia" w:hAnsi="宋体" w:eastAsia="宋体" w:cs="Times New Roman"/>
          <w:color w:val="auto"/>
          <w:sz w:val="21"/>
          <w:szCs w:val="21"/>
          <w:highlight w:val="none"/>
          <w:lang w:val="en-US" w:eastAsia="zh-CN" w:bidi="ar-SA"/>
        </w:rPr>
        <w:t>（</w:t>
      </w:r>
      <w:r>
        <w:rPr>
          <w:rFonts w:hint="eastAsia" w:ascii="宋体" w:hAnsi="宋体" w:eastAsia="宋体" w:cs="Times New Roman"/>
          <w:color w:val="auto"/>
          <w:sz w:val="21"/>
          <w:szCs w:val="21"/>
          <w:highlight w:val="none"/>
          <w:lang w:val="en-US" w:eastAsia="zh-CN" w:bidi="ar-SA"/>
        </w:rPr>
        <w:t>快检产品测定阳性</w:t>
      </w:r>
      <w:r>
        <w:rPr>
          <w:rFonts w:hint="eastAsia" w:hAnsi="宋体" w:eastAsia="宋体" w:cs="Times New Roman"/>
          <w:color w:val="auto"/>
          <w:sz w:val="21"/>
          <w:szCs w:val="21"/>
          <w:highlight w:val="none"/>
          <w:lang w:val="en-US" w:eastAsia="zh-CN" w:bidi="ar-SA"/>
        </w:rPr>
        <w:t>结果</w:t>
      </w:r>
      <w:r>
        <w:rPr>
          <w:rFonts w:hint="eastAsia" w:hAnsi="宋体" w:cs="Times New Roman"/>
          <w:color w:val="auto"/>
          <w:sz w:val="21"/>
          <w:szCs w:val="21"/>
          <w:highlight w:val="none"/>
          <w:lang w:val="en-US" w:eastAsia="zh-CN" w:bidi="ar-SA"/>
        </w:rPr>
        <w:t>的阳性</w:t>
      </w:r>
      <w:r>
        <w:rPr>
          <w:rFonts w:hint="eastAsia" w:ascii="宋体" w:hAnsi="宋体" w:eastAsia="宋体" w:cs="Times New Roman"/>
          <w:color w:val="auto"/>
          <w:sz w:val="21"/>
          <w:szCs w:val="21"/>
          <w:highlight w:val="none"/>
          <w:lang w:val="en-US" w:eastAsia="zh-CN" w:bidi="ar-SA"/>
        </w:rPr>
        <w:t>样品</w:t>
      </w:r>
      <w:r>
        <w:rPr>
          <w:rFonts w:hint="eastAsia" w:hAnsi="宋体" w:eastAsia="宋体" w:cs="Times New Roman"/>
          <w:color w:val="auto"/>
          <w:sz w:val="21"/>
          <w:szCs w:val="21"/>
          <w:highlight w:val="none"/>
          <w:lang w:val="en-US" w:eastAsia="zh-CN" w:bidi="ar-SA"/>
        </w:rPr>
        <w:t>数量</w:t>
      </w:r>
      <w:r>
        <w:rPr>
          <w:rFonts w:hint="eastAsia" w:ascii="宋体" w:hAnsi="宋体" w:eastAsia="宋体" w:cs="Times New Roman"/>
          <w:color w:val="auto"/>
          <w:sz w:val="21"/>
          <w:szCs w:val="21"/>
          <w:highlight w:val="none"/>
          <w:lang w:val="en-US" w:eastAsia="zh-CN" w:bidi="ar-SA"/>
        </w:rPr>
        <w:t>/</w:t>
      </w:r>
      <w:r>
        <w:rPr>
          <w:rFonts w:hint="eastAsia" w:hAnsi="宋体" w:eastAsia="宋体" w:cs="Times New Roman"/>
          <w:color w:val="auto"/>
          <w:sz w:val="21"/>
          <w:szCs w:val="21"/>
          <w:highlight w:val="none"/>
          <w:lang w:val="en-US" w:eastAsia="zh-CN" w:bidi="ar-SA"/>
        </w:rPr>
        <w:t>测试</w:t>
      </w:r>
      <w:r>
        <w:rPr>
          <w:rFonts w:hint="eastAsia" w:ascii="宋体" w:hAnsi="宋体" w:eastAsia="宋体" w:cs="Times New Roman"/>
          <w:color w:val="auto"/>
          <w:sz w:val="21"/>
          <w:szCs w:val="21"/>
          <w:highlight w:val="none"/>
          <w:lang w:val="en-US" w:eastAsia="zh-CN" w:bidi="ar-SA"/>
        </w:rPr>
        <w:t>阳性样品</w:t>
      </w:r>
      <w:r>
        <w:rPr>
          <w:rFonts w:hint="eastAsia" w:hAnsi="宋体" w:eastAsia="宋体" w:cs="Times New Roman"/>
          <w:color w:val="auto"/>
          <w:sz w:val="21"/>
          <w:szCs w:val="21"/>
          <w:highlight w:val="none"/>
          <w:lang w:val="en-US" w:eastAsia="zh-CN" w:bidi="ar-SA"/>
        </w:rPr>
        <w:t>总数量）×</w:t>
      </w:r>
      <w:r>
        <w:rPr>
          <w:rFonts w:hint="eastAsia" w:ascii="宋体" w:hAnsi="宋体" w:eastAsia="宋体" w:cs="Times New Roman"/>
          <w:color w:val="auto"/>
          <w:sz w:val="21"/>
          <w:szCs w:val="21"/>
          <w:highlight w:val="none"/>
          <w:lang w:val="en-US" w:eastAsia="zh-CN" w:bidi="ar-SA"/>
        </w:rPr>
        <w:t>100%</w:t>
      </w:r>
    </w:p>
    <w:p w14:paraId="177F65EA">
      <w:pPr>
        <w:pStyle w:val="70"/>
        <w:spacing w:before="156" w:after="156"/>
        <w:rPr>
          <w:rFonts w:ascii="宋体" w:hAnsi="宋体" w:eastAsia="宋体"/>
          <w:color w:val="auto"/>
          <w:highlight w:val="none"/>
        </w:rPr>
      </w:pPr>
      <w:r>
        <w:rPr>
          <w:rFonts w:hint="eastAsia"/>
          <w:color w:val="auto"/>
          <w:highlight w:val="none"/>
          <w:lang w:eastAsia="zh-CN"/>
        </w:rPr>
        <w:t>特异性</w:t>
      </w:r>
      <w:r>
        <w:rPr>
          <w:color w:val="auto"/>
          <w:highlight w:val="none"/>
        </w:rPr>
        <w:br w:type="textWrapping"/>
      </w:r>
      <w:r>
        <w:rPr>
          <w:color w:val="auto"/>
          <w:highlight w:val="none"/>
        </w:rPr>
        <w:t>5.2.</w:t>
      </w:r>
      <w:r>
        <w:rPr>
          <w:rFonts w:hint="eastAsia"/>
          <w:color w:val="auto"/>
          <w:highlight w:val="none"/>
          <w:lang w:val="en-US" w:eastAsia="zh-CN"/>
        </w:rPr>
        <w:t>3</w:t>
      </w:r>
      <w:r>
        <w:rPr>
          <w:color w:val="auto"/>
          <w:highlight w:val="none"/>
        </w:rPr>
        <w:t xml:space="preserve">.1 </w:t>
      </w:r>
      <w:r>
        <w:rPr>
          <w:rFonts w:hint="eastAsia" w:ascii="宋体" w:hAnsi="宋体" w:eastAsia="宋体"/>
          <w:color w:val="auto"/>
          <w:highlight w:val="none"/>
          <w:lang w:eastAsia="zh-CN"/>
        </w:rPr>
        <w:t>每种基质类型的特异性单独验证。</w:t>
      </w:r>
    </w:p>
    <w:p w14:paraId="7CD44BE6">
      <w:pPr>
        <w:pStyle w:val="20"/>
        <w:ind w:left="0" w:leftChars="0" w:firstLine="0" w:firstLineChars="0"/>
        <w:rPr>
          <w:rFonts w:hint="default" w:ascii="宋体" w:hAnsi="宋体" w:eastAsia="宋体" w:cs="Times New Roman"/>
          <w:color w:val="auto"/>
          <w:sz w:val="21"/>
          <w:szCs w:val="21"/>
          <w:highlight w:val="none"/>
          <w:lang w:val="en-US" w:eastAsia="zh-CN" w:bidi="ar-SA"/>
        </w:rPr>
      </w:pPr>
      <w:r>
        <w:rPr>
          <w:rFonts w:hint="eastAsia" w:ascii="黑体" w:hAnsi="Times New Roman" w:eastAsia="黑体" w:cs="Times New Roman"/>
          <w:color w:val="auto"/>
          <w:sz w:val="21"/>
          <w:szCs w:val="21"/>
          <w:highlight w:val="none"/>
          <w:lang w:val="en-US" w:eastAsia="zh-CN" w:bidi="ar-SA"/>
        </w:rPr>
        <w:t xml:space="preserve">5.2.3.2 </w:t>
      </w:r>
      <w:r>
        <w:rPr>
          <w:rFonts w:hint="eastAsia" w:ascii="宋体" w:hAnsi="宋体" w:eastAsia="宋体" w:cs="Times New Roman"/>
          <w:color w:val="auto"/>
          <w:sz w:val="21"/>
          <w:szCs w:val="21"/>
          <w:highlight w:val="none"/>
          <w:lang w:val="en-US" w:eastAsia="zh-CN" w:bidi="ar-SA"/>
        </w:rPr>
        <w:t>目标物为禁用物质时</w:t>
      </w:r>
      <w:r>
        <w:rPr>
          <w:rFonts w:hint="eastAsia" w:hAnsi="宋体" w:eastAsia="宋体" w:cs="Times New Roman"/>
          <w:color w:val="auto"/>
          <w:sz w:val="21"/>
          <w:szCs w:val="21"/>
          <w:highlight w:val="none"/>
          <w:lang w:val="en-US" w:eastAsia="zh-CN" w:bidi="ar-SA"/>
        </w:rPr>
        <w:t>，测试样品</w:t>
      </w:r>
      <w:r>
        <w:rPr>
          <w:rFonts w:hint="eastAsia" w:ascii="宋体" w:hAnsi="宋体" w:eastAsia="宋体" w:cs="Times New Roman"/>
          <w:color w:val="auto"/>
          <w:sz w:val="21"/>
          <w:szCs w:val="21"/>
          <w:highlight w:val="none"/>
          <w:lang w:val="en-US" w:eastAsia="zh-CN" w:bidi="ar-SA"/>
        </w:rPr>
        <w:t>设置浓度</w:t>
      </w:r>
      <w:r>
        <w:rPr>
          <w:rFonts w:hint="eastAsia" w:hAnsi="宋体" w:eastAsia="宋体" w:cs="Times New Roman"/>
          <w:color w:val="auto"/>
          <w:sz w:val="21"/>
          <w:szCs w:val="21"/>
          <w:highlight w:val="none"/>
          <w:lang w:val="en-US" w:eastAsia="zh-CN" w:bidi="ar-SA"/>
        </w:rPr>
        <w:t>水平</w:t>
      </w:r>
      <w:r>
        <w:rPr>
          <w:rFonts w:hint="eastAsia" w:ascii="宋体" w:hAnsi="宋体" w:eastAsia="宋体" w:cs="Times New Roman"/>
          <w:color w:val="auto"/>
          <w:sz w:val="21"/>
          <w:szCs w:val="21"/>
          <w:highlight w:val="none"/>
          <w:lang w:val="en-US" w:eastAsia="zh-CN" w:bidi="ar-SA"/>
        </w:rPr>
        <w:t>：空白样品。目标物为限量物质时</w:t>
      </w:r>
      <w:r>
        <w:rPr>
          <w:rFonts w:hint="eastAsia" w:hAnsi="宋体" w:eastAsia="宋体" w:cs="Times New Roman"/>
          <w:color w:val="auto"/>
          <w:sz w:val="21"/>
          <w:szCs w:val="21"/>
          <w:highlight w:val="none"/>
          <w:lang w:val="en-US" w:eastAsia="zh-CN" w:bidi="ar-SA"/>
        </w:rPr>
        <w:t>，测试样品</w:t>
      </w:r>
      <w:r>
        <w:rPr>
          <w:rFonts w:hint="eastAsia" w:ascii="宋体" w:hAnsi="宋体" w:eastAsia="宋体" w:cs="Times New Roman"/>
          <w:color w:val="auto"/>
          <w:sz w:val="21"/>
          <w:szCs w:val="21"/>
          <w:highlight w:val="none"/>
          <w:lang w:val="en-US" w:eastAsia="zh-CN" w:bidi="ar-SA"/>
        </w:rPr>
        <w:t>设置浓度</w:t>
      </w:r>
      <w:r>
        <w:rPr>
          <w:rFonts w:hint="eastAsia" w:hAnsi="宋体" w:eastAsia="宋体" w:cs="Times New Roman"/>
          <w:color w:val="auto"/>
          <w:sz w:val="21"/>
          <w:szCs w:val="21"/>
          <w:highlight w:val="none"/>
          <w:lang w:val="en-US" w:eastAsia="zh-CN" w:bidi="ar-SA"/>
        </w:rPr>
        <w:t>水平</w:t>
      </w:r>
      <w:r>
        <w:rPr>
          <w:rFonts w:hint="eastAsia" w:ascii="宋体" w:hAnsi="宋体" w:eastAsia="宋体" w:cs="Times New Roman"/>
          <w:color w:val="auto"/>
          <w:sz w:val="21"/>
          <w:szCs w:val="21"/>
          <w:highlight w:val="none"/>
          <w:lang w:val="en-US" w:eastAsia="zh-CN" w:bidi="ar-SA"/>
        </w:rPr>
        <w:t>：空白样品、0.5倍检出限</w:t>
      </w:r>
      <w:r>
        <w:rPr>
          <w:rFonts w:hint="eastAsia" w:hAnsi="宋体" w:eastAsia="宋体" w:cs="Times New Roman"/>
          <w:color w:val="auto"/>
          <w:sz w:val="21"/>
          <w:szCs w:val="21"/>
          <w:highlight w:val="none"/>
          <w:lang w:val="en-US" w:eastAsia="zh-CN" w:bidi="ar-SA"/>
        </w:rPr>
        <w:t>。</w:t>
      </w:r>
    </w:p>
    <w:p w14:paraId="64B1EA8C">
      <w:pPr>
        <w:pStyle w:val="20"/>
        <w:ind w:left="0" w:leftChars="0" w:firstLine="0" w:firstLineChars="0"/>
        <w:rPr>
          <w:rFonts w:hint="default" w:ascii="宋体" w:hAnsi="宋体" w:eastAsia="宋体" w:cs="Times New Roman"/>
          <w:color w:val="auto"/>
          <w:sz w:val="21"/>
          <w:szCs w:val="21"/>
          <w:highlight w:val="none"/>
          <w:lang w:val="en-US" w:eastAsia="zh-CN" w:bidi="ar-SA"/>
        </w:rPr>
      </w:pPr>
      <w:r>
        <w:rPr>
          <w:rFonts w:hint="eastAsia" w:ascii="黑体" w:hAnsi="Times New Roman" w:eastAsia="黑体" w:cs="Times New Roman"/>
          <w:color w:val="auto"/>
          <w:sz w:val="21"/>
          <w:szCs w:val="21"/>
          <w:highlight w:val="none"/>
          <w:lang w:val="en-US" w:eastAsia="zh-CN" w:bidi="ar-SA"/>
        </w:rPr>
        <w:t xml:space="preserve">5.2.3.3 </w:t>
      </w:r>
      <w:r>
        <w:rPr>
          <w:rFonts w:hint="eastAsia" w:ascii="宋体" w:hAnsi="宋体" w:eastAsia="宋体" w:cs="Times New Roman"/>
          <w:color w:val="auto"/>
          <w:sz w:val="21"/>
          <w:szCs w:val="21"/>
          <w:highlight w:val="none"/>
          <w:lang w:val="en-US" w:eastAsia="zh-CN" w:bidi="ar-SA"/>
        </w:rPr>
        <w:t>每种基质类型</w:t>
      </w:r>
      <w:r>
        <w:rPr>
          <w:rFonts w:hint="eastAsia" w:hAnsi="宋体" w:eastAsia="宋体" w:cs="Times New Roman"/>
          <w:color w:val="auto"/>
          <w:sz w:val="21"/>
          <w:szCs w:val="21"/>
          <w:highlight w:val="none"/>
          <w:lang w:val="en-US" w:eastAsia="zh-CN" w:bidi="ar-SA"/>
        </w:rPr>
        <w:t>每个浓度水平</w:t>
      </w:r>
      <w:r>
        <w:rPr>
          <w:rFonts w:hint="eastAsia" w:ascii="宋体" w:hAnsi="宋体" w:eastAsia="宋体" w:cs="Times New Roman"/>
          <w:color w:val="auto"/>
          <w:sz w:val="21"/>
          <w:szCs w:val="21"/>
          <w:highlight w:val="none"/>
          <w:lang w:val="en-US" w:eastAsia="zh-CN" w:bidi="ar-SA"/>
        </w:rPr>
        <w:t>不少于50份平行测试样品。</w:t>
      </w:r>
    </w:p>
    <w:p w14:paraId="619059E8">
      <w:pPr>
        <w:pStyle w:val="20"/>
        <w:rPr>
          <w:rFonts w:hint="eastAsia" w:ascii="宋体" w:hAnsi="宋体" w:eastAsia="宋体" w:cs="宋体"/>
          <w:color w:val="auto"/>
          <w:highlight w:val="none"/>
        </w:rPr>
      </w:pPr>
      <w:r>
        <w:rPr>
          <w:rFonts w:hint="eastAsia" w:hAnsi="宋体" w:eastAsia="宋体" w:cs="Times New Roman"/>
          <w:color w:val="auto"/>
          <w:sz w:val="21"/>
          <w:szCs w:val="21"/>
          <w:highlight w:val="none"/>
          <w:lang w:val="en-US" w:eastAsia="zh-CN" w:bidi="ar-SA"/>
        </w:rPr>
        <w:t>特异性</w:t>
      </w:r>
      <w:r>
        <w:rPr>
          <w:rFonts w:hint="eastAsia" w:ascii="宋体" w:hAnsi="宋体" w:eastAsia="宋体" w:cs="Times New Roman"/>
          <w:color w:val="auto"/>
          <w:sz w:val="21"/>
          <w:szCs w:val="21"/>
          <w:highlight w:val="none"/>
          <w:lang w:val="en-US" w:eastAsia="zh-CN" w:bidi="ar-SA"/>
        </w:rPr>
        <w:t>=</w:t>
      </w:r>
      <w:r>
        <w:rPr>
          <w:rFonts w:hint="eastAsia" w:hAnsi="宋体" w:eastAsia="宋体" w:cs="Times New Roman"/>
          <w:color w:val="auto"/>
          <w:sz w:val="21"/>
          <w:szCs w:val="21"/>
          <w:highlight w:val="none"/>
          <w:lang w:val="en-US" w:eastAsia="zh-CN" w:bidi="ar-SA"/>
        </w:rPr>
        <w:t>（</w:t>
      </w:r>
      <w:r>
        <w:rPr>
          <w:rFonts w:hint="eastAsia" w:ascii="宋体" w:hAnsi="宋体" w:eastAsia="宋体" w:cs="Times New Roman"/>
          <w:color w:val="auto"/>
          <w:sz w:val="21"/>
          <w:szCs w:val="21"/>
          <w:highlight w:val="none"/>
          <w:lang w:val="en-US" w:eastAsia="zh-CN" w:bidi="ar-SA"/>
        </w:rPr>
        <w:t>快检产品测定</w:t>
      </w:r>
      <w:r>
        <w:rPr>
          <w:rFonts w:hint="eastAsia" w:hAnsi="宋体" w:eastAsia="宋体" w:cs="Times New Roman"/>
          <w:color w:val="auto"/>
          <w:sz w:val="21"/>
          <w:szCs w:val="21"/>
          <w:highlight w:val="none"/>
          <w:lang w:val="en-US" w:eastAsia="zh-CN" w:bidi="ar-SA"/>
        </w:rPr>
        <w:t>阴</w:t>
      </w:r>
      <w:r>
        <w:rPr>
          <w:rFonts w:hint="eastAsia" w:ascii="宋体" w:hAnsi="宋体" w:eastAsia="宋体" w:cs="Times New Roman"/>
          <w:color w:val="auto"/>
          <w:sz w:val="21"/>
          <w:szCs w:val="21"/>
          <w:highlight w:val="none"/>
          <w:lang w:val="en-US" w:eastAsia="zh-CN" w:bidi="ar-SA"/>
        </w:rPr>
        <w:t>性</w:t>
      </w:r>
      <w:r>
        <w:rPr>
          <w:rFonts w:hint="eastAsia" w:hAnsi="宋体" w:eastAsia="宋体" w:cs="Times New Roman"/>
          <w:color w:val="auto"/>
          <w:sz w:val="21"/>
          <w:szCs w:val="21"/>
          <w:highlight w:val="none"/>
          <w:lang w:val="en-US" w:eastAsia="zh-CN" w:bidi="ar-SA"/>
        </w:rPr>
        <w:t>结果</w:t>
      </w:r>
      <w:r>
        <w:rPr>
          <w:rFonts w:hint="eastAsia" w:hAnsi="宋体" w:cs="Times New Roman"/>
          <w:color w:val="auto"/>
          <w:sz w:val="21"/>
          <w:szCs w:val="21"/>
          <w:highlight w:val="none"/>
          <w:lang w:val="en-US" w:eastAsia="zh-CN" w:bidi="ar-SA"/>
        </w:rPr>
        <w:t>的阴性</w:t>
      </w:r>
      <w:r>
        <w:rPr>
          <w:rFonts w:hint="eastAsia" w:ascii="宋体" w:hAnsi="宋体" w:eastAsia="宋体" w:cs="Times New Roman"/>
          <w:color w:val="auto"/>
          <w:sz w:val="21"/>
          <w:szCs w:val="21"/>
          <w:highlight w:val="none"/>
          <w:lang w:val="en-US" w:eastAsia="zh-CN" w:bidi="ar-SA"/>
        </w:rPr>
        <w:t>样品</w:t>
      </w:r>
      <w:r>
        <w:rPr>
          <w:rFonts w:hint="eastAsia" w:hAnsi="宋体" w:eastAsia="宋体" w:cs="Times New Roman"/>
          <w:color w:val="auto"/>
          <w:sz w:val="21"/>
          <w:szCs w:val="21"/>
          <w:highlight w:val="none"/>
          <w:lang w:val="en-US" w:eastAsia="zh-CN" w:bidi="ar-SA"/>
        </w:rPr>
        <w:t>数量</w:t>
      </w:r>
      <w:r>
        <w:rPr>
          <w:rFonts w:hint="eastAsia" w:ascii="宋体" w:hAnsi="宋体" w:eastAsia="宋体" w:cs="Times New Roman"/>
          <w:color w:val="auto"/>
          <w:sz w:val="21"/>
          <w:szCs w:val="21"/>
          <w:highlight w:val="none"/>
          <w:lang w:val="en-US" w:eastAsia="zh-CN" w:bidi="ar-SA"/>
        </w:rPr>
        <w:t>/</w:t>
      </w:r>
      <w:r>
        <w:rPr>
          <w:rFonts w:hint="eastAsia" w:hAnsi="宋体" w:eastAsia="宋体" w:cs="Times New Roman"/>
          <w:color w:val="auto"/>
          <w:sz w:val="21"/>
          <w:szCs w:val="21"/>
          <w:highlight w:val="none"/>
          <w:lang w:val="en-US" w:eastAsia="zh-CN" w:bidi="ar-SA"/>
        </w:rPr>
        <w:t>测试阴</w:t>
      </w:r>
      <w:r>
        <w:rPr>
          <w:rFonts w:hint="eastAsia" w:ascii="宋体" w:hAnsi="宋体" w:eastAsia="宋体" w:cs="Times New Roman"/>
          <w:color w:val="auto"/>
          <w:sz w:val="21"/>
          <w:szCs w:val="21"/>
          <w:highlight w:val="none"/>
          <w:lang w:val="en-US" w:eastAsia="zh-CN" w:bidi="ar-SA"/>
        </w:rPr>
        <w:t>性样品</w:t>
      </w:r>
      <w:r>
        <w:rPr>
          <w:rFonts w:hint="eastAsia" w:hAnsi="宋体" w:eastAsia="宋体" w:cs="Times New Roman"/>
          <w:color w:val="auto"/>
          <w:sz w:val="21"/>
          <w:szCs w:val="21"/>
          <w:highlight w:val="none"/>
          <w:lang w:val="en-US" w:eastAsia="zh-CN" w:bidi="ar-SA"/>
        </w:rPr>
        <w:t>总数量）×</w:t>
      </w:r>
      <w:r>
        <w:rPr>
          <w:rFonts w:hint="eastAsia" w:ascii="宋体" w:hAnsi="宋体" w:eastAsia="宋体" w:cs="Times New Roman"/>
          <w:color w:val="auto"/>
          <w:sz w:val="21"/>
          <w:szCs w:val="21"/>
          <w:highlight w:val="none"/>
          <w:lang w:val="en-US" w:eastAsia="zh-CN" w:bidi="ar-SA"/>
        </w:rPr>
        <w:t>100%</w:t>
      </w:r>
    </w:p>
    <w:p w14:paraId="203A144B">
      <w:pPr>
        <w:pStyle w:val="70"/>
        <w:spacing w:before="156" w:after="156"/>
        <w:rPr>
          <w:rFonts w:hint="eastAsia"/>
          <w:color w:val="auto"/>
          <w:highlight w:val="none"/>
        </w:rPr>
      </w:pPr>
      <w:r>
        <w:rPr>
          <w:rFonts w:hint="eastAsia"/>
          <w:color w:val="auto"/>
          <w:highlight w:val="none"/>
        </w:rPr>
        <w:t>假阴性率、假阳性率</w:t>
      </w:r>
    </w:p>
    <w:p w14:paraId="36C32F3E">
      <w:pPr>
        <w:pStyle w:val="69"/>
        <w:spacing w:before="156" w:after="156"/>
        <w:ind w:left="0"/>
        <w:rPr>
          <w:rFonts w:ascii="宋体" w:hAnsi="宋体" w:eastAsia="宋体"/>
          <w:color w:val="auto"/>
          <w:highlight w:val="none"/>
        </w:rPr>
      </w:pPr>
      <w:r>
        <w:rPr>
          <w:rFonts w:hint="eastAsia" w:ascii="宋体" w:hAnsi="宋体" w:eastAsia="宋体"/>
          <w:color w:val="auto"/>
          <w:highlight w:val="none"/>
          <w:lang w:eastAsia="zh-CN"/>
        </w:rPr>
        <w:t>测试样品浓度水平和数量同“灵敏度”的测试要求。</w:t>
      </w:r>
    </w:p>
    <w:p w14:paraId="540CE029">
      <w:pPr>
        <w:pStyle w:val="20"/>
        <w:rPr>
          <w:rFonts w:hint="eastAsia" w:ascii="宋体" w:hAnsi="宋体" w:eastAsia="宋体" w:cs="Times New Roman"/>
          <w:color w:val="auto"/>
          <w:sz w:val="21"/>
          <w:szCs w:val="21"/>
          <w:highlight w:val="none"/>
          <w:lang w:val="en-US" w:eastAsia="zh-CN" w:bidi="ar-SA"/>
        </w:rPr>
      </w:pPr>
      <w:r>
        <w:rPr>
          <w:rFonts w:hint="eastAsia" w:ascii="宋体" w:hAnsi="宋体" w:eastAsia="宋体" w:cs="Times New Roman"/>
          <w:color w:val="auto"/>
          <w:sz w:val="21"/>
          <w:szCs w:val="21"/>
          <w:highlight w:val="none"/>
          <w:lang w:val="en-US" w:eastAsia="zh-CN" w:bidi="ar-SA"/>
        </w:rPr>
        <w:t>假阴性率=100%-灵敏度</w:t>
      </w:r>
    </w:p>
    <w:p w14:paraId="245C2408">
      <w:pPr>
        <w:pStyle w:val="69"/>
        <w:spacing w:before="156" w:after="156"/>
        <w:ind w:left="0"/>
        <w:rPr>
          <w:rFonts w:ascii="宋体" w:hAnsi="宋体" w:eastAsia="宋体"/>
          <w:color w:val="auto"/>
          <w:highlight w:val="none"/>
        </w:rPr>
      </w:pPr>
      <w:r>
        <w:rPr>
          <w:rFonts w:hint="eastAsia" w:ascii="宋体" w:hAnsi="宋体" w:eastAsia="宋体"/>
          <w:color w:val="auto"/>
          <w:highlight w:val="none"/>
          <w:lang w:eastAsia="zh-CN"/>
        </w:rPr>
        <w:t>测试样品浓度水平和数量同“特异性”的测试要求。</w:t>
      </w:r>
    </w:p>
    <w:p w14:paraId="73FF89B7">
      <w:pPr>
        <w:pStyle w:val="20"/>
        <w:rPr>
          <w:rFonts w:hint="eastAsia" w:ascii="宋体" w:hAnsi="宋体" w:eastAsia="宋体" w:cs="Times New Roman"/>
          <w:color w:val="auto"/>
          <w:sz w:val="21"/>
          <w:szCs w:val="21"/>
          <w:highlight w:val="none"/>
          <w:lang w:val="en-US" w:eastAsia="zh-CN" w:bidi="ar-SA"/>
        </w:rPr>
      </w:pPr>
      <w:r>
        <w:rPr>
          <w:rFonts w:hint="eastAsia" w:ascii="宋体" w:hAnsi="宋体" w:eastAsia="宋体" w:cs="Times New Roman"/>
          <w:color w:val="auto"/>
          <w:sz w:val="21"/>
          <w:szCs w:val="21"/>
          <w:highlight w:val="none"/>
          <w:lang w:val="en-US" w:eastAsia="zh-CN" w:bidi="ar-SA"/>
        </w:rPr>
        <w:t>假</w:t>
      </w:r>
      <w:r>
        <w:rPr>
          <w:rFonts w:hint="eastAsia" w:hAnsi="宋体" w:eastAsia="宋体" w:cs="Times New Roman"/>
          <w:color w:val="auto"/>
          <w:sz w:val="21"/>
          <w:szCs w:val="21"/>
          <w:highlight w:val="none"/>
          <w:lang w:val="en-US" w:eastAsia="zh-CN" w:bidi="ar-SA"/>
        </w:rPr>
        <w:t>阳</w:t>
      </w:r>
      <w:r>
        <w:rPr>
          <w:rFonts w:hint="eastAsia" w:ascii="宋体" w:hAnsi="宋体" w:eastAsia="宋体" w:cs="Times New Roman"/>
          <w:color w:val="auto"/>
          <w:sz w:val="21"/>
          <w:szCs w:val="21"/>
          <w:highlight w:val="none"/>
          <w:lang w:val="en-US" w:eastAsia="zh-CN" w:bidi="ar-SA"/>
        </w:rPr>
        <w:t>性率=100%-</w:t>
      </w:r>
      <w:r>
        <w:rPr>
          <w:rFonts w:hint="eastAsia" w:hAnsi="宋体" w:eastAsia="宋体" w:cs="Times New Roman"/>
          <w:color w:val="auto"/>
          <w:sz w:val="21"/>
          <w:szCs w:val="21"/>
          <w:highlight w:val="none"/>
          <w:lang w:val="en-US" w:eastAsia="zh-CN" w:bidi="ar-SA"/>
        </w:rPr>
        <w:t>特异性</w:t>
      </w:r>
    </w:p>
    <w:p w14:paraId="2660DB0C">
      <w:pPr>
        <w:pStyle w:val="70"/>
        <w:spacing w:before="156" w:after="156"/>
        <w:rPr>
          <w:rFonts w:hint="eastAsia"/>
          <w:color w:val="auto"/>
          <w:highlight w:val="none"/>
        </w:rPr>
      </w:pPr>
      <w:r>
        <w:rPr>
          <w:rFonts w:hint="eastAsia"/>
          <w:color w:val="auto"/>
          <w:highlight w:val="none"/>
          <w:lang w:eastAsia="zh-CN"/>
        </w:rPr>
        <w:t>交叉反应率</w:t>
      </w:r>
    </w:p>
    <w:p w14:paraId="13B5EA36">
      <w:pPr>
        <w:pStyle w:val="69"/>
        <w:spacing w:before="156" w:after="156"/>
        <w:ind w:left="0"/>
        <w:rPr>
          <w:rFonts w:hint="eastAsia" w:ascii="宋体" w:hAnsi="宋体" w:eastAsia="宋体"/>
          <w:color w:val="auto"/>
          <w:highlight w:val="none"/>
          <w:lang w:eastAsia="zh-CN"/>
        </w:rPr>
      </w:pPr>
      <w:r>
        <w:rPr>
          <w:rFonts w:hint="eastAsia" w:ascii="宋体" w:hAnsi="宋体" w:eastAsia="宋体"/>
          <w:color w:val="auto"/>
          <w:highlight w:val="none"/>
          <w:lang w:eastAsia="zh-CN"/>
        </w:rPr>
        <w:t>采用快检产品的交叉反应率反映产品的抗干扰能力，即目标物质检出限与干扰物质检出阳性的最小浓度的比值(以百分比计)。</w:t>
      </w:r>
    </w:p>
    <w:p w14:paraId="61211F80">
      <w:pPr>
        <w:pStyle w:val="69"/>
        <w:spacing w:before="156" w:after="156"/>
        <w:ind w:left="0"/>
        <w:rPr>
          <w:rFonts w:hint="eastAsia" w:ascii="宋体" w:hAnsi="宋体" w:eastAsia="宋体"/>
          <w:color w:val="auto"/>
          <w:highlight w:val="none"/>
          <w:lang w:eastAsia="zh-CN"/>
        </w:rPr>
      </w:pPr>
      <w:r>
        <w:rPr>
          <w:rFonts w:hint="eastAsia" w:ascii="宋体" w:hAnsi="宋体" w:eastAsia="宋体"/>
          <w:color w:val="auto"/>
          <w:highlight w:val="none"/>
          <w:lang w:eastAsia="zh-CN"/>
        </w:rPr>
        <w:t>以空白样品分别加入不同浓度水平干扰物质的标准溶液进行测试，记录检测结果为阳性的最小浓度。</w:t>
      </w:r>
    </w:p>
    <w:p w14:paraId="53C99208">
      <w:pPr>
        <w:pStyle w:val="20"/>
        <w:rPr>
          <w:rFonts w:hint="eastAsia" w:ascii="宋体" w:hAnsi="宋体" w:eastAsia="宋体" w:cs="Times New Roman"/>
          <w:color w:val="auto"/>
          <w:sz w:val="21"/>
          <w:szCs w:val="21"/>
          <w:highlight w:val="none"/>
          <w:lang w:val="en-US" w:eastAsia="zh-CN" w:bidi="ar-SA"/>
        </w:rPr>
      </w:pPr>
      <w:r>
        <w:rPr>
          <w:rFonts w:hint="eastAsia" w:ascii="宋体" w:hAnsi="宋体" w:eastAsia="宋体" w:cs="Times New Roman"/>
          <w:color w:val="auto"/>
          <w:sz w:val="21"/>
          <w:szCs w:val="21"/>
          <w:highlight w:val="none"/>
          <w:lang w:val="zh-CN" w:eastAsia="zh-CN" w:bidi="ar-SA"/>
        </w:rPr>
        <w:t>交叉反应率=</w:t>
      </w:r>
      <w:r>
        <w:rPr>
          <w:rFonts w:hint="eastAsia" w:hAnsi="宋体" w:eastAsia="宋体" w:cs="Times New Roman"/>
          <w:color w:val="auto"/>
          <w:sz w:val="21"/>
          <w:szCs w:val="21"/>
          <w:highlight w:val="none"/>
          <w:lang w:val="zh-CN" w:eastAsia="zh-CN" w:bidi="ar-SA"/>
        </w:rPr>
        <w:t>（</w:t>
      </w:r>
      <w:r>
        <w:rPr>
          <w:rFonts w:hint="eastAsia" w:ascii="宋体" w:hAnsi="宋体" w:eastAsia="宋体" w:cs="Times New Roman"/>
          <w:color w:val="auto"/>
          <w:sz w:val="21"/>
          <w:szCs w:val="21"/>
          <w:highlight w:val="none"/>
          <w:lang w:val="zh-CN" w:eastAsia="zh-CN" w:bidi="ar-SA"/>
        </w:rPr>
        <w:t>目标物质检</w:t>
      </w:r>
      <w:r>
        <w:rPr>
          <w:rFonts w:hint="eastAsia" w:hAnsi="宋体" w:cs="Times New Roman"/>
          <w:color w:val="auto"/>
          <w:sz w:val="21"/>
          <w:szCs w:val="21"/>
          <w:highlight w:val="none"/>
          <w:lang w:val="zh-CN" w:eastAsia="zh-CN" w:bidi="ar-SA"/>
        </w:rPr>
        <w:t>出</w:t>
      </w:r>
      <w:r>
        <w:rPr>
          <w:rFonts w:hint="eastAsia" w:ascii="宋体" w:hAnsi="宋体" w:eastAsia="宋体" w:cs="Times New Roman"/>
          <w:color w:val="auto"/>
          <w:sz w:val="21"/>
          <w:szCs w:val="21"/>
          <w:highlight w:val="none"/>
          <w:lang w:val="zh-CN" w:eastAsia="zh-CN" w:bidi="ar-SA"/>
        </w:rPr>
        <w:t>限</w:t>
      </w:r>
      <w:r>
        <w:rPr>
          <w:rFonts w:hint="eastAsia" w:hAnsi="宋体" w:eastAsia="宋体" w:cs="Times New Roman"/>
          <w:color w:val="auto"/>
          <w:sz w:val="21"/>
          <w:szCs w:val="21"/>
          <w:highlight w:val="none"/>
          <w:lang w:val="en-US" w:eastAsia="zh-CN" w:bidi="ar-SA"/>
        </w:rPr>
        <w:t>/</w:t>
      </w:r>
      <w:r>
        <w:rPr>
          <w:rFonts w:hint="eastAsia" w:ascii="宋体" w:hAnsi="宋体" w:eastAsia="宋体" w:cs="Times New Roman"/>
          <w:color w:val="auto"/>
          <w:sz w:val="21"/>
          <w:szCs w:val="21"/>
          <w:highlight w:val="none"/>
          <w:lang w:val="zh-CN" w:eastAsia="zh-CN" w:bidi="ar-SA"/>
        </w:rPr>
        <w:t>干扰物质检出阳性时的最小浓度</w:t>
      </w:r>
      <w:r>
        <w:rPr>
          <w:rFonts w:hint="eastAsia" w:hAnsi="宋体" w:eastAsia="宋体" w:cs="Times New Roman"/>
          <w:color w:val="auto"/>
          <w:sz w:val="21"/>
          <w:szCs w:val="21"/>
          <w:highlight w:val="none"/>
          <w:lang w:val="zh-CN" w:eastAsia="zh-CN" w:bidi="ar-SA"/>
        </w:rPr>
        <w:t>）</w:t>
      </w:r>
      <w:r>
        <w:rPr>
          <w:rFonts w:hint="eastAsia" w:hAnsi="宋体" w:eastAsia="宋体" w:cs="Times New Roman"/>
          <w:color w:val="auto"/>
          <w:sz w:val="21"/>
          <w:szCs w:val="21"/>
          <w:highlight w:val="none"/>
          <w:lang w:val="en-US" w:eastAsia="zh-CN" w:bidi="ar-SA"/>
        </w:rPr>
        <w:t>×</w:t>
      </w:r>
      <w:r>
        <w:rPr>
          <w:rFonts w:hint="eastAsia" w:ascii="宋体" w:hAnsi="宋体" w:eastAsia="宋体" w:cs="Times New Roman"/>
          <w:color w:val="auto"/>
          <w:sz w:val="21"/>
          <w:szCs w:val="21"/>
          <w:highlight w:val="none"/>
          <w:lang w:val="en-US" w:eastAsia="zh-CN" w:bidi="ar-SA"/>
        </w:rPr>
        <w:t>100%</w:t>
      </w:r>
    </w:p>
    <w:p w14:paraId="38717827">
      <w:pPr>
        <w:pStyle w:val="70"/>
        <w:spacing w:before="156" w:after="156"/>
        <w:rPr>
          <w:rFonts w:hint="eastAsia"/>
          <w:color w:val="auto"/>
          <w:highlight w:val="none"/>
        </w:rPr>
      </w:pPr>
      <w:r>
        <w:rPr>
          <w:rFonts w:hint="eastAsia"/>
          <w:color w:val="auto"/>
          <w:highlight w:val="none"/>
        </w:rPr>
        <w:t>与参比方法一致性分析</w:t>
      </w:r>
    </w:p>
    <w:p w14:paraId="5E5367C6">
      <w:pPr>
        <w:pStyle w:val="69"/>
        <w:spacing w:before="156" w:after="156"/>
        <w:ind w:left="0"/>
        <w:rPr>
          <w:rFonts w:hint="eastAsia" w:ascii="宋体" w:hAnsi="宋体" w:eastAsia="宋体"/>
          <w:color w:val="auto"/>
          <w:highlight w:val="none"/>
          <w:lang w:eastAsia="zh-CN"/>
        </w:rPr>
      </w:pPr>
      <w:r>
        <w:rPr>
          <w:rFonts w:hint="eastAsia" w:ascii="宋体" w:hAnsi="宋体" w:eastAsia="宋体"/>
          <w:color w:val="auto"/>
          <w:highlight w:val="none"/>
          <w:lang w:eastAsia="zh-CN"/>
        </w:rPr>
        <w:t>目标物为禁用物质时，测试样品设置浓度水平：空白样品、1倍检出限。目标物为限量物质时，测试样品设置浓度水平：空白样品、0.5倍检出限、1倍检出限。</w:t>
      </w:r>
    </w:p>
    <w:p w14:paraId="33FB3CFF">
      <w:pPr>
        <w:pStyle w:val="69"/>
        <w:spacing w:before="156" w:after="156"/>
        <w:ind w:left="0"/>
        <w:rPr>
          <w:rFonts w:hint="eastAsia" w:ascii="宋体" w:hAnsi="宋体" w:eastAsia="宋体" w:cs="Times New Roman"/>
          <w:color w:val="auto"/>
          <w:highlight w:val="none"/>
          <w:lang w:eastAsia="zh-CN"/>
        </w:rPr>
      </w:pPr>
      <w:r>
        <w:rPr>
          <w:rFonts w:hint="eastAsia" w:ascii="宋体" w:hAnsi="宋体" w:eastAsia="宋体"/>
          <w:color w:val="auto"/>
          <w:highlight w:val="none"/>
          <w:lang w:eastAsia="zh-CN"/>
        </w:rPr>
        <w:t>每种基质类型每个浓度水平</w:t>
      </w:r>
      <w:r>
        <w:rPr>
          <w:rFonts w:hint="eastAsia" w:ascii="宋体" w:hAnsi="宋体" w:eastAsia="宋体"/>
          <w:color w:val="auto"/>
          <w:highlight w:val="none"/>
          <w:lang w:val="en-US" w:eastAsia="zh-CN"/>
        </w:rPr>
        <w:t>2</w:t>
      </w:r>
      <w:r>
        <w:rPr>
          <w:rFonts w:hint="eastAsia" w:ascii="宋体" w:hAnsi="宋体" w:eastAsia="宋体"/>
          <w:color w:val="auto"/>
          <w:highlight w:val="none"/>
          <w:lang w:eastAsia="zh-CN"/>
        </w:rPr>
        <w:t>0份平行测试</w:t>
      </w:r>
      <w:r>
        <w:rPr>
          <w:rFonts w:hint="eastAsia" w:ascii="宋体" w:hAnsi="宋体" w:eastAsia="宋体" w:cs="Times New Roman"/>
          <w:color w:val="auto"/>
          <w:highlight w:val="none"/>
          <w:lang w:eastAsia="zh-CN"/>
        </w:rPr>
        <w:t>样品。与参比方法一致性分析统计方法可采用卡方（</w:t>
      </w:r>
      <w:r>
        <w:rPr>
          <w:rFonts w:hint="eastAsia" w:ascii="宋体" w:hAnsi="宋体" w:eastAsia="宋体" w:cs="Times New Roman"/>
          <w:color w:val="auto"/>
          <w:highlight w:val="none"/>
          <w:lang w:eastAsia="zh-CN"/>
        </w:rPr>
        <w:object>
          <v:shape id="_x0000_i1025" o:spt="75" type="#_x0000_t75" style="height:18pt;width:16pt;" o:ole="t" filled="f" stroked="f" coordsize="21600,21600">
            <v:path/>
            <v:fill on="f" focussize="0,0"/>
            <v:stroke on="f"/>
            <v:imagedata r:id="rId13" o:title=""/>
            <o:lock v:ext="edit" aspectratio="t"/>
            <w10:wrap type="none"/>
            <w10:anchorlock/>
          </v:shape>
          <o:OLEObject Type="Embed" ProgID="Equations" ShapeID="_x0000_i1025" DrawAspect="Content" ObjectID="_1468075725" r:id="rId12">
            <o:LockedField>false</o:LockedField>
          </o:OLEObject>
        </w:object>
      </w:r>
      <w:r>
        <w:rPr>
          <w:rFonts w:hint="eastAsia" w:ascii="宋体" w:hAnsi="宋体" w:eastAsia="宋体" w:cs="Times New Roman"/>
          <w:color w:val="auto"/>
          <w:highlight w:val="none"/>
          <w:lang w:eastAsia="zh-CN"/>
        </w:rPr>
        <w:t>）检验，按式（1）计算：</w:t>
      </w:r>
    </w:p>
    <w:p w14:paraId="1A074540">
      <w:pPr>
        <w:pStyle w:val="20"/>
        <w:jc w:val="center"/>
        <w:rPr>
          <w:rFonts w:hint="eastAsia"/>
          <w:color w:val="auto"/>
          <w:highlight w:val="none"/>
        </w:rPr>
      </w:pPr>
      <w:r>
        <w:rPr>
          <w:color w:val="auto"/>
          <w:position w:val="-10"/>
          <w:highlight w:val="none"/>
        </w:rPr>
        <w:object>
          <v:shape id="_x0000_i1026" o:spt="75" type="#_x0000_t75" style="height:17pt;width:73.95pt;" o:ole="t" filled="f" stroked="f" coordsize="21600,21600">
            <v:path/>
            <v:fill on="f" focussize="0,0"/>
            <v:stroke on="f"/>
            <v:imagedata r:id="rId15" o:title=""/>
            <o:lock v:ext="edit" aspectratio="t"/>
            <w10:wrap type="none"/>
            <w10:anchorlock/>
          </v:shape>
          <o:OLEObject Type="Embed" ProgID="Equations" ShapeID="_x0000_i1026" DrawAspect="Content" ObjectID="_1468075726" r:id="rId14">
            <o:LockedField>false</o:LockedField>
          </o:OLEObject>
        </w:object>
      </w:r>
      <w:r>
        <w:rPr>
          <w:rFonts w:hint="eastAsia"/>
          <w:color w:val="auto"/>
          <w:highlight w:val="none"/>
        </w:rPr>
        <w:t xml:space="preserve">              </w:t>
      </w:r>
      <w:r>
        <w:rPr>
          <w:color w:val="auto"/>
          <w:position w:val="-24"/>
          <w:highlight w:val="none"/>
        </w:rPr>
        <w:object>
          <v:shape id="_x0000_i1027" o:spt="75" type="#_x0000_t75" style="height:36pt;width:83pt;" o:ole="t" filled="f" o:preferrelative="t" stroked="f" coordsize="21600,21600">
            <v:path/>
            <v:fill on="f" focussize="0,0"/>
            <v:stroke on="f"/>
            <v:imagedata r:id="rId17" o:title=""/>
            <o:lock v:ext="edit" aspectratio="t"/>
            <w10:wrap type="none"/>
            <w10:anchorlock/>
          </v:shape>
          <o:OLEObject Type="Embed" ProgID="Equations" ShapeID="_x0000_i1027" DrawAspect="Content" ObjectID="_1468075727" r:id="rId16">
            <o:LockedField>false</o:LockedField>
          </o:OLEObject>
        </w:object>
      </w:r>
      <w:r>
        <w:rPr>
          <w:rFonts w:hint="eastAsia"/>
          <w:color w:val="auto"/>
          <w:highlight w:val="none"/>
        </w:rPr>
        <w:t xml:space="preserve">                        ………………（1）</w:t>
      </w:r>
    </w:p>
    <w:p w14:paraId="18A3905D">
      <w:pPr>
        <w:pStyle w:val="20"/>
        <w:rPr>
          <w:rFonts w:hint="eastAsia" w:hAnsi="宋体"/>
          <w:color w:val="auto"/>
          <w:highlight w:val="none"/>
        </w:rPr>
      </w:pPr>
      <w:r>
        <w:rPr>
          <w:rFonts w:hint="eastAsia"/>
          <w:color w:val="auto"/>
          <w:highlight w:val="none"/>
        </w:rPr>
        <w:t>式中：</w:t>
      </w:r>
    </w:p>
    <w:p w14:paraId="1F338AFD">
      <w:pPr>
        <w:pStyle w:val="20"/>
        <w:rPr>
          <w:color w:val="auto"/>
          <w:szCs w:val="21"/>
          <w:highlight w:val="none"/>
        </w:rPr>
      </w:pPr>
      <w:r>
        <w:rPr>
          <w:color w:val="auto"/>
          <w:position w:val="-6"/>
          <w:highlight w:val="none"/>
        </w:rPr>
        <w:object>
          <v:shape id="_x0000_i1028" o:spt="75" type="#_x0000_t75" style="height:11pt;width:10pt;" o:ole="t" filled="f" stroked="f" coordsize="21600,21600">
            <v:path/>
            <v:fill on="f" focussize="0,0"/>
            <v:stroke on="f"/>
            <v:imagedata r:id="rId19" o:title=""/>
            <o:lock v:ext="edit" aspectratio="t"/>
            <w10:wrap type="none"/>
            <w10:anchorlock/>
          </v:shape>
          <o:OLEObject Type="Embed" ProgID="Equations" ShapeID="_x0000_i1028" DrawAspect="Content" ObjectID="_1468075728" r:id="rId18">
            <o:LockedField>false</o:LockedField>
          </o:OLEObject>
        </w:object>
      </w:r>
      <w:r>
        <w:rPr>
          <w:color w:val="auto"/>
          <w:szCs w:val="21"/>
          <w:highlight w:val="none"/>
        </w:rPr>
        <w:t>——样品被</w:t>
      </w:r>
      <w:r>
        <w:rPr>
          <w:rFonts w:hint="eastAsia"/>
          <w:color w:val="auto"/>
          <w:szCs w:val="21"/>
          <w:highlight w:val="none"/>
        </w:rPr>
        <w:t>快检</w:t>
      </w:r>
      <w:r>
        <w:rPr>
          <w:rFonts w:hint="eastAsia"/>
          <w:color w:val="auto"/>
          <w:szCs w:val="21"/>
          <w:highlight w:val="none"/>
          <w:lang w:eastAsia="zh-CN"/>
        </w:rPr>
        <w:t>产品检测为</w:t>
      </w:r>
      <w:r>
        <w:rPr>
          <w:color w:val="auto"/>
          <w:szCs w:val="21"/>
          <w:highlight w:val="none"/>
        </w:rPr>
        <w:t>阳性而参比方法检</w:t>
      </w:r>
      <w:r>
        <w:rPr>
          <w:rFonts w:hint="eastAsia"/>
          <w:color w:val="auto"/>
          <w:szCs w:val="21"/>
          <w:highlight w:val="none"/>
          <w:lang w:eastAsia="zh-CN"/>
        </w:rPr>
        <w:t>测</w:t>
      </w:r>
      <w:r>
        <w:rPr>
          <w:color w:val="auto"/>
          <w:szCs w:val="21"/>
          <w:highlight w:val="none"/>
        </w:rPr>
        <w:t>为阴性的数目；</w:t>
      </w:r>
    </w:p>
    <w:p w14:paraId="6BCD10B7">
      <w:pPr>
        <w:pStyle w:val="20"/>
        <w:rPr>
          <w:rFonts w:hint="eastAsia"/>
          <w:color w:val="auto"/>
          <w:szCs w:val="21"/>
          <w:highlight w:val="none"/>
        </w:rPr>
      </w:pPr>
      <w:r>
        <w:rPr>
          <w:color w:val="auto"/>
          <w:position w:val="-6"/>
          <w:highlight w:val="none"/>
        </w:rPr>
        <w:object>
          <v:shape id="_x0000_i1029" o:spt="75" type="#_x0000_t75" style="height:13.95pt;width:10pt;" o:ole="t" filled="f" stroked="f" coordsize="21600,21600">
            <v:path/>
            <v:fill on="f" focussize="0,0"/>
            <v:stroke on="f"/>
            <v:imagedata r:id="rId21" o:title=""/>
            <o:lock v:ext="edit" aspectratio="t"/>
            <w10:wrap type="none"/>
            <w10:anchorlock/>
          </v:shape>
          <o:OLEObject Type="Embed" ProgID="Equations" ShapeID="_x0000_i1029" DrawAspect="Content" ObjectID="_1468075729" r:id="rId20">
            <o:LockedField>false</o:LockedField>
          </o:OLEObject>
        </w:object>
      </w:r>
      <w:r>
        <w:rPr>
          <w:color w:val="auto"/>
          <w:szCs w:val="21"/>
          <w:highlight w:val="none"/>
        </w:rPr>
        <w:t>——样品被</w:t>
      </w:r>
      <w:r>
        <w:rPr>
          <w:rFonts w:hint="eastAsia"/>
          <w:color w:val="auto"/>
          <w:szCs w:val="21"/>
          <w:highlight w:val="none"/>
        </w:rPr>
        <w:t>快检</w:t>
      </w:r>
      <w:r>
        <w:rPr>
          <w:rFonts w:hint="eastAsia"/>
          <w:color w:val="auto"/>
          <w:szCs w:val="21"/>
          <w:highlight w:val="none"/>
          <w:lang w:eastAsia="zh-CN"/>
        </w:rPr>
        <w:t>产品检测</w:t>
      </w:r>
      <w:r>
        <w:rPr>
          <w:color w:val="auto"/>
          <w:szCs w:val="21"/>
          <w:highlight w:val="none"/>
        </w:rPr>
        <w:t>为阴性而参比方法检</w:t>
      </w:r>
      <w:r>
        <w:rPr>
          <w:rFonts w:hint="eastAsia"/>
          <w:color w:val="auto"/>
          <w:szCs w:val="21"/>
          <w:highlight w:val="none"/>
          <w:lang w:eastAsia="zh-CN"/>
        </w:rPr>
        <w:t>测</w:t>
      </w:r>
      <w:r>
        <w:rPr>
          <w:color w:val="auto"/>
          <w:szCs w:val="21"/>
          <w:highlight w:val="none"/>
        </w:rPr>
        <w:t>为阳性的数目。</w:t>
      </w:r>
    </w:p>
    <w:p w14:paraId="45AC4480">
      <w:pPr>
        <w:pStyle w:val="20"/>
        <w:rPr>
          <w:color w:val="auto"/>
          <w:szCs w:val="21"/>
          <w:highlight w:val="none"/>
        </w:rPr>
      </w:pPr>
      <w:r>
        <w:rPr>
          <w:color w:val="auto"/>
          <w:highlight w:val="none"/>
        </w:rPr>
        <w:t>卡方</w:t>
      </w:r>
      <w:r>
        <w:rPr>
          <w:rFonts w:hint="eastAsia"/>
          <w:color w:val="auto"/>
          <w:highlight w:val="none"/>
        </w:rPr>
        <w:t>（</w:t>
      </w:r>
      <w:r>
        <w:rPr>
          <w:color w:val="auto"/>
          <w:position w:val="-10"/>
          <w:highlight w:val="none"/>
        </w:rPr>
        <w:object>
          <v:shape id="_x0000_i1030" o:spt="75" type="#_x0000_t75" style="height:18pt;width:16pt;" o:ole="t" filled="f" stroked="f" coordsize="21600,21600">
            <v:path/>
            <v:fill on="f" focussize="0,0"/>
            <v:stroke on="f"/>
            <v:imagedata r:id="rId13" o:title=""/>
            <o:lock v:ext="edit" aspectratio="t"/>
            <w10:wrap type="none"/>
            <w10:anchorlock/>
          </v:shape>
          <o:OLEObject Type="Embed" ProgID="Equations" ShapeID="_x0000_i1030" DrawAspect="Content" ObjectID="_1468075730" r:id="rId22">
            <o:LockedField>false</o:LockedField>
          </o:OLEObject>
        </w:object>
      </w:r>
      <w:r>
        <w:rPr>
          <w:rFonts w:hint="eastAsia"/>
          <w:color w:val="auto"/>
          <w:highlight w:val="none"/>
        </w:rPr>
        <w:t>）</w:t>
      </w:r>
      <w:r>
        <w:rPr>
          <w:color w:val="auto"/>
          <w:highlight w:val="none"/>
        </w:rPr>
        <w:t>检验</w:t>
      </w:r>
      <w:r>
        <w:rPr>
          <w:rFonts w:hint="eastAsia"/>
          <w:color w:val="auto"/>
          <w:highlight w:val="none"/>
        </w:rPr>
        <w:t>结果按以下方法进行分析：</w:t>
      </w:r>
    </w:p>
    <w:p w14:paraId="7B23141F">
      <w:pPr>
        <w:pStyle w:val="20"/>
        <w:rPr>
          <w:rFonts w:hint="eastAsia"/>
          <w:color w:val="auto"/>
          <w:szCs w:val="21"/>
        </w:rPr>
      </w:pPr>
      <w:r>
        <w:rPr>
          <w:color w:val="auto"/>
          <w:position w:val="-10"/>
          <w:highlight w:val="none"/>
        </w:rPr>
        <w:object>
          <v:shape id="_x0000_i1031" o:spt="75" type="#_x0000_t75" style="height:18pt;width:16pt;" o:ole="t" filled="f" stroked="f" coordsize="21600,21600">
            <v:path/>
            <v:fill on="f" focussize="0,0"/>
            <v:stroke on="f"/>
            <v:imagedata r:id="rId13" o:title=""/>
            <o:lock v:ext="edit" aspectratio="t"/>
            <w10:wrap type="none"/>
            <w10:anchorlock/>
          </v:shape>
          <o:OLEObject Type="Embed" ProgID="Equations" ShapeID="_x0000_i1031" DrawAspect="Content" ObjectID="_1468075731" r:id="rId23">
            <o:LockedField>false</o:LockedField>
          </o:OLEObject>
        </w:object>
      </w:r>
      <w:r>
        <w:rPr>
          <w:rFonts w:hint="eastAsia"/>
          <w:color w:val="auto"/>
          <w:szCs w:val="21"/>
          <w:highlight w:val="none"/>
        </w:rPr>
        <w:t>＜</w:t>
      </w:r>
      <w:r>
        <w:rPr>
          <w:color w:val="auto"/>
          <w:szCs w:val="21"/>
          <w:highlight w:val="none"/>
        </w:rPr>
        <w:t>3.84</w:t>
      </w:r>
      <w:r>
        <w:rPr>
          <w:rFonts w:hint="eastAsia"/>
          <w:color w:val="auto"/>
          <w:szCs w:val="21"/>
          <w:highlight w:val="none"/>
        </w:rPr>
        <w:t>，</w:t>
      </w:r>
      <w:r>
        <w:rPr>
          <w:color w:val="auto"/>
          <w:szCs w:val="21"/>
          <w:highlight w:val="none"/>
        </w:rPr>
        <w:t>表示</w:t>
      </w:r>
      <w:r>
        <w:rPr>
          <w:rFonts w:hint="eastAsia"/>
          <w:color w:val="auto"/>
          <w:szCs w:val="21"/>
          <w:highlight w:val="none"/>
        </w:rPr>
        <w:t>快检</w:t>
      </w:r>
      <w:r>
        <w:rPr>
          <w:rFonts w:hint="eastAsia"/>
          <w:color w:val="auto"/>
          <w:szCs w:val="21"/>
          <w:highlight w:val="none"/>
          <w:lang w:eastAsia="zh-CN"/>
        </w:rPr>
        <w:t>产品</w:t>
      </w:r>
      <w:r>
        <w:rPr>
          <w:color w:val="auto"/>
          <w:szCs w:val="21"/>
          <w:highlight w:val="none"/>
        </w:rPr>
        <w:t>与参比方法的阳性确证比率在95%的置信区间</w:t>
      </w:r>
      <w:r>
        <w:rPr>
          <w:color w:val="auto"/>
          <w:szCs w:val="21"/>
        </w:rPr>
        <w:t>内没有显著性差异。</w:t>
      </w:r>
    </w:p>
    <w:p w14:paraId="1482263D">
      <w:pPr>
        <w:pStyle w:val="20"/>
        <w:rPr>
          <w:color w:val="auto"/>
          <w:szCs w:val="21"/>
        </w:rPr>
      </w:pPr>
      <w:r>
        <w:rPr>
          <w:color w:val="auto"/>
          <w:position w:val="-10"/>
        </w:rPr>
        <w:object>
          <v:shape id="_x0000_i1032" o:spt="75" type="#_x0000_t75" style="height:18pt;width:16pt;" o:ole="t" filled="f" stroked="f" coordsize="21600,21600">
            <v:path/>
            <v:fill on="f" focussize="0,0"/>
            <v:stroke on="f"/>
            <v:imagedata r:id="rId13" o:title=""/>
            <o:lock v:ext="edit" aspectratio="t"/>
            <w10:wrap type="none"/>
            <w10:anchorlock/>
          </v:shape>
          <o:OLEObject Type="Embed" ProgID="Equations" ShapeID="_x0000_i1032" DrawAspect="Content" ObjectID="_1468075732" r:id="rId24">
            <o:LockedField>false</o:LockedField>
          </o:OLEObject>
        </w:object>
      </w:r>
      <w:r>
        <w:rPr>
          <w:rFonts w:hint="eastAsia"/>
          <w:color w:val="auto"/>
          <w:szCs w:val="21"/>
        </w:rPr>
        <w:t>＞</w:t>
      </w:r>
      <w:r>
        <w:rPr>
          <w:color w:val="auto"/>
          <w:szCs w:val="21"/>
        </w:rPr>
        <w:t>3.84</w:t>
      </w:r>
      <w:r>
        <w:rPr>
          <w:rFonts w:hint="eastAsia"/>
          <w:color w:val="auto"/>
          <w:szCs w:val="21"/>
        </w:rPr>
        <w:t>，</w:t>
      </w:r>
      <w:r>
        <w:rPr>
          <w:color w:val="auto"/>
          <w:szCs w:val="21"/>
        </w:rPr>
        <w:t>表示两种</w:t>
      </w:r>
      <w:r>
        <w:rPr>
          <w:rFonts w:hint="eastAsia"/>
          <w:color w:val="auto"/>
          <w:szCs w:val="21"/>
          <w:lang w:eastAsia="zh-CN"/>
        </w:rPr>
        <w:t>检测</w:t>
      </w:r>
      <w:r>
        <w:rPr>
          <w:color w:val="auto"/>
          <w:szCs w:val="21"/>
        </w:rPr>
        <w:t>方法的阳性确认比率在95%的置信区间内有显著性差异。</w:t>
      </w:r>
    </w:p>
    <w:p w14:paraId="68C969D5">
      <w:pPr>
        <w:pStyle w:val="62"/>
        <w:rPr>
          <w:rFonts w:hint="eastAsia"/>
          <w:color w:val="auto"/>
        </w:rPr>
      </w:pPr>
      <w:bookmarkStart w:id="136" w:name="_Toc56503733"/>
      <w:bookmarkStart w:id="137" w:name="_Toc38036245"/>
      <w:bookmarkStart w:id="138" w:name="_Toc57127155"/>
      <w:bookmarkStart w:id="139" w:name="_Toc57127170"/>
      <w:bookmarkStart w:id="140" w:name="_Toc38036402"/>
      <w:bookmarkStart w:id="141" w:name="_Toc56504130"/>
      <w:r>
        <w:rPr>
          <w:rFonts w:hint="eastAsia"/>
          <w:color w:val="auto"/>
        </w:rPr>
        <w:t>评价步骤</w:t>
      </w:r>
      <w:bookmarkEnd w:id="136"/>
      <w:bookmarkEnd w:id="137"/>
      <w:bookmarkEnd w:id="138"/>
      <w:bookmarkEnd w:id="139"/>
      <w:bookmarkEnd w:id="140"/>
      <w:bookmarkEnd w:id="141"/>
    </w:p>
    <w:p w14:paraId="3240D3F0">
      <w:pPr>
        <w:pStyle w:val="71"/>
        <w:rPr>
          <w:rFonts w:hint="eastAsia"/>
          <w:color w:val="auto"/>
        </w:rPr>
      </w:pPr>
      <w:bookmarkStart w:id="142" w:name="_Toc56503734"/>
      <w:bookmarkStart w:id="143" w:name="_Toc38036403"/>
      <w:bookmarkStart w:id="144" w:name="_Toc38036246"/>
      <w:bookmarkStart w:id="145" w:name="_Toc57127156"/>
      <w:r>
        <w:rPr>
          <w:rFonts w:hint="eastAsia"/>
          <w:color w:val="auto"/>
        </w:rPr>
        <w:t>合同评审</w:t>
      </w:r>
      <w:bookmarkEnd w:id="142"/>
      <w:bookmarkEnd w:id="143"/>
      <w:bookmarkEnd w:id="144"/>
      <w:bookmarkEnd w:id="145"/>
    </w:p>
    <w:p w14:paraId="32AC9A50">
      <w:pPr>
        <w:pStyle w:val="20"/>
        <w:rPr>
          <w:color w:val="auto"/>
          <w:highlight w:val="none"/>
        </w:rPr>
      </w:pPr>
      <w:r>
        <w:rPr>
          <w:rFonts w:hint="eastAsia"/>
          <w:color w:val="auto"/>
          <w:highlight w:val="none"/>
          <w:lang w:eastAsia="zh-CN"/>
        </w:rPr>
        <w:t>评价</w:t>
      </w:r>
      <w:r>
        <w:rPr>
          <w:rFonts w:hint="eastAsia"/>
          <w:color w:val="auto"/>
          <w:highlight w:val="none"/>
        </w:rPr>
        <w:t>机构应在工作开始之前，按照RB/T 214的相关规定对委托方</w:t>
      </w:r>
      <w:r>
        <w:rPr>
          <w:color w:val="auto"/>
          <w:highlight w:val="none"/>
        </w:rPr>
        <w:t>要求进行评审</w:t>
      </w:r>
      <w:r>
        <w:rPr>
          <w:rFonts w:hint="eastAsia"/>
          <w:color w:val="auto"/>
          <w:highlight w:val="none"/>
        </w:rPr>
        <w:t>，并与</w:t>
      </w:r>
      <w:r>
        <w:rPr>
          <w:color w:val="auto"/>
          <w:highlight w:val="none"/>
        </w:rPr>
        <w:t>委托方签署相关合同</w:t>
      </w:r>
      <w:r>
        <w:rPr>
          <w:rFonts w:hint="eastAsia"/>
          <w:color w:val="auto"/>
          <w:highlight w:val="none"/>
        </w:rPr>
        <w:t>。合同评审内容应至少包括以下内容：</w:t>
      </w:r>
    </w:p>
    <w:p w14:paraId="0B5F0FF9">
      <w:pPr>
        <w:pStyle w:val="20"/>
        <w:rPr>
          <w:rFonts w:ascii="Times New Roman"/>
          <w:color w:val="auto"/>
          <w:highlight w:val="none"/>
        </w:rPr>
      </w:pPr>
      <w:r>
        <w:rPr>
          <w:rFonts w:hAnsi="宋体"/>
          <w:color w:val="auto"/>
          <w:highlight w:val="none"/>
        </w:rPr>
        <w:t>a</w:t>
      </w:r>
      <w:r>
        <w:rPr>
          <w:rFonts w:ascii="Times New Roman"/>
          <w:color w:val="auto"/>
          <w:highlight w:val="none"/>
        </w:rPr>
        <w:t>）</w:t>
      </w:r>
      <w:r>
        <w:rPr>
          <w:rFonts w:hint="eastAsia" w:ascii="Times New Roman"/>
          <w:color w:val="auto"/>
          <w:highlight w:val="none"/>
        </w:rPr>
        <w:t>快检产品样品状态；</w:t>
      </w:r>
    </w:p>
    <w:p w14:paraId="5003ADCB">
      <w:pPr>
        <w:pStyle w:val="20"/>
        <w:rPr>
          <w:rFonts w:ascii="Times New Roman"/>
          <w:color w:val="auto"/>
          <w:highlight w:val="none"/>
        </w:rPr>
      </w:pPr>
      <w:r>
        <w:rPr>
          <w:rFonts w:hAnsi="宋体"/>
          <w:color w:val="auto"/>
          <w:highlight w:val="none"/>
        </w:rPr>
        <w:t>b</w:t>
      </w:r>
      <w:r>
        <w:rPr>
          <w:rFonts w:hint="eastAsia" w:ascii="Times New Roman"/>
          <w:color w:val="auto"/>
          <w:highlight w:val="none"/>
        </w:rPr>
        <w:t>）</w:t>
      </w:r>
      <w:r>
        <w:rPr>
          <w:rFonts w:hint="eastAsia"/>
          <w:color w:val="auto"/>
          <w:highlight w:val="none"/>
        </w:rPr>
        <w:t>评价</w:t>
      </w:r>
      <w:r>
        <w:rPr>
          <w:color w:val="auto"/>
          <w:highlight w:val="none"/>
        </w:rPr>
        <w:t>用途</w:t>
      </w:r>
      <w:r>
        <w:rPr>
          <w:rFonts w:hint="eastAsia" w:ascii="Times New Roman"/>
          <w:color w:val="auto"/>
          <w:highlight w:val="none"/>
        </w:rPr>
        <w:t>；</w:t>
      </w:r>
    </w:p>
    <w:p w14:paraId="69706906">
      <w:pPr>
        <w:pStyle w:val="20"/>
        <w:rPr>
          <w:rFonts w:hint="eastAsia" w:ascii="Times New Roman"/>
          <w:color w:val="auto"/>
          <w:highlight w:val="none"/>
        </w:rPr>
      </w:pPr>
      <w:r>
        <w:rPr>
          <w:rFonts w:hint="eastAsia" w:hAnsi="宋体"/>
          <w:color w:val="auto"/>
          <w:highlight w:val="none"/>
        </w:rPr>
        <w:t>c</w:t>
      </w:r>
      <w:r>
        <w:rPr>
          <w:rFonts w:hint="eastAsia" w:ascii="Times New Roman"/>
          <w:color w:val="auto"/>
          <w:highlight w:val="none"/>
        </w:rPr>
        <w:t>）参比</w:t>
      </w:r>
      <w:r>
        <w:rPr>
          <w:rFonts w:ascii="Times New Roman"/>
          <w:color w:val="auto"/>
          <w:highlight w:val="none"/>
        </w:rPr>
        <w:t>方法</w:t>
      </w:r>
      <w:r>
        <w:rPr>
          <w:rFonts w:hint="eastAsia" w:ascii="Times New Roman"/>
          <w:color w:val="auto"/>
          <w:highlight w:val="none"/>
        </w:rPr>
        <w:t>；</w:t>
      </w:r>
    </w:p>
    <w:p w14:paraId="09CA6F41">
      <w:pPr>
        <w:pStyle w:val="20"/>
        <w:rPr>
          <w:rFonts w:hint="eastAsia" w:ascii="Times New Roman"/>
          <w:color w:val="auto"/>
          <w:highlight w:val="none"/>
        </w:rPr>
      </w:pPr>
      <w:r>
        <w:rPr>
          <w:rFonts w:hint="eastAsia" w:hAnsi="宋体"/>
          <w:color w:val="auto"/>
          <w:highlight w:val="none"/>
        </w:rPr>
        <w:t>d</w:t>
      </w:r>
      <w:r>
        <w:rPr>
          <w:rFonts w:hint="eastAsia" w:ascii="Times New Roman"/>
          <w:color w:val="auto"/>
          <w:highlight w:val="none"/>
        </w:rPr>
        <w:t>）</w:t>
      </w:r>
      <w:r>
        <w:rPr>
          <w:rFonts w:ascii="Times New Roman"/>
          <w:color w:val="auto"/>
          <w:highlight w:val="none"/>
        </w:rPr>
        <w:t>盲样基质</w:t>
      </w:r>
      <w:r>
        <w:rPr>
          <w:rFonts w:hint="eastAsia" w:ascii="Times New Roman"/>
          <w:color w:val="auto"/>
          <w:highlight w:val="none"/>
        </w:rPr>
        <w:t>；</w:t>
      </w:r>
    </w:p>
    <w:p w14:paraId="37E6A7AA">
      <w:pPr>
        <w:pStyle w:val="20"/>
        <w:rPr>
          <w:rFonts w:hint="eastAsia" w:ascii="Times New Roman"/>
          <w:color w:val="auto"/>
          <w:highlight w:val="none"/>
          <w:lang w:val="en-US" w:eastAsia="zh-CN"/>
        </w:rPr>
      </w:pPr>
      <w:r>
        <w:rPr>
          <w:rFonts w:hint="eastAsia" w:ascii="Times New Roman"/>
          <w:color w:val="auto"/>
          <w:highlight w:val="none"/>
          <w:lang w:val="en-US" w:eastAsia="zh-CN"/>
        </w:rPr>
        <w:t>e）判定规则；</w:t>
      </w:r>
    </w:p>
    <w:p w14:paraId="0D972280">
      <w:pPr>
        <w:pStyle w:val="20"/>
        <w:rPr>
          <w:rFonts w:hint="default" w:ascii="Times New Roman"/>
          <w:color w:val="auto"/>
          <w:highlight w:val="none"/>
          <w:lang w:val="en-US" w:eastAsia="zh-CN"/>
        </w:rPr>
      </w:pPr>
      <w:r>
        <w:rPr>
          <w:rFonts w:hint="eastAsia" w:ascii="Times New Roman"/>
          <w:color w:val="auto"/>
          <w:highlight w:val="none"/>
          <w:lang w:val="en-US" w:eastAsia="zh-CN"/>
        </w:rPr>
        <w:t>f）干扰物质。</w:t>
      </w:r>
    </w:p>
    <w:p w14:paraId="65F7B7C6">
      <w:pPr>
        <w:pStyle w:val="71"/>
        <w:rPr>
          <w:rFonts w:hint="eastAsia"/>
          <w:color w:val="auto"/>
          <w:highlight w:val="none"/>
        </w:rPr>
      </w:pPr>
      <w:bookmarkStart w:id="146" w:name="_Toc38036247"/>
      <w:bookmarkStart w:id="147" w:name="_Toc38036404"/>
      <w:bookmarkStart w:id="148" w:name="_Toc57127157"/>
      <w:bookmarkStart w:id="149" w:name="_Toc56503735"/>
      <w:r>
        <w:rPr>
          <w:rFonts w:hint="eastAsia"/>
          <w:color w:val="auto"/>
          <w:highlight w:val="none"/>
        </w:rPr>
        <w:t>样品管理</w:t>
      </w:r>
      <w:bookmarkEnd w:id="146"/>
      <w:bookmarkEnd w:id="147"/>
      <w:bookmarkEnd w:id="148"/>
      <w:bookmarkEnd w:id="149"/>
    </w:p>
    <w:p w14:paraId="3F9445F6">
      <w:pPr>
        <w:pStyle w:val="70"/>
        <w:spacing w:before="156" w:after="156"/>
        <w:rPr>
          <w:rFonts w:hint="eastAsia"/>
          <w:color w:val="auto"/>
          <w:highlight w:val="none"/>
        </w:rPr>
      </w:pPr>
      <w:r>
        <w:rPr>
          <w:rFonts w:hint="eastAsia"/>
          <w:color w:val="auto"/>
          <w:highlight w:val="none"/>
        </w:rPr>
        <w:t>样品获取</w:t>
      </w:r>
    </w:p>
    <w:p w14:paraId="691E2DAD">
      <w:pPr>
        <w:pStyle w:val="20"/>
        <w:rPr>
          <w:rFonts w:hint="eastAsia"/>
          <w:color w:val="auto"/>
          <w:highlight w:val="none"/>
        </w:rPr>
      </w:pPr>
      <w:r>
        <w:rPr>
          <w:rFonts w:hint="eastAsia"/>
          <w:color w:val="auto"/>
          <w:highlight w:val="none"/>
        </w:rPr>
        <w:t>食品快速检测产品由委托方提供。每次评价应采用同一批次的快速检测产品进行评价。每批快检产品</w:t>
      </w:r>
      <w:r>
        <w:rPr>
          <w:color w:val="auto"/>
          <w:highlight w:val="none"/>
        </w:rPr>
        <w:t>数量除满足评价要求外，</w:t>
      </w:r>
      <w:r>
        <w:rPr>
          <w:rFonts w:hint="eastAsia"/>
          <w:color w:val="auto"/>
          <w:highlight w:val="none"/>
        </w:rPr>
        <w:t>样品应有重新评价的备样</w:t>
      </w:r>
      <w:r>
        <w:rPr>
          <w:color w:val="auto"/>
          <w:highlight w:val="none"/>
        </w:rPr>
        <w:t>。</w:t>
      </w:r>
    </w:p>
    <w:p w14:paraId="58507EC5">
      <w:pPr>
        <w:pStyle w:val="70"/>
        <w:spacing w:before="156" w:after="156"/>
        <w:rPr>
          <w:rFonts w:hint="eastAsia"/>
          <w:color w:val="auto"/>
          <w:highlight w:val="none"/>
        </w:rPr>
      </w:pPr>
      <w:r>
        <w:rPr>
          <w:rFonts w:hint="eastAsia"/>
          <w:color w:val="auto"/>
          <w:highlight w:val="none"/>
        </w:rPr>
        <w:t>样品保存</w:t>
      </w:r>
    </w:p>
    <w:p w14:paraId="27D3930B">
      <w:pPr>
        <w:pStyle w:val="20"/>
        <w:rPr>
          <w:color w:val="auto"/>
          <w:highlight w:val="none"/>
        </w:rPr>
      </w:pPr>
      <w:r>
        <w:rPr>
          <w:rFonts w:hint="eastAsia"/>
          <w:color w:val="auto"/>
          <w:highlight w:val="none"/>
        </w:rPr>
        <w:t>快检产品样品</w:t>
      </w:r>
      <w:r>
        <w:rPr>
          <w:color w:val="auto"/>
          <w:highlight w:val="none"/>
        </w:rPr>
        <w:t>应按</w:t>
      </w:r>
      <w:r>
        <w:rPr>
          <w:rFonts w:hint="eastAsia"/>
          <w:color w:val="auto"/>
          <w:highlight w:val="none"/>
        </w:rPr>
        <w:t>产品说明书</w:t>
      </w:r>
      <w:r>
        <w:rPr>
          <w:color w:val="auto"/>
          <w:highlight w:val="none"/>
        </w:rPr>
        <w:t>规定保</w:t>
      </w:r>
      <w:r>
        <w:rPr>
          <w:rFonts w:hint="eastAsia"/>
          <w:color w:val="auto"/>
          <w:highlight w:val="none"/>
        </w:rPr>
        <w:t>存。留样保存与处理按评价委托合同要求执行，样品剩余保质期不足</w:t>
      </w:r>
      <w:r>
        <w:rPr>
          <w:rFonts w:hint="eastAsia"/>
          <w:color w:val="auto"/>
          <w:highlight w:val="none"/>
          <w:lang w:eastAsia="zh-CN"/>
        </w:rPr>
        <w:t>要求</w:t>
      </w:r>
      <w:r>
        <w:rPr>
          <w:rFonts w:hint="eastAsia"/>
          <w:color w:val="auto"/>
          <w:highlight w:val="none"/>
        </w:rPr>
        <w:t>的，应当保存至保质期结束</w:t>
      </w:r>
      <w:r>
        <w:rPr>
          <w:color w:val="auto"/>
          <w:highlight w:val="none"/>
        </w:rPr>
        <w:t>。</w:t>
      </w:r>
    </w:p>
    <w:p w14:paraId="22AB6B0E">
      <w:pPr>
        <w:pStyle w:val="71"/>
        <w:rPr>
          <w:rFonts w:hint="eastAsia"/>
          <w:color w:val="auto"/>
          <w:highlight w:val="none"/>
        </w:rPr>
      </w:pPr>
      <w:bookmarkStart w:id="150" w:name="_Toc56503736"/>
      <w:bookmarkStart w:id="151" w:name="_Toc57127158"/>
      <w:r>
        <w:rPr>
          <w:rFonts w:hint="eastAsia"/>
          <w:color w:val="auto"/>
          <w:highlight w:val="none"/>
        </w:rPr>
        <w:t>一般指标评价</w:t>
      </w:r>
      <w:bookmarkEnd w:id="150"/>
      <w:bookmarkEnd w:id="151"/>
    </w:p>
    <w:p w14:paraId="36BB51E5">
      <w:pPr>
        <w:pStyle w:val="20"/>
        <w:rPr>
          <w:rFonts w:hint="eastAsia" w:eastAsia="宋体"/>
          <w:color w:val="auto"/>
          <w:highlight w:val="none"/>
          <w:lang w:eastAsia="zh-CN"/>
        </w:rPr>
      </w:pPr>
      <w:r>
        <w:rPr>
          <w:rFonts w:hint="eastAsia"/>
          <w:color w:val="auto"/>
          <w:highlight w:val="none"/>
          <w:lang w:eastAsia="zh-CN"/>
        </w:rPr>
        <w:t>评价</w:t>
      </w:r>
      <w:r>
        <w:rPr>
          <w:rFonts w:hint="eastAsia"/>
          <w:color w:val="auto"/>
          <w:highlight w:val="none"/>
        </w:rPr>
        <w:t>机构应首先对快速检测产品的一般指标进行评价。当一般指标评价结果异常，且影响技术指标评价时，评价工作终止，并及时告知委托方。一般指标</w:t>
      </w:r>
      <w:r>
        <w:rPr>
          <w:rFonts w:hint="eastAsia"/>
          <w:color w:val="auto"/>
          <w:highlight w:val="none"/>
          <w:lang w:eastAsia="zh-CN"/>
        </w:rPr>
        <w:t>主要包括：</w:t>
      </w:r>
      <w:r>
        <w:rPr>
          <w:rFonts w:hint="eastAsia"/>
          <w:color w:val="auto"/>
          <w:highlight w:val="none"/>
        </w:rPr>
        <w:t>产品</w:t>
      </w:r>
      <w:r>
        <w:rPr>
          <w:rFonts w:hint="eastAsia"/>
          <w:color w:val="auto"/>
          <w:highlight w:val="none"/>
          <w:lang w:eastAsia="zh-CN"/>
        </w:rPr>
        <w:t>外观、</w:t>
      </w:r>
      <w:r>
        <w:rPr>
          <w:rFonts w:hint="eastAsia"/>
          <w:color w:val="auto"/>
          <w:highlight w:val="none"/>
        </w:rPr>
        <w:t>产品包装、使用说明书、生产资质和使用安全性等</w:t>
      </w:r>
      <w:r>
        <w:rPr>
          <w:rFonts w:hint="eastAsia"/>
          <w:color w:val="auto"/>
          <w:highlight w:val="none"/>
          <w:lang w:eastAsia="zh-CN"/>
        </w:rPr>
        <w:t>。经评价符合要求的快检产品，中文标签、使用说明书不得随意修改。</w:t>
      </w:r>
    </w:p>
    <w:p w14:paraId="4C43C811">
      <w:pPr>
        <w:pStyle w:val="71"/>
        <w:rPr>
          <w:rFonts w:hint="eastAsia"/>
          <w:color w:val="auto"/>
          <w:highlight w:val="none"/>
        </w:rPr>
      </w:pPr>
      <w:bookmarkStart w:id="152" w:name="_Toc38036249"/>
      <w:bookmarkStart w:id="153" w:name="_Toc38036406"/>
      <w:bookmarkStart w:id="154" w:name="_Toc57127159"/>
      <w:bookmarkStart w:id="155" w:name="_Toc56503737"/>
      <w:r>
        <w:rPr>
          <w:rFonts w:hint="eastAsia"/>
          <w:color w:val="auto"/>
          <w:highlight w:val="none"/>
        </w:rPr>
        <w:t>技术指标评价</w:t>
      </w:r>
      <w:bookmarkEnd w:id="152"/>
      <w:bookmarkEnd w:id="153"/>
      <w:bookmarkEnd w:id="154"/>
      <w:bookmarkEnd w:id="155"/>
    </w:p>
    <w:p w14:paraId="15BED66D">
      <w:pPr>
        <w:pStyle w:val="70"/>
        <w:spacing w:before="156" w:after="156"/>
        <w:rPr>
          <w:rFonts w:hint="eastAsia"/>
          <w:color w:val="auto"/>
          <w:highlight w:val="none"/>
        </w:rPr>
      </w:pPr>
      <w:r>
        <w:rPr>
          <w:rFonts w:hint="eastAsia"/>
          <w:color w:val="auto"/>
          <w:highlight w:val="none"/>
        </w:rPr>
        <w:t>制定方案</w:t>
      </w:r>
    </w:p>
    <w:p w14:paraId="78DDD2ED">
      <w:pPr>
        <w:pStyle w:val="20"/>
        <w:rPr>
          <w:rFonts w:hint="eastAsia"/>
          <w:color w:val="auto"/>
          <w:highlight w:val="none"/>
        </w:rPr>
      </w:pPr>
      <w:r>
        <w:rPr>
          <w:rFonts w:hint="eastAsia"/>
          <w:color w:val="auto"/>
          <w:highlight w:val="none"/>
          <w:lang w:eastAsia="zh-CN"/>
        </w:rPr>
        <w:t>评价</w:t>
      </w:r>
      <w:r>
        <w:rPr>
          <w:rFonts w:hint="eastAsia"/>
          <w:color w:val="auto"/>
          <w:highlight w:val="none"/>
        </w:rPr>
        <w:t>机构对需要开展技术指标评价的快速检测产品，应根据食品快速检测产品的实验原理、适用范围、性能指标、操作步骤、结果判断、注意事项等相关信息，拟定具体的评价方案，应至少包括以下内容：</w:t>
      </w:r>
    </w:p>
    <w:p w14:paraId="4E60E63E">
      <w:pPr>
        <w:pStyle w:val="20"/>
        <w:rPr>
          <w:rFonts w:hint="eastAsia"/>
          <w:color w:val="auto"/>
          <w:highlight w:val="none"/>
        </w:rPr>
      </w:pPr>
      <w:r>
        <w:rPr>
          <w:rFonts w:hint="eastAsia"/>
          <w:color w:val="auto"/>
          <w:highlight w:val="none"/>
        </w:rPr>
        <w:t>a）方案实施程序；</w:t>
      </w:r>
    </w:p>
    <w:p w14:paraId="5A78B1F4">
      <w:pPr>
        <w:pStyle w:val="20"/>
        <w:rPr>
          <w:rFonts w:hint="eastAsia"/>
          <w:color w:val="auto"/>
          <w:highlight w:val="none"/>
        </w:rPr>
      </w:pPr>
      <w:r>
        <w:rPr>
          <w:rFonts w:hint="eastAsia"/>
          <w:color w:val="auto"/>
          <w:highlight w:val="none"/>
        </w:rPr>
        <w:t>b）评价内容及依据；</w:t>
      </w:r>
    </w:p>
    <w:p w14:paraId="1407CC4C">
      <w:pPr>
        <w:pStyle w:val="20"/>
        <w:rPr>
          <w:rFonts w:hint="eastAsia"/>
          <w:color w:val="auto"/>
          <w:highlight w:val="none"/>
        </w:rPr>
      </w:pPr>
      <w:r>
        <w:rPr>
          <w:rFonts w:hint="eastAsia"/>
          <w:color w:val="auto"/>
          <w:highlight w:val="none"/>
        </w:rPr>
        <w:t>c）评价比较用参考限值标准及参比方法；</w:t>
      </w:r>
    </w:p>
    <w:p w14:paraId="17D484F2">
      <w:pPr>
        <w:pStyle w:val="20"/>
        <w:rPr>
          <w:rFonts w:hint="eastAsia"/>
          <w:color w:val="auto"/>
          <w:highlight w:val="none"/>
        </w:rPr>
      </w:pPr>
      <w:r>
        <w:rPr>
          <w:rFonts w:hint="eastAsia"/>
          <w:color w:val="auto"/>
          <w:highlight w:val="none"/>
        </w:rPr>
        <w:t>d）盲样制备；</w:t>
      </w:r>
    </w:p>
    <w:p w14:paraId="6C8C718E">
      <w:pPr>
        <w:pStyle w:val="20"/>
        <w:rPr>
          <w:rFonts w:hint="eastAsia"/>
          <w:color w:val="auto"/>
          <w:highlight w:val="none"/>
        </w:rPr>
      </w:pPr>
      <w:r>
        <w:rPr>
          <w:rFonts w:hint="eastAsia"/>
          <w:color w:val="auto"/>
          <w:highlight w:val="none"/>
        </w:rPr>
        <w:t>e）结果判断及统计方式。</w:t>
      </w:r>
    </w:p>
    <w:p w14:paraId="66AA79F8">
      <w:pPr>
        <w:pStyle w:val="70"/>
        <w:spacing w:before="156" w:after="156"/>
        <w:rPr>
          <w:rFonts w:hint="eastAsia"/>
          <w:color w:val="auto"/>
          <w:highlight w:val="none"/>
        </w:rPr>
      </w:pPr>
      <w:r>
        <w:rPr>
          <w:rFonts w:hint="eastAsia"/>
          <w:color w:val="auto"/>
          <w:highlight w:val="none"/>
        </w:rPr>
        <w:t>试验测试</w:t>
      </w:r>
    </w:p>
    <w:p w14:paraId="15789472">
      <w:pPr>
        <w:pStyle w:val="20"/>
        <w:rPr>
          <w:color w:val="auto"/>
          <w:highlight w:val="none"/>
        </w:rPr>
      </w:pPr>
      <w:r>
        <w:rPr>
          <w:rFonts w:hint="eastAsia"/>
          <w:color w:val="auto"/>
          <w:highlight w:val="none"/>
          <w:lang w:eastAsia="zh-CN"/>
        </w:rPr>
        <w:t>评价</w:t>
      </w:r>
      <w:r>
        <w:rPr>
          <w:color w:val="auto"/>
          <w:highlight w:val="none"/>
        </w:rPr>
        <w:t>机构</w:t>
      </w:r>
      <w:r>
        <w:rPr>
          <w:rFonts w:hint="eastAsia"/>
          <w:color w:val="auto"/>
          <w:highlight w:val="none"/>
          <w:lang w:eastAsia="zh-CN"/>
        </w:rPr>
        <w:t>参</w:t>
      </w:r>
      <w:r>
        <w:rPr>
          <w:rFonts w:hint="eastAsia"/>
          <w:color w:val="auto"/>
          <w:highlight w:val="none"/>
        </w:rPr>
        <w:t>照</w:t>
      </w:r>
      <w:r>
        <w:rPr>
          <w:rFonts w:hint="eastAsia" w:hAnsi="宋体"/>
          <w:color w:val="auto"/>
          <w:highlight w:val="none"/>
        </w:rPr>
        <w:t>《</w:t>
      </w:r>
      <w:r>
        <w:rPr>
          <w:rFonts w:hint="eastAsia" w:ascii="宋体" w:hAnsi="宋体" w:cs="仿宋_GB2312"/>
          <w:color w:val="auto"/>
          <w:kern w:val="0"/>
          <w:szCs w:val="21"/>
          <w:highlight w:val="none"/>
          <w:lang w:eastAsia="zh-CN"/>
        </w:rPr>
        <w:t>市场监管总局</w:t>
      </w:r>
      <w:r>
        <w:rPr>
          <w:rFonts w:hint="eastAsia" w:ascii="宋体" w:hAnsi="宋体" w:cs="仿宋_GB2312"/>
          <w:color w:val="auto"/>
          <w:kern w:val="0"/>
          <w:szCs w:val="21"/>
          <w:highlight w:val="none"/>
        </w:rPr>
        <w:t>关于规范食品快速检测使用的意见</w:t>
      </w:r>
      <w:r>
        <w:rPr>
          <w:rFonts w:hint="eastAsia" w:hAnsi="宋体"/>
          <w:color w:val="auto"/>
          <w:highlight w:val="none"/>
        </w:rPr>
        <w:t>》（国市监食检规〔2023〕1号）</w:t>
      </w:r>
      <w:r>
        <w:rPr>
          <w:rFonts w:hint="eastAsia"/>
          <w:color w:val="auto"/>
          <w:highlight w:val="none"/>
        </w:rPr>
        <w:t>的相关规定</w:t>
      </w:r>
      <w:r>
        <w:rPr>
          <w:rFonts w:hint="eastAsia"/>
          <w:color w:val="auto"/>
          <w:highlight w:val="none"/>
          <w:lang w:eastAsia="zh-CN"/>
        </w:rPr>
        <w:t>，按本标准中各指标要求</w:t>
      </w:r>
      <w:r>
        <w:rPr>
          <w:color w:val="auto"/>
          <w:highlight w:val="none"/>
        </w:rPr>
        <w:t>进行试验测试，</w:t>
      </w:r>
      <w:r>
        <w:rPr>
          <w:rFonts w:hint="eastAsia"/>
          <w:color w:val="auto"/>
          <w:highlight w:val="none"/>
        </w:rPr>
        <w:t>并应至少</w:t>
      </w:r>
      <w:r>
        <w:rPr>
          <w:color w:val="auto"/>
          <w:highlight w:val="none"/>
        </w:rPr>
        <w:t>包括</w:t>
      </w:r>
      <w:r>
        <w:rPr>
          <w:rFonts w:hint="eastAsia"/>
          <w:color w:val="auto"/>
          <w:highlight w:val="none"/>
        </w:rPr>
        <w:t>以下内容：</w:t>
      </w:r>
    </w:p>
    <w:p w14:paraId="1ECF2190">
      <w:pPr>
        <w:pStyle w:val="20"/>
        <w:rPr>
          <w:rFonts w:hint="eastAsia"/>
          <w:color w:val="auto"/>
          <w:highlight w:val="none"/>
        </w:rPr>
      </w:pPr>
      <w:r>
        <w:rPr>
          <w:rFonts w:hint="eastAsia"/>
          <w:color w:val="auto"/>
          <w:highlight w:val="none"/>
        </w:rPr>
        <w:t>a）按照</w:t>
      </w:r>
      <w:r>
        <w:rPr>
          <w:color w:val="auto"/>
          <w:highlight w:val="none"/>
        </w:rPr>
        <w:t>产品说明书</w:t>
      </w:r>
      <w:r>
        <w:rPr>
          <w:rFonts w:hint="eastAsia"/>
          <w:color w:val="auto"/>
          <w:highlight w:val="none"/>
        </w:rPr>
        <w:t>/相关</w:t>
      </w:r>
      <w:r>
        <w:rPr>
          <w:color w:val="auto"/>
          <w:highlight w:val="none"/>
        </w:rPr>
        <w:t>规定</w:t>
      </w:r>
      <w:r>
        <w:rPr>
          <w:rFonts w:hint="eastAsia"/>
          <w:color w:val="auto"/>
          <w:highlight w:val="none"/>
        </w:rPr>
        <w:t>，</w:t>
      </w:r>
      <w:r>
        <w:rPr>
          <w:color w:val="auto"/>
          <w:highlight w:val="none"/>
        </w:rPr>
        <w:t>在符合规定的环境条件下，</w:t>
      </w:r>
      <w:r>
        <w:rPr>
          <w:rFonts w:hint="eastAsia"/>
          <w:color w:val="auto"/>
          <w:highlight w:val="none"/>
        </w:rPr>
        <w:t>对试样</w:t>
      </w:r>
      <w:r>
        <w:rPr>
          <w:color w:val="auto"/>
          <w:highlight w:val="none"/>
        </w:rPr>
        <w:t>进行前处理</w:t>
      </w:r>
      <w:r>
        <w:rPr>
          <w:rFonts w:hint="eastAsia"/>
          <w:color w:val="auto"/>
          <w:highlight w:val="none"/>
        </w:rPr>
        <w:t>和评价试验，</w:t>
      </w:r>
      <w:r>
        <w:rPr>
          <w:color w:val="auto"/>
          <w:highlight w:val="none"/>
        </w:rPr>
        <w:t>并</w:t>
      </w:r>
      <w:r>
        <w:rPr>
          <w:rFonts w:hint="eastAsia"/>
          <w:color w:val="auto"/>
          <w:highlight w:val="none"/>
        </w:rPr>
        <w:t>详细</w:t>
      </w:r>
      <w:r>
        <w:rPr>
          <w:color w:val="auto"/>
          <w:highlight w:val="none"/>
        </w:rPr>
        <w:t>记录</w:t>
      </w:r>
      <w:r>
        <w:rPr>
          <w:rFonts w:hint="eastAsia"/>
          <w:color w:val="auto"/>
          <w:highlight w:val="none"/>
        </w:rPr>
        <w:t>实施过程的</w:t>
      </w:r>
      <w:r>
        <w:rPr>
          <w:color w:val="auto"/>
          <w:highlight w:val="none"/>
        </w:rPr>
        <w:t>相关信息</w:t>
      </w:r>
      <w:r>
        <w:rPr>
          <w:rFonts w:hint="eastAsia"/>
          <w:color w:val="auto"/>
          <w:highlight w:val="none"/>
        </w:rPr>
        <w:t>。食品快速检测产品评价实验原始记录模板见附录A；</w:t>
      </w:r>
    </w:p>
    <w:p w14:paraId="2A4CD003">
      <w:pPr>
        <w:pStyle w:val="20"/>
        <w:rPr>
          <w:rFonts w:hint="eastAsia"/>
          <w:color w:val="auto"/>
          <w:highlight w:val="none"/>
        </w:rPr>
      </w:pPr>
      <w:r>
        <w:rPr>
          <w:rFonts w:hint="eastAsia"/>
          <w:color w:val="auto"/>
          <w:highlight w:val="none"/>
        </w:rPr>
        <w:t>b）</w:t>
      </w:r>
      <w:r>
        <w:rPr>
          <w:color w:val="auto"/>
          <w:highlight w:val="none"/>
        </w:rPr>
        <w:t>评价应进行双盲检测，待评价食品快速检测</w:t>
      </w:r>
      <w:r>
        <w:rPr>
          <w:rFonts w:hint="eastAsia"/>
          <w:color w:val="auto"/>
          <w:highlight w:val="none"/>
        </w:rPr>
        <w:t>产品</w:t>
      </w:r>
      <w:r>
        <w:rPr>
          <w:color w:val="auto"/>
          <w:highlight w:val="none"/>
        </w:rPr>
        <w:t>和参比方法平行利用盲样进行测试，用于方法间一致性评价</w:t>
      </w:r>
      <w:r>
        <w:rPr>
          <w:rFonts w:hint="eastAsia"/>
          <w:color w:val="auto"/>
          <w:highlight w:val="none"/>
        </w:rPr>
        <w:t>；</w:t>
      </w:r>
    </w:p>
    <w:p w14:paraId="722DD0D8">
      <w:pPr>
        <w:pStyle w:val="20"/>
        <w:rPr>
          <w:color w:val="auto"/>
          <w:highlight w:val="none"/>
        </w:rPr>
      </w:pPr>
      <w:r>
        <w:rPr>
          <w:rFonts w:hint="eastAsia"/>
          <w:color w:val="auto"/>
          <w:highlight w:val="none"/>
        </w:rPr>
        <w:t>c）</w:t>
      </w:r>
      <w:r>
        <w:rPr>
          <w:color w:val="auto"/>
          <w:highlight w:val="none"/>
        </w:rPr>
        <w:t>给出差异比较结果，具备数值的应有统计识别结论，统计方法可根据实际情况进行设定，但需说明理由</w:t>
      </w:r>
      <w:r>
        <w:rPr>
          <w:rFonts w:hint="eastAsia"/>
          <w:color w:val="auto"/>
          <w:highlight w:val="none"/>
        </w:rPr>
        <w:t>；</w:t>
      </w:r>
    </w:p>
    <w:p w14:paraId="1C231DD2">
      <w:pPr>
        <w:pStyle w:val="20"/>
        <w:rPr>
          <w:color w:val="auto"/>
          <w:highlight w:val="none"/>
        </w:rPr>
      </w:pPr>
      <w:r>
        <w:rPr>
          <w:rFonts w:hint="eastAsia"/>
          <w:color w:val="auto"/>
          <w:highlight w:val="none"/>
          <w:lang w:val="en-US" w:eastAsia="zh-CN"/>
        </w:rPr>
        <w:t>d</w:t>
      </w:r>
      <w:r>
        <w:rPr>
          <w:rFonts w:hint="eastAsia"/>
          <w:color w:val="auto"/>
          <w:highlight w:val="none"/>
        </w:rPr>
        <w:t>）</w:t>
      </w:r>
      <w:r>
        <w:rPr>
          <w:color w:val="auto"/>
          <w:highlight w:val="none"/>
        </w:rPr>
        <w:t>如存在或易获得，应进行</w:t>
      </w:r>
      <w:r>
        <w:rPr>
          <w:rFonts w:hint="eastAsia"/>
          <w:color w:val="auto"/>
          <w:highlight w:val="none"/>
          <w:lang w:eastAsia="zh-CN"/>
        </w:rPr>
        <w:t>实际</w:t>
      </w:r>
      <w:r>
        <w:rPr>
          <w:color w:val="auto"/>
          <w:highlight w:val="none"/>
        </w:rPr>
        <w:t>阳性</w:t>
      </w:r>
      <w:r>
        <w:rPr>
          <w:rFonts w:hint="eastAsia"/>
          <w:color w:val="auto"/>
          <w:highlight w:val="none"/>
          <w:lang w:eastAsia="zh-CN"/>
        </w:rPr>
        <w:t>样品</w:t>
      </w:r>
      <w:r>
        <w:rPr>
          <w:color w:val="auto"/>
          <w:highlight w:val="none"/>
        </w:rPr>
        <w:t>复核测试；</w:t>
      </w:r>
    </w:p>
    <w:p w14:paraId="7422D5F5">
      <w:pPr>
        <w:pStyle w:val="20"/>
        <w:rPr>
          <w:rFonts w:hint="eastAsia"/>
          <w:color w:val="auto"/>
          <w:highlight w:val="none"/>
        </w:rPr>
      </w:pPr>
      <w:r>
        <w:rPr>
          <w:rFonts w:hint="eastAsia"/>
          <w:color w:val="auto"/>
          <w:highlight w:val="none"/>
          <w:lang w:val="en-US" w:eastAsia="zh-CN"/>
        </w:rPr>
        <w:t>e</w:t>
      </w:r>
      <w:r>
        <w:rPr>
          <w:rFonts w:hint="eastAsia"/>
          <w:color w:val="auto"/>
          <w:highlight w:val="none"/>
        </w:rPr>
        <w:t>）</w:t>
      </w:r>
      <w:r>
        <w:rPr>
          <w:rFonts w:hint="eastAsia"/>
          <w:highlight w:val="none"/>
          <w:lang w:val="en-US" w:eastAsia="zh-CN"/>
        </w:rPr>
        <w:t>明确</w:t>
      </w:r>
      <w:r>
        <w:rPr>
          <w:color w:val="auto"/>
          <w:highlight w:val="none"/>
        </w:rPr>
        <w:t>操作环境、方法用时、操作难易</w:t>
      </w:r>
      <w:r>
        <w:rPr>
          <w:rFonts w:hint="eastAsia"/>
          <w:color w:val="auto"/>
          <w:highlight w:val="none"/>
        </w:rPr>
        <w:t>、辅助设备</w:t>
      </w:r>
      <w:r>
        <w:rPr>
          <w:color w:val="auto"/>
          <w:highlight w:val="none"/>
        </w:rPr>
        <w:t>等情况</w:t>
      </w:r>
      <w:r>
        <w:rPr>
          <w:rFonts w:hint="eastAsia"/>
          <w:color w:val="auto"/>
          <w:highlight w:val="none"/>
        </w:rPr>
        <w:t>；</w:t>
      </w:r>
    </w:p>
    <w:p w14:paraId="65CAF006">
      <w:pPr>
        <w:pStyle w:val="20"/>
        <w:rPr>
          <w:rFonts w:hint="eastAsia"/>
          <w:color w:val="auto"/>
          <w:highlight w:val="none"/>
        </w:rPr>
      </w:pPr>
      <w:r>
        <w:rPr>
          <w:rFonts w:hint="eastAsia"/>
          <w:color w:val="auto"/>
          <w:highlight w:val="none"/>
          <w:lang w:val="en-US" w:eastAsia="zh-CN"/>
        </w:rPr>
        <w:t>f</w:t>
      </w:r>
      <w:r>
        <w:rPr>
          <w:rFonts w:hint="eastAsia"/>
          <w:color w:val="auto"/>
          <w:highlight w:val="none"/>
        </w:rPr>
        <w:t>）</w:t>
      </w:r>
      <w:r>
        <w:rPr>
          <w:color w:val="auto"/>
          <w:highlight w:val="none"/>
        </w:rPr>
        <w:t>针对多成分方法，每种</w:t>
      </w:r>
      <w:r>
        <w:rPr>
          <w:rFonts w:hint="eastAsia"/>
          <w:color w:val="auto"/>
          <w:highlight w:val="none"/>
          <w:lang w:eastAsia="zh-CN"/>
        </w:rPr>
        <w:t>评价项目</w:t>
      </w:r>
      <w:r>
        <w:rPr>
          <w:color w:val="auto"/>
          <w:highlight w:val="none"/>
        </w:rPr>
        <w:t>均需有检测结果和相应评价参数结果；</w:t>
      </w:r>
    </w:p>
    <w:p w14:paraId="24A1EF7A">
      <w:pPr>
        <w:pStyle w:val="20"/>
        <w:rPr>
          <w:color w:val="auto"/>
          <w:highlight w:val="none"/>
        </w:rPr>
      </w:pPr>
      <w:r>
        <w:rPr>
          <w:rFonts w:hint="eastAsia"/>
          <w:color w:val="auto"/>
          <w:highlight w:val="none"/>
          <w:lang w:val="en-US" w:eastAsia="zh-CN"/>
        </w:rPr>
        <w:t>g</w:t>
      </w:r>
      <w:r>
        <w:rPr>
          <w:rFonts w:hint="eastAsia"/>
          <w:color w:val="auto"/>
          <w:highlight w:val="none"/>
        </w:rPr>
        <w:t>）</w:t>
      </w:r>
      <w:r>
        <w:rPr>
          <w:color w:val="auto"/>
          <w:highlight w:val="none"/>
        </w:rPr>
        <w:t>对于多检测规格产品，应根据其实际规格制定具体评价浓度范围和水平，并在结果判断中注明适用检测范围。</w:t>
      </w:r>
    </w:p>
    <w:p w14:paraId="2E4B304B">
      <w:pPr>
        <w:pStyle w:val="62"/>
        <w:rPr>
          <w:rFonts w:hint="eastAsia"/>
          <w:color w:val="auto"/>
          <w:highlight w:val="none"/>
        </w:rPr>
      </w:pPr>
      <w:bookmarkStart w:id="156" w:name="_Toc38036407"/>
      <w:bookmarkStart w:id="157" w:name="_Toc56503738"/>
      <w:bookmarkStart w:id="158" w:name="_Toc38036250"/>
      <w:bookmarkStart w:id="159" w:name="_Toc57127160"/>
      <w:bookmarkStart w:id="160" w:name="_Toc57127171"/>
      <w:bookmarkStart w:id="161" w:name="_Toc56504131"/>
      <w:r>
        <w:rPr>
          <w:rFonts w:hint="eastAsia"/>
          <w:color w:val="auto"/>
          <w:highlight w:val="none"/>
        </w:rPr>
        <w:t>评价结果及报告出具</w:t>
      </w:r>
      <w:bookmarkEnd w:id="156"/>
      <w:bookmarkEnd w:id="157"/>
      <w:bookmarkEnd w:id="158"/>
      <w:bookmarkEnd w:id="159"/>
      <w:bookmarkEnd w:id="160"/>
      <w:bookmarkEnd w:id="161"/>
    </w:p>
    <w:p w14:paraId="1A9E877E">
      <w:pPr>
        <w:pStyle w:val="20"/>
        <w:rPr>
          <w:color w:val="auto"/>
          <w:highlight w:val="none"/>
        </w:rPr>
      </w:pPr>
      <w:r>
        <w:rPr>
          <w:rFonts w:hint="eastAsia"/>
          <w:color w:val="auto"/>
          <w:highlight w:val="none"/>
        </w:rPr>
        <w:t>对评价结果进行汇总计算分析，与相应食品快检方法的技术指标进行比较，并出具快速检测产品评价报告。食品快速检测产品技术指标计算表见附录</w:t>
      </w:r>
      <w:r>
        <w:rPr>
          <w:rFonts w:hAnsi="宋体"/>
          <w:color w:val="auto"/>
          <w:highlight w:val="none"/>
        </w:rPr>
        <w:t>B</w:t>
      </w:r>
      <w:r>
        <w:rPr>
          <w:rFonts w:hint="eastAsia"/>
          <w:color w:val="auto"/>
          <w:highlight w:val="none"/>
        </w:rPr>
        <w:t>，食品快速检测产品评价报告模板见附录</w:t>
      </w:r>
      <w:r>
        <w:rPr>
          <w:rFonts w:hint="eastAsia" w:hAnsi="宋体"/>
          <w:color w:val="auto"/>
          <w:highlight w:val="none"/>
        </w:rPr>
        <w:t>C</w:t>
      </w:r>
      <w:r>
        <w:rPr>
          <w:rFonts w:hint="eastAsia"/>
          <w:color w:val="auto"/>
          <w:highlight w:val="none"/>
        </w:rPr>
        <w:t>。</w:t>
      </w:r>
    </w:p>
    <w:p w14:paraId="523EF9E8">
      <w:pPr>
        <w:pStyle w:val="20"/>
        <w:rPr>
          <w:color w:val="auto"/>
          <w:highlight w:val="none"/>
        </w:rPr>
      </w:pPr>
      <w:r>
        <w:rPr>
          <w:rFonts w:hint="eastAsia"/>
          <w:color w:val="auto"/>
          <w:highlight w:val="none"/>
          <w:lang w:eastAsia="zh-CN"/>
        </w:rPr>
        <w:t>评价</w:t>
      </w:r>
      <w:r>
        <w:rPr>
          <w:rFonts w:hint="eastAsia"/>
          <w:color w:val="auto"/>
          <w:highlight w:val="none"/>
        </w:rPr>
        <w:t>机构</w:t>
      </w:r>
      <w:r>
        <w:rPr>
          <w:color w:val="auto"/>
          <w:highlight w:val="none"/>
        </w:rPr>
        <w:t>应出具技术评价报告，对评价整体情况和结果进行汇总整理和分析</w:t>
      </w:r>
      <w:r>
        <w:rPr>
          <w:rFonts w:hint="eastAsia"/>
          <w:color w:val="auto"/>
          <w:highlight w:val="none"/>
        </w:rPr>
        <w:t>。</w:t>
      </w:r>
      <w:r>
        <w:rPr>
          <w:color w:val="auto"/>
          <w:highlight w:val="none"/>
        </w:rPr>
        <w:t>报告中应</w:t>
      </w:r>
      <w:r>
        <w:rPr>
          <w:rFonts w:hint="eastAsia"/>
          <w:color w:val="auto"/>
          <w:highlight w:val="none"/>
        </w:rPr>
        <w:t>至少包括</w:t>
      </w:r>
      <w:r>
        <w:rPr>
          <w:color w:val="auto"/>
          <w:highlight w:val="none"/>
        </w:rPr>
        <w:t>以下内容</w:t>
      </w:r>
      <w:r>
        <w:rPr>
          <w:rFonts w:hint="eastAsia"/>
          <w:color w:val="auto"/>
          <w:highlight w:val="none"/>
        </w:rPr>
        <w:t>：</w:t>
      </w:r>
    </w:p>
    <w:p w14:paraId="5A59393F">
      <w:pPr>
        <w:pStyle w:val="20"/>
        <w:rPr>
          <w:rFonts w:hint="eastAsia"/>
          <w:color w:val="auto"/>
          <w:highlight w:val="none"/>
        </w:rPr>
      </w:pPr>
      <w:r>
        <w:rPr>
          <w:rFonts w:hint="eastAsia"/>
          <w:color w:val="auto"/>
          <w:highlight w:val="none"/>
          <w:lang w:val="en-US" w:eastAsia="zh-CN"/>
        </w:rPr>
        <w:t>a</w:t>
      </w:r>
      <w:r>
        <w:rPr>
          <w:rFonts w:hint="eastAsia"/>
          <w:color w:val="auto"/>
          <w:highlight w:val="none"/>
          <w:lang w:eastAsia="zh-CN"/>
        </w:rPr>
        <w:t>）</w:t>
      </w:r>
      <w:r>
        <w:rPr>
          <w:rFonts w:hint="eastAsia"/>
          <w:color w:val="auto"/>
          <w:highlight w:val="none"/>
        </w:rPr>
        <w:t>报告标题；</w:t>
      </w:r>
    </w:p>
    <w:p w14:paraId="49FA8379">
      <w:pPr>
        <w:pStyle w:val="20"/>
        <w:rPr>
          <w:rFonts w:hint="eastAsia"/>
          <w:color w:val="000000"/>
          <w:highlight w:val="none"/>
        </w:rPr>
      </w:pPr>
      <w:r>
        <w:rPr>
          <w:rFonts w:hint="eastAsia"/>
          <w:color w:val="000000"/>
          <w:highlight w:val="none"/>
        </w:rPr>
        <w:t>b）报告的唯一性编号，页码和总页码，结尾处有结束符号；</w:t>
      </w:r>
    </w:p>
    <w:p w14:paraId="0AD0CBAB">
      <w:pPr>
        <w:pStyle w:val="20"/>
        <w:rPr>
          <w:rFonts w:hint="eastAsia"/>
          <w:color w:val="000000"/>
          <w:highlight w:val="none"/>
        </w:rPr>
      </w:pPr>
      <w:r>
        <w:rPr>
          <w:rFonts w:hint="eastAsia"/>
          <w:color w:val="000000"/>
          <w:highlight w:val="none"/>
        </w:rPr>
        <w:t>c）</w:t>
      </w:r>
      <w:r>
        <w:rPr>
          <w:rFonts w:hint="eastAsia"/>
          <w:color w:val="000000"/>
          <w:highlight w:val="none"/>
          <w:lang w:eastAsia="zh-CN"/>
        </w:rPr>
        <w:t>评价</w:t>
      </w:r>
      <w:r>
        <w:rPr>
          <w:rFonts w:hint="eastAsia"/>
          <w:color w:val="000000"/>
          <w:highlight w:val="none"/>
        </w:rPr>
        <w:t>机构信息，主要包括：</w:t>
      </w:r>
      <w:r>
        <w:rPr>
          <w:rFonts w:hint="eastAsia" w:ascii="Times New Roman"/>
          <w:color w:val="000000"/>
          <w:highlight w:val="none"/>
        </w:rPr>
        <w:t>名称和地址等</w:t>
      </w:r>
      <w:r>
        <w:rPr>
          <w:rFonts w:hint="eastAsia"/>
          <w:color w:val="000000"/>
          <w:highlight w:val="none"/>
        </w:rPr>
        <w:t>；</w:t>
      </w:r>
    </w:p>
    <w:p w14:paraId="3B9CAED2">
      <w:pPr>
        <w:pStyle w:val="20"/>
        <w:rPr>
          <w:rFonts w:hint="eastAsia"/>
          <w:color w:val="000000"/>
          <w:highlight w:val="none"/>
        </w:rPr>
      </w:pPr>
      <w:r>
        <w:rPr>
          <w:rFonts w:hint="eastAsia"/>
          <w:color w:val="000000"/>
          <w:highlight w:val="none"/>
        </w:rPr>
        <w:t>d）委托单位主要信息；</w:t>
      </w:r>
    </w:p>
    <w:p w14:paraId="772C7E9F">
      <w:pPr>
        <w:pStyle w:val="20"/>
        <w:rPr>
          <w:rFonts w:hint="eastAsia"/>
          <w:color w:val="000000"/>
          <w:highlight w:val="none"/>
        </w:rPr>
      </w:pPr>
      <w:r>
        <w:rPr>
          <w:rFonts w:hint="eastAsia"/>
          <w:color w:val="000000"/>
          <w:highlight w:val="none"/>
        </w:rPr>
        <w:t>e）产品信息；</w:t>
      </w:r>
    </w:p>
    <w:p w14:paraId="023FF5CB">
      <w:pPr>
        <w:pStyle w:val="20"/>
        <w:rPr>
          <w:rFonts w:hint="eastAsia"/>
          <w:color w:val="000000"/>
          <w:highlight w:val="none"/>
        </w:rPr>
      </w:pPr>
      <w:r>
        <w:rPr>
          <w:rFonts w:hint="eastAsia"/>
          <w:color w:val="000000"/>
          <w:highlight w:val="none"/>
        </w:rPr>
        <w:t>f）产品适用范围；</w:t>
      </w:r>
    </w:p>
    <w:p w14:paraId="3AC6E6B7">
      <w:pPr>
        <w:pStyle w:val="20"/>
        <w:rPr>
          <w:rFonts w:hint="eastAsia"/>
          <w:color w:val="000000"/>
          <w:highlight w:val="none"/>
        </w:rPr>
      </w:pPr>
      <w:r>
        <w:rPr>
          <w:rFonts w:hint="eastAsia"/>
          <w:color w:val="000000"/>
          <w:highlight w:val="none"/>
        </w:rPr>
        <w:t>g）待评价快检产品样品的状态描述和标识；</w:t>
      </w:r>
    </w:p>
    <w:p w14:paraId="54C0FF28">
      <w:pPr>
        <w:pStyle w:val="20"/>
        <w:rPr>
          <w:rFonts w:hint="eastAsia"/>
          <w:color w:val="000000"/>
          <w:highlight w:val="none"/>
        </w:rPr>
      </w:pPr>
      <w:r>
        <w:rPr>
          <w:rFonts w:hint="eastAsia"/>
          <w:color w:val="000000"/>
          <w:highlight w:val="none"/>
        </w:rPr>
        <w:t>h）收样日期；</w:t>
      </w:r>
    </w:p>
    <w:p w14:paraId="77B3DC42">
      <w:pPr>
        <w:pStyle w:val="20"/>
        <w:rPr>
          <w:rFonts w:hint="eastAsia"/>
          <w:color w:val="000000"/>
        </w:rPr>
      </w:pPr>
      <w:r>
        <w:rPr>
          <w:rFonts w:hint="eastAsia"/>
          <w:color w:val="000000"/>
        </w:rPr>
        <w:t>i）评价日期；</w:t>
      </w:r>
    </w:p>
    <w:p w14:paraId="0783D224">
      <w:pPr>
        <w:pStyle w:val="20"/>
        <w:rPr>
          <w:rFonts w:hint="eastAsia"/>
          <w:color w:val="auto"/>
        </w:rPr>
      </w:pPr>
      <w:r>
        <w:rPr>
          <w:rFonts w:hint="eastAsia"/>
          <w:color w:val="000000"/>
        </w:rPr>
        <w:t>j）盲样信息；</w:t>
      </w:r>
    </w:p>
    <w:p w14:paraId="1DDF1FDC">
      <w:pPr>
        <w:pStyle w:val="20"/>
        <w:rPr>
          <w:rFonts w:hint="eastAsia"/>
          <w:color w:val="auto"/>
        </w:rPr>
      </w:pPr>
      <w:r>
        <w:rPr>
          <w:rFonts w:hint="eastAsia"/>
          <w:color w:val="auto"/>
        </w:rPr>
        <w:t>k）参比方法；</w:t>
      </w:r>
    </w:p>
    <w:p w14:paraId="56A03202">
      <w:pPr>
        <w:pStyle w:val="20"/>
        <w:rPr>
          <w:rFonts w:hint="eastAsia"/>
          <w:color w:val="auto"/>
        </w:rPr>
      </w:pPr>
      <w:r>
        <w:rPr>
          <w:rFonts w:hint="eastAsia"/>
          <w:color w:val="auto"/>
        </w:rPr>
        <w:t>l）评价结果和评价依据（一般指标和技术指标）；</w:t>
      </w:r>
    </w:p>
    <w:p w14:paraId="4E956380">
      <w:pPr>
        <w:pStyle w:val="20"/>
        <w:rPr>
          <w:color w:val="auto"/>
          <w:highlight w:val="none"/>
        </w:rPr>
      </w:pPr>
      <w:r>
        <w:rPr>
          <w:rFonts w:hint="eastAsia"/>
          <w:color w:val="auto"/>
        </w:rPr>
        <w:t>m）对</w:t>
      </w:r>
      <w:r>
        <w:rPr>
          <w:color w:val="auto"/>
        </w:rPr>
        <w:t>操作</w:t>
      </w:r>
      <w:r>
        <w:rPr>
          <w:color w:val="auto"/>
          <w:highlight w:val="none"/>
        </w:rPr>
        <w:t>环境、方法用时、操作难易</w:t>
      </w:r>
      <w:r>
        <w:rPr>
          <w:rFonts w:hint="eastAsia"/>
          <w:color w:val="auto"/>
          <w:highlight w:val="none"/>
        </w:rPr>
        <w:t>、辅助设备</w:t>
      </w:r>
      <w:r>
        <w:rPr>
          <w:color w:val="auto"/>
          <w:highlight w:val="none"/>
        </w:rPr>
        <w:t>等</w:t>
      </w:r>
      <w:r>
        <w:rPr>
          <w:rFonts w:hint="eastAsia"/>
          <w:color w:val="auto"/>
          <w:highlight w:val="none"/>
        </w:rPr>
        <w:t>的附带考察；</w:t>
      </w:r>
    </w:p>
    <w:p w14:paraId="06CC526A">
      <w:pPr>
        <w:pStyle w:val="20"/>
        <w:rPr>
          <w:rFonts w:hint="eastAsia"/>
          <w:color w:val="auto"/>
          <w:highlight w:val="none"/>
        </w:rPr>
      </w:pPr>
      <w:r>
        <w:rPr>
          <w:rFonts w:hint="eastAsia"/>
          <w:color w:val="auto"/>
          <w:highlight w:val="none"/>
        </w:rPr>
        <w:t>n）批准人员、审核人员等信息</w:t>
      </w:r>
      <w:r>
        <w:rPr>
          <w:rFonts w:hint="eastAsia" w:ascii="Times New Roman"/>
          <w:color w:val="auto"/>
          <w:highlight w:val="none"/>
        </w:rPr>
        <w:t>；</w:t>
      </w:r>
    </w:p>
    <w:p w14:paraId="5B00967E">
      <w:pPr>
        <w:pStyle w:val="20"/>
        <w:rPr>
          <w:rFonts w:hint="eastAsia"/>
          <w:color w:val="auto"/>
          <w:highlight w:val="none"/>
        </w:rPr>
      </w:pPr>
      <w:r>
        <w:rPr>
          <w:rFonts w:hint="eastAsia"/>
          <w:color w:val="auto"/>
          <w:highlight w:val="none"/>
        </w:rPr>
        <w:t>o）相关免责声明等</w:t>
      </w:r>
      <w:r>
        <w:rPr>
          <w:rFonts w:hint="eastAsia" w:ascii="Times New Roman"/>
          <w:color w:val="auto"/>
          <w:highlight w:val="none"/>
        </w:rPr>
        <w:t>；</w:t>
      </w:r>
    </w:p>
    <w:p w14:paraId="2BE29618">
      <w:pPr>
        <w:pStyle w:val="20"/>
        <w:rPr>
          <w:rFonts w:hint="eastAsia"/>
          <w:color w:val="auto"/>
          <w:highlight w:val="none"/>
        </w:rPr>
      </w:pPr>
      <w:r>
        <w:rPr>
          <w:rFonts w:hint="eastAsia"/>
          <w:color w:val="auto"/>
          <w:highlight w:val="none"/>
          <w:lang w:val="en-US" w:eastAsia="zh-CN"/>
        </w:rPr>
        <w:t>p</w:t>
      </w:r>
      <w:r>
        <w:rPr>
          <w:rFonts w:hint="eastAsia"/>
          <w:color w:val="auto"/>
          <w:highlight w:val="none"/>
        </w:rPr>
        <w:t>）产品说明书</w:t>
      </w:r>
      <w:r>
        <w:rPr>
          <w:rFonts w:hint="eastAsia"/>
          <w:color w:val="auto"/>
          <w:highlight w:val="none"/>
          <w:lang w:eastAsia="zh-CN"/>
        </w:rPr>
        <w:t>。</w:t>
      </w:r>
    </w:p>
    <w:p w14:paraId="4A6E7A50">
      <w:pPr>
        <w:pStyle w:val="20"/>
        <w:rPr>
          <w:rFonts w:hint="eastAsia"/>
          <w:color w:val="000000"/>
          <w:highlight w:val="none"/>
        </w:rPr>
      </w:pPr>
    </w:p>
    <w:p w14:paraId="339DC0B8">
      <w:pPr>
        <w:pStyle w:val="20"/>
        <w:rPr>
          <w:rFonts w:hint="eastAsia"/>
          <w:color w:val="000000"/>
        </w:rPr>
      </w:pPr>
    </w:p>
    <w:p w14:paraId="6BC9B34A">
      <w:pPr>
        <w:pStyle w:val="20"/>
        <w:rPr>
          <w:rFonts w:hint="eastAsia"/>
          <w:color w:val="000000"/>
        </w:rPr>
      </w:pPr>
    </w:p>
    <w:p w14:paraId="3E92AAB0">
      <w:pPr>
        <w:pStyle w:val="20"/>
        <w:ind w:firstLine="0" w:firstLineChars="0"/>
        <w:rPr>
          <w:color w:val="000000"/>
        </w:rPr>
      </w:pPr>
      <w:r>
        <w:rPr>
          <w:color w:val="000000"/>
        </w:rPr>
        <w:tab/>
      </w:r>
      <w:r>
        <w:rPr>
          <w:color w:val="000000"/>
        </w:rPr>
        <w:tab/>
      </w:r>
    </w:p>
    <w:p w14:paraId="105A36D5">
      <w:pPr>
        <w:pStyle w:val="20"/>
        <w:ind w:firstLine="0" w:firstLineChars="0"/>
        <w:rPr>
          <w:color w:val="000000"/>
        </w:rPr>
      </w:pPr>
      <w:r>
        <w:rPr>
          <w:color w:val="000000"/>
        </w:rPr>
        <w:br w:type="page"/>
      </w:r>
    </w:p>
    <w:p w14:paraId="4C29F630">
      <w:pPr>
        <w:pStyle w:val="110"/>
        <w:ind w:left="0"/>
        <w:rPr>
          <w:rFonts w:hint="eastAsia"/>
          <w:color w:val="000000"/>
        </w:rPr>
      </w:pPr>
      <w:r>
        <w:rPr>
          <w:color w:val="000000"/>
        </w:rPr>
        <w:br w:type="textWrapping"/>
      </w:r>
      <w:bookmarkStart w:id="162" w:name="_Toc38036251"/>
      <w:bookmarkStart w:id="163" w:name="_Toc56503739"/>
      <w:bookmarkStart w:id="164" w:name="_Toc57127172"/>
      <w:bookmarkStart w:id="165" w:name="_Toc56504132"/>
      <w:bookmarkStart w:id="166" w:name="_Toc38036408"/>
      <w:bookmarkStart w:id="167" w:name="_Toc57127161"/>
      <w:r>
        <w:rPr>
          <w:rFonts w:hint="eastAsia"/>
          <w:color w:val="000000"/>
        </w:rPr>
        <w:t>（资料性附录）</w:t>
      </w:r>
      <w:r>
        <w:rPr>
          <w:color w:val="000000"/>
        </w:rPr>
        <w:br w:type="textWrapping"/>
      </w:r>
      <w:r>
        <w:rPr>
          <w:rFonts w:hint="eastAsia"/>
          <w:color w:val="000000"/>
        </w:rPr>
        <w:t>食品快速检测产品评价原始记录模板</w:t>
      </w:r>
      <w:bookmarkEnd w:id="162"/>
      <w:bookmarkEnd w:id="163"/>
      <w:bookmarkEnd w:id="164"/>
      <w:bookmarkEnd w:id="165"/>
      <w:bookmarkEnd w:id="166"/>
      <w:bookmarkEnd w:id="167"/>
    </w:p>
    <w:p w14:paraId="55F5885A">
      <w:pPr>
        <w:pStyle w:val="64"/>
        <w:spacing w:before="312" w:after="312"/>
        <w:ind w:left="0"/>
        <w:rPr>
          <w:rFonts w:hint="eastAsia"/>
          <w:color w:val="000000"/>
        </w:rPr>
      </w:pPr>
      <w:bookmarkStart w:id="168" w:name="_Toc56503740"/>
      <w:r>
        <w:rPr>
          <w:rFonts w:hint="eastAsia"/>
          <w:color w:val="000000"/>
        </w:rPr>
        <w:t>食品快速检测产品评价原始记录模板见表A.1。</w:t>
      </w:r>
      <w:bookmarkEnd w:id="168"/>
    </w:p>
    <w:p w14:paraId="5BDC46BF">
      <w:pPr>
        <w:pStyle w:val="94"/>
        <w:numPr>
          <w:ilvl w:val="0"/>
          <w:numId w:val="0"/>
        </w:numPr>
        <w:spacing w:before="156" w:after="156"/>
        <w:ind w:left="2410" w:firstLine="630" w:firstLineChars="300"/>
        <w:jc w:val="both"/>
        <w:rPr>
          <w:rFonts w:hint="eastAsia"/>
          <w:color w:val="000000"/>
        </w:rPr>
      </w:pPr>
      <w:r>
        <w:rPr>
          <w:rFonts w:hint="eastAsia"/>
          <w:color w:val="000000"/>
        </w:rPr>
        <w:t>表A.1  ××（产品）评价原始记录</w:t>
      </w:r>
    </w:p>
    <w:tbl>
      <w:tblPr>
        <w:tblStyle w:val="28"/>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704"/>
        <w:gridCol w:w="1070"/>
        <w:gridCol w:w="510"/>
        <w:gridCol w:w="874"/>
        <w:gridCol w:w="1096"/>
        <w:gridCol w:w="947"/>
        <w:gridCol w:w="485"/>
        <w:gridCol w:w="993"/>
        <w:gridCol w:w="125"/>
        <w:gridCol w:w="1314"/>
      </w:tblGrid>
      <w:tr w14:paraId="7AB21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1704" w:type="dxa"/>
            <w:noWrap w:val="0"/>
            <w:tcMar>
              <w:top w:w="0" w:type="dxa"/>
              <w:left w:w="108" w:type="dxa"/>
              <w:bottom w:w="0" w:type="dxa"/>
              <w:right w:w="108" w:type="dxa"/>
            </w:tcMar>
            <w:vAlign w:val="center"/>
          </w:tcPr>
          <w:p w14:paraId="01F7B521">
            <w:pPr>
              <w:pStyle w:val="20"/>
              <w:ind w:firstLine="0" w:firstLineChars="0"/>
              <w:jc w:val="center"/>
              <w:rPr>
                <w:color w:val="000000"/>
                <w:sz w:val="18"/>
                <w:szCs w:val="18"/>
              </w:rPr>
            </w:pPr>
            <w:r>
              <w:rPr>
                <w:rFonts w:hint="eastAsia"/>
                <w:color w:val="000000"/>
                <w:sz w:val="18"/>
                <w:szCs w:val="18"/>
                <w:lang w:bidi="ar"/>
              </w:rPr>
              <w:t>评价产品</w:t>
            </w:r>
          </w:p>
        </w:tc>
        <w:tc>
          <w:tcPr>
            <w:tcW w:w="2454" w:type="dxa"/>
            <w:gridSpan w:val="3"/>
            <w:noWrap w:val="0"/>
            <w:tcMar>
              <w:top w:w="0" w:type="dxa"/>
              <w:left w:w="108" w:type="dxa"/>
              <w:bottom w:w="0" w:type="dxa"/>
              <w:right w:w="108" w:type="dxa"/>
            </w:tcMar>
            <w:vAlign w:val="center"/>
          </w:tcPr>
          <w:p w14:paraId="7C03AD1F">
            <w:pPr>
              <w:pStyle w:val="20"/>
              <w:ind w:firstLine="0" w:firstLineChars="0"/>
              <w:jc w:val="center"/>
              <w:rPr>
                <w:color w:val="000000"/>
                <w:sz w:val="18"/>
                <w:szCs w:val="18"/>
              </w:rPr>
            </w:pPr>
          </w:p>
        </w:tc>
        <w:tc>
          <w:tcPr>
            <w:tcW w:w="2043" w:type="dxa"/>
            <w:gridSpan w:val="2"/>
            <w:noWrap w:val="0"/>
            <w:tcMar>
              <w:top w:w="0" w:type="dxa"/>
              <w:left w:w="108" w:type="dxa"/>
              <w:bottom w:w="0" w:type="dxa"/>
              <w:right w:w="108" w:type="dxa"/>
            </w:tcMar>
            <w:vAlign w:val="center"/>
          </w:tcPr>
          <w:p w14:paraId="23457E7B">
            <w:pPr>
              <w:pStyle w:val="20"/>
              <w:ind w:firstLine="0" w:firstLineChars="0"/>
              <w:jc w:val="center"/>
              <w:rPr>
                <w:color w:val="000000"/>
                <w:sz w:val="18"/>
                <w:szCs w:val="18"/>
              </w:rPr>
            </w:pPr>
            <w:r>
              <w:rPr>
                <w:rFonts w:hint="eastAsia"/>
                <w:color w:val="000000"/>
                <w:sz w:val="18"/>
                <w:szCs w:val="18"/>
                <w:lang w:bidi="ar"/>
              </w:rPr>
              <w:t>型号规格</w:t>
            </w:r>
            <w:r>
              <w:rPr>
                <w:rFonts w:cs="Calibri"/>
                <w:color w:val="000000"/>
                <w:sz w:val="18"/>
                <w:szCs w:val="18"/>
                <w:lang w:bidi="ar"/>
              </w:rPr>
              <w:t>/</w:t>
            </w:r>
            <w:r>
              <w:rPr>
                <w:rFonts w:hint="eastAsia"/>
                <w:color w:val="000000"/>
                <w:sz w:val="18"/>
                <w:szCs w:val="18"/>
                <w:lang w:bidi="ar"/>
              </w:rPr>
              <w:t>批号</w:t>
            </w:r>
          </w:p>
        </w:tc>
        <w:tc>
          <w:tcPr>
            <w:tcW w:w="2917" w:type="dxa"/>
            <w:gridSpan w:val="4"/>
            <w:noWrap w:val="0"/>
            <w:tcMar>
              <w:top w:w="0" w:type="dxa"/>
              <w:left w:w="108" w:type="dxa"/>
              <w:bottom w:w="0" w:type="dxa"/>
              <w:right w:w="108" w:type="dxa"/>
            </w:tcMar>
            <w:vAlign w:val="center"/>
          </w:tcPr>
          <w:p w14:paraId="107A5B88">
            <w:pPr>
              <w:pStyle w:val="20"/>
              <w:ind w:firstLine="0" w:firstLineChars="0"/>
              <w:jc w:val="center"/>
              <w:rPr>
                <w:color w:val="000000"/>
                <w:sz w:val="18"/>
                <w:szCs w:val="18"/>
              </w:rPr>
            </w:pPr>
          </w:p>
        </w:tc>
      </w:tr>
      <w:tr w14:paraId="524A4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1704" w:type="dxa"/>
            <w:noWrap w:val="0"/>
            <w:tcMar>
              <w:top w:w="0" w:type="dxa"/>
              <w:left w:w="108" w:type="dxa"/>
              <w:bottom w:w="0" w:type="dxa"/>
              <w:right w:w="108" w:type="dxa"/>
            </w:tcMar>
            <w:vAlign w:val="center"/>
          </w:tcPr>
          <w:p w14:paraId="6B4608BD">
            <w:pPr>
              <w:pStyle w:val="20"/>
              <w:ind w:firstLine="0" w:firstLineChars="0"/>
              <w:jc w:val="center"/>
              <w:rPr>
                <w:rFonts w:hint="eastAsia"/>
                <w:color w:val="000000"/>
                <w:sz w:val="18"/>
                <w:szCs w:val="18"/>
                <w:lang w:bidi="ar"/>
              </w:rPr>
            </w:pPr>
            <w:r>
              <w:rPr>
                <w:rFonts w:hint="eastAsia"/>
                <w:color w:val="000000"/>
                <w:sz w:val="18"/>
                <w:szCs w:val="18"/>
                <w:lang w:bidi="ar"/>
              </w:rPr>
              <w:t>评价日期</w:t>
            </w:r>
          </w:p>
        </w:tc>
        <w:tc>
          <w:tcPr>
            <w:tcW w:w="2454" w:type="dxa"/>
            <w:gridSpan w:val="3"/>
            <w:noWrap w:val="0"/>
            <w:tcMar>
              <w:top w:w="0" w:type="dxa"/>
              <w:left w:w="108" w:type="dxa"/>
              <w:bottom w:w="0" w:type="dxa"/>
              <w:right w:w="108" w:type="dxa"/>
            </w:tcMar>
            <w:vAlign w:val="center"/>
          </w:tcPr>
          <w:p w14:paraId="722B5E20">
            <w:pPr>
              <w:pStyle w:val="20"/>
              <w:ind w:firstLine="0" w:firstLineChars="0"/>
              <w:jc w:val="center"/>
              <w:rPr>
                <w:color w:val="000000"/>
                <w:sz w:val="18"/>
                <w:szCs w:val="18"/>
              </w:rPr>
            </w:pPr>
          </w:p>
        </w:tc>
        <w:tc>
          <w:tcPr>
            <w:tcW w:w="2043" w:type="dxa"/>
            <w:gridSpan w:val="2"/>
            <w:noWrap w:val="0"/>
            <w:tcMar>
              <w:top w:w="0" w:type="dxa"/>
              <w:left w:w="108" w:type="dxa"/>
              <w:bottom w:w="0" w:type="dxa"/>
              <w:right w:w="108" w:type="dxa"/>
            </w:tcMar>
            <w:vAlign w:val="center"/>
          </w:tcPr>
          <w:p w14:paraId="25320E3C">
            <w:pPr>
              <w:pStyle w:val="20"/>
              <w:ind w:firstLine="0" w:firstLineChars="0"/>
              <w:jc w:val="center"/>
              <w:rPr>
                <w:rFonts w:hint="eastAsia"/>
                <w:color w:val="000000"/>
                <w:sz w:val="18"/>
                <w:szCs w:val="18"/>
                <w:lang w:bidi="ar"/>
              </w:rPr>
            </w:pPr>
            <w:r>
              <w:rPr>
                <w:rFonts w:hint="eastAsia"/>
                <w:color w:val="000000"/>
                <w:sz w:val="18"/>
                <w:szCs w:val="18"/>
                <w:lang w:bidi="ar"/>
              </w:rPr>
              <w:t>评价地点</w:t>
            </w:r>
          </w:p>
        </w:tc>
        <w:tc>
          <w:tcPr>
            <w:tcW w:w="2917" w:type="dxa"/>
            <w:gridSpan w:val="4"/>
            <w:noWrap w:val="0"/>
            <w:tcMar>
              <w:top w:w="0" w:type="dxa"/>
              <w:left w:w="108" w:type="dxa"/>
              <w:bottom w:w="0" w:type="dxa"/>
              <w:right w:w="108" w:type="dxa"/>
            </w:tcMar>
            <w:vAlign w:val="center"/>
          </w:tcPr>
          <w:p w14:paraId="2E7B96AE">
            <w:pPr>
              <w:pStyle w:val="20"/>
              <w:ind w:firstLine="0" w:firstLineChars="0"/>
              <w:jc w:val="center"/>
              <w:rPr>
                <w:color w:val="000000"/>
                <w:sz w:val="18"/>
                <w:szCs w:val="18"/>
              </w:rPr>
            </w:pPr>
          </w:p>
        </w:tc>
      </w:tr>
      <w:tr w14:paraId="35CD9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1704" w:type="dxa"/>
            <w:noWrap w:val="0"/>
            <w:tcMar>
              <w:top w:w="0" w:type="dxa"/>
              <w:left w:w="108" w:type="dxa"/>
              <w:bottom w:w="0" w:type="dxa"/>
              <w:right w:w="108" w:type="dxa"/>
            </w:tcMar>
            <w:vAlign w:val="center"/>
          </w:tcPr>
          <w:p w14:paraId="289BF693">
            <w:pPr>
              <w:pStyle w:val="20"/>
              <w:ind w:firstLine="0" w:firstLineChars="0"/>
              <w:jc w:val="center"/>
              <w:rPr>
                <w:rFonts w:hint="eastAsia"/>
                <w:color w:val="000000"/>
                <w:sz w:val="18"/>
                <w:szCs w:val="18"/>
                <w:lang w:bidi="ar"/>
              </w:rPr>
            </w:pPr>
            <w:r>
              <w:rPr>
                <w:rFonts w:hint="eastAsia"/>
                <w:color w:val="000000"/>
                <w:sz w:val="18"/>
                <w:szCs w:val="18"/>
                <w:lang w:bidi="ar"/>
              </w:rPr>
              <w:t>评价环境</w:t>
            </w:r>
          </w:p>
        </w:tc>
        <w:tc>
          <w:tcPr>
            <w:tcW w:w="7414" w:type="dxa"/>
            <w:gridSpan w:val="9"/>
            <w:noWrap w:val="0"/>
            <w:tcMar>
              <w:top w:w="0" w:type="dxa"/>
              <w:left w:w="108" w:type="dxa"/>
              <w:bottom w:w="0" w:type="dxa"/>
              <w:right w:w="108" w:type="dxa"/>
            </w:tcMar>
            <w:vAlign w:val="center"/>
          </w:tcPr>
          <w:p w14:paraId="6B7F5D56">
            <w:pPr>
              <w:pStyle w:val="20"/>
              <w:ind w:firstLine="0" w:firstLineChars="0"/>
              <w:rPr>
                <w:rFonts w:hint="eastAsia"/>
                <w:color w:val="000000"/>
                <w:sz w:val="18"/>
                <w:szCs w:val="18"/>
              </w:rPr>
            </w:pPr>
            <w:r>
              <w:rPr>
                <w:rFonts w:hint="eastAsia"/>
                <w:color w:val="000000"/>
                <w:sz w:val="18"/>
                <w:szCs w:val="18"/>
              </w:rPr>
              <w:t xml:space="preserve">温度：   ℃                  湿度：   </w:t>
            </w:r>
            <w:r>
              <w:rPr>
                <w:color w:val="000000"/>
                <w:sz w:val="18"/>
                <w:szCs w:val="18"/>
              </w:rPr>
              <w:t>%RH</w:t>
            </w:r>
          </w:p>
        </w:tc>
      </w:tr>
      <w:tr w14:paraId="78CEF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1704" w:type="dxa"/>
            <w:noWrap w:val="0"/>
            <w:tcMar>
              <w:top w:w="0" w:type="dxa"/>
              <w:left w:w="108" w:type="dxa"/>
              <w:bottom w:w="0" w:type="dxa"/>
              <w:right w:w="108" w:type="dxa"/>
            </w:tcMar>
            <w:vAlign w:val="center"/>
          </w:tcPr>
          <w:p w14:paraId="3BF87AC0">
            <w:pPr>
              <w:pStyle w:val="20"/>
              <w:ind w:firstLine="0" w:firstLineChars="0"/>
              <w:jc w:val="center"/>
              <w:rPr>
                <w:color w:val="000000"/>
                <w:sz w:val="18"/>
                <w:szCs w:val="18"/>
              </w:rPr>
            </w:pPr>
            <w:r>
              <w:rPr>
                <w:rFonts w:hint="eastAsia"/>
                <w:color w:val="000000"/>
                <w:sz w:val="18"/>
                <w:szCs w:val="18"/>
                <w:lang w:bidi="ar"/>
              </w:rPr>
              <w:t>盲样信息</w:t>
            </w:r>
          </w:p>
        </w:tc>
        <w:tc>
          <w:tcPr>
            <w:tcW w:w="7414" w:type="dxa"/>
            <w:gridSpan w:val="9"/>
            <w:noWrap w:val="0"/>
            <w:tcMar>
              <w:top w:w="0" w:type="dxa"/>
              <w:left w:w="108" w:type="dxa"/>
              <w:bottom w:w="0" w:type="dxa"/>
              <w:right w:w="108" w:type="dxa"/>
            </w:tcMar>
            <w:vAlign w:val="center"/>
          </w:tcPr>
          <w:p w14:paraId="45DBFC72">
            <w:pPr>
              <w:pStyle w:val="20"/>
              <w:ind w:firstLine="0" w:firstLineChars="0"/>
              <w:jc w:val="center"/>
              <w:rPr>
                <w:color w:val="000000"/>
                <w:sz w:val="18"/>
                <w:szCs w:val="18"/>
                <w:lang w:bidi="ar"/>
              </w:rPr>
            </w:pPr>
          </w:p>
        </w:tc>
      </w:tr>
      <w:tr w14:paraId="19F7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1704" w:type="dxa"/>
            <w:noWrap w:val="0"/>
            <w:tcMar>
              <w:top w:w="0" w:type="dxa"/>
              <w:left w:w="108" w:type="dxa"/>
              <w:bottom w:w="0" w:type="dxa"/>
              <w:right w:w="108" w:type="dxa"/>
            </w:tcMar>
            <w:vAlign w:val="center"/>
          </w:tcPr>
          <w:p w14:paraId="504C5D24">
            <w:pPr>
              <w:pStyle w:val="20"/>
              <w:ind w:firstLine="0" w:firstLineChars="0"/>
              <w:jc w:val="center"/>
              <w:rPr>
                <w:rFonts w:hint="eastAsia"/>
                <w:color w:val="000000"/>
                <w:sz w:val="18"/>
                <w:szCs w:val="18"/>
                <w:lang w:bidi="ar"/>
              </w:rPr>
            </w:pPr>
            <w:r>
              <w:rPr>
                <w:rFonts w:hint="eastAsia"/>
                <w:color w:val="000000"/>
                <w:sz w:val="18"/>
                <w:szCs w:val="18"/>
                <w:lang w:bidi="ar"/>
              </w:rPr>
              <w:t>参比方法</w:t>
            </w:r>
          </w:p>
        </w:tc>
        <w:tc>
          <w:tcPr>
            <w:tcW w:w="7414" w:type="dxa"/>
            <w:gridSpan w:val="9"/>
            <w:noWrap w:val="0"/>
            <w:tcMar>
              <w:top w:w="0" w:type="dxa"/>
              <w:left w:w="108" w:type="dxa"/>
              <w:bottom w:w="0" w:type="dxa"/>
              <w:right w:w="108" w:type="dxa"/>
            </w:tcMar>
            <w:vAlign w:val="top"/>
          </w:tcPr>
          <w:p w14:paraId="713790B3">
            <w:pPr>
              <w:pStyle w:val="20"/>
              <w:ind w:firstLine="0" w:firstLineChars="0"/>
              <w:jc w:val="center"/>
              <w:rPr>
                <w:rFonts w:hint="eastAsia"/>
                <w:color w:val="000000"/>
                <w:sz w:val="18"/>
                <w:szCs w:val="18"/>
                <w:lang w:bidi="ar"/>
              </w:rPr>
            </w:pPr>
          </w:p>
        </w:tc>
      </w:tr>
      <w:tr w14:paraId="13E34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1704" w:type="dxa"/>
            <w:noWrap w:val="0"/>
            <w:tcMar>
              <w:top w:w="0" w:type="dxa"/>
              <w:left w:w="108" w:type="dxa"/>
              <w:bottom w:w="0" w:type="dxa"/>
              <w:right w:w="108" w:type="dxa"/>
            </w:tcMar>
            <w:vAlign w:val="center"/>
          </w:tcPr>
          <w:p w14:paraId="4D24A349">
            <w:pPr>
              <w:pStyle w:val="20"/>
              <w:ind w:firstLine="0" w:firstLineChars="0"/>
              <w:jc w:val="center"/>
              <w:rPr>
                <w:color w:val="000000"/>
                <w:sz w:val="18"/>
                <w:szCs w:val="18"/>
                <w:lang w:bidi="ar"/>
              </w:rPr>
            </w:pPr>
            <w:r>
              <w:rPr>
                <w:rFonts w:hint="eastAsia"/>
                <w:color w:val="000000"/>
                <w:sz w:val="18"/>
                <w:szCs w:val="18"/>
                <w:lang w:bidi="ar"/>
              </w:rPr>
              <w:t>评价依据</w:t>
            </w:r>
          </w:p>
        </w:tc>
        <w:tc>
          <w:tcPr>
            <w:tcW w:w="7414" w:type="dxa"/>
            <w:gridSpan w:val="9"/>
            <w:noWrap w:val="0"/>
            <w:tcMar>
              <w:top w:w="0" w:type="dxa"/>
              <w:left w:w="108" w:type="dxa"/>
              <w:bottom w:w="0" w:type="dxa"/>
              <w:right w:w="108" w:type="dxa"/>
            </w:tcMar>
            <w:vAlign w:val="top"/>
          </w:tcPr>
          <w:p w14:paraId="11CC48CC">
            <w:pPr>
              <w:pStyle w:val="20"/>
              <w:ind w:firstLine="0" w:firstLineChars="0"/>
              <w:jc w:val="center"/>
              <w:rPr>
                <w:color w:val="000000"/>
                <w:sz w:val="18"/>
                <w:szCs w:val="18"/>
                <w:lang w:bidi="ar"/>
              </w:rPr>
            </w:pPr>
          </w:p>
        </w:tc>
      </w:tr>
      <w:tr w14:paraId="0ECB3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1704" w:type="dxa"/>
            <w:vMerge w:val="restart"/>
            <w:noWrap w:val="0"/>
            <w:tcMar>
              <w:top w:w="0" w:type="dxa"/>
              <w:left w:w="108" w:type="dxa"/>
              <w:bottom w:w="0" w:type="dxa"/>
              <w:right w:w="108" w:type="dxa"/>
            </w:tcMar>
            <w:vAlign w:val="center"/>
          </w:tcPr>
          <w:p w14:paraId="70372066">
            <w:pPr>
              <w:pStyle w:val="20"/>
              <w:ind w:firstLine="0" w:firstLineChars="0"/>
              <w:jc w:val="center"/>
              <w:rPr>
                <w:rFonts w:hint="eastAsia"/>
                <w:color w:val="000000"/>
                <w:sz w:val="18"/>
                <w:szCs w:val="18"/>
              </w:rPr>
            </w:pPr>
            <w:r>
              <w:rPr>
                <w:rFonts w:hint="eastAsia"/>
                <w:color w:val="000000"/>
                <w:sz w:val="18"/>
                <w:szCs w:val="18"/>
                <w:lang w:bidi="ar"/>
              </w:rPr>
              <w:t>一般指标评价</w:t>
            </w:r>
          </w:p>
          <w:p w14:paraId="419D689C">
            <w:pPr>
              <w:pStyle w:val="20"/>
              <w:ind w:firstLine="0" w:firstLineChars="0"/>
              <w:jc w:val="center"/>
              <w:rPr>
                <w:color w:val="000000"/>
                <w:sz w:val="18"/>
                <w:szCs w:val="18"/>
              </w:rPr>
            </w:pPr>
          </w:p>
        </w:tc>
        <w:tc>
          <w:tcPr>
            <w:tcW w:w="4982" w:type="dxa"/>
            <w:gridSpan w:val="6"/>
            <w:noWrap w:val="0"/>
            <w:tcMar>
              <w:top w:w="0" w:type="dxa"/>
              <w:left w:w="108" w:type="dxa"/>
              <w:bottom w:w="0" w:type="dxa"/>
              <w:right w:w="108" w:type="dxa"/>
            </w:tcMar>
            <w:vAlign w:val="top"/>
          </w:tcPr>
          <w:p w14:paraId="52A372C2">
            <w:pPr>
              <w:pStyle w:val="20"/>
              <w:ind w:firstLine="0" w:firstLineChars="0"/>
              <w:jc w:val="center"/>
              <w:rPr>
                <w:rFonts w:hint="eastAsia"/>
                <w:color w:val="000000"/>
                <w:sz w:val="18"/>
                <w:szCs w:val="18"/>
                <w:lang w:bidi="ar"/>
              </w:rPr>
            </w:pPr>
            <w:r>
              <w:rPr>
                <w:rFonts w:hint="eastAsia"/>
                <w:color w:val="000000"/>
                <w:sz w:val="18"/>
                <w:szCs w:val="18"/>
                <w:lang w:bidi="ar"/>
              </w:rPr>
              <w:t>评价内容</w:t>
            </w:r>
          </w:p>
        </w:tc>
        <w:tc>
          <w:tcPr>
            <w:tcW w:w="993" w:type="dxa"/>
            <w:noWrap w:val="0"/>
            <w:tcMar>
              <w:top w:w="0" w:type="dxa"/>
              <w:left w:w="108" w:type="dxa"/>
              <w:bottom w:w="0" w:type="dxa"/>
              <w:right w:w="108" w:type="dxa"/>
            </w:tcMar>
            <w:vAlign w:val="top"/>
          </w:tcPr>
          <w:p w14:paraId="618BC276">
            <w:pPr>
              <w:pStyle w:val="20"/>
              <w:ind w:firstLine="0" w:firstLineChars="0"/>
              <w:jc w:val="center"/>
              <w:rPr>
                <w:rFonts w:hint="eastAsia"/>
                <w:color w:val="000000"/>
                <w:sz w:val="18"/>
                <w:szCs w:val="18"/>
                <w:lang w:bidi="ar"/>
              </w:rPr>
            </w:pPr>
            <w:r>
              <w:rPr>
                <w:rFonts w:hint="eastAsia"/>
                <w:color w:val="000000"/>
                <w:sz w:val="18"/>
                <w:szCs w:val="18"/>
                <w:lang w:bidi="ar"/>
              </w:rPr>
              <w:t>符合性</w:t>
            </w:r>
          </w:p>
        </w:tc>
        <w:tc>
          <w:tcPr>
            <w:tcW w:w="1439" w:type="dxa"/>
            <w:gridSpan w:val="2"/>
            <w:noWrap w:val="0"/>
            <w:tcMar>
              <w:top w:w="0" w:type="dxa"/>
              <w:left w:w="108" w:type="dxa"/>
              <w:bottom w:w="0" w:type="dxa"/>
              <w:right w:w="108" w:type="dxa"/>
            </w:tcMar>
            <w:vAlign w:val="top"/>
          </w:tcPr>
          <w:p w14:paraId="0F9D6FBA">
            <w:pPr>
              <w:pStyle w:val="20"/>
              <w:ind w:firstLine="0" w:firstLineChars="0"/>
              <w:jc w:val="center"/>
              <w:rPr>
                <w:rFonts w:hint="eastAsia"/>
                <w:color w:val="000000"/>
                <w:sz w:val="18"/>
                <w:szCs w:val="18"/>
                <w:lang w:bidi="ar"/>
              </w:rPr>
            </w:pPr>
            <w:r>
              <w:rPr>
                <w:rFonts w:hint="eastAsia"/>
                <w:color w:val="000000"/>
                <w:sz w:val="18"/>
                <w:szCs w:val="18"/>
                <w:lang w:bidi="ar"/>
              </w:rPr>
              <w:t>不符合描述</w:t>
            </w:r>
          </w:p>
        </w:tc>
      </w:tr>
      <w:tr w14:paraId="10144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1704" w:type="dxa"/>
            <w:vMerge w:val="continue"/>
            <w:noWrap w:val="0"/>
            <w:tcMar>
              <w:top w:w="0" w:type="dxa"/>
              <w:left w:w="108" w:type="dxa"/>
              <w:bottom w:w="0" w:type="dxa"/>
              <w:right w:w="108" w:type="dxa"/>
            </w:tcMar>
            <w:vAlign w:val="center"/>
          </w:tcPr>
          <w:p w14:paraId="72B1FB73">
            <w:pPr>
              <w:pStyle w:val="20"/>
              <w:ind w:firstLine="0" w:firstLineChars="0"/>
              <w:jc w:val="center"/>
              <w:rPr>
                <w:color w:val="000000"/>
                <w:sz w:val="18"/>
                <w:szCs w:val="18"/>
              </w:rPr>
            </w:pPr>
          </w:p>
        </w:tc>
        <w:tc>
          <w:tcPr>
            <w:tcW w:w="1580" w:type="dxa"/>
            <w:gridSpan w:val="2"/>
            <w:noWrap w:val="0"/>
            <w:tcMar>
              <w:top w:w="0" w:type="dxa"/>
              <w:left w:w="108" w:type="dxa"/>
              <w:bottom w:w="0" w:type="dxa"/>
              <w:right w:w="108" w:type="dxa"/>
            </w:tcMar>
            <w:vAlign w:val="center"/>
          </w:tcPr>
          <w:p w14:paraId="45163BE9">
            <w:pPr>
              <w:pStyle w:val="20"/>
              <w:ind w:firstLine="0" w:firstLineChars="0"/>
              <w:jc w:val="center"/>
              <w:rPr>
                <w:color w:val="000000"/>
                <w:sz w:val="18"/>
                <w:szCs w:val="18"/>
              </w:rPr>
            </w:pPr>
            <w:r>
              <w:rPr>
                <w:rFonts w:hint="eastAsia"/>
                <w:color w:val="000000"/>
                <w:sz w:val="18"/>
                <w:szCs w:val="18"/>
                <w:lang w:bidi="ar"/>
              </w:rPr>
              <w:t>产品外观</w:t>
            </w:r>
          </w:p>
        </w:tc>
        <w:tc>
          <w:tcPr>
            <w:tcW w:w="3402" w:type="dxa"/>
            <w:gridSpan w:val="4"/>
            <w:noWrap w:val="0"/>
            <w:tcMar>
              <w:top w:w="0" w:type="dxa"/>
              <w:left w:w="108" w:type="dxa"/>
              <w:bottom w:w="0" w:type="dxa"/>
              <w:right w:w="108" w:type="dxa"/>
            </w:tcMar>
            <w:vAlign w:val="center"/>
          </w:tcPr>
          <w:p w14:paraId="638D2B8F">
            <w:pPr>
              <w:pStyle w:val="20"/>
              <w:ind w:firstLine="0" w:firstLineChars="0"/>
              <w:jc w:val="left"/>
              <w:rPr>
                <w:rFonts w:hint="eastAsia"/>
                <w:color w:val="000000"/>
                <w:sz w:val="18"/>
                <w:szCs w:val="18"/>
              </w:rPr>
            </w:pPr>
            <w:r>
              <w:rPr>
                <w:rFonts w:hint="eastAsia"/>
                <w:color w:val="000000"/>
                <w:sz w:val="18"/>
                <w:szCs w:val="18"/>
              </w:rPr>
              <w:t>产品包装完整性，试剂耗材配套齐全，标签内容完整性，包括产品名称、批号、规格、数量、生产日期、使用期限、保存条件、生产者、地址、联系方式。</w:t>
            </w:r>
          </w:p>
        </w:tc>
        <w:tc>
          <w:tcPr>
            <w:tcW w:w="993" w:type="dxa"/>
            <w:noWrap w:val="0"/>
            <w:tcMar>
              <w:top w:w="0" w:type="dxa"/>
              <w:left w:w="108" w:type="dxa"/>
              <w:bottom w:w="0" w:type="dxa"/>
              <w:right w:w="108" w:type="dxa"/>
            </w:tcMar>
            <w:vAlign w:val="center"/>
          </w:tcPr>
          <w:p w14:paraId="03559032">
            <w:pPr>
              <w:pStyle w:val="20"/>
              <w:ind w:firstLine="0" w:firstLineChars="0"/>
              <w:rPr>
                <w:rFonts w:hint="eastAsia"/>
                <w:color w:val="000000"/>
                <w:sz w:val="18"/>
                <w:szCs w:val="18"/>
                <w:lang w:bidi="ar"/>
              </w:rPr>
            </w:pPr>
            <w:r>
              <w:rPr>
                <w:rFonts w:hint="eastAsia"/>
                <w:color w:val="000000"/>
                <w:sz w:val="18"/>
                <w:szCs w:val="18"/>
                <w:lang w:bidi="ar"/>
              </w:rPr>
              <w:t>□符合</w:t>
            </w:r>
          </w:p>
          <w:p w14:paraId="4E7FF4DC">
            <w:pPr>
              <w:pStyle w:val="20"/>
              <w:ind w:firstLine="0" w:firstLineChars="0"/>
              <w:rPr>
                <w:rFonts w:hint="eastAsia"/>
                <w:color w:val="000000"/>
                <w:sz w:val="18"/>
                <w:szCs w:val="18"/>
              </w:rPr>
            </w:pPr>
            <w:r>
              <w:rPr>
                <w:rFonts w:hint="eastAsia"/>
                <w:color w:val="000000"/>
                <w:sz w:val="18"/>
                <w:szCs w:val="18"/>
                <w:lang w:bidi="ar"/>
              </w:rPr>
              <w:t>□不符合</w:t>
            </w:r>
          </w:p>
        </w:tc>
        <w:tc>
          <w:tcPr>
            <w:tcW w:w="1439" w:type="dxa"/>
            <w:gridSpan w:val="2"/>
            <w:noWrap w:val="0"/>
            <w:tcMar>
              <w:top w:w="0" w:type="dxa"/>
              <w:left w:w="108" w:type="dxa"/>
              <w:bottom w:w="0" w:type="dxa"/>
              <w:right w:w="108" w:type="dxa"/>
            </w:tcMar>
            <w:vAlign w:val="center"/>
          </w:tcPr>
          <w:p w14:paraId="40EBC448">
            <w:pPr>
              <w:pStyle w:val="20"/>
              <w:ind w:firstLine="0" w:firstLineChars="0"/>
              <w:jc w:val="center"/>
              <w:rPr>
                <w:rFonts w:hint="eastAsia"/>
                <w:color w:val="000000"/>
                <w:sz w:val="18"/>
                <w:szCs w:val="18"/>
              </w:rPr>
            </w:pPr>
          </w:p>
        </w:tc>
      </w:tr>
      <w:tr w14:paraId="1A64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1704" w:type="dxa"/>
            <w:vMerge w:val="continue"/>
            <w:noWrap w:val="0"/>
            <w:tcMar>
              <w:top w:w="0" w:type="dxa"/>
              <w:left w:w="108" w:type="dxa"/>
              <w:bottom w:w="0" w:type="dxa"/>
              <w:right w:w="108" w:type="dxa"/>
            </w:tcMar>
            <w:vAlign w:val="center"/>
          </w:tcPr>
          <w:p w14:paraId="00BBB1F1">
            <w:pPr>
              <w:pStyle w:val="20"/>
              <w:ind w:firstLine="0" w:firstLineChars="0"/>
              <w:jc w:val="center"/>
              <w:rPr>
                <w:color w:val="000000"/>
                <w:sz w:val="18"/>
                <w:szCs w:val="18"/>
              </w:rPr>
            </w:pPr>
          </w:p>
        </w:tc>
        <w:tc>
          <w:tcPr>
            <w:tcW w:w="1580" w:type="dxa"/>
            <w:gridSpan w:val="2"/>
            <w:noWrap w:val="0"/>
            <w:tcMar>
              <w:top w:w="0" w:type="dxa"/>
              <w:left w:w="108" w:type="dxa"/>
              <w:bottom w:w="0" w:type="dxa"/>
              <w:right w:w="108" w:type="dxa"/>
            </w:tcMar>
            <w:vAlign w:val="center"/>
          </w:tcPr>
          <w:p w14:paraId="5BB24B34">
            <w:pPr>
              <w:pStyle w:val="20"/>
              <w:ind w:firstLine="0" w:firstLineChars="0"/>
              <w:jc w:val="center"/>
              <w:rPr>
                <w:rFonts w:hint="eastAsia"/>
                <w:color w:val="000000"/>
                <w:sz w:val="18"/>
                <w:szCs w:val="18"/>
                <w:lang w:bidi="ar"/>
              </w:rPr>
            </w:pPr>
            <w:r>
              <w:rPr>
                <w:rFonts w:hint="eastAsia"/>
                <w:color w:val="000000"/>
                <w:sz w:val="18"/>
                <w:szCs w:val="18"/>
                <w:lang w:bidi="ar"/>
              </w:rPr>
              <w:t>产品质量证明</w:t>
            </w:r>
          </w:p>
        </w:tc>
        <w:tc>
          <w:tcPr>
            <w:tcW w:w="3402" w:type="dxa"/>
            <w:gridSpan w:val="4"/>
            <w:noWrap w:val="0"/>
            <w:tcMar>
              <w:top w:w="0" w:type="dxa"/>
              <w:left w:w="108" w:type="dxa"/>
              <w:bottom w:w="0" w:type="dxa"/>
              <w:right w:w="108" w:type="dxa"/>
            </w:tcMar>
            <w:vAlign w:val="center"/>
          </w:tcPr>
          <w:p w14:paraId="4BEE2D95">
            <w:pPr>
              <w:pStyle w:val="20"/>
              <w:ind w:firstLine="0" w:firstLineChars="0"/>
              <w:jc w:val="center"/>
              <w:rPr>
                <w:rFonts w:hint="eastAsia"/>
                <w:color w:val="000000"/>
                <w:sz w:val="18"/>
                <w:szCs w:val="18"/>
              </w:rPr>
            </w:pPr>
            <w:r>
              <w:rPr>
                <w:rFonts w:hint="eastAsia"/>
                <w:color w:val="000000"/>
                <w:sz w:val="18"/>
                <w:szCs w:val="18"/>
              </w:rPr>
              <w:t>有</w:t>
            </w:r>
          </w:p>
        </w:tc>
        <w:tc>
          <w:tcPr>
            <w:tcW w:w="993" w:type="dxa"/>
            <w:noWrap w:val="0"/>
            <w:tcMar>
              <w:top w:w="0" w:type="dxa"/>
              <w:left w:w="108" w:type="dxa"/>
              <w:bottom w:w="0" w:type="dxa"/>
              <w:right w:w="108" w:type="dxa"/>
            </w:tcMar>
            <w:vAlign w:val="center"/>
          </w:tcPr>
          <w:p w14:paraId="367CB6D4">
            <w:pPr>
              <w:pStyle w:val="20"/>
              <w:ind w:firstLine="0" w:firstLineChars="0"/>
              <w:rPr>
                <w:rFonts w:hint="eastAsia"/>
                <w:color w:val="000000"/>
                <w:sz w:val="18"/>
                <w:szCs w:val="18"/>
                <w:lang w:bidi="ar"/>
              </w:rPr>
            </w:pPr>
            <w:r>
              <w:rPr>
                <w:rFonts w:hint="eastAsia"/>
                <w:color w:val="000000"/>
                <w:sz w:val="18"/>
                <w:szCs w:val="18"/>
                <w:lang w:bidi="ar"/>
              </w:rPr>
              <w:t>□符合</w:t>
            </w:r>
          </w:p>
          <w:p w14:paraId="38E73A5C">
            <w:pPr>
              <w:pStyle w:val="20"/>
              <w:ind w:firstLine="0" w:firstLineChars="0"/>
              <w:rPr>
                <w:rFonts w:hint="eastAsia"/>
                <w:color w:val="000000"/>
                <w:sz w:val="18"/>
                <w:szCs w:val="18"/>
                <w:lang w:bidi="ar"/>
              </w:rPr>
            </w:pPr>
            <w:r>
              <w:rPr>
                <w:rFonts w:hint="eastAsia"/>
                <w:color w:val="000000"/>
                <w:sz w:val="18"/>
                <w:szCs w:val="18"/>
                <w:lang w:bidi="ar"/>
              </w:rPr>
              <w:t>□不符合</w:t>
            </w:r>
          </w:p>
        </w:tc>
        <w:tc>
          <w:tcPr>
            <w:tcW w:w="1439" w:type="dxa"/>
            <w:gridSpan w:val="2"/>
            <w:noWrap w:val="0"/>
            <w:tcMar>
              <w:top w:w="0" w:type="dxa"/>
              <w:left w:w="108" w:type="dxa"/>
              <w:bottom w:w="0" w:type="dxa"/>
              <w:right w:w="108" w:type="dxa"/>
            </w:tcMar>
            <w:vAlign w:val="center"/>
          </w:tcPr>
          <w:p w14:paraId="45FBBBB7">
            <w:pPr>
              <w:pStyle w:val="20"/>
              <w:ind w:firstLine="0" w:firstLineChars="0"/>
              <w:jc w:val="center"/>
              <w:rPr>
                <w:rFonts w:hint="eastAsia"/>
                <w:color w:val="000000"/>
                <w:sz w:val="18"/>
                <w:szCs w:val="18"/>
              </w:rPr>
            </w:pPr>
          </w:p>
        </w:tc>
      </w:tr>
      <w:tr w14:paraId="0319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1704" w:type="dxa"/>
            <w:vMerge w:val="continue"/>
            <w:noWrap w:val="0"/>
            <w:tcMar>
              <w:top w:w="0" w:type="dxa"/>
              <w:left w:w="108" w:type="dxa"/>
              <w:bottom w:w="0" w:type="dxa"/>
              <w:right w:w="108" w:type="dxa"/>
            </w:tcMar>
            <w:vAlign w:val="center"/>
          </w:tcPr>
          <w:p w14:paraId="089A288B">
            <w:pPr>
              <w:pStyle w:val="20"/>
              <w:ind w:firstLine="0" w:firstLineChars="0"/>
              <w:jc w:val="center"/>
              <w:rPr>
                <w:color w:val="000000"/>
                <w:sz w:val="18"/>
                <w:szCs w:val="18"/>
              </w:rPr>
            </w:pPr>
          </w:p>
        </w:tc>
        <w:tc>
          <w:tcPr>
            <w:tcW w:w="1580" w:type="dxa"/>
            <w:gridSpan w:val="2"/>
            <w:noWrap w:val="0"/>
            <w:tcMar>
              <w:top w:w="0" w:type="dxa"/>
              <w:left w:w="108" w:type="dxa"/>
              <w:bottom w:w="0" w:type="dxa"/>
              <w:right w:w="108" w:type="dxa"/>
            </w:tcMar>
            <w:vAlign w:val="center"/>
          </w:tcPr>
          <w:p w14:paraId="0A2B7166">
            <w:pPr>
              <w:pStyle w:val="20"/>
              <w:ind w:firstLine="0" w:firstLineChars="0"/>
              <w:jc w:val="center"/>
              <w:rPr>
                <w:rFonts w:hint="eastAsia"/>
                <w:color w:val="000000"/>
                <w:sz w:val="18"/>
                <w:szCs w:val="18"/>
                <w:lang w:bidi="ar"/>
              </w:rPr>
            </w:pPr>
            <w:r>
              <w:rPr>
                <w:rFonts w:hint="eastAsia"/>
                <w:color w:val="000000"/>
                <w:sz w:val="18"/>
                <w:szCs w:val="18"/>
                <w:lang w:bidi="ar"/>
              </w:rPr>
              <w:t>产品说明</w:t>
            </w:r>
          </w:p>
        </w:tc>
        <w:tc>
          <w:tcPr>
            <w:tcW w:w="3402" w:type="dxa"/>
            <w:gridSpan w:val="4"/>
            <w:noWrap w:val="0"/>
            <w:tcMar>
              <w:top w:w="0" w:type="dxa"/>
              <w:left w:w="108" w:type="dxa"/>
              <w:bottom w:w="0" w:type="dxa"/>
              <w:right w:w="108" w:type="dxa"/>
            </w:tcMar>
            <w:vAlign w:val="center"/>
          </w:tcPr>
          <w:p w14:paraId="69A63FA6">
            <w:pPr>
              <w:pStyle w:val="20"/>
              <w:ind w:firstLine="0" w:firstLineChars="0"/>
              <w:jc w:val="left"/>
              <w:rPr>
                <w:rFonts w:hint="eastAsia"/>
                <w:color w:val="000000"/>
                <w:sz w:val="18"/>
                <w:szCs w:val="18"/>
              </w:rPr>
            </w:pPr>
            <w:r>
              <w:rPr>
                <w:rFonts w:hint="eastAsia"/>
                <w:color w:val="000000"/>
                <w:sz w:val="18"/>
                <w:szCs w:val="18"/>
              </w:rPr>
              <w:t>产品使用说明内容完整，包括简介、应用范围、检测原理、检测环境要求、检测性能指标、产品组成、自备的试剂和设备、检测操作步骤、注意事项、样品处理方法、结果判断方法。</w:t>
            </w:r>
          </w:p>
        </w:tc>
        <w:tc>
          <w:tcPr>
            <w:tcW w:w="993" w:type="dxa"/>
            <w:noWrap w:val="0"/>
            <w:tcMar>
              <w:top w:w="0" w:type="dxa"/>
              <w:left w:w="108" w:type="dxa"/>
              <w:bottom w:w="0" w:type="dxa"/>
              <w:right w:w="108" w:type="dxa"/>
            </w:tcMar>
            <w:vAlign w:val="center"/>
          </w:tcPr>
          <w:p w14:paraId="6F1E6986">
            <w:pPr>
              <w:pStyle w:val="20"/>
              <w:ind w:firstLine="0" w:firstLineChars="0"/>
              <w:rPr>
                <w:rFonts w:hint="eastAsia"/>
                <w:color w:val="000000"/>
                <w:sz w:val="18"/>
                <w:szCs w:val="18"/>
                <w:lang w:bidi="ar"/>
              </w:rPr>
            </w:pPr>
            <w:r>
              <w:rPr>
                <w:rFonts w:hint="eastAsia"/>
                <w:color w:val="000000"/>
                <w:sz w:val="18"/>
                <w:szCs w:val="18"/>
                <w:lang w:bidi="ar"/>
              </w:rPr>
              <w:t>□符合</w:t>
            </w:r>
          </w:p>
          <w:p w14:paraId="3BD09113">
            <w:pPr>
              <w:pStyle w:val="20"/>
              <w:ind w:firstLine="0" w:firstLineChars="0"/>
              <w:rPr>
                <w:rFonts w:hint="eastAsia"/>
                <w:color w:val="000000"/>
                <w:sz w:val="18"/>
                <w:szCs w:val="18"/>
                <w:lang w:bidi="ar"/>
              </w:rPr>
            </w:pPr>
            <w:r>
              <w:rPr>
                <w:rFonts w:hint="eastAsia"/>
                <w:color w:val="000000"/>
                <w:sz w:val="18"/>
                <w:szCs w:val="18"/>
                <w:lang w:bidi="ar"/>
              </w:rPr>
              <w:t>□不符合</w:t>
            </w:r>
          </w:p>
        </w:tc>
        <w:tc>
          <w:tcPr>
            <w:tcW w:w="1439" w:type="dxa"/>
            <w:gridSpan w:val="2"/>
            <w:noWrap w:val="0"/>
            <w:tcMar>
              <w:top w:w="0" w:type="dxa"/>
              <w:left w:w="108" w:type="dxa"/>
              <w:bottom w:w="0" w:type="dxa"/>
              <w:right w:w="108" w:type="dxa"/>
            </w:tcMar>
            <w:vAlign w:val="center"/>
          </w:tcPr>
          <w:p w14:paraId="00E1E4D3">
            <w:pPr>
              <w:pStyle w:val="20"/>
              <w:ind w:firstLine="0" w:firstLineChars="0"/>
              <w:jc w:val="center"/>
              <w:rPr>
                <w:rFonts w:hint="eastAsia"/>
                <w:color w:val="000000"/>
                <w:sz w:val="18"/>
                <w:szCs w:val="18"/>
              </w:rPr>
            </w:pPr>
          </w:p>
        </w:tc>
      </w:tr>
      <w:tr w14:paraId="403DA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1704" w:type="dxa"/>
            <w:vMerge w:val="continue"/>
            <w:noWrap w:val="0"/>
            <w:tcMar>
              <w:top w:w="0" w:type="dxa"/>
              <w:left w:w="108" w:type="dxa"/>
              <w:bottom w:w="0" w:type="dxa"/>
              <w:right w:w="108" w:type="dxa"/>
            </w:tcMar>
            <w:vAlign w:val="center"/>
          </w:tcPr>
          <w:p w14:paraId="48A42099">
            <w:pPr>
              <w:pStyle w:val="20"/>
              <w:ind w:firstLine="0" w:firstLineChars="0"/>
              <w:jc w:val="center"/>
              <w:rPr>
                <w:color w:val="000000"/>
                <w:sz w:val="18"/>
                <w:szCs w:val="18"/>
              </w:rPr>
            </w:pPr>
          </w:p>
        </w:tc>
        <w:tc>
          <w:tcPr>
            <w:tcW w:w="1580" w:type="dxa"/>
            <w:gridSpan w:val="2"/>
            <w:noWrap w:val="0"/>
            <w:tcMar>
              <w:top w:w="0" w:type="dxa"/>
              <w:left w:w="108" w:type="dxa"/>
              <w:bottom w:w="0" w:type="dxa"/>
              <w:right w:w="108" w:type="dxa"/>
            </w:tcMar>
            <w:vAlign w:val="center"/>
          </w:tcPr>
          <w:p w14:paraId="060B446D">
            <w:pPr>
              <w:pStyle w:val="20"/>
              <w:ind w:firstLine="0" w:firstLineChars="0"/>
              <w:jc w:val="center"/>
              <w:rPr>
                <w:rFonts w:hint="eastAsia"/>
                <w:color w:val="000000"/>
                <w:sz w:val="18"/>
                <w:szCs w:val="18"/>
                <w:lang w:bidi="ar"/>
              </w:rPr>
            </w:pPr>
            <w:r>
              <w:rPr>
                <w:rFonts w:hint="eastAsia"/>
                <w:color w:val="000000"/>
                <w:sz w:val="18"/>
                <w:szCs w:val="18"/>
                <w:lang w:bidi="ar"/>
              </w:rPr>
              <w:t>产品使用安全性</w:t>
            </w:r>
          </w:p>
        </w:tc>
        <w:tc>
          <w:tcPr>
            <w:tcW w:w="3402" w:type="dxa"/>
            <w:gridSpan w:val="4"/>
            <w:noWrap w:val="0"/>
            <w:tcMar>
              <w:top w:w="0" w:type="dxa"/>
              <w:left w:w="108" w:type="dxa"/>
              <w:bottom w:w="0" w:type="dxa"/>
              <w:right w:w="108" w:type="dxa"/>
            </w:tcMar>
            <w:vAlign w:val="center"/>
          </w:tcPr>
          <w:p w14:paraId="7959B955">
            <w:pPr>
              <w:pStyle w:val="20"/>
              <w:ind w:firstLine="0" w:firstLineChars="0"/>
              <w:jc w:val="center"/>
              <w:rPr>
                <w:rFonts w:hint="eastAsia"/>
                <w:color w:val="000000"/>
                <w:sz w:val="18"/>
                <w:szCs w:val="18"/>
              </w:rPr>
            </w:pPr>
            <w:r>
              <w:rPr>
                <w:rFonts w:hint="eastAsia"/>
                <w:color w:val="000000"/>
                <w:sz w:val="18"/>
                <w:szCs w:val="18"/>
              </w:rPr>
              <w:t>具有安全危害提示、废弃物处理等信息。</w:t>
            </w:r>
          </w:p>
        </w:tc>
        <w:tc>
          <w:tcPr>
            <w:tcW w:w="993" w:type="dxa"/>
            <w:noWrap w:val="0"/>
            <w:tcMar>
              <w:top w:w="0" w:type="dxa"/>
              <w:left w:w="108" w:type="dxa"/>
              <w:bottom w:w="0" w:type="dxa"/>
              <w:right w:w="108" w:type="dxa"/>
            </w:tcMar>
            <w:vAlign w:val="center"/>
          </w:tcPr>
          <w:p w14:paraId="77C99191">
            <w:pPr>
              <w:pStyle w:val="20"/>
              <w:ind w:firstLine="0" w:firstLineChars="0"/>
              <w:rPr>
                <w:rFonts w:hint="eastAsia"/>
                <w:color w:val="000000"/>
                <w:sz w:val="18"/>
                <w:szCs w:val="18"/>
                <w:lang w:bidi="ar"/>
              </w:rPr>
            </w:pPr>
            <w:r>
              <w:rPr>
                <w:rFonts w:hint="eastAsia"/>
                <w:color w:val="000000"/>
                <w:sz w:val="18"/>
                <w:szCs w:val="18"/>
                <w:lang w:bidi="ar"/>
              </w:rPr>
              <w:t>□符合</w:t>
            </w:r>
          </w:p>
          <w:p w14:paraId="0F1AC71B">
            <w:pPr>
              <w:pStyle w:val="20"/>
              <w:ind w:firstLine="0" w:firstLineChars="0"/>
              <w:rPr>
                <w:rFonts w:hint="eastAsia"/>
                <w:color w:val="000000"/>
                <w:sz w:val="18"/>
                <w:szCs w:val="18"/>
                <w:lang w:bidi="ar"/>
              </w:rPr>
            </w:pPr>
            <w:r>
              <w:rPr>
                <w:rFonts w:hint="eastAsia"/>
                <w:color w:val="000000"/>
                <w:sz w:val="18"/>
                <w:szCs w:val="18"/>
                <w:lang w:bidi="ar"/>
              </w:rPr>
              <w:t>□不符合</w:t>
            </w:r>
          </w:p>
        </w:tc>
        <w:tc>
          <w:tcPr>
            <w:tcW w:w="1439" w:type="dxa"/>
            <w:gridSpan w:val="2"/>
            <w:noWrap w:val="0"/>
            <w:tcMar>
              <w:top w:w="0" w:type="dxa"/>
              <w:left w:w="108" w:type="dxa"/>
              <w:bottom w:w="0" w:type="dxa"/>
              <w:right w:w="108" w:type="dxa"/>
            </w:tcMar>
            <w:vAlign w:val="center"/>
          </w:tcPr>
          <w:p w14:paraId="7752893C">
            <w:pPr>
              <w:pStyle w:val="20"/>
              <w:ind w:firstLine="0" w:firstLineChars="0"/>
              <w:jc w:val="center"/>
              <w:rPr>
                <w:rFonts w:hint="eastAsia"/>
                <w:color w:val="000000"/>
                <w:sz w:val="18"/>
                <w:szCs w:val="18"/>
              </w:rPr>
            </w:pPr>
          </w:p>
        </w:tc>
      </w:tr>
      <w:tr w14:paraId="69488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1704" w:type="dxa"/>
            <w:vMerge w:val="continue"/>
            <w:noWrap w:val="0"/>
            <w:tcMar>
              <w:top w:w="0" w:type="dxa"/>
              <w:left w:w="108" w:type="dxa"/>
              <w:bottom w:w="0" w:type="dxa"/>
              <w:right w:w="108" w:type="dxa"/>
            </w:tcMar>
            <w:vAlign w:val="center"/>
          </w:tcPr>
          <w:p w14:paraId="3BD703C3">
            <w:pPr>
              <w:pStyle w:val="20"/>
              <w:ind w:firstLine="0" w:firstLineChars="0"/>
              <w:jc w:val="center"/>
              <w:rPr>
                <w:color w:val="000000"/>
                <w:sz w:val="18"/>
                <w:szCs w:val="18"/>
              </w:rPr>
            </w:pPr>
          </w:p>
        </w:tc>
        <w:tc>
          <w:tcPr>
            <w:tcW w:w="7414" w:type="dxa"/>
            <w:gridSpan w:val="9"/>
            <w:noWrap w:val="0"/>
            <w:tcMar>
              <w:top w:w="0" w:type="dxa"/>
              <w:left w:w="108" w:type="dxa"/>
              <w:bottom w:w="0" w:type="dxa"/>
              <w:right w:w="108" w:type="dxa"/>
            </w:tcMar>
            <w:vAlign w:val="center"/>
          </w:tcPr>
          <w:p w14:paraId="19AB3775">
            <w:pPr>
              <w:pStyle w:val="20"/>
              <w:ind w:firstLine="0" w:firstLineChars="0"/>
              <w:jc w:val="left"/>
              <w:rPr>
                <w:rFonts w:hint="eastAsia"/>
                <w:color w:val="000000"/>
                <w:sz w:val="18"/>
                <w:szCs w:val="18"/>
              </w:rPr>
            </w:pPr>
            <w:r>
              <w:rPr>
                <w:rFonts w:hint="eastAsia"/>
                <w:color w:val="000000"/>
                <w:sz w:val="18"/>
                <w:szCs w:val="18"/>
              </w:rPr>
              <w:t>注：具体信息见快检产品。</w:t>
            </w:r>
          </w:p>
        </w:tc>
      </w:tr>
      <w:tr w14:paraId="48B3F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1704" w:type="dxa"/>
            <w:vMerge w:val="restart"/>
            <w:noWrap w:val="0"/>
            <w:tcMar>
              <w:top w:w="0" w:type="dxa"/>
              <w:left w:w="108" w:type="dxa"/>
              <w:bottom w:w="0" w:type="dxa"/>
              <w:right w:w="108" w:type="dxa"/>
            </w:tcMar>
            <w:vAlign w:val="center"/>
          </w:tcPr>
          <w:p w14:paraId="17BE0794">
            <w:pPr>
              <w:pStyle w:val="20"/>
              <w:ind w:firstLine="0" w:firstLineChars="0"/>
              <w:jc w:val="center"/>
              <w:rPr>
                <w:rFonts w:hint="eastAsia"/>
                <w:color w:val="000000"/>
                <w:sz w:val="18"/>
                <w:szCs w:val="18"/>
                <w:lang w:bidi="ar"/>
              </w:rPr>
            </w:pPr>
            <w:r>
              <w:rPr>
                <w:rFonts w:hint="eastAsia"/>
                <w:color w:val="000000"/>
                <w:sz w:val="18"/>
                <w:szCs w:val="18"/>
                <w:lang w:bidi="ar"/>
              </w:rPr>
              <w:t>技术指标评价</w:t>
            </w:r>
          </w:p>
          <w:p w14:paraId="2223F7A3">
            <w:pPr>
              <w:pStyle w:val="20"/>
              <w:ind w:firstLine="0" w:firstLineChars="0"/>
              <w:jc w:val="center"/>
              <w:rPr>
                <w:color w:val="000000"/>
                <w:sz w:val="18"/>
                <w:szCs w:val="18"/>
                <w:lang w:bidi="ar"/>
              </w:rPr>
            </w:pPr>
          </w:p>
        </w:tc>
        <w:tc>
          <w:tcPr>
            <w:tcW w:w="7414" w:type="dxa"/>
            <w:gridSpan w:val="9"/>
            <w:noWrap w:val="0"/>
            <w:tcMar>
              <w:top w:w="0" w:type="dxa"/>
              <w:left w:w="108" w:type="dxa"/>
              <w:bottom w:w="0" w:type="dxa"/>
              <w:right w:w="108" w:type="dxa"/>
            </w:tcMar>
            <w:vAlign w:val="top"/>
          </w:tcPr>
          <w:p w14:paraId="63F933A6">
            <w:pPr>
              <w:jc w:val="left"/>
              <w:rPr>
                <w:rFonts w:hint="eastAsia"/>
                <w:color w:val="000000"/>
                <w:sz w:val="18"/>
                <w:szCs w:val="18"/>
                <w:lang w:bidi="ar"/>
              </w:rPr>
            </w:pPr>
            <w:r>
              <w:rPr>
                <w:rFonts w:hint="eastAsia"/>
                <w:color w:val="000000"/>
                <w:sz w:val="18"/>
                <w:szCs w:val="18"/>
                <w:lang w:bidi="ar"/>
              </w:rPr>
              <w:t>操作过程：</w:t>
            </w:r>
            <w:r>
              <w:rPr>
                <w:rFonts w:hint="eastAsia" w:ascii="宋体" w:hAnsi="宋体"/>
                <w:color w:val="000000"/>
                <w:sz w:val="18"/>
                <w:szCs w:val="18"/>
                <w:lang w:val="zh-CN"/>
              </w:rPr>
              <w:t>按照产品说明书操作。</w:t>
            </w:r>
          </w:p>
        </w:tc>
      </w:tr>
      <w:tr w14:paraId="31B6C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1704" w:type="dxa"/>
            <w:vMerge w:val="continue"/>
            <w:noWrap w:val="0"/>
            <w:tcMar>
              <w:top w:w="0" w:type="dxa"/>
              <w:left w:w="108" w:type="dxa"/>
              <w:bottom w:w="0" w:type="dxa"/>
              <w:right w:w="108" w:type="dxa"/>
            </w:tcMar>
            <w:vAlign w:val="center"/>
          </w:tcPr>
          <w:p w14:paraId="17568DC1">
            <w:pPr>
              <w:pStyle w:val="20"/>
              <w:ind w:firstLine="0" w:firstLineChars="0"/>
              <w:jc w:val="center"/>
              <w:rPr>
                <w:color w:val="000000"/>
                <w:sz w:val="18"/>
                <w:szCs w:val="18"/>
                <w:lang w:bidi="ar"/>
              </w:rPr>
            </w:pPr>
          </w:p>
        </w:tc>
        <w:tc>
          <w:tcPr>
            <w:tcW w:w="1070" w:type="dxa"/>
            <w:noWrap w:val="0"/>
            <w:tcMar>
              <w:top w:w="0" w:type="dxa"/>
              <w:left w:w="108" w:type="dxa"/>
              <w:bottom w:w="0" w:type="dxa"/>
              <w:right w:w="108" w:type="dxa"/>
            </w:tcMar>
            <w:vAlign w:val="top"/>
          </w:tcPr>
          <w:p w14:paraId="62E519EF">
            <w:pPr>
              <w:pStyle w:val="20"/>
              <w:ind w:firstLine="0" w:firstLineChars="0"/>
              <w:jc w:val="center"/>
              <w:rPr>
                <w:rFonts w:hint="eastAsia"/>
                <w:color w:val="000000"/>
                <w:sz w:val="18"/>
                <w:szCs w:val="18"/>
                <w:highlight w:val="none"/>
                <w:lang w:bidi="ar"/>
              </w:rPr>
            </w:pPr>
            <w:r>
              <w:rPr>
                <w:rFonts w:hint="eastAsia"/>
                <w:color w:val="000000"/>
                <w:sz w:val="18"/>
                <w:szCs w:val="18"/>
                <w:highlight w:val="none"/>
                <w:lang w:bidi="ar"/>
              </w:rPr>
              <w:t>盲样编号</w:t>
            </w:r>
          </w:p>
        </w:tc>
        <w:tc>
          <w:tcPr>
            <w:tcW w:w="1384" w:type="dxa"/>
            <w:gridSpan w:val="2"/>
            <w:noWrap w:val="0"/>
            <w:vAlign w:val="top"/>
          </w:tcPr>
          <w:p w14:paraId="0FD88719">
            <w:pPr>
              <w:pStyle w:val="20"/>
              <w:ind w:firstLine="0" w:firstLineChars="0"/>
              <w:jc w:val="center"/>
              <w:rPr>
                <w:rFonts w:hint="eastAsia"/>
                <w:color w:val="000000"/>
                <w:sz w:val="18"/>
                <w:szCs w:val="18"/>
                <w:highlight w:val="none"/>
                <w:lang w:bidi="ar"/>
              </w:rPr>
            </w:pPr>
            <w:r>
              <w:rPr>
                <w:rFonts w:hint="eastAsia"/>
                <w:color w:val="000000"/>
                <w:sz w:val="18"/>
                <w:szCs w:val="18"/>
                <w:highlight w:val="none"/>
                <w:lang w:bidi="ar"/>
              </w:rPr>
              <w:t>盲样</w:t>
            </w:r>
            <w:r>
              <w:rPr>
                <w:rFonts w:hint="eastAsia"/>
                <w:color w:val="000000"/>
                <w:sz w:val="18"/>
                <w:szCs w:val="18"/>
                <w:highlight w:val="none"/>
                <w:lang w:eastAsia="zh-CN" w:bidi="ar"/>
              </w:rPr>
              <w:t>检测</w:t>
            </w:r>
            <w:r>
              <w:rPr>
                <w:rFonts w:hint="eastAsia"/>
                <w:color w:val="000000"/>
                <w:sz w:val="18"/>
                <w:szCs w:val="18"/>
                <w:highlight w:val="none"/>
                <w:lang w:bidi="ar"/>
              </w:rPr>
              <w:t>结果</w:t>
            </w:r>
          </w:p>
        </w:tc>
        <w:tc>
          <w:tcPr>
            <w:tcW w:w="1096" w:type="dxa"/>
            <w:noWrap w:val="0"/>
            <w:vAlign w:val="top"/>
          </w:tcPr>
          <w:p w14:paraId="17C5EFE7">
            <w:pPr>
              <w:jc w:val="center"/>
              <w:rPr>
                <w:rFonts w:hint="eastAsia" w:ascii="宋体" w:eastAsia="宋体"/>
                <w:color w:val="000000"/>
                <w:sz w:val="18"/>
                <w:szCs w:val="18"/>
                <w:highlight w:val="none"/>
                <w:lang w:eastAsia="zh-CN" w:bidi="ar"/>
              </w:rPr>
            </w:pPr>
            <w:r>
              <w:rPr>
                <w:rFonts w:hint="eastAsia" w:ascii="宋体"/>
                <w:color w:val="000000"/>
                <w:sz w:val="18"/>
                <w:szCs w:val="18"/>
                <w:highlight w:val="none"/>
                <w:lang w:eastAsia="zh-CN" w:bidi="ar"/>
              </w:rPr>
              <w:t>符合性</w:t>
            </w:r>
          </w:p>
        </w:tc>
        <w:tc>
          <w:tcPr>
            <w:tcW w:w="947" w:type="dxa"/>
            <w:shd w:val="clear" w:color="auto" w:fill="auto"/>
            <w:noWrap w:val="0"/>
            <w:vAlign w:val="top"/>
          </w:tcPr>
          <w:p w14:paraId="01AC8772">
            <w:pPr>
              <w:jc w:val="center"/>
              <w:rPr>
                <w:rFonts w:hint="eastAsia" w:ascii="宋体" w:hAnsi="Times New Roman" w:eastAsia="宋体" w:cs="Times New Roman"/>
                <w:color w:val="000000"/>
                <w:kern w:val="2"/>
                <w:sz w:val="18"/>
                <w:szCs w:val="18"/>
                <w:highlight w:val="none"/>
                <w:lang w:val="en-US" w:eastAsia="zh-CN" w:bidi="ar"/>
              </w:rPr>
            </w:pPr>
            <w:r>
              <w:rPr>
                <w:rFonts w:hint="eastAsia"/>
                <w:color w:val="000000"/>
                <w:sz w:val="18"/>
                <w:szCs w:val="18"/>
                <w:highlight w:val="none"/>
                <w:lang w:bidi="ar"/>
              </w:rPr>
              <w:t>盲样编号</w:t>
            </w:r>
          </w:p>
        </w:tc>
        <w:tc>
          <w:tcPr>
            <w:tcW w:w="1603" w:type="dxa"/>
            <w:gridSpan w:val="3"/>
            <w:noWrap w:val="0"/>
            <w:vAlign w:val="top"/>
          </w:tcPr>
          <w:p w14:paraId="7A803396">
            <w:pPr>
              <w:jc w:val="center"/>
              <w:rPr>
                <w:rFonts w:hint="eastAsia" w:ascii="宋体" w:eastAsia="宋体"/>
                <w:color w:val="000000"/>
                <w:sz w:val="18"/>
                <w:szCs w:val="18"/>
                <w:highlight w:val="none"/>
                <w:lang w:eastAsia="zh-CN" w:bidi="ar"/>
              </w:rPr>
            </w:pPr>
            <w:r>
              <w:rPr>
                <w:rFonts w:hint="eastAsia"/>
                <w:color w:val="000000"/>
                <w:sz w:val="18"/>
                <w:szCs w:val="18"/>
                <w:highlight w:val="none"/>
                <w:lang w:bidi="ar"/>
              </w:rPr>
              <w:t>盲样</w:t>
            </w:r>
            <w:r>
              <w:rPr>
                <w:rFonts w:hint="eastAsia"/>
                <w:color w:val="000000"/>
                <w:sz w:val="18"/>
                <w:szCs w:val="18"/>
                <w:highlight w:val="none"/>
                <w:lang w:eastAsia="zh-CN" w:bidi="ar"/>
              </w:rPr>
              <w:t>检测结果</w:t>
            </w:r>
          </w:p>
        </w:tc>
        <w:tc>
          <w:tcPr>
            <w:tcW w:w="1314" w:type="dxa"/>
            <w:shd w:val="clear" w:color="auto" w:fill="auto"/>
            <w:noWrap w:val="0"/>
            <w:vAlign w:val="top"/>
          </w:tcPr>
          <w:p w14:paraId="7057BF71">
            <w:pPr>
              <w:jc w:val="center"/>
              <w:rPr>
                <w:rFonts w:hint="eastAsia" w:ascii="宋体" w:hAnsi="Times New Roman" w:eastAsia="宋体" w:cs="Times New Roman"/>
                <w:color w:val="000000"/>
                <w:kern w:val="2"/>
                <w:sz w:val="18"/>
                <w:szCs w:val="18"/>
                <w:highlight w:val="none"/>
                <w:lang w:val="en-US" w:eastAsia="zh-CN" w:bidi="ar"/>
              </w:rPr>
            </w:pPr>
            <w:r>
              <w:rPr>
                <w:rFonts w:hint="eastAsia" w:ascii="宋体"/>
                <w:color w:val="000000"/>
                <w:sz w:val="18"/>
                <w:szCs w:val="18"/>
                <w:highlight w:val="none"/>
                <w:lang w:eastAsia="zh-CN" w:bidi="ar"/>
              </w:rPr>
              <w:t>符合性</w:t>
            </w:r>
          </w:p>
        </w:tc>
      </w:tr>
      <w:tr w14:paraId="3DA8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1704" w:type="dxa"/>
            <w:vMerge w:val="continue"/>
            <w:noWrap w:val="0"/>
            <w:tcMar>
              <w:top w:w="0" w:type="dxa"/>
              <w:left w:w="108" w:type="dxa"/>
              <w:bottom w:w="0" w:type="dxa"/>
              <w:right w:w="108" w:type="dxa"/>
            </w:tcMar>
            <w:vAlign w:val="center"/>
          </w:tcPr>
          <w:p w14:paraId="281AC9E8">
            <w:pPr>
              <w:pStyle w:val="20"/>
              <w:ind w:firstLine="0" w:firstLineChars="0"/>
              <w:jc w:val="center"/>
              <w:rPr>
                <w:color w:val="000000"/>
                <w:sz w:val="18"/>
                <w:szCs w:val="18"/>
                <w:lang w:bidi="ar"/>
              </w:rPr>
            </w:pPr>
          </w:p>
        </w:tc>
        <w:tc>
          <w:tcPr>
            <w:tcW w:w="1070" w:type="dxa"/>
            <w:noWrap w:val="0"/>
            <w:tcMar>
              <w:top w:w="0" w:type="dxa"/>
              <w:left w:w="108" w:type="dxa"/>
              <w:bottom w:w="0" w:type="dxa"/>
              <w:right w:w="108" w:type="dxa"/>
            </w:tcMar>
            <w:vAlign w:val="top"/>
          </w:tcPr>
          <w:p w14:paraId="4B7573CD">
            <w:pPr>
              <w:pStyle w:val="20"/>
              <w:ind w:firstLine="0" w:firstLineChars="0"/>
              <w:jc w:val="center"/>
              <w:rPr>
                <w:rFonts w:hint="eastAsia"/>
                <w:color w:val="000000"/>
                <w:sz w:val="18"/>
                <w:szCs w:val="18"/>
                <w:highlight w:val="none"/>
                <w:lang w:bidi="ar"/>
              </w:rPr>
            </w:pPr>
          </w:p>
        </w:tc>
        <w:tc>
          <w:tcPr>
            <w:tcW w:w="1384" w:type="dxa"/>
            <w:gridSpan w:val="2"/>
            <w:noWrap w:val="0"/>
            <w:vAlign w:val="top"/>
          </w:tcPr>
          <w:p w14:paraId="1DB49666">
            <w:pPr>
              <w:pStyle w:val="20"/>
              <w:ind w:firstLine="0" w:firstLineChars="0"/>
              <w:jc w:val="center"/>
              <w:rPr>
                <w:rFonts w:hint="eastAsia"/>
                <w:color w:val="000000"/>
                <w:sz w:val="18"/>
                <w:szCs w:val="18"/>
                <w:highlight w:val="none"/>
                <w:lang w:bidi="ar"/>
              </w:rPr>
            </w:pPr>
            <w:r>
              <w:rPr>
                <w:rFonts w:hint="eastAsia"/>
                <w:color w:val="000000"/>
                <w:sz w:val="18"/>
                <w:szCs w:val="18"/>
                <w:highlight w:val="none"/>
                <w:lang w:bidi="ar"/>
              </w:rPr>
              <w:t>□阴性</w:t>
            </w:r>
            <w:r>
              <w:rPr>
                <w:rFonts w:hint="eastAsia" w:cs="宋体"/>
                <w:color w:val="000000"/>
                <w:sz w:val="18"/>
                <w:szCs w:val="18"/>
                <w:highlight w:val="none"/>
                <w:lang w:bidi="ar"/>
              </w:rPr>
              <w:t xml:space="preserve"> </w:t>
            </w:r>
            <w:r>
              <w:rPr>
                <w:rFonts w:hint="eastAsia"/>
                <w:color w:val="000000"/>
                <w:sz w:val="18"/>
                <w:szCs w:val="18"/>
                <w:highlight w:val="none"/>
                <w:lang w:eastAsia="zh-CN" w:bidi="ar"/>
              </w:rPr>
              <w:t>□</w:t>
            </w:r>
            <w:r>
              <w:rPr>
                <w:rFonts w:hint="eastAsia"/>
                <w:color w:val="000000"/>
                <w:sz w:val="18"/>
                <w:szCs w:val="18"/>
                <w:highlight w:val="none"/>
                <w:lang w:bidi="ar"/>
              </w:rPr>
              <w:t>阳性</w:t>
            </w:r>
          </w:p>
        </w:tc>
        <w:tc>
          <w:tcPr>
            <w:tcW w:w="1096" w:type="dxa"/>
            <w:noWrap w:val="0"/>
            <w:vAlign w:val="top"/>
          </w:tcPr>
          <w:p w14:paraId="00FFF924">
            <w:pPr>
              <w:pStyle w:val="20"/>
              <w:ind w:firstLine="0" w:firstLineChars="0"/>
              <w:jc w:val="center"/>
              <w:rPr>
                <w:rFonts w:hint="eastAsia"/>
                <w:color w:val="000000"/>
                <w:sz w:val="18"/>
                <w:szCs w:val="18"/>
                <w:highlight w:val="none"/>
                <w:lang w:bidi="ar"/>
              </w:rPr>
            </w:pPr>
            <w:r>
              <w:rPr>
                <w:rFonts w:hint="eastAsia"/>
                <w:color w:val="000000"/>
                <w:sz w:val="18"/>
                <w:szCs w:val="18"/>
                <w:highlight w:val="none"/>
                <w:lang w:bidi="ar"/>
              </w:rPr>
              <w:t>□</w:t>
            </w:r>
            <w:r>
              <w:rPr>
                <w:rFonts w:hint="eastAsia"/>
                <w:color w:val="000000"/>
                <w:sz w:val="18"/>
                <w:szCs w:val="18"/>
                <w:highlight w:val="none"/>
                <w:lang w:eastAsia="zh-CN" w:bidi="ar"/>
              </w:rPr>
              <w:t>是；□否</w:t>
            </w:r>
          </w:p>
        </w:tc>
        <w:tc>
          <w:tcPr>
            <w:tcW w:w="947" w:type="dxa"/>
            <w:noWrap w:val="0"/>
            <w:vAlign w:val="top"/>
          </w:tcPr>
          <w:p w14:paraId="231FC0FE">
            <w:pPr>
              <w:pStyle w:val="20"/>
              <w:ind w:firstLine="0" w:firstLineChars="0"/>
              <w:jc w:val="center"/>
              <w:rPr>
                <w:rFonts w:hint="eastAsia"/>
                <w:color w:val="000000"/>
                <w:sz w:val="18"/>
                <w:szCs w:val="18"/>
                <w:highlight w:val="none"/>
                <w:lang w:bidi="ar"/>
              </w:rPr>
            </w:pPr>
          </w:p>
        </w:tc>
        <w:tc>
          <w:tcPr>
            <w:tcW w:w="1603" w:type="dxa"/>
            <w:gridSpan w:val="3"/>
            <w:noWrap w:val="0"/>
            <w:vAlign w:val="top"/>
          </w:tcPr>
          <w:p w14:paraId="189A3741">
            <w:pPr>
              <w:pStyle w:val="20"/>
              <w:ind w:firstLine="0" w:firstLineChars="0"/>
              <w:jc w:val="center"/>
              <w:rPr>
                <w:rFonts w:hint="eastAsia"/>
                <w:color w:val="000000"/>
                <w:sz w:val="18"/>
                <w:szCs w:val="18"/>
                <w:highlight w:val="none"/>
                <w:lang w:bidi="ar"/>
              </w:rPr>
            </w:pPr>
            <w:r>
              <w:rPr>
                <w:rFonts w:hint="eastAsia"/>
                <w:color w:val="000000"/>
                <w:sz w:val="18"/>
                <w:szCs w:val="18"/>
                <w:highlight w:val="none"/>
                <w:lang w:bidi="ar"/>
              </w:rPr>
              <w:t>□阴性</w:t>
            </w:r>
            <w:r>
              <w:rPr>
                <w:rFonts w:hint="eastAsia" w:cs="宋体"/>
                <w:color w:val="000000"/>
                <w:sz w:val="18"/>
                <w:szCs w:val="18"/>
                <w:highlight w:val="none"/>
                <w:lang w:bidi="ar"/>
              </w:rPr>
              <w:t xml:space="preserve"> </w:t>
            </w:r>
            <w:r>
              <w:rPr>
                <w:rFonts w:hint="eastAsia"/>
                <w:color w:val="000000"/>
                <w:sz w:val="18"/>
                <w:szCs w:val="18"/>
                <w:highlight w:val="none"/>
                <w:lang w:bidi="ar"/>
              </w:rPr>
              <w:t>□阳性</w:t>
            </w:r>
          </w:p>
        </w:tc>
        <w:tc>
          <w:tcPr>
            <w:tcW w:w="1314" w:type="dxa"/>
            <w:shd w:val="clear" w:color="auto" w:fill="auto"/>
            <w:noWrap w:val="0"/>
            <w:vAlign w:val="top"/>
          </w:tcPr>
          <w:p w14:paraId="528814CB">
            <w:pPr>
              <w:pStyle w:val="20"/>
              <w:ind w:firstLine="0" w:firstLineChars="0"/>
              <w:jc w:val="center"/>
              <w:rPr>
                <w:rFonts w:hint="eastAsia" w:ascii="宋体" w:hAnsi="Times New Roman" w:eastAsia="宋体" w:cs="Times New Roman"/>
                <w:color w:val="000000"/>
                <w:sz w:val="18"/>
                <w:szCs w:val="18"/>
                <w:highlight w:val="none"/>
                <w:lang w:val="en-US" w:eastAsia="zh-CN" w:bidi="ar"/>
              </w:rPr>
            </w:pPr>
            <w:r>
              <w:rPr>
                <w:rFonts w:hint="eastAsia"/>
                <w:color w:val="000000"/>
                <w:sz w:val="18"/>
                <w:szCs w:val="18"/>
                <w:highlight w:val="none"/>
                <w:lang w:bidi="ar"/>
              </w:rPr>
              <w:t>□</w:t>
            </w:r>
            <w:r>
              <w:rPr>
                <w:rFonts w:hint="eastAsia"/>
                <w:color w:val="000000"/>
                <w:sz w:val="18"/>
                <w:szCs w:val="18"/>
                <w:highlight w:val="none"/>
                <w:lang w:eastAsia="zh-CN" w:bidi="ar"/>
              </w:rPr>
              <w:t>是；□否</w:t>
            </w:r>
          </w:p>
        </w:tc>
      </w:tr>
      <w:tr w14:paraId="1058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1704" w:type="dxa"/>
            <w:vMerge w:val="continue"/>
            <w:noWrap w:val="0"/>
            <w:tcMar>
              <w:top w:w="0" w:type="dxa"/>
              <w:left w:w="108" w:type="dxa"/>
              <w:bottom w:w="0" w:type="dxa"/>
              <w:right w:w="108" w:type="dxa"/>
            </w:tcMar>
            <w:vAlign w:val="center"/>
          </w:tcPr>
          <w:p w14:paraId="559CB194">
            <w:pPr>
              <w:pStyle w:val="20"/>
              <w:ind w:firstLine="0" w:firstLineChars="0"/>
              <w:jc w:val="center"/>
              <w:rPr>
                <w:color w:val="000000"/>
                <w:sz w:val="18"/>
                <w:szCs w:val="18"/>
                <w:lang w:bidi="ar"/>
              </w:rPr>
            </w:pPr>
          </w:p>
        </w:tc>
        <w:tc>
          <w:tcPr>
            <w:tcW w:w="1070" w:type="dxa"/>
            <w:noWrap w:val="0"/>
            <w:tcMar>
              <w:top w:w="0" w:type="dxa"/>
              <w:left w:w="108" w:type="dxa"/>
              <w:bottom w:w="0" w:type="dxa"/>
              <w:right w:w="108" w:type="dxa"/>
            </w:tcMar>
            <w:vAlign w:val="top"/>
          </w:tcPr>
          <w:p w14:paraId="7A725A0E">
            <w:pPr>
              <w:pStyle w:val="20"/>
              <w:ind w:firstLine="0" w:firstLineChars="0"/>
              <w:jc w:val="center"/>
              <w:rPr>
                <w:rFonts w:hint="eastAsia"/>
                <w:color w:val="000000"/>
                <w:sz w:val="18"/>
                <w:szCs w:val="18"/>
                <w:highlight w:val="none"/>
                <w:lang w:bidi="ar"/>
              </w:rPr>
            </w:pPr>
          </w:p>
        </w:tc>
        <w:tc>
          <w:tcPr>
            <w:tcW w:w="1384" w:type="dxa"/>
            <w:gridSpan w:val="2"/>
            <w:noWrap w:val="0"/>
            <w:vAlign w:val="top"/>
          </w:tcPr>
          <w:p w14:paraId="087F126C">
            <w:pPr>
              <w:pStyle w:val="20"/>
              <w:ind w:firstLine="0" w:firstLineChars="0"/>
              <w:jc w:val="center"/>
              <w:rPr>
                <w:rFonts w:hint="eastAsia"/>
                <w:color w:val="000000"/>
                <w:sz w:val="18"/>
                <w:szCs w:val="18"/>
                <w:highlight w:val="none"/>
                <w:lang w:bidi="ar"/>
              </w:rPr>
            </w:pPr>
            <w:r>
              <w:rPr>
                <w:rFonts w:hint="eastAsia"/>
                <w:color w:val="000000"/>
                <w:sz w:val="18"/>
                <w:szCs w:val="18"/>
                <w:highlight w:val="none"/>
                <w:lang w:bidi="ar"/>
              </w:rPr>
              <w:t>□阴性</w:t>
            </w:r>
            <w:r>
              <w:rPr>
                <w:rFonts w:hint="eastAsia" w:cs="宋体"/>
                <w:color w:val="000000"/>
                <w:sz w:val="18"/>
                <w:szCs w:val="18"/>
                <w:highlight w:val="none"/>
                <w:lang w:bidi="ar"/>
              </w:rPr>
              <w:t xml:space="preserve"> </w:t>
            </w:r>
            <w:r>
              <w:rPr>
                <w:rFonts w:hint="eastAsia"/>
                <w:color w:val="000000"/>
                <w:sz w:val="18"/>
                <w:szCs w:val="18"/>
                <w:highlight w:val="none"/>
                <w:lang w:bidi="ar"/>
              </w:rPr>
              <w:t>□阳性</w:t>
            </w:r>
          </w:p>
        </w:tc>
        <w:tc>
          <w:tcPr>
            <w:tcW w:w="1096" w:type="dxa"/>
            <w:noWrap w:val="0"/>
            <w:vAlign w:val="top"/>
          </w:tcPr>
          <w:p w14:paraId="1B8BC664">
            <w:pPr>
              <w:pStyle w:val="20"/>
              <w:ind w:firstLine="0" w:firstLineChars="0"/>
              <w:jc w:val="center"/>
              <w:rPr>
                <w:color w:val="000000"/>
                <w:sz w:val="18"/>
                <w:szCs w:val="18"/>
                <w:highlight w:val="none"/>
                <w:lang w:bidi="ar"/>
              </w:rPr>
            </w:pPr>
            <w:r>
              <w:rPr>
                <w:rFonts w:hint="eastAsia"/>
                <w:color w:val="000000"/>
                <w:sz w:val="18"/>
                <w:szCs w:val="18"/>
                <w:highlight w:val="none"/>
                <w:lang w:bidi="ar"/>
              </w:rPr>
              <w:t>□</w:t>
            </w:r>
            <w:r>
              <w:rPr>
                <w:rFonts w:hint="eastAsia"/>
                <w:color w:val="000000"/>
                <w:sz w:val="18"/>
                <w:szCs w:val="18"/>
                <w:highlight w:val="none"/>
                <w:lang w:eastAsia="zh-CN" w:bidi="ar"/>
              </w:rPr>
              <w:t>是；□否</w:t>
            </w:r>
          </w:p>
        </w:tc>
        <w:tc>
          <w:tcPr>
            <w:tcW w:w="947" w:type="dxa"/>
            <w:noWrap w:val="0"/>
            <w:vAlign w:val="top"/>
          </w:tcPr>
          <w:p w14:paraId="673ABE65">
            <w:pPr>
              <w:pStyle w:val="20"/>
              <w:ind w:firstLine="0" w:firstLineChars="0"/>
              <w:jc w:val="center"/>
              <w:rPr>
                <w:color w:val="000000"/>
                <w:sz w:val="18"/>
                <w:szCs w:val="18"/>
                <w:highlight w:val="none"/>
                <w:lang w:bidi="ar"/>
              </w:rPr>
            </w:pPr>
          </w:p>
        </w:tc>
        <w:tc>
          <w:tcPr>
            <w:tcW w:w="1603" w:type="dxa"/>
            <w:gridSpan w:val="3"/>
            <w:noWrap w:val="0"/>
            <w:vAlign w:val="top"/>
          </w:tcPr>
          <w:p w14:paraId="2E987E3B">
            <w:pPr>
              <w:pStyle w:val="20"/>
              <w:ind w:firstLine="0" w:firstLineChars="0"/>
              <w:jc w:val="center"/>
              <w:rPr>
                <w:color w:val="000000"/>
                <w:sz w:val="18"/>
                <w:szCs w:val="18"/>
                <w:highlight w:val="none"/>
                <w:lang w:bidi="ar"/>
              </w:rPr>
            </w:pPr>
            <w:r>
              <w:rPr>
                <w:rFonts w:hint="eastAsia"/>
                <w:color w:val="000000"/>
                <w:sz w:val="18"/>
                <w:szCs w:val="18"/>
                <w:highlight w:val="none"/>
                <w:lang w:bidi="ar"/>
              </w:rPr>
              <w:t>□阴性</w:t>
            </w:r>
            <w:r>
              <w:rPr>
                <w:rFonts w:hint="eastAsia" w:cs="宋体"/>
                <w:color w:val="000000"/>
                <w:sz w:val="18"/>
                <w:szCs w:val="18"/>
                <w:highlight w:val="none"/>
                <w:lang w:bidi="ar"/>
              </w:rPr>
              <w:t xml:space="preserve"> </w:t>
            </w:r>
            <w:r>
              <w:rPr>
                <w:rFonts w:hint="eastAsia"/>
                <w:color w:val="000000"/>
                <w:sz w:val="18"/>
                <w:szCs w:val="18"/>
                <w:highlight w:val="none"/>
                <w:lang w:bidi="ar"/>
              </w:rPr>
              <w:t>□阳性</w:t>
            </w:r>
          </w:p>
        </w:tc>
        <w:tc>
          <w:tcPr>
            <w:tcW w:w="1314" w:type="dxa"/>
            <w:shd w:val="clear" w:color="auto" w:fill="auto"/>
            <w:noWrap w:val="0"/>
            <w:vAlign w:val="top"/>
          </w:tcPr>
          <w:p w14:paraId="4BD33CC7">
            <w:pPr>
              <w:pStyle w:val="20"/>
              <w:ind w:firstLine="0" w:firstLineChars="0"/>
              <w:jc w:val="center"/>
              <w:rPr>
                <w:rFonts w:hint="eastAsia" w:ascii="宋体" w:hAnsi="Times New Roman" w:eastAsia="宋体" w:cs="Times New Roman"/>
                <w:color w:val="000000"/>
                <w:sz w:val="18"/>
                <w:szCs w:val="18"/>
                <w:highlight w:val="none"/>
                <w:lang w:val="en-US" w:eastAsia="zh-CN" w:bidi="ar"/>
              </w:rPr>
            </w:pPr>
            <w:r>
              <w:rPr>
                <w:rFonts w:hint="eastAsia"/>
                <w:color w:val="000000"/>
                <w:sz w:val="18"/>
                <w:szCs w:val="18"/>
                <w:highlight w:val="none"/>
                <w:lang w:bidi="ar"/>
              </w:rPr>
              <w:t>□</w:t>
            </w:r>
            <w:r>
              <w:rPr>
                <w:rFonts w:hint="eastAsia"/>
                <w:color w:val="000000"/>
                <w:sz w:val="18"/>
                <w:szCs w:val="18"/>
                <w:highlight w:val="none"/>
                <w:lang w:eastAsia="zh-CN" w:bidi="ar"/>
              </w:rPr>
              <w:t>是；□否</w:t>
            </w:r>
          </w:p>
        </w:tc>
      </w:tr>
      <w:tr w14:paraId="1DF05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1704" w:type="dxa"/>
            <w:vMerge w:val="continue"/>
            <w:noWrap w:val="0"/>
            <w:tcMar>
              <w:top w:w="0" w:type="dxa"/>
              <w:left w:w="108" w:type="dxa"/>
              <w:bottom w:w="0" w:type="dxa"/>
              <w:right w:w="108" w:type="dxa"/>
            </w:tcMar>
            <w:vAlign w:val="center"/>
          </w:tcPr>
          <w:p w14:paraId="00FDA85A">
            <w:pPr>
              <w:pStyle w:val="20"/>
              <w:ind w:firstLine="0" w:firstLineChars="0"/>
              <w:jc w:val="center"/>
              <w:rPr>
                <w:color w:val="000000"/>
                <w:sz w:val="18"/>
                <w:szCs w:val="18"/>
                <w:lang w:bidi="ar"/>
              </w:rPr>
            </w:pPr>
          </w:p>
        </w:tc>
        <w:tc>
          <w:tcPr>
            <w:tcW w:w="1070" w:type="dxa"/>
            <w:noWrap w:val="0"/>
            <w:tcMar>
              <w:top w:w="0" w:type="dxa"/>
              <w:left w:w="108" w:type="dxa"/>
              <w:bottom w:w="0" w:type="dxa"/>
              <w:right w:w="108" w:type="dxa"/>
            </w:tcMar>
            <w:vAlign w:val="top"/>
          </w:tcPr>
          <w:p w14:paraId="176F8ED0">
            <w:pPr>
              <w:pStyle w:val="20"/>
              <w:ind w:firstLine="0" w:firstLineChars="0"/>
              <w:jc w:val="center"/>
              <w:rPr>
                <w:rFonts w:hint="eastAsia"/>
                <w:color w:val="000000"/>
                <w:sz w:val="18"/>
                <w:szCs w:val="18"/>
                <w:highlight w:val="none"/>
                <w:lang w:bidi="ar"/>
              </w:rPr>
            </w:pPr>
          </w:p>
        </w:tc>
        <w:tc>
          <w:tcPr>
            <w:tcW w:w="1384" w:type="dxa"/>
            <w:gridSpan w:val="2"/>
            <w:noWrap w:val="0"/>
            <w:vAlign w:val="top"/>
          </w:tcPr>
          <w:p w14:paraId="70AB4DA9">
            <w:pPr>
              <w:pStyle w:val="20"/>
              <w:ind w:firstLine="0" w:firstLineChars="0"/>
              <w:jc w:val="center"/>
              <w:rPr>
                <w:rFonts w:hint="eastAsia"/>
                <w:color w:val="000000"/>
                <w:sz w:val="18"/>
                <w:szCs w:val="18"/>
                <w:highlight w:val="none"/>
                <w:lang w:bidi="ar"/>
              </w:rPr>
            </w:pPr>
            <w:r>
              <w:rPr>
                <w:rFonts w:hint="eastAsia"/>
                <w:color w:val="000000"/>
                <w:sz w:val="18"/>
                <w:szCs w:val="18"/>
                <w:highlight w:val="none"/>
                <w:lang w:bidi="ar"/>
              </w:rPr>
              <w:t>□阴性</w:t>
            </w:r>
            <w:r>
              <w:rPr>
                <w:rFonts w:hint="eastAsia" w:cs="宋体"/>
                <w:color w:val="000000"/>
                <w:sz w:val="18"/>
                <w:szCs w:val="18"/>
                <w:highlight w:val="none"/>
                <w:lang w:bidi="ar"/>
              </w:rPr>
              <w:t xml:space="preserve"> </w:t>
            </w:r>
            <w:r>
              <w:rPr>
                <w:rFonts w:hint="eastAsia"/>
                <w:color w:val="000000"/>
                <w:sz w:val="18"/>
                <w:szCs w:val="18"/>
                <w:highlight w:val="none"/>
                <w:lang w:bidi="ar"/>
              </w:rPr>
              <w:t>□阳性</w:t>
            </w:r>
          </w:p>
        </w:tc>
        <w:tc>
          <w:tcPr>
            <w:tcW w:w="1096" w:type="dxa"/>
            <w:noWrap w:val="0"/>
            <w:vAlign w:val="top"/>
          </w:tcPr>
          <w:p w14:paraId="5FCAACFD">
            <w:pPr>
              <w:pStyle w:val="20"/>
              <w:ind w:firstLine="0" w:firstLineChars="0"/>
              <w:jc w:val="center"/>
              <w:rPr>
                <w:color w:val="000000"/>
                <w:sz w:val="18"/>
                <w:szCs w:val="18"/>
                <w:highlight w:val="none"/>
                <w:lang w:bidi="ar"/>
              </w:rPr>
            </w:pPr>
            <w:r>
              <w:rPr>
                <w:rFonts w:hint="eastAsia"/>
                <w:color w:val="000000"/>
                <w:sz w:val="18"/>
                <w:szCs w:val="18"/>
                <w:highlight w:val="none"/>
                <w:lang w:bidi="ar"/>
              </w:rPr>
              <w:t>□</w:t>
            </w:r>
            <w:r>
              <w:rPr>
                <w:rFonts w:hint="eastAsia"/>
                <w:color w:val="000000"/>
                <w:sz w:val="18"/>
                <w:szCs w:val="18"/>
                <w:highlight w:val="none"/>
                <w:lang w:eastAsia="zh-CN" w:bidi="ar"/>
              </w:rPr>
              <w:t>是；□否</w:t>
            </w:r>
          </w:p>
        </w:tc>
        <w:tc>
          <w:tcPr>
            <w:tcW w:w="947" w:type="dxa"/>
            <w:noWrap w:val="0"/>
            <w:vAlign w:val="top"/>
          </w:tcPr>
          <w:p w14:paraId="23105DB1">
            <w:pPr>
              <w:pStyle w:val="20"/>
              <w:ind w:firstLine="0" w:firstLineChars="0"/>
              <w:jc w:val="center"/>
              <w:rPr>
                <w:color w:val="000000"/>
                <w:sz w:val="18"/>
                <w:szCs w:val="18"/>
                <w:highlight w:val="none"/>
                <w:lang w:bidi="ar"/>
              </w:rPr>
            </w:pPr>
          </w:p>
        </w:tc>
        <w:tc>
          <w:tcPr>
            <w:tcW w:w="1603" w:type="dxa"/>
            <w:gridSpan w:val="3"/>
            <w:noWrap w:val="0"/>
            <w:vAlign w:val="top"/>
          </w:tcPr>
          <w:p w14:paraId="3592D9E4">
            <w:pPr>
              <w:pStyle w:val="20"/>
              <w:ind w:firstLine="0" w:firstLineChars="0"/>
              <w:jc w:val="center"/>
              <w:rPr>
                <w:color w:val="000000"/>
                <w:sz w:val="18"/>
                <w:szCs w:val="18"/>
                <w:highlight w:val="none"/>
                <w:lang w:bidi="ar"/>
              </w:rPr>
            </w:pPr>
            <w:r>
              <w:rPr>
                <w:rFonts w:hint="eastAsia"/>
                <w:color w:val="000000"/>
                <w:sz w:val="18"/>
                <w:szCs w:val="18"/>
                <w:highlight w:val="none"/>
                <w:lang w:bidi="ar"/>
              </w:rPr>
              <w:t>□阴性</w:t>
            </w:r>
            <w:r>
              <w:rPr>
                <w:rFonts w:hint="eastAsia" w:cs="宋体"/>
                <w:color w:val="000000"/>
                <w:sz w:val="18"/>
                <w:szCs w:val="18"/>
                <w:highlight w:val="none"/>
                <w:lang w:bidi="ar"/>
              </w:rPr>
              <w:t xml:space="preserve"> </w:t>
            </w:r>
            <w:r>
              <w:rPr>
                <w:rFonts w:hint="eastAsia"/>
                <w:color w:val="000000"/>
                <w:sz w:val="18"/>
                <w:szCs w:val="18"/>
                <w:highlight w:val="none"/>
                <w:lang w:bidi="ar"/>
              </w:rPr>
              <w:t>□阳性</w:t>
            </w:r>
          </w:p>
        </w:tc>
        <w:tc>
          <w:tcPr>
            <w:tcW w:w="1314" w:type="dxa"/>
            <w:shd w:val="clear" w:color="auto" w:fill="auto"/>
            <w:noWrap w:val="0"/>
            <w:vAlign w:val="top"/>
          </w:tcPr>
          <w:p w14:paraId="11110AE4">
            <w:pPr>
              <w:pStyle w:val="20"/>
              <w:ind w:firstLine="0" w:firstLineChars="0"/>
              <w:jc w:val="center"/>
              <w:rPr>
                <w:rFonts w:hint="eastAsia" w:ascii="宋体" w:hAnsi="Times New Roman" w:eastAsia="宋体" w:cs="Times New Roman"/>
                <w:color w:val="000000"/>
                <w:sz w:val="18"/>
                <w:szCs w:val="18"/>
                <w:highlight w:val="none"/>
                <w:lang w:val="en-US" w:eastAsia="zh-CN" w:bidi="ar"/>
              </w:rPr>
            </w:pPr>
            <w:r>
              <w:rPr>
                <w:rFonts w:hint="eastAsia"/>
                <w:color w:val="000000"/>
                <w:sz w:val="18"/>
                <w:szCs w:val="18"/>
                <w:highlight w:val="none"/>
                <w:lang w:bidi="ar"/>
              </w:rPr>
              <w:t>□</w:t>
            </w:r>
            <w:r>
              <w:rPr>
                <w:rFonts w:hint="eastAsia"/>
                <w:color w:val="000000"/>
                <w:sz w:val="18"/>
                <w:szCs w:val="18"/>
                <w:highlight w:val="none"/>
                <w:lang w:eastAsia="zh-CN" w:bidi="ar"/>
              </w:rPr>
              <w:t>是；□否</w:t>
            </w:r>
          </w:p>
        </w:tc>
      </w:tr>
      <w:tr w14:paraId="5DD0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54" w:hRule="atLeast"/>
          <w:jc w:val="center"/>
        </w:trPr>
        <w:tc>
          <w:tcPr>
            <w:tcW w:w="1704" w:type="dxa"/>
            <w:vMerge w:val="continue"/>
            <w:noWrap w:val="0"/>
            <w:tcMar>
              <w:top w:w="0" w:type="dxa"/>
              <w:left w:w="108" w:type="dxa"/>
              <w:bottom w:w="0" w:type="dxa"/>
              <w:right w:w="108" w:type="dxa"/>
            </w:tcMar>
            <w:vAlign w:val="center"/>
          </w:tcPr>
          <w:p w14:paraId="3DE04D69">
            <w:pPr>
              <w:pStyle w:val="20"/>
              <w:ind w:firstLine="0" w:firstLineChars="0"/>
              <w:jc w:val="center"/>
              <w:rPr>
                <w:color w:val="000000"/>
                <w:sz w:val="18"/>
                <w:szCs w:val="18"/>
                <w:lang w:bidi="ar"/>
              </w:rPr>
            </w:pPr>
          </w:p>
        </w:tc>
        <w:tc>
          <w:tcPr>
            <w:tcW w:w="1070" w:type="dxa"/>
            <w:noWrap w:val="0"/>
            <w:tcMar>
              <w:top w:w="0" w:type="dxa"/>
              <w:left w:w="108" w:type="dxa"/>
              <w:bottom w:w="0" w:type="dxa"/>
              <w:right w:w="108" w:type="dxa"/>
            </w:tcMar>
            <w:vAlign w:val="top"/>
          </w:tcPr>
          <w:p w14:paraId="37F85760">
            <w:pPr>
              <w:pStyle w:val="20"/>
              <w:ind w:firstLine="0" w:firstLineChars="0"/>
              <w:jc w:val="center"/>
              <w:rPr>
                <w:rFonts w:hint="eastAsia"/>
                <w:color w:val="000000"/>
                <w:sz w:val="18"/>
                <w:szCs w:val="18"/>
                <w:lang w:bidi="ar"/>
              </w:rPr>
            </w:pPr>
            <w:r>
              <w:rPr>
                <w:rFonts w:hint="eastAsia"/>
                <w:color w:val="000000"/>
                <w:sz w:val="18"/>
                <w:szCs w:val="18"/>
                <w:lang w:bidi="ar"/>
              </w:rPr>
              <w:t>技术指标计算</w:t>
            </w:r>
          </w:p>
        </w:tc>
        <w:tc>
          <w:tcPr>
            <w:tcW w:w="6344" w:type="dxa"/>
            <w:gridSpan w:val="8"/>
            <w:noWrap w:val="0"/>
            <w:vAlign w:val="top"/>
          </w:tcPr>
          <w:p w14:paraId="4F1E6578">
            <w:pPr>
              <w:pStyle w:val="20"/>
              <w:ind w:firstLine="0" w:firstLineChars="0"/>
              <w:jc w:val="center"/>
              <w:rPr>
                <w:rFonts w:hint="eastAsia"/>
                <w:color w:val="000000"/>
                <w:sz w:val="18"/>
                <w:szCs w:val="18"/>
                <w:lang w:bidi="ar"/>
              </w:rPr>
            </w:pPr>
          </w:p>
        </w:tc>
      </w:tr>
      <w:tr w14:paraId="5B07B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609" w:hRule="atLeast"/>
          <w:jc w:val="center"/>
        </w:trPr>
        <w:tc>
          <w:tcPr>
            <w:tcW w:w="1704" w:type="dxa"/>
            <w:noWrap w:val="0"/>
            <w:tcMar>
              <w:top w:w="0" w:type="dxa"/>
              <w:left w:w="108" w:type="dxa"/>
              <w:bottom w:w="0" w:type="dxa"/>
              <w:right w:w="108" w:type="dxa"/>
            </w:tcMar>
            <w:vAlign w:val="center"/>
          </w:tcPr>
          <w:p w14:paraId="58A49567">
            <w:pPr>
              <w:pStyle w:val="20"/>
              <w:ind w:firstLine="0" w:firstLineChars="0"/>
              <w:jc w:val="center"/>
              <w:rPr>
                <w:rFonts w:hint="eastAsia"/>
                <w:color w:val="000000"/>
                <w:sz w:val="18"/>
                <w:szCs w:val="18"/>
                <w:lang w:bidi="ar"/>
              </w:rPr>
            </w:pPr>
            <w:r>
              <w:rPr>
                <w:rFonts w:hint="eastAsia"/>
                <w:color w:val="000000"/>
                <w:sz w:val="18"/>
                <w:szCs w:val="18"/>
                <w:lang w:bidi="ar"/>
              </w:rPr>
              <w:t>附带考察情况说明</w:t>
            </w:r>
            <w:r>
              <w:rPr>
                <w:rFonts w:hint="eastAsia"/>
                <w:color w:val="000000"/>
                <w:sz w:val="18"/>
                <w:szCs w:val="18"/>
              </w:rPr>
              <w:t>（</w:t>
            </w:r>
            <w:r>
              <w:rPr>
                <w:color w:val="000000"/>
                <w:sz w:val="18"/>
                <w:szCs w:val="18"/>
              </w:rPr>
              <w:t>操作环境、方法用时、操作难易</w:t>
            </w:r>
            <w:r>
              <w:rPr>
                <w:rFonts w:hint="eastAsia"/>
                <w:color w:val="000000"/>
                <w:sz w:val="18"/>
                <w:szCs w:val="18"/>
              </w:rPr>
              <w:t>、辅助设备</w:t>
            </w:r>
            <w:r>
              <w:rPr>
                <w:color w:val="000000"/>
                <w:sz w:val="18"/>
                <w:szCs w:val="18"/>
              </w:rPr>
              <w:t>等情况</w:t>
            </w:r>
            <w:r>
              <w:rPr>
                <w:rFonts w:hint="eastAsia"/>
                <w:color w:val="000000"/>
                <w:sz w:val="18"/>
                <w:szCs w:val="18"/>
              </w:rPr>
              <w:t>）</w:t>
            </w:r>
          </w:p>
        </w:tc>
        <w:tc>
          <w:tcPr>
            <w:tcW w:w="7414" w:type="dxa"/>
            <w:gridSpan w:val="9"/>
            <w:noWrap w:val="0"/>
            <w:tcMar>
              <w:top w:w="0" w:type="dxa"/>
              <w:left w:w="108" w:type="dxa"/>
              <w:bottom w:w="0" w:type="dxa"/>
              <w:right w:w="108" w:type="dxa"/>
            </w:tcMar>
            <w:vAlign w:val="top"/>
          </w:tcPr>
          <w:p w14:paraId="3C7B5831">
            <w:pPr>
              <w:pStyle w:val="20"/>
              <w:ind w:firstLine="0" w:firstLineChars="0"/>
              <w:jc w:val="center"/>
              <w:rPr>
                <w:color w:val="000000"/>
                <w:sz w:val="18"/>
                <w:szCs w:val="18"/>
                <w:lang w:bidi="ar"/>
              </w:rPr>
            </w:pPr>
          </w:p>
        </w:tc>
      </w:tr>
    </w:tbl>
    <w:p w14:paraId="26D6BF40">
      <w:pPr>
        <w:pStyle w:val="20"/>
        <w:ind w:firstLine="360"/>
        <w:rPr>
          <w:rFonts w:hint="eastAsia"/>
          <w:color w:val="000000"/>
          <w:sz w:val="18"/>
          <w:szCs w:val="18"/>
        </w:rPr>
      </w:pPr>
      <w:r>
        <w:rPr>
          <w:rFonts w:hint="eastAsia"/>
          <w:color w:val="000000"/>
          <w:sz w:val="18"/>
          <w:szCs w:val="18"/>
        </w:rPr>
        <w:t xml:space="preserve">    检验人：                                       审核人：</w:t>
      </w:r>
      <w:r>
        <w:rPr>
          <w:rFonts w:hint="eastAsia"/>
          <w:color w:val="000000"/>
          <w:sz w:val="18"/>
          <w:szCs w:val="18"/>
        </w:rPr>
        <w:br w:type="page"/>
      </w:r>
    </w:p>
    <w:p w14:paraId="009BB030">
      <w:pPr>
        <w:pStyle w:val="110"/>
        <w:ind w:left="0"/>
        <w:rPr>
          <w:rFonts w:hint="eastAsia"/>
          <w:color w:val="000000"/>
        </w:rPr>
      </w:pPr>
      <w:r>
        <w:rPr>
          <w:color w:val="000000"/>
        </w:rPr>
        <w:br w:type="textWrapping"/>
      </w:r>
      <w:bookmarkStart w:id="169" w:name="_Toc38036253"/>
      <w:bookmarkStart w:id="170" w:name="_Toc56503741"/>
      <w:bookmarkStart w:id="171" w:name="_Toc38036409"/>
      <w:bookmarkStart w:id="172" w:name="_Toc57127173"/>
      <w:bookmarkStart w:id="173" w:name="_Toc57127162"/>
      <w:bookmarkStart w:id="174" w:name="_Toc56504133"/>
      <w:r>
        <w:rPr>
          <w:rFonts w:hint="eastAsia"/>
          <w:color w:val="000000"/>
        </w:rPr>
        <w:t>（资料性附录）</w:t>
      </w:r>
      <w:r>
        <w:rPr>
          <w:color w:val="000000"/>
        </w:rPr>
        <w:br w:type="textWrapping"/>
      </w:r>
      <w:r>
        <w:rPr>
          <w:rFonts w:hint="eastAsia"/>
          <w:color w:val="000000"/>
        </w:rPr>
        <w:t>食品快速检测产品技术指标计算表模板</w:t>
      </w:r>
      <w:bookmarkEnd w:id="169"/>
      <w:bookmarkEnd w:id="170"/>
      <w:bookmarkEnd w:id="171"/>
      <w:bookmarkEnd w:id="172"/>
      <w:bookmarkEnd w:id="173"/>
      <w:bookmarkEnd w:id="174"/>
    </w:p>
    <w:p w14:paraId="7A430DBD">
      <w:pPr>
        <w:pStyle w:val="64"/>
        <w:spacing w:before="312" w:after="312"/>
        <w:ind w:left="0"/>
        <w:rPr>
          <w:rFonts w:hint="eastAsia"/>
          <w:color w:val="000000"/>
        </w:rPr>
      </w:pPr>
      <w:bookmarkStart w:id="175" w:name="_Toc56503742"/>
      <w:r>
        <w:rPr>
          <w:rFonts w:hint="eastAsia"/>
          <w:color w:val="000000"/>
        </w:rPr>
        <w:t>食品快速检测产品技术指标计算表模板见表B.1。</w:t>
      </w:r>
      <w:bookmarkEnd w:id="175"/>
    </w:p>
    <w:p w14:paraId="102C08CF">
      <w:pPr>
        <w:pStyle w:val="94"/>
        <w:numPr>
          <w:ilvl w:val="0"/>
          <w:numId w:val="0"/>
        </w:numPr>
        <w:spacing w:before="156" w:after="156"/>
        <w:rPr>
          <w:rFonts w:hint="eastAsia"/>
          <w:color w:val="000000"/>
        </w:rPr>
      </w:pPr>
      <w:r>
        <w:rPr>
          <w:rFonts w:hint="eastAsia"/>
          <w:color w:val="000000"/>
        </w:rPr>
        <w:t xml:space="preserve"> 表B.1  ××（产品）技术指标计算表</w:t>
      </w:r>
    </w:p>
    <w:tbl>
      <w:tblPr>
        <w:tblStyle w:val="28"/>
        <w:tblW w:w="43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7"/>
        <w:gridCol w:w="1986"/>
        <w:gridCol w:w="1896"/>
        <w:gridCol w:w="2551"/>
      </w:tblGrid>
      <w:tr w14:paraId="435A1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39" w:type="pct"/>
            <w:vMerge w:val="restart"/>
            <w:tcBorders>
              <w:top w:val="single" w:color="auto" w:sz="4" w:space="0"/>
              <w:left w:val="single" w:color="auto" w:sz="4" w:space="0"/>
              <w:bottom w:val="single" w:color="auto" w:sz="4" w:space="0"/>
              <w:right w:val="single" w:color="auto" w:sz="4" w:space="0"/>
            </w:tcBorders>
            <w:noWrap w:val="0"/>
            <w:vAlign w:val="center"/>
          </w:tcPr>
          <w:p w14:paraId="6300BE76">
            <w:pPr>
              <w:jc w:val="center"/>
              <w:rPr>
                <w:rFonts w:ascii="宋体" w:hAnsi="宋体"/>
                <w:color w:val="000000"/>
                <w:sz w:val="18"/>
                <w:szCs w:val="18"/>
              </w:rPr>
            </w:pPr>
            <w:r>
              <w:rPr>
                <w:rFonts w:ascii="宋体" w:hAnsi="宋体"/>
                <w:color w:val="000000"/>
                <w:sz w:val="18"/>
                <w:szCs w:val="18"/>
              </w:rPr>
              <w:t>样品情况</w:t>
            </w:r>
            <w:r>
              <w:rPr>
                <w:rFonts w:ascii="宋体" w:hAnsi="宋体"/>
                <w:color w:val="000000"/>
                <w:sz w:val="18"/>
                <w:szCs w:val="18"/>
                <w:vertAlign w:val="superscript"/>
              </w:rPr>
              <w:t>a</w:t>
            </w:r>
          </w:p>
        </w:tc>
        <w:tc>
          <w:tcPr>
            <w:tcW w:w="2330" w:type="pct"/>
            <w:gridSpan w:val="2"/>
            <w:tcBorders>
              <w:top w:val="single" w:color="auto" w:sz="4" w:space="0"/>
              <w:left w:val="single" w:color="auto" w:sz="4" w:space="0"/>
              <w:bottom w:val="single" w:color="auto" w:sz="4" w:space="0"/>
              <w:right w:val="single" w:color="auto" w:sz="4" w:space="0"/>
            </w:tcBorders>
            <w:noWrap w:val="0"/>
            <w:vAlign w:val="center"/>
          </w:tcPr>
          <w:p w14:paraId="15E3D99A">
            <w:pPr>
              <w:jc w:val="center"/>
              <w:rPr>
                <w:rFonts w:ascii="宋体" w:hAnsi="宋体"/>
                <w:color w:val="000000"/>
                <w:sz w:val="18"/>
                <w:szCs w:val="18"/>
              </w:rPr>
            </w:pPr>
            <w:r>
              <w:rPr>
                <w:rFonts w:ascii="宋体" w:hAnsi="宋体"/>
                <w:color w:val="000000"/>
                <w:sz w:val="18"/>
                <w:szCs w:val="18"/>
              </w:rPr>
              <w:t>检测结果</w:t>
            </w:r>
            <w:r>
              <w:rPr>
                <w:rFonts w:ascii="宋体" w:hAnsi="宋体"/>
                <w:color w:val="000000"/>
                <w:sz w:val="18"/>
                <w:szCs w:val="18"/>
                <w:vertAlign w:val="superscript"/>
              </w:rPr>
              <w:t>b</w:t>
            </w:r>
          </w:p>
        </w:tc>
        <w:tc>
          <w:tcPr>
            <w:tcW w:w="1531" w:type="pct"/>
            <w:vMerge w:val="restart"/>
            <w:tcBorders>
              <w:top w:val="single" w:color="auto" w:sz="4" w:space="0"/>
              <w:left w:val="single" w:color="auto" w:sz="4" w:space="0"/>
              <w:bottom w:val="single" w:color="auto" w:sz="4" w:space="0"/>
              <w:right w:val="single" w:color="auto" w:sz="4" w:space="0"/>
            </w:tcBorders>
            <w:noWrap w:val="0"/>
            <w:vAlign w:val="center"/>
          </w:tcPr>
          <w:p w14:paraId="5310D845">
            <w:pPr>
              <w:jc w:val="center"/>
              <w:rPr>
                <w:rFonts w:ascii="宋体" w:hAnsi="宋体"/>
                <w:color w:val="000000"/>
                <w:sz w:val="18"/>
                <w:szCs w:val="18"/>
              </w:rPr>
            </w:pPr>
            <w:r>
              <w:rPr>
                <w:rFonts w:ascii="宋体" w:hAnsi="宋体"/>
                <w:color w:val="000000"/>
                <w:sz w:val="18"/>
                <w:szCs w:val="18"/>
              </w:rPr>
              <w:t>总数</w:t>
            </w:r>
          </w:p>
        </w:tc>
      </w:tr>
      <w:tr w14:paraId="594A9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39" w:type="pct"/>
            <w:vMerge w:val="continue"/>
            <w:tcBorders>
              <w:top w:val="single" w:color="auto" w:sz="4" w:space="0"/>
              <w:left w:val="single" w:color="auto" w:sz="4" w:space="0"/>
              <w:bottom w:val="single" w:color="auto" w:sz="4" w:space="0"/>
              <w:right w:val="single" w:color="auto" w:sz="4" w:space="0"/>
            </w:tcBorders>
            <w:noWrap w:val="0"/>
            <w:vAlign w:val="center"/>
          </w:tcPr>
          <w:p w14:paraId="19A93DE9">
            <w:pPr>
              <w:widowControl/>
              <w:jc w:val="center"/>
              <w:rPr>
                <w:rFonts w:ascii="宋体" w:hAnsi="宋体"/>
                <w:color w:val="000000"/>
                <w:sz w:val="18"/>
                <w:szCs w:val="18"/>
              </w:rPr>
            </w:pPr>
          </w:p>
        </w:tc>
        <w:tc>
          <w:tcPr>
            <w:tcW w:w="1192" w:type="pct"/>
            <w:tcBorders>
              <w:top w:val="single" w:color="auto" w:sz="4" w:space="0"/>
              <w:left w:val="single" w:color="auto" w:sz="4" w:space="0"/>
              <w:bottom w:val="single" w:color="auto" w:sz="4" w:space="0"/>
              <w:right w:val="single" w:color="auto" w:sz="4" w:space="0"/>
            </w:tcBorders>
            <w:noWrap w:val="0"/>
            <w:vAlign w:val="center"/>
          </w:tcPr>
          <w:p w14:paraId="4DAAC397">
            <w:pPr>
              <w:jc w:val="center"/>
              <w:rPr>
                <w:rFonts w:ascii="宋体" w:hAnsi="宋体"/>
                <w:color w:val="000000"/>
                <w:sz w:val="18"/>
                <w:szCs w:val="18"/>
              </w:rPr>
            </w:pPr>
            <w:r>
              <w:rPr>
                <w:rFonts w:ascii="宋体" w:hAnsi="宋体"/>
                <w:color w:val="000000"/>
                <w:sz w:val="18"/>
                <w:szCs w:val="18"/>
              </w:rPr>
              <w:t>阳性</w:t>
            </w:r>
          </w:p>
        </w:tc>
        <w:tc>
          <w:tcPr>
            <w:tcW w:w="1138" w:type="pct"/>
            <w:tcBorders>
              <w:top w:val="single" w:color="auto" w:sz="4" w:space="0"/>
              <w:left w:val="single" w:color="auto" w:sz="4" w:space="0"/>
              <w:bottom w:val="single" w:color="auto" w:sz="4" w:space="0"/>
              <w:right w:val="single" w:color="auto" w:sz="4" w:space="0"/>
            </w:tcBorders>
            <w:noWrap w:val="0"/>
            <w:vAlign w:val="center"/>
          </w:tcPr>
          <w:p w14:paraId="4B0E8351">
            <w:pPr>
              <w:jc w:val="center"/>
              <w:rPr>
                <w:rFonts w:ascii="宋体" w:hAnsi="宋体"/>
                <w:color w:val="000000"/>
                <w:sz w:val="18"/>
                <w:szCs w:val="18"/>
              </w:rPr>
            </w:pPr>
            <w:r>
              <w:rPr>
                <w:rFonts w:ascii="宋体" w:hAnsi="宋体"/>
                <w:color w:val="000000"/>
                <w:sz w:val="18"/>
                <w:szCs w:val="18"/>
              </w:rPr>
              <w:t>阴性</w:t>
            </w:r>
          </w:p>
        </w:tc>
        <w:tc>
          <w:tcPr>
            <w:tcW w:w="1531" w:type="pct"/>
            <w:vMerge w:val="continue"/>
            <w:tcBorders>
              <w:top w:val="single" w:color="auto" w:sz="4" w:space="0"/>
              <w:left w:val="single" w:color="auto" w:sz="4" w:space="0"/>
              <w:bottom w:val="single" w:color="auto" w:sz="4" w:space="0"/>
              <w:right w:val="single" w:color="auto" w:sz="4" w:space="0"/>
            </w:tcBorders>
            <w:noWrap w:val="0"/>
            <w:vAlign w:val="center"/>
          </w:tcPr>
          <w:p w14:paraId="0BD6AEB8">
            <w:pPr>
              <w:widowControl/>
              <w:jc w:val="center"/>
              <w:rPr>
                <w:rFonts w:ascii="宋体" w:hAnsi="宋体"/>
                <w:color w:val="000000"/>
                <w:sz w:val="18"/>
                <w:szCs w:val="18"/>
              </w:rPr>
            </w:pPr>
          </w:p>
        </w:tc>
      </w:tr>
      <w:tr w14:paraId="48714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39" w:type="pct"/>
            <w:tcBorders>
              <w:top w:val="single" w:color="auto" w:sz="4" w:space="0"/>
              <w:left w:val="single" w:color="auto" w:sz="4" w:space="0"/>
              <w:bottom w:val="single" w:color="auto" w:sz="4" w:space="0"/>
              <w:right w:val="single" w:color="auto" w:sz="4" w:space="0"/>
            </w:tcBorders>
            <w:noWrap w:val="0"/>
            <w:vAlign w:val="center"/>
          </w:tcPr>
          <w:p w14:paraId="40C60668">
            <w:pPr>
              <w:jc w:val="center"/>
              <w:rPr>
                <w:rFonts w:ascii="宋体" w:hAnsi="宋体"/>
                <w:color w:val="000000"/>
                <w:sz w:val="18"/>
                <w:szCs w:val="18"/>
              </w:rPr>
            </w:pPr>
            <w:r>
              <w:rPr>
                <w:rFonts w:ascii="宋体" w:hAnsi="宋体"/>
                <w:color w:val="000000"/>
                <w:sz w:val="18"/>
                <w:szCs w:val="18"/>
              </w:rPr>
              <w:t>阳性</w:t>
            </w:r>
          </w:p>
        </w:tc>
        <w:tc>
          <w:tcPr>
            <w:tcW w:w="1192" w:type="pct"/>
            <w:tcBorders>
              <w:top w:val="single" w:color="auto" w:sz="4" w:space="0"/>
              <w:left w:val="single" w:color="auto" w:sz="4" w:space="0"/>
              <w:bottom w:val="single" w:color="auto" w:sz="4" w:space="0"/>
              <w:right w:val="single" w:color="auto" w:sz="4" w:space="0"/>
            </w:tcBorders>
            <w:noWrap w:val="0"/>
            <w:vAlign w:val="center"/>
          </w:tcPr>
          <w:p w14:paraId="101E9A9C">
            <w:pPr>
              <w:jc w:val="center"/>
              <w:rPr>
                <w:rFonts w:ascii="宋体" w:hAnsi="宋体"/>
                <w:color w:val="000000"/>
                <w:sz w:val="18"/>
                <w:szCs w:val="18"/>
              </w:rPr>
            </w:pPr>
            <w:r>
              <w:rPr>
                <w:rFonts w:ascii="宋体" w:hAnsi="宋体"/>
                <w:color w:val="000000"/>
                <w:sz w:val="18"/>
                <w:szCs w:val="18"/>
              </w:rPr>
              <w:t>N11</w:t>
            </w:r>
          </w:p>
        </w:tc>
        <w:tc>
          <w:tcPr>
            <w:tcW w:w="1138" w:type="pct"/>
            <w:tcBorders>
              <w:top w:val="single" w:color="auto" w:sz="4" w:space="0"/>
              <w:left w:val="single" w:color="auto" w:sz="4" w:space="0"/>
              <w:bottom w:val="single" w:color="auto" w:sz="4" w:space="0"/>
              <w:right w:val="single" w:color="auto" w:sz="4" w:space="0"/>
            </w:tcBorders>
            <w:noWrap w:val="0"/>
            <w:vAlign w:val="center"/>
          </w:tcPr>
          <w:p w14:paraId="72C9C47A">
            <w:pPr>
              <w:jc w:val="center"/>
              <w:rPr>
                <w:rFonts w:ascii="宋体" w:hAnsi="宋体"/>
                <w:color w:val="000000"/>
                <w:sz w:val="18"/>
                <w:szCs w:val="18"/>
              </w:rPr>
            </w:pPr>
            <w:r>
              <w:rPr>
                <w:rFonts w:ascii="宋体" w:hAnsi="宋体"/>
                <w:color w:val="000000"/>
                <w:sz w:val="18"/>
                <w:szCs w:val="18"/>
              </w:rPr>
              <w:t>N12</w:t>
            </w:r>
          </w:p>
        </w:tc>
        <w:tc>
          <w:tcPr>
            <w:tcW w:w="1531" w:type="pct"/>
            <w:tcBorders>
              <w:top w:val="single" w:color="auto" w:sz="4" w:space="0"/>
              <w:left w:val="single" w:color="auto" w:sz="4" w:space="0"/>
              <w:bottom w:val="single" w:color="auto" w:sz="4" w:space="0"/>
              <w:right w:val="single" w:color="auto" w:sz="4" w:space="0"/>
            </w:tcBorders>
            <w:noWrap w:val="0"/>
            <w:vAlign w:val="center"/>
          </w:tcPr>
          <w:p w14:paraId="062E2412">
            <w:pPr>
              <w:jc w:val="center"/>
              <w:rPr>
                <w:rFonts w:ascii="宋体" w:hAnsi="宋体"/>
                <w:color w:val="000000"/>
                <w:sz w:val="18"/>
                <w:szCs w:val="18"/>
              </w:rPr>
            </w:pPr>
            <w:r>
              <w:rPr>
                <w:rFonts w:ascii="宋体" w:hAnsi="宋体"/>
                <w:color w:val="000000"/>
                <w:sz w:val="18"/>
                <w:szCs w:val="18"/>
              </w:rPr>
              <w:t>N1.=N11+N12</w:t>
            </w:r>
          </w:p>
        </w:tc>
      </w:tr>
      <w:tr w14:paraId="3BF3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39" w:type="pct"/>
            <w:tcBorders>
              <w:top w:val="single" w:color="auto" w:sz="4" w:space="0"/>
              <w:left w:val="single" w:color="auto" w:sz="4" w:space="0"/>
              <w:bottom w:val="single" w:color="auto" w:sz="4" w:space="0"/>
              <w:right w:val="single" w:color="auto" w:sz="4" w:space="0"/>
            </w:tcBorders>
            <w:noWrap w:val="0"/>
            <w:vAlign w:val="center"/>
          </w:tcPr>
          <w:p w14:paraId="5F9E2B9B">
            <w:pPr>
              <w:jc w:val="center"/>
              <w:rPr>
                <w:rFonts w:ascii="宋体" w:hAnsi="宋体"/>
                <w:color w:val="000000"/>
                <w:sz w:val="18"/>
                <w:szCs w:val="18"/>
              </w:rPr>
            </w:pPr>
            <w:r>
              <w:rPr>
                <w:rFonts w:ascii="宋体" w:hAnsi="宋体"/>
                <w:color w:val="000000"/>
                <w:sz w:val="18"/>
                <w:szCs w:val="18"/>
              </w:rPr>
              <w:t>阴性</w:t>
            </w:r>
          </w:p>
        </w:tc>
        <w:tc>
          <w:tcPr>
            <w:tcW w:w="1192" w:type="pct"/>
            <w:tcBorders>
              <w:top w:val="single" w:color="auto" w:sz="4" w:space="0"/>
              <w:left w:val="single" w:color="auto" w:sz="4" w:space="0"/>
              <w:bottom w:val="single" w:color="auto" w:sz="4" w:space="0"/>
              <w:right w:val="single" w:color="auto" w:sz="4" w:space="0"/>
            </w:tcBorders>
            <w:noWrap w:val="0"/>
            <w:vAlign w:val="center"/>
          </w:tcPr>
          <w:p w14:paraId="777C32CF">
            <w:pPr>
              <w:jc w:val="center"/>
              <w:rPr>
                <w:rFonts w:ascii="宋体" w:hAnsi="宋体"/>
                <w:color w:val="000000"/>
                <w:sz w:val="18"/>
                <w:szCs w:val="18"/>
              </w:rPr>
            </w:pPr>
            <w:r>
              <w:rPr>
                <w:rFonts w:ascii="宋体" w:hAnsi="宋体"/>
                <w:color w:val="000000"/>
                <w:sz w:val="18"/>
                <w:szCs w:val="18"/>
              </w:rPr>
              <w:t>N21</w:t>
            </w:r>
          </w:p>
        </w:tc>
        <w:tc>
          <w:tcPr>
            <w:tcW w:w="1138" w:type="pct"/>
            <w:tcBorders>
              <w:top w:val="single" w:color="auto" w:sz="4" w:space="0"/>
              <w:left w:val="single" w:color="auto" w:sz="4" w:space="0"/>
              <w:bottom w:val="single" w:color="auto" w:sz="4" w:space="0"/>
              <w:right w:val="single" w:color="auto" w:sz="4" w:space="0"/>
            </w:tcBorders>
            <w:noWrap w:val="0"/>
            <w:vAlign w:val="center"/>
          </w:tcPr>
          <w:p w14:paraId="5D10EDB3">
            <w:pPr>
              <w:jc w:val="center"/>
              <w:rPr>
                <w:rFonts w:ascii="宋体" w:hAnsi="宋体"/>
                <w:color w:val="000000"/>
                <w:sz w:val="18"/>
                <w:szCs w:val="18"/>
              </w:rPr>
            </w:pPr>
            <w:r>
              <w:rPr>
                <w:rFonts w:ascii="宋体" w:hAnsi="宋体"/>
                <w:color w:val="000000"/>
                <w:sz w:val="18"/>
                <w:szCs w:val="18"/>
              </w:rPr>
              <w:t>N22</w:t>
            </w:r>
          </w:p>
        </w:tc>
        <w:tc>
          <w:tcPr>
            <w:tcW w:w="1531" w:type="pct"/>
            <w:tcBorders>
              <w:top w:val="single" w:color="auto" w:sz="4" w:space="0"/>
              <w:left w:val="single" w:color="auto" w:sz="4" w:space="0"/>
              <w:bottom w:val="single" w:color="auto" w:sz="4" w:space="0"/>
              <w:right w:val="single" w:color="auto" w:sz="4" w:space="0"/>
            </w:tcBorders>
            <w:noWrap w:val="0"/>
            <w:vAlign w:val="center"/>
          </w:tcPr>
          <w:p w14:paraId="78058B70">
            <w:pPr>
              <w:jc w:val="center"/>
              <w:rPr>
                <w:rFonts w:ascii="宋体" w:hAnsi="宋体"/>
                <w:color w:val="000000"/>
                <w:sz w:val="18"/>
                <w:szCs w:val="18"/>
              </w:rPr>
            </w:pPr>
            <w:r>
              <w:rPr>
                <w:rFonts w:ascii="宋体" w:hAnsi="宋体"/>
                <w:color w:val="000000"/>
                <w:sz w:val="18"/>
                <w:szCs w:val="18"/>
              </w:rPr>
              <w:t>N2.=N21+N22</w:t>
            </w:r>
          </w:p>
        </w:tc>
      </w:tr>
      <w:tr w14:paraId="3F5C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39" w:type="pct"/>
            <w:tcBorders>
              <w:top w:val="single" w:color="auto" w:sz="4" w:space="0"/>
              <w:left w:val="single" w:color="auto" w:sz="4" w:space="0"/>
              <w:bottom w:val="single" w:color="auto" w:sz="4" w:space="0"/>
              <w:right w:val="single" w:color="auto" w:sz="4" w:space="0"/>
            </w:tcBorders>
            <w:noWrap w:val="0"/>
            <w:vAlign w:val="center"/>
          </w:tcPr>
          <w:p w14:paraId="237B348C">
            <w:pPr>
              <w:jc w:val="center"/>
              <w:rPr>
                <w:rFonts w:ascii="宋体" w:hAnsi="宋体"/>
                <w:color w:val="000000"/>
                <w:sz w:val="18"/>
                <w:szCs w:val="18"/>
              </w:rPr>
            </w:pPr>
            <w:r>
              <w:rPr>
                <w:rFonts w:ascii="宋体" w:hAnsi="宋体"/>
                <w:color w:val="000000"/>
                <w:sz w:val="18"/>
                <w:szCs w:val="18"/>
              </w:rPr>
              <w:t>总数</w:t>
            </w:r>
          </w:p>
        </w:tc>
        <w:tc>
          <w:tcPr>
            <w:tcW w:w="1192" w:type="pct"/>
            <w:tcBorders>
              <w:top w:val="single" w:color="auto" w:sz="4" w:space="0"/>
              <w:left w:val="single" w:color="auto" w:sz="4" w:space="0"/>
              <w:bottom w:val="single" w:color="auto" w:sz="4" w:space="0"/>
              <w:right w:val="single" w:color="auto" w:sz="4" w:space="0"/>
            </w:tcBorders>
            <w:noWrap w:val="0"/>
            <w:vAlign w:val="center"/>
          </w:tcPr>
          <w:p w14:paraId="627C3F8B">
            <w:pPr>
              <w:jc w:val="center"/>
              <w:rPr>
                <w:rFonts w:ascii="宋体" w:hAnsi="宋体"/>
                <w:color w:val="000000"/>
                <w:sz w:val="18"/>
                <w:szCs w:val="18"/>
              </w:rPr>
            </w:pPr>
            <w:r>
              <w:rPr>
                <w:rFonts w:ascii="宋体" w:hAnsi="宋体"/>
                <w:color w:val="000000"/>
                <w:sz w:val="18"/>
                <w:szCs w:val="18"/>
              </w:rPr>
              <w:t>N.1=N11+N21</w:t>
            </w:r>
          </w:p>
        </w:tc>
        <w:tc>
          <w:tcPr>
            <w:tcW w:w="1138" w:type="pct"/>
            <w:tcBorders>
              <w:top w:val="single" w:color="auto" w:sz="4" w:space="0"/>
              <w:left w:val="single" w:color="auto" w:sz="4" w:space="0"/>
              <w:bottom w:val="single" w:color="auto" w:sz="4" w:space="0"/>
              <w:right w:val="single" w:color="auto" w:sz="4" w:space="0"/>
            </w:tcBorders>
            <w:noWrap w:val="0"/>
            <w:vAlign w:val="center"/>
          </w:tcPr>
          <w:p w14:paraId="1CE55F7B">
            <w:pPr>
              <w:jc w:val="center"/>
              <w:rPr>
                <w:rFonts w:ascii="宋体" w:hAnsi="宋体"/>
                <w:color w:val="000000"/>
                <w:sz w:val="18"/>
                <w:szCs w:val="18"/>
              </w:rPr>
            </w:pPr>
            <w:r>
              <w:rPr>
                <w:rFonts w:ascii="宋体" w:hAnsi="宋体"/>
                <w:color w:val="000000"/>
                <w:sz w:val="18"/>
                <w:szCs w:val="18"/>
              </w:rPr>
              <w:t>N.2=N12+N22</w:t>
            </w:r>
          </w:p>
        </w:tc>
        <w:tc>
          <w:tcPr>
            <w:tcW w:w="1531" w:type="pct"/>
            <w:tcBorders>
              <w:top w:val="single" w:color="auto" w:sz="4" w:space="0"/>
              <w:left w:val="single" w:color="auto" w:sz="4" w:space="0"/>
              <w:bottom w:val="single" w:color="auto" w:sz="4" w:space="0"/>
              <w:right w:val="single" w:color="auto" w:sz="4" w:space="0"/>
            </w:tcBorders>
            <w:noWrap w:val="0"/>
            <w:vAlign w:val="center"/>
          </w:tcPr>
          <w:p w14:paraId="466D5F1B">
            <w:pPr>
              <w:jc w:val="center"/>
              <w:rPr>
                <w:rFonts w:ascii="宋体" w:hAnsi="宋体"/>
                <w:color w:val="000000"/>
                <w:sz w:val="18"/>
                <w:szCs w:val="18"/>
              </w:rPr>
            </w:pPr>
            <w:r>
              <w:rPr>
                <w:rFonts w:ascii="宋体" w:hAnsi="宋体"/>
                <w:color w:val="000000"/>
                <w:sz w:val="18"/>
                <w:szCs w:val="18"/>
              </w:rPr>
              <w:t>N=N1.+N2.或N.1+N.2</w:t>
            </w:r>
          </w:p>
        </w:tc>
      </w:tr>
      <w:tr w14:paraId="712E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39" w:type="pct"/>
            <w:tcBorders>
              <w:top w:val="single" w:color="auto" w:sz="4" w:space="0"/>
              <w:left w:val="single" w:color="auto" w:sz="4" w:space="0"/>
              <w:bottom w:val="single" w:color="auto" w:sz="4" w:space="0"/>
              <w:right w:val="single" w:color="auto" w:sz="4" w:space="0"/>
            </w:tcBorders>
            <w:noWrap w:val="0"/>
            <w:vAlign w:val="center"/>
          </w:tcPr>
          <w:p w14:paraId="43755FD3">
            <w:pPr>
              <w:jc w:val="center"/>
              <w:rPr>
                <w:rFonts w:ascii="宋体" w:hAnsi="宋体"/>
                <w:color w:val="000000"/>
                <w:sz w:val="18"/>
                <w:szCs w:val="18"/>
              </w:rPr>
            </w:pPr>
            <w:r>
              <w:rPr>
                <w:rFonts w:ascii="宋体" w:hAnsi="宋体"/>
                <w:color w:val="000000"/>
                <w:sz w:val="18"/>
                <w:szCs w:val="18"/>
              </w:rPr>
              <w:t>显著性差异（</w:t>
            </w:r>
            <w:r>
              <w:rPr>
                <w:rFonts w:ascii="宋体" w:hAnsi="宋体"/>
                <w:color w:val="000000"/>
                <w:sz w:val="18"/>
                <w:szCs w:val="18"/>
              </w:rPr>
              <w:sym w:font="Symbol" w:char="0063"/>
            </w:r>
            <w:r>
              <w:rPr>
                <w:rFonts w:ascii="宋体" w:hAnsi="宋体"/>
                <w:color w:val="000000"/>
                <w:sz w:val="18"/>
                <w:szCs w:val="18"/>
                <w:vertAlign w:val="superscript"/>
              </w:rPr>
              <w:t>2</w:t>
            </w:r>
            <w:r>
              <w:rPr>
                <w:rFonts w:ascii="宋体" w:hAnsi="宋体"/>
                <w:color w:val="000000"/>
                <w:sz w:val="18"/>
                <w:szCs w:val="18"/>
              </w:rPr>
              <w:t>）</w:t>
            </w:r>
          </w:p>
        </w:tc>
        <w:tc>
          <w:tcPr>
            <w:tcW w:w="3861" w:type="pct"/>
            <w:gridSpan w:val="3"/>
            <w:tcBorders>
              <w:top w:val="single" w:color="auto" w:sz="4" w:space="0"/>
              <w:left w:val="single" w:color="auto" w:sz="4" w:space="0"/>
              <w:bottom w:val="single" w:color="auto" w:sz="4" w:space="0"/>
              <w:right w:val="single" w:color="auto" w:sz="4" w:space="0"/>
            </w:tcBorders>
            <w:noWrap w:val="0"/>
            <w:vAlign w:val="center"/>
          </w:tcPr>
          <w:p w14:paraId="0B689209">
            <w:pPr>
              <w:jc w:val="center"/>
              <w:rPr>
                <w:rFonts w:ascii="宋体" w:hAnsi="宋体"/>
                <w:color w:val="000000"/>
                <w:sz w:val="18"/>
                <w:szCs w:val="18"/>
              </w:rPr>
            </w:pPr>
            <w:r>
              <w:rPr>
                <w:rFonts w:ascii="宋体" w:hAnsi="宋体"/>
                <w:color w:val="000000"/>
                <w:sz w:val="18"/>
                <w:szCs w:val="18"/>
              </w:rPr>
              <w:sym w:font="Symbol" w:char="0063"/>
            </w:r>
            <w:r>
              <w:rPr>
                <w:rFonts w:ascii="宋体" w:hAnsi="宋体"/>
                <w:color w:val="000000"/>
                <w:sz w:val="18"/>
                <w:szCs w:val="18"/>
                <w:vertAlign w:val="superscript"/>
              </w:rPr>
              <w:t>2</w:t>
            </w:r>
            <w:r>
              <w:rPr>
                <w:rFonts w:ascii="宋体" w:hAnsi="宋体"/>
                <w:color w:val="000000"/>
                <w:sz w:val="18"/>
                <w:szCs w:val="18"/>
              </w:rPr>
              <w:t>=（</w:t>
            </w:r>
            <w:r>
              <w:rPr>
                <w:rFonts w:ascii="宋体" w:hAnsi="宋体"/>
                <w:color w:val="000000"/>
                <w:sz w:val="18"/>
                <w:szCs w:val="18"/>
              </w:rPr>
              <w:sym w:font="Symbol" w:char="00BD"/>
            </w:r>
            <w:r>
              <w:rPr>
                <w:rFonts w:ascii="宋体" w:hAnsi="宋体"/>
                <w:color w:val="000000"/>
                <w:sz w:val="18"/>
                <w:szCs w:val="18"/>
              </w:rPr>
              <w:t>N12-N21</w:t>
            </w:r>
            <w:r>
              <w:rPr>
                <w:rFonts w:ascii="宋体" w:hAnsi="宋体"/>
                <w:color w:val="000000"/>
                <w:sz w:val="18"/>
                <w:szCs w:val="18"/>
              </w:rPr>
              <w:sym w:font="Symbol" w:char="00BD"/>
            </w:r>
            <w:r>
              <w:rPr>
                <w:rFonts w:ascii="宋体" w:hAnsi="宋体"/>
                <w:color w:val="000000"/>
                <w:sz w:val="18"/>
                <w:szCs w:val="18"/>
              </w:rPr>
              <w:t>-1）</w:t>
            </w:r>
            <w:r>
              <w:rPr>
                <w:rFonts w:ascii="宋体" w:hAnsi="宋体"/>
                <w:color w:val="000000"/>
                <w:sz w:val="18"/>
                <w:szCs w:val="18"/>
                <w:vertAlign w:val="superscript"/>
              </w:rPr>
              <w:t>2</w:t>
            </w:r>
            <w:r>
              <w:rPr>
                <w:rFonts w:ascii="宋体" w:hAnsi="宋体"/>
                <w:color w:val="000000"/>
                <w:sz w:val="18"/>
                <w:szCs w:val="18"/>
              </w:rPr>
              <w:t>/（N12+N21），</w:t>
            </w:r>
          </w:p>
          <w:p w14:paraId="0F1C3522">
            <w:pPr>
              <w:jc w:val="center"/>
              <w:rPr>
                <w:rFonts w:ascii="宋体" w:hAnsi="宋体"/>
                <w:color w:val="000000"/>
                <w:sz w:val="18"/>
                <w:szCs w:val="18"/>
              </w:rPr>
            </w:pPr>
            <w:r>
              <w:rPr>
                <w:rFonts w:ascii="宋体" w:hAnsi="宋体"/>
                <w:color w:val="000000"/>
                <w:sz w:val="18"/>
                <w:szCs w:val="18"/>
              </w:rPr>
              <w:t>自由度（df）=1</w:t>
            </w:r>
          </w:p>
        </w:tc>
      </w:tr>
      <w:tr w14:paraId="2DE03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39" w:type="pct"/>
            <w:tcBorders>
              <w:top w:val="single" w:color="auto" w:sz="4" w:space="0"/>
              <w:left w:val="single" w:color="auto" w:sz="4" w:space="0"/>
              <w:bottom w:val="single" w:color="auto" w:sz="4" w:space="0"/>
              <w:right w:val="single" w:color="auto" w:sz="4" w:space="0"/>
            </w:tcBorders>
            <w:noWrap w:val="0"/>
            <w:vAlign w:val="center"/>
          </w:tcPr>
          <w:p w14:paraId="147A2C7A">
            <w:pPr>
              <w:jc w:val="center"/>
              <w:rPr>
                <w:rFonts w:ascii="宋体" w:hAnsi="宋体"/>
                <w:color w:val="000000"/>
                <w:sz w:val="18"/>
                <w:szCs w:val="18"/>
              </w:rPr>
            </w:pPr>
            <w:r>
              <w:rPr>
                <w:rFonts w:ascii="宋体" w:hAnsi="宋体"/>
                <w:color w:val="000000"/>
                <w:sz w:val="18"/>
                <w:szCs w:val="18"/>
              </w:rPr>
              <w:t>灵敏度（p+，%）</w:t>
            </w:r>
          </w:p>
        </w:tc>
        <w:tc>
          <w:tcPr>
            <w:tcW w:w="3861" w:type="pct"/>
            <w:gridSpan w:val="3"/>
            <w:tcBorders>
              <w:top w:val="single" w:color="auto" w:sz="4" w:space="0"/>
              <w:left w:val="single" w:color="auto" w:sz="4" w:space="0"/>
              <w:bottom w:val="single" w:color="auto" w:sz="4" w:space="0"/>
              <w:right w:val="single" w:color="auto" w:sz="4" w:space="0"/>
            </w:tcBorders>
            <w:noWrap w:val="0"/>
            <w:vAlign w:val="center"/>
          </w:tcPr>
          <w:p w14:paraId="1D0E3FFF">
            <w:pPr>
              <w:jc w:val="center"/>
              <w:rPr>
                <w:rFonts w:hint="default" w:ascii="宋体" w:hAnsi="宋体" w:eastAsia="宋体"/>
                <w:color w:val="000000"/>
                <w:sz w:val="18"/>
                <w:szCs w:val="18"/>
                <w:lang w:val="en-US" w:eastAsia="zh-CN"/>
              </w:rPr>
            </w:pPr>
            <w:r>
              <w:rPr>
                <w:rFonts w:ascii="宋体" w:hAnsi="宋体"/>
                <w:color w:val="000000"/>
                <w:sz w:val="18"/>
                <w:szCs w:val="18"/>
              </w:rPr>
              <w:t>p+=N11/N1.</w:t>
            </w:r>
            <w:r>
              <w:rPr>
                <w:rFonts w:ascii="宋体" w:hAnsi="宋体" w:eastAsia="宋体" w:cs="Times New Roman"/>
                <w:color w:val="000000"/>
                <w:sz w:val="18"/>
                <w:szCs w:val="18"/>
              </w:rPr>
              <w:t>×</w:t>
            </w:r>
            <w:r>
              <w:rPr>
                <w:rFonts w:hint="eastAsia" w:ascii="宋体" w:hAnsi="宋体" w:eastAsia="宋体" w:cs="Times New Roman"/>
                <w:color w:val="000000"/>
                <w:sz w:val="18"/>
                <w:szCs w:val="18"/>
                <w:lang w:val="en-US" w:eastAsia="zh-CN"/>
              </w:rPr>
              <w:t>100</w:t>
            </w:r>
          </w:p>
        </w:tc>
      </w:tr>
      <w:tr w14:paraId="4BA06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39" w:type="pct"/>
            <w:tcBorders>
              <w:top w:val="single" w:color="auto" w:sz="4" w:space="0"/>
              <w:left w:val="single" w:color="auto" w:sz="4" w:space="0"/>
              <w:bottom w:val="single" w:color="auto" w:sz="4" w:space="0"/>
              <w:right w:val="single" w:color="auto" w:sz="4" w:space="0"/>
            </w:tcBorders>
            <w:noWrap w:val="0"/>
            <w:vAlign w:val="center"/>
          </w:tcPr>
          <w:p w14:paraId="35C40614">
            <w:pPr>
              <w:jc w:val="center"/>
              <w:rPr>
                <w:rFonts w:ascii="宋体" w:hAnsi="宋体"/>
                <w:color w:val="000000"/>
                <w:sz w:val="18"/>
                <w:szCs w:val="18"/>
              </w:rPr>
            </w:pPr>
            <w:r>
              <w:rPr>
                <w:rFonts w:ascii="宋体" w:hAnsi="宋体"/>
                <w:color w:val="000000"/>
                <w:sz w:val="18"/>
                <w:szCs w:val="18"/>
              </w:rPr>
              <w:t>特异性（p-，%）</w:t>
            </w:r>
          </w:p>
        </w:tc>
        <w:tc>
          <w:tcPr>
            <w:tcW w:w="3861" w:type="pct"/>
            <w:gridSpan w:val="3"/>
            <w:tcBorders>
              <w:top w:val="single" w:color="auto" w:sz="4" w:space="0"/>
              <w:left w:val="single" w:color="auto" w:sz="4" w:space="0"/>
              <w:bottom w:val="single" w:color="auto" w:sz="4" w:space="0"/>
              <w:right w:val="single" w:color="auto" w:sz="4" w:space="0"/>
            </w:tcBorders>
            <w:noWrap w:val="0"/>
            <w:vAlign w:val="center"/>
          </w:tcPr>
          <w:p w14:paraId="63D90C99">
            <w:pPr>
              <w:jc w:val="center"/>
              <w:rPr>
                <w:rFonts w:ascii="宋体" w:hAnsi="宋体"/>
                <w:color w:val="000000"/>
                <w:sz w:val="18"/>
                <w:szCs w:val="18"/>
              </w:rPr>
            </w:pPr>
            <w:r>
              <w:rPr>
                <w:rFonts w:ascii="宋体" w:hAnsi="宋体"/>
                <w:color w:val="000000"/>
                <w:sz w:val="18"/>
                <w:szCs w:val="18"/>
              </w:rPr>
              <w:t>p-=N22/N2.</w:t>
            </w:r>
            <w:r>
              <w:rPr>
                <w:rFonts w:ascii="宋体" w:hAnsi="宋体" w:eastAsia="宋体" w:cs="Times New Roman"/>
                <w:color w:val="000000"/>
                <w:sz w:val="18"/>
                <w:szCs w:val="18"/>
              </w:rPr>
              <w:t>×</w:t>
            </w:r>
            <w:r>
              <w:rPr>
                <w:rFonts w:hint="eastAsia" w:ascii="宋体" w:hAnsi="宋体" w:eastAsia="宋体" w:cs="Times New Roman"/>
                <w:color w:val="000000"/>
                <w:sz w:val="18"/>
                <w:szCs w:val="18"/>
                <w:lang w:val="en-US" w:eastAsia="zh-CN"/>
              </w:rPr>
              <w:t>100</w:t>
            </w:r>
          </w:p>
        </w:tc>
      </w:tr>
      <w:tr w14:paraId="4D45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39" w:type="pct"/>
            <w:tcBorders>
              <w:top w:val="single" w:color="auto" w:sz="4" w:space="0"/>
              <w:left w:val="single" w:color="auto" w:sz="4" w:space="0"/>
              <w:bottom w:val="single" w:color="auto" w:sz="4" w:space="0"/>
              <w:right w:val="single" w:color="auto" w:sz="4" w:space="0"/>
            </w:tcBorders>
            <w:noWrap w:val="0"/>
            <w:vAlign w:val="center"/>
          </w:tcPr>
          <w:p w14:paraId="63C7D091">
            <w:pPr>
              <w:jc w:val="center"/>
              <w:rPr>
                <w:rFonts w:ascii="宋体" w:hAnsi="宋体"/>
                <w:color w:val="000000"/>
                <w:sz w:val="18"/>
                <w:szCs w:val="18"/>
              </w:rPr>
            </w:pPr>
            <w:r>
              <w:rPr>
                <w:rFonts w:ascii="宋体" w:hAnsi="宋体"/>
                <w:color w:val="000000"/>
                <w:sz w:val="18"/>
                <w:szCs w:val="18"/>
              </w:rPr>
              <w:t>假阴性率（pf-，%）</w:t>
            </w:r>
          </w:p>
        </w:tc>
        <w:tc>
          <w:tcPr>
            <w:tcW w:w="3861" w:type="pct"/>
            <w:gridSpan w:val="3"/>
            <w:tcBorders>
              <w:top w:val="single" w:color="auto" w:sz="4" w:space="0"/>
              <w:left w:val="single" w:color="auto" w:sz="4" w:space="0"/>
              <w:bottom w:val="single" w:color="auto" w:sz="4" w:space="0"/>
              <w:right w:val="single" w:color="auto" w:sz="4" w:space="0"/>
            </w:tcBorders>
            <w:noWrap w:val="0"/>
            <w:vAlign w:val="center"/>
          </w:tcPr>
          <w:p w14:paraId="00C92EE5">
            <w:pPr>
              <w:jc w:val="center"/>
              <w:rPr>
                <w:rFonts w:ascii="宋体" w:hAnsi="宋体"/>
                <w:color w:val="000000"/>
                <w:sz w:val="18"/>
                <w:szCs w:val="18"/>
              </w:rPr>
            </w:pPr>
            <w:r>
              <w:rPr>
                <w:rFonts w:ascii="宋体" w:hAnsi="宋体"/>
                <w:color w:val="000000"/>
                <w:sz w:val="18"/>
                <w:szCs w:val="18"/>
              </w:rPr>
              <w:t>pf-=N12/N1.</w:t>
            </w:r>
            <w:r>
              <w:rPr>
                <w:rFonts w:ascii="宋体" w:hAnsi="宋体" w:eastAsia="宋体" w:cs="Times New Roman"/>
                <w:color w:val="000000"/>
                <w:sz w:val="18"/>
                <w:szCs w:val="18"/>
              </w:rPr>
              <w:t>×</w:t>
            </w:r>
            <w:r>
              <w:rPr>
                <w:rFonts w:hint="eastAsia" w:ascii="宋体" w:hAnsi="宋体" w:eastAsia="宋体" w:cs="Times New Roman"/>
                <w:color w:val="000000"/>
                <w:sz w:val="18"/>
                <w:szCs w:val="18"/>
                <w:lang w:val="en-US" w:eastAsia="zh-CN"/>
              </w:rPr>
              <w:t>100</w:t>
            </w:r>
            <w:r>
              <w:rPr>
                <w:rFonts w:ascii="宋体" w:hAnsi="宋体"/>
                <w:color w:val="000000"/>
                <w:sz w:val="18"/>
                <w:szCs w:val="18"/>
              </w:rPr>
              <w:t>=100-灵敏度</w:t>
            </w:r>
          </w:p>
        </w:tc>
      </w:tr>
      <w:tr w14:paraId="2A855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39" w:type="pct"/>
            <w:tcBorders>
              <w:top w:val="single" w:color="auto" w:sz="4" w:space="0"/>
              <w:left w:val="single" w:color="auto" w:sz="4" w:space="0"/>
              <w:bottom w:val="single" w:color="auto" w:sz="4" w:space="0"/>
              <w:right w:val="single" w:color="auto" w:sz="4" w:space="0"/>
            </w:tcBorders>
            <w:noWrap w:val="0"/>
            <w:vAlign w:val="center"/>
          </w:tcPr>
          <w:p w14:paraId="44C24077">
            <w:pPr>
              <w:jc w:val="center"/>
              <w:rPr>
                <w:rFonts w:ascii="宋体" w:hAnsi="宋体"/>
                <w:color w:val="000000"/>
                <w:sz w:val="18"/>
                <w:szCs w:val="18"/>
              </w:rPr>
            </w:pPr>
            <w:r>
              <w:rPr>
                <w:rFonts w:ascii="宋体" w:hAnsi="宋体"/>
                <w:color w:val="000000"/>
                <w:sz w:val="18"/>
                <w:szCs w:val="18"/>
              </w:rPr>
              <w:t>假阳性率（pf+，%）</w:t>
            </w:r>
          </w:p>
        </w:tc>
        <w:tc>
          <w:tcPr>
            <w:tcW w:w="3861" w:type="pct"/>
            <w:gridSpan w:val="3"/>
            <w:tcBorders>
              <w:top w:val="single" w:color="auto" w:sz="4" w:space="0"/>
              <w:left w:val="single" w:color="auto" w:sz="4" w:space="0"/>
              <w:bottom w:val="single" w:color="auto" w:sz="4" w:space="0"/>
              <w:right w:val="single" w:color="auto" w:sz="4" w:space="0"/>
            </w:tcBorders>
            <w:noWrap w:val="0"/>
            <w:vAlign w:val="center"/>
          </w:tcPr>
          <w:p w14:paraId="4AC8DD27">
            <w:pPr>
              <w:jc w:val="center"/>
              <w:rPr>
                <w:rFonts w:ascii="宋体" w:hAnsi="宋体"/>
                <w:color w:val="000000"/>
                <w:sz w:val="18"/>
                <w:szCs w:val="18"/>
              </w:rPr>
            </w:pPr>
            <w:r>
              <w:rPr>
                <w:rFonts w:ascii="宋体" w:hAnsi="宋体"/>
                <w:color w:val="000000"/>
                <w:sz w:val="18"/>
                <w:szCs w:val="18"/>
              </w:rPr>
              <w:t>pf+=N21/N2.</w:t>
            </w:r>
            <w:r>
              <w:rPr>
                <w:rFonts w:ascii="宋体" w:hAnsi="宋体" w:eastAsia="宋体" w:cs="Times New Roman"/>
                <w:color w:val="000000"/>
                <w:sz w:val="18"/>
                <w:szCs w:val="18"/>
              </w:rPr>
              <w:t>×</w:t>
            </w:r>
            <w:r>
              <w:rPr>
                <w:rFonts w:hint="eastAsia" w:ascii="宋体" w:hAnsi="宋体" w:eastAsia="宋体" w:cs="Times New Roman"/>
                <w:color w:val="000000"/>
                <w:sz w:val="18"/>
                <w:szCs w:val="18"/>
                <w:lang w:val="en-US" w:eastAsia="zh-CN"/>
              </w:rPr>
              <w:t>100</w:t>
            </w:r>
            <w:r>
              <w:rPr>
                <w:rFonts w:ascii="宋体" w:hAnsi="宋体"/>
                <w:color w:val="000000"/>
                <w:sz w:val="18"/>
                <w:szCs w:val="18"/>
              </w:rPr>
              <w:t>=100-特异性</w:t>
            </w:r>
          </w:p>
        </w:tc>
      </w:tr>
      <w:tr w14:paraId="02CCF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000" w:type="pct"/>
            <w:gridSpan w:val="4"/>
            <w:tcBorders>
              <w:top w:val="single" w:color="auto" w:sz="4" w:space="0"/>
              <w:left w:val="single" w:color="auto" w:sz="4" w:space="0"/>
              <w:bottom w:val="single" w:color="auto" w:sz="4" w:space="0"/>
              <w:right w:val="single" w:color="auto" w:sz="4" w:space="0"/>
            </w:tcBorders>
            <w:noWrap w:val="0"/>
            <w:vAlign w:val="center"/>
          </w:tcPr>
          <w:p w14:paraId="0659E721">
            <w:pPr>
              <w:jc w:val="left"/>
              <w:rPr>
                <w:rFonts w:ascii="宋体" w:hAnsi="宋体"/>
                <w:color w:val="000000"/>
                <w:sz w:val="18"/>
                <w:szCs w:val="18"/>
              </w:rPr>
            </w:pPr>
            <w:r>
              <w:rPr>
                <w:rFonts w:ascii="宋体" w:hAnsi="宋体"/>
                <w:color w:val="000000"/>
                <w:sz w:val="18"/>
                <w:szCs w:val="18"/>
              </w:rPr>
              <w:t>注：</w:t>
            </w:r>
          </w:p>
          <w:p w14:paraId="7AE4AE17">
            <w:pPr>
              <w:jc w:val="left"/>
              <w:rPr>
                <w:rFonts w:ascii="宋体" w:hAnsi="宋体"/>
                <w:color w:val="000000"/>
                <w:sz w:val="18"/>
                <w:szCs w:val="18"/>
              </w:rPr>
            </w:pPr>
            <w:r>
              <w:rPr>
                <w:rFonts w:ascii="宋体" w:hAnsi="宋体"/>
                <w:color w:val="000000"/>
                <w:sz w:val="18"/>
                <w:szCs w:val="18"/>
                <w:vertAlign w:val="superscript"/>
              </w:rPr>
              <w:t>a</w:t>
            </w:r>
            <w:r>
              <w:rPr>
                <w:rFonts w:ascii="宋体" w:hAnsi="宋体"/>
                <w:color w:val="000000"/>
                <w:sz w:val="18"/>
                <w:szCs w:val="18"/>
              </w:rPr>
              <w:t>由参比方法检验得到的结果或者样品中实际的公议值结果；</w:t>
            </w:r>
          </w:p>
          <w:p w14:paraId="28CBFACD">
            <w:pPr>
              <w:jc w:val="left"/>
              <w:rPr>
                <w:rFonts w:ascii="宋体" w:hAnsi="宋体"/>
                <w:color w:val="000000"/>
                <w:sz w:val="18"/>
                <w:szCs w:val="18"/>
              </w:rPr>
            </w:pPr>
            <w:r>
              <w:rPr>
                <w:rFonts w:ascii="宋体" w:hAnsi="宋体"/>
                <w:color w:val="000000"/>
                <w:sz w:val="18"/>
                <w:szCs w:val="18"/>
                <w:vertAlign w:val="superscript"/>
              </w:rPr>
              <w:t>b</w:t>
            </w:r>
            <w:r>
              <w:rPr>
                <w:rFonts w:ascii="宋体" w:hAnsi="宋体"/>
                <w:color w:val="000000"/>
                <w:sz w:val="18"/>
                <w:szCs w:val="18"/>
              </w:rPr>
              <w:t>由</w:t>
            </w:r>
            <w:r>
              <w:rPr>
                <w:rFonts w:hint="eastAsia" w:ascii="宋体" w:hAnsi="宋体"/>
                <w:color w:val="000000"/>
                <w:sz w:val="18"/>
                <w:szCs w:val="18"/>
              </w:rPr>
              <w:t>快速检测产品</w:t>
            </w:r>
            <w:r>
              <w:rPr>
                <w:rFonts w:ascii="宋体" w:hAnsi="宋体"/>
                <w:color w:val="000000"/>
                <w:sz w:val="18"/>
                <w:szCs w:val="18"/>
              </w:rPr>
              <w:t>检验得到的结果。灵敏度的计算使用确认后的结果。</w:t>
            </w:r>
          </w:p>
          <w:p w14:paraId="2A8FF4C1">
            <w:pPr>
              <w:jc w:val="left"/>
              <w:rPr>
                <w:rFonts w:ascii="宋体" w:hAnsi="宋体"/>
                <w:color w:val="000000"/>
                <w:sz w:val="18"/>
                <w:szCs w:val="18"/>
              </w:rPr>
            </w:pPr>
            <w:r>
              <w:rPr>
                <w:rFonts w:ascii="宋体" w:hAnsi="宋体"/>
                <w:color w:val="000000"/>
                <w:sz w:val="18"/>
                <w:szCs w:val="18"/>
              </w:rPr>
              <w:t>N：任何特定单元的结果数，第一个下标指行，第二个下标指列。例如：N11表示第一行，第一列，N1.表示所有的第一行，N.2表示所有的第二列；N12表示第一行，第二列。</w:t>
            </w:r>
          </w:p>
        </w:tc>
      </w:tr>
    </w:tbl>
    <w:p w14:paraId="20BE3FBD">
      <w:pPr>
        <w:pStyle w:val="20"/>
        <w:ind w:firstLine="0" w:firstLineChars="0"/>
        <w:rPr>
          <w:color w:val="000000"/>
        </w:rPr>
      </w:pPr>
      <w:r>
        <w:rPr>
          <w:color w:val="000000"/>
        </w:rPr>
        <w:br w:type="page"/>
      </w:r>
    </w:p>
    <w:p w14:paraId="539BBE39">
      <w:pPr>
        <w:pStyle w:val="110"/>
        <w:ind w:left="0"/>
        <w:rPr>
          <w:rFonts w:hint="eastAsia"/>
          <w:color w:val="000000"/>
        </w:rPr>
      </w:pPr>
      <w:r>
        <w:rPr>
          <w:color w:val="000000"/>
        </w:rPr>
        <w:br w:type="textWrapping"/>
      </w:r>
      <w:bookmarkStart w:id="176" w:name="_Toc57127163"/>
      <w:bookmarkStart w:id="177" w:name="_Toc38036254"/>
      <w:bookmarkStart w:id="178" w:name="_Toc38036410"/>
      <w:bookmarkStart w:id="179" w:name="_Toc56503743"/>
      <w:bookmarkStart w:id="180" w:name="_Toc56504134"/>
      <w:bookmarkStart w:id="181" w:name="_Toc57127174"/>
      <w:r>
        <w:rPr>
          <w:rFonts w:hint="eastAsia"/>
          <w:color w:val="000000"/>
        </w:rPr>
        <w:t>（资料性附录）</w:t>
      </w:r>
      <w:r>
        <w:rPr>
          <w:color w:val="000000"/>
        </w:rPr>
        <w:br w:type="textWrapping"/>
      </w:r>
      <w:r>
        <w:rPr>
          <w:rFonts w:hint="eastAsia"/>
          <w:color w:val="000000"/>
        </w:rPr>
        <w:t>食品快速检测产品评价报告模板</w:t>
      </w:r>
      <w:bookmarkEnd w:id="176"/>
      <w:bookmarkEnd w:id="177"/>
      <w:bookmarkEnd w:id="178"/>
      <w:bookmarkEnd w:id="179"/>
      <w:bookmarkEnd w:id="180"/>
      <w:bookmarkEnd w:id="181"/>
    </w:p>
    <w:p w14:paraId="3FAFA5E5">
      <w:pPr>
        <w:pStyle w:val="64"/>
        <w:spacing w:before="312" w:after="312"/>
        <w:ind w:left="0"/>
        <w:rPr>
          <w:rFonts w:hint="eastAsia"/>
          <w:color w:val="000000"/>
          <w:highlight w:val="none"/>
        </w:rPr>
      </w:pPr>
      <w:bookmarkStart w:id="182" w:name="_Toc56503744"/>
      <w:r>
        <w:rPr>
          <w:rFonts w:hint="eastAsia"/>
          <w:color w:val="000000"/>
        </w:rPr>
        <w:t>食品</w:t>
      </w:r>
      <w:r>
        <w:rPr>
          <w:rFonts w:hint="eastAsia"/>
          <w:color w:val="000000"/>
          <w:highlight w:val="none"/>
        </w:rPr>
        <w:t>快速检测产品</w:t>
      </w:r>
      <w:r>
        <w:rPr>
          <w:rFonts w:hint="eastAsia"/>
          <w:color w:val="000000"/>
          <w:highlight w:val="none"/>
          <w:lang w:eastAsia="zh-CN"/>
        </w:rPr>
        <w:t>评价报告模板</w:t>
      </w:r>
      <w:r>
        <w:rPr>
          <w:rFonts w:hint="eastAsia"/>
          <w:color w:val="000000"/>
          <w:highlight w:val="none"/>
        </w:rPr>
        <w:t>见表C.1。</w:t>
      </w:r>
      <w:bookmarkEnd w:id="182"/>
    </w:p>
    <w:p w14:paraId="1C93695D">
      <w:pPr>
        <w:pStyle w:val="94"/>
        <w:numPr>
          <w:ilvl w:val="0"/>
          <w:numId w:val="0"/>
        </w:numPr>
        <w:spacing w:before="156" w:after="156"/>
        <w:ind w:left="2410" w:firstLine="840" w:firstLineChars="400"/>
        <w:jc w:val="both"/>
        <w:rPr>
          <w:rFonts w:hint="eastAsia"/>
          <w:color w:val="000000"/>
        </w:rPr>
      </w:pPr>
      <w:r>
        <w:rPr>
          <w:rFonts w:hint="eastAsia"/>
          <w:color w:val="000000"/>
          <w:highlight w:val="none"/>
        </w:rPr>
        <w:t>表C.1  ××（产品）评价报</w:t>
      </w:r>
      <w:r>
        <w:rPr>
          <w:rFonts w:hint="eastAsia"/>
          <w:color w:val="000000"/>
        </w:rPr>
        <w:t>告</w:t>
      </w:r>
    </w:p>
    <w:p w14:paraId="1FEB2B04">
      <w:pPr>
        <w:pStyle w:val="20"/>
        <w:ind w:firstLine="360"/>
        <w:rPr>
          <w:rFonts w:hint="eastAsia"/>
          <w:color w:val="000000"/>
          <w:sz w:val="18"/>
          <w:szCs w:val="18"/>
        </w:rPr>
      </w:pPr>
      <w:r>
        <w:rPr>
          <w:rFonts w:hint="eastAsia"/>
          <w:color w:val="000000"/>
          <w:sz w:val="18"/>
          <w:szCs w:val="18"/>
        </w:rPr>
        <w:t xml:space="preserve">报告编号：                                                                   第  页，共  页                                         </w:t>
      </w:r>
    </w:p>
    <w:tbl>
      <w:tblPr>
        <w:tblStyle w:val="28"/>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425"/>
        <w:gridCol w:w="1558"/>
        <w:gridCol w:w="1271"/>
        <w:gridCol w:w="8"/>
        <w:gridCol w:w="1776"/>
        <w:gridCol w:w="3322"/>
        <w:gridCol w:w="7"/>
      </w:tblGrid>
      <w:tr w14:paraId="56152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gridAfter w:val="1"/>
          <w:wAfter w:w="7" w:type="dxa"/>
          <w:trHeight w:val="369" w:hRule="atLeast"/>
          <w:jc w:val="center"/>
        </w:trPr>
        <w:tc>
          <w:tcPr>
            <w:tcW w:w="1425" w:type="dxa"/>
            <w:noWrap w:val="0"/>
            <w:tcMar>
              <w:top w:w="0" w:type="dxa"/>
              <w:left w:w="108" w:type="dxa"/>
              <w:bottom w:w="0" w:type="dxa"/>
              <w:right w:w="108" w:type="dxa"/>
            </w:tcMar>
            <w:vAlign w:val="center"/>
          </w:tcPr>
          <w:p w14:paraId="5AD6BE2B">
            <w:pPr>
              <w:pStyle w:val="20"/>
              <w:ind w:firstLine="0" w:firstLineChars="0"/>
              <w:rPr>
                <w:color w:val="000000"/>
                <w:sz w:val="18"/>
                <w:szCs w:val="18"/>
              </w:rPr>
            </w:pPr>
            <w:r>
              <w:rPr>
                <w:rFonts w:hint="eastAsia"/>
                <w:color w:val="000000"/>
                <w:sz w:val="18"/>
                <w:szCs w:val="18"/>
                <w:lang w:bidi="ar"/>
              </w:rPr>
              <w:t>产品名称</w:t>
            </w:r>
          </w:p>
        </w:tc>
        <w:tc>
          <w:tcPr>
            <w:tcW w:w="2837" w:type="dxa"/>
            <w:gridSpan w:val="3"/>
            <w:noWrap w:val="0"/>
            <w:tcMar>
              <w:top w:w="0" w:type="dxa"/>
              <w:left w:w="108" w:type="dxa"/>
              <w:bottom w:w="0" w:type="dxa"/>
              <w:right w:w="108" w:type="dxa"/>
            </w:tcMar>
            <w:vAlign w:val="center"/>
          </w:tcPr>
          <w:p w14:paraId="50547E24">
            <w:pPr>
              <w:pStyle w:val="20"/>
              <w:ind w:firstLine="0" w:firstLineChars="0"/>
              <w:rPr>
                <w:color w:val="000000"/>
                <w:sz w:val="18"/>
                <w:szCs w:val="18"/>
              </w:rPr>
            </w:pPr>
          </w:p>
        </w:tc>
        <w:tc>
          <w:tcPr>
            <w:tcW w:w="1776" w:type="dxa"/>
            <w:noWrap w:val="0"/>
            <w:tcMar>
              <w:top w:w="0" w:type="dxa"/>
              <w:left w:w="108" w:type="dxa"/>
              <w:bottom w:w="0" w:type="dxa"/>
              <w:right w:w="108" w:type="dxa"/>
            </w:tcMar>
            <w:vAlign w:val="center"/>
          </w:tcPr>
          <w:p w14:paraId="263C16BA">
            <w:pPr>
              <w:pStyle w:val="20"/>
              <w:ind w:firstLine="0" w:firstLineChars="0"/>
              <w:rPr>
                <w:color w:val="000000"/>
                <w:sz w:val="18"/>
                <w:szCs w:val="18"/>
              </w:rPr>
            </w:pPr>
            <w:r>
              <w:rPr>
                <w:rFonts w:hint="eastAsia"/>
                <w:color w:val="000000"/>
                <w:sz w:val="18"/>
                <w:szCs w:val="18"/>
                <w:lang w:bidi="ar"/>
              </w:rPr>
              <w:t>型号规格</w:t>
            </w:r>
            <w:r>
              <w:rPr>
                <w:rFonts w:cs="Calibri"/>
                <w:color w:val="000000"/>
                <w:sz w:val="18"/>
                <w:szCs w:val="18"/>
                <w:lang w:bidi="ar"/>
              </w:rPr>
              <w:t>/</w:t>
            </w:r>
            <w:r>
              <w:rPr>
                <w:rFonts w:hint="eastAsia"/>
                <w:color w:val="000000"/>
                <w:sz w:val="18"/>
                <w:szCs w:val="18"/>
                <w:lang w:bidi="ar"/>
              </w:rPr>
              <w:t>批号</w:t>
            </w:r>
          </w:p>
        </w:tc>
        <w:tc>
          <w:tcPr>
            <w:tcW w:w="3322" w:type="dxa"/>
            <w:noWrap w:val="0"/>
            <w:tcMar>
              <w:top w:w="0" w:type="dxa"/>
              <w:left w:w="108" w:type="dxa"/>
              <w:bottom w:w="0" w:type="dxa"/>
              <w:right w:w="108" w:type="dxa"/>
            </w:tcMar>
            <w:vAlign w:val="center"/>
          </w:tcPr>
          <w:p w14:paraId="6A101E1E">
            <w:pPr>
              <w:pStyle w:val="20"/>
              <w:ind w:firstLine="0" w:firstLineChars="0"/>
              <w:rPr>
                <w:color w:val="000000"/>
                <w:sz w:val="18"/>
                <w:szCs w:val="18"/>
              </w:rPr>
            </w:pPr>
          </w:p>
        </w:tc>
      </w:tr>
      <w:tr w14:paraId="1DB5D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gridAfter w:val="1"/>
          <w:wAfter w:w="7" w:type="dxa"/>
          <w:trHeight w:val="369" w:hRule="atLeast"/>
          <w:jc w:val="center"/>
        </w:trPr>
        <w:tc>
          <w:tcPr>
            <w:tcW w:w="1425" w:type="dxa"/>
            <w:noWrap w:val="0"/>
            <w:tcMar>
              <w:top w:w="0" w:type="dxa"/>
              <w:left w:w="108" w:type="dxa"/>
              <w:bottom w:w="0" w:type="dxa"/>
              <w:right w:w="108" w:type="dxa"/>
            </w:tcMar>
            <w:vAlign w:val="center"/>
          </w:tcPr>
          <w:p w14:paraId="3951DFB4">
            <w:pPr>
              <w:pStyle w:val="20"/>
              <w:ind w:firstLine="0" w:firstLineChars="0"/>
              <w:rPr>
                <w:color w:val="000000"/>
                <w:sz w:val="18"/>
                <w:szCs w:val="18"/>
              </w:rPr>
            </w:pPr>
            <w:r>
              <w:rPr>
                <w:rFonts w:hint="eastAsia"/>
                <w:color w:val="000000"/>
                <w:sz w:val="18"/>
                <w:szCs w:val="18"/>
                <w:lang w:bidi="ar"/>
              </w:rPr>
              <w:t>生产厂家</w:t>
            </w:r>
          </w:p>
        </w:tc>
        <w:tc>
          <w:tcPr>
            <w:tcW w:w="2837" w:type="dxa"/>
            <w:gridSpan w:val="3"/>
            <w:noWrap w:val="0"/>
            <w:tcMar>
              <w:top w:w="0" w:type="dxa"/>
              <w:left w:w="108" w:type="dxa"/>
              <w:bottom w:w="0" w:type="dxa"/>
              <w:right w:w="108" w:type="dxa"/>
            </w:tcMar>
            <w:vAlign w:val="center"/>
          </w:tcPr>
          <w:p w14:paraId="5649A160">
            <w:pPr>
              <w:pStyle w:val="20"/>
              <w:ind w:firstLine="0" w:firstLineChars="0"/>
              <w:rPr>
                <w:color w:val="000000"/>
                <w:sz w:val="18"/>
                <w:szCs w:val="18"/>
              </w:rPr>
            </w:pPr>
          </w:p>
        </w:tc>
        <w:tc>
          <w:tcPr>
            <w:tcW w:w="1776" w:type="dxa"/>
            <w:noWrap w:val="0"/>
            <w:tcMar>
              <w:top w:w="0" w:type="dxa"/>
              <w:left w:w="108" w:type="dxa"/>
              <w:bottom w:w="0" w:type="dxa"/>
              <w:right w:w="108" w:type="dxa"/>
            </w:tcMar>
            <w:vAlign w:val="center"/>
          </w:tcPr>
          <w:p w14:paraId="7E70F7BF">
            <w:pPr>
              <w:pStyle w:val="20"/>
              <w:ind w:firstLine="0" w:firstLineChars="0"/>
              <w:rPr>
                <w:color w:val="000000"/>
                <w:sz w:val="18"/>
                <w:szCs w:val="18"/>
              </w:rPr>
            </w:pPr>
            <w:r>
              <w:rPr>
                <w:rFonts w:hint="eastAsia"/>
                <w:color w:val="000000"/>
                <w:sz w:val="18"/>
                <w:szCs w:val="18"/>
                <w:lang w:bidi="ar"/>
              </w:rPr>
              <w:t>生产日期</w:t>
            </w:r>
            <w:r>
              <w:rPr>
                <w:rFonts w:cs="Calibri"/>
                <w:color w:val="000000"/>
                <w:sz w:val="18"/>
                <w:szCs w:val="18"/>
                <w:lang w:bidi="ar"/>
              </w:rPr>
              <w:t>/</w:t>
            </w:r>
            <w:r>
              <w:rPr>
                <w:rFonts w:hint="eastAsia"/>
                <w:color w:val="000000"/>
                <w:sz w:val="18"/>
                <w:szCs w:val="18"/>
                <w:lang w:bidi="ar"/>
              </w:rPr>
              <w:t>使用期限</w:t>
            </w:r>
          </w:p>
        </w:tc>
        <w:tc>
          <w:tcPr>
            <w:tcW w:w="3322" w:type="dxa"/>
            <w:noWrap w:val="0"/>
            <w:tcMar>
              <w:top w:w="0" w:type="dxa"/>
              <w:left w:w="108" w:type="dxa"/>
              <w:bottom w:w="0" w:type="dxa"/>
              <w:right w:w="108" w:type="dxa"/>
            </w:tcMar>
            <w:vAlign w:val="center"/>
          </w:tcPr>
          <w:p w14:paraId="39A9E8D8">
            <w:pPr>
              <w:pStyle w:val="20"/>
              <w:ind w:firstLine="0" w:firstLineChars="0"/>
              <w:rPr>
                <w:color w:val="000000"/>
                <w:sz w:val="18"/>
                <w:szCs w:val="18"/>
              </w:rPr>
            </w:pPr>
          </w:p>
        </w:tc>
      </w:tr>
      <w:tr w14:paraId="0DC7C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gridAfter w:val="1"/>
          <w:wAfter w:w="7" w:type="dxa"/>
          <w:trHeight w:val="369" w:hRule="atLeast"/>
          <w:jc w:val="center"/>
        </w:trPr>
        <w:tc>
          <w:tcPr>
            <w:tcW w:w="1425" w:type="dxa"/>
            <w:noWrap w:val="0"/>
            <w:tcMar>
              <w:top w:w="0" w:type="dxa"/>
              <w:left w:w="108" w:type="dxa"/>
              <w:bottom w:w="0" w:type="dxa"/>
              <w:right w:w="108" w:type="dxa"/>
            </w:tcMar>
            <w:vAlign w:val="center"/>
          </w:tcPr>
          <w:p w14:paraId="6106DA10">
            <w:pPr>
              <w:pStyle w:val="20"/>
              <w:ind w:firstLine="0" w:firstLineChars="0"/>
              <w:rPr>
                <w:color w:val="000000"/>
                <w:sz w:val="18"/>
                <w:szCs w:val="18"/>
              </w:rPr>
            </w:pPr>
            <w:r>
              <w:rPr>
                <w:rFonts w:hint="eastAsia"/>
                <w:color w:val="000000"/>
                <w:sz w:val="18"/>
                <w:szCs w:val="18"/>
                <w:lang w:bidi="ar"/>
              </w:rPr>
              <w:t>适用范围</w:t>
            </w:r>
          </w:p>
        </w:tc>
        <w:tc>
          <w:tcPr>
            <w:tcW w:w="2837" w:type="dxa"/>
            <w:gridSpan w:val="3"/>
            <w:noWrap w:val="0"/>
            <w:tcMar>
              <w:top w:w="0" w:type="dxa"/>
              <w:left w:w="108" w:type="dxa"/>
              <w:bottom w:w="0" w:type="dxa"/>
              <w:right w:w="108" w:type="dxa"/>
            </w:tcMar>
            <w:vAlign w:val="center"/>
          </w:tcPr>
          <w:p w14:paraId="20A64078">
            <w:pPr>
              <w:pStyle w:val="20"/>
              <w:ind w:firstLine="0" w:firstLineChars="0"/>
              <w:rPr>
                <w:color w:val="000000"/>
                <w:sz w:val="18"/>
                <w:szCs w:val="18"/>
              </w:rPr>
            </w:pPr>
          </w:p>
        </w:tc>
        <w:tc>
          <w:tcPr>
            <w:tcW w:w="1776" w:type="dxa"/>
            <w:noWrap w:val="0"/>
            <w:tcMar>
              <w:top w:w="0" w:type="dxa"/>
              <w:left w:w="108" w:type="dxa"/>
              <w:bottom w:w="0" w:type="dxa"/>
              <w:right w:w="108" w:type="dxa"/>
            </w:tcMar>
            <w:vAlign w:val="center"/>
          </w:tcPr>
          <w:p w14:paraId="12B87D59">
            <w:pPr>
              <w:pStyle w:val="20"/>
              <w:ind w:firstLine="0" w:firstLineChars="0"/>
              <w:rPr>
                <w:color w:val="000000"/>
                <w:sz w:val="18"/>
                <w:szCs w:val="18"/>
              </w:rPr>
            </w:pPr>
            <w:r>
              <w:rPr>
                <w:rFonts w:hint="eastAsia"/>
                <w:color w:val="000000"/>
                <w:sz w:val="18"/>
                <w:szCs w:val="18"/>
                <w:lang w:bidi="ar"/>
              </w:rPr>
              <w:t>存储条件</w:t>
            </w:r>
          </w:p>
        </w:tc>
        <w:tc>
          <w:tcPr>
            <w:tcW w:w="3322" w:type="dxa"/>
            <w:noWrap w:val="0"/>
            <w:tcMar>
              <w:top w:w="0" w:type="dxa"/>
              <w:left w:w="108" w:type="dxa"/>
              <w:bottom w:w="0" w:type="dxa"/>
              <w:right w:w="108" w:type="dxa"/>
            </w:tcMar>
            <w:vAlign w:val="center"/>
          </w:tcPr>
          <w:p w14:paraId="7D61264D">
            <w:pPr>
              <w:pStyle w:val="20"/>
              <w:ind w:firstLine="0" w:firstLineChars="0"/>
              <w:rPr>
                <w:color w:val="000000"/>
                <w:sz w:val="18"/>
                <w:szCs w:val="18"/>
              </w:rPr>
            </w:pPr>
          </w:p>
        </w:tc>
      </w:tr>
      <w:tr w14:paraId="398BB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gridAfter w:val="1"/>
          <w:wAfter w:w="7" w:type="dxa"/>
          <w:trHeight w:val="369" w:hRule="atLeast"/>
          <w:jc w:val="center"/>
        </w:trPr>
        <w:tc>
          <w:tcPr>
            <w:tcW w:w="1425" w:type="dxa"/>
            <w:noWrap w:val="0"/>
            <w:tcMar>
              <w:top w:w="0" w:type="dxa"/>
              <w:left w:w="108" w:type="dxa"/>
              <w:bottom w:w="0" w:type="dxa"/>
              <w:right w:w="108" w:type="dxa"/>
            </w:tcMar>
            <w:vAlign w:val="center"/>
          </w:tcPr>
          <w:p w14:paraId="16BEC82A">
            <w:pPr>
              <w:pStyle w:val="20"/>
              <w:ind w:firstLine="0" w:firstLineChars="0"/>
              <w:rPr>
                <w:color w:val="000000"/>
                <w:sz w:val="18"/>
                <w:szCs w:val="18"/>
                <w:lang w:bidi="ar"/>
              </w:rPr>
            </w:pPr>
            <w:r>
              <w:rPr>
                <w:rFonts w:hint="eastAsia"/>
                <w:color w:val="000000"/>
                <w:sz w:val="18"/>
                <w:szCs w:val="18"/>
                <w:lang w:bidi="ar"/>
              </w:rPr>
              <w:t>委托单位</w:t>
            </w:r>
          </w:p>
        </w:tc>
        <w:tc>
          <w:tcPr>
            <w:tcW w:w="2829" w:type="dxa"/>
            <w:gridSpan w:val="2"/>
            <w:noWrap w:val="0"/>
            <w:tcMar>
              <w:top w:w="0" w:type="dxa"/>
              <w:left w:w="108" w:type="dxa"/>
              <w:bottom w:w="0" w:type="dxa"/>
              <w:right w:w="108" w:type="dxa"/>
            </w:tcMar>
            <w:vAlign w:val="center"/>
          </w:tcPr>
          <w:p w14:paraId="39FBB680">
            <w:pPr>
              <w:pStyle w:val="20"/>
              <w:ind w:firstLine="0" w:firstLineChars="0"/>
              <w:rPr>
                <w:color w:val="000000"/>
                <w:sz w:val="18"/>
                <w:szCs w:val="18"/>
              </w:rPr>
            </w:pPr>
          </w:p>
        </w:tc>
        <w:tc>
          <w:tcPr>
            <w:tcW w:w="1784" w:type="dxa"/>
            <w:gridSpan w:val="2"/>
            <w:noWrap w:val="0"/>
            <w:vAlign w:val="center"/>
          </w:tcPr>
          <w:p w14:paraId="4CB79BAC">
            <w:pPr>
              <w:pStyle w:val="20"/>
              <w:ind w:firstLine="90" w:firstLineChars="50"/>
              <w:rPr>
                <w:color w:val="000000"/>
                <w:sz w:val="18"/>
                <w:szCs w:val="18"/>
              </w:rPr>
            </w:pPr>
            <w:r>
              <w:rPr>
                <w:rFonts w:hint="eastAsia"/>
                <w:color w:val="000000"/>
                <w:sz w:val="18"/>
                <w:szCs w:val="18"/>
                <w:lang w:bidi="ar"/>
              </w:rPr>
              <w:t>地址/电话</w:t>
            </w:r>
          </w:p>
        </w:tc>
        <w:tc>
          <w:tcPr>
            <w:tcW w:w="3322" w:type="dxa"/>
            <w:noWrap w:val="0"/>
            <w:vAlign w:val="center"/>
          </w:tcPr>
          <w:p w14:paraId="542876A1">
            <w:pPr>
              <w:pStyle w:val="20"/>
              <w:ind w:firstLine="0" w:firstLineChars="0"/>
              <w:rPr>
                <w:color w:val="000000"/>
                <w:sz w:val="18"/>
                <w:szCs w:val="18"/>
              </w:rPr>
            </w:pPr>
            <w:r>
              <w:rPr>
                <w:rFonts w:hint="eastAsia"/>
                <w:color w:val="000000"/>
                <w:sz w:val="18"/>
                <w:szCs w:val="18"/>
              </w:rPr>
              <w:t xml:space="preserve">   </w:t>
            </w:r>
          </w:p>
        </w:tc>
      </w:tr>
      <w:tr w14:paraId="4AFF8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gridAfter w:val="1"/>
          <w:wAfter w:w="7" w:type="dxa"/>
          <w:trHeight w:val="369" w:hRule="atLeast"/>
          <w:jc w:val="center"/>
        </w:trPr>
        <w:tc>
          <w:tcPr>
            <w:tcW w:w="1425" w:type="dxa"/>
            <w:noWrap w:val="0"/>
            <w:tcMar>
              <w:top w:w="0" w:type="dxa"/>
              <w:left w:w="108" w:type="dxa"/>
              <w:bottom w:w="0" w:type="dxa"/>
              <w:right w:w="108" w:type="dxa"/>
            </w:tcMar>
            <w:vAlign w:val="center"/>
          </w:tcPr>
          <w:p w14:paraId="483AC0A8">
            <w:pPr>
              <w:pStyle w:val="20"/>
              <w:ind w:firstLine="0" w:firstLineChars="0"/>
              <w:rPr>
                <w:rFonts w:hint="eastAsia"/>
                <w:color w:val="000000"/>
                <w:sz w:val="18"/>
                <w:szCs w:val="18"/>
                <w:lang w:bidi="ar"/>
              </w:rPr>
            </w:pPr>
            <w:r>
              <w:rPr>
                <w:rFonts w:hint="eastAsia"/>
                <w:color w:val="000000"/>
                <w:sz w:val="18"/>
                <w:szCs w:val="18"/>
                <w:lang w:bidi="ar"/>
              </w:rPr>
              <w:t>收样日期</w:t>
            </w:r>
          </w:p>
        </w:tc>
        <w:tc>
          <w:tcPr>
            <w:tcW w:w="2837" w:type="dxa"/>
            <w:gridSpan w:val="3"/>
            <w:noWrap w:val="0"/>
            <w:tcMar>
              <w:top w:w="0" w:type="dxa"/>
              <w:left w:w="108" w:type="dxa"/>
              <w:bottom w:w="0" w:type="dxa"/>
              <w:right w:w="108" w:type="dxa"/>
            </w:tcMar>
            <w:vAlign w:val="center"/>
          </w:tcPr>
          <w:p w14:paraId="1B6EA01A">
            <w:pPr>
              <w:pStyle w:val="20"/>
              <w:ind w:firstLine="0" w:firstLineChars="0"/>
              <w:rPr>
                <w:color w:val="000000"/>
                <w:sz w:val="18"/>
                <w:szCs w:val="18"/>
              </w:rPr>
            </w:pPr>
          </w:p>
        </w:tc>
        <w:tc>
          <w:tcPr>
            <w:tcW w:w="1776" w:type="dxa"/>
            <w:noWrap w:val="0"/>
            <w:tcMar>
              <w:top w:w="0" w:type="dxa"/>
              <w:left w:w="108" w:type="dxa"/>
              <w:bottom w:w="0" w:type="dxa"/>
              <w:right w:w="108" w:type="dxa"/>
            </w:tcMar>
            <w:vAlign w:val="center"/>
          </w:tcPr>
          <w:p w14:paraId="634188EB">
            <w:pPr>
              <w:pStyle w:val="20"/>
              <w:ind w:firstLine="0" w:firstLineChars="0"/>
              <w:rPr>
                <w:rFonts w:hint="eastAsia"/>
                <w:color w:val="000000"/>
                <w:sz w:val="18"/>
                <w:szCs w:val="18"/>
                <w:lang w:bidi="ar"/>
              </w:rPr>
            </w:pPr>
            <w:r>
              <w:rPr>
                <w:rFonts w:hint="eastAsia"/>
                <w:color w:val="000000"/>
                <w:sz w:val="18"/>
                <w:szCs w:val="18"/>
                <w:lang w:bidi="ar"/>
              </w:rPr>
              <w:t>评价日期</w:t>
            </w:r>
          </w:p>
        </w:tc>
        <w:tc>
          <w:tcPr>
            <w:tcW w:w="3322" w:type="dxa"/>
            <w:noWrap w:val="0"/>
            <w:tcMar>
              <w:top w:w="0" w:type="dxa"/>
              <w:left w:w="108" w:type="dxa"/>
              <w:bottom w:w="0" w:type="dxa"/>
              <w:right w:w="108" w:type="dxa"/>
            </w:tcMar>
            <w:vAlign w:val="center"/>
          </w:tcPr>
          <w:p w14:paraId="4FB8690E">
            <w:pPr>
              <w:pStyle w:val="20"/>
              <w:ind w:firstLine="0" w:firstLineChars="0"/>
              <w:rPr>
                <w:color w:val="000000"/>
                <w:sz w:val="18"/>
                <w:szCs w:val="18"/>
              </w:rPr>
            </w:pPr>
          </w:p>
        </w:tc>
      </w:tr>
      <w:tr w14:paraId="5C6AC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gridAfter w:val="1"/>
          <w:wAfter w:w="7" w:type="dxa"/>
          <w:trHeight w:val="369" w:hRule="atLeast"/>
          <w:jc w:val="center"/>
        </w:trPr>
        <w:tc>
          <w:tcPr>
            <w:tcW w:w="1425" w:type="dxa"/>
            <w:noWrap w:val="0"/>
            <w:tcMar>
              <w:top w:w="0" w:type="dxa"/>
              <w:left w:w="108" w:type="dxa"/>
              <w:bottom w:w="0" w:type="dxa"/>
              <w:right w:w="108" w:type="dxa"/>
            </w:tcMar>
            <w:vAlign w:val="center"/>
          </w:tcPr>
          <w:p w14:paraId="762D5F5A">
            <w:pPr>
              <w:pStyle w:val="20"/>
              <w:ind w:firstLine="0" w:firstLineChars="0"/>
              <w:rPr>
                <w:color w:val="000000"/>
                <w:sz w:val="18"/>
                <w:szCs w:val="18"/>
              </w:rPr>
            </w:pPr>
            <w:r>
              <w:rPr>
                <w:rFonts w:hint="eastAsia"/>
                <w:color w:val="000000"/>
                <w:sz w:val="18"/>
                <w:szCs w:val="18"/>
                <w:lang w:bidi="ar"/>
              </w:rPr>
              <w:t>检测项目</w:t>
            </w:r>
          </w:p>
        </w:tc>
        <w:tc>
          <w:tcPr>
            <w:tcW w:w="7935" w:type="dxa"/>
            <w:gridSpan w:val="5"/>
            <w:noWrap w:val="0"/>
            <w:tcMar>
              <w:top w:w="0" w:type="dxa"/>
              <w:left w:w="108" w:type="dxa"/>
              <w:bottom w:w="0" w:type="dxa"/>
              <w:right w:w="108" w:type="dxa"/>
            </w:tcMar>
            <w:vAlign w:val="center"/>
          </w:tcPr>
          <w:p w14:paraId="7722EAF3">
            <w:pPr>
              <w:pStyle w:val="20"/>
              <w:ind w:firstLine="0" w:firstLineChars="0"/>
              <w:rPr>
                <w:color w:val="000000"/>
                <w:sz w:val="18"/>
                <w:szCs w:val="18"/>
              </w:rPr>
            </w:pPr>
          </w:p>
        </w:tc>
      </w:tr>
      <w:tr w14:paraId="19028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gridAfter w:val="1"/>
          <w:wAfter w:w="7" w:type="dxa"/>
          <w:trHeight w:val="369" w:hRule="atLeast"/>
          <w:jc w:val="center"/>
        </w:trPr>
        <w:tc>
          <w:tcPr>
            <w:tcW w:w="1425" w:type="dxa"/>
            <w:noWrap w:val="0"/>
            <w:tcMar>
              <w:top w:w="0" w:type="dxa"/>
              <w:left w:w="108" w:type="dxa"/>
              <w:bottom w:w="0" w:type="dxa"/>
              <w:right w:w="108" w:type="dxa"/>
            </w:tcMar>
            <w:vAlign w:val="center"/>
          </w:tcPr>
          <w:p w14:paraId="5C4CE135">
            <w:pPr>
              <w:pStyle w:val="20"/>
              <w:ind w:firstLine="0" w:firstLineChars="0"/>
              <w:rPr>
                <w:color w:val="000000"/>
                <w:sz w:val="18"/>
                <w:szCs w:val="18"/>
                <w:lang w:bidi="ar"/>
              </w:rPr>
            </w:pPr>
            <w:r>
              <w:rPr>
                <w:rFonts w:hint="eastAsia"/>
                <w:color w:val="000000"/>
                <w:sz w:val="18"/>
                <w:szCs w:val="18"/>
                <w:lang w:bidi="ar"/>
              </w:rPr>
              <w:t>指标评价依据</w:t>
            </w:r>
          </w:p>
        </w:tc>
        <w:tc>
          <w:tcPr>
            <w:tcW w:w="7935" w:type="dxa"/>
            <w:gridSpan w:val="5"/>
            <w:noWrap w:val="0"/>
            <w:tcMar>
              <w:top w:w="0" w:type="dxa"/>
              <w:left w:w="108" w:type="dxa"/>
              <w:bottom w:w="0" w:type="dxa"/>
              <w:right w:w="108" w:type="dxa"/>
            </w:tcMar>
            <w:vAlign w:val="top"/>
          </w:tcPr>
          <w:p w14:paraId="1F764C9A">
            <w:pPr>
              <w:pStyle w:val="20"/>
              <w:ind w:firstLine="0" w:firstLineChars="0"/>
              <w:rPr>
                <w:color w:val="000000"/>
                <w:sz w:val="18"/>
                <w:szCs w:val="18"/>
                <w:lang w:bidi="ar"/>
              </w:rPr>
            </w:pPr>
            <w:r>
              <w:rPr>
                <w:rFonts w:hint="eastAsia"/>
                <w:color w:val="000000"/>
                <w:sz w:val="18"/>
                <w:szCs w:val="18"/>
                <w:lang w:bidi="ar"/>
              </w:rPr>
              <w:t>□无              □有，******（国家规定的食品快速检测方法和规范名称）</w:t>
            </w:r>
          </w:p>
        </w:tc>
      </w:tr>
      <w:tr w14:paraId="2637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gridAfter w:val="1"/>
          <w:wAfter w:w="7" w:type="dxa"/>
          <w:trHeight w:val="369" w:hRule="atLeast"/>
          <w:jc w:val="center"/>
        </w:trPr>
        <w:tc>
          <w:tcPr>
            <w:tcW w:w="1425" w:type="dxa"/>
            <w:noWrap w:val="0"/>
            <w:tcMar>
              <w:top w:w="0" w:type="dxa"/>
              <w:left w:w="108" w:type="dxa"/>
              <w:bottom w:w="0" w:type="dxa"/>
              <w:right w:w="108" w:type="dxa"/>
            </w:tcMar>
            <w:vAlign w:val="center"/>
          </w:tcPr>
          <w:p w14:paraId="767E6A78">
            <w:pPr>
              <w:pStyle w:val="20"/>
              <w:ind w:firstLine="0" w:firstLineChars="0"/>
              <w:rPr>
                <w:color w:val="000000"/>
                <w:sz w:val="18"/>
                <w:szCs w:val="18"/>
              </w:rPr>
            </w:pPr>
            <w:r>
              <w:rPr>
                <w:rFonts w:hint="eastAsia"/>
                <w:color w:val="000000"/>
                <w:sz w:val="18"/>
                <w:szCs w:val="18"/>
                <w:lang w:bidi="ar"/>
              </w:rPr>
              <w:t>参比方法</w:t>
            </w:r>
          </w:p>
        </w:tc>
        <w:tc>
          <w:tcPr>
            <w:tcW w:w="7935" w:type="dxa"/>
            <w:gridSpan w:val="5"/>
            <w:noWrap w:val="0"/>
            <w:tcMar>
              <w:top w:w="0" w:type="dxa"/>
              <w:left w:w="108" w:type="dxa"/>
              <w:bottom w:w="0" w:type="dxa"/>
              <w:right w:w="108" w:type="dxa"/>
            </w:tcMar>
            <w:vAlign w:val="center"/>
          </w:tcPr>
          <w:p w14:paraId="366BE5A7">
            <w:pPr>
              <w:pStyle w:val="20"/>
              <w:ind w:firstLine="0" w:firstLineChars="0"/>
              <w:rPr>
                <w:color w:val="000000"/>
                <w:sz w:val="18"/>
                <w:szCs w:val="18"/>
              </w:rPr>
            </w:pPr>
          </w:p>
        </w:tc>
      </w:tr>
      <w:tr w14:paraId="1557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gridAfter w:val="1"/>
          <w:wAfter w:w="7" w:type="dxa"/>
          <w:trHeight w:val="369" w:hRule="atLeast"/>
          <w:jc w:val="center"/>
        </w:trPr>
        <w:tc>
          <w:tcPr>
            <w:tcW w:w="1425" w:type="dxa"/>
            <w:noWrap w:val="0"/>
            <w:tcMar>
              <w:top w:w="0" w:type="dxa"/>
              <w:left w:w="108" w:type="dxa"/>
              <w:bottom w:w="0" w:type="dxa"/>
              <w:right w:w="108" w:type="dxa"/>
            </w:tcMar>
            <w:vAlign w:val="center"/>
          </w:tcPr>
          <w:p w14:paraId="5D78F64F">
            <w:pPr>
              <w:pStyle w:val="20"/>
              <w:ind w:firstLine="0" w:firstLineChars="0"/>
              <w:rPr>
                <w:color w:val="000000"/>
                <w:sz w:val="18"/>
                <w:szCs w:val="18"/>
              </w:rPr>
            </w:pPr>
            <w:r>
              <w:rPr>
                <w:rFonts w:hint="eastAsia"/>
                <w:color w:val="000000"/>
                <w:sz w:val="18"/>
                <w:szCs w:val="18"/>
                <w:lang w:bidi="ar"/>
              </w:rPr>
              <w:t>盲样基质</w:t>
            </w:r>
          </w:p>
        </w:tc>
        <w:tc>
          <w:tcPr>
            <w:tcW w:w="7935" w:type="dxa"/>
            <w:gridSpan w:val="5"/>
            <w:noWrap w:val="0"/>
            <w:tcMar>
              <w:top w:w="0" w:type="dxa"/>
              <w:left w:w="108" w:type="dxa"/>
              <w:bottom w:w="0" w:type="dxa"/>
              <w:right w:w="108" w:type="dxa"/>
            </w:tcMar>
            <w:vAlign w:val="center"/>
          </w:tcPr>
          <w:p w14:paraId="0054D425">
            <w:pPr>
              <w:pStyle w:val="20"/>
              <w:ind w:firstLine="0" w:firstLineChars="0"/>
              <w:rPr>
                <w:color w:val="000000"/>
                <w:sz w:val="18"/>
                <w:szCs w:val="18"/>
              </w:rPr>
            </w:pPr>
          </w:p>
        </w:tc>
      </w:tr>
      <w:tr w14:paraId="50CCF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gridAfter w:val="1"/>
          <w:wAfter w:w="7" w:type="dxa"/>
          <w:trHeight w:val="369" w:hRule="atLeast"/>
          <w:jc w:val="center"/>
        </w:trPr>
        <w:tc>
          <w:tcPr>
            <w:tcW w:w="1425" w:type="dxa"/>
            <w:noWrap w:val="0"/>
            <w:tcMar>
              <w:top w:w="0" w:type="dxa"/>
              <w:left w:w="108" w:type="dxa"/>
              <w:bottom w:w="0" w:type="dxa"/>
              <w:right w:w="108" w:type="dxa"/>
            </w:tcMar>
            <w:vAlign w:val="center"/>
          </w:tcPr>
          <w:p w14:paraId="2EB63EA1">
            <w:pPr>
              <w:pStyle w:val="20"/>
              <w:ind w:firstLine="0" w:firstLineChars="0"/>
              <w:rPr>
                <w:color w:val="000000"/>
                <w:sz w:val="18"/>
                <w:szCs w:val="18"/>
              </w:rPr>
            </w:pPr>
            <w:r>
              <w:rPr>
                <w:rFonts w:hint="eastAsia"/>
                <w:color w:val="000000"/>
                <w:sz w:val="18"/>
                <w:szCs w:val="18"/>
                <w:lang w:bidi="ar"/>
              </w:rPr>
              <w:t>盲样加标浓度</w:t>
            </w:r>
          </w:p>
        </w:tc>
        <w:tc>
          <w:tcPr>
            <w:tcW w:w="2837" w:type="dxa"/>
            <w:gridSpan w:val="3"/>
            <w:noWrap w:val="0"/>
            <w:tcMar>
              <w:top w:w="0" w:type="dxa"/>
              <w:left w:w="108" w:type="dxa"/>
              <w:bottom w:w="0" w:type="dxa"/>
              <w:right w:w="108" w:type="dxa"/>
            </w:tcMar>
            <w:vAlign w:val="center"/>
          </w:tcPr>
          <w:p w14:paraId="2F5D8B31">
            <w:pPr>
              <w:pStyle w:val="20"/>
              <w:ind w:firstLine="0" w:firstLineChars="0"/>
              <w:rPr>
                <w:color w:val="000000"/>
                <w:sz w:val="18"/>
                <w:szCs w:val="18"/>
              </w:rPr>
            </w:pPr>
          </w:p>
        </w:tc>
        <w:tc>
          <w:tcPr>
            <w:tcW w:w="1776" w:type="dxa"/>
            <w:noWrap w:val="0"/>
            <w:vAlign w:val="center"/>
          </w:tcPr>
          <w:p w14:paraId="23054F04">
            <w:pPr>
              <w:pStyle w:val="20"/>
              <w:ind w:firstLine="0" w:firstLineChars="0"/>
              <w:rPr>
                <w:color w:val="000000"/>
                <w:sz w:val="18"/>
                <w:szCs w:val="18"/>
              </w:rPr>
            </w:pPr>
            <w:r>
              <w:rPr>
                <w:rFonts w:hint="eastAsia"/>
                <w:color w:val="000000"/>
                <w:sz w:val="18"/>
                <w:szCs w:val="18"/>
                <w:lang w:bidi="ar"/>
              </w:rPr>
              <w:t>加标浓度依据</w:t>
            </w:r>
          </w:p>
        </w:tc>
        <w:tc>
          <w:tcPr>
            <w:tcW w:w="3322" w:type="dxa"/>
            <w:noWrap w:val="0"/>
            <w:vAlign w:val="center"/>
          </w:tcPr>
          <w:p w14:paraId="7FC7D312">
            <w:pPr>
              <w:pStyle w:val="20"/>
              <w:ind w:firstLine="0" w:firstLineChars="0"/>
              <w:rPr>
                <w:color w:val="000000"/>
                <w:sz w:val="18"/>
                <w:szCs w:val="18"/>
              </w:rPr>
            </w:pPr>
          </w:p>
        </w:tc>
      </w:tr>
      <w:tr w14:paraId="5AC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gridAfter w:val="1"/>
          <w:wAfter w:w="7" w:type="dxa"/>
          <w:trHeight w:val="369" w:hRule="atLeast"/>
          <w:jc w:val="center"/>
        </w:trPr>
        <w:tc>
          <w:tcPr>
            <w:tcW w:w="1425" w:type="dxa"/>
            <w:noWrap w:val="0"/>
            <w:tcMar>
              <w:top w:w="0" w:type="dxa"/>
              <w:left w:w="108" w:type="dxa"/>
              <w:bottom w:w="0" w:type="dxa"/>
              <w:right w:w="108" w:type="dxa"/>
            </w:tcMar>
            <w:vAlign w:val="center"/>
          </w:tcPr>
          <w:p w14:paraId="1FC521F9">
            <w:pPr>
              <w:pStyle w:val="20"/>
              <w:ind w:firstLine="0" w:firstLineChars="0"/>
              <w:rPr>
                <w:color w:val="000000"/>
                <w:sz w:val="18"/>
                <w:szCs w:val="18"/>
              </w:rPr>
            </w:pPr>
            <w:r>
              <w:rPr>
                <w:rFonts w:hint="eastAsia"/>
                <w:color w:val="000000"/>
                <w:sz w:val="18"/>
                <w:szCs w:val="18"/>
                <w:lang w:bidi="ar"/>
              </w:rPr>
              <w:t>盲样组成</w:t>
            </w:r>
          </w:p>
        </w:tc>
        <w:tc>
          <w:tcPr>
            <w:tcW w:w="7935" w:type="dxa"/>
            <w:gridSpan w:val="5"/>
            <w:noWrap w:val="0"/>
            <w:tcMar>
              <w:top w:w="0" w:type="dxa"/>
              <w:left w:w="108" w:type="dxa"/>
              <w:bottom w:w="0" w:type="dxa"/>
              <w:right w:w="108" w:type="dxa"/>
            </w:tcMar>
            <w:vAlign w:val="center"/>
          </w:tcPr>
          <w:p w14:paraId="0B15BD96">
            <w:pPr>
              <w:pStyle w:val="20"/>
              <w:ind w:firstLine="0" w:firstLineChars="0"/>
              <w:rPr>
                <w:color w:val="000000"/>
                <w:sz w:val="18"/>
                <w:szCs w:val="18"/>
              </w:rPr>
            </w:pPr>
            <w:r>
              <w:rPr>
                <w:rFonts w:hint="eastAsia"/>
                <w:color w:val="000000"/>
                <w:sz w:val="18"/>
                <w:szCs w:val="18"/>
                <w:lang w:bidi="ar"/>
              </w:rPr>
              <w:t>盲样数：</w:t>
            </w:r>
            <w:r>
              <w:rPr>
                <w:rFonts w:cs="Calibri"/>
                <w:color w:val="000000"/>
                <w:sz w:val="18"/>
                <w:szCs w:val="18"/>
                <w:u w:val="single"/>
                <w:lang w:bidi="ar"/>
              </w:rPr>
              <w:t>     </w:t>
            </w:r>
            <w:r>
              <w:rPr>
                <w:rFonts w:hint="eastAsia"/>
                <w:color w:val="000000"/>
                <w:sz w:val="18"/>
                <w:szCs w:val="18"/>
                <w:lang w:bidi="ar"/>
              </w:rPr>
              <w:t>（阴性样品</w:t>
            </w:r>
            <w:r>
              <w:rPr>
                <w:rFonts w:cs="Calibri"/>
                <w:color w:val="000000"/>
                <w:sz w:val="18"/>
                <w:szCs w:val="18"/>
                <w:u w:val="single"/>
                <w:lang w:bidi="ar"/>
              </w:rPr>
              <w:t>     </w:t>
            </w:r>
            <w:r>
              <w:rPr>
                <w:rFonts w:hint="eastAsia"/>
                <w:color w:val="000000"/>
                <w:sz w:val="18"/>
                <w:szCs w:val="18"/>
                <w:lang w:bidi="ar"/>
              </w:rPr>
              <w:t>，阴性加标样品</w:t>
            </w:r>
            <w:r>
              <w:rPr>
                <w:rFonts w:cs="Calibri"/>
                <w:color w:val="000000"/>
                <w:sz w:val="18"/>
                <w:szCs w:val="18"/>
                <w:u w:val="single"/>
                <w:lang w:bidi="ar"/>
              </w:rPr>
              <w:t>     </w:t>
            </w:r>
            <w:r>
              <w:rPr>
                <w:rFonts w:hint="eastAsia"/>
                <w:color w:val="000000"/>
                <w:sz w:val="18"/>
                <w:szCs w:val="18"/>
                <w:lang w:bidi="ar"/>
              </w:rPr>
              <w:t>，阳性实际样品</w:t>
            </w:r>
            <w:r>
              <w:rPr>
                <w:rFonts w:cs="Calibri"/>
                <w:color w:val="000000"/>
                <w:sz w:val="18"/>
                <w:szCs w:val="18"/>
                <w:u w:val="single"/>
                <w:lang w:bidi="ar"/>
              </w:rPr>
              <w:t>     </w:t>
            </w:r>
            <w:r>
              <w:rPr>
                <w:rFonts w:hint="eastAsia"/>
                <w:color w:val="000000"/>
                <w:sz w:val="18"/>
                <w:szCs w:val="18"/>
                <w:lang w:bidi="ar"/>
              </w:rPr>
              <w:t>）</w:t>
            </w:r>
          </w:p>
        </w:tc>
      </w:tr>
      <w:tr w14:paraId="0D71C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9" w:hRule="atLeast"/>
          <w:jc w:val="center"/>
        </w:trPr>
        <w:tc>
          <w:tcPr>
            <w:tcW w:w="9367" w:type="dxa"/>
            <w:gridSpan w:val="7"/>
            <w:noWrap w:val="0"/>
            <w:tcMar>
              <w:top w:w="0" w:type="dxa"/>
              <w:left w:w="108" w:type="dxa"/>
              <w:bottom w:w="0" w:type="dxa"/>
              <w:right w:w="108" w:type="dxa"/>
            </w:tcMar>
            <w:vAlign w:val="center"/>
          </w:tcPr>
          <w:p w14:paraId="0C9A9DC2">
            <w:pPr>
              <w:pStyle w:val="20"/>
              <w:ind w:firstLine="0" w:firstLineChars="0"/>
              <w:jc w:val="center"/>
              <w:rPr>
                <w:color w:val="000000"/>
                <w:sz w:val="18"/>
                <w:szCs w:val="18"/>
              </w:rPr>
            </w:pPr>
            <w:r>
              <w:rPr>
                <w:rFonts w:hint="eastAsia"/>
                <w:color w:val="000000"/>
                <w:sz w:val="18"/>
                <w:szCs w:val="18"/>
                <w:lang w:bidi="ar"/>
              </w:rPr>
              <w:t>评价结果</w:t>
            </w:r>
          </w:p>
        </w:tc>
      </w:tr>
      <w:tr w14:paraId="43AC1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9" w:hRule="atLeast"/>
          <w:jc w:val="center"/>
        </w:trPr>
        <w:tc>
          <w:tcPr>
            <w:tcW w:w="1425" w:type="dxa"/>
            <w:vMerge w:val="restart"/>
            <w:noWrap w:val="0"/>
            <w:tcMar>
              <w:top w:w="0" w:type="dxa"/>
              <w:left w:w="108" w:type="dxa"/>
              <w:bottom w:w="0" w:type="dxa"/>
              <w:right w:w="108" w:type="dxa"/>
            </w:tcMar>
            <w:vAlign w:val="center"/>
          </w:tcPr>
          <w:p w14:paraId="25B7BEDF">
            <w:pPr>
              <w:pStyle w:val="20"/>
              <w:ind w:firstLine="0" w:firstLineChars="0"/>
              <w:rPr>
                <w:color w:val="000000"/>
                <w:sz w:val="18"/>
                <w:szCs w:val="18"/>
              </w:rPr>
            </w:pPr>
            <w:r>
              <w:rPr>
                <w:rFonts w:hint="eastAsia"/>
                <w:color w:val="000000"/>
                <w:sz w:val="18"/>
                <w:szCs w:val="18"/>
                <w:lang w:bidi="ar"/>
              </w:rPr>
              <w:t>一般指标</w:t>
            </w:r>
          </w:p>
          <w:p w14:paraId="6BCE2131">
            <w:pPr>
              <w:pStyle w:val="20"/>
              <w:ind w:firstLine="0" w:firstLineChars="0"/>
              <w:rPr>
                <w:color w:val="000000"/>
                <w:sz w:val="18"/>
                <w:szCs w:val="18"/>
              </w:rPr>
            </w:pPr>
          </w:p>
        </w:tc>
        <w:tc>
          <w:tcPr>
            <w:tcW w:w="1558" w:type="dxa"/>
            <w:noWrap w:val="0"/>
            <w:tcMar>
              <w:top w:w="0" w:type="dxa"/>
              <w:left w:w="108" w:type="dxa"/>
              <w:bottom w:w="0" w:type="dxa"/>
              <w:right w:w="108" w:type="dxa"/>
            </w:tcMar>
            <w:vAlign w:val="center"/>
          </w:tcPr>
          <w:p w14:paraId="21EB9849">
            <w:pPr>
              <w:pStyle w:val="20"/>
              <w:ind w:firstLine="0" w:firstLineChars="0"/>
              <w:rPr>
                <w:color w:val="000000"/>
                <w:sz w:val="18"/>
                <w:szCs w:val="18"/>
              </w:rPr>
            </w:pPr>
            <w:r>
              <w:rPr>
                <w:rFonts w:hint="eastAsia"/>
                <w:color w:val="000000"/>
                <w:sz w:val="18"/>
                <w:szCs w:val="18"/>
                <w:lang w:bidi="ar"/>
              </w:rPr>
              <w:t>产品外观</w:t>
            </w:r>
          </w:p>
        </w:tc>
        <w:tc>
          <w:tcPr>
            <w:tcW w:w="6384" w:type="dxa"/>
            <w:gridSpan w:val="5"/>
            <w:noWrap w:val="0"/>
            <w:tcMar>
              <w:top w:w="0" w:type="dxa"/>
              <w:left w:w="108" w:type="dxa"/>
              <w:bottom w:w="0" w:type="dxa"/>
              <w:right w:w="108" w:type="dxa"/>
            </w:tcMar>
            <w:vAlign w:val="center"/>
          </w:tcPr>
          <w:p w14:paraId="49B82017">
            <w:pPr>
              <w:pStyle w:val="20"/>
              <w:ind w:firstLine="0" w:firstLineChars="0"/>
              <w:rPr>
                <w:rFonts w:hint="default" w:eastAsia="宋体"/>
                <w:color w:val="000000"/>
                <w:sz w:val="18"/>
                <w:szCs w:val="18"/>
                <w:lang w:val="en-US" w:eastAsia="zh-CN"/>
              </w:rPr>
            </w:pPr>
          </w:p>
        </w:tc>
      </w:tr>
      <w:tr w14:paraId="5CB86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9" w:hRule="atLeast"/>
          <w:jc w:val="center"/>
        </w:trPr>
        <w:tc>
          <w:tcPr>
            <w:tcW w:w="1425" w:type="dxa"/>
            <w:vMerge w:val="continue"/>
            <w:noWrap w:val="0"/>
            <w:tcMar>
              <w:top w:w="0" w:type="dxa"/>
              <w:left w:w="108" w:type="dxa"/>
              <w:bottom w:w="0" w:type="dxa"/>
              <w:right w:w="108" w:type="dxa"/>
            </w:tcMar>
            <w:vAlign w:val="center"/>
          </w:tcPr>
          <w:p w14:paraId="101D4A43">
            <w:pPr>
              <w:pStyle w:val="20"/>
              <w:ind w:firstLine="0" w:firstLineChars="0"/>
              <w:rPr>
                <w:color w:val="000000"/>
                <w:sz w:val="18"/>
                <w:szCs w:val="18"/>
              </w:rPr>
            </w:pPr>
          </w:p>
        </w:tc>
        <w:tc>
          <w:tcPr>
            <w:tcW w:w="1558" w:type="dxa"/>
            <w:noWrap w:val="0"/>
            <w:tcMar>
              <w:top w:w="0" w:type="dxa"/>
              <w:left w:w="108" w:type="dxa"/>
              <w:bottom w:w="0" w:type="dxa"/>
              <w:right w:w="108" w:type="dxa"/>
            </w:tcMar>
            <w:vAlign w:val="center"/>
          </w:tcPr>
          <w:p w14:paraId="2CA130A5">
            <w:pPr>
              <w:pStyle w:val="20"/>
              <w:ind w:firstLine="0" w:firstLineChars="0"/>
              <w:rPr>
                <w:color w:val="000000"/>
                <w:sz w:val="18"/>
                <w:szCs w:val="18"/>
              </w:rPr>
            </w:pPr>
            <w:r>
              <w:rPr>
                <w:rFonts w:hint="eastAsia"/>
                <w:color w:val="000000"/>
                <w:sz w:val="18"/>
                <w:szCs w:val="18"/>
                <w:lang w:bidi="ar"/>
              </w:rPr>
              <w:t>产品质量证明</w:t>
            </w:r>
          </w:p>
        </w:tc>
        <w:tc>
          <w:tcPr>
            <w:tcW w:w="6384" w:type="dxa"/>
            <w:gridSpan w:val="5"/>
            <w:noWrap w:val="0"/>
            <w:tcMar>
              <w:top w:w="0" w:type="dxa"/>
              <w:left w:w="108" w:type="dxa"/>
              <w:bottom w:w="0" w:type="dxa"/>
              <w:right w:w="108" w:type="dxa"/>
            </w:tcMar>
            <w:vAlign w:val="center"/>
          </w:tcPr>
          <w:p w14:paraId="60AAB741">
            <w:pPr>
              <w:pStyle w:val="20"/>
              <w:ind w:firstLine="0" w:firstLineChars="0"/>
              <w:rPr>
                <w:color w:val="000000"/>
                <w:sz w:val="18"/>
                <w:szCs w:val="18"/>
              </w:rPr>
            </w:pPr>
          </w:p>
        </w:tc>
      </w:tr>
      <w:tr w14:paraId="78A42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9" w:hRule="atLeast"/>
          <w:jc w:val="center"/>
        </w:trPr>
        <w:tc>
          <w:tcPr>
            <w:tcW w:w="1425" w:type="dxa"/>
            <w:vMerge w:val="continue"/>
            <w:noWrap w:val="0"/>
            <w:tcMar>
              <w:top w:w="0" w:type="dxa"/>
              <w:left w:w="108" w:type="dxa"/>
              <w:bottom w:w="0" w:type="dxa"/>
              <w:right w:w="108" w:type="dxa"/>
            </w:tcMar>
            <w:vAlign w:val="center"/>
          </w:tcPr>
          <w:p w14:paraId="7F386DB4">
            <w:pPr>
              <w:pStyle w:val="20"/>
              <w:ind w:firstLine="0" w:firstLineChars="0"/>
              <w:rPr>
                <w:color w:val="000000"/>
                <w:sz w:val="18"/>
                <w:szCs w:val="18"/>
              </w:rPr>
            </w:pPr>
          </w:p>
        </w:tc>
        <w:tc>
          <w:tcPr>
            <w:tcW w:w="1558" w:type="dxa"/>
            <w:noWrap w:val="0"/>
            <w:tcMar>
              <w:top w:w="0" w:type="dxa"/>
              <w:left w:w="108" w:type="dxa"/>
              <w:bottom w:w="0" w:type="dxa"/>
              <w:right w:w="108" w:type="dxa"/>
            </w:tcMar>
            <w:vAlign w:val="center"/>
          </w:tcPr>
          <w:p w14:paraId="72BDAC8A">
            <w:pPr>
              <w:pStyle w:val="20"/>
              <w:ind w:firstLine="0" w:firstLineChars="0"/>
              <w:rPr>
                <w:color w:val="000000"/>
                <w:sz w:val="18"/>
                <w:szCs w:val="18"/>
              </w:rPr>
            </w:pPr>
            <w:r>
              <w:rPr>
                <w:rFonts w:hint="eastAsia"/>
                <w:color w:val="000000"/>
                <w:sz w:val="18"/>
                <w:szCs w:val="18"/>
                <w:lang w:bidi="ar"/>
              </w:rPr>
              <w:t>产品说明</w:t>
            </w:r>
          </w:p>
        </w:tc>
        <w:tc>
          <w:tcPr>
            <w:tcW w:w="6384" w:type="dxa"/>
            <w:gridSpan w:val="5"/>
            <w:noWrap w:val="0"/>
            <w:tcMar>
              <w:top w:w="0" w:type="dxa"/>
              <w:left w:w="108" w:type="dxa"/>
              <w:bottom w:w="0" w:type="dxa"/>
              <w:right w:w="108" w:type="dxa"/>
            </w:tcMar>
            <w:vAlign w:val="center"/>
          </w:tcPr>
          <w:p w14:paraId="78DC6B6C">
            <w:pPr>
              <w:pStyle w:val="20"/>
              <w:ind w:firstLine="0" w:firstLineChars="0"/>
              <w:rPr>
                <w:color w:val="000000"/>
                <w:sz w:val="18"/>
                <w:szCs w:val="18"/>
              </w:rPr>
            </w:pPr>
          </w:p>
        </w:tc>
      </w:tr>
      <w:tr w14:paraId="1A837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9" w:hRule="atLeast"/>
          <w:jc w:val="center"/>
        </w:trPr>
        <w:tc>
          <w:tcPr>
            <w:tcW w:w="1425" w:type="dxa"/>
            <w:vMerge w:val="continue"/>
            <w:noWrap w:val="0"/>
            <w:tcMar>
              <w:top w:w="0" w:type="dxa"/>
              <w:left w:w="108" w:type="dxa"/>
              <w:bottom w:w="0" w:type="dxa"/>
              <w:right w:w="108" w:type="dxa"/>
            </w:tcMar>
            <w:vAlign w:val="center"/>
          </w:tcPr>
          <w:p w14:paraId="63DC0625">
            <w:pPr>
              <w:pStyle w:val="20"/>
              <w:ind w:firstLine="0" w:firstLineChars="0"/>
              <w:rPr>
                <w:color w:val="000000"/>
                <w:sz w:val="18"/>
                <w:szCs w:val="18"/>
              </w:rPr>
            </w:pPr>
          </w:p>
        </w:tc>
        <w:tc>
          <w:tcPr>
            <w:tcW w:w="1558" w:type="dxa"/>
            <w:noWrap w:val="0"/>
            <w:tcMar>
              <w:top w:w="0" w:type="dxa"/>
              <w:left w:w="108" w:type="dxa"/>
              <w:bottom w:w="0" w:type="dxa"/>
              <w:right w:w="108" w:type="dxa"/>
            </w:tcMar>
            <w:vAlign w:val="center"/>
          </w:tcPr>
          <w:p w14:paraId="487396F0">
            <w:pPr>
              <w:pStyle w:val="20"/>
              <w:ind w:firstLine="0" w:firstLineChars="0"/>
              <w:rPr>
                <w:color w:val="000000"/>
                <w:sz w:val="18"/>
                <w:szCs w:val="18"/>
              </w:rPr>
            </w:pPr>
            <w:r>
              <w:rPr>
                <w:rFonts w:hint="eastAsia"/>
                <w:color w:val="000000"/>
                <w:sz w:val="18"/>
                <w:szCs w:val="18"/>
                <w:lang w:bidi="ar"/>
              </w:rPr>
              <w:t>产品使用安全性</w:t>
            </w:r>
          </w:p>
        </w:tc>
        <w:tc>
          <w:tcPr>
            <w:tcW w:w="6384" w:type="dxa"/>
            <w:gridSpan w:val="5"/>
            <w:noWrap w:val="0"/>
            <w:tcMar>
              <w:top w:w="0" w:type="dxa"/>
              <w:left w:w="108" w:type="dxa"/>
              <w:bottom w:w="0" w:type="dxa"/>
              <w:right w:w="108" w:type="dxa"/>
            </w:tcMar>
            <w:vAlign w:val="center"/>
          </w:tcPr>
          <w:p w14:paraId="02AE4B01">
            <w:pPr>
              <w:pStyle w:val="20"/>
              <w:ind w:firstLine="0" w:firstLineChars="0"/>
              <w:rPr>
                <w:color w:val="000000"/>
                <w:sz w:val="18"/>
                <w:szCs w:val="18"/>
              </w:rPr>
            </w:pPr>
          </w:p>
        </w:tc>
      </w:tr>
      <w:tr w14:paraId="044C7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9" w:hRule="atLeast"/>
          <w:jc w:val="center"/>
        </w:trPr>
        <w:tc>
          <w:tcPr>
            <w:tcW w:w="1425" w:type="dxa"/>
            <w:vMerge w:val="restart"/>
            <w:noWrap w:val="0"/>
            <w:tcMar>
              <w:top w:w="0" w:type="dxa"/>
              <w:left w:w="108" w:type="dxa"/>
              <w:bottom w:w="0" w:type="dxa"/>
              <w:right w:w="108" w:type="dxa"/>
            </w:tcMar>
            <w:vAlign w:val="center"/>
          </w:tcPr>
          <w:p w14:paraId="5C6F9166">
            <w:pPr>
              <w:pStyle w:val="20"/>
              <w:ind w:firstLine="0" w:firstLineChars="0"/>
              <w:rPr>
                <w:color w:val="000000"/>
                <w:sz w:val="18"/>
                <w:szCs w:val="18"/>
              </w:rPr>
            </w:pPr>
            <w:r>
              <w:rPr>
                <w:rFonts w:hint="eastAsia"/>
                <w:color w:val="000000"/>
                <w:sz w:val="18"/>
                <w:szCs w:val="18"/>
                <w:lang w:bidi="ar"/>
              </w:rPr>
              <w:t>技术指标</w:t>
            </w:r>
          </w:p>
        </w:tc>
        <w:tc>
          <w:tcPr>
            <w:tcW w:w="1558" w:type="dxa"/>
            <w:noWrap w:val="0"/>
            <w:tcMar>
              <w:top w:w="0" w:type="dxa"/>
              <w:left w:w="108" w:type="dxa"/>
              <w:bottom w:w="0" w:type="dxa"/>
              <w:right w:w="108" w:type="dxa"/>
            </w:tcMar>
            <w:vAlign w:val="center"/>
          </w:tcPr>
          <w:p w14:paraId="68D3D0A8">
            <w:pPr>
              <w:pStyle w:val="20"/>
              <w:ind w:firstLine="0" w:firstLineChars="0"/>
              <w:rPr>
                <w:color w:val="000000"/>
                <w:sz w:val="18"/>
                <w:szCs w:val="18"/>
                <w:highlight w:val="none"/>
              </w:rPr>
            </w:pPr>
            <w:r>
              <w:rPr>
                <w:rFonts w:hint="eastAsia"/>
                <w:color w:val="000000"/>
                <w:sz w:val="18"/>
                <w:szCs w:val="18"/>
                <w:highlight w:val="none"/>
                <w:lang w:bidi="ar"/>
              </w:rPr>
              <w:t>检</w:t>
            </w:r>
            <w:r>
              <w:rPr>
                <w:rFonts w:hint="eastAsia"/>
                <w:color w:val="000000"/>
                <w:sz w:val="18"/>
                <w:szCs w:val="18"/>
                <w:highlight w:val="none"/>
                <w:lang w:eastAsia="zh-CN" w:bidi="ar"/>
              </w:rPr>
              <w:t>出</w:t>
            </w:r>
            <w:r>
              <w:rPr>
                <w:rFonts w:hint="eastAsia"/>
                <w:color w:val="000000"/>
                <w:sz w:val="18"/>
                <w:szCs w:val="18"/>
                <w:highlight w:val="none"/>
                <w:lang w:bidi="ar"/>
              </w:rPr>
              <w:t>限</w:t>
            </w:r>
          </w:p>
        </w:tc>
        <w:tc>
          <w:tcPr>
            <w:tcW w:w="6384" w:type="dxa"/>
            <w:gridSpan w:val="5"/>
            <w:noWrap w:val="0"/>
            <w:tcMar>
              <w:top w:w="0" w:type="dxa"/>
              <w:left w:w="108" w:type="dxa"/>
              <w:bottom w:w="0" w:type="dxa"/>
              <w:right w:w="108" w:type="dxa"/>
            </w:tcMar>
            <w:vAlign w:val="center"/>
          </w:tcPr>
          <w:p w14:paraId="18E1B6D6">
            <w:pPr>
              <w:pStyle w:val="20"/>
              <w:ind w:firstLine="0" w:firstLineChars="0"/>
              <w:rPr>
                <w:color w:val="000000"/>
                <w:sz w:val="18"/>
                <w:szCs w:val="18"/>
              </w:rPr>
            </w:pPr>
          </w:p>
        </w:tc>
      </w:tr>
      <w:tr w14:paraId="0DCB1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9" w:hRule="atLeast"/>
          <w:jc w:val="center"/>
        </w:trPr>
        <w:tc>
          <w:tcPr>
            <w:tcW w:w="1425" w:type="dxa"/>
            <w:vMerge w:val="continue"/>
            <w:noWrap w:val="0"/>
            <w:tcMar>
              <w:top w:w="0" w:type="dxa"/>
              <w:left w:w="108" w:type="dxa"/>
              <w:bottom w:w="0" w:type="dxa"/>
              <w:right w:w="108" w:type="dxa"/>
            </w:tcMar>
            <w:vAlign w:val="center"/>
          </w:tcPr>
          <w:p w14:paraId="7304E85E">
            <w:pPr>
              <w:pStyle w:val="20"/>
              <w:ind w:firstLine="0" w:firstLineChars="0"/>
              <w:rPr>
                <w:rFonts w:hint="eastAsia"/>
                <w:color w:val="000000"/>
                <w:sz w:val="18"/>
                <w:szCs w:val="18"/>
                <w:lang w:bidi="ar"/>
              </w:rPr>
            </w:pPr>
          </w:p>
        </w:tc>
        <w:tc>
          <w:tcPr>
            <w:tcW w:w="1558" w:type="dxa"/>
            <w:noWrap w:val="0"/>
            <w:tcMar>
              <w:top w:w="0" w:type="dxa"/>
              <w:left w:w="108" w:type="dxa"/>
              <w:bottom w:w="0" w:type="dxa"/>
              <w:right w:w="108" w:type="dxa"/>
            </w:tcMar>
            <w:vAlign w:val="center"/>
          </w:tcPr>
          <w:p w14:paraId="460911E4">
            <w:pPr>
              <w:pStyle w:val="20"/>
              <w:ind w:firstLine="0" w:firstLineChars="0"/>
              <w:rPr>
                <w:rFonts w:hint="eastAsia"/>
                <w:color w:val="000000"/>
                <w:sz w:val="18"/>
                <w:szCs w:val="18"/>
                <w:lang w:bidi="ar"/>
              </w:rPr>
            </w:pPr>
            <w:r>
              <w:rPr>
                <w:rFonts w:hint="eastAsia"/>
                <w:color w:val="000000"/>
                <w:sz w:val="18"/>
                <w:szCs w:val="18"/>
              </w:rPr>
              <w:t>灵敏度，</w:t>
            </w:r>
            <w:r>
              <w:rPr>
                <w:color w:val="000000"/>
                <w:sz w:val="18"/>
                <w:szCs w:val="18"/>
              </w:rPr>
              <w:t>%</w:t>
            </w:r>
          </w:p>
        </w:tc>
        <w:tc>
          <w:tcPr>
            <w:tcW w:w="6384" w:type="dxa"/>
            <w:gridSpan w:val="5"/>
            <w:noWrap w:val="0"/>
            <w:tcMar>
              <w:top w:w="0" w:type="dxa"/>
              <w:left w:w="108" w:type="dxa"/>
              <w:bottom w:w="0" w:type="dxa"/>
              <w:right w:w="108" w:type="dxa"/>
            </w:tcMar>
            <w:vAlign w:val="center"/>
          </w:tcPr>
          <w:p w14:paraId="28D828E2">
            <w:pPr>
              <w:pStyle w:val="20"/>
              <w:ind w:firstLine="0" w:firstLineChars="0"/>
              <w:rPr>
                <w:color w:val="000000"/>
                <w:sz w:val="18"/>
                <w:szCs w:val="18"/>
              </w:rPr>
            </w:pPr>
          </w:p>
        </w:tc>
      </w:tr>
      <w:tr w14:paraId="39D71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9" w:hRule="atLeast"/>
          <w:jc w:val="center"/>
        </w:trPr>
        <w:tc>
          <w:tcPr>
            <w:tcW w:w="1425" w:type="dxa"/>
            <w:vMerge w:val="continue"/>
            <w:noWrap w:val="0"/>
            <w:tcMar>
              <w:top w:w="0" w:type="dxa"/>
              <w:left w:w="108" w:type="dxa"/>
              <w:bottom w:w="0" w:type="dxa"/>
              <w:right w:w="108" w:type="dxa"/>
            </w:tcMar>
            <w:vAlign w:val="center"/>
          </w:tcPr>
          <w:p w14:paraId="15D26D0E">
            <w:pPr>
              <w:pStyle w:val="20"/>
              <w:ind w:firstLine="0" w:firstLineChars="0"/>
              <w:rPr>
                <w:rFonts w:hint="eastAsia"/>
                <w:color w:val="000000"/>
                <w:sz w:val="18"/>
                <w:szCs w:val="18"/>
                <w:lang w:bidi="ar"/>
              </w:rPr>
            </w:pPr>
          </w:p>
        </w:tc>
        <w:tc>
          <w:tcPr>
            <w:tcW w:w="1558" w:type="dxa"/>
            <w:noWrap w:val="0"/>
            <w:tcMar>
              <w:top w:w="0" w:type="dxa"/>
              <w:left w:w="108" w:type="dxa"/>
              <w:bottom w:w="0" w:type="dxa"/>
              <w:right w:w="108" w:type="dxa"/>
            </w:tcMar>
            <w:vAlign w:val="center"/>
          </w:tcPr>
          <w:p w14:paraId="2D759976">
            <w:pPr>
              <w:pStyle w:val="20"/>
              <w:ind w:firstLine="0" w:firstLineChars="0"/>
              <w:rPr>
                <w:rFonts w:hint="eastAsia"/>
                <w:color w:val="000000"/>
                <w:sz w:val="18"/>
                <w:szCs w:val="18"/>
              </w:rPr>
            </w:pPr>
            <w:r>
              <w:rPr>
                <w:rFonts w:hint="eastAsia"/>
                <w:color w:val="000000"/>
                <w:sz w:val="18"/>
                <w:szCs w:val="18"/>
                <w:lang w:bidi="ar"/>
              </w:rPr>
              <w:t>特异性</w:t>
            </w:r>
            <w:r>
              <w:rPr>
                <w:rFonts w:hint="eastAsia"/>
                <w:color w:val="000000"/>
                <w:sz w:val="18"/>
                <w:szCs w:val="18"/>
              </w:rPr>
              <w:t>，</w:t>
            </w:r>
            <w:r>
              <w:rPr>
                <w:color w:val="000000"/>
                <w:sz w:val="18"/>
                <w:szCs w:val="18"/>
              </w:rPr>
              <w:t>%</w:t>
            </w:r>
          </w:p>
        </w:tc>
        <w:tc>
          <w:tcPr>
            <w:tcW w:w="6384" w:type="dxa"/>
            <w:gridSpan w:val="5"/>
            <w:noWrap w:val="0"/>
            <w:tcMar>
              <w:top w:w="0" w:type="dxa"/>
              <w:left w:w="108" w:type="dxa"/>
              <w:bottom w:w="0" w:type="dxa"/>
              <w:right w:w="108" w:type="dxa"/>
            </w:tcMar>
            <w:vAlign w:val="center"/>
          </w:tcPr>
          <w:p w14:paraId="26FA5F6D">
            <w:pPr>
              <w:pStyle w:val="20"/>
              <w:ind w:firstLine="0" w:firstLineChars="0"/>
              <w:rPr>
                <w:color w:val="000000"/>
                <w:sz w:val="18"/>
                <w:szCs w:val="18"/>
              </w:rPr>
            </w:pPr>
          </w:p>
        </w:tc>
      </w:tr>
      <w:tr w14:paraId="6F90B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9" w:hRule="atLeast"/>
          <w:jc w:val="center"/>
        </w:trPr>
        <w:tc>
          <w:tcPr>
            <w:tcW w:w="1425" w:type="dxa"/>
            <w:vMerge w:val="continue"/>
            <w:noWrap w:val="0"/>
            <w:tcMar>
              <w:top w:w="0" w:type="dxa"/>
              <w:left w:w="108" w:type="dxa"/>
              <w:bottom w:w="0" w:type="dxa"/>
              <w:right w:w="108" w:type="dxa"/>
            </w:tcMar>
            <w:vAlign w:val="center"/>
          </w:tcPr>
          <w:p w14:paraId="603E4F2E">
            <w:pPr>
              <w:pStyle w:val="20"/>
              <w:ind w:firstLine="0" w:firstLineChars="0"/>
              <w:rPr>
                <w:rFonts w:hint="eastAsia"/>
                <w:color w:val="000000"/>
                <w:sz w:val="18"/>
                <w:szCs w:val="18"/>
                <w:lang w:bidi="ar"/>
              </w:rPr>
            </w:pPr>
          </w:p>
        </w:tc>
        <w:tc>
          <w:tcPr>
            <w:tcW w:w="1558" w:type="dxa"/>
            <w:noWrap w:val="0"/>
            <w:tcMar>
              <w:top w:w="0" w:type="dxa"/>
              <w:left w:w="108" w:type="dxa"/>
              <w:bottom w:w="0" w:type="dxa"/>
              <w:right w:w="108" w:type="dxa"/>
            </w:tcMar>
            <w:vAlign w:val="center"/>
          </w:tcPr>
          <w:p w14:paraId="33DF3322">
            <w:pPr>
              <w:pStyle w:val="20"/>
              <w:ind w:firstLine="0" w:firstLineChars="0"/>
              <w:rPr>
                <w:rFonts w:hint="eastAsia"/>
                <w:color w:val="auto"/>
                <w:sz w:val="18"/>
                <w:szCs w:val="18"/>
                <w:lang w:bidi="ar"/>
              </w:rPr>
            </w:pPr>
            <w:r>
              <w:rPr>
                <w:rFonts w:hint="eastAsia"/>
                <w:color w:val="auto"/>
                <w:sz w:val="18"/>
                <w:szCs w:val="18"/>
              </w:rPr>
              <w:t>假阴性率，</w:t>
            </w:r>
            <w:r>
              <w:rPr>
                <w:color w:val="auto"/>
                <w:sz w:val="18"/>
                <w:szCs w:val="18"/>
              </w:rPr>
              <w:t>%</w:t>
            </w:r>
          </w:p>
        </w:tc>
        <w:tc>
          <w:tcPr>
            <w:tcW w:w="6384" w:type="dxa"/>
            <w:gridSpan w:val="5"/>
            <w:noWrap w:val="0"/>
            <w:tcMar>
              <w:top w:w="0" w:type="dxa"/>
              <w:left w:w="108" w:type="dxa"/>
              <w:bottom w:w="0" w:type="dxa"/>
              <w:right w:w="108" w:type="dxa"/>
            </w:tcMar>
            <w:vAlign w:val="center"/>
          </w:tcPr>
          <w:p w14:paraId="7F63091C">
            <w:pPr>
              <w:pStyle w:val="20"/>
              <w:ind w:firstLine="0" w:firstLineChars="0"/>
              <w:rPr>
                <w:color w:val="auto"/>
                <w:sz w:val="18"/>
                <w:szCs w:val="18"/>
              </w:rPr>
            </w:pPr>
          </w:p>
        </w:tc>
      </w:tr>
      <w:tr w14:paraId="7BB05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9" w:hRule="atLeast"/>
          <w:jc w:val="center"/>
        </w:trPr>
        <w:tc>
          <w:tcPr>
            <w:tcW w:w="1425" w:type="dxa"/>
            <w:vMerge w:val="continue"/>
            <w:noWrap w:val="0"/>
            <w:tcMar>
              <w:top w:w="0" w:type="dxa"/>
              <w:left w:w="108" w:type="dxa"/>
              <w:bottom w:w="0" w:type="dxa"/>
              <w:right w:w="108" w:type="dxa"/>
            </w:tcMar>
            <w:vAlign w:val="center"/>
          </w:tcPr>
          <w:p w14:paraId="0E7374F8">
            <w:pPr>
              <w:pStyle w:val="20"/>
              <w:ind w:firstLine="0" w:firstLineChars="0"/>
              <w:rPr>
                <w:rFonts w:hint="eastAsia"/>
                <w:color w:val="000000"/>
                <w:sz w:val="18"/>
                <w:szCs w:val="18"/>
                <w:lang w:bidi="ar"/>
              </w:rPr>
            </w:pPr>
          </w:p>
        </w:tc>
        <w:tc>
          <w:tcPr>
            <w:tcW w:w="1558" w:type="dxa"/>
            <w:noWrap w:val="0"/>
            <w:tcMar>
              <w:top w:w="0" w:type="dxa"/>
              <w:left w:w="108" w:type="dxa"/>
              <w:bottom w:w="0" w:type="dxa"/>
              <w:right w:w="108" w:type="dxa"/>
            </w:tcMar>
            <w:vAlign w:val="center"/>
          </w:tcPr>
          <w:p w14:paraId="2412A415">
            <w:pPr>
              <w:pStyle w:val="20"/>
              <w:ind w:firstLine="0" w:firstLineChars="0"/>
              <w:rPr>
                <w:rFonts w:hint="eastAsia"/>
                <w:color w:val="auto"/>
                <w:sz w:val="18"/>
                <w:szCs w:val="18"/>
              </w:rPr>
            </w:pPr>
            <w:r>
              <w:rPr>
                <w:rFonts w:hint="eastAsia"/>
                <w:color w:val="auto"/>
                <w:sz w:val="18"/>
                <w:szCs w:val="18"/>
                <w:lang w:bidi="ar"/>
              </w:rPr>
              <w:t>假阳性率</w:t>
            </w:r>
            <w:r>
              <w:rPr>
                <w:rFonts w:hint="eastAsia"/>
                <w:color w:val="auto"/>
                <w:sz w:val="18"/>
                <w:szCs w:val="18"/>
              </w:rPr>
              <w:t>，</w:t>
            </w:r>
            <w:r>
              <w:rPr>
                <w:color w:val="auto"/>
                <w:sz w:val="18"/>
                <w:szCs w:val="18"/>
              </w:rPr>
              <w:t>%</w:t>
            </w:r>
          </w:p>
        </w:tc>
        <w:tc>
          <w:tcPr>
            <w:tcW w:w="6384" w:type="dxa"/>
            <w:gridSpan w:val="5"/>
            <w:noWrap w:val="0"/>
            <w:tcMar>
              <w:top w:w="0" w:type="dxa"/>
              <w:left w:w="108" w:type="dxa"/>
              <w:bottom w:w="0" w:type="dxa"/>
              <w:right w:w="108" w:type="dxa"/>
            </w:tcMar>
            <w:vAlign w:val="center"/>
          </w:tcPr>
          <w:p w14:paraId="15F8103C">
            <w:pPr>
              <w:pStyle w:val="20"/>
              <w:ind w:firstLine="0" w:firstLineChars="0"/>
              <w:rPr>
                <w:color w:val="auto"/>
                <w:sz w:val="18"/>
                <w:szCs w:val="18"/>
              </w:rPr>
            </w:pPr>
          </w:p>
        </w:tc>
      </w:tr>
      <w:tr w14:paraId="42E9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9" w:hRule="atLeast"/>
          <w:jc w:val="center"/>
        </w:trPr>
        <w:tc>
          <w:tcPr>
            <w:tcW w:w="1425" w:type="dxa"/>
            <w:vMerge w:val="continue"/>
            <w:noWrap w:val="0"/>
            <w:tcMar>
              <w:top w:w="0" w:type="dxa"/>
              <w:left w:w="108" w:type="dxa"/>
              <w:bottom w:w="0" w:type="dxa"/>
              <w:right w:w="108" w:type="dxa"/>
            </w:tcMar>
            <w:vAlign w:val="center"/>
          </w:tcPr>
          <w:p w14:paraId="5903573D">
            <w:pPr>
              <w:pStyle w:val="20"/>
              <w:ind w:firstLine="0" w:firstLineChars="0"/>
              <w:rPr>
                <w:rFonts w:hint="eastAsia"/>
                <w:color w:val="000000"/>
                <w:sz w:val="18"/>
                <w:szCs w:val="18"/>
                <w:lang w:bidi="ar"/>
              </w:rPr>
            </w:pPr>
          </w:p>
        </w:tc>
        <w:tc>
          <w:tcPr>
            <w:tcW w:w="1558" w:type="dxa"/>
            <w:noWrap w:val="0"/>
            <w:tcMar>
              <w:top w:w="0" w:type="dxa"/>
              <w:left w:w="108" w:type="dxa"/>
              <w:bottom w:w="0" w:type="dxa"/>
              <w:right w:w="108" w:type="dxa"/>
            </w:tcMar>
            <w:vAlign w:val="center"/>
          </w:tcPr>
          <w:p w14:paraId="49BC35C6">
            <w:pPr>
              <w:pStyle w:val="20"/>
              <w:ind w:firstLine="0" w:firstLineChars="0"/>
              <w:rPr>
                <w:rFonts w:hint="eastAsia" w:eastAsia="宋体"/>
                <w:color w:val="auto"/>
                <w:sz w:val="18"/>
                <w:szCs w:val="18"/>
                <w:lang w:eastAsia="zh-CN" w:bidi="ar"/>
              </w:rPr>
            </w:pPr>
            <w:r>
              <w:rPr>
                <w:rFonts w:hint="eastAsia"/>
                <w:color w:val="auto"/>
                <w:sz w:val="18"/>
                <w:szCs w:val="18"/>
                <w:lang w:eastAsia="zh-CN" w:bidi="ar"/>
              </w:rPr>
              <w:t>交叉反应率，</w:t>
            </w:r>
            <w:r>
              <w:rPr>
                <w:color w:val="auto"/>
                <w:sz w:val="18"/>
                <w:szCs w:val="18"/>
              </w:rPr>
              <w:t>%</w:t>
            </w:r>
          </w:p>
        </w:tc>
        <w:tc>
          <w:tcPr>
            <w:tcW w:w="6384" w:type="dxa"/>
            <w:gridSpan w:val="5"/>
            <w:noWrap w:val="0"/>
            <w:tcMar>
              <w:top w:w="0" w:type="dxa"/>
              <w:left w:w="108" w:type="dxa"/>
              <w:bottom w:w="0" w:type="dxa"/>
              <w:right w:w="108" w:type="dxa"/>
            </w:tcMar>
            <w:vAlign w:val="center"/>
          </w:tcPr>
          <w:p w14:paraId="75085F3D">
            <w:pPr>
              <w:pStyle w:val="20"/>
              <w:ind w:firstLine="0" w:firstLineChars="0"/>
              <w:rPr>
                <w:color w:val="auto"/>
                <w:sz w:val="18"/>
                <w:szCs w:val="18"/>
              </w:rPr>
            </w:pPr>
          </w:p>
        </w:tc>
      </w:tr>
      <w:tr w14:paraId="3B156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9" w:hRule="atLeast"/>
          <w:jc w:val="center"/>
        </w:trPr>
        <w:tc>
          <w:tcPr>
            <w:tcW w:w="1425" w:type="dxa"/>
            <w:vMerge w:val="continue"/>
            <w:noWrap w:val="0"/>
            <w:tcMar>
              <w:top w:w="0" w:type="dxa"/>
              <w:left w:w="108" w:type="dxa"/>
              <w:bottom w:w="0" w:type="dxa"/>
              <w:right w:w="108" w:type="dxa"/>
            </w:tcMar>
            <w:vAlign w:val="center"/>
          </w:tcPr>
          <w:p w14:paraId="2C0B3CBB">
            <w:pPr>
              <w:pStyle w:val="20"/>
              <w:ind w:firstLine="0" w:firstLineChars="0"/>
              <w:rPr>
                <w:rFonts w:hint="eastAsia"/>
                <w:color w:val="000000"/>
                <w:sz w:val="18"/>
                <w:szCs w:val="18"/>
                <w:lang w:bidi="ar"/>
              </w:rPr>
            </w:pPr>
          </w:p>
        </w:tc>
        <w:tc>
          <w:tcPr>
            <w:tcW w:w="1558" w:type="dxa"/>
            <w:noWrap w:val="0"/>
            <w:tcMar>
              <w:top w:w="0" w:type="dxa"/>
              <w:left w:w="108" w:type="dxa"/>
              <w:bottom w:w="0" w:type="dxa"/>
              <w:right w:w="108" w:type="dxa"/>
            </w:tcMar>
            <w:vAlign w:val="center"/>
          </w:tcPr>
          <w:p w14:paraId="3052422B">
            <w:pPr>
              <w:pStyle w:val="20"/>
              <w:ind w:firstLine="0" w:firstLineChars="0"/>
              <w:rPr>
                <w:rFonts w:hint="eastAsia"/>
                <w:color w:val="auto"/>
                <w:sz w:val="18"/>
                <w:szCs w:val="18"/>
                <w:lang w:bidi="ar"/>
              </w:rPr>
            </w:pPr>
            <w:r>
              <w:rPr>
                <w:rFonts w:hint="eastAsia"/>
                <w:color w:val="auto"/>
                <w:sz w:val="18"/>
                <w:szCs w:val="18"/>
                <w:lang w:eastAsia="zh-CN"/>
              </w:rPr>
              <w:t>与参比方法一致性</w:t>
            </w:r>
            <w:r>
              <w:rPr>
                <w:rFonts w:hint="eastAsia"/>
                <w:color w:val="auto"/>
                <w:sz w:val="18"/>
                <w:szCs w:val="18"/>
              </w:rPr>
              <w:t>（</w:t>
            </w:r>
            <w:r>
              <w:rPr>
                <w:color w:val="auto"/>
                <w:sz w:val="18"/>
                <w:szCs w:val="18"/>
              </w:rPr>
              <w:sym w:font="Symbol" w:char="0063"/>
            </w:r>
            <w:r>
              <w:rPr>
                <w:color w:val="auto"/>
                <w:sz w:val="18"/>
                <w:szCs w:val="18"/>
                <w:vertAlign w:val="superscript"/>
              </w:rPr>
              <w:t>2</w:t>
            </w:r>
            <w:r>
              <w:rPr>
                <w:rFonts w:hint="eastAsia"/>
                <w:color w:val="auto"/>
                <w:sz w:val="18"/>
                <w:szCs w:val="18"/>
              </w:rPr>
              <w:t>）</w:t>
            </w:r>
          </w:p>
        </w:tc>
        <w:tc>
          <w:tcPr>
            <w:tcW w:w="6384" w:type="dxa"/>
            <w:gridSpan w:val="5"/>
            <w:noWrap w:val="0"/>
            <w:tcMar>
              <w:top w:w="0" w:type="dxa"/>
              <w:left w:w="108" w:type="dxa"/>
              <w:bottom w:w="0" w:type="dxa"/>
              <w:right w:w="108" w:type="dxa"/>
            </w:tcMar>
            <w:vAlign w:val="center"/>
          </w:tcPr>
          <w:p w14:paraId="388EAD9A">
            <w:pPr>
              <w:pStyle w:val="20"/>
              <w:ind w:firstLine="0" w:firstLineChars="0"/>
              <w:rPr>
                <w:color w:val="auto"/>
                <w:sz w:val="18"/>
                <w:szCs w:val="18"/>
              </w:rPr>
            </w:pPr>
          </w:p>
        </w:tc>
      </w:tr>
      <w:tr w14:paraId="452B0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gridAfter w:val="1"/>
          <w:wAfter w:w="7" w:type="dxa"/>
          <w:trHeight w:val="479" w:hRule="atLeast"/>
          <w:jc w:val="center"/>
        </w:trPr>
        <w:tc>
          <w:tcPr>
            <w:tcW w:w="2983" w:type="dxa"/>
            <w:gridSpan w:val="2"/>
            <w:noWrap w:val="0"/>
            <w:tcMar>
              <w:top w:w="0" w:type="dxa"/>
              <w:left w:w="108" w:type="dxa"/>
              <w:bottom w:w="0" w:type="dxa"/>
              <w:right w:w="108" w:type="dxa"/>
            </w:tcMar>
            <w:vAlign w:val="center"/>
          </w:tcPr>
          <w:p w14:paraId="0EB7A828">
            <w:pPr>
              <w:pStyle w:val="20"/>
              <w:ind w:firstLine="0" w:firstLineChars="0"/>
              <w:rPr>
                <w:color w:val="000000"/>
                <w:sz w:val="18"/>
                <w:szCs w:val="18"/>
              </w:rPr>
            </w:pPr>
            <w:r>
              <w:rPr>
                <w:rFonts w:hint="eastAsia"/>
                <w:color w:val="000000"/>
                <w:sz w:val="18"/>
                <w:szCs w:val="18"/>
              </w:rPr>
              <w:t>评价结论</w:t>
            </w:r>
          </w:p>
        </w:tc>
        <w:tc>
          <w:tcPr>
            <w:tcW w:w="6377" w:type="dxa"/>
            <w:gridSpan w:val="4"/>
            <w:noWrap w:val="0"/>
            <w:tcMar>
              <w:top w:w="0" w:type="dxa"/>
              <w:left w:w="108" w:type="dxa"/>
              <w:bottom w:w="0" w:type="dxa"/>
              <w:right w:w="108" w:type="dxa"/>
            </w:tcMar>
            <w:vAlign w:val="center"/>
          </w:tcPr>
          <w:p w14:paraId="7C1094AB">
            <w:pPr>
              <w:pStyle w:val="20"/>
              <w:ind w:firstLine="0" w:firstLineChars="0"/>
              <w:rPr>
                <w:color w:val="000000"/>
                <w:sz w:val="18"/>
                <w:szCs w:val="18"/>
              </w:rPr>
            </w:pPr>
          </w:p>
        </w:tc>
      </w:tr>
      <w:tr w14:paraId="6DC83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gridAfter w:val="1"/>
          <w:wAfter w:w="7" w:type="dxa"/>
          <w:trHeight w:val="571" w:hRule="atLeast"/>
          <w:jc w:val="center"/>
        </w:trPr>
        <w:tc>
          <w:tcPr>
            <w:tcW w:w="2983" w:type="dxa"/>
            <w:gridSpan w:val="2"/>
            <w:noWrap w:val="0"/>
            <w:tcMar>
              <w:top w:w="0" w:type="dxa"/>
              <w:left w:w="108" w:type="dxa"/>
              <w:bottom w:w="0" w:type="dxa"/>
              <w:right w:w="108" w:type="dxa"/>
            </w:tcMar>
            <w:vAlign w:val="center"/>
          </w:tcPr>
          <w:p w14:paraId="3AC7DDC8">
            <w:pPr>
              <w:pStyle w:val="20"/>
              <w:ind w:firstLine="0" w:firstLineChars="0"/>
              <w:rPr>
                <w:rFonts w:hint="eastAsia"/>
                <w:color w:val="000000"/>
                <w:sz w:val="18"/>
                <w:szCs w:val="18"/>
                <w:lang w:bidi="ar"/>
              </w:rPr>
            </w:pPr>
            <w:r>
              <w:rPr>
                <w:rFonts w:hint="eastAsia"/>
                <w:color w:val="000000"/>
                <w:sz w:val="18"/>
                <w:szCs w:val="18"/>
                <w:lang w:bidi="ar"/>
              </w:rPr>
              <w:t>备注</w:t>
            </w:r>
          </w:p>
        </w:tc>
        <w:tc>
          <w:tcPr>
            <w:tcW w:w="6377" w:type="dxa"/>
            <w:gridSpan w:val="4"/>
            <w:noWrap w:val="0"/>
            <w:tcMar>
              <w:top w:w="0" w:type="dxa"/>
              <w:left w:w="108" w:type="dxa"/>
              <w:bottom w:w="0" w:type="dxa"/>
              <w:right w:w="108" w:type="dxa"/>
            </w:tcMar>
            <w:vAlign w:val="center"/>
          </w:tcPr>
          <w:p w14:paraId="2D8B0B87">
            <w:pPr>
              <w:pStyle w:val="20"/>
              <w:ind w:firstLine="0" w:firstLineChars="0"/>
              <w:rPr>
                <w:color w:val="000000"/>
                <w:sz w:val="18"/>
                <w:szCs w:val="18"/>
              </w:rPr>
            </w:pPr>
            <w:r>
              <w:rPr>
                <w:rFonts w:hint="eastAsia"/>
                <w:color w:val="000000"/>
                <w:sz w:val="18"/>
                <w:szCs w:val="18"/>
                <w:lang w:bidi="ar"/>
              </w:rPr>
              <w:t>（附带考察和相关免责声明等说明）</w:t>
            </w:r>
          </w:p>
        </w:tc>
      </w:tr>
    </w:tbl>
    <w:p w14:paraId="4BC37EAC">
      <w:pPr>
        <w:pStyle w:val="20"/>
        <w:ind w:firstLine="360"/>
        <w:rPr>
          <w:rFonts w:hint="eastAsia"/>
          <w:color w:val="000000"/>
          <w:sz w:val="18"/>
          <w:szCs w:val="18"/>
        </w:rPr>
      </w:pPr>
      <w:r>
        <w:rPr>
          <w:rFonts w:hint="eastAsia"/>
          <w:color w:val="000000"/>
          <w:sz w:val="18"/>
          <w:szCs w:val="18"/>
        </w:rPr>
        <w:t>批准人员：                    审核人员：                    主检人员：</w:t>
      </w:r>
    </w:p>
    <w:p w14:paraId="71594D70">
      <w:pPr>
        <w:pStyle w:val="20"/>
        <w:ind w:firstLine="360"/>
        <w:rPr>
          <w:rFonts w:hint="eastAsia"/>
          <w:color w:val="000000"/>
          <w:sz w:val="18"/>
          <w:szCs w:val="18"/>
        </w:rPr>
      </w:pPr>
    </w:p>
    <w:p w14:paraId="161541E5">
      <w:pPr>
        <w:pStyle w:val="20"/>
        <w:ind w:firstLine="360"/>
        <w:jc w:val="center"/>
        <w:rPr>
          <w:rFonts w:hint="eastAsia" w:ascii="黑体" w:hAnsi="黑体" w:eastAsia="黑体" w:cs="黑体"/>
          <w:b/>
          <w:bCs/>
          <w:color w:val="000000"/>
          <w:sz w:val="20"/>
          <w:szCs w:val="20"/>
          <w:lang w:eastAsia="zh-CN"/>
        </w:rPr>
      </w:pPr>
      <w:r>
        <w:rPr>
          <w:rFonts w:hint="eastAsia" w:ascii="黑体" w:hAnsi="黑体" w:eastAsia="黑体" w:cs="黑体"/>
          <w:b/>
          <w:bCs/>
          <w:color w:val="000000"/>
          <w:sz w:val="20"/>
          <w:szCs w:val="20"/>
          <w:lang w:eastAsia="zh-CN"/>
        </w:rPr>
        <w:t>参考文献</w:t>
      </w:r>
    </w:p>
    <w:p w14:paraId="1DDF0284">
      <w:pPr>
        <w:spacing w:line="300" w:lineRule="auto"/>
        <w:ind w:firstLine="270" w:firstLineChars="150"/>
        <w:rPr>
          <w:rFonts w:hint="eastAsia"/>
          <w:color w:val="000000"/>
          <w:sz w:val="18"/>
          <w:szCs w:val="18"/>
          <w:lang w:val="en-US" w:eastAsia="zh-CN"/>
        </w:rPr>
      </w:pPr>
    </w:p>
    <w:p w14:paraId="5E63C355">
      <w:pPr>
        <w:pStyle w:val="20"/>
        <w:rPr>
          <w:rFonts w:hint="eastAsia"/>
          <w:color w:val="auto"/>
          <w:highlight w:val="none"/>
        </w:rPr>
      </w:pPr>
      <w:r>
        <w:rPr>
          <w:rFonts w:hint="eastAsia"/>
          <w:color w:val="auto"/>
          <w:highlight w:val="none"/>
        </w:rPr>
        <w:t>检验检测机构资质认定评审准则</w:t>
      </w:r>
    </w:p>
    <w:p w14:paraId="2DF87AB7">
      <w:pPr>
        <w:pStyle w:val="20"/>
        <w:rPr>
          <w:rFonts w:hint="eastAsia"/>
          <w:color w:val="auto"/>
          <w:highlight w:val="none"/>
        </w:rPr>
      </w:pPr>
      <w:r>
        <w:rPr>
          <w:rFonts w:hint="eastAsia"/>
          <w:color w:val="auto"/>
          <w:highlight w:val="none"/>
        </w:rPr>
        <w:t>CNAS-CL01</w:t>
      </w:r>
      <w:r>
        <w:rPr>
          <w:rFonts w:hint="eastAsia"/>
          <w:color w:val="auto"/>
          <w:highlight w:val="none"/>
          <w:lang w:val="en-US" w:eastAsia="zh-CN"/>
        </w:rPr>
        <w:t xml:space="preserve"> </w:t>
      </w:r>
      <w:r>
        <w:rPr>
          <w:rFonts w:hint="eastAsia"/>
          <w:color w:val="auto"/>
          <w:highlight w:val="none"/>
        </w:rPr>
        <w:t xml:space="preserve"> 检测和校准实验室能力认可准则</w:t>
      </w:r>
    </w:p>
    <w:p w14:paraId="4CED8E67">
      <w:pPr>
        <w:pStyle w:val="20"/>
        <w:rPr>
          <w:rFonts w:hint="eastAsia"/>
          <w:color w:val="auto"/>
          <w:highlight w:val="none"/>
        </w:rPr>
      </w:pPr>
      <w:r>
        <w:rPr>
          <w:rFonts w:hint="eastAsia"/>
          <w:color w:val="auto"/>
          <w:highlight w:val="none"/>
        </w:rPr>
        <w:t>GB/T 27025 检测和校准实验室能力的通用要求</w:t>
      </w:r>
    </w:p>
    <w:p w14:paraId="21FAECE9">
      <w:pPr>
        <w:pStyle w:val="20"/>
        <w:ind w:firstLine="360"/>
        <w:rPr>
          <w:rFonts w:hint="eastAsia"/>
          <w:color w:val="000000"/>
          <w:sz w:val="18"/>
          <w:szCs w:val="18"/>
        </w:rPr>
      </w:pPr>
    </w:p>
    <w:p w14:paraId="0760F319">
      <w:pPr>
        <w:pStyle w:val="125"/>
        <w:rPr>
          <w:rFonts w:hint="eastAsia"/>
        </w:rPr>
      </w:pPr>
      <w:r>
        <w:t>_________________________________</w:t>
      </w:r>
    </w:p>
    <w:sectPr>
      <w:pgSz w:w="11906" w:h="16838"/>
      <w:pgMar w:top="567" w:right="1134" w:bottom="1134" w:left="1418"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59361">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6D5F5">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77D0D">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7BFD7">
    <w:pPr>
      <w:pStyle w:val="76"/>
    </w:pPr>
    <w:r>
      <w:fldChar w:fldCharType="begin"/>
    </w:r>
    <w:r>
      <w:instrText xml:space="preserve"> PAGE  \* MERGEFORMAT </w:instrText>
    </w:r>
    <w:r>
      <w:fldChar w:fldCharType="separate"/>
    </w:r>
    <w:r>
      <w:t>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42690">
    <w:pPr>
      <w:pStyle w:val="1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3BCE2">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46138">
    <w:pPr>
      <w:pStyle w:val="1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B0D05">
    <w:pPr>
      <w:pStyle w:val="55"/>
    </w:pPr>
    <w:r>
      <w:t>DBXX/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11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41"/>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4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95"/>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8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6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71"/>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rPr>
    </w:lvl>
    <w:lvl w:ilvl="2" w:tentative="0">
      <w:start w:val="1"/>
      <w:numFmt w:val="decimal"/>
      <w:pStyle w:val="70"/>
      <w:suff w:val="nothing"/>
      <w:lvlText w:val="%1.%2.%3　"/>
      <w:lvlJc w:val="left"/>
      <w:pPr>
        <w:ind w:left="0" w:firstLine="0"/>
      </w:pPr>
      <w:rPr>
        <w:rFonts w:hint="eastAsia" w:ascii="黑体" w:hAnsi="Times New Roman" w:eastAsia="黑体"/>
        <w:b w:val="0"/>
        <w:i w:val="0"/>
        <w:sz w:val="21"/>
      </w:rPr>
    </w:lvl>
    <w:lvl w:ilvl="3" w:tentative="0">
      <w:start w:val="1"/>
      <w:numFmt w:val="decimal"/>
      <w:pStyle w:val="69"/>
      <w:suff w:val="nothing"/>
      <w:lvlText w:val="%1.%2.%3.%4　"/>
      <w:lvlJc w:val="left"/>
      <w:pPr>
        <w:ind w:left="425" w:firstLine="0"/>
      </w:pPr>
      <w:rPr>
        <w:rFonts w:hint="eastAsia" w:ascii="黑体" w:hAnsi="Times New Roman" w:eastAsia="黑体"/>
        <w:b w:val="0"/>
        <w:i w:val="0"/>
        <w:sz w:val="21"/>
      </w:rPr>
    </w:lvl>
    <w:lvl w:ilvl="4" w:tentative="0">
      <w:start w:val="1"/>
      <w:numFmt w:val="decimal"/>
      <w:pStyle w:val="68"/>
      <w:suff w:val="nothing"/>
      <w:lvlText w:val="%1.%2.%3.%4.%5　"/>
      <w:lvlJc w:val="left"/>
      <w:pPr>
        <w:ind w:left="0" w:firstLine="0"/>
      </w:pPr>
      <w:rPr>
        <w:rFonts w:hint="eastAsia" w:ascii="黑体" w:hAnsi="Times New Roman" w:eastAsia="黑体"/>
        <w:b w:val="0"/>
        <w:i w:val="0"/>
        <w:sz w:val="21"/>
      </w:rPr>
    </w:lvl>
    <w:lvl w:ilvl="5" w:tentative="0">
      <w:start w:val="1"/>
      <w:numFmt w:val="decimal"/>
      <w:pStyle w:val="6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101"/>
      <w:suff w:val="space"/>
      <w:lvlText w:val="%1"/>
      <w:lvlJc w:val="left"/>
      <w:pPr>
        <w:ind w:left="5528" w:hanging="425"/>
      </w:pPr>
      <w:rPr>
        <w:rFonts w:hint="eastAsia"/>
      </w:rPr>
    </w:lvl>
    <w:lvl w:ilvl="1" w:tentative="0">
      <w:start w:val="1"/>
      <w:numFmt w:val="decimal"/>
      <w:pStyle w:val="87"/>
      <w:suff w:val="nothing"/>
      <w:lvlText w:val="图%1.%2　"/>
      <w:lvlJc w:val="left"/>
      <w:pPr>
        <w:ind w:left="6095" w:hanging="567"/>
      </w:pPr>
      <w:rPr>
        <w:rFonts w:hint="eastAsia"/>
      </w:rPr>
    </w:lvl>
    <w:lvl w:ilvl="2" w:tentative="0">
      <w:start w:val="1"/>
      <w:numFmt w:val="decimal"/>
      <w:lvlText w:val="%1.%2.%3"/>
      <w:lvlJc w:val="left"/>
      <w:pPr>
        <w:tabs>
          <w:tab w:val="left" w:pos="6521"/>
        </w:tabs>
        <w:ind w:left="6521" w:hanging="567"/>
      </w:pPr>
      <w:rPr>
        <w:rFonts w:hint="eastAsia"/>
      </w:rPr>
    </w:lvl>
    <w:lvl w:ilvl="3" w:tentative="0">
      <w:start w:val="1"/>
      <w:numFmt w:val="decimal"/>
      <w:lvlText w:val="%1.%2.%3.%4"/>
      <w:lvlJc w:val="left"/>
      <w:pPr>
        <w:tabs>
          <w:tab w:val="left" w:pos="7819"/>
        </w:tabs>
        <w:ind w:left="7087" w:hanging="708"/>
      </w:pPr>
      <w:rPr>
        <w:rFonts w:hint="eastAsia"/>
      </w:rPr>
    </w:lvl>
    <w:lvl w:ilvl="4" w:tentative="0">
      <w:start w:val="1"/>
      <w:numFmt w:val="decimal"/>
      <w:lvlText w:val="%1.%2.%3.%4.%5"/>
      <w:lvlJc w:val="left"/>
      <w:pPr>
        <w:tabs>
          <w:tab w:val="left" w:pos="8604"/>
        </w:tabs>
        <w:ind w:left="7654" w:hanging="850"/>
      </w:pPr>
      <w:rPr>
        <w:rFonts w:hint="eastAsia"/>
      </w:rPr>
    </w:lvl>
    <w:lvl w:ilvl="5" w:tentative="0">
      <w:start w:val="1"/>
      <w:numFmt w:val="decimal"/>
      <w:lvlText w:val="%1.%2.%3.%4.%5.%6"/>
      <w:lvlJc w:val="left"/>
      <w:pPr>
        <w:tabs>
          <w:tab w:val="left" w:pos="9389"/>
        </w:tabs>
        <w:ind w:left="8363" w:hanging="1134"/>
      </w:pPr>
      <w:rPr>
        <w:rFonts w:hint="eastAsia"/>
      </w:rPr>
    </w:lvl>
    <w:lvl w:ilvl="6" w:tentative="0">
      <w:start w:val="1"/>
      <w:numFmt w:val="decimal"/>
      <w:lvlText w:val="%1.%2.%3.%4.%5.%6.%7"/>
      <w:lvlJc w:val="left"/>
      <w:pPr>
        <w:tabs>
          <w:tab w:val="left" w:pos="10174"/>
        </w:tabs>
        <w:ind w:left="8930" w:hanging="1276"/>
      </w:pPr>
      <w:rPr>
        <w:rFonts w:hint="eastAsia"/>
      </w:rPr>
    </w:lvl>
    <w:lvl w:ilvl="7" w:tentative="0">
      <w:start w:val="1"/>
      <w:numFmt w:val="decimal"/>
      <w:lvlText w:val="%1.%2.%3.%4.%5.%6.%7.%8"/>
      <w:lvlJc w:val="left"/>
      <w:pPr>
        <w:tabs>
          <w:tab w:val="left" w:pos="10959"/>
        </w:tabs>
        <w:ind w:left="9497" w:hanging="1418"/>
      </w:pPr>
      <w:rPr>
        <w:rFonts w:hint="eastAsia"/>
      </w:rPr>
    </w:lvl>
    <w:lvl w:ilvl="8" w:tentative="0">
      <w:start w:val="1"/>
      <w:numFmt w:val="decimal"/>
      <w:lvlText w:val="%1.%2.%3.%4.%5.%6.%7.%8.%9"/>
      <w:lvlJc w:val="left"/>
      <w:pPr>
        <w:tabs>
          <w:tab w:val="left" w:pos="11745"/>
        </w:tabs>
        <w:ind w:left="10205" w:hanging="1700"/>
      </w:pPr>
      <w:rPr>
        <w:rFonts w:hint="eastAsia"/>
      </w:rPr>
    </w:lvl>
  </w:abstractNum>
  <w:abstractNum w:abstractNumId="7">
    <w:nsid w:val="2C5917C3"/>
    <w:multiLevelType w:val="multilevel"/>
    <w:tmpl w:val="2C5917C3"/>
    <w:lvl w:ilvl="0" w:tentative="0">
      <w:start w:val="1"/>
      <w:numFmt w:val="none"/>
      <w:pStyle w:val="115"/>
      <w:suff w:val="nothing"/>
      <w:lvlText w:val="%1——"/>
      <w:lvlJc w:val="left"/>
      <w:pPr>
        <w:ind w:left="833" w:hanging="408"/>
      </w:pPr>
      <w:rPr>
        <w:rFonts w:hint="eastAsia"/>
      </w:rPr>
    </w:lvl>
    <w:lvl w:ilvl="1" w:tentative="0">
      <w:start w:val="1"/>
      <w:numFmt w:val="bullet"/>
      <w:pStyle w:val="112"/>
      <w:lvlText w:val=""/>
      <w:lvlJc w:val="left"/>
      <w:pPr>
        <w:tabs>
          <w:tab w:val="left" w:pos="760"/>
        </w:tabs>
        <w:ind w:left="1264" w:hanging="413"/>
      </w:pPr>
      <w:rPr>
        <w:rFonts w:hint="default" w:ascii="Symbol" w:hAnsi="Symbol"/>
        <w:color w:val="auto"/>
      </w:rPr>
    </w:lvl>
    <w:lvl w:ilvl="2" w:tentative="0">
      <w:start w:val="1"/>
      <w:numFmt w:val="bullet"/>
      <w:pStyle w:val="11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1"/>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6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20"/>
      <w:lvlText w:val="%2)"/>
      <w:lvlJc w:val="left"/>
      <w:pPr>
        <w:tabs>
          <w:tab w:val="left" w:pos="1260"/>
        </w:tabs>
        <w:ind w:left="1259" w:hanging="419"/>
      </w:pPr>
      <w:rPr>
        <w:rFonts w:hint="eastAsia"/>
      </w:rPr>
    </w:lvl>
    <w:lvl w:ilvl="2" w:tentative="0">
      <w:start w:val="1"/>
      <w:numFmt w:val="decimal"/>
      <w:pStyle w:val="126"/>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6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90"/>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96"/>
      <w:lvlText w:val="%1"/>
      <w:lvlJc w:val="left"/>
      <w:pPr>
        <w:tabs>
          <w:tab w:val="left" w:pos="0"/>
        </w:tabs>
        <w:ind w:left="0" w:hanging="425"/>
      </w:pPr>
      <w:rPr>
        <w:rFonts w:hint="eastAsia"/>
      </w:rPr>
    </w:lvl>
    <w:lvl w:ilvl="1" w:tentative="0">
      <w:start w:val="1"/>
      <w:numFmt w:val="decimal"/>
      <w:pStyle w:val="94"/>
      <w:suff w:val="nothing"/>
      <w:lvlText w:val="表%1.%2　"/>
      <w:lvlJc w:val="left"/>
      <w:pPr>
        <w:ind w:left="297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3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110"/>
      <w:suff w:val="nothing"/>
      <w:lvlText w:val="附　录　%1"/>
      <w:lvlJc w:val="left"/>
      <w:pPr>
        <w:ind w:left="4820" w:firstLine="0"/>
      </w:pPr>
      <w:rPr>
        <w:rFonts w:hint="eastAsia" w:ascii="黑体" w:hAnsi="Times New Roman" w:eastAsia="黑体"/>
        <w:b w:val="0"/>
        <w:i w:val="0"/>
        <w:spacing w:val="0"/>
        <w:w w:val="100"/>
        <w:sz w:val="21"/>
      </w:rPr>
    </w:lvl>
    <w:lvl w:ilvl="1" w:tentative="0">
      <w:start w:val="1"/>
      <w:numFmt w:val="decimal"/>
      <w:pStyle w:val="64"/>
      <w:suff w:val="nothing"/>
      <w:lvlText w:val="%1.%2　"/>
      <w:lvlJc w:val="left"/>
      <w:pPr>
        <w:ind w:left="4394" w:firstLine="0"/>
      </w:pPr>
      <w:rPr>
        <w:rFonts w:hint="eastAsia" w:ascii="黑体" w:hAnsi="Times New Roman" w:eastAsia="黑体"/>
        <w:b w:val="0"/>
        <w:i w:val="0"/>
        <w:snapToGrid/>
        <w:spacing w:val="0"/>
        <w:w w:val="100"/>
        <w:kern w:val="21"/>
        <w:sz w:val="21"/>
      </w:rPr>
    </w:lvl>
    <w:lvl w:ilvl="2" w:tentative="0">
      <w:start w:val="1"/>
      <w:numFmt w:val="decimal"/>
      <w:pStyle w:val="63"/>
      <w:suff w:val="nothing"/>
      <w:lvlText w:val="%1.%2.%3　"/>
      <w:lvlJc w:val="left"/>
      <w:pPr>
        <w:ind w:left="4394" w:firstLine="0"/>
      </w:pPr>
      <w:rPr>
        <w:rFonts w:hint="eastAsia" w:ascii="黑体" w:hAnsi="Times New Roman" w:eastAsia="黑体"/>
        <w:b w:val="0"/>
        <w:i w:val="0"/>
        <w:sz w:val="21"/>
      </w:rPr>
    </w:lvl>
    <w:lvl w:ilvl="3" w:tentative="0">
      <w:start w:val="1"/>
      <w:numFmt w:val="decimal"/>
      <w:pStyle w:val="49"/>
      <w:suff w:val="nothing"/>
      <w:lvlText w:val="%1.%2.%3.%4　"/>
      <w:lvlJc w:val="left"/>
      <w:pPr>
        <w:ind w:left="4394" w:firstLine="0"/>
      </w:pPr>
      <w:rPr>
        <w:rFonts w:hint="eastAsia" w:ascii="黑体" w:hAnsi="Times New Roman" w:eastAsia="黑体"/>
        <w:b w:val="0"/>
        <w:i w:val="0"/>
        <w:sz w:val="21"/>
      </w:rPr>
    </w:lvl>
    <w:lvl w:ilvl="4" w:tentative="0">
      <w:start w:val="1"/>
      <w:numFmt w:val="decimal"/>
      <w:pStyle w:val="48"/>
      <w:suff w:val="nothing"/>
      <w:lvlText w:val="%1.%2.%3.%4.%5　"/>
      <w:lvlJc w:val="left"/>
      <w:pPr>
        <w:ind w:left="4394" w:firstLine="0"/>
      </w:pPr>
      <w:rPr>
        <w:rFonts w:hint="eastAsia" w:ascii="黑体" w:hAnsi="Times New Roman" w:eastAsia="黑体"/>
        <w:b w:val="0"/>
        <w:i w:val="0"/>
        <w:sz w:val="21"/>
      </w:rPr>
    </w:lvl>
    <w:lvl w:ilvl="5" w:tentative="0">
      <w:start w:val="1"/>
      <w:numFmt w:val="decimal"/>
      <w:pStyle w:val="77"/>
      <w:suff w:val="nothing"/>
      <w:lvlText w:val="%1.%2.%3.%4.%5.%6　"/>
      <w:lvlJc w:val="left"/>
      <w:pPr>
        <w:ind w:left="4394" w:firstLine="0"/>
      </w:pPr>
      <w:rPr>
        <w:rFonts w:hint="eastAsia" w:ascii="黑体" w:hAnsi="Times New Roman" w:eastAsia="黑体"/>
        <w:b w:val="0"/>
        <w:i w:val="0"/>
        <w:sz w:val="21"/>
      </w:rPr>
    </w:lvl>
    <w:lvl w:ilvl="6" w:tentative="0">
      <w:start w:val="1"/>
      <w:numFmt w:val="decimal"/>
      <w:pStyle w:val="78"/>
      <w:suff w:val="nothing"/>
      <w:lvlText w:val="%1.%2.%3.%4.%5.%6.%7　"/>
      <w:lvlJc w:val="left"/>
      <w:pPr>
        <w:ind w:left="4394" w:firstLine="0"/>
      </w:pPr>
      <w:rPr>
        <w:rFonts w:hint="eastAsia" w:ascii="黑体" w:hAnsi="Times New Roman" w:eastAsia="黑体"/>
        <w:b w:val="0"/>
        <w:i w:val="0"/>
        <w:sz w:val="21"/>
      </w:rPr>
    </w:lvl>
    <w:lvl w:ilvl="7" w:tentative="0">
      <w:start w:val="1"/>
      <w:numFmt w:val="decimal"/>
      <w:lvlText w:val="%1.%2.%3.%4.%5.%6.%7.%8"/>
      <w:lvlJc w:val="left"/>
      <w:pPr>
        <w:tabs>
          <w:tab w:val="left" w:pos="8788"/>
        </w:tabs>
        <w:ind w:left="8788" w:hanging="1418"/>
      </w:pPr>
      <w:rPr>
        <w:rFonts w:hint="eastAsia"/>
      </w:rPr>
    </w:lvl>
    <w:lvl w:ilvl="8" w:tentative="0">
      <w:start w:val="1"/>
      <w:numFmt w:val="decimal"/>
      <w:lvlText w:val="%1.%2.%3.%4.%5.%6.%7.%8.%9"/>
      <w:lvlJc w:val="left"/>
      <w:pPr>
        <w:tabs>
          <w:tab w:val="left" w:pos="9496"/>
        </w:tabs>
        <w:ind w:left="9496" w:hanging="1700"/>
      </w:pPr>
      <w:rPr>
        <w:rFonts w:hint="eastAsia"/>
      </w:rPr>
    </w:lvl>
  </w:abstractNum>
  <w:abstractNum w:abstractNumId="15">
    <w:nsid w:val="6D6C07CD"/>
    <w:multiLevelType w:val="multilevel"/>
    <w:tmpl w:val="6D6C07CD"/>
    <w:lvl w:ilvl="0" w:tentative="0">
      <w:start w:val="1"/>
      <w:numFmt w:val="lowerLetter"/>
      <w:pStyle w:val="104"/>
      <w:lvlText w:val="%1)"/>
      <w:lvlJc w:val="left"/>
      <w:pPr>
        <w:tabs>
          <w:tab w:val="left" w:pos="839"/>
        </w:tabs>
        <w:ind w:left="839" w:hanging="419"/>
      </w:pPr>
      <w:rPr>
        <w:rFonts w:hint="eastAsia" w:ascii="宋体" w:eastAsia="宋体"/>
        <w:b w:val="0"/>
        <w:i w:val="0"/>
        <w:sz w:val="21"/>
      </w:rPr>
    </w:lvl>
    <w:lvl w:ilvl="1" w:tentative="0">
      <w:start w:val="1"/>
      <w:numFmt w:val="decimal"/>
      <w:pStyle w:val="8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8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1"/>
  </w:num>
  <w:num w:numId="3">
    <w:abstractNumId w:val="2"/>
  </w:num>
  <w:num w:numId="4">
    <w:abstractNumId w:val="14"/>
  </w:num>
  <w:num w:numId="5">
    <w:abstractNumId w:val="9"/>
  </w:num>
  <w:num w:numId="6">
    <w:abstractNumId w:val="10"/>
  </w:num>
  <w:num w:numId="7">
    <w:abstractNumId w:val="5"/>
  </w:num>
  <w:num w:numId="8">
    <w:abstractNumId w:val="4"/>
  </w:num>
  <w:num w:numId="9">
    <w:abstractNumId w:val="16"/>
  </w:num>
  <w:num w:numId="10">
    <w:abstractNumId w:val="15"/>
  </w:num>
  <w:num w:numId="11">
    <w:abstractNumId w:val="6"/>
  </w:num>
  <w:num w:numId="12">
    <w:abstractNumId w:val="11"/>
  </w:num>
  <w:num w:numId="13">
    <w:abstractNumId w:val="12"/>
  </w:num>
  <w:num w:numId="14">
    <w:abstractNumId w:val="3"/>
  </w:num>
  <w:num w:numId="15">
    <w:abstractNumId w:val="7"/>
  </w:num>
  <w:num w:numId="16">
    <w:abstractNumId w:val="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0" w:hash="C38jSaHvqpfTR2zbSAT94nPsCes=" w:salt="iBnhYleAAu/K0tBiy3JTmQ=="/>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MjFhNjIyYzE0ZWNjMWI5NjJlODEyYTM4NmRiY2EifQ=="/>
  </w:docVars>
  <w:rsids>
    <w:rsidRoot w:val="00172A27"/>
    <w:rsid w:val="00000244"/>
    <w:rsid w:val="0000185F"/>
    <w:rsid w:val="00005596"/>
    <w:rsid w:val="0000586F"/>
    <w:rsid w:val="00005F5D"/>
    <w:rsid w:val="00013D86"/>
    <w:rsid w:val="00013E02"/>
    <w:rsid w:val="0002143C"/>
    <w:rsid w:val="00025A65"/>
    <w:rsid w:val="00026C31"/>
    <w:rsid w:val="00027280"/>
    <w:rsid w:val="000320A7"/>
    <w:rsid w:val="00033DBE"/>
    <w:rsid w:val="00035925"/>
    <w:rsid w:val="00067282"/>
    <w:rsid w:val="00067CDF"/>
    <w:rsid w:val="00072B50"/>
    <w:rsid w:val="00074FBE"/>
    <w:rsid w:val="00083A09"/>
    <w:rsid w:val="00087601"/>
    <w:rsid w:val="0009005E"/>
    <w:rsid w:val="00092857"/>
    <w:rsid w:val="000936E5"/>
    <w:rsid w:val="000946FC"/>
    <w:rsid w:val="000A20A9"/>
    <w:rsid w:val="000A48B1"/>
    <w:rsid w:val="000B01ED"/>
    <w:rsid w:val="000B3143"/>
    <w:rsid w:val="000B45A7"/>
    <w:rsid w:val="000B7369"/>
    <w:rsid w:val="000C0ADC"/>
    <w:rsid w:val="000C4114"/>
    <w:rsid w:val="000C57A4"/>
    <w:rsid w:val="000C6B05"/>
    <w:rsid w:val="000C6DD6"/>
    <w:rsid w:val="000C73D4"/>
    <w:rsid w:val="000D3D4C"/>
    <w:rsid w:val="000D4F51"/>
    <w:rsid w:val="000D718B"/>
    <w:rsid w:val="000D7625"/>
    <w:rsid w:val="000E0C46"/>
    <w:rsid w:val="000F030C"/>
    <w:rsid w:val="000F129C"/>
    <w:rsid w:val="000F7A8E"/>
    <w:rsid w:val="001056DE"/>
    <w:rsid w:val="00105D65"/>
    <w:rsid w:val="0010612E"/>
    <w:rsid w:val="0010739B"/>
    <w:rsid w:val="001074E9"/>
    <w:rsid w:val="00107DF6"/>
    <w:rsid w:val="001124C0"/>
    <w:rsid w:val="0011334C"/>
    <w:rsid w:val="0013175F"/>
    <w:rsid w:val="00134A18"/>
    <w:rsid w:val="00141A88"/>
    <w:rsid w:val="001512B4"/>
    <w:rsid w:val="00154B72"/>
    <w:rsid w:val="001620A5"/>
    <w:rsid w:val="00164E53"/>
    <w:rsid w:val="00166132"/>
    <w:rsid w:val="0016699D"/>
    <w:rsid w:val="001742F7"/>
    <w:rsid w:val="00175159"/>
    <w:rsid w:val="00176208"/>
    <w:rsid w:val="00180D12"/>
    <w:rsid w:val="0018211B"/>
    <w:rsid w:val="001840D3"/>
    <w:rsid w:val="001856EA"/>
    <w:rsid w:val="001900F8"/>
    <w:rsid w:val="00191258"/>
    <w:rsid w:val="0019221C"/>
    <w:rsid w:val="00192680"/>
    <w:rsid w:val="00193037"/>
    <w:rsid w:val="00193A2C"/>
    <w:rsid w:val="001A288E"/>
    <w:rsid w:val="001B6DC2"/>
    <w:rsid w:val="001C149C"/>
    <w:rsid w:val="001C21AC"/>
    <w:rsid w:val="001C47BA"/>
    <w:rsid w:val="001C59EA"/>
    <w:rsid w:val="001C76F1"/>
    <w:rsid w:val="001D406C"/>
    <w:rsid w:val="001D41EE"/>
    <w:rsid w:val="001E0380"/>
    <w:rsid w:val="001E1341"/>
    <w:rsid w:val="001E13B1"/>
    <w:rsid w:val="001E35E7"/>
    <w:rsid w:val="001F3A19"/>
    <w:rsid w:val="00217CCF"/>
    <w:rsid w:val="00231D1C"/>
    <w:rsid w:val="00234467"/>
    <w:rsid w:val="00237D8D"/>
    <w:rsid w:val="00241DA2"/>
    <w:rsid w:val="00245874"/>
    <w:rsid w:val="00247FEE"/>
    <w:rsid w:val="00250E7D"/>
    <w:rsid w:val="002565D5"/>
    <w:rsid w:val="002622C0"/>
    <w:rsid w:val="00271E1E"/>
    <w:rsid w:val="0027608B"/>
    <w:rsid w:val="002778AE"/>
    <w:rsid w:val="0028269A"/>
    <w:rsid w:val="00283590"/>
    <w:rsid w:val="00286973"/>
    <w:rsid w:val="00294E70"/>
    <w:rsid w:val="002A1073"/>
    <w:rsid w:val="002A1924"/>
    <w:rsid w:val="002A7420"/>
    <w:rsid w:val="002B0F12"/>
    <w:rsid w:val="002B1308"/>
    <w:rsid w:val="002B4554"/>
    <w:rsid w:val="002B7443"/>
    <w:rsid w:val="002C63D6"/>
    <w:rsid w:val="002C72D8"/>
    <w:rsid w:val="002D11FA"/>
    <w:rsid w:val="002D4203"/>
    <w:rsid w:val="002E0DDF"/>
    <w:rsid w:val="002E2906"/>
    <w:rsid w:val="002E5635"/>
    <w:rsid w:val="002E64C3"/>
    <w:rsid w:val="002E6A2C"/>
    <w:rsid w:val="002F1C57"/>
    <w:rsid w:val="002F1D8C"/>
    <w:rsid w:val="002F21DA"/>
    <w:rsid w:val="00301F39"/>
    <w:rsid w:val="003021B9"/>
    <w:rsid w:val="003157BB"/>
    <w:rsid w:val="00325926"/>
    <w:rsid w:val="003273BB"/>
    <w:rsid w:val="00327A8A"/>
    <w:rsid w:val="00333F71"/>
    <w:rsid w:val="00336610"/>
    <w:rsid w:val="00343F73"/>
    <w:rsid w:val="00345060"/>
    <w:rsid w:val="0035323B"/>
    <w:rsid w:val="00357968"/>
    <w:rsid w:val="003609D2"/>
    <w:rsid w:val="00363F22"/>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4726"/>
    <w:rsid w:val="003E5729"/>
    <w:rsid w:val="003F4C0E"/>
    <w:rsid w:val="003F4EE0"/>
    <w:rsid w:val="00400A51"/>
    <w:rsid w:val="00402153"/>
    <w:rsid w:val="00402967"/>
    <w:rsid w:val="00402FC1"/>
    <w:rsid w:val="004038E9"/>
    <w:rsid w:val="00410F21"/>
    <w:rsid w:val="00411C84"/>
    <w:rsid w:val="004137C8"/>
    <w:rsid w:val="004142C1"/>
    <w:rsid w:val="00425082"/>
    <w:rsid w:val="00427161"/>
    <w:rsid w:val="00431DEB"/>
    <w:rsid w:val="00440131"/>
    <w:rsid w:val="00446B29"/>
    <w:rsid w:val="00452FC5"/>
    <w:rsid w:val="00453F9A"/>
    <w:rsid w:val="00471E91"/>
    <w:rsid w:val="00474675"/>
    <w:rsid w:val="0047470C"/>
    <w:rsid w:val="004777B4"/>
    <w:rsid w:val="004836C0"/>
    <w:rsid w:val="00495074"/>
    <w:rsid w:val="004972BE"/>
    <w:rsid w:val="004A35F9"/>
    <w:rsid w:val="004B24C1"/>
    <w:rsid w:val="004C06E3"/>
    <w:rsid w:val="004C292F"/>
    <w:rsid w:val="004D3F27"/>
    <w:rsid w:val="004D42D1"/>
    <w:rsid w:val="004D6B60"/>
    <w:rsid w:val="004D7E9A"/>
    <w:rsid w:val="004F2154"/>
    <w:rsid w:val="004F754C"/>
    <w:rsid w:val="00510280"/>
    <w:rsid w:val="00513B5C"/>
    <w:rsid w:val="00513D73"/>
    <w:rsid w:val="00514A43"/>
    <w:rsid w:val="005174E5"/>
    <w:rsid w:val="00522393"/>
    <w:rsid w:val="00522620"/>
    <w:rsid w:val="00525656"/>
    <w:rsid w:val="00531FD8"/>
    <w:rsid w:val="00534C02"/>
    <w:rsid w:val="0054264B"/>
    <w:rsid w:val="00543786"/>
    <w:rsid w:val="005510D5"/>
    <w:rsid w:val="005533D7"/>
    <w:rsid w:val="005669AC"/>
    <w:rsid w:val="005703DE"/>
    <w:rsid w:val="00573589"/>
    <w:rsid w:val="0058464E"/>
    <w:rsid w:val="0059362F"/>
    <w:rsid w:val="0059438F"/>
    <w:rsid w:val="005A01CB"/>
    <w:rsid w:val="005A58FF"/>
    <w:rsid w:val="005A5EAF"/>
    <w:rsid w:val="005A64C0"/>
    <w:rsid w:val="005B3C11"/>
    <w:rsid w:val="005B4E62"/>
    <w:rsid w:val="005C1C28"/>
    <w:rsid w:val="005C6206"/>
    <w:rsid w:val="005C6DB5"/>
    <w:rsid w:val="005C6FEB"/>
    <w:rsid w:val="005D0EF0"/>
    <w:rsid w:val="005E19E7"/>
    <w:rsid w:val="005E4062"/>
    <w:rsid w:val="0061716C"/>
    <w:rsid w:val="006243A1"/>
    <w:rsid w:val="00632E56"/>
    <w:rsid w:val="0063370F"/>
    <w:rsid w:val="00635CBA"/>
    <w:rsid w:val="00636E71"/>
    <w:rsid w:val="0064338B"/>
    <w:rsid w:val="00646542"/>
    <w:rsid w:val="00650027"/>
    <w:rsid w:val="006504F4"/>
    <w:rsid w:val="00654BC9"/>
    <w:rsid w:val="006552FD"/>
    <w:rsid w:val="00657C7F"/>
    <w:rsid w:val="00663AF3"/>
    <w:rsid w:val="00666B6C"/>
    <w:rsid w:val="006749D8"/>
    <w:rsid w:val="00682682"/>
    <w:rsid w:val="00682702"/>
    <w:rsid w:val="00692368"/>
    <w:rsid w:val="00696B3A"/>
    <w:rsid w:val="006A2EBC"/>
    <w:rsid w:val="006A5EA0"/>
    <w:rsid w:val="006A783B"/>
    <w:rsid w:val="006A7B33"/>
    <w:rsid w:val="006B4E13"/>
    <w:rsid w:val="006B75DD"/>
    <w:rsid w:val="006C67E0"/>
    <w:rsid w:val="006C7ABA"/>
    <w:rsid w:val="006D0A65"/>
    <w:rsid w:val="006D0D60"/>
    <w:rsid w:val="006D1122"/>
    <w:rsid w:val="006D35BE"/>
    <w:rsid w:val="006D3C00"/>
    <w:rsid w:val="006E3675"/>
    <w:rsid w:val="006E4A7F"/>
    <w:rsid w:val="006F2A0A"/>
    <w:rsid w:val="00704DF6"/>
    <w:rsid w:val="0070651C"/>
    <w:rsid w:val="007132A3"/>
    <w:rsid w:val="007159B8"/>
    <w:rsid w:val="00716421"/>
    <w:rsid w:val="00724EFB"/>
    <w:rsid w:val="00727C0A"/>
    <w:rsid w:val="007419C3"/>
    <w:rsid w:val="007457DD"/>
    <w:rsid w:val="007467A7"/>
    <w:rsid w:val="007469DD"/>
    <w:rsid w:val="0074741B"/>
    <w:rsid w:val="0074759E"/>
    <w:rsid w:val="007478EA"/>
    <w:rsid w:val="00747D2B"/>
    <w:rsid w:val="00750413"/>
    <w:rsid w:val="0075415C"/>
    <w:rsid w:val="007542EA"/>
    <w:rsid w:val="00763502"/>
    <w:rsid w:val="007710D1"/>
    <w:rsid w:val="007758E4"/>
    <w:rsid w:val="007913AB"/>
    <w:rsid w:val="007914F7"/>
    <w:rsid w:val="007918E5"/>
    <w:rsid w:val="007A4847"/>
    <w:rsid w:val="007B1625"/>
    <w:rsid w:val="007B706E"/>
    <w:rsid w:val="007B71EB"/>
    <w:rsid w:val="007C6205"/>
    <w:rsid w:val="007C686A"/>
    <w:rsid w:val="007C728E"/>
    <w:rsid w:val="007D2C53"/>
    <w:rsid w:val="007D3D60"/>
    <w:rsid w:val="007E1980"/>
    <w:rsid w:val="007E4B76"/>
    <w:rsid w:val="007E5074"/>
    <w:rsid w:val="007E5EA8"/>
    <w:rsid w:val="007F0CF1"/>
    <w:rsid w:val="007F12A5"/>
    <w:rsid w:val="007F2921"/>
    <w:rsid w:val="007F4CF1"/>
    <w:rsid w:val="007F758D"/>
    <w:rsid w:val="007F7D52"/>
    <w:rsid w:val="00804733"/>
    <w:rsid w:val="0080654C"/>
    <w:rsid w:val="008071C6"/>
    <w:rsid w:val="008102BC"/>
    <w:rsid w:val="00814755"/>
    <w:rsid w:val="00817A00"/>
    <w:rsid w:val="00835DB3"/>
    <w:rsid w:val="00836091"/>
    <w:rsid w:val="0083617B"/>
    <w:rsid w:val="008371BD"/>
    <w:rsid w:val="00841EB1"/>
    <w:rsid w:val="008433F7"/>
    <w:rsid w:val="00850088"/>
    <w:rsid w:val="008504A8"/>
    <w:rsid w:val="00850B30"/>
    <w:rsid w:val="0085282E"/>
    <w:rsid w:val="00865C3E"/>
    <w:rsid w:val="0087198C"/>
    <w:rsid w:val="00872C1F"/>
    <w:rsid w:val="00873B42"/>
    <w:rsid w:val="00875869"/>
    <w:rsid w:val="0088116C"/>
    <w:rsid w:val="008856D8"/>
    <w:rsid w:val="00887937"/>
    <w:rsid w:val="00892E82"/>
    <w:rsid w:val="008A1BDD"/>
    <w:rsid w:val="008B1B0F"/>
    <w:rsid w:val="008C1B58"/>
    <w:rsid w:val="008C39AE"/>
    <w:rsid w:val="008C590D"/>
    <w:rsid w:val="008C7241"/>
    <w:rsid w:val="008E031B"/>
    <w:rsid w:val="008E7029"/>
    <w:rsid w:val="008E7EF6"/>
    <w:rsid w:val="008F1F98"/>
    <w:rsid w:val="008F4737"/>
    <w:rsid w:val="008F6758"/>
    <w:rsid w:val="009011BC"/>
    <w:rsid w:val="009035F9"/>
    <w:rsid w:val="009040DD"/>
    <w:rsid w:val="00905B47"/>
    <w:rsid w:val="009117AF"/>
    <w:rsid w:val="0091331C"/>
    <w:rsid w:val="00921349"/>
    <w:rsid w:val="009279DE"/>
    <w:rsid w:val="00930116"/>
    <w:rsid w:val="0094212C"/>
    <w:rsid w:val="009463D5"/>
    <w:rsid w:val="00954689"/>
    <w:rsid w:val="009617C9"/>
    <w:rsid w:val="00961A63"/>
    <w:rsid w:val="00961C93"/>
    <w:rsid w:val="0096413B"/>
    <w:rsid w:val="00965324"/>
    <w:rsid w:val="0097091E"/>
    <w:rsid w:val="009760D3"/>
    <w:rsid w:val="00977132"/>
    <w:rsid w:val="00981A4B"/>
    <w:rsid w:val="00982501"/>
    <w:rsid w:val="009877D3"/>
    <w:rsid w:val="009907D5"/>
    <w:rsid w:val="0099082C"/>
    <w:rsid w:val="00994E8F"/>
    <w:rsid w:val="009951DC"/>
    <w:rsid w:val="009959BB"/>
    <w:rsid w:val="00997158"/>
    <w:rsid w:val="009A3A7C"/>
    <w:rsid w:val="009A4781"/>
    <w:rsid w:val="009A684A"/>
    <w:rsid w:val="009B15C3"/>
    <w:rsid w:val="009B1B14"/>
    <w:rsid w:val="009B2ADB"/>
    <w:rsid w:val="009B603A"/>
    <w:rsid w:val="009C2D0E"/>
    <w:rsid w:val="009C3DAC"/>
    <w:rsid w:val="009C42E0"/>
    <w:rsid w:val="009D5362"/>
    <w:rsid w:val="009E1415"/>
    <w:rsid w:val="009E4826"/>
    <w:rsid w:val="009E6116"/>
    <w:rsid w:val="00A02937"/>
    <w:rsid w:val="00A02E43"/>
    <w:rsid w:val="00A065F9"/>
    <w:rsid w:val="00A07F34"/>
    <w:rsid w:val="00A21CD7"/>
    <w:rsid w:val="00A22154"/>
    <w:rsid w:val="00A25C38"/>
    <w:rsid w:val="00A32884"/>
    <w:rsid w:val="00A36BBE"/>
    <w:rsid w:val="00A4307A"/>
    <w:rsid w:val="00A4709B"/>
    <w:rsid w:val="00A47EBB"/>
    <w:rsid w:val="00A51CDD"/>
    <w:rsid w:val="00A6018B"/>
    <w:rsid w:val="00A64FCE"/>
    <w:rsid w:val="00A6730D"/>
    <w:rsid w:val="00A67388"/>
    <w:rsid w:val="00A7125A"/>
    <w:rsid w:val="00A71625"/>
    <w:rsid w:val="00A71B9B"/>
    <w:rsid w:val="00A751C7"/>
    <w:rsid w:val="00A87844"/>
    <w:rsid w:val="00A95BCF"/>
    <w:rsid w:val="00AA038C"/>
    <w:rsid w:val="00AA7A09"/>
    <w:rsid w:val="00AB2D40"/>
    <w:rsid w:val="00AB3B50"/>
    <w:rsid w:val="00AC04F4"/>
    <w:rsid w:val="00AC05B1"/>
    <w:rsid w:val="00AD356C"/>
    <w:rsid w:val="00AE2914"/>
    <w:rsid w:val="00AE6D15"/>
    <w:rsid w:val="00AF6799"/>
    <w:rsid w:val="00B04182"/>
    <w:rsid w:val="00B050D2"/>
    <w:rsid w:val="00B052D3"/>
    <w:rsid w:val="00B07AE3"/>
    <w:rsid w:val="00B110A4"/>
    <w:rsid w:val="00B11430"/>
    <w:rsid w:val="00B12D09"/>
    <w:rsid w:val="00B353EB"/>
    <w:rsid w:val="00B42D24"/>
    <w:rsid w:val="00B439C4"/>
    <w:rsid w:val="00B4535E"/>
    <w:rsid w:val="00B52A8C"/>
    <w:rsid w:val="00B5592D"/>
    <w:rsid w:val="00B636A8"/>
    <w:rsid w:val="00B665C6"/>
    <w:rsid w:val="00B673BF"/>
    <w:rsid w:val="00B67915"/>
    <w:rsid w:val="00B72B8C"/>
    <w:rsid w:val="00B805AF"/>
    <w:rsid w:val="00B85DD4"/>
    <w:rsid w:val="00B869EC"/>
    <w:rsid w:val="00B876E9"/>
    <w:rsid w:val="00B9397A"/>
    <w:rsid w:val="00B9633D"/>
    <w:rsid w:val="00BA2EBE"/>
    <w:rsid w:val="00BB0F28"/>
    <w:rsid w:val="00BB4140"/>
    <w:rsid w:val="00BB458A"/>
    <w:rsid w:val="00BC048D"/>
    <w:rsid w:val="00BD00D3"/>
    <w:rsid w:val="00BD0344"/>
    <w:rsid w:val="00BD1659"/>
    <w:rsid w:val="00BD2FB4"/>
    <w:rsid w:val="00BD3AA9"/>
    <w:rsid w:val="00BD3CC2"/>
    <w:rsid w:val="00BD4A18"/>
    <w:rsid w:val="00BD6DB2"/>
    <w:rsid w:val="00BD7B14"/>
    <w:rsid w:val="00BE11CF"/>
    <w:rsid w:val="00BE21AB"/>
    <w:rsid w:val="00BE55CB"/>
    <w:rsid w:val="00BF0428"/>
    <w:rsid w:val="00BF16E4"/>
    <w:rsid w:val="00BF1981"/>
    <w:rsid w:val="00BF4F72"/>
    <w:rsid w:val="00BF617A"/>
    <w:rsid w:val="00C029FE"/>
    <w:rsid w:val="00C0379D"/>
    <w:rsid w:val="00C03931"/>
    <w:rsid w:val="00C03D46"/>
    <w:rsid w:val="00C05098"/>
    <w:rsid w:val="00C05714"/>
    <w:rsid w:val="00C05FE3"/>
    <w:rsid w:val="00C2136D"/>
    <w:rsid w:val="00C214EE"/>
    <w:rsid w:val="00C2314B"/>
    <w:rsid w:val="00C24971"/>
    <w:rsid w:val="00C26BE5"/>
    <w:rsid w:val="00C26E4D"/>
    <w:rsid w:val="00C27909"/>
    <w:rsid w:val="00C27B03"/>
    <w:rsid w:val="00C30D0C"/>
    <w:rsid w:val="00C314E1"/>
    <w:rsid w:val="00C34397"/>
    <w:rsid w:val="00C4095D"/>
    <w:rsid w:val="00C54FA2"/>
    <w:rsid w:val="00C55554"/>
    <w:rsid w:val="00C601D2"/>
    <w:rsid w:val="00C6042E"/>
    <w:rsid w:val="00C657AB"/>
    <w:rsid w:val="00C65BCC"/>
    <w:rsid w:val="00C66970"/>
    <w:rsid w:val="00C70401"/>
    <w:rsid w:val="00C83A20"/>
    <w:rsid w:val="00C8691C"/>
    <w:rsid w:val="00CA1216"/>
    <w:rsid w:val="00CA168A"/>
    <w:rsid w:val="00CA357E"/>
    <w:rsid w:val="00CA44F9"/>
    <w:rsid w:val="00CA4A69"/>
    <w:rsid w:val="00CB08F9"/>
    <w:rsid w:val="00CB387D"/>
    <w:rsid w:val="00CB3E02"/>
    <w:rsid w:val="00CB3E3D"/>
    <w:rsid w:val="00CC387B"/>
    <w:rsid w:val="00CC3E0C"/>
    <w:rsid w:val="00CC5663"/>
    <w:rsid w:val="00CC58D3"/>
    <w:rsid w:val="00CC784D"/>
    <w:rsid w:val="00CE21F8"/>
    <w:rsid w:val="00CE4F14"/>
    <w:rsid w:val="00CF2392"/>
    <w:rsid w:val="00CF2F2B"/>
    <w:rsid w:val="00D0337B"/>
    <w:rsid w:val="00D079B2"/>
    <w:rsid w:val="00D114E9"/>
    <w:rsid w:val="00D14DFD"/>
    <w:rsid w:val="00D213C8"/>
    <w:rsid w:val="00D23486"/>
    <w:rsid w:val="00D4193F"/>
    <w:rsid w:val="00D429C6"/>
    <w:rsid w:val="00D47748"/>
    <w:rsid w:val="00D54CC3"/>
    <w:rsid w:val="00D6041A"/>
    <w:rsid w:val="00D633EB"/>
    <w:rsid w:val="00D66A3D"/>
    <w:rsid w:val="00D67063"/>
    <w:rsid w:val="00D768B5"/>
    <w:rsid w:val="00D76F32"/>
    <w:rsid w:val="00D7778A"/>
    <w:rsid w:val="00D82D6C"/>
    <w:rsid w:val="00D82FF7"/>
    <w:rsid w:val="00D847FE"/>
    <w:rsid w:val="00D93641"/>
    <w:rsid w:val="00D964EA"/>
    <w:rsid w:val="00D966D0"/>
    <w:rsid w:val="00DA0C59"/>
    <w:rsid w:val="00DA0FD5"/>
    <w:rsid w:val="00DA1344"/>
    <w:rsid w:val="00DA1995"/>
    <w:rsid w:val="00DA3991"/>
    <w:rsid w:val="00DB7E6C"/>
    <w:rsid w:val="00DD5A29"/>
    <w:rsid w:val="00DD5D9D"/>
    <w:rsid w:val="00DE2979"/>
    <w:rsid w:val="00DE35CB"/>
    <w:rsid w:val="00DF21E9"/>
    <w:rsid w:val="00E00F14"/>
    <w:rsid w:val="00E05F7D"/>
    <w:rsid w:val="00E06386"/>
    <w:rsid w:val="00E24EB4"/>
    <w:rsid w:val="00E271C2"/>
    <w:rsid w:val="00E31C17"/>
    <w:rsid w:val="00E320ED"/>
    <w:rsid w:val="00E33AFB"/>
    <w:rsid w:val="00E34218"/>
    <w:rsid w:val="00E345F6"/>
    <w:rsid w:val="00E374E2"/>
    <w:rsid w:val="00E42595"/>
    <w:rsid w:val="00E426AA"/>
    <w:rsid w:val="00E45860"/>
    <w:rsid w:val="00E46282"/>
    <w:rsid w:val="00E5216E"/>
    <w:rsid w:val="00E7128C"/>
    <w:rsid w:val="00E82344"/>
    <w:rsid w:val="00E82C42"/>
    <w:rsid w:val="00E84C82"/>
    <w:rsid w:val="00E84D64"/>
    <w:rsid w:val="00E87408"/>
    <w:rsid w:val="00E914C4"/>
    <w:rsid w:val="00E934F5"/>
    <w:rsid w:val="00E96961"/>
    <w:rsid w:val="00E978CD"/>
    <w:rsid w:val="00EA1BAF"/>
    <w:rsid w:val="00EA4DAE"/>
    <w:rsid w:val="00EA72EC"/>
    <w:rsid w:val="00EB11CB"/>
    <w:rsid w:val="00EB275A"/>
    <w:rsid w:val="00EB786A"/>
    <w:rsid w:val="00EC1578"/>
    <w:rsid w:val="00EC1C72"/>
    <w:rsid w:val="00EC3CC9"/>
    <w:rsid w:val="00EC4D7C"/>
    <w:rsid w:val="00EC5432"/>
    <w:rsid w:val="00EC680A"/>
    <w:rsid w:val="00ED2708"/>
    <w:rsid w:val="00EE2BED"/>
    <w:rsid w:val="00EE374B"/>
    <w:rsid w:val="00F11BB5"/>
    <w:rsid w:val="00F1417B"/>
    <w:rsid w:val="00F34B99"/>
    <w:rsid w:val="00F52DAB"/>
    <w:rsid w:val="00F543F0"/>
    <w:rsid w:val="00F5494F"/>
    <w:rsid w:val="00F77593"/>
    <w:rsid w:val="00F81D29"/>
    <w:rsid w:val="00F91C4D"/>
    <w:rsid w:val="00F92FD9"/>
    <w:rsid w:val="00F9481D"/>
    <w:rsid w:val="00F94ED5"/>
    <w:rsid w:val="00FA6684"/>
    <w:rsid w:val="00FA731E"/>
    <w:rsid w:val="00FB2B38"/>
    <w:rsid w:val="00FC110C"/>
    <w:rsid w:val="00FC6358"/>
    <w:rsid w:val="00FC6DB1"/>
    <w:rsid w:val="00FD105A"/>
    <w:rsid w:val="00FD320D"/>
    <w:rsid w:val="00FE0315"/>
    <w:rsid w:val="00FE23DE"/>
    <w:rsid w:val="00FE3799"/>
    <w:rsid w:val="00FF6961"/>
    <w:rsid w:val="020E3E06"/>
    <w:rsid w:val="03EA48E8"/>
    <w:rsid w:val="04497378"/>
    <w:rsid w:val="04675025"/>
    <w:rsid w:val="04DD3F64"/>
    <w:rsid w:val="065B3392"/>
    <w:rsid w:val="07223CB7"/>
    <w:rsid w:val="08D538D0"/>
    <w:rsid w:val="092E56CD"/>
    <w:rsid w:val="0A553E45"/>
    <w:rsid w:val="0AF47A97"/>
    <w:rsid w:val="0B2D1D57"/>
    <w:rsid w:val="0C9B6394"/>
    <w:rsid w:val="0E021227"/>
    <w:rsid w:val="0E35756F"/>
    <w:rsid w:val="10A2678D"/>
    <w:rsid w:val="1112074D"/>
    <w:rsid w:val="12A96A36"/>
    <w:rsid w:val="12C377F0"/>
    <w:rsid w:val="14F275B8"/>
    <w:rsid w:val="167F4E7B"/>
    <w:rsid w:val="1813324E"/>
    <w:rsid w:val="197B7B7C"/>
    <w:rsid w:val="1A1B310D"/>
    <w:rsid w:val="1A3B4E0C"/>
    <w:rsid w:val="1D2D4375"/>
    <w:rsid w:val="1E2419AF"/>
    <w:rsid w:val="1E674A5B"/>
    <w:rsid w:val="1EF92022"/>
    <w:rsid w:val="20C1488F"/>
    <w:rsid w:val="20E10D92"/>
    <w:rsid w:val="21182154"/>
    <w:rsid w:val="22CD462A"/>
    <w:rsid w:val="26092057"/>
    <w:rsid w:val="260A2F54"/>
    <w:rsid w:val="26230D2E"/>
    <w:rsid w:val="29187B1E"/>
    <w:rsid w:val="2BFB145E"/>
    <w:rsid w:val="2DB659BE"/>
    <w:rsid w:val="2E346AA1"/>
    <w:rsid w:val="2EB536D8"/>
    <w:rsid w:val="30572E93"/>
    <w:rsid w:val="3380415D"/>
    <w:rsid w:val="34910969"/>
    <w:rsid w:val="3784633D"/>
    <w:rsid w:val="3A186B39"/>
    <w:rsid w:val="3B077069"/>
    <w:rsid w:val="3B4F136D"/>
    <w:rsid w:val="3B777A16"/>
    <w:rsid w:val="3C4542ED"/>
    <w:rsid w:val="3F125CF3"/>
    <w:rsid w:val="3F3D6DFC"/>
    <w:rsid w:val="413B1A29"/>
    <w:rsid w:val="4494718F"/>
    <w:rsid w:val="45D264C6"/>
    <w:rsid w:val="47662F15"/>
    <w:rsid w:val="48926594"/>
    <w:rsid w:val="48E3632E"/>
    <w:rsid w:val="48E50A0A"/>
    <w:rsid w:val="4B0610EB"/>
    <w:rsid w:val="4D430563"/>
    <w:rsid w:val="4E865A4B"/>
    <w:rsid w:val="4E972993"/>
    <w:rsid w:val="4EE31DDD"/>
    <w:rsid w:val="51903067"/>
    <w:rsid w:val="523A78CD"/>
    <w:rsid w:val="52C86919"/>
    <w:rsid w:val="53F54511"/>
    <w:rsid w:val="549C661D"/>
    <w:rsid w:val="554270A4"/>
    <w:rsid w:val="59701E26"/>
    <w:rsid w:val="5D49069D"/>
    <w:rsid w:val="5EAD0763"/>
    <w:rsid w:val="603B4F3C"/>
    <w:rsid w:val="631832A0"/>
    <w:rsid w:val="64240058"/>
    <w:rsid w:val="64A60AB7"/>
    <w:rsid w:val="67B97EC2"/>
    <w:rsid w:val="687768F3"/>
    <w:rsid w:val="69E82B0F"/>
    <w:rsid w:val="6A726379"/>
    <w:rsid w:val="6AC66E56"/>
    <w:rsid w:val="6C4944D8"/>
    <w:rsid w:val="6D756624"/>
    <w:rsid w:val="6E526272"/>
    <w:rsid w:val="72A42E14"/>
    <w:rsid w:val="73922C6D"/>
    <w:rsid w:val="73A6496A"/>
    <w:rsid w:val="74AD13D1"/>
    <w:rsid w:val="7A9B68AB"/>
    <w:rsid w:val="7AA623BF"/>
    <w:rsid w:val="7AB75BBC"/>
    <w:rsid w:val="7B1A5108"/>
    <w:rsid w:val="7B7B6CE0"/>
    <w:rsid w:val="7CC04CEF"/>
    <w:rsid w:val="7F0A511F"/>
    <w:rsid w:val="7F8A6DE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0">
    <w:name w:val="Default Paragraph Font"/>
    <w:semiHidden/>
    <w:qFormat/>
    <w:uiPriority w:val="0"/>
  </w:style>
  <w:style w:type="table" w:default="1" w:styleId="28">
    <w:name w:val="Normal Table"/>
    <w:semiHidden/>
    <w:qFormat/>
    <w:uiPriority w:val="0"/>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5"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index 6"/>
    <w:basedOn w:val="1"/>
    <w:next w:val="1"/>
    <w:qFormat/>
    <w:uiPriority w:val="0"/>
    <w:pPr>
      <w:ind w:left="1260" w:hanging="210"/>
      <w:jc w:val="left"/>
    </w:pPr>
    <w:rPr>
      <w:rFonts w:ascii="Calibri" w:hAnsi="Calibri"/>
      <w:sz w:val="20"/>
      <w:szCs w:val="20"/>
    </w:rPr>
  </w:style>
  <w:style w:type="paragraph" w:styleId="8">
    <w:name w:val="index 4"/>
    <w:basedOn w:val="1"/>
    <w:next w:val="1"/>
    <w:qFormat/>
    <w:uiPriority w:val="0"/>
    <w:pPr>
      <w:ind w:left="840" w:hanging="210"/>
      <w:jc w:val="left"/>
    </w:pPr>
    <w:rPr>
      <w:rFonts w:ascii="Calibri" w:hAnsi="Calibri"/>
      <w:sz w:val="20"/>
      <w:szCs w:val="20"/>
    </w:rPr>
  </w:style>
  <w:style w:type="paragraph" w:styleId="9">
    <w:name w:val="toc 5"/>
    <w:basedOn w:val="1"/>
    <w:next w:val="1"/>
    <w:semiHidden/>
    <w:qFormat/>
    <w:uiPriority w:val="0"/>
    <w:pPr>
      <w:tabs>
        <w:tab w:val="right" w:leader="dot" w:pos="9241"/>
      </w:tabs>
      <w:ind w:firstLine="300" w:firstLineChars="300"/>
      <w:jc w:val="left"/>
    </w:pPr>
    <w:rPr>
      <w:rFonts w:ascii="宋体"/>
      <w:szCs w:val="21"/>
    </w:rPr>
  </w:style>
  <w:style w:type="paragraph" w:styleId="10">
    <w:name w:val="toc 3"/>
    <w:basedOn w:val="1"/>
    <w:next w:val="1"/>
    <w:qFormat/>
    <w:uiPriority w:val="39"/>
    <w:pPr>
      <w:tabs>
        <w:tab w:val="right" w:leader="dot" w:pos="9241"/>
      </w:tabs>
      <w:ind w:firstLine="102" w:firstLineChars="100"/>
      <w:jc w:val="left"/>
    </w:pPr>
    <w:rPr>
      <w:rFonts w:ascii="宋体"/>
      <w:szCs w:val="21"/>
    </w:rPr>
  </w:style>
  <w:style w:type="paragraph" w:styleId="11">
    <w:name w:val="toc 8"/>
    <w:basedOn w:val="1"/>
    <w:next w:val="1"/>
    <w:semiHidden/>
    <w:qFormat/>
    <w:uiPriority w:val="0"/>
    <w:pPr>
      <w:tabs>
        <w:tab w:val="right" w:leader="dot" w:pos="9241"/>
      </w:tabs>
      <w:ind w:firstLine="607" w:firstLineChars="600"/>
      <w:jc w:val="left"/>
    </w:pPr>
    <w:rPr>
      <w:rFonts w:ascii="宋体"/>
      <w:szCs w:val="21"/>
    </w:rPr>
  </w:style>
  <w:style w:type="paragraph" w:styleId="12">
    <w:name w:val="index 3"/>
    <w:basedOn w:val="1"/>
    <w:next w:val="1"/>
    <w:qFormat/>
    <w:uiPriority w:val="0"/>
    <w:pPr>
      <w:ind w:left="630" w:hanging="210"/>
      <w:jc w:val="left"/>
    </w:pPr>
    <w:rPr>
      <w:rFonts w:ascii="Calibri" w:hAnsi="Calibri"/>
      <w:sz w:val="20"/>
      <w:szCs w:val="20"/>
    </w:rPr>
  </w:style>
  <w:style w:type="paragraph" w:styleId="13">
    <w:name w:val="endnote text"/>
    <w:basedOn w:val="1"/>
    <w:semiHidden/>
    <w:qFormat/>
    <w:uiPriority w:val="0"/>
    <w:pPr>
      <w:snapToGrid w:val="0"/>
      <w:jc w:val="left"/>
    </w:pPr>
  </w:style>
  <w:style w:type="paragraph" w:styleId="14">
    <w:name w:val="footer"/>
    <w:basedOn w:val="1"/>
    <w:qFormat/>
    <w:uiPriority w:val="0"/>
    <w:pPr>
      <w:snapToGrid w:val="0"/>
      <w:ind w:right="210" w:rightChars="100"/>
      <w:jc w:val="right"/>
    </w:pPr>
    <w:rPr>
      <w:sz w:val="18"/>
      <w:szCs w:val="18"/>
    </w:rPr>
  </w:style>
  <w:style w:type="paragraph" w:styleId="15">
    <w:name w:val="header"/>
    <w:basedOn w:val="1"/>
    <w:qFormat/>
    <w:uiPriority w:val="0"/>
    <w:pPr>
      <w:snapToGrid w:val="0"/>
      <w:jc w:val="left"/>
    </w:pPr>
    <w:rPr>
      <w:sz w:val="18"/>
      <w:szCs w:val="18"/>
    </w:rPr>
  </w:style>
  <w:style w:type="paragraph" w:styleId="16">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17">
    <w:name w:val="toc 4"/>
    <w:basedOn w:val="1"/>
    <w:next w:val="1"/>
    <w:semiHidden/>
    <w:qFormat/>
    <w:uiPriority w:val="0"/>
    <w:pPr>
      <w:tabs>
        <w:tab w:val="right" w:leader="dot" w:pos="9241"/>
      </w:tabs>
      <w:ind w:firstLine="198" w:firstLineChars="200"/>
      <w:jc w:val="left"/>
    </w:pPr>
    <w:rPr>
      <w:rFonts w:ascii="宋体"/>
      <w:szCs w:val="21"/>
    </w:rPr>
  </w:style>
  <w:style w:type="paragraph" w:styleId="18">
    <w:name w:val="index heading"/>
    <w:basedOn w:val="1"/>
    <w:next w:val="19"/>
    <w:qFormat/>
    <w:uiPriority w:val="0"/>
    <w:pPr>
      <w:spacing w:before="120" w:after="120"/>
      <w:jc w:val="center"/>
    </w:pPr>
    <w:rPr>
      <w:rFonts w:ascii="Calibri" w:hAnsi="Calibri"/>
      <w:b/>
      <w:bCs/>
      <w:iCs/>
      <w:szCs w:val="20"/>
    </w:rPr>
  </w:style>
  <w:style w:type="paragraph" w:styleId="19">
    <w:name w:val="index 1"/>
    <w:basedOn w:val="1"/>
    <w:next w:val="20"/>
    <w:qFormat/>
    <w:uiPriority w:val="0"/>
    <w:pPr>
      <w:tabs>
        <w:tab w:val="right" w:leader="dot" w:pos="9299"/>
      </w:tabs>
      <w:jc w:val="left"/>
    </w:pPr>
    <w:rPr>
      <w:rFonts w:ascii="宋体"/>
      <w:szCs w:val="21"/>
    </w:rPr>
  </w:style>
  <w:style w:type="paragraph" w:customStyle="1" w:styleId="20">
    <w:name w:val="段"/>
    <w:link w:val="3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1">
    <w:name w:val="footnote text"/>
    <w:basedOn w:val="1"/>
    <w:qFormat/>
    <w:uiPriority w:val="0"/>
    <w:pPr>
      <w:numPr>
        <w:ilvl w:val="0"/>
        <w:numId w:val="1"/>
      </w:numPr>
      <w:snapToGrid w:val="0"/>
      <w:jc w:val="left"/>
    </w:pPr>
    <w:rPr>
      <w:rFonts w:ascii="宋体"/>
      <w:sz w:val="18"/>
      <w:szCs w:val="18"/>
    </w:rPr>
  </w:style>
  <w:style w:type="paragraph" w:styleId="22">
    <w:name w:val="toc 6"/>
    <w:basedOn w:val="1"/>
    <w:next w:val="1"/>
    <w:semiHidden/>
    <w:qFormat/>
    <w:uiPriority w:val="0"/>
    <w:pPr>
      <w:tabs>
        <w:tab w:val="right" w:leader="dot" w:pos="9241"/>
      </w:tabs>
      <w:ind w:firstLine="403" w:firstLineChars="400"/>
      <w:jc w:val="left"/>
    </w:pPr>
    <w:rPr>
      <w:rFonts w:ascii="宋体"/>
      <w:szCs w:val="21"/>
    </w:rPr>
  </w:style>
  <w:style w:type="paragraph" w:styleId="23">
    <w:name w:val="index 7"/>
    <w:basedOn w:val="1"/>
    <w:next w:val="1"/>
    <w:qFormat/>
    <w:uiPriority w:val="0"/>
    <w:pPr>
      <w:ind w:left="1470" w:hanging="210"/>
      <w:jc w:val="left"/>
    </w:pPr>
    <w:rPr>
      <w:rFonts w:ascii="Calibri" w:hAnsi="Calibri"/>
      <w:sz w:val="20"/>
      <w:szCs w:val="20"/>
    </w:rPr>
  </w:style>
  <w:style w:type="paragraph" w:styleId="24">
    <w:name w:val="index 9"/>
    <w:basedOn w:val="1"/>
    <w:next w:val="1"/>
    <w:qFormat/>
    <w:uiPriority w:val="0"/>
    <w:pPr>
      <w:ind w:left="1890" w:hanging="210"/>
      <w:jc w:val="left"/>
    </w:pPr>
    <w:rPr>
      <w:rFonts w:ascii="Calibri" w:hAnsi="Calibri"/>
      <w:sz w:val="20"/>
      <w:szCs w:val="20"/>
    </w:rPr>
  </w:style>
  <w:style w:type="paragraph" w:styleId="25">
    <w:name w:val="toc 2"/>
    <w:basedOn w:val="1"/>
    <w:next w:val="1"/>
    <w:semiHidden/>
    <w:qFormat/>
    <w:uiPriority w:val="0"/>
    <w:pPr>
      <w:tabs>
        <w:tab w:val="right" w:leader="dot" w:pos="9241"/>
      </w:tabs>
    </w:pPr>
    <w:rPr>
      <w:rFonts w:ascii="宋体"/>
      <w:szCs w:val="21"/>
    </w:rPr>
  </w:style>
  <w:style w:type="paragraph" w:styleId="26">
    <w:name w:val="toc 9"/>
    <w:basedOn w:val="1"/>
    <w:next w:val="1"/>
    <w:semiHidden/>
    <w:qFormat/>
    <w:uiPriority w:val="0"/>
    <w:pPr>
      <w:ind w:left="1470"/>
      <w:jc w:val="left"/>
    </w:pPr>
    <w:rPr>
      <w:sz w:val="20"/>
      <w:szCs w:val="20"/>
    </w:rPr>
  </w:style>
  <w:style w:type="paragraph" w:styleId="27">
    <w:name w:val="index 2"/>
    <w:basedOn w:val="1"/>
    <w:next w:val="1"/>
    <w:qFormat/>
    <w:uiPriority w:val="0"/>
    <w:pPr>
      <w:ind w:left="420" w:hanging="210"/>
      <w:jc w:val="left"/>
    </w:pPr>
    <w:rPr>
      <w:rFonts w:ascii="Calibri" w:hAnsi="Calibri"/>
      <w:sz w:val="20"/>
      <w:szCs w:val="20"/>
    </w:rPr>
  </w:style>
  <w:style w:type="table" w:styleId="29">
    <w:name w:val="Table Grid"/>
    <w:basedOn w:val="28"/>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endnote reference"/>
    <w:semiHidden/>
    <w:qFormat/>
    <w:uiPriority w:val="0"/>
    <w:rPr>
      <w:vertAlign w:val="superscript"/>
    </w:rPr>
  </w:style>
  <w:style w:type="character" w:styleId="32">
    <w:name w:val="page number"/>
    <w:qFormat/>
    <w:uiPriority w:val="0"/>
    <w:rPr>
      <w:rFonts w:ascii="Times New Roman" w:hAnsi="Times New Roman" w:eastAsia="宋体"/>
      <w:sz w:val="18"/>
    </w:rPr>
  </w:style>
  <w:style w:type="character" w:styleId="33">
    <w:name w:val="FollowedHyperlink"/>
    <w:qFormat/>
    <w:uiPriority w:val="0"/>
    <w:rPr>
      <w:color w:val="800080"/>
      <w:u w:val="single"/>
    </w:rPr>
  </w:style>
  <w:style w:type="character" w:styleId="34">
    <w:name w:val="Hyperlink"/>
    <w:qFormat/>
    <w:uiPriority w:val="99"/>
    <w:rPr>
      <w:color w:val="0000FF"/>
      <w:spacing w:val="0"/>
      <w:w w:val="100"/>
      <w:szCs w:val="21"/>
      <w:u w:val="single"/>
    </w:rPr>
  </w:style>
  <w:style w:type="character" w:styleId="35">
    <w:name w:val="footnote reference"/>
    <w:semiHidden/>
    <w:qFormat/>
    <w:uiPriority w:val="0"/>
    <w:rPr>
      <w:vertAlign w:val="superscript"/>
    </w:rPr>
  </w:style>
  <w:style w:type="character" w:customStyle="1" w:styleId="36">
    <w:name w:val="段 Char"/>
    <w:link w:val="20"/>
    <w:qFormat/>
    <w:uiPriority w:val="0"/>
    <w:rPr>
      <w:rFonts w:ascii="宋体"/>
      <w:sz w:val="21"/>
      <w:lang w:val="en-US" w:eastAsia="zh-CN" w:bidi="ar-SA"/>
    </w:rPr>
  </w:style>
  <w:style w:type="character" w:customStyle="1" w:styleId="37">
    <w:name w:val="附录公式 Char"/>
    <w:basedOn w:val="36"/>
    <w:link w:val="38"/>
    <w:qFormat/>
    <w:uiPriority w:val="0"/>
  </w:style>
  <w:style w:type="paragraph" w:customStyle="1" w:styleId="38">
    <w:name w:val="附录公式"/>
    <w:basedOn w:val="20"/>
    <w:next w:val="20"/>
    <w:link w:val="37"/>
    <w:qFormat/>
    <w:uiPriority w:val="0"/>
  </w:style>
  <w:style w:type="character" w:customStyle="1" w:styleId="39">
    <w:name w:val="发布"/>
    <w:qFormat/>
    <w:uiPriority w:val="0"/>
    <w:rPr>
      <w:rFonts w:ascii="黑体" w:eastAsia="黑体"/>
      <w:spacing w:val="85"/>
      <w:w w:val="100"/>
      <w:position w:val="3"/>
      <w:sz w:val="28"/>
      <w:szCs w:val="28"/>
    </w:rPr>
  </w:style>
  <w:style w:type="character" w:customStyle="1" w:styleId="40">
    <w:name w:val="首示例 Char"/>
    <w:link w:val="41"/>
    <w:qFormat/>
    <w:uiPriority w:val="0"/>
    <w:rPr>
      <w:rFonts w:ascii="宋体" w:hAnsi="宋体"/>
      <w:kern w:val="2"/>
      <w:sz w:val="18"/>
      <w:szCs w:val="18"/>
      <w:lang w:val="en-US" w:eastAsia="zh-CN" w:bidi="ar-SA"/>
    </w:rPr>
  </w:style>
  <w:style w:type="paragraph" w:customStyle="1" w:styleId="41">
    <w:name w:val="首示例"/>
    <w:next w:val="20"/>
    <w:link w:val="40"/>
    <w:qFormat/>
    <w:uiPriority w:val="0"/>
    <w:pPr>
      <w:numPr>
        <w:ilvl w:val="0"/>
        <w:numId w:val="2"/>
      </w:numPr>
      <w:tabs>
        <w:tab w:val="left" w:pos="360"/>
      </w:tabs>
      <w:ind w:firstLine="0"/>
    </w:pPr>
    <w:rPr>
      <w:rFonts w:ascii="宋体" w:hAnsi="宋体" w:eastAsia="宋体" w:cs="Times New Roman"/>
      <w:kern w:val="2"/>
      <w:sz w:val="18"/>
      <w:szCs w:val="18"/>
      <w:lang w:val="en-US" w:eastAsia="zh-CN" w:bidi="ar-SA"/>
    </w:rPr>
  </w:style>
  <w:style w:type="paragraph" w:customStyle="1" w:styleId="42">
    <w:name w:val="示例"/>
    <w:next w:val="43"/>
    <w:qFormat/>
    <w:uiPriority w:val="0"/>
    <w:pPr>
      <w:widowControl w:val="0"/>
      <w:numPr>
        <w:ilvl w:val="0"/>
        <w:numId w:val="3"/>
      </w:numPr>
      <w:jc w:val="both"/>
    </w:pPr>
    <w:rPr>
      <w:rFonts w:ascii="宋体" w:hAnsi="Times New Roman" w:eastAsia="宋体" w:cs="Times New Roman"/>
      <w:sz w:val="18"/>
      <w:szCs w:val="18"/>
      <w:lang w:val="en-US" w:eastAsia="zh-CN" w:bidi="ar-SA"/>
    </w:rPr>
  </w:style>
  <w:style w:type="paragraph" w:customStyle="1" w:styleId="4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44">
    <w:name w:val="实施日期"/>
    <w:basedOn w:val="45"/>
    <w:qFormat/>
    <w:uiPriority w:val="0"/>
    <w:pPr>
      <w:framePr w:vAnchor="page" w:hAnchor="page"/>
      <w:jc w:val="right"/>
    </w:pPr>
  </w:style>
  <w:style w:type="paragraph" w:customStyle="1" w:styleId="45">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46">
    <w:name w:val="发布部门"/>
    <w:next w:val="20"/>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47">
    <w:name w:val="附录三级无"/>
    <w:basedOn w:val="48"/>
    <w:qFormat/>
    <w:uiPriority w:val="0"/>
    <w:pPr>
      <w:tabs>
        <w:tab w:val="left" w:pos="360"/>
      </w:tabs>
      <w:spacing w:before="0" w:beforeLines="0" w:after="0" w:afterLines="0"/>
    </w:pPr>
    <w:rPr>
      <w:rFonts w:ascii="宋体" w:eastAsia="宋体"/>
      <w:szCs w:val="21"/>
    </w:rPr>
  </w:style>
  <w:style w:type="paragraph" w:customStyle="1" w:styleId="48">
    <w:name w:val="附录三级条标题"/>
    <w:basedOn w:val="49"/>
    <w:next w:val="20"/>
    <w:qFormat/>
    <w:uiPriority w:val="0"/>
    <w:pPr>
      <w:numPr>
        <w:ilvl w:val="4"/>
        <w:numId w:val="4"/>
      </w:numPr>
      <w:tabs>
        <w:tab w:val="left" w:pos="360"/>
      </w:tabs>
      <w:outlineLvl w:val="4"/>
    </w:pPr>
  </w:style>
  <w:style w:type="paragraph" w:customStyle="1" w:styleId="49">
    <w:name w:val="附录二级条标题"/>
    <w:basedOn w:val="1"/>
    <w:next w:val="20"/>
    <w:qFormat/>
    <w:uiPriority w:val="0"/>
    <w:pPr>
      <w:widowControl/>
      <w:numPr>
        <w:ilvl w:val="3"/>
        <w:numId w:val="4"/>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50">
    <w:name w:val="封面标准英文名称"/>
    <w:basedOn w:val="51"/>
    <w:qFormat/>
    <w:uiPriority w:val="0"/>
    <w:pPr>
      <w:spacing w:before="370" w:line="400" w:lineRule="exact"/>
    </w:pPr>
    <w:rPr>
      <w:rFonts w:ascii="Times New Roman"/>
      <w:sz w:val="28"/>
      <w:szCs w:val="28"/>
    </w:rPr>
  </w:style>
  <w:style w:type="paragraph" w:customStyle="1" w:styleId="5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2">
    <w:name w:val="参考文献"/>
    <w:basedOn w:val="1"/>
    <w:next w:val="20"/>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53">
    <w:name w:val="正文公式编号制表符"/>
    <w:basedOn w:val="20"/>
    <w:next w:val="20"/>
    <w:qFormat/>
    <w:uiPriority w:val="0"/>
    <w:pPr>
      <w:ind w:firstLine="0" w:firstLineChars="0"/>
    </w:pPr>
  </w:style>
  <w:style w:type="paragraph" w:customStyle="1" w:styleId="54">
    <w:name w:val="标准书眉_偶数页"/>
    <w:basedOn w:val="55"/>
    <w:next w:val="1"/>
    <w:qFormat/>
    <w:uiPriority w:val="0"/>
    <w:pPr>
      <w:tabs>
        <w:tab w:val="center" w:pos="4154"/>
        <w:tab w:val="right" w:pos="8306"/>
      </w:tabs>
      <w:jc w:val="left"/>
    </w:pPr>
    <w:rPr>
      <w:rFonts w:ascii="黑体" w:eastAsia="黑体"/>
    </w:rPr>
  </w:style>
  <w:style w:type="paragraph" w:customStyle="1" w:styleId="5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57">
    <w:name w:val="封面标准文稿类别2"/>
    <w:basedOn w:val="58"/>
    <w:qFormat/>
    <w:uiPriority w:val="0"/>
    <w:pPr>
      <w:framePr w:y="4469"/>
    </w:pPr>
  </w:style>
  <w:style w:type="paragraph" w:customStyle="1" w:styleId="58">
    <w:name w:val="封面标准文稿类别"/>
    <w:basedOn w:val="59"/>
    <w:qFormat/>
    <w:uiPriority w:val="0"/>
    <w:pPr>
      <w:spacing w:after="160" w:line="240" w:lineRule="auto"/>
    </w:pPr>
    <w:rPr>
      <w:sz w:val="24"/>
    </w:rPr>
  </w:style>
  <w:style w:type="paragraph" w:customStyle="1" w:styleId="59">
    <w:name w:val="封面一致性程度标识"/>
    <w:basedOn w:val="50"/>
    <w:qFormat/>
    <w:uiPriority w:val="0"/>
    <w:pPr>
      <w:spacing w:before="440"/>
    </w:pPr>
    <w:rPr>
      <w:rFonts w:ascii="宋体" w:eastAsia="宋体"/>
    </w:rPr>
  </w:style>
  <w:style w:type="paragraph" w:customStyle="1" w:styleId="60">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1">
    <w:name w:val="示例×："/>
    <w:basedOn w:val="62"/>
    <w:qFormat/>
    <w:uiPriority w:val="0"/>
    <w:pPr>
      <w:numPr>
        <w:ilvl w:val="0"/>
        <w:numId w:val="6"/>
      </w:numPr>
      <w:spacing w:before="0" w:beforeLines="0" w:after="0" w:afterLines="0"/>
      <w:outlineLvl w:val="9"/>
    </w:pPr>
    <w:rPr>
      <w:rFonts w:ascii="宋体" w:eastAsia="宋体"/>
      <w:sz w:val="18"/>
      <w:szCs w:val="18"/>
    </w:rPr>
  </w:style>
  <w:style w:type="paragraph" w:customStyle="1" w:styleId="62">
    <w:name w:val="章标题"/>
    <w:next w:val="20"/>
    <w:qFormat/>
    <w:uiPriority w:val="0"/>
    <w:pPr>
      <w:numPr>
        <w:ilvl w:val="0"/>
        <w:numId w:val="7"/>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63">
    <w:name w:val="附录一级条标题"/>
    <w:basedOn w:val="64"/>
    <w:next w:val="20"/>
    <w:qFormat/>
    <w:uiPriority w:val="0"/>
    <w:pPr>
      <w:numPr>
        <w:ilvl w:val="2"/>
        <w:numId w:val="4"/>
      </w:numPr>
      <w:tabs>
        <w:tab w:val="left" w:pos="360"/>
      </w:tabs>
      <w:autoSpaceDN w:val="0"/>
      <w:spacing w:before="50" w:beforeLines="50" w:after="50" w:afterLines="50"/>
      <w:outlineLvl w:val="2"/>
    </w:pPr>
  </w:style>
  <w:style w:type="paragraph" w:customStyle="1" w:styleId="64">
    <w:name w:val="附录章标题"/>
    <w:next w:val="20"/>
    <w:qFormat/>
    <w:uiPriority w:val="0"/>
    <w:pPr>
      <w:numPr>
        <w:ilvl w:val="1"/>
        <w:numId w:val="4"/>
      </w:numPr>
      <w:tabs>
        <w:tab w:val="left" w:pos="360"/>
      </w:tabs>
      <w:wordWrap w:val="0"/>
      <w:overflowPunct w:val="0"/>
      <w:autoSpaceDE w:val="0"/>
      <w:spacing w:before="100" w:beforeLines="100" w:after="100" w:afterLines="100"/>
      <w:ind w:left="4395"/>
      <w:jc w:val="both"/>
      <w:textAlignment w:val="baseline"/>
      <w:outlineLvl w:val="1"/>
    </w:pPr>
    <w:rPr>
      <w:rFonts w:ascii="黑体" w:hAnsi="Times New Roman" w:eastAsia="黑体" w:cs="Times New Roman"/>
      <w:kern w:val="21"/>
      <w:sz w:val="21"/>
      <w:lang w:val="en-US" w:eastAsia="zh-CN" w:bidi="ar-SA"/>
    </w:rPr>
  </w:style>
  <w:style w:type="paragraph" w:customStyle="1" w:styleId="65">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66">
    <w:name w:val="五级无"/>
    <w:basedOn w:val="67"/>
    <w:qFormat/>
    <w:uiPriority w:val="0"/>
    <w:pPr>
      <w:spacing w:before="0" w:beforeLines="0" w:after="0" w:afterLines="0"/>
    </w:pPr>
    <w:rPr>
      <w:rFonts w:ascii="宋体" w:eastAsia="宋体"/>
    </w:rPr>
  </w:style>
  <w:style w:type="paragraph" w:customStyle="1" w:styleId="67">
    <w:name w:val="五级条标题"/>
    <w:basedOn w:val="68"/>
    <w:next w:val="20"/>
    <w:qFormat/>
    <w:uiPriority w:val="0"/>
    <w:pPr>
      <w:numPr>
        <w:ilvl w:val="5"/>
        <w:numId w:val="7"/>
      </w:numPr>
      <w:outlineLvl w:val="6"/>
    </w:pPr>
  </w:style>
  <w:style w:type="paragraph" w:customStyle="1" w:styleId="68">
    <w:name w:val="四级条标题"/>
    <w:basedOn w:val="69"/>
    <w:next w:val="20"/>
    <w:qFormat/>
    <w:uiPriority w:val="0"/>
    <w:pPr>
      <w:numPr>
        <w:ilvl w:val="4"/>
        <w:numId w:val="7"/>
      </w:numPr>
      <w:outlineLvl w:val="5"/>
    </w:pPr>
  </w:style>
  <w:style w:type="paragraph" w:customStyle="1" w:styleId="69">
    <w:name w:val="三级条标题"/>
    <w:basedOn w:val="70"/>
    <w:next w:val="20"/>
    <w:qFormat/>
    <w:uiPriority w:val="0"/>
    <w:pPr>
      <w:numPr>
        <w:ilvl w:val="3"/>
        <w:numId w:val="7"/>
      </w:numPr>
      <w:outlineLvl w:val="4"/>
    </w:pPr>
  </w:style>
  <w:style w:type="paragraph" w:customStyle="1" w:styleId="70">
    <w:name w:val="二级条标题"/>
    <w:basedOn w:val="71"/>
    <w:next w:val="20"/>
    <w:qFormat/>
    <w:uiPriority w:val="0"/>
    <w:pPr>
      <w:numPr>
        <w:ilvl w:val="2"/>
        <w:numId w:val="7"/>
      </w:numPr>
      <w:spacing w:before="50" w:after="50"/>
      <w:outlineLvl w:val="3"/>
    </w:pPr>
  </w:style>
  <w:style w:type="paragraph" w:customStyle="1" w:styleId="71">
    <w:name w:val="一级条标题"/>
    <w:next w:val="20"/>
    <w:qFormat/>
    <w:uiPriority w:val="0"/>
    <w:pPr>
      <w:numPr>
        <w:ilvl w:val="1"/>
        <w:numId w:val="7"/>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72">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3">
    <w:name w:val="二级无"/>
    <w:basedOn w:val="70"/>
    <w:qFormat/>
    <w:uiPriority w:val="0"/>
    <w:pPr>
      <w:spacing w:before="0" w:beforeLines="0" w:after="0" w:afterLines="0"/>
      <w:ind w:left="0" w:firstLine="0"/>
    </w:pPr>
    <w:rPr>
      <w:rFonts w:ascii="宋体" w:eastAsia="宋体"/>
    </w:rPr>
  </w:style>
  <w:style w:type="paragraph" w:customStyle="1" w:styleId="74">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5">
    <w:name w:val="一级无"/>
    <w:basedOn w:val="71"/>
    <w:qFormat/>
    <w:uiPriority w:val="0"/>
    <w:pPr>
      <w:spacing w:before="0" w:beforeLines="0" w:after="0" w:afterLines="0"/>
    </w:pPr>
    <w:rPr>
      <w:rFonts w:ascii="宋体" w:eastAsia="宋体"/>
    </w:rPr>
  </w:style>
  <w:style w:type="paragraph" w:customStyle="1" w:styleId="7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77">
    <w:name w:val="附录四级条标题"/>
    <w:basedOn w:val="48"/>
    <w:next w:val="20"/>
    <w:qFormat/>
    <w:uiPriority w:val="0"/>
    <w:pPr>
      <w:numPr>
        <w:ilvl w:val="5"/>
        <w:numId w:val="4"/>
      </w:numPr>
      <w:outlineLvl w:val="5"/>
    </w:pPr>
  </w:style>
  <w:style w:type="paragraph" w:customStyle="1" w:styleId="78">
    <w:name w:val="附录五级条标题"/>
    <w:basedOn w:val="77"/>
    <w:next w:val="20"/>
    <w:qFormat/>
    <w:uiPriority w:val="0"/>
    <w:pPr>
      <w:numPr>
        <w:ilvl w:val="6"/>
        <w:numId w:val="4"/>
      </w:numPr>
      <w:outlineLvl w:val="6"/>
    </w:pPr>
  </w:style>
  <w:style w:type="paragraph" w:customStyle="1" w:styleId="79">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80">
    <w:name w:val="注×：（正文）"/>
    <w:qFormat/>
    <w:uiPriority w:val="0"/>
    <w:pPr>
      <w:numPr>
        <w:ilvl w:val="0"/>
        <w:numId w:val="8"/>
      </w:numPr>
      <w:jc w:val="both"/>
    </w:pPr>
    <w:rPr>
      <w:rFonts w:ascii="宋体" w:hAnsi="Times New Roman" w:eastAsia="宋体" w:cs="Times New Roman"/>
      <w:sz w:val="18"/>
      <w:szCs w:val="18"/>
      <w:lang w:val="en-US" w:eastAsia="zh-CN" w:bidi="ar-SA"/>
    </w:rPr>
  </w:style>
  <w:style w:type="paragraph" w:customStyle="1" w:styleId="81">
    <w:name w:val="图的脚注"/>
    <w:next w:val="20"/>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82">
    <w:name w:val="注：（正文）"/>
    <w:basedOn w:val="83"/>
    <w:next w:val="20"/>
    <w:qFormat/>
    <w:uiPriority w:val="0"/>
  </w:style>
  <w:style w:type="paragraph" w:customStyle="1" w:styleId="83">
    <w:name w:val="注："/>
    <w:next w:val="20"/>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8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8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86">
    <w:name w:val="附录数字编号列项（二级）"/>
    <w:qFormat/>
    <w:uiPriority w:val="0"/>
    <w:pPr>
      <w:numPr>
        <w:ilvl w:val="1"/>
        <w:numId w:val="10"/>
      </w:numPr>
    </w:pPr>
    <w:rPr>
      <w:rFonts w:ascii="宋体" w:hAnsi="Times New Roman" w:eastAsia="宋体" w:cs="Times New Roman"/>
      <w:sz w:val="21"/>
      <w:lang w:val="en-US" w:eastAsia="zh-CN" w:bidi="ar-SA"/>
    </w:rPr>
  </w:style>
  <w:style w:type="paragraph" w:customStyle="1" w:styleId="87">
    <w:name w:val="附录图标题"/>
    <w:basedOn w:val="1"/>
    <w:next w:val="20"/>
    <w:qFormat/>
    <w:uiPriority w:val="0"/>
    <w:pPr>
      <w:numPr>
        <w:ilvl w:val="1"/>
        <w:numId w:val="11"/>
      </w:numPr>
      <w:tabs>
        <w:tab w:val="left" w:pos="363"/>
      </w:tabs>
      <w:spacing w:before="50" w:beforeLines="50" w:after="50" w:afterLines="50"/>
      <w:ind w:left="0" w:firstLine="0"/>
      <w:jc w:val="center"/>
    </w:pPr>
    <w:rPr>
      <w:rFonts w:ascii="黑体" w:eastAsia="黑体"/>
      <w:szCs w:val="21"/>
    </w:rPr>
  </w:style>
  <w:style w:type="paragraph" w:customStyle="1" w:styleId="8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9">
    <w:name w:val="其他实施日期"/>
    <w:basedOn w:val="44"/>
    <w:qFormat/>
    <w:uiPriority w:val="0"/>
  </w:style>
  <w:style w:type="paragraph" w:customStyle="1" w:styleId="90">
    <w:name w:val="正文图标题"/>
    <w:next w:val="20"/>
    <w:qFormat/>
    <w:uiPriority w:val="0"/>
    <w:pPr>
      <w:numPr>
        <w:ilvl w:val="0"/>
        <w:numId w:val="12"/>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91">
    <w:name w:val="其他发布日期"/>
    <w:basedOn w:val="45"/>
    <w:qFormat/>
    <w:uiPriority w:val="0"/>
    <w:pPr>
      <w:framePr w:vAnchor="page" w:hAnchor="page" w:x="1419"/>
    </w:pPr>
  </w:style>
  <w:style w:type="paragraph" w:customStyle="1" w:styleId="92">
    <w:name w:val="三级无"/>
    <w:basedOn w:val="69"/>
    <w:qFormat/>
    <w:uiPriority w:val="0"/>
    <w:pPr>
      <w:spacing w:before="0" w:beforeLines="0" w:after="0" w:afterLines="0"/>
    </w:pPr>
    <w:rPr>
      <w:rFonts w:ascii="宋体" w:eastAsia="宋体"/>
    </w:rPr>
  </w:style>
  <w:style w:type="paragraph" w:customStyle="1" w:styleId="93">
    <w:name w:val="封面正文"/>
    <w:qFormat/>
    <w:uiPriority w:val="0"/>
    <w:pPr>
      <w:jc w:val="both"/>
    </w:pPr>
    <w:rPr>
      <w:rFonts w:ascii="Times New Roman" w:hAnsi="Times New Roman" w:eastAsia="宋体" w:cs="Times New Roman"/>
      <w:lang w:val="en-US" w:eastAsia="zh-CN" w:bidi="ar-SA"/>
    </w:rPr>
  </w:style>
  <w:style w:type="paragraph" w:customStyle="1" w:styleId="94">
    <w:name w:val="附录表标题"/>
    <w:basedOn w:val="1"/>
    <w:next w:val="20"/>
    <w:qFormat/>
    <w:uiPriority w:val="0"/>
    <w:pPr>
      <w:numPr>
        <w:ilvl w:val="1"/>
        <w:numId w:val="13"/>
      </w:numPr>
      <w:tabs>
        <w:tab w:val="left" w:pos="180"/>
      </w:tabs>
      <w:spacing w:before="50" w:beforeLines="50" w:after="50" w:afterLines="50"/>
      <w:ind w:left="0" w:firstLine="0"/>
      <w:jc w:val="center"/>
    </w:pPr>
    <w:rPr>
      <w:rFonts w:ascii="黑体" w:eastAsia="黑体"/>
      <w:szCs w:val="21"/>
    </w:rPr>
  </w:style>
  <w:style w:type="paragraph" w:customStyle="1" w:styleId="95">
    <w:name w:val="图表脚注说明"/>
    <w:basedOn w:val="1"/>
    <w:qFormat/>
    <w:uiPriority w:val="0"/>
    <w:pPr>
      <w:numPr>
        <w:ilvl w:val="0"/>
        <w:numId w:val="14"/>
      </w:numPr>
    </w:pPr>
    <w:rPr>
      <w:rFonts w:ascii="宋体"/>
      <w:sz w:val="18"/>
      <w:szCs w:val="18"/>
    </w:rPr>
  </w:style>
  <w:style w:type="paragraph" w:customStyle="1" w:styleId="96">
    <w:name w:val="附录表标号"/>
    <w:basedOn w:val="1"/>
    <w:next w:val="20"/>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97">
    <w:name w:val="附录五级无"/>
    <w:basedOn w:val="78"/>
    <w:qFormat/>
    <w:uiPriority w:val="0"/>
    <w:pPr>
      <w:tabs>
        <w:tab w:val="clear" w:pos="360"/>
      </w:tabs>
      <w:spacing w:before="0" w:beforeLines="0" w:after="0" w:afterLines="0"/>
    </w:pPr>
    <w:rPr>
      <w:rFonts w:ascii="宋体" w:eastAsia="宋体"/>
      <w:szCs w:val="21"/>
    </w:rPr>
  </w:style>
  <w:style w:type="paragraph" w:customStyle="1" w:styleId="98">
    <w:name w:val="图标脚注说明"/>
    <w:basedOn w:val="20"/>
    <w:qFormat/>
    <w:uiPriority w:val="0"/>
    <w:pPr>
      <w:ind w:left="840" w:hanging="420" w:firstLineChars="0"/>
    </w:pPr>
    <w:rPr>
      <w:sz w:val="18"/>
      <w:szCs w:val="18"/>
    </w:rPr>
  </w:style>
  <w:style w:type="paragraph" w:customStyle="1" w:styleId="99">
    <w:name w:val="目次、标准名称标题"/>
    <w:basedOn w:val="1"/>
    <w:next w:val="2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00">
    <w:name w:val="附录一级无"/>
    <w:basedOn w:val="63"/>
    <w:qFormat/>
    <w:uiPriority w:val="0"/>
    <w:pPr>
      <w:tabs>
        <w:tab w:val="clear" w:pos="360"/>
      </w:tabs>
      <w:spacing w:before="0" w:beforeLines="0" w:after="0" w:afterLines="0"/>
    </w:pPr>
    <w:rPr>
      <w:rFonts w:ascii="宋体" w:eastAsia="宋体"/>
      <w:szCs w:val="21"/>
    </w:rPr>
  </w:style>
  <w:style w:type="paragraph" w:customStyle="1" w:styleId="101">
    <w:name w:val="附录图标号"/>
    <w:basedOn w:val="1"/>
    <w:qFormat/>
    <w:uiPriority w:val="0"/>
    <w:pPr>
      <w:keepNext/>
      <w:pageBreakBefore/>
      <w:widowControl/>
      <w:numPr>
        <w:ilvl w:val="0"/>
        <w:numId w:val="11"/>
      </w:numPr>
      <w:spacing w:line="14" w:lineRule="exact"/>
      <w:ind w:left="0" w:firstLine="363"/>
      <w:jc w:val="center"/>
      <w:outlineLvl w:val="0"/>
    </w:pPr>
    <w:rPr>
      <w:color w:val="FFFFFF"/>
    </w:rPr>
  </w:style>
  <w:style w:type="paragraph" w:customStyle="1" w:styleId="102">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03">
    <w:name w:val="条文脚注"/>
    <w:basedOn w:val="21"/>
    <w:qFormat/>
    <w:uiPriority w:val="0"/>
    <w:pPr>
      <w:numPr>
        <w:ilvl w:val="0"/>
        <w:numId w:val="0"/>
      </w:numPr>
      <w:jc w:val="both"/>
    </w:pPr>
    <w:rPr>
      <w:rFonts w:ascii="宋体"/>
    </w:rPr>
  </w:style>
  <w:style w:type="paragraph" w:customStyle="1" w:styleId="104">
    <w:name w:val="附录字母编号列项（一级）"/>
    <w:qFormat/>
    <w:uiPriority w:val="0"/>
    <w:pPr>
      <w:numPr>
        <w:ilvl w:val="0"/>
        <w:numId w:val="10"/>
      </w:numPr>
    </w:pPr>
    <w:rPr>
      <w:rFonts w:ascii="宋体" w:hAnsi="Times New Roman" w:eastAsia="宋体" w:cs="Times New Roman"/>
      <w:sz w:val="21"/>
      <w:lang w:val="en-US" w:eastAsia="zh-CN" w:bidi="ar-SA"/>
    </w:rPr>
  </w:style>
  <w:style w:type="paragraph" w:customStyle="1" w:styleId="105">
    <w:name w:val="封面标准文稿编辑信息"/>
    <w:basedOn w:val="58"/>
    <w:qFormat/>
    <w:uiPriority w:val="0"/>
    <w:pPr>
      <w:spacing w:before="180" w:line="180" w:lineRule="exact"/>
    </w:pPr>
    <w:rPr>
      <w:sz w:val="21"/>
    </w:rPr>
  </w:style>
  <w:style w:type="paragraph" w:customStyle="1" w:styleId="106">
    <w:name w:val="参考文献、索引标题"/>
    <w:basedOn w:val="1"/>
    <w:next w:val="20"/>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07">
    <w:name w:val="封面标准名称2"/>
    <w:basedOn w:val="51"/>
    <w:qFormat/>
    <w:uiPriority w:val="0"/>
    <w:pPr>
      <w:framePr w:y="4469"/>
      <w:spacing w:before="630" w:beforeLines="630"/>
    </w:pPr>
  </w:style>
  <w:style w:type="paragraph" w:customStyle="1" w:styleId="10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10">
    <w:name w:val="附录标识"/>
    <w:basedOn w:val="1"/>
    <w:next w:val="20"/>
    <w:qFormat/>
    <w:uiPriority w:val="0"/>
    <w:pPr>
      <w:keepNext/>
      <w:widowControl/>
      <w:numPr>
        <w:ilvl w:val="0"/>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11">
    <w:name w:val="封面一致性程度标识2"/>
    <w:basedOn w:val="59"/>
    <w:qFormat/>
    <w:uiPriority w:val="0"/>
    <w:pPr>
      <w:framePr w:y="4469"/>
    </w:pPr>
  </w:style>
  <w:style w:type="paragraph" w:customStyle="1" w:styleId="112">
    <w:name w:val="列项●（二级）"/>
    <w:qFormat/>
    <w:uiPriority w:val="0"/>
    <w:pPr>
      <w:numPr>
        <w:ilvl w:val="1"/>
        <w:numId w:val="15"/>
      </w:numPr>
      <w:tabs>
        <w:tab w:val="left" w:pos="840"/>
      </w:tabs>
      <w:jc w:val="both"/>
    </w:pPr>
    <w:rPr>
      <w:rFonts w:ascii="宋体" w:hAnsi="Times New Roman" w:eastAsia="宋体" w:cs="Times New Roman"/>
      <w:sz w:val="21"/>
      <w:lang w:val="en-US" w:eastAsia="zh-CN" w:bidi="ar-SA"/>
    </w:rPr>
  </w:style>
  <w:style w:type="paragraph" w:customStyle="1" w:styleId="113">
    <w:name w:val="封面标准文稿编辑信息2"/>
    <w:basedOn w:val="105"/>
    <w:qFormat/>
    <w:uiPriority w:val="0"/>
    <w:pPr>
      <w:framePr w:y="4469"/>
    </w:p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列项——（一级）"/>
    <w:qFormat/>
    <w:uiPriority w:val="0"/>
    <w:pPr>
      <w:widowControl w:val="0"/>
      <w:numPr>
        <w:ilvl w:val="0"/>
        <w:numId w:val="15"/>
      </w:numPr>
      <w:jc w:val="both"/>
    </w:pPr>
    <w:rPr>
      <w:rFonts w:ascii="宋体" w:hAnsi="Times New Roman" w:eastAsia="宋体" w:cs="Times New Roman"/>
      <w:sz w:val="21"/>
      <w:lang w:val="en-US" w:eastAsia="zh-CN" w:bidi="ar-SA"/>
    </w:rPr>
  </w:style>
  <w:style w:type="paragraph" w:customStyle="1" w:styleId="116">
    <w:name w:val="前言、引言标题"/>
    <w:next w:val="20"/>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7">
    <w:name w:val="注×："/>
    <w:qFormat/>
    <w:uiPriority w:val="0"/>
    <w:pPr>
      <w:widowControl w:val="0"/>
      <w:numPr>
        <w:ilvl w:val="0"/>
        <w:numId w:val="16"/>
      </w:numPr>
      <w:autoSpaceDE w:val="0"/>
      <w:autoSpaceDN w:val="0"/>
      <w:jc w:val="both"/>
    </w:pPr>
    <w:rPr>
      <w:rFonts w:ascii="宋体" w:hAnsi="Times New Roman" w:eastAsia="宋体" w:cs="Times New Roman"/>
      <w:sz w:val="18"/>
      <w:szCs w:val="18"/>
      <w:lang w:val="en-US" w:eastAsia="zh-CN" w:bidi="ar-SA"/>
    </w:rPr>
  </w:style>
  <w:style w:type="paragraph" w:customStyle="1" w:styleId="118">
    <w:name w:val="列项◆（三级）"/>
    <w:basedOn w:val="1"/>
    <w:qFormat/>
    <w:uiPriority w:val="0"/>
    <w:pPr>
      <w:numPr>
        <w:ilvl w:val="2"/>
        <w:numId w:val="15"/>
      </w:numPr>
    </w:pPr>
    <w:rPr>
      <w:rFonts w:ascii="宋体"/>
      <w:szCs w:val="21"/>
    </w:rPr>
  </w:style>
  <w:style w:type="paragraph" w:customStyle="1" w:styleId="119">
    <w:name w:val="附录公式编号制表符"/>
    <w:basedOn w:val="1"/>
    <w:next w:val="20"/>
    <w:qFormat/>
    <w:uiPriority w:val="0"/>
    <w:pPr>
      <w:widowControl/>
      <w:tabs>
        <w:tab w:val="center" w:pos="4201"/>
        <w:tab w:val="right" w:leader="dot" w:pos="9298"/>
      </w:tabs>
      <w:autoSpaceDE w:val="0"/>
      <w:autoSpaceDN w:val="0"/>
    </w:pPr>
    <w:rPr>
      <w:rFonts w:ascii="宋体"/>
      <w:kern w:val="0"/>
      <w:szCs w:val="20"/>
    </w:rPr>
  </w:style>
  <w:style w:type="paragraph" w:customStyle="1" w:styleId="120">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121">
    <w:name w:val="四级无"/>
    <w:basedOn w:val="68"/>
    <w:qFormat/>
    <w:uiPriority w:val="0"/>
    <w:pPr>
      <w:spacing w:before="0" w:beforeLines="0" w:after="0" w:afterLines="0"/>
    </w:pPr>
    <w:rPr>
      <w:rFonts w:ascii="宋体" w:eastAsia="宋体"/>
    </w:rPr>
  </w:style>
  <w:style w:type="paragraph" w:customStyle="1" w:styleId="122">
    <w:name w:val="封面标准英文名称2"/>
    <w:basedOn w:val="50"/>
    <w:qFormat/>
    <w:uiPriority w:val="0"/>
    <w:pPr>
      <w:framePr w:y="4469"/>
    </w:pPr>
  </w:style>
  <w:style w:type="paragraph" w:customStyle="1" w:styleId="123">
    <w:name w:val="其他发布部门"/>
    <w:basedOn w:val="46"/>
    <w:qFormat/>
    <w:uiPriority w:val="0"/>
    <w:pPr>
      <w:framePr w:y="15310"/>
      <w:spacing w:line="0" w:lineRule="atLeast"/>
    </w:pPr>
    <w:rPr>
      <w:rFonts w:ascii="黑体" w:eastAsia="黑体"/>
      <w:b w:val="0"/>
    </w:rPr>
  </w:style>
  <w:style w:type="paragraph" w:customStyle="1" w:styleId="124">
    <w:name w:val="示例后文字"/>
    <w:basedOn w:val="20"/>
    <w:next w:val="20"/>
    <w:qFormat/>
    <w:uiPriority w:val="0"/>
    <w:pPr>
      <w:ind w:firstLine="360"/>
    </w:pPr>
    <w:rPr>
      <w:sz w:val="18"/>
    </w:rPr>
  </w:style>
  <w:style w:type="paragraph" w:customStyle="1" w:styleId="125">
    <w:name w:val="终结线"/>
    <w:basedOn w:val="1"/>
    <w:qFormat/>
    <w:uiPriority w:val="0"/>
    <w:pPr>
      <w:framePr w:hSpace="181" w:vSpace="181" w:wrap="around" w:vAnchor="text" w:hAnchor="margin" w:xAlign="center" w:y="285"/>
    </w:pPr>
  </w:style>
  <w:style w:type="paragraph" w:customStyle="1" w:styleId="126">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127">
    <w:name w:val="附录四级无"/>
    <w:basedOn w:val="77"/>
    <w:qFormat/>
    <w:uiPriority w:val="0"/>
    <w:pPr>
      <w:tabs>
        <w:tab w:val="clear" w:pos="360"/>
      </w:tabs>
      <w:spacing w:before="0" w:beforeLines="0" w:after="0" w:afterLines="0"/>
    </w:pPr>
    <w:rPr>
      <w:rFonts w:ascii="宋体" w:eastAsia="宋体"/>
      <w:szCs w:val="21"/>
    </w:rPr>
  </w:style>
  <w:style w:type="paragraph" w:customStyle="1" w:styleId="128">
    <w:name w:val="附录标题"/>
    <w:basedOn w:val="20"/>
    <w:next w:val="20"/>
    <w:qFormat/>
    <w:uiPriority w:val="0"/>
    <w:pPr>
      <w:ind w:firstLine="0" w:firstLineChars="0"/>
      <w:jc w:val="center"/>
    </w:pPr>
    <w:rPr>
      <w:rFonts w:ascii="黑体" w:eastAsia="黑体"/>
    </w:rPr>
  </w:style>
  <w:style w:type="paragraph" w:customStyle="1" w:styleId="129">
    <w:name w:val="附录二级无"/>
    <w:basedOn w:val="49"/>
    <w:qFormat/>
    <w:uiPriority w:val="0"/>
    <w:pPr>
      <w:tabs>
        <w:tab w:val="clear" w:pos="360"/>
      </w:tabs>
      <w:spacing w:before="0" w:beforeLines="0" w:after="0" w:afterLines="0"/>
    </w:pPr>
    <w:rPr>
      <w:rFonts w:ascii="宋体" w:eastAsia="宋体"/>
      <w:szCs w:val="21"/>
    </w:rPr>
  </w:style>
  <w:style w:type="paragraph" w:customStyle="1" w:styleId="130">
    <w:name w:val="正文表标题"/>
    <w:next w:val="20"/>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1">
    <w:name w:val="其他标准标志"/>
    <w:basedOn w:val="74"/>
    <w:qFormat/>
    <w:uiPriority w:val="0"/>
    <w:pPr>
      <w:framePr w:w="6101" w:vAnchor="page" w:hAnchor="page" w:x="4673" w:y="942"/>
    </w:pPr>
    <w:rPr>
      <w:w w:val="13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oleObject" Target="embeddings/oleObject8.bin"/><Relationship Id="rId23" Type="http://schemas.openxmlformats.org/officeDocument/2006/relationships/oleObject" Target="embeddings/oleObject7.bin"/><Relationship Id="rId22" Type="http://schemas.openxmlformats.org/officeDocument/2006/relationships/oleObject" Target="embeddings/oleObject6.bin"/><Relationship Id="rId21" Type="http://schemas.openxmlformats.org/officeDocument/2006/relationships/image" Target="media/image5.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1-1食品快速检测产品评价技术规范-标准文本（征求意见稿）-20241017.dot</Template>
  <Pages>14</Pages>
  <Words>6103</Words>
  <Characters>6739</Characters>
  <Lines>54</Lines>
  <Paragraphs>15</Paragraphs>
  <TotalTime>0</TotalTime>
  <ScaleCrop>false</ScaleCrop>
  <LinksUpToDate>false</LinksUpToDate>
  <CharactersWithSpaces>7144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2024-10-18T06:01:00Z</dcterms:created>
  <dcterms:modified xsi:type="dcterms:W3CDTF">2024-11-07T07:15:50Z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3B187E9545BA4A86B94084A00AAD2E75_13</vt:lpwstr>
  </property>
</Properties>
</file>