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rPr>
      </w:pPr>
      <w:r>
        <w:rPr>
          <w:rFonts w:ascii="Times New Roman" w:hAnsi="Times New Roman" w:eastAsia="黑体"/>
          <w:color w:val="000000"/>
          <w:sz w:val="36"/>
          <w:szCs w:val="36"/>
        </w:rPr>
        <w:t>安徽省地方标准编制说明</w:t>
      </w:r>
    </w:p>
    <w:tbl>
      <w:tblPr>
        <w:tblStyle w:val="9"/>
        <w:tblW w:w="50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
        <w:gridCol w:w="1007"/>
        <w:gridCol w:w="3497"/>
        <w:gridCol w:w="923"/>
        <w:gridCol w:w="1316"/>
        <w:gridCol w:w="1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62" w:type="pct"/>
            <w:gridSpan w:val="2"/>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标准名称</w:t>
            </w:r>
          </w:p>
        </w:tc>
        <w:tc>
          <w:tcPr>
            <w:tcW w:w="4137" w:type="pct"/>
            <w:gridSpan w:val="4"/>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r>
              <w:rPr>
                <w:rFonts w:hint="eastAsia" w:ascii="宋体" w:hAnsi="宋体"/>
                <w:szCs w:val="21"/>
                <w:lang w:eastAsia="zh-CN"/>
              </w:rPr>
              <w:t>薏苡主要病虫草害绿色防控技术规程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62" w:type="pct"/>
            <w:gridSpan w:val="2"/>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任务来源（项目计划号）</w:t>
            </w:r>
          </w:p>
        </w:tc>
        <w:tc>
          <w:tcPr>
            <w:tcW w:w="4137" w:type="pct"/>
            <w:gridSpan w:val="4"/>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r>
              <w:rPr>
                <w:rFonts w:hint="eastAsia" w:ascii="宋体" w:hAnsi="宋体"/>
                <w:kern w:val="0"/>
                <w:szCs w:val="21"/>
              </w:rPr>
              <w:t>安徽省市场监督管理局《关于下达2023年第二批安徽省地方标准制修订计划的通知》（皖市监函〔2023〕478号），计划编号为2023-2-</w:t>
            </w:r>
            <w:r>
              <w:rPr>
                <w:rFonts w:hint="eastAsia" w:ascii="宋体" w:hAnsi="宋体"/>
                <w:kern w:val="0"/>
                <w:szCs w:val="21"/>
                <w:lang w:val="en-US" w:eastAsia="zh-CN"/>
              </w:rPr>
              <w:t>90</w:t>
            </w:r>
            <w:r>
              <w:rPr>
                <w:rFonts w:hint="eastAsia" w:ascii="宋体" w:hAnsi="宋体"/>
                <w:kern w:val="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62" w:type="pct"/>
            <w:gridSpan w:val="2"/>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负责起草单位</w:t>
            </w:r>
          </w:p>
          <w:p>
            <w:pPr>
              <w:widowControl/>
              <w:tabs>
                <w:tab w:val="center" w:pos="4201"/>
                <w:tab w:val="right" w:leader="dot" w:pos="9298"/>
              </w:tabs>
              <w:autoSpaceDE w:val="0"/>
              <w:autoSpaceDN w:val="0"/>
              <w:adjustRightInd w:val="0"/>
              <w:spacing w:line="360" w:lineRule="auto"/>
              <w:contextualSpacing/>
              <w:jc w:val="center"/>
              <w:rPr>
                <w:rFonts w:ascii="宋体" w:hAnsi="宋体"/>
                <w:b/>
                <w:kern w:val="0"/>
                <w:szCs w:val="21"/>
              </w:rPr>
            </w:pPr>
            <w:r>
              <w:rPr>
                <w:rFonts w:hint="eastAsia" w:ascii="宋体"/>
                <w:b/>
                <w:kern w:val="0"/>
                <w:szCs w:val="20"/>
              </w:rPr>
              <w:t>（盖章）</w:t>
            </w:r>
          </w:p>
        </w:tc>
        <w:tc>
          <w:tcPr>
            <w:tcW w:w="4137" w:type="pct"/>
            <w:gridSpan w:val="4"/>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r>
              <w:rPr>
                <w:rFonts w:hint="eastAsia" w:ascii="宋体" w:hAnsi="宋体"/>
                <w:kern w:val="0"/>
                <w:szCs w:val="21"/>
              </w:rPr>
              <w:t>安徽农业科学院</w:t>
            </w:r>
            <w:r>
              <w:rPr>
                <w:rFonts w:hint="eastAsia" w:ascii="宋体" w:hAnsi="宋体"/>
                <w:kern w:val="0"/>
                <w:szCs w:val="21"/>
                <w:lang w:eastAsia="zh-CN"/>
              </w:rPr>
              <w:t>棉花</w:t>
            </w:r>
            <w:r>
              <w:rPr>
                <w:rFonts w:hint="eastAsia" w:ascii="宋体" w:hAnsi="宋体"/>
                <w:kern w:val="0"/>
                <w:szCs w:val="21"/>
              </w:rPr>
              <w:t>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62" w:type="pct"/>
            <w:gridSpan w:val="2"/>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单位地址</w:t>
            </w:r>
          </w:p>
        </w:tc>
        <w:tc>
          <w:tcPr>
            <w:tcW w:w="4137" w:type="pct"/>
            <w:gridSpan w:val="4"/>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r>
              <w:rPr>
                <w:rFonts w:hint="eastAsia" w:ascii="宋体" w:hAnsi="宋体"/>
                <w:kern w:val="0"/>
                <w:szCs w:val="21"/>
              </w:rPr>
              <w:t xml:space="preserve">安徽省合肥市庐阳区农科南路40号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62" w:type="pct"/>
            <w:gridSpan w:val="2"/>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参与起草单位</w:t>
            </w:r>
          </w:p>
        </w:tc>
        <w:tc>
          <w:tcPr>
            <w:tcW w:w="4137" w:type="pct"/>
            <w:gridSpan w:val="4"/>
            <w:vAlign w:val="center"/>
          </w:tcPr>
          <w:p>
            <w:pPr>
              <w:pStyle w:val="13"/>
              <w:tabs>
                <w:tab w:val="clear" w:pos="4201"/>
                <w:tab w:val="clear" w:pos="9298"/>
              </w:tabs>
              <w:ind w:left="0" w:leftChars="0" w:firstLine="0" w:firstLineChars="0"/>
              <w:rPr>
                <w:color w:val="FF0000"/>
              </w:rPr>
            </w:pPr>
            <w:r>
              <w:rPr>
                <w:rFonts w:hint="eastAsia" w:ascii="宋体" w:hAnsi="宋体" w:eastAsia="宋体" w:cs="Times New Roman"/>
                <w:kern w:val="0"/>
                <w:sz w:val="21"/>
                <w:szCs w:val="21"/>
                <w:lang w:val="en-US" w:eastAsia="zh-CN" w:bidi="ar-SA"/>
              </w:rPr>
              <w:t>安徽省农业科学院</w:t>
            </w:r>
            <w:r>
              <w:rPr>
                <w:rFonts w:hint="eastAsia" w:hAnsi="宋体" w:cs="Times New Roman"/>
                <w:kern w:val="0"/>
                <w:sz w:val="21"/>
                <w:szCs w:val="21"/>
                <w:lang w:val="en-US" w:eastAsia="zh-CN" w:bidi="ar-SA"/>
              </w:rPr>
              <w:t>棉花</w:t>
            </w:r>
            <w:bookmarkStart w:id="31" w:name="_GoBack"/>
            <w:bookmarkEnd w:id="31"/>
            <w:r>
              <w:rPr>
                <w:rFonts w:hint="eastAsia" w:ascii="宋体" w:hAnsi="宋体" w:eastAsia="宋体" w:cs="Times New Roman"/>
                <w:kern w:val="0"/>
                <w:sz w:val="21"/>
                <w:szCs w:val="21"/>
                <w:lang w:val="en-US" w:eastAsia="zh-CN" w:bidi="ar-SA"/>
              </w:rPr>
              <w:t>研究所、安徽</w:t>
            </w:r>
            <w:r>
              <w:rPr>
                <w:rFonts w:hint="eastAsia" w:hAnsi="宋体" w:cs="Times New Roman"/>
                <w:kern w:val="0"/>
                <w:sz w:val="21"/>
                <w:szCs w:val="21"/>
                <w:lang w:val="en-US" w:eastAsia="zh-CN" w:bidi="ar-SA"/>
              </w:rPr>
              <w:t>徽农生态食品有限公司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b/>
                <w:kern w:val="0"/>
                <w:szCs w:val="21"/>
              </w:rPr>
            </w:pPr>
            <w:r>
              <w:rPr>
                <w:rFonts w:hint="eastAsia" w:ascii="宋体" w:hAnsi="宋体"/>
                <w:b/>
                <w:kern w:val="0"/>
                <w:szCs w:val="21"/>
              </w:rPr>
              <w:t>标准起草人</w:t>
            </w:r>
          </w:p>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（全部起草人，应与标准文本前言中起草人排序一致）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序号</w:t>
            </w:r>
          </w:p>
        </w:tc>
        <w:tc>
          <w:tcPr>
            <w:tcW w:w="581"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姓名</w:t>
            </w:r>
          </w:p>
        </w:tc>
        <w:tc>
          <w:tcPr>
            <w:tcW w:w="202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单位</w:t>
            </w:r>
          </w:p>
        </w:tc>
        <w:tc>
          <w:tcPr>
            <w:tcW w:w="533"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职务</w:t>
            </w:r>
          </w:p>
        </w:tc>
        <w:tc>
          <w:tcPr>
            <w:tcW w:w="76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职称</w:t>
            </w:r>
          </w:p>
        </w:tc>
        <w:tc>
          <w:tcPr>
            <w:tcW w:w="823"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1</w:t>
            </w:r>
          </w:p>
        </w:tc>
        <w:tc>
          <w:tcPr>
            <w:tcW w:w="581"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ascii="宋体" w:hAnsi="宋体" w:eastAsia="宋体" w:cs="Times New Roman"/>
                <w:kern w:val="0"/>
                <w:sz w:val="21"/>
                <w:szCs w:val="21"/>
                <w:lang w:val="en-US" w:eastAsia="zh-CN" w:bidi="ar-SA"/>
              </w:rPr>
            </w:pPr>
            <w:r>
              <w:rPr>
                <w:rFonts w:hint="eastAsia"/>
                <w:lang w:eastAsia="zh-CN"/>
              </w:rPr>
              <w:t>朱加保</w:t>
            </w:r>
          </w:p>
        </w:tc>
        <w:tc>
          <w:tcPr>
            <w:tcW w:w="202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r>
              <w:rPr>
                <w:rFonts w:hint="eastAsia"/>
              </w:rPr>
              <w:t>安徽省农业科学院</w:t>
            </w:r>
            <w:r>
              <w:rPr>
                <w:rFonts w:hint="eastAsia"/>
                <w:lang w:val="en" w:eastAsia="zh-CN"/>
              </w:rPr>
              <w:t>棉花</w:t>
            </w:r>
            <w:r>
              <w:rPr>
                <w:rFonts w:hint="eastAsia"/>
              </w:rPr>
              <w:t>研究所</w:t>
            </w:r>
          </w:p>
        </w:tc>
        <w:tc>
          <w:tcPr>
            <w:tcW w:w="533" w:type="pct"/>
            <w:vAlign w:val="center"/>
          </w:tcPr>
          <w:p>
            <w:pPr>
              <w:widowControl/>
              <w:tabs>
                <w:tab w:val="center" w:pos="4201"/>
                <w:tab w:val="right" w:leader="dot" w:pos="9298"/>
              </w:tabs>
              <w:autoSpaceDE w:val="0"/>
              <w:autoSpaceDN w:val="0"/>
              <w:adjustRightInd w:val="0"/>
              <w:spacing w:line="360" w:lineRule="auto"/>
              <w:contextualSpacing/>
              <w:jc w:val="center"/>
              <w:rPr>
                <w:rFonts w:hint="default" w:ascii="宋体" w:hAnsi="宋体" w:eastAsia="宋体" w:cs="Times New Roman"/>
                <w:kern w:val="0"/>
                <w:sz w:val="21"/>
                <w:szCs w:val="21"/>
                <w:lang w:val="en-US" w:eastAsia="zh-CN" w:bidi="ar-SA"/>
              </w:rPr>
            </w:pPr>
            <w:r>
              <w:rPr>
                <w:rFonts w:hint="eastAsia" w:ascii="宋体" w:hAnsi="宋体" w:cs="Times New Roman"/>
                <w:kern w:val="0"/>
                <w:sz w:val="21"/>
                <w:szCs w:val="21"/>
                <w:lang w:val="en-US" w:eastAsia="zh-CN" w:bidi="ar-SA"/>
              </w:rPr>
              <w:t>所长</w:t>
            </w:r>
          </w:p>
        </w:tc>
        <w:tc>
          <w:tcPr>
            <w:tcW w:w="76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r>
              <w:rPr>
                <w:rFonts w:hint="eastAsia" w:ascii="宋体" w:hAnsi="宋体"/>
                <w:kern w:val="0"/>
                <w:szCs w:val="21"/>
              </w:rPr>
              <w:t>研究员</w:t>
            </w:r>
          </w:p>
        </w:tc>
        <w:tc>
          <w:tcPr>
            <w:tcW w:w="823" w:type="pct"/>
            <w:vAlign w:val="center"/>
          </w:tcPr>
          <w:p>
            <w:pPr>
              <w:widowControl/>
              <w:tabs>
                <w:tab w:val="center" w:pos="4201"/>
                <w:tab w:val="right" w:leader="dot" w:pos="9298"/>
              </w:tabs>
              <w:autoSpaceDE w:val="0"/>
              <w:autoSpaceDN w:val="0"/>
              <w:adjustRightInd w:val="0"/>
              <w:spacing w:line="360" w:lineRule="auto"/>
              <w:contextualSpacing/>
              <w:jc w:val="center"/>
              <w:rPr>
                <w:rFonts w:hint="default" w:ascii="宋体" w:hAnsi="宋体" w:eastAsia="宋体" w:cs="Times New Roman"/>
                <w:kern w:val="0"/>
                <w:sz w:val="21"/>
                <w:szCs w:val="21"/>
                <w:lang w:val="en-US" w:eastAsia="zh-CN" w:bidi="ar-SA"/>
              </w:rPr>
            </w:pPr>
            <w:r>
              <w:rPr>
                <w:rFonts w:hint="eastAsia" w:ascii="宋体" w:hAnsi="宋体"/>
                <w:kern w:val="0"/>
                <w:szCs w:val="21"/>
              </w:rPr>
              <w:t>13</w:t>
            </w:r>
            <w:r>
              <w:rPr>
                <w:rFonts w:hint="eastAsia" w:ascii="宋体" w:hAnsi="宋体"/>
                <w:kern w:val="0"/>
                <w:szCs w:val="21"/>
                <w:lang w:val="en-US" w:eastAsia="zh-CN"/>
              </w:rPr>
              <w:t>355691798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2</w:t>
            </w:r>
          </w:p>
        </w:tc>
        <w:tc>
          <w:tcPr>
            <w:tcW w:w="581"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eastAsia="宋体"/>
                <w:lang w:eastAsia="zh-CN"/>
              </w:rPr>
            </w:pPr>
            <w:r>
              <w:rPr>
                <w:rFonts w:hint="eastAsia"/>
                <w:lang w:eastAsia="zh-CN"/>
              </w:rPr>
              <w:t>於</w:t>
            </w:r>
            <w:r>
              <w:rPr>
                <w:rFonts w:hint="eastAsia"/>
                <w:lang w:val="en-US" w:eastAsia="zh-CN"/>
              </w:rPr>
              <w:t xml:space="preserve">  </w:t>
            </w:r>
            <w:r>
              <w:rPr>
                <w:rFonts w:hint="eastAsia"/>
                <w:lang w:eastAsia="zh-CN"/>
              </w:rPr>
              <w:t>春</w:t>
            </w:r>
          </w:p>
        </w:tc>
        <w:tc>
          <w:tcPr>
            <w:tcW w:w="2020"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eastAsia="宋体"/>
                <w:lang w:val="en-US" w:eastAsia="zh-CN"/>
              </w:rPr>
            </w:pPr>
            <w:r>
              <w:rPr>
                <w:rFonts w:hint="eastAsia"/>
              </w:rPr>
              <w:t>安徽省农业科学院</w:t>
            </w:r>
            <w:r>
              <w:rPr>
                <w:rFonts w:hint="eastAsia"/>
                <w:lang w:eastAsia="zh-CN"/>
              </w:rPr>
              <w:t>棉花</w:t>
            </w:r>
            <w:r>
              <w:rPr>
                <w:rFonts w:hint="eastAsia"/>
              </w:rPr>
              <w:t>研究所</w:t>
            </w:r>
          </w:p>
        </w:tc>
        <w:tc>
          <w:tcPr>
            <w:tcW w:w="533"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eastAsia="宋体"/>
                <w:lang w:val="en-US" w:eastAsia="zh-CN"/>
              </w:rPr>
            </w:pPr>
            <w:r>
              <w:rPr>
                <w:rFonts w:hint="eastAsia"/>
                <w:lang w:val="en-US" w:eastAsia="zh-CN"/>
              </w:rPr>
              <w:t>副科长</w:t>
            </w:r>
          </w:p>
        </w:tc>
        <w:tc>
          <w:tcPr>
            <w:tcW w:w="760"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eastAsia="宋体"/>
                <w:lang w:eastAsia="zh-CN"/>
              </w:rPr>
            </w:pPr>
            <w:r>
              <w:rPr>
                <w:rFonts w:hint="eastAsia"/>
                <w:lang w:eastAsia="zh-CN"/>
              </w:rPr>
              <w:t>副研究员</w:t>
            </w:r>
          </w:p>
        </w:tc>
        <w:tc>
          <w:tcPr>
            <w:tcW w:w="823" w:type="pct"/>
            <w:vAlign w:val="center"/>
          </w:tcPr>
          <w:p>
            <w:pPr>
              <w:widowControl/>
              <w:tabs>
                <w:tab w:val="center" w:pos="4201"/>
                <w:tab w:val="right" w:leader="dot" w:pos="9298"/>
              </w:tabs>
              <w:autoSpaceDE w:val="0"/>
              <w:autoSpaceDN w:val="0"/>
              <w:adjustRightInd w:val="0"/>
              <w:spacing w:line="360" w:lineRule="auto"/>
              <w:contextualSpacing/>
              <w:jc w:val="center"/>
              <w:rPr>
                <w:rFonts w:hint="default" w:eastAsia="宋体"/>
                <w:lang w:val="en-US" w:eastAsia="zh-CN"/>
              </w:rPr>
            </w:pPr>
            <w:r>
              <w:rPr>
                <w:rFonts w:hint="eastAsia" w:ascii="宋体" w:hAnsi="宋体"/>
                <w:kern w:val="0"/>
                <w:szCs w:val="21"/>
                <w:lang w:val="en-US" w:eastAsia="zh-CN"/>
              </w:rPr>
              <w:t>18955691881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3</w:t>
            </w:r>
          </w:p>
        </w:tc>
        <w:tc>
          <w:tcPr>
            <w:tcW w:w="581"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r>
              <w:rPr>
                <w:rFonts w:hint="eastAsia" w:ascii="宋体" w:hAnsi="宋体" w:cs="Times New Roman"/>
                <w:kern w:val="0"/>
                <w:sz w:val="21"/>
                <w:szCs w:val="21"/>
                <w:lang w:val="en-US" w:eastAsia="zh-CN" w:bidi="ar-SA"/>
              </w:rPr>
              <w:t>路献勇</w:t>
            </w:r>
          </w:p>
        </w:tc>
        <w:tc>
          <w:tcPr>
            <w:tcW w:w="202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r>
              <w:rPr>
                <w:rFonts w:hint="eastAsia"/>
              </w:rPr>
              <w:t>安徽省农业科学院</w:t>
            </w:r>
            <w:r>
              <w:rPr>
                <w:rFonts w:hint="eastAsia"/>
                <w:lang w:eastAsia="zh-CN"/>
              </w:rPr>
              <w:t>棉花</w:t>
            </w:r>
            <w:r>
              <w:rPr>
                <w:rFonts w:hint="eastAsia"/>
              </w:rPr>
              <w:t>研究所</w:t>
            </w:r>
          </w:p>
        </w:tc>
        <w:tc>
          <w:tcPr>
            <w:tcW w:w="533"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p>
        </w:tc>
        <w:tc>
          <w:tcPr>
            <w:tcW w:w="76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r>
              <w:rPr>
                <w:rFonts w:hint="eastAsia" w:ascii="宋体" w:hAnsi="宋体" w:cs="Times New Roman"/>
                <w:kern w:val="0"/>
                <w:sz w:val="21"/>
                <w:szCs w:val="21"/>
                <w:lang w:val="en-US" w:eastAsia="zh-CN" w:bidi="ar-SA"/>
              </w:rPr>
              <w:t>助理研究员</w:t>
            </w:r>
          </w:p>
        </w:tc>
        <w:tc>
          <w:tcPr>
            <w:tcW w:w="823" w:type="pct"/>
            <w:vAlign w:val="center"/>
          </w:tcPr>
          <w:p>
            <w:pPr>
              <w:widowControl/>
              <w:tabs>
                <w:tab w:val="center" w:pos="4201"/>
                <w:tab w:val="right" w:leader="dot" w:pos="9298"/>
              </w:tabs>
              <w:autoSpaceDE w:val="0"/>
              <w:autoSpaceDN w:val="0"/>
              <w:adjustRightInd w:val="0"/>
              <w:spacing w:line="360" w:lineRule="auto"/>
              <w:contextualSpacing/>
              <w:jc w:val="center"/>
              <w:rPr>
                <w:rFonts w:hint="default" w:ascii="宋体" w:hAnsi="宋体" w:eastAsia="宋体" w:cs="Times New Roman"/>
                <w:kern w:val="0"/>
                <w:sz w:val="21"/>
                <w:szCs w:val="21"/>
                <w:lang w:val="en-US" w:eastAsia="zh-CN" w:bidi="ar-SA"/>
              </w:rPr>
            </w:pPr>
            <w:r>
              <w:rPr>
                <w:rFonts w:hint="eastAsia" w:ascii="宋体" w:hAnsi="宋体"/>
                <w:kern w:val="0"/>
                <w:szCs w:val="21"/>
                <w:lang w:val="en-US" w:eastAsia="zh-CN"/>
              </w:rPr>
              <w:t>13305565372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4</w:t>
            </w:r>
          </w:p>
        </w:tc>
        <w:tc>
          <w:tcPr>
            <w:tcW w:w="581"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r>
              <w:rPr>
                <w:rFonts w:hint="eastAsia" w:ascii="宋体" w:hAnsi="宋体" w:cs="Times New Roman"/>
                <w:kern w:val="0"/>
                <w:sz w:val="21"/>
                <w:szCs w:val="21"/>
                <w:lang w:val="en-US" w:eastAsia="zh-CN" w:bidi="ar-SA"/>
              </w:rPr>
              <w:t>江本利</w:t>
            </w:r>
          </w:p>
        </w:tc>
        <w:tc>
          <w:tcPr>
            <w:tcW w:w="202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r>
              <w:rPr>
                <w:rFonts w:hint="eastAsia"/>
              </w:rPr>
              <w:t>安徽省农业科学院</w:t>
            </w:r>
            <w:r>
              <w:rPr>
                <w:rFonts w:hint="eastAsia"/>
                <w:lang w:eastAsia="zh-CN"/>
              </w:rPr>
              <w:t>棉花</w:t>
            </w:r>
            <w:r>
              <w:rPr>
                <w:rFonts w:hint="eastAsia"/>
              </w:rPr>
              <w:t>研究所</w:t>
            </w:r>
          </w:p>
        </w:tc>
        <w:tc>
          <w:tcPr>
            <w:tcW w:w="533"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r>
              <w:rPr>
                <w:rFonts w:hint="eastAsia" w:ascii="宋体" w:hAnsi="宋体" w:cs="Times New Roman"/>
                <w:kern w:val="0"/>
                <w:sz w:val="21"/>
                <w:szCs w:val="21"/>
                <w:lang w:val="en-US" w:eastAsia="zh-CN" w:bidi="ar-SA"/>
              </w:rPr>
              <w:t>主任</w:t>
            </w:r>
          </w:p>
        </w:tc>
        <w:tc>
          <w:tcPr>
            <w:tcW w:w="76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r>
              <w:rPr>
                <w:rFonts w:hint="eastAsia" w:ascii="宋体" w:hAnsi="宋体" w:cs="Times New Roman"/>
                <w:kern w:val="0"/>
                <w:sz w:val="21"/>
                <w:szCs w:val="21"/>
                <w:lang w:val="en-US" w:eastAsia="zh-CN" w:bidi="ar-SA"/>
              </w:rPr>
              <w:t>副研究员</w:t>
            </w:r>
          </w:p>
        </w:tc>
        <w:tc>
          <w:tcPr>
            <w:tcW w:w="823" w:type="pct"/>
            <w:vAlign w:val="center"/>
          </w:tcPr>
          <w:p>
            <w:pPr>
              <w:widowControl/>
              <w:tabs>
                <w:tab w:val="center" w:pos="4201"/>
                <w:tab w:val="right" w:leader="dot" w:pos="9298"/>
              </w:tabs>
              <w:autoSpaceDE w:val="0"/>
              <w:autoSpaceDN w:val="0"/>
              <w:adjustRightInd w:val="0"/>
              <w:spacing w:line="360" w:lineRule="auto"/>
              <w:contextualSpacing/>
              <w:jc w:val="center"/>
              <w:rPr>
                <w:rFonts w:hint="default" w:ascii="宋体" w:hAnsi="宋体" w:eastAsia="宋体" w:cs="Times New Roman"/>
                <w:kern w:val="0"/>
                <w:sz w:val="21"/>
                <w:szCs w:val="21"/>
                <w:lang w:val="en-US" w:eastAsia="zh-CN" w:bidi="ar-SA"/>
              </w:rPr>
            </w:pPr>
            <w:r>
              <w:rPr>
                <w:rFonts w:hint="eastAsia" w:ascii="宋体" w:hAnsi="宋体"/>
                <w:kern w:val="0"/>
                <w:szCs w:val="21"/>
                <w:lang w:val="en-US" w:eastAsia="zh-CN"/>
              </w:rPr>
              <w:t>13865156778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5</w:t>
            </w:r>
          </w:p>
        </w:tc>
        <w:tc>
          <w:tcPr>
            <w:tcW w:w="581"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eastAsia="宋体"/>
                <w:lang w:val="en-US" w:eastAsia="zh-CN"/>
              </w:rPr>
            </w:pPr>
            <w:r>
              <w:rPr>
                <w:rFonts w:hint="eastAsia"/>
                <w:lang w:val="en-US" w:eastAsia="zh-CN"/>
              </w:rPr>
              <w:t>余黎明</w:t>
            </w:r>
          </w:p>
        </w:tc>
        <w:tc>
          <w:tcPr>
            <w:tcW w:w="2020"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eastAsia="宋体"/>
                <w:lang w:val="en-US" w:eastAsia="zh-CN"/>
              </w:rPr>
            </w:pPr>
            <w:r>
              <w:rPr>
                <w:rFonts w:hint="eastAsia"/>
                <w:lang w:val="en-US" w:eastAsia="zh-CN"/>
              </w:rPr>
              <w:t>安徽徽农生态食品有限公司</w:t>
            </w:r>
          </w:p>
        </w:tc>
        <w:tc>
          <w:tcPr>
            <w:tcW w:w="533"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eastAsia="宋体"/>
                <w:lang w:val="en-US" w:eastAsia="zh-CN"/>
              </w:rPr>
            </w:pPr>
            <w:r>
              <w:rPr>
                <w:rFonts w:hint="eastAsia"/>
                <w:lang w:val="en-US" w:eastAsia="zh-CN"/>
              </w:rPr>
              <w:t>总经理</w:t>
            </w:r>
          </w:p>
        </w:tc>
        <w:tc>
          <w:tcPr>
            <w:tcW w:w="760"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eastAsia="宋体"/>
                <w:lang w:val="en-US" w:eastAsia="zh-CN"/>
              </w:rPr>
            </w:pPr>
          </w:p>
        </w:tc>
        <w:tc>
          <w:tcPr>
            <w:tcW w:w="823" w:type="pct"/>
            <w:vAlign w:val="center"/>
          </w:tcPr>
          <w:p>
            <w:pPr>
              <w:widowControl/>
              <w:tabs>
                <w:tab w:val="center" w:pos="4201"/>
                <w:tab w:val="right" w:leader="dot" w:pos="9298"/>
              </w:tabs>
              <w:autoSpaceDE w:val="0"/>
              <w:autoSpaceDN w:val="0"/>
              <w:adjustRightInd w:val="0"/>
              <w:spacing w:line="360" w:lineRule="auto"/>
              <w:contextualSpacing/>
              <w:jc w:val="center"/>
              <w:rPr>
                <w:rFonts w:hint="default" w:ascii="宋体" w:hAnsi="宋体"/>
                <w:kern w:val="0"/>
                <w:szCs w:val="21"/>
                <w:lang w:val="en-US" w:eastAsia="zh-CN"/>
              </w:rPr>
            </w:pPr>
            <w:r>
              <w:rPr>
                <w:rFonts w:hint="eastAsia" w:ascii="宋体" w:hAnsi="宋体"/>
                <w:kern w:val="0"/>
                <w:szCs w:val="21"/>
                <w:lang w:val="en-US" w:eastAsia="zh-CN"/>
              </w:rPr>
              <w:t>13345661888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6</w:t>
            </w:r>
          </w:p>
        </w:tc>
        <w:tc>
          <w:tcPr>
            <w:tcW w:w="581"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eastAsia="宋体"/>
                <w:lang w:val="en-US" w:eastAsia="zh-CN"/>
              </w:rPr>
            </w:pPr>
            <w:r>
              <w:rPr>
                <w:rFonts w:hint="eastAsia"/>
                <w:lang w:val="en-US" w:eastAsia="zh-CN"/>
              </w:rPr>
              <w:t>添长久</w:t>
            </w:r>
          </w:p>
        </w:tc>
        <w:tc>
          <w:tcPr>
            <w:tcW w:w="2020"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eastAsia="宋体"/>
                <w:lang w:val="en-US" w:eastAsia="zh-CN"/>
              </w:rPr>
            </w:pPr>
            <w:r>
              <w:rPr>
                <w:rFonts w:hint="eastAsia"/>
              </w:rPr>
              <w:t>安徽省农业科学</w:t>
            </w:r>
            <w:r>
              <w:rPr>
                <w:rFonts w:hint="eastAsia"/>
                <w:lang w:eastAsia="zh-CN"/>
              </w:rPr>
              <w:t>棉花</w:t>
            </w:r>
            <w:r>
              <w:rPr>
                <w:rFonts w:hint="eastAsia"/>
              </w:rPr>
              <w:t>研究所</w:t>
            </w:r>
          </w:p>
        </w:tc>
        <w:tc>
          <w:tcPr>
            <w:tcW w:w="533"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eastAsia="宋体"/>
                <w:lang w:val="en-US" w:eastAsia="zh-CN"/>
              </w:rPr>
            </w:pPr>
            <w:r>
              <w:rPr>
                <w:rFonts w:hint="eastAsia"/>
                <w:lang w:val="en-US" w:eastAsia="zh-CN"/>
              </w:rPr>
              <w:t>主任</w:t>
            </w:r>
          </w:p>
        </w:tc>
        <w:tc>
          <w:tcPr>
            <w:tcW w:w="760"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eastAsia="宋体"/>
                <w:lang w:val="en-US" w:eastAsia="zh-CN"/>
              </w:rPr>
            </w:pPr>
            <w:r>
              <w:rPr>
                <w:rFonts w:hint="eastAsia"/>
                <w:lang w:val="en-US" w:eastAsia="zh-CN"/>
              </w:rPr>
              <w:t>副研究员</w:t>
            </w:r>
          </w:p>
        </w:tc>
        <w:tc>
          <w:tcPr>
            <w:tcW w:w="823" w:type="pct"/>
            <w:vAlign w:val="center"/>
          </w:tcPr>
          <w:p>
            <w:pPr>
              <w:widowControl/>
              <w:tabs>
                <w:tab w:val="center" w:pos="4201"/>
                <w:tab w:val="right" w:leader="dot" w:pos="9298"/>
              </w:tabs>
              <w:autoSpaceDE w:val="0"/>
              <w:autoSpaceDN w:val="0"/>
              <w:adjustRightInd w:val="0"/>
              <w:spacing w:line="360" w:lineRule="auto"/>
              <w:contextualSpacing/>
              <w:jc w:val="center"/>
              <w:rPr>
                <w:rFonts w:hint="default" w:eastAsia="宋体"/>
                <w:lang w:val="en-US" w:eastAsia="zh-CN"/>
              </w:rPr>
            </w:pPr>
            <w:r>
              <w:rPr>
                <w:rFonts w:hint="eastAsia" w:ascii="宋体" w:hAnsi="宋体"/>
                <w:kern w:val="0"/>
                <w:szCs w:val="21"/>
                <w:lang w:val="en-US" w:eastAsia="zh-CN"/>
              </w:rPr>
              <w:t>18900563469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7</w:t>
            </w:r>
          </w:p>
        </w:tc>
        <w:tc>
          <w:tcPr>
            <w:tcW w:w="581"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eastAsia="宋体"/>
                <w:lang w:val="en-US" w:eastAsia="zh-CN"/>
              </w:rPr>
            </w:pPr>
            <w:r>
              <w:rPr>
                <w:rFonts w:hint="eastAsia"/>
                <w:lang w:val="en-US" w:eastAsia="zh-CN"/>
              </w:rPr>
              <w:t>王红娟</w:t>
            </w:r>
          </w:p>
        </w:tc>
        <w:tc>
          <w:tcPr>
            <w:tcW w:w="2020"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eastAsia="宋体"/>
                <w:lang w:val="en-US" w:eastAsia="zh-CN"/>
              </w:rPr>
            </w:pPr>
            <w:r>
              <w:rPr>
                <w:rFonts w:hint="eastAsia"/>
              </w:rPr>
              <w:t>安徽省农业科学院</w:t>
            </w:r>
            <w:r>
              <w:rPr>
                <w:rFonts w:hint="eastAsia"/>
                <w:lang w:eastAsia="zh-CN"/>
              </w:rPr>
              <w:t>棉花</w:t>
            </w:r>
            <w:r>
              <w:rPr>
                <w:rFonts w:hint="eastAsia"/>
              </w:rPr>
              <w:t>研究所</w:t>
            </w:r>
          </w:p>
        </w:tc>
        <w:tc>
          <w:tcPr>
            <w:tcW w:w="533" w:type="pct"/>
            <w:vAlign w:val="center"/>
          </w:tcPr>
          <w:p>
            <w:pPr>
              <w:widowControl/>
              <w:tabs>
                <w:tab w:val="center" w:pos="4201"/>
                <w:tab w:val="right" w:leader="dot" w:pos="9298"/>
              </w:tabs>
              <w:autoSpaceDE w:val="0"/>
              <w:autoSpaceDN w:val="0"/>
              <w:adjustRightInd w:val="0"/>
              <w:spacing w:line="360" w:lineRule="auto"/>
              <w:contextualSpacing/>
              <w:jc w:val="center"/>
              <w:rPr>
                <w:rFonts w:hint="default" w:eastAsia="宋体"/>
                <w:lang w:val="en-US" w:eastAsia="zh-CN"/>
              </w:rPr>
            </w:pPr>
          </w:p>
        </w:tc>
        <w:tc>
          <w:tcPr>
            <w:tcW w:w="760"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eastAsia="宋体"/>
                <w:lang w:val="en-US" w:eastAsia="zh-CN"/>
              </w:rPr>
            </w:pPr>
            <w:r>
              <w:rPr>
                <w:rFonts w:hint="eastAsia"/>
                <w:lang w:val="en-US" w:eastAsia="zh-CN"/>
              </w:rPr>
              <w:t>助理研究员</w:t>
            </w:r>
          </w:p>
        </w:tc>
        <w:tc>
          <w:tcPr>
            <w:tcW w:w="823" w:type="pct"/>
            <w:vAlign w:val="center"/>
          </w:tcPr>
          <w:p>
            <w:pPr>
              <w:widowControl/>
              <w:tabs>
                <w:tab w:val="center" w:pos="4201"/>
                <w:tab w:val="right" w:leader="dot" w:pos="9298"/>
              </w:tabs>
              <w:autoSpaceDE w:val="0"/>
              <w:autoSpaceDN w:val="0"/>
              <w:adjustRightInd w:val="0"/>
              <w:spacing w:line="360" w:lineRule="auto"/>
              <w:contextualSpacing/>
              <w:jc w:val="center"/>
              <w:rPr>
                <w:rFonts w:hint="default" w:eastAsia="宋体"/>
                <w:lang w:val="en-US" w:eastAsia="zh-CN"/>
              </w:rPr>
            </w:pPr>
            <w:r>
              <w:rPr>
                <w:rFonts w:hint="eastAsia" w:ascii="宋体" w:hAnsi="宋体"/>
                <w:kern w:val="0"/>
                <w:szCs w:val="21"/>
                <w:lang w:val="en-US" w:eastAsia="zh-CN"/>
              </w:rPr>
              <w:t>17718167506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8</w:t>
            </w:r>
          </w:p>
        </w:tc>
        <w:tc>
          <w:tcPr>
            <w:tcW w:w="581"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eastAsia="宋体"/>
                <w:lang w:val="en-US" w:eastAsia="zh-CN"/>
              </w:rPr>
            </w:pPr>
            <w:r>
              <w:rPr>
                <w:rFonts w:hint="eastAsia"/>
                <w:lang w:val="en-US" w:eastAsia="zh-CN"/>
              </w:rPr>
              <w:t>储甲松</w:t>
            </w:r>
          </w:p>
        </w:tc>
        <w:tc>
          <w:tcPr>
            <w:tcW w:w="2020"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eastAsia="宋体"/>
                <w:lang w:val="en-US" w:eastAsia="zh-CN"/>
              </w:rPr>
            </w:pPr>
            <w:r>
              <w:rPr>
                <w:rFonts w:hint="eastAsia"/>
              </w:rPr>
              <w:t>安徽省农业科学院</w:t>
            </w:r>
            <w:r>
              <w:rPr>
                <w:rFonts w:hint="eastAsia"/>
                <w:lang w:eastAsia="zh-CN"/>
              </w:rPr>
              <w:t>棉花</w:t>
            </w:r>
            <w:r>
              <w:rPr>
                <w:rFonts w:hint="eastAsia"/>
              </w:rPr>
              <w:t>研究所</w:t>
            </w:r>
          </w:p>
        </w:tc>
        <w:tc>
          <w:tcPr>
            <w:tcW w:w="533"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eastAsia="宋体"/>
                <w:lang w:val="en-US" w:eastAsia="zh-CN"/>
              </w:rPr>
            </w:pPr>
          </w:p>
        </w:tc>
        <w:tc>
          <w:tcPr>
            <w:tcW w:w="760" w:type="pct"/>
            <w:vAlign w:val="center"/>
          </w:tcPr>
          <w:p>
            <w:pPr>
              <w:widowControl/>
              <w:tabs>
                <w:tab w:val="center" w:pos="4201"/>
                <w:tab w:val="right" w:leader="dot" w:pos="9298"/>
              </w:tabs>
              <w:autoSpaceDE w:val="0"/>
              <w:autoSpaceDN w:val="0"/>
              <w:adjustRightInd w:val="0"/>
              <w:spacing w:line="360" w:lineRule="auto"/>
              <w:contextualSpacing/>
              <w:jc w:val="center"/>
              <w:rPr>
                <w:rFonts w:hint="eastAsia" w:eastAsia="宋体"/>
                <w:lang w:val="en-US" w:eastAsia="zh-CN"/>
              </w:rPr>
            </w:pPr>
            <w:r>
              <w:rPr>
                <w:rFonts w:hint="eastAsia"/>
                <w:lang w:val="en-US" w:eastAsia="zh-CN"/>
              </w:rPr>
              <w:t>副研究员</w:t>
            </w:r>
          </w:p>
        </w:tc>
        <w:tc>
          <w:tcPr>
            <w:tcW w:w="823" w:type="pct"/>
            <w:vAlign w:val="center"/>
          </w:tcPr>
          <w:p>
            <w:pPr>
              <w:widowControl/>
              <w:tabs>
                <w:tab w:val="center" w:pos="4201"/>
                <w:tab w:val="right" w:leader="dot" w:pos="9298"/>
              </w:tabs>
              <w:autoSpaceDE w:val="0"/>
              <w:autoSpaceDN w:val="0"/>
              <w:adjustRightInd w:val="0"/>
              <w:spacing w:line="360" w:lineRule="auto"/>
              <w:contextualSpacing/>
              <w:jc w:val="center"/>
              <w:rPr>
                <w:rFonts w:hint="default" w:eastAsia="宋体"/>
                <w:lang w:val="en-US" w:eastAsia="zh-CN"/>
              </w:rPr>
            </w:pPr>
            <w:r>
              <w:rPr>
                <w:rFonts w:hint="eastAsia" w:ascii="宋体" w:hAnsi="宋体"/>
                <w:kern w:val="0"/>
                <w:szCs w:val="21"/>
                <w:lang w:val="en-US" w:eastAsia="zh-CN"/>
              </w:rPr>
              <w:t>13505634478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9</w:t>
            </w:r>
          </w:p>
        </w:tc>
        <w:tc>
          <w:tcPr>
            <w:tcW w:w="581"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r>
              <w:rPr>
                <w:rFonts w:hint="eastAsia" w:ascii="宋体" w:hAnsi="宋体" w:cs="Times New Roman"/>
                <w:kern w:val="0"/>
                <w:sz w:val="21"/>
                <w:szCs w:val="21"/>
                <w:lang w:val="en-US" w:eastAsia="zh-CN" w:bidi="ar-SA"/>
              </w:rPr>
              <w:t>王玉娇</w:t>
            </w:r>
          </w:p>
        </w:tc>
        <w:tc>
          <w:tcPr>
            <w:tcW w:w="202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r>
              <w:rPr>
                <w:rFonts w:hint="eastAsia"/>
              </w:rPr>
              <w:t>安徽省农业科学院</w:t>
            </w:r>
            <w:r>
              <w:rPr>
                <w:rFonts w:hint="eastAsia"/>
                <w:lang w:eastAsia="zh-CN"/>
              </w:rPr>
              <w:t>棉花</w:t>
            </w:r>
            <w:r>
              <w:rPr>
                <w:rFonts w:hint="eastAsia"/>
              </w:rPr>
              <w:t>研究所</w:t>
            </w:r>
          </w:p>
        </w:tc>
        <w:tc>
          <w:tcPr>
            <w:tcW w:w="533"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p>
        </w:tc>
        <w:tc>
          <w:tcPr>
            <w:tcW w:w="76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r>
              <w:rPr>
                <w:rFonts w:hint="eastAsia" w:ascii="宋体" w:hAnsi="宋体" w:cs="Times New Roman"/>
                <w:kern w:val="0"/>
                <w:sz w:val="21"/>
                <w:szCs w:val="21"/>
                <w:lang w:val="en-US" w:eastAsia="zh-CN" w:bidi="ar-SA"/>
              </w:rPr>
              <w:t>助理研究员</w:t>
            </w:r>
          </w:p>
        </w:tc>
        <w:tc>
          <w:tcPr>
            <w:tcW w:w="823" w:type="pct"/>
            <w:vAlign w:val="center"/>
          </w:tcPr>
          <w:p>
            <w:pPr>
              <w:widowControl/>
              <w:tabs>
                <w:tab w:val="center" w:pos="4201"/>
                <w:tab w:val="right" w:leader="dot" w:pos="9298"/>
              </w:tabs>
              <w:autoSpaceDE w:val="0"/>
              <w:autoSpaceDN w:val="0"/>
              <w:adjustRightInd w:val="0"/>
              <w:spacing w:line="360" w:lineRule="auto"/>
              <w:contextualSpacing/>
              <w:jc w:val="center"/>
              <w:rPr>
                <w:rFonts w:hint="default" w:ascii="宋体" w:hAnsi="宋体" w:eastAsia="宋体" w:cs="Times New Roman"/>
                <w:kern w:val="0"/>
                <w:sz w:val="21"/>
                <w:szCs w:val="21"/>
                <w:lang w:val="en-US" w:eastAsia="zh-CN" w:bidi="ar-SA"/>
              </w:rPr>
            </w:pPr>
            <w:r>
              <w:rPr>
                <w:rFonts w:hint="eastAsia" w:ascii="宋体" w:hAnsi="宋体" w:cs="Times New Roman"/>
                <w:kern w:val="0"/>
                <w:sz w:val="21"/>
                <w:szCs w:val="21"/>
                <w:lang w:val="en-US" w:eastAsia="zh-CN" w:bidi="ar-SA"/>
              </w:rPr>
              <w:t>15240180877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10</w:t>
            </w:r>
          </w:p>
        </w:tc>
        <w:tc>
          <w:tcPr>
            <w:tcW w:w="581"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p>
        </w:tc>
        <w:tc>
          <w:tcPr>
            <w:tcW w:w="2020" w:type="pct"/>
            <w:vAlign w:val="center"/>
          </w:tcPr>
          <w:p>
            <w:pPr>
              <w:widowControl/>
              <w:tabs>
                <w:tab w:val="center" w:pos="4201"/>
                <w:tab w:val="right" w:leader="dot" w:pos="9298"/>
              </w:tabs>
              <w:autoSpaceDE w:val="0"/>
              <w:autoSpaceDN w:val="0"/>
              <w:adjustRightInd w:val="0"/>
              <w:spacing w:line="360" w:lineRule="auto"/>
              <w:contextualSpacing/>
              <w:rPr>
                <w:rFonts w:ascii="宋体" w:hAnsi="宋体" w:eastAsia="宋体" w:cs="Times New Roman"/>
                <w:kern w:val="0"/>
                <w:sz w:val="21"/>
                <w:szCs w:val="21"/>
                <w:lang w:val="en-US" w:eastAsia="zh-CN" w:bidi="ar-SA"/>
              </w:rPr>
            </w:pPr>
          </w:p>
        </w:tc>
        <w:tc>
          <w:tcPr>
            <w:tcW w:w="533"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p>
        </w:tc>
        <w:tc>
          <w:tcPr>
            <w:tcW w:w="76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p>
        </w:tc>
        <w:tc>
          <w:tcPr>
            <w:tcW w:w="823"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11</w:t>
            </w:r>
          </w:p>
        </w:tc>
        <w:tc>
          <w:tcPr>
            <w:tcW w:w="581"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p>
        </w:tc>
        <w:tc>
          <w:tcPr>
            <w:tcW w:w="2020" w:type="pct"/>
            <w:vAlign w:val="center"/>
          </w:tcPr>
          <w:p>
            <w:pPr>
              <w:widowControl/>
              <w:tabs>
                <w:tab w:val="center" w:pos="4201"/>
                <w:tab w:val="right" w:leader="dot" w:pos="9298"/>
              </w:tabs>
              <w:autoSpaceDE w:val="0"/>
              <w:autoSpaceDN w:val="0"/>
              <w:adjustRightInd w:val="0"/>
              <w:spacing w:line="360" w:lineRule="auto"/>
              <w:contextualSpacing/>
              <w:rPr>
                <w:rFonts w:ascii="宋体" w:hAnsi="宋体" w:eastAsia="宋体" w:cs="Times New Roman"/>
                <w:kern w:val="0"/>
                <w:sz w:val="21"/>
                <w:szCs w:val="21"/>
                <w:lang w:val="en-US" w:eastAsia="zh-CN" w:bidi="ar-SA"/>
              </w:rPr>
            </w:pPr>
          </w:p>
        </w:tc>
        <w:tc>
          <w:tcPr>
            <w:tcW w:w="533" w:type="pct"/>
            <w:vAlign w:val="center"/>
          </w:tcPr>
          <w:p>
            <w:pPr>
              <w:widowControl/>
              <w:tabs>
                <w:tab w:val="center" w:pos="4201"/>
                <w:tab w:val="right" w:leader="dot" w:pos="9298"/>
              </w:tabs>
              <w:autoSpaceDE w:val="0"/>
              <w:autoSpaceDN w:val="0"/>
              <w:adjustRightInd w:val="0"/>
              <w:spacing w:line="360" w:lineRule="auto"/>
              <w:contextualSpacing/>
              <w:jc w:val="center"/>
              <w:rPr>
                <w:rFonts w:hint="default" w:ascii="宋体" w:hAnsi="宋体" w:eastAsia="宋体" w:cs="Times New Roman"/>
                <w:kern w:val="0"/>
                <w:sz w:val="21"/>
                <w:szCs w:val="21"/>
                <w:lang w:val="en-US" w:eastAsia="zh-CN" w:bidi="ar-SA"/>
              </w:rPr>
            </w:pPr>
          </w:p>
        </w:tc>
        <w:tc>
          <w:tcPr>
            <w:tcW w:w="76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p>
        </w:tc>
        <w:tc>
          <w:tcPr>
            <w:tcW w:w="823" w:type="pct"/>
            <w:vAlign w:val="center"/>
          </w:tcPr>
          <w:p>
            <w:pPr>
              <w:widowControl/>
              <w:tabs>
                <w:tab w:val="center" w:pos="4201"/>
                <w:tab w:val="right" w:leader="dot" w:pos="9298"/>
              </w:tabs>
              <w:autoSpaceDE w:val="0"/>
              <w:autoSpaceDN w:val="0"/>
              <w:adjustRightInd w:val="0"/>
              <w:spacing w:line="360" w:lineRule="auto"/>
              <w:contextualSpacing/>
              <w:jc w:val="center"/>
              <w:rPr>
                <w:rFonts w:hint="default" w:ascii="宋体" w:hAnsi="宋体" w:eastAsia="宋体" w:cs="Times New Roman"/>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12</w:t>
            </w:r>
          </w:p>
        </w:tc>
        <w:tc>
          <w:tcPr>
            <w:tcW w:w="581"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p>
        </w:tc>
        <w:tc>
          <w:tcPr>
            <w:tcW w:w="2020" w:type="pct"/>
            <w:vAlign w:val="center"/>
          </w:tcPr>
          <w:p>
            <w:pPr>
              <w:widowControl/>
              <w:tabs>
                <w:tab w:val="center" w:pos="4201"/>
                <w:tab w:val="right" w:leader="dot" w:pos="9298"/>
              </w:tabs>
              <w:autoSpaceDE w:val="0"/>
              <w:autoSpaceDN w:val="0"/>
              <w:adjustRightInd w:val="0"/>
              <w:spacing w:line="360" w:lineRule="auto"/>
              <w:contextualSpacing/>
              <w:rPr>
                <w:rFonts w:ascii="宋体" w:hAnsi="宋体" w:eastAsia="宋体" w:cs="Times New Roman"/>
                <w:kern w:val="0"/>
                <w:sz w:val="21"/>
                <w:szCs w:val="21"/>
                <w:lang w:val="en-US" w:eastAsia="zh-CN" w:bidi="ar-SA"/>
              </w:rPr>
            </w:pPr>
          </w:p>
        </w:tc>
        <w:tc>
          <w:tcPr>
            <w:tcW w:w="533"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p>
        </w:tc>
        <w:tc>
          <w:tcPr>
            <w:tcW w:w="76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p>
        </w:tc>
        <w:tc>
          <w:tcPr>
            <w:tcW w:w="823"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13</w:t>
            </w:r>
          </w:p>
        </w:tc>
        <w:tc>
          <w:tcPr>
            <w:tcW w:w="581" w:type="pct"/>
            <w:vAlign w:val="center"/>
          </w:tcPr>
          <w:p>
            <w:pPr>
              <w:widowControl/>
              <w:tabs>
                <w:tab w:val="center" w:pos="4201"/>
                <w:tab w:val="right" w:leader="dot" w:pos="9298"/>
              </w:tabs>
              <w:autoSpaceDE w:val="0"/>
              <w:autoSpaceDN w:val="0"/>
              <w:adjustRightInd w:val="0"/>
              <w:spacing w:line="360" w:lineRule="auto"/>
              <w:contextualSpacing/>
              <w:jc w:val="center"/>
              <w:rPr>
                <w:rFonts w:hint="default" w:ascii="宋体" w:hAnsi="宋体" w:eastAsia="宋体" w:cs="Times New Roman"/>
                <w:kern w:val="0"/>
                <w:sz w:val="21"/>
                <w:szCs w:val="21"/>
                <w:lang w:val="en-US" w:eastAsia="zh-CN" w:bidi="ar-SA"/>
              </w:rPr>
            </w:pPr>
          </w:p>
        </w:tc>
        <w:tc>
          <w:tcPr>
            <w:tcW w:w="2020" w:type="pct"/>
            <w:vAlign w:val="center"/>
          </w:tcPr>
          <w:p>
            <w:pPr>
              <w:widowControl/>
              <w:tabs>
                <w:tab w:val="center" w:pos="4201"/>
                <w:tab w:val="right" w:leader="dot" w:pos="9298"/>
              </w:tabs>
              <w:autoSpaceDE w:val="0"/>
              <w:autoSpaceDN w:val="0"/>
              <w:adjustRightInd w:val="0"/>
              <w:spacing w:line="360" w:lineRule="auto"/>
              <w:contextualSpacing/>
              <w:rPr>
                <w:rFonts w:ascii="宋体" w:hAnsi="宋体" w:eastAsia="宋体" w:cs="Times New Roman"/>
                <w:kern w:val="0"/>
                <w:sz w:val="21"/>
                <w:szCs w:val="21"/>
                <w:lang w:val="en-US" w:eastAsia="zh-CN" w:bidi="ar-SA"/>
              </w:rPr>
            </w:pPr>
          </w:p>
        </w:tc>
        <w:tc>
          <w:tcPr>
            <w:tcW w:w="533"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p>
        </w:tc>
        <w:tc>
          <w:tcPr>
            <w:tcW w:w="76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p>
        </w:tc>
        <w:tc>
          <w:tcPr>
            <w:tcW w:w="823" w:type="pct"/>
            <w:vAlign w:val="center"/>
          </w:tcPr>
          <w:p>
            <w:pPr>
              <w:widowControl/>
              <w:tabs>
                <w:tab w:val="center" w:pos="4201"/>
                <w:tab w:val="right" w:leader="dot" w:pos="9298"/>
              </w:tabs>
              <w:autoSpaceDE w:val="0"/>
              <w:autoSpaceDN w:val="0"/>
              <w:adjustRightInd w:val="0"/>
              <w:spacing w:line="360" w:lineRule="auto"/>
              <w:contextualSpacing/>
              <w:jc w:val="center"/>
              <w:rPr>
                <w:rFonts w:hint="default" w:ascii="宋体" w:hAnsi="宋体" w:eastAsia="宋体" w:cs="Times New Roman"/>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r>
              <w:rPr>
                <w:rFonts w:hint="eastAsia" w:ascii="宋体" w:hAnsi="宋体"/>
                <w:kern w:val="0"/>
                <w:szCs w:val="21"/>
              </w:rPr>
              <w:t>14</w:t>
            </w:r>
          </w:p>
        </w:tc>
        <w:tc>
          <w:tcPr>
            <w:tcW w:w="581" w:type="pct"/>
            <w:vAlign w:val="center"/>
          </w:tcPr>
          <w:p>
            <w:pPr>
              <w:widowControl/>
              <w:tabs>
                <w:tab w:val="center" w:pos="4201"/>
                <w:tab w:val="right" w:leader="dot" w:pos="9298"/>
              </w:tabs>
              <w:autoSpaceDE w:val="0"/>
              <w:autoSpaceDN w:val="0"/>
              <w:adjustRightInd w:val="0"/>
              <w:spacing w:line="360" w:lineRule="auto"/>
              <w:contextualSpacing/>
              <w:jc w:val="center"/>
              <w:rPr>
                <w:rFonts w:hint="default" w:ascii="宋体" w:hAnsi="宋体" w:eastAsia="宋体" w:cs="Times New Roman"/>
                <w:kern w:val="0"/>
                <w:sz w:val="21"/>
                <w:szCs w:val="21"/>
                <w:lang w:val="en-US" w:eastAsia="zh-CN" w:bidi="ar-SA"/>
              </w:rPr>
            </w:pPr>
          </w:p>
        </w:tc>
        <w:tc>
          <w:tcPr>
            <w:tcW w:w="2020" w:type="pct"/>
            <w:vAlign w:val="center"/>
          </w:tcPr>
          <w:p>
            <w:pPr>
              <w:widowControl/>
              <w:tabs>
                <w:tab w:val="center" w:pos="4201"/>
                <w:tab w:val="right" w:leader="dot" w:pos="9298"/>
              </w:tabs>
              <w:autoSpaceDE w:val="0"/>
              <w:autoSpaceDN w:val="0"/>
              <w:adjustRightInd w:val="0"/>
              <w:spacing w:line="360" w:lineRule="auto"/>
              <w:contextualSpacing/>
              <w:rPr>
                <w:rFonts w:ascii="宋体" w:hAnsi="宋体" w:eastAsia="宋体" w:cs="Times New Roman"/>
                <w:kern w:val="0"/>
                <w:sz w:val="21"/>
                <w:szCs w:val="21"/>
                <w:lang w:val="en-US" w:eastAsia="zh-CN" w:bidi="ar-SA"/>
              </w:rPr>
            </w:pPr>
          </w:p>
        </w:tc>
        <w:tc>
          <w:tcPr>
            <w:tcW w:w="533"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p>
        </w:tc>
        <w:tc>
          <w:tcPr>
            <w:tcW w:w="76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eastAsia="宋体" w:cs="Times New Roman"/>
                <w:kern w:val="0"/>
                <w:sz w:val="21"/>
                <w:szCs w:val="21"/>
                <w:lang w:val="en-US" w:eastAsia="zh-CN" w:bidi="ar-SA"/>
              </w:rPr>
            </w:pPr>
          </w:p>
        </w:tc>
        <w:tc>
          <w:tcPr>
            <w:tcW w:w="823" w:type="pct"/>
            <w:vAlign w:val="center"/>
          </w:tcPr>
          <w:p>
            <w:pPr>
              <w:widowControl/>
              <w:tabs>
                <w:tab w:val="center" w:pos="4201"/>
                <w:tab w:val="right" w:leader="dot" w:pos="9298"/>
              </w:tabs>
              <w:autoSpaceDE w:val="0"/>
              <w:autoSpaceDN w:val="0"/>
              <w:adjustRightInd w:val="0"/>
              <w:spacing w:line="360" w:lineRule="auto"/>
              <w:contextualSpacing/>
              <w:jc w:val="center"/>
              <w:rPr>
                <w:rFonts w:hint="default" w:ascii="宋体" w:hAnsi="宋体" w:eastAsia="宋体" w:cs="Times New Roman"/>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0" w:type="pct"/>
            <w:vAlign w:val="center"/>
          </w:tcPr>
          <w:p>
            <w:pPr>
              <w:widowControl/>
              <w:tabs>
                <w:tab w:val="center" w:pos="4201"/>
                <w:tab w:val="right" w:leader="dot" w:pos="9298"/>
              </w:tabs>
              <w:autoSpaceDE w:val="0"/>
              <w:autoSpaceDN w:val="0"/>
              <w:adjustRightInd w:val="0"/>
              <w:spacing w:line="360" w:lineRule="auto"/>
              <w:contextualSpacing/>
              <w:jc w:val="center"/>
              <w:rPr>
                <w:rFonts w:hint="default" w:ascii="宋体" w:hAnsi="宋体" w:eastAsia="宋体"/>
                <w:kern w:val="0"/>
                <w:szCs w:val="21"/>
                <w:lang w:val="en-US" w:eastAsia="zh-CN"/>
              </w:rPr>
            </w:pPr>
            <w:r>
              <w:rPr>
                <w:rFonts w:hint="eastAsia" w:ascii="宋体" w:hAnsi="宋体"/>
                <w:kern w:val="0"/>
                <w:szCs w:val="21"/>
                <w:lang w:val="en-US" w:eastAsia="zh-CN"/>
              </w:rPr>
              <w:t>15</w:t>
            </w:r>
          </w:p>
        </w:tc>
        <w:tc>
          <w:tcPr>
            <w:tcW w:w="581"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p>
        </w:tc>
        <w:tc>
          <w:tcPr>
            <w:tcW w:w="2020" w:type="pct"/>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p>
        </w:tc>
        <w:tc>
          <w:tcPr>
            <w:tcW w:w="533"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p>
        </w:tc>
        <w:tc>
          <w:tcPr>
            <w:tcW w:w="76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p>
        </w:tc>
        <w:tc>
          <w:tcPr>
            <w:tcW w:w="823"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0" w:type="pct"/>
            <w:vAlign w:val="center"/>
          </w:tcPr>
          <w:p>
            <w:pPr>
              <w:widowControl/>
              <w:tabs>
                <w:tab w:val="center" w:pos="4201"/>
                <w:tab w:val="right" w:leader="dot" w:pos="9298"/>
              </w:tabs>
              <w:autoSpaceDE w:val="0"/>
              <w:autoSpaceDN w:val="0"/>
              <w:adjustRightInd w:val="0"/>
              <w:spacing w:line="360" w:lineRule="auto"/>
              <w:contextualSpacing/>
              <w:jc w:val="center"/>
              <w:rPr>
                <w:rFonts w:hint="default" w:ascii="宋体" w:hAnsi="宋体" w:eastAsia="宋体"/>
                <w:kern w:val="0"/>
                <w:szCs w:val="21"/>
                <w:lang w:val="en-US" w:eastAsia="zh-CN"/>
              </w:rPr>
            </w:pPr>
            <w:r>
              <w:rPr>
                <w:rFonts w:hint="eastAsia" w:ascii="宋体" w:hAnsi="宋体"/>
                <w:kern w:val="0"/>
                <w:szCs w:val="21"/>
                <w:lang w:val="en-US" w:eastAsia="zh-CN"/>
              </w:rPr>
              <w:t>16</w:t>
            </w:r>
          </w:p>
        </w:tc>
        <w:tc>
          <w:tcPr>
            <w:tcW w:w="581"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p>
        </w:tc>
        <w:tc>
          <w:tcPr>
            <w:tcW w:w="2020" w:type="pct"/>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p>
        </w:tc>
        <w:tc>
          <w:tcPr>
            <w:tcW w:w="533"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p>
        </w:tc>
        <w:tc>
          <w:tcPr>
            <w:tcW w:w="760"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p>
        </w:tc>
        <w:tc>
          <w:tcPr>
            <w:tcW w:w="823" w:type="pct"/>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widowControl/>
              <w:tabs>
                <w:tab w:val="center" w:pos="4201"/>
                <w:tab w:val="right" w:leader="dot" w:pos="9298"/>
              </w:tabs>
              <w:autoSpaceDE w:val="0"/>
              <w:autoSpaceDN w:val="0"/>
              <w:adjustRightInd w:val="0"/>
              <w:spacing w:line="360" w:lineRule="auto"/>
              <w:contextualSpacing/>
              <w:jc w:val="center"/>
              <w:rPr>
                <w:rFonts w:ascii="宋体" w:hAnsi="宋体"/>
                <w:b/>
                <w:kern w:val="0"/>
                <w:szCs w:val="21"/>
              </w:rPr>
            </w:pPr>
            <w:r>
              <w:rPr>
                <w:rFonts w:hint="eastAsia" w:ascii="宋体" w:hAnsi="宋体"/>
                <w:b/>
                <w:kern w:val="0"/>
                <w:szCs w:val="21"/>
              </w:rPr>
              <w:t>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r>
              <w:rPr>
                <w:rFonts w:hint="eastAsia" w:ascii="宋体" w:hAnsi="宋体"/>
                <w:kern w:val="0"/>
                <w:szCs w:val="21"/>
              </w:rPr>
              <w:t>1、编制过程简介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spacing w:line="360" w:lineRule="auto"/>
              <w:ind w:firstLine="420" w:firstLineChars="200"/>
              <w:rPr>
                <w:rFonts w:ascii="宋体" w:hAnsi="宋体"/>
                <w:szCs w:val="21"/>
              </w:rPr>
            </w:pPr>
            <w:r>
              <w:rPr>
                <w:rFonts w:hint="eastAsia" w:hAnsi="宋体"/>
                <w:szCs w:val="21"/>
              </w:rPr>
              <w:t>202</w:t>
            </w:r>
            <w:r>
              <w:rPr>
                <w:rFonts w:hint="eastAsia" w:hAnsi="宋体"/>
                <w:szCs w:val="21"/>
                <w:lang w:val="en-US" w:eastAsia="zh-CN"/>
              </w:rPr>
              <w:t>3</w:t>
            </w:r>
            <w:r>
              <w:rPr>
                <w:rFonts w:hint="eastAsia" w:hAnsi="宋体"/>
                <w:szCs w:val="21"/>
              </w:rPr>
              <w:t>年9月</w:t>
            </w:r>
            <w:r>
              <w:rPr>
                <w:rFonts w:hint="eastAsia" w:hAnsi="宋体"/>
                <w:szCs w:val="21"/>
                <w:lang w:val="en-US" w:eastAsia="zh-CN"/>
              </w:rPr>
              <w:t>12</w:t>
            </w:r>
            <w:r>
              <w:rPr>
                <w:rFonts w:hint="eastAsia" w:hAnsi="宋体"/>
                <w:szCs w:val="21"/>
              </w:rPr>
              <w:t>日</w:t>
            </w:r>
            <w:r>
              <w:rPr>
                <w:rFonts w:hint="eastAsia" w:ascii="宋体" w:hAnsi="宋体"/>
                <w:kern w:val="0"/>
                <w:szCs w:val="21"/>
              </w:rPr>
              <w:t>安徽省市场监督管理局发出《关于下达202</w:t>
            </w:r>
            <w:r>
              <w:rPr>
                <w:rFonts w:hint="eastAsia" w:ascii="宋体" w:hAnsi="宋体"/>
                <w:kern w:val="0"/>
                <w:szCs w:val="21"/>
                <w:lang w:val="en-US" w:eastAsia="zh-CN"/>
              </w:rPr>
              <w:t>3</w:t>
            </w:r>
            <w:r>
              <w:rPr>
                <w:rFonts w:hint="eastAsia" w:ascii="宋体" w:hAnsi="宋体"/>
                <w:kern w:val="0"/>
                <w:szCs w:val="21"/>
              </w:rPr>
              <w:t>年第二批安徽省地方标准制修订计划的通知》（皖市监函〔2023〕478号）文件，本标准的计划编号为2023-2-</w:t>
            </w:r>
            <w:r>
              <w:rPr>
                <w:rFonts w:hint="eastAsia" w:ascii="宋体" w:hAnsi="宋体"/>
                <w:kern w:val="0"/>
                <w:szCs w:val="21"/>
                <w:lang w:val="en-US" w:eastAsia="zh-CN"/>
              </w:rPr>
              <w:t>90</w:t>
            </w:r>
            <w:r>
              <w:rPr>
                <w:rFonts w:hint="eastAsia" w:ascii="宋体" w:hAnsi="宋体"/>
                <w:kern w:val="0"/>
                <w:szCs w:val="21"/>
              </w:rPr>
              <w:t>项</w:t>
            </w:r>
            <w:r>
              <w:rPr>
                <w:rFonts w:hint="eastAsia" w:ascii="宋体" w:hAnsi="宋体"/>
                <w:kern w:val="0"/>
                <w:szCs w:val="21"/>
                <w:lang w:eastAsia="zh-CN"/>
              </w:rPr>
              <w:t>。</w:t>
            </w:r>
            <w:r>
              <w:rPr>
                <w:rFonts w:hint="eastAsia" w:ascii="宋体" w:hAnsi="宋体"/>
                <w:color w:val="000000"/>
                <w:szCs w:val="21"/>
              </w:rPr>
              <w:t>标准立项后，</w:t>
            </w:r>
            <w:r>
              <w:rPr>
                <w:rFonts w:hint="eastAsia" w:hAnsi="宋体"/>
                <w:szCs w:val="21"/>
              </w:rPr>
              <w:t>随即</w:t>
            </w:r>
            <w:r>
              <w:rPr>
                <w:rFonts w:hint="eastAsia" w:ascii="宋体" w:hAnsi="宋体"/>
                <w:color w:val="000000"/>
                <w:szCs w:val="21"/>
              </w:rPr>
              <w:t>成立标准编制</w:t>
            </w:r>
            <w:r>
              <w:rPr>
                <w:rFonts w:hint="eastAsia" w:ascii="宋体" w:hAnsi="宋体"/>
                <w:szCs w:val="21"/>
              </w:rPr>
              <w:t>课题组，</w:t>
            </w:r>
            <w:r>
              <w:rPr>
                <w:rFonts w:hint="eastAsia" w:ascii="宋体" w:hAnsi="宋体"/>
                <w:szCs w:val="21"/>
                <w:lang w:val="en-US" w:eastAsia="zh-CN"/>
              </w:rPr>
              <w:t>组</w:t>
            </w:r>
            <w:r>
              <w:rPr>
                <w:rFonts w:hint="eastAsia" w:ascii="宋体" w:hAnsi="宋体" w:eastAsia="宋体"/>
                <w:kern w:val="0"/>
                <w:szCs w:val="21"/>
                <w:lang w:val="en-US" w:eastAsia="zh-CN"/>
              </w:rPr>
              <w:t>长</w:t>
            </w:r>
            <w:r>
              <w:rPr>
                <w:rFonts w:hint="eastAsia" w:ascii="宋体" w:hAnsi="宋体"/>
                <w:kern w:val="0"/>
                <w:szCs w:val="21"/>
                <w:lang w:val="en-US" w:eastAsia="zh-CN"/>
              </w:rPr>
              <w:t>朱加保</w:t>
            </w:r>
            <w:r>
              <w:rPr>
                <w:rFonts w:hint="eastAsia" w:ascii="宋体" w:hAnsi="宋体" w:eastAsia="宋体"/>
                <w:kern w:val="0"/>
                <w:szCs w:val="21"/>
                <w:lang w:val="en-US" w:eastAsia="zh-CN"/>
              </w:rPr>
              <w:t>，</w:t>
            </w:r>
            <w:r>
              <w:rPr>
                <w:rFonts w:hint="eastAsia" w:ascii="宋体" w:hAnsi="宋体" w:eastAsia="宋体"/>
                <w:kern w:val="0"/>
                <w:szCs w:val="21"/>
              </w:rPr>
              <w:t>成员有</w:t>
            </w:r>
            <w:r>
              <w:rPr>
                <w:rFonts w:hint="eastAsia" w:ascii="宋体" w:hAnsi="宋体"/>
                <w:kern w:val="0"/>
                <w:szCs w:val="21"/>
                <w:lang w:val="en-US" w:eastAsia="zh-CN"/>
              </w:rPr>
              <w:t>於春</w:t>
            </w:r>
            <w:r>
              <w:rPr>
                <w:rFonts w:hint="eastAsia" w:ascii="宋体" w:hAnsi="宋体" w:eastAsia="宋体"/>
                <w:kern w:val="0"/>
                <w:szCs w:val="21"/>
              </w:rPr>
              <w:t>、</w:t>
            </w:r>
            <w:r>
              <w:rPr>
                <w:rFonts w:hint="eastAsia" w:ascii="宋体" w:hAnsi="宋体"/>
                <w:kern w:val="0"/>
                <w:szCs w:val="21"/>
                <w:lang w:eastAsia="zh-CN"/>
              </w:rPr>
              <w:t>路献勇</w:t>
            </w:r>
            <w:r>
              <w:rPr>
                <w:rFonts w:hint="eastAsia" w:ascii="宋体" w:hAnsi="宋体" w:eastAsia="宋体"/>
                <w:kern w:val="0"/>
                <w:szCs w:val="21"/>
                <w:lang w:eastAsia="zh-CN"/>
              </w:rPr>
              <w:t>、</w:t>
            </w:r>
            <w:r>
              <w:rPr>
                <w:rFonts w:hint="eastAsia" w:ascii="宋体" w:hAnsi="宋体"/>
                <w:kern w:val="0"/>
                <w:szCs w:val="21"/>
                <w:lang w:eastAsia="zh-CN"/>
              </w:rPr>
              <w:t>江本利</w:t>
            </w:r>
            <w:r>
              <w:rPr>
                <w:rFonts w:hint="eastAsia" w:ascii="宋体" w:hAnsi="宋体" w:eastAsia="宋体"/>
                <w:kern w:val="0"/>
                <w:szCs w:val="21"/>
                <w:lang w:eastAsia="zh-CN"/>
              </w:rPr>
              <w:t>、</w:t>
            </w:r>
            <w:r>
              <w:rPr>
                <w:rFonts w:hint="eastAsia" w:ascii="宋体" w:hAnsi="宋体"/>
                <w:kern w:val="0"/>
                <w:szCs w:val="21"/>
                <w:lang w:val="en-US" w:eastAsia="zh-CN"/>
              </w:rPr>
              <w:t>添长久</w:t>
            </w:r>
            <w:r>
              <w:rPr>
                <w:rFonts w:hint="eastAsia" w:ascii="宋体" w:hAnsi="宋体" w:eastAsia="宋体"/>
                <w:kern w:val="0"/>
                <w:szCs w:val="21"/>
                <w:lang w:val="en-US" w:eastAsia="zh-CN"/>
              </w:rPr>
              <w:t>、</w:t>
            </w:r>
            <w:r>
              <w:rPr>
                <w:rFonts w:hint="eastAsia" w:ascii="宋体" w:hAnsi="宋体"/>
                <w:kern w:val="0"/>
                <w:szCs w:val="21"/>
                <w:lang w:eastAsia="zh-CN"/>
              </w:rPr>
              <w:t>余黎明</w:t>
            </w:r>
            <w:r>
              <w:rPr>
                <w:rFonts w:hint="eastAsia" w:ascii="宋体" w:hAnsi="宋体" w:eastAsia="宋体"/>
                <w:kern w:val="0"/>
                <w:szCs w:val="21"/>
              </w:rPr>
              <w:t>等</w:t>
            </w:r>
            <w:r>
              <w:rPr>
                <w:rFonts w:hint="eastAsia" w:ascii="宋体" w:hAnsi="宋体"/>
                <w:kern w:val="0"/>
                <w:szCs w:val="21"/>
                <w:lang w:val="en-US" w:eastAsia="zh-CN"/>
              </w:rPr>
              <w:t>9</w:t>
            </w:r>
            <w:r>
              <w:rPr>
                <w:rFonts w:hint="eastAsia" w:ascii="宋体" w:hAnsi="宋体" w:eastAsia="宋体"/>
                <w:kern w:val="0"/>
                <w:szCs w:val="21"/>
              </w:rPr>
              <w:t>人，确定专人负责，明确分工，在202</w:t>
            </w:r>
            <w:r>
              <w:rPr>
                <w:rFonts w:hint="eastAsia" w:ascii="宋体" w:hAnsi="宋体" w:eastAsia="宋体"/>
                <w:kern w:val="0"/>
                <w:szCs w:val="21"/>
                <w:lang w:val="en-US" w:eastAsia="zh-CN"/>
              </w:rPr>
              <w:t>3</w:t>
            </w:r>
            <w:r>
              <w:rPr>
                <w:rFonts w:hint="eastAsia" w:ascii="宋体" w:hAnsi="宋体" w:eastAsia="宋体"/>
                <w:kern w:val="0"/>
                <w:szCs w:val="21"/>
              </w:rPr>
              <w:t>年</w:t>
            </w:r>
            <w:r>
              <w:rPr>
                <w:rFonts w:hint="eastAsia" w:ascii="宋体" w:hAnsi="宋体"/>
                <w:kern w:val="0"/>
                <w:szCs w:val="21"/>
                <w:lang w:val="en-US" w:eastAsia="zh-CN"/>
              </w:rPr>
              <w:t>10</w:t>
            </w:r>
            <w:r>
              <w:rPr>
                <w:rFonts w:hint="eastAsia" w:ascii="宋体" w:hAnsi="宋体" w:eastAsia="宋体"/>
                <w:kern w:val="0"/>
                <w:szCs w:val="21"/>
              </w:rPr>
              <w:t>月</w:t>
            </w:r>
            <w:r>
              <w:rPr>
                <w:rFonts w:hint="eastAsia"/>
              </w:rPr>
              <w:t>-</w:t>
            </w:r>
            <w:r>
              <w:rPr>
                <w:rFonts w:hint="eastAsia" w:ascii="宋体" w:hAnsi="宋体" w:eastAsia="宋体"/>
                <w:kern w:val="0"/>
                <w:szCs w:val="21"/>
              </w:rPr>
              <w:t>202</w:t>
            </w:r>
            <w:r>
              <w:rPr>
                <w:rFonts w:hint="eastAsia" w:ascii="宋体" w:hAnsi="宋体" w:eastAsia="宋体"/>
                <w:kern w:val="0"/>
                <w:szCs w:val="21"/>
                <w:lang w:val="en-US" w:eastAsia="zh-CN"/>
              </w:rPr>
              <w:t>4</w:t>
            </w:r>
            <w:r>
              <w:rPr>
                <w:rFonts w:hint="eastAsia" w:ascii="宋体" w:hAnsi="宋体" w:eastAsia="宋体"/>
                <w:kern w:val="0"/>
                <w:szCs w:val="21"/>
              </w:rPr>
              <w:t>年</w:t>
            </w:r>
            <w:r>
              <w:rPr>
                <w:rFonts w:hint="eastAsia" w:ascii="宋体" w:hAnsi="宋体"/>
                <w:kern w:val="0"/>
                <w:szCs w:val="21"/>
                <w:lang w:val="en-US" w:eastAsia="zh-CN"/>
              </w:rPr>
              <w:t>8</w:t>
            </w:r>
            <w:r>
              <w:rPr>
                <w:rFonts w:hint="eastAsia" w:ascii="宋体" w:hAnsi="宋体" w:eastAsia="宋体"/>
                <w:kern w:val="0"/>
                <w:szCs w:val="21"/>
              </w:rPr>
              <w:t>月</w:t>
            </w:r>
            <w:r>
              <w:rPr>
                <w:rFonts w:hint="eastAsia"/>
              </w:rPr>
              <w:t>期间，项目组主要对前期调查研究的相关内容进行梳理总结、与全省多家</w:t>
            </w:r>
            <w:r>
              <w:rPr>
                <w:rFonts w:hint="eastAsia"/>
                <w:lang w:eastAsia="zh-CN"/>
              </w:rPr>
              <w:t>薏苡种植合作社、种植大户</w:t>
            </w:r>
            <w:r>
              <w:rPr>
                <w:rFonts w:hint="eastAsia"/>
              </w:rPr>
              <w:t>进行深入技术交流、查阅相关文献资料，包括相关国家标准、行业标准及其相关的研究论文。在此基础上，对资料进行总结分析和整理，在广泛征求意见后，确定了本标准的提纲，起草形</w:t>
            </w:r>
            <w:r>
              <w:rPr>
                <w:rFonts w:ascii="宋体" w:hAnsi="宋体"/>
                <w:kern w:val="0"/>
                <w:szCs w:val="21"/>
              </w:rPr>
              <w:t>成征求意见稿</w:t>
            </w:r>
            <w:r>
              <w:rPr>
                <w:rFonts w:hint="eastAsia"/>
              </w:rPr>
              <w:t>。</w:t>
            </w:r>
          </w:p>
          <w:p>
            <w:pPr>
              <w:spacing w:line="360" w:lineRule="auto"/>
              <w:ind w:firstLine="420" w:firstLineChars="200"/>
              <w:rPr>
                <w:rFonts w:hAnsi="宋体"/>
                <w:szCs w:val="21"/>
              </w:rPr>
            </w:pPr>
            <w:r>
              <w:rPr>
                <w:rFonts w:hint="eastAsia" w:ascii="宋体" w:hAnsi="宋体"/>
                <w:kern w:val="0"/>
                <w:szCs w:val="21"/>
              </w:rPr>
              <w:t>本规程按GB/T1.1-2020《标准化工作导则 第1部分：标准化文件的结构和起草规则》给出的规则起草。</w:t>
            </w:r>
            <w:r>
              <w:rPr>
                <w:rFonts w:hint="eastAsia" w:hAnsi="宋体"/>
                <w:szCs w:val="21"/>
              </w:rPr>
              <w:t>在制定过程中，得到了国内</w:t>
            </w:r>
            <w:r>
              <w:rPr>
                <w:rFonts w:hint="eastAsia" w:hAnsi="宋体"/>
                <w:szCs w:val="21"/>
                <w:lang w:eastAsia="zh-CN"/>
              </w:rPr>
              <w:t>植物保护</w:t>
            </w:r>
            <w:r>
              <w:rPr>
                <w:rFonts w:hint="eastAsia" w:hAnsi="宋体"/>
                <w:szCs w:val="21"/>
              </w:rPr>
              <w:t>专家和</w:t>
            </w:r>
            <w:r>
              <w:rPr>
                <w:rFonts w:hint="eastAsia" w:hAnsi="宋体"/>
                <w:szCs w:val="21"/>
                <w:lang w:eastAsia="zh-CN"/>
              </w:rPr>
              <w:t>植物病虫害防控</w:t>
            </w:r>
            <w:r>
              <w:rPr>
                <w:rFonts w:hint="eastAsia" w:hAnsi="宋体"/>
                <w:szCs w:val="21"/>
              </w:rPr>
              <w:t>主管部门的大力支持，并对标准编制提出了很多具体意见和建议</w:t>
            </w:r>
            <w:r>
              <w:rPr>
                <w:rFonts w:hint="eastAsia" w:hAnsi="宋体"/>
                <w:szCs w:val="21"/>
                <w:lang w:eastAsia="zh-CN"/>
              </w:rPr>
              <w:t>。</w:t>
            </w:r>
            <w:r>
              <w:rPr>
                <w:rFonts w:ascii="Times New Roman"/>
              </w:rPr>
              <w:t>起草小组对标准的草案进行了多次修改，</w:t>
            </w:r>
            <w:r>
              <w:rPr>
                <w:rFonts w:hint="eastAsia" w:hAnsi="宋体"/>
                <w:szCs w:val="21"/>
              </w:rPr>
              <w:t>逐渐形成本标准文稿，从而使本标准更加完善、科学和更具有现实可操作性。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r>
              <w:rPr>
                <w:rFonts w:hint="eastAsia" w:ascii="宋体" w:hAnsi="宋体"/>
                <w:kern w:val="0"/>
                <w:szCs w:val="21"/>
              </w:rPr>
              <w:t>2、制定标准的必要性和意义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widowControl/>
              <w:tabs>
                <w:tab w:val="center" w:pos="4201"/>
                <w:tab w:val="right" w:leader="dot" w:pos="9298"/>
              </w:tabs>
              <w:autoSpaceDE w:val="0"/>
              <w:autoSpaceDN w:val="0"/>
              <w:adjustRightInd w:val="0"/>
              <w:spacing w:line="360" w:lineRule="auto"/>
              <w:ind w:firstLine="420" w:firstLineChars="200"/>
              <w:contextualSpacing/>
              <w:rPr>
                <w:rFonts w:hint="eastAsia" w:ascii="宋体" w:hAnsi="宋体" w:cs="宋体"/>
                <w:color w:val="000000"/>
                <w:szCs w:val="21"/>
              </w:rPr>
            </w:pPr>
            <w:r>
              <w:rPr>
                <w:rFonts w:hint="eastAsia" w:ascii="宋体" w:hAnsi="宋体" w:cs="宋体"/>
                <w:color w:val="000000"/>
                <w:szCs w:val="21"/>
                <w:lang w:val="en-US" w:eastAsia="zh-CN"/>
              </w:rPr>
              <w:t>薏苡（</w:t>
            </w:r>
            <w:r>
              <w:rPr>
                <w:rFonts w:hint="eastAsia" w:ascii="宋体" w:hAnsi="宋体" w:cs="宋体"/>
                <w:i/>
                <w:iCs/>
                <w:color w:val="000000"/>
                <w:szCs w:val="21"/>
                <w:lang w:val="en" w:eastAsia="zh-CN"/>
              </w:rPr>
              <w:t>Coix lacryma-jobi</w:t>
            </w:r>
            <w:r>
              <w:rPr>
                <w:rFonts w:hint="eastAsia" w:ascii="宋体" w:hAnsi="宋体" w:cs="宋体"/>
                <w:color w:val="000000"/>
                <w:szCs w:val="21"/>
                <w:lang w:val="en-US" w:eastAsia="zh-CN"/>
              </w:rPr>
              <w:t>），一年生或多年生禾本科植物，其种仁又名薏米、薏苡仁、薏仁米等，是一种</w:t>
            </w:r>
            <w:bookmarkStart w:id="0" w:name="_Hlk129096142"/>
            <w:r>
              <w:rPr>
                <w:rFonts w:hint="eastAsia" w:ascii="宋体" w:hAnsi="宋体" w:cs="宋体"/>
                <w:color w:val="000000"/>
                <w:szCs w:val="21"/>
                <w:lang w:val="en-US" w:eastAsia="zh-CN"/>
              </w:rPr>
              <w:t>营养丰富的粮药兼用</w:t>
            </w:r>
            <w:bookmarkEnd w:id="0"/>
            <w:r>
              <w:rPr>
                <w:rFonts w:hint="eastAsia" w:ascii="宋体" w:hAnsi="宋体" w:cs="宋体"/>
                <w:color w:val="000000"/>
                <w:szCs w:val="21"/>
                <w:lang w:val="en-US" w:eastAsia="zh-CN"/>
              </w:rPr>
              <w:t>作物。由于营养丰富，在世界上享有“禾本科之王”的美誉。</w:t>
            </w:r>
            <w:r>
              <w:rPr>
                <w:rFonts w:hint="eastAsia" w:ascii="宋体" w:hAnsi="宋体" w:cs="宋体"/>
                <w:color w:val="000000"/>
                <w:szCs w:val="21"/>
                <w:lang w:val="en" w:eastAsia="zh-CN"/>
              </w:rPr>
              <w:t>我省皖南山区和皖西大别山区有悠久的薏苡种植历史，目前在我省已经形成了以石台县为主的皖南山区薏苡种植带和以岳西、潜山、太湖为主的皖西大别山区薏苡种植带。</w:t>
            </w:r>
            <w:r>
              <w:rPr>
                <w:rFonts w:hint="eastAsia" w:ascii="宋体" w:hAnsi="宋体" w:cs="宋体"/>
                <w:color w:val="000000"/>
                <w:szCs w:val="21"/>
                <w:lang w:val="en-US" w:eastAsia="zh-CN"/>
              </w:rPr>
              <w:t>然而我省薏苡主产区农户在种植过程中仍然面临一些亟需解决的问题。其一，种植面积近年有所增大且较为集中，致使病害菌源和害虫基数增大，种群发展迅速，病虫害危害逐年加重；其二，农业劳动力日渐稀少，疏于管理，杂草难以有效控制；其三，主产区薏苡生产者病虫草害防治意识、技术有限，生产中防治不足或过于依赖化学农药。因此为保障我省薏苡产业绿色发展，有必要依据主产地薏苡病虫草害发生的特点，制定出一套适用于安徽产区的薏苡病虫草害绿色防治技术规程，支持薏苡绿色农产品生产，促进健康产业发展，适应社会消费升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r>
              <w:rPr>
                <w:rFonts w:hint="eastAsia" w:ascii="宋体" w:hAnsi="宋体"/>
                <w:kern w:val="0"/>
                <w:szCs w:val="21"/>
              </w:rPr>
              <w:t>3、制定标准的原则和依据，与现行法律法规、标准的关系。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widowControl/>
              <w:tabs>
                <w:tab w:val="center" w:pos="4201"/>
                <w:tab w:val="right" w:leader="dot" w:pos="9298"/>
              </w:tabs>
              <w:autoSpaceDE w:val="0"/>
              <w:autoSpaceDN w:val="0"/>
              <w:adjustRightInd w:val="0"/>
              <w:spacing w:line="360" w:lineRule="auto"/>
              <w:ind w:firstLine="420" w:firstLineChars="200"/>
              <w:contextualSpacing/>
              <w:rPr>
                <w:rFonts w:hint="eastAsia" w:ascii="宋体" w:hAnsi="宋体" w:cs="宋体"/>
                <w:color w:val="000000"/>
                <w:szCs w:val="21"/>
                <w:lang w:val="en-US" w:eastAsia="zh-CN"/>
              </w:rPr>
            </w:pPr>
            <w:r>
              <w:rPr>
                <w:rFonts w:hint="eastAsia" w:ascii="宋体" w:hAnsi="宋体" w:cs="宋体"/>
                <w:color w:val="000000"/>
                <w:szCs w:val="21"/>
                <w:lang w:val="en-US" w:eastAsia="zh-CN"/>
              </w:rPr>
              <w:t>本标准依据薏苡生产中的病虫草害防控需要，编制遵循“前沿性、科学性、实用性、规范性”的原则，按照《中华人民共和国标准化法》和《安徽省地方标准管理办法》等有关法律、法规制定。本标准引用了GB/T 8321（所有部分） 农药合理使用准则、GB/T 24689.2-2017 植物保护机械 杀虫灯、GB/T 24689.2-2019 植物保护机械 频振式杀虫灯、GB/T 24689.4-2019 植物保护机械 诱虫板、GB</w:t>
            </w:r>
            <w:r>
              <w:rPr>
                <w:rFonts w:hint="default" w:ascii="宋体" w:hAnsi="宋体" w:cs="宋体"/>
                <w:color w:val="000000"/>
                <w:szCs w:val="21"/>
                <w:lang w:val="en" w:eastAsia="zh-CN"/>
              </w:rPr>
              <w:t xml:space="preserve">/T 15798- </w:t>
            </w:r>
            <w:r>
              <w:rPr>
                <w:rFonts w:hint="eastAsia" w:ascii="宋体" w:hAnsi="宋体" w:cs="宋体"/>
                <w:color w:val="000000"/>
                <w:szCs w:val="21"/>
                <w:lang w:val="en-US" w:eastAsia="zh-CN"/>
              </w:rPr>
              <w:t>2009</w:t>
            </w:r>
            <w:r>
              <w:rPr>
                <w:rFonts w:hint="default" w:ascii="宋体" w:hAnsi="宋体" w:cs="宋体"/>
                <w:color w:val="000000"/>
                <w:szCs w:val="21"/>
                <w:lang w:val="en" w:eastAsia="zh-CN"/>
              </w:rPr>
              <w:t xml:space="preserve"> </w:t>
            </w:r>
            <w:r>
              <w:rPr>
                <w:rFonts w:hint="eastAsia" w:ascii="宋体" w:hAnsi="宋体" w:cs="宋体"/>
                <w:color w:val="000000"/>
                <w:szCs w:val="21"/>
                <w:lang w:val="en" w:eastAsia="zh-CN"/>
              </w:rPr>
              <w:t>黏虫测报调查规范、</w:t>
            </w:r>
            <w:r>
              <w:rPr>
                <w:rFonts w:hint="eastAsia" w:ascii="宋体" w:hAnsi="宋体" w:cs="宋体"/>
                <w:color w:val="000000"/>
                <w:szCs w:val="21"/>
                <w:lang w:val="en-US" w:eastAsia="zh-CN"/>
              </w:rPr>
              <w:t>NY/ T 1276-2007农药安全使用规范总则、NY/T 1611-2017 玉米螟测报技术规范等的条款和内容。</w:t>
            </w:r>
          </w:p>
          <w:p>
            <w:pPr>
              <w:widowControl/>
              <w:tabs>
                <w:tab w:val="center" w:pos="4201"/>
                <w:tab w:val="right" w:leader="dot" w:pos="9298"/>
              </w:tabs>
              <w:autoSpaceDE w:val="0"/>
              <w:autoSpaceDN w:val="0"/>
              <w:adjustRightInd w:val="0"/>
              <w:spacing w:line="360" w:lineRule="auto"/>
              <w:ind w:firstLine="420" w:firstLineChars="200"/>
              <w:contextualSpacing/>
              <w:rPr>
                <w:rFonts w:hAnsi="宋体"/>
                <w:szCs w:val="21"/>
              </w:rPr>
            </w:pPr>
            <w:r>
              <w:rPr>
                <w:rFonts w:hint="eastAsia" w:ascii="宋体" w:hAnsi="宋体" w:cs="宋体"/>
                <w:color w:val="000000"/>
                <w:szCs w:val="21"/>
                <w:lang w:val="en-US" w:eastAsia="zh-CN"/>
              </w:rPr>
              <w:t>本标准遵循现行国家标准、行业标准和现行法律法规，不存在冲突。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r>
              <w:rPr>
                <w:rFonts w:hint="eastAsia" w:ascii="宋体" w:hAnsi="宋体"/>
                <w:kern w:val="0"/>
                <w:szCs w:val="21"/>
              </w:rPr>
              <w:t>4、主要条款的说明，主要技术指标、参数、试验验证的论述（</w:t>
            </w:r>
            <w:r>
              <w:rPr>
                <w:rFonts w:hint="eastAsia" w:ascii="宋体" w:hAnsi="宋体"/>
                <w:b/>
                <w:kern w:val="0"/>
                <w:szCs w:val="21"/>
              </w:rPr>
              <w:t>详细说明</w:t>
            </w:r>
            <w:r>
              <w:rPr>
                <w:rFonts w:hint="eastAsia" w:ascii="宋体" w:hAnsi="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spacing w:line="360" w:lineRule="auto"/>
              <w:jc w:val="both"/>
              <w:rPr>
                <w:rFonts w:ascii="宋体" w:hAnsi="宋体"/>
                <w:b/>
                <w:color w:val="000000"/>
                <w:szCs w:val="21"/>
              </w:rPr>
            </w:pPr>
            <w:r>
              <w:rPr>
                <w:rFonts w:hint="eastAsia" w:ascii="宋体" w:hAnsi="宋体"/>
                <w:b/>
                <w:color w:val="000000"/>
                <w:szCs w:val="21"/>
              </w:rPr>
              <w:t>主要条款：</w:t>
            </w:r>
          </w:p>
          <w:p>
            <w:pPr>
              <w:widowControl/>
              <w:tabs>
                <w:tab w:val="center" w:pos="4201"/>
                <w:tab w:val="right" w:leader="dot" w:pos="9298"/>
              </w:tabs>
              <w:autoSpaceDE w:val="0"/>
              <w:autoSpaceDN w:val="0"/>
              <w:adjustRightInd w:val="0"/>
              <w:spacing w:line="400" w:lineRule="atLeast"/>
              <w:ind w:firstLine="420" w:firstLineChars="200"/>
              <w:contextualSpacing/>
              <w:jc w:val="both"/>
              <w:rPr>
                <w:rFonts w:hint="eastAsia" w:ascii="宋体" w:hAnsi="宋体"/>
                <w:kern w:val="0"/>
                <w:szCs w:val="21"/>
                <w:lang w:val="en-US" w:eastAsia="zh-CN"/>
              </w:rPr>
            </w:pPr>
            <w:r>
              <w:rPr>
                <w:rFonts w:hint="eastAsia"/>
              </w:rPr>
              <w:t>该规程严格</w:t>
            </w:r>
            <w:r>
              <w:rPr>
                <w:rFonts w:ascii="宋体" w:hAnsi="宋体"/>
                <w:kern w:val="0"/>
                <w:szCs w:val="21"/>
              </w:rPr>
              <w:t>按照GB/T1.1-20</w:t>
            </w:r>
            <w:r>
              <w:rPr>
                <w:rFonts w:hint="eastAsia" w:ascii="宋体" w:hAnsi="宋体"/>
                <w:kern w:val="0"/>
                <w:szCs w:val="21"/>
              </w:rPr>
              <w:t>20</w:t>
            </w:r>
            <w:r>
              <w:rPr>
                <w:rFonts w:ascii="宋体" w:hAnsi="宋体"/>
                <w:kern w:val="0"/>
                <w:szCs w:val="21"/>
              </w:rPr>
              <w:t xml:space="preserve"> 标准化工作导则 第1部分：标准的结构和编写规则的要求，</w:t>
            </w:r>
            <w:r>
              <w:rPr>
                <w:rFonts w:hint="eastAsia" w:ascii="宋体" w:hAnsi="宋体"/>
                <w:kern w:val="0"/>
                <w:szCs w:val="21"/>
              </w:rPr>
              <w:t>本规程的章节由</w:t>
            </w:r>
            <w:r>
              <w:rPr>
                <w:rFonts w:hint="eastAsia" w:ascii="宋体" w:hAnsi="宋体"/>
                <w:kern w:val="0"/>
                <w:szCs w:val="21"/>
                <w:lang w:eastAsia="zh-CN"/>
              </w:rPr>
              <w:t>适用</w:t>
            </w:r>
            <w:r>
              <w:rPr>
                <w:rFonts w:hint="eastAsia" w:ascii="宋体" w:hAnsi="宋体"/>
                <w:kern w:val="0"/>
                <w:szCs w:val="21"/>
              </w:rPr>
              <w:t>范围、规范性引用文件、术语和定义、</w:t>
            </w:r>
            <w:r>
              <w:rPr>
                <w:rFonts w:hint="eastAsia" w:ascii="宋体" w:hAnsi="宋体"/>
                <w:kern w:val="0"/>
                <w:szCs w:val="21"/>
                <w:lang w:val="en-US" w:eastAsia="zh-CN"/>
              </w:rPr>
              <w:t>主要病虫草害种类、防治技术原则、病虫草害田间监测、绿色防控主要技术、绿色防控技术集成应用部分</w:t>
            </w:r>
            <w:r>
              <w:rPr>
                <w:rFonts w:hint="eastAsia" w:ascii="宋体" w:hAnsi="宋体"/>
                <w:kern w:val="0"/>
                <w:szCs w:val="21"/>
              </w:rPr>
              <w:t>组成</w:t>
            </w:r>
            <w:r>
              <w:rPr>
                <w:rFonts w:ascii="宋体" w:hAnsi="宋体"/>
                <w:kern w:val="0"/>
                <w:szCs w:val="21"/>
              </w:rPr>
              <w:t>。</w:t>
            </w:r>
          </w:p>
          <w:p>
            <w:pPr>
              <w:spacing w:line="360" w:lineRule="auto"/>
              <w:jc w:val="both"/>
              <w:rPr>
                <w:rFonts w:ascii="宋体" w:hAnsi="宋体"/>
                <w:kern w:val="0"/>
                <w:szCs w:val="21"/>
              </w:rPr>
            </w:pPr>
            <w:r>
              <w:rPr>
                <w:rFonts w:hint="eastAsia" w:ascii="宋体" w:hAnsi="宋体"/>
                <w:b/>
                <w:color w:val="000000"/>
                <w:szCs w:val="21"/>
              </w:rPr>
              <w:t>主要技术指标、参数：</w:t>
            </w:r>
          </w:p>
          <w:p>
            <w:pPr>
              <w:numPr>
                <w:ilvl w:val="0"/>
                <w:numId w:val="0"/>
              </w:numPr>
              <w:shd w:val="clear" w:color="auto" w:fill="FFFFFF"/>
              <w:spacing w:line="360" w:lineRule="auto"/>
              <w:ind w:firstLine="420" w:firstLineChars="200"/>
              <w:jc w:val="both"/>
              <w:rPr>
                <w:rFonts w:hint="eastAsia" w:ascii="宋体" w:cs="Times New Roman"/>
                <w:b w:val="0"/>
                <w:bCs/>
                <w:color w:val="000000"/>
                <w:sz w:val="21"/>
                <w:szCs w:val="21"/>
                <w:lang w:val="en-US" w:eastAsia="zh-CN" w:bidi="ar"/>
              </w:rPr>
            </w:pPr>
            <w:r>
              <w:rPr>
                <w:rFonts w:hint="eastAsia" w:ascii="宋体" w:cs="Times New Roman"/>
                <w:b w:val="0"/>
                <w:bCs/>
                <w:color w:val="000000"/>
                <w:sz w:val="21"/>
                <w:szCs w:val="21"/>
                <w:lang w:val="en-US" w:eastAsia="zh-CN" w:bidi="ar"/>
              </w:rPr>
              <w:t>一、主要病虫草害种类</w:t>
            </w:r>
          </w:p>
          <w:p>
            <w:pPr>
              <w:numPr>
                <w:ilvl w:val="0"/>
                <w:numId w:val="0"/>
              </w:numPr>
              <w:shd w:val="clear" w:color="auto" w:fill="FFFFFF"/>
              <w:spacing w:line="360" w:lineRule="auto"/>
              <w:ind w:firstLine="420" w:firstLineChars="200"/>
              <w:jc w:val="both"/>
              <w:rPr>
                <w:rFonts w:hint="eastAsia" w:ascii="宋体" w:cs="Times New Roman"/>
                <w:b w:val="0"/>
                <w:bCs/>
                <w:color w:val="000000"/>
                <w:sz w:val="21"/>
                <w:szCs w:val="21"/>
                <w:lang w:val="en-US" w:eastAsia="zh-CN" w:bidi="ar"/>
              </w:rPr>
            </w:pPr>
            <w:r>
              <w:rPr>
                <w:rFonts w:hint="eastAsia" w:ascii="宋体" w:cs="Times New Roman"/>
                <w:b w:val="0"/>
                <w:bCs/>
                <w:color w:val="000000"/>
                <w:sz w:val="21"/>
                <w:szCs w:val="21"/>
                <w:lang w:val="en-US" w:eastAsia="zh-CN" w:bidi="ar"/>
              </w:rPr>
              <w:t>薏苡黑穗病、薏苡叶枯病、玉米螟、粘虫、蚜虫、地下害虫、狗尾草、马唐、曼陀螺、反枝苋等。</w:t>
            </w:r>
          </w:p>
          <w:p>
            <w:pPr>
              <w:numPr>
                <w:ilvl w:val="0"/>
                <w:numId w:val="0"/>
              </w:numPr>
              <w:shd w:val="clear" w:color="auto" w:fill="FFFFFF"/>
              <w:spacing w:line="360" w:lineRule="auto"/>
              <w:ind w:firstLine="420" w:firstLineChars="200"/>
              <w:jc w:val="both"/>
              <w:rPr>
                <w:rFonts w:hint="eastAsia" w:ascii="宋体"/>
                <w:b w:val="0"/>
                <w:bCs w:val="0"/>
                <w:color w:val="000000"/>
                <w:sz w:val="21"/>
                <w:szCs w:val="21"/>
                <w:lang w:val="en-US" w:eastAsia="zh-CN"/>
              </w:rPr>
            </w:pPr>
            <w:r>
              <w:rPr>
                <w:rFonts w:hint="eastAsia" w:ascii="宋体"/>
                <w:b w:val="0"/>
                <w:bCs w:val="0"/>
                <w:color w:val="000000"/>
                <w:sz w:val="21"/>
                <w:szCs w:val="21"/>
                <w:lang w:val="en-US" w:eastAsia="zh-CN"/>
              </w:rPr>
              <w:t>二、防治技术原则</w:t>
            </w:r>
          </w:p>
          <w:p>
            <w:pPr>
              <w:numPr>
                <w:ilvl w:val="0"/>
                <w:numId w:val="0"/>
              </w:numPr>
              <w:shd w:val="clear" w:color="auto" w:fill="FFFFFF"/>
              <w:spacing w:line="360" w:lineRule="auto"/>
              <w:ind w:firstLine="420" w:firstLineChars="200"/>
              <w:jc w:val="both"/>
              <w:rPr>
                <w:rFonts w:hint="eastAsia" w:ascii="宋体" w:cs="Times New Roman"/>
                <w:b w:val="0"/>
                <w:bCs/>
                <w:color w:val="000000"/>
                <w:sz w:val="21"/>
                <w:szCs w:val="21"/>
                <w:lang w:val="en-US" w:eastAsia="zh-CN" w:bidi="ar"/>
              </w:rPr>
            </w:pPr>
            <w:r>
              <w:rPr>
                <w:rFonts w:hint="eastAsia" w:ascii="宋体" w:cs="Times New Roman"/>
                <w:b w:val="0"/>
                <w:bCs/>
                <w:color w:val="000000"/>
                <w:sz w:val="21"/>
                <w:szCs w:val="21"/>
                <w:lang w:val="en-US" w:eastAsia="zh-CN" w:bidi="ar"/>
              </w:rPr>
              <w:t>综合运用农业防治、生物防治、理化诱控、科学用药等多种绿色防控技术措施，将薏苡病虫害的危害损失率控制在5%以内，草害的危害损失率控制在10%以内。</w:t>
            </w:r>
          </w:p>
          <w:p>
            <w:pPr>
              <w:numPr>
                <w:ilvl w:val="0"/>
                <w:numId w:val="2"/>
              </w:numPr>
              <w:shd w:val="clear" w:color="auto" w:fill="FFFFFF"/>
              <w:spacing w:line="360" w:lineRule="auto"/>
              <w:ind w:firstLine="420" w:firstLineChars="200"/>
              <w:jc w:val="both"/>
              <w:rPr>
                <w:rFonts w:hint="eastAsia" w:ascii="宋体"/>
                <w:b w:val="0"/>
                <w:bCs w:val="0"/>
                <w:color w:val="000000"/>
                <w:sz w:val="21"/>
                <w:szCs w:val="21"/>
                <w:lang w:val="en-US" w:eastAsia="zh-CN"/>
              </w:rPr>
            </w:pPr>
            <w:r>
              <w:rPr>
                <w:rFonts w:hint="eastAsia" w:ascii="宋体"/>
                <w:b w:val="0"/>
                <w:bCs w:val="0"/>
                <w:color w:val="000000"/>
                <w:sz w:val="21"/>
                <w:szCs w:val="21"/>
                <w:lang w:val="en-US" w:eastAsia="zh-CN"/>
              </w:rPr>
              <w:t>病虫草害田间监测</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textAlignment w:val="auto"/>
              <w:rPr>
                <w:rFonts w:hint="default"/>
                <w:lang w:val="en-US" w:eastAsia="zh-CN"/>
              </w:rPr>
            </w:pPr>
            <w:r>
              <w:rPr>
                <w:rFonts w:hint="eastAsia"/>
                <w:lang w:val="en-US" w:eastAsia="zh-CN"/>
              </w:rPr>
              <w:t xml:space="preserve">   </w:t>
            </w:r>
            <w:r>
              <w:rPr>
                <w:rFonts w:hint="eastAsia" w:ascii="宋体" w:hAnsi="Times New Roman" w:eastAsia="宋体" w:cs="Times New Roman"/>
                <w:b w:val="0"/>
                <w:bCs/>
                <w:color w:val="000000"/>
                <w:kern w:val="2"/>
                <w:sz w:val="21"/>
                <w:szCs w:val="21"/>
                <w:lang w:val="en-US" w:eastAsia="zh-CN" w:bidi="ar"/>
              </w:rPr>
              <w:t xml:space="preserve"> 按照GB</w:t>
            </w:r>
            <w:r>
              <w:rPr>
                <w:rFonts w:hint="default" w:ascii="宋体" w:hAnsi="Times New Roman" w:eastAsia="宋体" w:cs="Times New Roman"/>
                <w:b w:val="0"/>
                <w:bCs/>
                <w:color w:val="000000"/>
                <w:kern w:val="2"/>
                <w:sz w:val="21"/>
                <w:szCs w:val="21"/>
                <w:lang w:val="en" w:eastAsia="zh-CN" w:bidi="ar"/>
              </w:rPr>
              <w:t xml:space="preserve">/T 15798- </w:t>
            </w:r>
            <w:r>
              <w:rPr>
                <w:rFonts w:hint="eastAsia" w:ascii="宋体" w:hAnsi="Times New Roman" w:eastAsia="宋体" w:cs="Times New Roman"/>
                <w:b w:val="0"/>
                <w:bCs/>
                <w:color w:val="000000"/>
                <w:kern w:val="2"/>
                <w:sz w:val="21"/>
                <w:szCs w:val="21"/>
                <w:lang w:val="en-US" w:eastAsia="zh-CN" w:bidi="ar"/>
              </w:rPr>
              <w:t>2009和NY/T 1611-2017</w:t>
            </w:r>
            <w:r>
              <w:rPr>
                <w:rFonts w:hint="eastAsia" w:ascii="宋体" w:hAnsi="Times New Roman" w:eastAsia="宋体" w:cs="Times New Roman"/>
                <w:b w:val="0"/>
                <w:bCs/>
                <w:color w:val="000000"/>
                <w:kern w:val="2"/>
                <w:sz w:val="21"/>
                <w:szCs w:val="21"/>
                <w:lang w:val="en" w:eastAsia="zh-CN" w:bidi="ar"/>
              </w:rPr>
              <w:t>的要求进行薏苡病虫害监测。其他病虫草害实行种群密度动态监测。</w:t>
            </w:r>
          </w:p>
          <w:p>
            <w:pPr>
              <w:numPr>
                <w:ilvl w:val="0"/>
                <w:numId w:val="0"/>
              </w:numPr>
              <w:shd w:val="clear" w:color="auto" w:fill="FFFFFF"/>
              <w:spacing w:line="360" w:lineRule="auto"/>
              <w:ind w:firstLine="420" w:firstLineChars="200"/>
              <w:jc w:val="both"/>
              <w:rPr>
                <w:rFonts w:hint="eastAsia" w:ascii="宋体" w:cs="Times New Roman"/>
                <w:b w:val="0"/>
                <w:bCs w:val="0"/>
                <w:color w:val="000000"/>
                <w:sz w:val="21"/>
                <w:szCs w:val="21"/>
                <w:lang w:val="en-US" w:eastAsia="zh-CN"/>
              </w:rPr>
            </w:pPr>
            <w:r>
              <w:rPr>
                <w:rFonts w:hint="eastAsia" w:ascii="宋体" w:cs="Times New Roman"/>
                <w:b w:val="0"/>
                <w:bCs w:val="0"/>
                <w:color w:val="000000"/>
                <w:sz w:val="21"/>
                <w:szCs w:val="21"/>
                <w:lang w:val="en-US" w:eastAsia="zh-CN"/>
              </w:rPr>
              <w:t>四、绿色防控主要技术</w:t>
            </w:r>
          </w:p>
          <w:p>
            <w:pPr>
              <w:pStyle w:val="2"/>
              <w:numPr>
                <w:ilvl w:val="0"/>
                <w:numId w:val="0"/>
              </w:numPr>
              <w:jc w:val="both"/>
              <w:rPr>
                <w:rFonts w:hint="default"/>
                <w:lang w:val="en-US" w:eastAsia="zh-CN"/>
              </w:rPr>
            </w:pPr>
            <w:r>
              <w:rPr>
                <w:rFonts w:hint="eastAsia"/>
                <w:lang w:val="en-US" w:eastAsia="zh-CN"/>
              </w:rPr>
              <w:t xml:space="preserve">   </w:t>
            </w:r>
            <w:r>
              <w:rPr>
                <w:rFonts w:hint="eastAsia" w:ascii="宋体" w:hAnsi="Times New Roman" w:eastAsia="宋体" w:cs="Times New Roman"/>
                <w:b w:val="0"/>
                <w:bCs w:val="0"/>
                <w:color w:val="000000"/>
                <w:kern w:val="2"/>
                <w:sz w:val="21"/>
                <w:szCs w:val="21"/>
                <w:lang w:val="en-US" w:eastAsia="zh-CN" w:bidi="ar-SA"/>
              </w:rPr>
              <w:t>1、农业防治</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360" w:lineRule="auto"/>
              <w:ind w:leftChars="0" w:firstLine="420" w:firstLineChars="200"/>
              <w:jc w:val="both"/>
              <w:textAlignment w:val="auto"/>
              <w:rPr>
                <w:rFonts w:hint="eastAsia" w:ascii="宋体" w:hAnsi="Times New Roman" w:eastAsia="宋体" w:cs="Times New Roman"/>
                <w:b w:val="0"/>
                <w:bCs w:val="0"/>
                <w:color w:val="000000"/>
                <w:sz w:val="21"/>
                <w:szCs w:val="21"/>
                <w:lang w:val="en-US" w:eastAsia="zh-CN"/>
              </w:rPr>
            </w:pPr>
            <w:r>
              <w:rPr>
                <w:rFonts w:hint="eastAsia" w:ascii="宋体" w:cs="Times New Roman"/>
                <w:b w:val="0"/>
                <w:bCs w:val="0"/>
                <w:color w:val="000000"/>
                <w:sz w:val="21"/>
                <w:szCs w:val="21"/>
                <w:lang w:val="en-US" w:eastAsia="zh-CN"/>
              </w:rPr>
              <w:t>（1）农艺防治：选择绿色、优质、高产、抗（耐）病虫优良品种。合理密植，科学轮作，增施腐熟有机肥。</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360" w:lineRule="auto"/>
              <w:ind w:leftChars="0" w:firstLine="420" w:firstLineChars="200"/>
              <w:jc w:val="both"/>
              <w:textAlignment w:val="auto"/>
              <w:rPr>
                <w:rFonts w:hint="eastAsia" w:ascii="宋体" w:cs="Times New Roman"/>
                <w:b w:val="0"/>
                <w:bCs w:val="0"/>
                <w:color w:val="000000"/>
                <w:sz w:val="21"/>
                <w:szCs w:val="21"/>
                <w:lang w:val="en-US" w:eastAsia="zh-CN"/>
              </w:rPr>
            </w:pPr>
            <w:r>
              <w:rPr>
                <w:rFonts w:hint="eastAsia" w:ascii="宋体" w:cs="Times New Roman"/>
                <w:b w:val="0"/>
                <w:bCs w:val="0"/>
                <w:color w:val="000000"/>
                <w:sz w:val="21"/>
                <w:szCs w:val="21"/>
                <w:lang w:val="en-US" w:eastAsia="zh-CN"/>
              </w:rPr>
              <w:t>（2）深耕翻土：土壤深耕25cm以上，人工清除多年生杂草繁殖茎并销毁。</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360" w:lineRule="auto"/>
              <w:ind w:leftChars="0" w:firstLine="420" w:firstLineChars="200"/>
              <w:jc w:val="both"/>
              <w:textAlignment w:val="auto"/>
              <w:rPr>
                <w:rFonts w:hint="eastAsia" w:ascii="宋体" w:cs="Times New Roman"/>
                <w:b w:val="0"/>
                <w:bCs w:val="0"/>
                <w:color w:val="000000"/>
                <w:sz w:val="21"/>
                <w:szCs w:val="21"/>
                <w:lang w:val="en-US" w:eastAsia="zh-CN"/>
              </w:rPr>
            </w:pPr>
            <w:r>
              <w:rPr>
                <w:rFonts w:hint="eastAsia" w:ascii="宋体" w:cs="Times New Roman"/>
                <w:b w:val="0"/>
                <w:bCs w:val="0"/>
                <w:color w:val="000000"/>
                <w:sz w:val="21"/>
                <w:szCs w:val="21"/>
                <w:lang w:val="en-US" w:eastAsia="zh-CN"/>
              </w:rPr>
              <w:t>（3）人工锄草：薏苡出苗后15d～20d进行1次人工锄草，随后在拔节期进行中耕除草。</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360" w:lineRule="auto"/>
              <w:ind w:leftChars="0" w:firstLine="420" w:firstLineChars="200"/>
              <w:jc w:val="both"/>
              <w:textAlignment w:val="auto"/>
              <w:rPr>
                <w:rFonts w:hint="eastAsia" w:ascii="宋体" w:cs="Times New Roman"/>
                <w:b w:val="0"/>
                <w:bCs w:val="0"/>
                <w:color w:val="000000"/>
                <w:sz w:val="21"/>
                <w:szCs w:val="21"/>
                <w:lang w:val="en-US" w:eastAsia="zh-CN"/>
              </w:rPr>
            </w:pPr>
            <w:r>
              <w:rPr>
                <w:rFonts w:hint="eastAsia" w:ascii="宋体" w:cs="Times New Roman"/>
                <w:b w:val="0"/>
                <w:bCs w:val="0"/>
                <w:color w:val="000000"/>
                <w:sz w:val="21"/>
                <w:szCs w:val="21"/>
                <w:lang w:val="en-US" w:eastAsia="zh-CN"/>
              </w:rPr>
              <w:t>（4）地膜覆盖：选用黑膜覆盖除草，膜边缘用土盖实，薏苡出苗时及时破膜。</w:t>
            </w:r>
          </w:p>
          <w:p>
            <w:pPr>
              <w:pStyle w:val="2"/>
              <w:ind w:left="0" w:leftChars="0" w:firstLine="420" w:firstLineChars="200"/>
              <w:jc w:val="both"/>
              <w:rPr>
                <w:rFonts w:hint="eastAsia" w:ascii="宋体" w:cs="Times New Roman"/>
                <w:b w:val="0"/>
                <w:bCs w:val="0"/>
                <w:color w:val="000000"/>
                <w:sz w:val="21"/>
                <w:szCs w:val="21"/>
                <w:lang w:val="en-US" w:eastAsia="zh-CN"/>
              </w:rPr>
            </w:pPr>
            <w:r>
              <w:rPr>
                <w:rFonts w:hint="eastAsia" w:ascii="宋体" w:cs="Times New Roman"/>
                <w:b w:val="0"/>
                <w:bCs w:val="0"/>
                <w:color w:val="000000"/>
                <w:sz w:val="21"/>
                <w:szCs w:val="21"/>
                <w:lang w:val="en-US" w:eastAsia="zh-CN"/>
              </w:rPr>
              <w:t>2、生物防治</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360" w:lineRule="auto"/>
              <w:ind w:leftChars="0" w:firstLine="420" w:firstLineChars="200"/>
              <w:jc w:val="both"/>
              <w:textAlignment w:val="auto"/>
              <w:rPr>
                <w:rFonts w:hint="eastAsia" w:ascii="宋体" w:cs="Times New Roman"/>
                <w:b w:val="0"/>
                <w:bCs w:val="0"/>
                <w:color w:val="000000"/>
                <w:sz w:val="21"/>
                <w:szCs w:val="21"/>
                <w:lang w:val="en-US" w:eastAsia="zh-CN"/>
              </w:rPr>
            </w:pPr>
            <w:r>
              <w:rPr>
                <w:rFonts w:hint="eastAsia" w:ascii="宋体" w:cs="Times New Roman"/>
                <w:b w:val="0"/>
                <w:bCs w:val="0"/>
                <w:color w:val="000000"/>
                <w:sz w:val="21"/>
                <w:szCs w:val="21"/>
                <w:lang w:val="en-US" w:eastAsia="zh-CN"/>
              </w:rPr>
              <w:t>（1）保护和利用自然天敌：保护和利用瓢虫、草蛉、食蚜蝇、蚜茧蜂等自然天敌，以虫治虫。</w:t>
            </w:r>
          </w:p>
          <w:p>
            <w:pPr>
              <w:kinsoku w:val="0"/>
              <w:overflowPunct w:val="0"/>
              <w:autoSpaceDE w:val="0"/>
              <w:autoSpaceDN w:val="0"/>
              <w:adjustRightInd w:val="0"/>
              <w:spacing w:line="360" w:lineRule="auto"/>
              <w:ind w:firstLine="420" w:firstLineChars="200"/>
              <w:jc w:val="left"/>
              <w:rPr>
                <w:rFonts w:hint="eastAsia" w:ascii="宋体" w:hAnsi="宋体" w:cs="宋体"/>
                <w:kern w:val="0"/>
                <w:sz w:val="24"/>
              </w:rPr>
            </w:pPr>
            <w:r>
              <w:rPr>
                <w:rFonts w:hint="eastAsia" w:ascii="宋体" w:cs="Times New Roman"/>
                <w:b w:val="0"/>
                <w:bCs w:val="0"/>
                <w:color w:val="000000"/>
                <w:sz w:val="21"/>
                <w:szCs w:val="21"/>
                <w:lang w:val="en-US" w:eastAsia="zh-CN"/>
              </w:rPr>
              <w:t>（2）投放天敌：在与玉米螟产卵期吻合时，释放寄生蜂以寄生玉米螟卵块，每667m</w:t>
            </w:r>
            <w:r>
              <w:rPr>
                <w:rFonts w:hint="eastAsia" w:ascii="宋体" w:cs="Times New Roman"/>
                <w:b w:val="0"/>
                <w:bCs w:val="0"/>
                <w:color w:val="000000"/>
                <w:sz w:val="21"/>
                <w:szCs w:val="21"/>
                <w:vertAlign w:val="superscript"/>
                <w:lang w:val="en-US" w:eastAsia="zh-CN"/>
              </w:rPr>
              <w:t>2</w:t>
            </w:r>
            <w:r>
              <w:rPr>
                <w:rFonts w:hint="eastAsia" w:ascii="宋体" w:cs="Times New Roman"/>
                <w:b w:val="0"/>
                <w:bCs w:val="0"/>
                <w:color w:val="000000"/>
                <w:sz w:val="21"/>
                <w:szCs w:val="21"/>
                <w:lang w:val="en-US" w:eastAsia="zh-CN"/>
              </w:rPr>
              <w:t>等距离放置寄生蜂卵6枚～8枚。</w:t>
            </w:r>
          </w:p>
          <w:p>
            <w:pPr>
              <w:kinsoku w:val="0"/>
              <w:overflowPunct w:val="0"/>
              <w:autoSpaceDE w:val="0"/>
              <w:autoSpaceDN w:val="0"/>
              <w:adjustRightInd w:val="0"/>
              <w:spacing w:line="360" w:lineRule="auto"/>
              <w:ind w:firstLine="420" w:firstLineChars="200"/>
              <w:jc w:val="left"/>
              <w:rPr>
                <w:rFonts w:hint="eastAsia" w:ascii="宋体" w:hAnsi="宋体" w:cs="宋体"/>
                <w:kern w:val="0"/>
                <w:sz w:val="24"/>
              </w:rPr>
            </w:pPr>
            <w:r>
              <w:rPr>
                <w:rFonts w:hint="eastAsia" w:ascii="宋体" w:cs="Times New Roman"/>
                <w:b w:val="0"/>
                <w:bCs w:val="0"/>
                <w:color w:val="000000"/>
                <w:sz w:val="21"/>
                <w:szCs w:val="21"/>
                <w:lang w:val="en-US" w:eastAsia="zh-CN"/>
              </w:rPr>
              <w:t>（3）生物农药防治：使用苏云金杆菌、球孢白僵菌、申嗪霉素等生物农药防治病虫害。部分生物农药见附录A。</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360" w:lineRule="auto"/>
              <w:ind w:leftChars="0" w:firstLine="420" w:firstLineChars="200"/>
              <w:jc w:val="both"/>
              <w:textAlignment w:val="auto"/>
              <w:rPr>
                <w:rFonts w:hint="eastAsia" w:ascii="宋体" w:cs="Times New Roman"/>
                <w:b w:val="0"/>
                <w:bCs w:val="0"/>
                <w:color w:val="000000"/>
                <w:sz w:val="21"/>
                <w:szCs w:val="21"/>
                <w:lang w:val="en-US" w:eastAsia="zh-CN"/>
              </w:rPr>
            </w:pPr>
            <w:r>
              <w:rPr>
                <w:rFonts w:hint="eastAsia" w:ascii="宋体" w:cs="Times New Roman"/>
                <w:b w:val="0"/>
                <w:bCs w:val="0"/>
                <w:color w:val="000000"/>
                <w:sz w:val="21"/>
                <w:szCs w:val="21"/>
                <w:lang w:val="en-US" w:eastAsia="zh-CN"/>
              </w:rPr>
              <w:t>3、理化诱控</w:t>
            </w:r>
          </w:p>
          <w:p>
            <w:pPr>
              <w:kinsoku w:val="0"/>
              <w:overflowPunct w:val="0"/>
              <w:autoSpaceDE w:val="0"/>
              <w:autoSpaceDN w:val="0"/>
              <w:adjustRightInd w:val="0"/>
              <w:spacing w:line="360" w:lineRule="auto"/>
              <w:ind w:firstLine="420" w:firstLineChars="200"/>
              <w:jc w:val="left"/>
              <w:rPr>
                <w:rFonts w:hint="eastAsia" w:ascii="宋体" w:cs="Times New Roman"/>
                <w:b w:val="0"/>
                <w:bCs w:val="0"/>
                <w:color w:val="000000"/>
                <w:sz w:val="21"/>
                <w:szCs w:val="21"/>
                <w:lang w:val="en-US" w:eastAsia="zh-CN"/>
              </w:rPr>
            </w:pPr>
            <w:r>
              <w:rPr>
                <w:rFonts w:hint="eastAsia" w:ascii="宋体" w:cs="Times New Roman"/>
                <w:b w:val="0"/>
                <w:bCs w:val="0"/>
                <w:color w:val="000000"/>
                <w:sz w:val="21"/>
                <w:szCs w:val="21"/>
                <w:lang w:val="en-US" w:eastAsia="zh-CN"/>
              </w:rPr>
              <w:t>（1）诱虫灯诱杀：选择符合GB/T 24689.2-2017或GB/T 24689.2-2019厂家生产的诱虫灯诱杀害虫。每15 ~ 20 亩薏苡田安装1台诱虫灯，安装高度2.2 ~2.5 m，在薏苡害虫成虫羽化前开灯，及时清理虫体，薏苡收获后关灯。</w:t>
            </w:r>
          </w:p>
          <w:p>
            <w:pPr>
              <w:keepNext w:val="0"/>
              <w:keepLines w:val="0"/>
              <w:pageBreakBefore w:val="0"/>
              <w:widowControl w:val="0"/>
              <w:kinsoku w:val="0"/>
              <w:wordWrap/>
              <w:overflowPunct w:val="0"/>
              <w:topLinePunct w:val="0"/>
              <w:autoSpaceDE w:val="0"/>
              <w:autoSpaceDN w:val="0"/>
              <w:bidi w:val="0"/>
              <w:adjustRightInd w:val="0"/>
              <w:snapToGrid/>
              <w:spacing w:line="360" w:lineRule="auto"/>
              <w:ind w:right="0" w:firstLine="420" w:firstLineChars="200"/>
              <w:jc w:val="left"/>
              <w:textAlignment w:val="auto"/>
              <w:rPr>
                <w:rFonts w:hint="eastAsia" w:ascii="宋体" w:hAnsi="宋体" w:cs="宋体"/>
                <w:kern w:val="0"/>
                <w:sz w:val="24"/>
              </w:rPr>
            </w:pPr>
            <w:r>
              <w:rPr>
                <w:rFonts w:hint="eastAsia" w:ascii="宋体" w:cs="Times New Roman"/>
                <w:b w:val="0"/>
                <w:bCs w:val="0"/>
                <w:color w:val="000000"/>
                <w:sz w:val="21"/>
                <w:szCs w:val="21"/>
                <w:lang w:val="en-US" w:eastAsia="zh-CN"/>
              </w:rPr>
              <w:t>（2）色板诱杀：选择符合GB/T 24689.4-2019厂家生产的诱虫板诱杀害虫。可选用20～25 张/667m</w:t>
            </w:r>
            <w:r>
              <w:rPr>
                <w:rFonts w:hint="eastAsia" w:ascii="宋体" w:cs="Times New Roman"/>
                <w:b w:val="0"/>
                <w:bCs w:val="0"/>
                <w:color w:val="000000"/>
                <w:sz w:val="21"/>
                <w:szCs w:val="21"/>
                <w:vertAlign w:val="superscript"/>
                <w:lang w:val="en-US" w:eastAsia="zh-CN"/>
              </w:rPr>
              <w:t>2</w:t>
            </w:r>
            <w:r>
              <w:rPr>
                <w:rFonts w:hint="eastAsia" w:ascii="宋体" w:cs="Times New Roman"/>
                <w:b w:val="0"/>
                <w:bCs w:val="0"/>
                <w:color w:val="000000"/>
                <w:sz w:val="21"/>
                <w:szCs w:val="21"/>
                <w:lang w:val="en-US" w:eastAsia="zh-CN"/>
              </w:rPr>
              <w:t>挂诱虫色板防治蚜虫，挂放高度高于薏苡植株30 cm为宜，并及时更换。</w:t>
            </w:r>
          </w:p>
          <w:p>
            <w:pPr>
              <w:kinsoku w:val="0"/>
              <w:overflowPunct w:val="0"/>
              <w:autoSpaceDE w:val="0"/>
              <w:autoSpaceDN w:val="0"/>
              <w:adjustRightInd w:val="0"/>
              <w:spacing w:line="360" w:lineRule="auto"/>
              <w:ind w:firstLine="420" w:firstLineChars="200"/>
              <w:jc w:val="left"/>
              <w:rPr>
                <w:rFonts w:hint="eastAsia" w:ascii="宋体" w:cs="Times New Roman"/>
                <w:b w:val="0"/>
                <w:bCs w:val="0"/>
                <w:color w:val="000000"/>
                <w:sz w:val="21"/>
                <w:szCs w:val="21"/>
                <w:lang w:val="en-US" w:eastAsia="zh-CN"/>
              </w:rPr>
            </w:pPr>
            <w:r>
              <w:rPr>
                <w:rFonts w:hint="eastAsia" w:ascii="宋体" w:cs="Times New Roman"/>
                <w:b w:val="0"/>
                <w:bCs w:val="0"/>
                <w:color w:val="000000"/>
                <w:sz w:val="21"/>
                <w:szCs w:val="21"/>
                <w:lang w:val="en-US" w:eastAsia="zh-CN"/>
              </w:rPr>
              <w:t>（3）性诱剂诱杀：在薏苡害虫成虫羽化初，可使用性诱剂诱杀，诱捕器数量按产品类型规模化放置，定期更换诱芯，及时清理诱捕器。</w:t>
            </w:r>
          </w:p>
          <w:p>
            <w:pPr>
              <w:pStyle w:val="2"/>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cs="Times New Roman"/>
                <w:b w:val="0"/>
                <w:bCs w:val="0"/>
                <w:color w:val="000000"/>
                <w:sz w:val="21"/>
                <w:szCs w:val="21"/>
                <w:lang w:val="en-US" w:eastAsia="zh-CN"/>
              </w:rPr>
            </w:pPr>
            <w:r>
              <w:rPr>
                <w:rFonts w:hint="eastAsia" w:ascii="宋体" w:cs="Times New Roman"/>
                <w:b w:val="0"/>
                <w:bCs w:val="0"/>
                <w:color w:val="000000"/>
                <w:sz w:val="21"/>
                <w:szCs w:val="21"/>
                <w:lang w:val="en-US" w:eastAsia="zh-CN"/>
              </w:rPr>
              <w:t>4、科学用药</w:t>
            </w:r>
          </w:p>
          <w:p>
            <w:pPr>
              <w:kinsoku w:val="0"/>
              <w:overflowPunct w:val="0"/>
              <w:autoSpaceDE w:val="0"/>
              <w:autoSpaceDN w:val="0"/>
              <w:adjustRightInd w:val="0"/>
              <w:spacing w:line="360" w:lineRule="auto"/>
              <w:ind w:firstLine="420" w:firstLineChars="200"/>
              <w:jc w:val="left"/>
              <w:rPr>
                <w:rFonts w:hint="eastAsia" w:ascii="宋体" w:cs="Times New Roman"/>
                <w:b w:val="0"/>
                <w:bCs w:val="0"/>
                <w:color w:val="000000"/>
                <w:sz w:val="21"/>
                <w:szCs w:val="21"/>
                <w:lang w:val="en-US" w:eastAsia="zh-CN"/>
              </w:rPr>
            </w:pPr>
            <w:r>
              <w:rPr>
                <w:rFonts w:hint="eastAsia" w:ascii="宋体" w:cs="Times New Roman"/>
                <w:b w:val="0"/>
                <w:bCs w:val="0"/>
                <w:color w:val="000000"/>
                <w:sz w:val="21"/>
                <w:szCs w:val="21"/>
                <w:lang w:val="en-US" w:eastAsia="zh-CN"/>
              </w:rPr>
              <w:t>根据当地病虫害监测预警信息，科学选用高效、低毒、低残留化学农药，见附录A，禁止使用国家规定的禁用农药，见附录B。</w:t>
            </w:r>
            <w:r>
              <w:rPr>
                <w:rFonts w:hint="eastAsia" w:ascii="宋体" w:eastAsia="宋体" w:cs="Times New Roman"/>
                <w:b w:val="0"/>
                <w:bCs w:val="0"/>
                <w:color w:val="000000"/>
                <w:sz w:val="21"/>
                <w:szCs w:val="21"/>
                <w:lang w:val="en-US" w:eastAsia="zh-CN"/>
              </w:rPr>
              <w:t>作为中药材使用时，不得使用国家规定的限制农药，见附录C。</w:t>
            </w:r>
            <w:r>
              <w:rPr>
                <w:rFonts w:hint="eastAsia" w:ascii="宋体" w:cs="Times New Roman"/>
                <w:b w:val="0"/>
                <w:bCs w:val="0"/>
                <w:color w:val="000000"/>
                <w:sz w:val="21"/>
                <w:szCs w:val="21"/>
                <w:lang w:val="en-US" w:eastAsia="zh-CN"/>
              </w:rPr>
              <w:t>积极推广使用农药减量助剂，提倡开展专业化统防统治，推广使用新型高 效药械。</w:t>
            </w:r>
          </w:p>
          <w:p>
            <w:pPr>
              <w:pStyle w:val="2"/>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cs="Times New Roman"/>
                <w:b w:val="0"/>
                <w:bCs w:val="0"/>
                <w:color w:val="000000"/>
                <w:sz w:val="21"/>
                <w:szCs w:val="21"/>
                <w:lang w:val="en-US" w:eastAsia="zh-CN"/>
              </w:rPr>
            </w:pPr>
            <w:r>
              <w:rPr>
                <w:rFonts w:hint="eastAsia" w:ascii="宋体" w:cs="Times New Roman"/>
                <w:b w:val="0"/>
                <w:bCs w:val="0"/>
                <w:color w:val="000000"/>
                <w:sz w:val="21"/>
                <w:szCs w:val="21"/>
                <w:lang w:val="en-US" w:eastAsia="zh-CN"/>
              </w:rPr>
              <w:t>五、绿色防控技术集成应用</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20" w:firstLineChars="200"/>
              <w:jc w:val="both"/>
              <w:textAlignment w:val="auto"/>
              <w:rPr>
                <w:rFonts w:hint="eastAsia" w:ascii="宋体"/>
                <w:b w:val="0"/>
                <w:bCs w:val="0"/>
                <w:color w:val="000000"/>
                <w:sz w:val="21"/>
                <w:szCs w:val="21"/>
              </w:rPr>
            </w:pPr>
            <w:r>
              <w:rPr>
                <w:rFonts w:hint="eastAsia" w:ascii="宋体"/>
                <w:b w:val="0"/>
                <w:bCs w:val="0"/>
                <w:color w:val="000000"/>
                <w:sz w:val="21"/>
                <w:szCs w:val="21"/>
                <w:lang w:val="en-US" w:eastAsia="zh-CN"/>
              </w:rPr>
              <w:t>1、播种期至苗期</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367" w:firstLineChars="175"/>
              <w:jc w:val="both"/>
              <w:textAlignment w:val="auto"/>
              <w:rPr>
                <w:rFonts w:hint="eastAsia" w:ascii="宋体" w:cs="Times New Roman"/>
                <w:b w:val="0"/>
                <w:bCs w:val="0"/>
                <w:color w:val="000000"/>
                <w:sz w:val="21"/>
                <w:szCs w:val="21"/>
                <w:lang w:val="en-US" w:eastAsia="zh-CN"/>
              </w:rPr>
            </w:pPr>
            <w:r>
              <w:rPr>
                <w:rFonts w:hint="eastAsia" w:ascii="宋体" w:cs="Times New Roman"/>
                <w:b w:val="0"/>
                <w:bCs w:val="0"/>
                <w:color w:val="000000"/>
                <w:sz w:val="21"/>
                <w:szCs w:val="21"/>
                <w:lang w:val="en-US" w:eastAsia="zh-CN"/>
              </w:rPr>
              <w:t>播种前土壤深耕25cm以上，人工清除多年生杂草繁殖茎并销毁。合理密植，科学轮作，增施腐熟有机肥等农艺措施，提高薏苡抗（耐）病虫能力，减少病虫源。针对地老虎、蛴螬等地下害虫，可采用氟虫腈种衣剂拌种预防，在成虫始盛期采用性诱剂、杀虫灯诱杀。</w:t>
            </w:r>
          </w:p>
          <w:p>
            <w:pPr>
              <w:keepNext w:val="0"/>
              <w:keepLines w:val="0"/>
              <w:pageBreakBefore w:val="0"/>
              <w:widowControl w:val="0"/>
              <w:numPr>
                <w:ilvl w:val="0"/>
                <w:numId w:val="3"/>
              </w:numPr>
              <w:shd w:val="clear" w:color="auto" w:fill="FFFFFF"/>
              <w:kinsoku/>
              <w:wordWrap/>
              <w:overflowPunct/>
              <w:topLinePunct w:val="0"/>
              <w:autoSpaceDE/>
              <w:autoSpaceDN/>
              <w:bidi w:val="0"/>
              <w:adjustRightInd/>
              <w:snapToGrid/>
              <w:spacing w:line="360" w:lineRule="auto"/>
              <w:ind w:firstLine="420" w:firstLineChars="200"/>
              <w:jc w:val="both"/>
              <w:textAlignment w:val="auto"/>
              <w:rPr>
                <w:rFonts w:hint="eastAsia" w:ascii="宋体"/>
                <w:b w:val="0"/>
                <w:bCs w:val="0"/>
                <w:color w:val="000000"/>
                <w:sz w:val="21"/>
                <w:szCs w:val="21"/>
                <w:lang w:val="en-US" w:eastAsia="zh-CN"/>
              </w:rPr>
            </w:pPr>
            <w:r>
              <w:rPr>
                <w:rFonts w:hint="eastAsia" w:ascii="宋体"/>
                <w:b w:val="0"/>
                <w:bCs w:val="0"/>
                <w:color w:val="000000"/>
                <w:sz w:val="21"/>
                <w:szCs w:val="21"/>
                <w:lang w:val="en-US" w:eastAsia="zh-CN"/>
              </w:rPr>
              <w:t>分蘖期至拔节期</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367" w:firstLineChars="175"/>
              <w:jc w:val="both"/>
              <w:textAlignment w:val="auto"/>
              <w:rPr>
                <w:rFonts w:hint="eastAsia" w:ascii="宋体" w:cs="Times New Roman"/>
                <w:b w:val="0"/>
                <w:bCs w:val="0"/>
                <w:color w:val="000000"/>
                <w:sz w:val="21"/>
                <w:szCs w:val="21"/>
                <w:lang w:val="en-US" w:eastAsia="zh-CN"/>
              </w:rPr>
            </w:pPr>
            <w:r>
              <w:rPr>
                <w:rFonts w:hint="eastAsia" w:ascii="宋体" w:cs="Times New Roman"/>
                <w:b w:val="0"/>
                <w:bCs w:val="0"/>
                <w:color w:val="000000"/>
                <w:sz w:val="21"/>
                <w:szCs w:val="21"/>
                <w:lang w:val="en-US" w:eastAsia="zh-CN"/>
              </w:rPr>
              <w:t>主要有叶枯病、玉米螟、黏虫等病虫。注意保护和利用天敌，优先采用天敌生物、性信息素、诱虫灯等诱杀害虫，选用申嗪霉素、苏云金杆菌、甘蓝夜蛾核型多角体病毒、球孢白僵菌等生物农药，合理使用苯甲•丙环唑、氯虫苯甲酰胺、辛硫磷等化学农药防治。杂草清除可以结合中耕除草。</w:t>
            </w:r>
          </w:p>
          <w:p>
            <w:pPr>
              <w:keepNext w:val="0"/>
              <w:keepLines w:val="0"/>
              <w:pageBreakBefore w:val="0"/>
              <w:widowControl w:val="0"/>
              <w:numPr>
                <w:ilvl w:val="0"/>
                <w:numId w:val="3"/>
              </w:numPr>
              <w:shd w:val="clear" w:color="auto" w:fill="FFFFFF"/>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b w:val="0"/>
                <w:bCs w:val="0"/>
                <w:color w:val="000000"/>
                <w:sz w:val="21"/>
                <w:szCs w:val="21"/>
                <w:lang w:val="en-US" w:eastAsia="zh-CN"/>
              </w:rPr>
            </w:pPr>
            <w:r>
              <w:rPr>
                <w:rFonts w:hint="eastAsia" w:ascii="宋体"/>
                <w:b w:val="0"/>
                <w:bCs w:val="0"/>
                <w:color w:val="000000"/>
                <w:sz w:val="21"/>
                <w:szCs w:val="21"/>
                <w:lang w:val="en-US" w:eastAsia="zh-CN"/>
              </w:rPr>
              <w:t>抽穗期至齐穗期</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367" w:firstLineChars="175"/>
              <w:jc w:val="both"/>
              <w:textAlignment w:val="auto"/>
              <w:rPr>
                <w:rFonts w:hint="eastAsia" w:ascii="宋体" w:cs="Times New Roman"/>
                <w:b w:val="0"/>
                <w:bCs w:val="0"/>
                <w:color w:val="000000"/>
                <w:sz w:val="21"/>
                <w:szCs w:val="21"/>
                <w:lang w:val="en-US" w:eastAsia="zh-CN"/>
              </w:rPr>
            </w:pPr>
            <w:r>
              <w:rPr>
                <w:rFonts w:hint="eastAsia" w:ascii="宋体" w:cs="Times New Roman"/>
                <w:b w:val="0"/>
                <w:bCs w:val="0"/>
                <w:color w:val="000000"/>
                <w:sz w:val="21"/>
                <w:szCs w:val="21"/>
                <w:lang w:val="en-US" w:eastAsia="zh-CN"/>
              </w:rPr>
              <w:t>主要有黑穗病、叶枯病、玉米螟、蚜虫等病虫。优先采用生物防治和理化诱控措施，选用申嗪霉素、苏云金杆菌、甘蓝夜蛾核型多角体病毒、球孢白僵菌等生物农药，合理使用甲基托布津、多菌灵、苯甲•丙环唑、氯虫苯甲酰胺、乙基多杀菌素等药剂防治。</w:t>
            </w:r>
          </w:p>
          <w:p>
            <w:pPr>
              <w:widowControl/>
              <w:spacing w:line="360" w:lineRule="auto"/>
              <w:jc w:val="both"/>
              <w:outlineLvl w:val="3"/>
              <w:rPr>
                <w:rFonts w:ascii="宋体" w:hAnsi="宋体"/>
                <w:b/>
                <w:kern w:val="0"/>
                <w:szCs w:val="21"/>
              </w:rPr>
            </w:pPr>
            <w:r>
              <w:rPr>
                <w:rFonts w:hint="eastAsia" w:ascii="宋体" w:hAnsi="宋体"/>
                <w:b/>
                <w:kern w:val="0"/>
                <w:szCs w:val="21"/>
              </w:rPr>
              <w:t>试验验证：</w:t>
            </w:r>
          </w:p>
          <w:p>
            <w:pPr>
              <w:widowControl/>
              <w:spacing w:line="360" w:lineRule="auto"/>
              <w:ind w:firstLine="420" w:firstLineChars="200"/>
              <w:jc w:val="both"/>
              <w:outlineLvl w:val="3"/>
              <w:rPr>
                <w:kern w:val="0"/>
                <w:szCs w:val="20"/>
              </w:rPr>
            </w:pPr>
            <w:r>
              <w:rPr>
                <w:rFonts w:hint="eastAsia" w:ascii="宋体" w:hAnsi="宋体"/>
                <w:kern w:val="0"/>
                <w:szCs w:val="21"/>
              </w:rPr>
              <w:t>本标准中所规定的</w:t>
            </w:r>
            <w:r>
              <w:rPr>
                <w:rFonts w:hint="eastAsia" w:ascii="宋体" w:hAnsi="宋体"/>
                <w:kern w:val="0"/>
                <w:szCs w:val="21"/>
                <w:lang w:val="en-US" w:eastAsia="zh-CN"/>
              </w:rPr>
              <w:t>主要病虫草害种类、防治技术原则、绿色防控主要技术、绿色防控技术集成应用</w:t>
            </w:r>
            <w:r>
              <w:rPr>
                <w:rFonts w:hint="eastAsia" w:ascii="宋体" w:hAnsi="宋体"/>
                <w:kern w:val="0"/>
                <w:szCs w:val="21"/>
              </w:rPr>
              <w:t>是在编制团队和省内</w:t>
            </w:r>
            <w:r>
              <w:rPr>
                <w:rFonts w:hint="eastAsia" w:ascii="宋体" w:hAnsi="宋体"/>
                <w:kern w:val="0"/>
                <w:szCs w:val="21"/>
                <w:lang w:eastAsia="zh-CN"/>
              </w:rPr>
              <w:t>薏苡种植合作社</w:t>
            </w:r>
            <w:r>
              <w:rPr>
                <w:rFonts w:hint="eastAsia" w:ascii="宋体" w:hAnsi="宋体"/>
                <w:kern w:val="0"/>
                <w:szCs w:val="21"/>
              </w:rPr>
              <w:t>多年来对于</w:t>
            </w:r>
            <w:r>
              <w:rPr>
                <w:rFonts w:hint="eastAsia" w:ascii="宋体" w:hAnsi="宋体"/>
                <w:kern w:val="0"/>
                <w:szCs w:val="21"/>
                <w:lang w:val="en-US" w:eastAsia="zh-CN"/>
              </w:rPr>
              <w:t>薏苡病虫草害绿色防控技术</w:t>
            </w:r>
            <w:r>
              <w:rPr>
                <w:rFonts w:hint="eastAsia" w:ascii="宋体" w:hAnsi="宋体"/>
                <w:kern w:val="0"/>
                <w:szCs w:val="21"/>
              </w:rPr>
              <w:t>的研究结果和实践经验的总结，该标准中的</w:t>
            </w:r>
            <w:r>
              <w:rPr>
                <w:rFonts w:hint="eastAsia"/>
                <w:lang w:val="en-US" w:eastAsia="zh-CN"/>
              </w:rPr>
              <w:t>各项</w:t>
            </w:r>
            <w:r>
              <w:rPr>
                <w:rFonts w:hint="eastAsia" w:ascii="宋体" w:hAnsi="宋体"/>
                <w:kern w:val="0"/>
                <w:szCs w:val="21"/>
              </w:rPr>
              <w:t>技术措施在</w:t>
            </w:r>
            <w:r>
              <w:rPr>
                <w:rFonts w:hint="eastAsia" w:ascii="宋体" w:hAnsi="宋体"/>
                <w:kern w:val="0"/>
                <w:szCs w:val="21"/>
                <w:lang w:val="en-US" w:eastAsia="zh-CN"/>
              </w:rPr>
              <w:t>薏苡绿色防控</w:t>
            </w:r>
            <w:r>
              <w:rPr>
                <w:rFonts w:hint="eastAsia" w:ascii="宋体" w:hAnsi="宋体"/>
                <w:kern w:val="0"/>
                <w:szCs w:val="21"/>
              </w:rPr>
              <w:t>中具有重要的指导意义。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bookmarkStart w:id="1" w:name="_Toc464902852"/>
            <w:bookmarkStart w:id="2" w:name="_Toc464905613"/>
            <w:bookmarkStart w:id="3" w:name="_Toc464905557"/>
            <w:bookmarkStart w:id="4" w:name="_Toc464905809"/>
            <w:bookmarkStart w:id="5" w:name="_Toc465074266"/>
            <w:r>
              <w:rPr>
                <w:rFonts w:hint="eastAsia" w:ascii="宋体" w:hAnsi="宋体"/>
                <w:kern w:val="0"/>
                <w:szCs w:val="21"/>
              </w:rPr>
              <w:t>5、标准中如果涉及专利，应有明确的知识产权说明</w:t>
            </w:r>
            <w:bookmarkEnd w:id="1"/>
            <w:bookmarkEnd w:id="2"/>
            <w:bookmarkEnd w:id="3"/>
            <w:bookmarkEnd w:id="4"/>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r>
              <w:rPr>
                <w:rFonts w:hint="eastAsia" w:ascii="宋体" w:hAnsi="宋体"/>
                <w:kern w:val="0"/>
                <w:szCs w:val="21"/>
              </w:rPr>
              <w:t xml:space="preserve">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bookmarkStart w:id="6" w:name="_Toc464905810"/>
            <w:bookmarkStart w:id="7" w:name="_Toc464905614"/>
            <w:bookmarkStart w:id="8" w:name="_Toc464902853"/>
            <w:bookmarkStart w:id="9" w:name="_Toc465074267"/>
            <w:bookmarkStart w:id="10" w:name="_Toc464905558"/>
            <w:r>
              <w:rPr>
                <w:rFonts w:hint="eastAsia" w:ascii="宋体" w:hAnsi="宋体"/>
                <w:kern w:val="0"/>
                <w:szCs w:val="21"/>
              </w:rPr>
              <w:t>6、采用国际标准或国外先进标准的，说明采标程度，以及国内外同类标准水平的对比情况</w:t>
            </w:r>
            <w:bookmarkEnd w:id="6"/>
            <w:bookmarkEnd w:id="7"/>
            <w:bookmarkEnd w:id="8"/>
            <w:bookmarkEnd w:id="9"/>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r>
              <w:rPr>
                <w:rFonts w:hint="eastAsia" w:ascii="宋体" w:hAnsi="宋体"/>
                <w:kern w:val="0"/>
                <w:szCs w:val="21"/>
              </w:rPr>
              <w:t xml:space="preserve">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bookmarkStart w:id="11" w:name="_Toc464902854"/>
            <w:bookmarkStart w:id="12" w:name="_Toc464905811"/>
            <w:bookmarkStart w:id="13" w:name="_Toc464905559"/>
            <w:bookmarkStart w:id="14" w:name="_Toc465074268"/>
            <w:bookmarkStart w:id="15" w:name="_Toc464905615"/>
            <w:r>
              <w:rPr>
                <w:rFonts w:hint="eastAsia" w:ascii="宋体" w:hAnsi="宋体"/>
                <w:kern w:val="0"/>
                <w:szCs w:val="21"/>
              </w:rPr>
              <w:t>7、重大分歧意见的处理经过和依据</w:t>
            </w:r>
            <w:bookmarkEnd w:id="11"/>
            <w:bookmarkEnd w:id="12"/>
            <w:bookmarkEnd w:id="13"/>
            <w:bookmarkEnd w:id="14"/>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r>
              <w:rPr>
                <w:rFonts w:hint="eastAsia" w:ascii="宋体" w:hAnsi="宋体"/>
                <w:kern w:val="0"/>
                <w:szCs w:val="21"/>
              </w:rPr>
              <w:t xml:space="preserve">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bookmarkStart w:id="16" w:name="_Toc465074269"/>
            <w:bookmarkStart w:id="17" w:name="_Toc464902855"/>
            <w:bookmarkStart w:id="18" w:name="_Toc464905616"/>
            <w:bookmarkStart w:id="19" w:name="_Toc464905560"/>
            <w:bookmarkStart w:id="20" w:name="_Toc464905812"/>
            <w:r>
              <w:rPr>
                <w:rFonts w:hint="eastAsia" w:ascii="宋体" w:hAnsi="宋体"/>
                <w:kern w:val="0"/>
                <w:szCs w:val="21"/>
              </w:rPr>
              <w:t>8、贯彻标准的要求和措施建议（包括组织措施、技术措施、过渡办法、实施日期等）</w:t>
            </w:r>
            <w:bookmarkEnd w:id="16"/>
            <w:bookmarkEnd w:id="17"/>
            <w:bookmarkEnd w:id="18"/>
            <w:bookmarkEnd w:id="19"/>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spacing w:line="360" w:lineRule="auto"/>
              <w:ind w:left="0" w:leftChars="0" w:firstLine="420" w:firstLineChars="200"/>
              <w:rPr>
                <w:rFonts w:ascii="宋体" w:hAnsi="宋体"/>
                <w:color w:val="000000"/>
                <w:szCs w:val="21"/>
              </w:rPr>
            </w:pPr>
            <w:r>
              <w:rPr>
                <w:rFonts w:hint="eastAsia" w:ascii="宋体" w:hAnsi="宋体"/>
                <w:color w:val="000000"/>
                <w:szCs w:val="21"/>
              </w:rPr>
              <w:t>组织措施：成立标准宣贯小组，小组成员由起草人员</w:t>
            </w:r>
            <w:r>
              <w:rPr>
                <w:rFonts w:hint="eastAsia" w:ascii="宋体" w:hAnsi="宋体"/>
                <w:color w:val="000000"/>
                <w:szCs w:val="21"/>
                <w:lang w:val="en-US" w:eastAsia="zh-CN"/>
              </w:rPr>
              <w:t>和</w:t>
            </w:r>
            <w:r>
              <w:rPr>
                <w:rFonts w:hint="eastAsia" w:ascii="宋体" w:hAnsi="宋体"/>
                <w:color w:val="000000"/>
                <w:szCs w:val="21"/>
              </w:rPr>
              <w:t>行业专家组成。通过产学研合作，</w:t>
            </w:r>
            <w:r>
              <w:rPr>
                <w:rFonts w:hint="eastAsia" w:ascii="宋体" w:hAnsi="宋体"/>
                <w:color w:val="000000"/>
                <w:szCs w:val="21"/>
                <w:lang w:val="en-US" w:eastAsia="zh-CN"/>
              </w:rPr>
              <w:t>建立示范基地，</w:t>
            </w:r>
            <w:r>
              <w:rPr>
                <w:rFonts w:hint="eastAsia" w:ascii="宋体" w:hAnsi="宋体"/>
                <w:color w:val="000000"/>
                <w:szCs w:val="21"/>
              </w:rPr>
              <w:t>对相关</w:t>
            </w:r>
            <w:r>
              <w:rPr>
                <w:rFonts w:hint="eastAsia" w:ascii="宋体" w:hAnsi="宋体"/>
                <w:color w:val="000000"/>
                <w:szCs w:val="21"/>
                <w:lang w:val="en-US" w:eastAsia="zh-CN"/>
              </w:rPr>
              <w:t>技术</w:t>
            </w:r>
            <w:r>
              <w:rPr>
                <w:rFonts w:hint="eastAsia" w:ascii="宋体" w:hAnsi="宋体"/>
                <w:color w:val="000000"/>
                <w:szCs w:val="21"/>
              </w:rPr>
              <w:t>措施进行实际应用</w:t>
            </w:r>
            <w:r>
              <w:rPr>
                <w:rFonts w:hint="eastAsia" w:ascii="宋体" w:hAnsi="宋体"/>
                <w:color w:val="000000"/>
                <w:szCs w:val="21"/>
                <w:lang w:val="en-US" w:eastAsia="zh-CN"/>
              </w:rPr>
              <w:t>及推广</w:t>
            </w:r>
            <w:r>
              <w:rPr>
                <w:rFonts w:hint="eastAsia" w:ascii="宋体" w:hAnsi="宋体"/>
                <w:color w:val="000000"/>
                <w:szCs w:val="21"/>
              </w:rPr>
              <w:t>，推动安徽省</w:t>
            </w:r>
            <w:r>
              <w:rPr>
                <w:rFonts w:hint="eastAsia" w:ascii="宋体" w:hAnsi="宋体"/>
                <w:color w:val="000000"/>
                <w:szCs w:val="21"/>
                <w:lang w:eastAsia="zh-CN"/>
              </w:rPr>
              <w:t>薏苡产业病虫草害绿色防控</w:t>
            </w:r>
            <w:r>
              <w:rPr>
                <w:rFonts w:hint="eastAsia" w:ascii="宋体" w:hAnsi="宋体"/>
                <w:color w:val="000000"/>
                <w:szCs w:val="21"/>
                <w:lang w:val="en-US" w:eastAsia="zh-CN"/>
              </w:rPr>
              <w:t>意识</w:t>
            </w:r>
            <w:r>
              <w:rPr>
                <w:rFonts w:hint="eastAsia" w:ascii="宋体" w:hAnsi="宋体"/>
                <w:color w:val="000000"/>
                <w:szCs w:val="21"/>
              </w:rPr>
              <w:t>的提升。</w:t>
            </w:r>
          </w:p>
          <w:p>
            <w:pPr>
              <w:spacing w:line="360" w:lineRule="auto"/>
              <w:ind w:left="0" w:leftChars="0" w:firstLine="420" w:firstLineChars="200"/>
              <w:rPr>
                <w:rFonts w:ascii="宋体" w:hAnsi="宋体"/>
                <w:color w:val="000000"/>
                <w:szCs w:val="21"/>
              </w:rPr>
            </w:pPr>
            <w:r>
              <w:rPr>
                <w:rFonts w:hint="eastAsia" w:ascii="宋体" w:hAnsi="宋体"/>
                <w:color w:val="000000"/>
                <w:szCs w:val="21"/>
              </w:rPr>
              <w:t>技术措施：本标准的编制和参与单位在</w:t>
            </w:r>
            <w:r>
              <w:rPr>
                <w:rFonts w:hint="eastAsia" w:ascii="宋体" w:hAnsi="宋体"/>
                <w:color w:val="000000"/>
                <w:szCs w:val="21"/>
                <w:lang w:eastAsia="zh-CN"/>
              </w:rPr>
              <w:t>病</w:t>
            </w:r>
            <w:r>
              <w:rPr>
                <w:rFonts w:hint="eastAsia" w:ascii="宋体" w:hAnsi="宋体"/>
                <w:kern w:val="0"/>
                <w:szCs w:val="21"/>
                <w:lang w:val="en-US" w:eastAsia="zh-CN"/>
              </w:rPr>
              <w:t>虫草害绿色防控</w:t>
            </w:r>
            <w:r>
              <w:rPr>
                <w:rFonts w:hint="eastAsia" w:ascii="宋体" w:hAnsi="宋体"/>
                <w:color w:val="000000"/>
                <w:szCs w:val="21"/>
              </w:rPr>
              <w:t>技术</w:t>
            </w:r>
            <w:r>
              <w:rPr>
                <w:rFonts w:hint="eastAsia"/>
              </w:rPr>
              <w:t>方面积累了丰富的经验，</w:t>
            </w:r>
            <w:r>
              <w:rPr>
                <w:rFonts w:hint="eastAsia" w:hAnsi="黑体"/>
                <w:szCs w:val="20"/>
              </w:rPr>
              <w:t>可以为本标准的宣贯提供坚强的技术支撑。</w:t>
            </w:r>
            <w:r>
              <w:rPr>
                <w:rFonts w:hint="eastAsia"/>
              </w:rPr>
              <w:t>宣贯小组成员</w:t>
            </w:r>
            <w:r>
              <w:rPr>
                <w:rFonts w:hint="eastAsia"/>
                <w:lang w:val="en-US" w:eastAsia="zh-CN"/>
              </w:rPr>
              <w:t>利用各种平台</w:t>
            </w:r>
            <w:r>
              <w:rPr>
                <w:rFonts w:hint="eastAsia"/>
              </w:rPr>
              <w:t>在开展</w:t>
            </w:r>
            <w:r>
              <w:rPr>
                <w:rFonts w:hint="eastAsia"/>
                <w:lang w:eastAsia="zh-CN"/>
              </w:rPr>
              <w:t>病虫草害绿色防控</w:t>
            </w:r>
            <w:r>
              <w:rPr>
                <w:rFonts w:hint="eastAsia"/>
              </w:rPr>
              <w:t>技术现场指导时，对从业人员开展《</w:t>
            </w:r>
            <w:r>
              <w:rPr>
                <w:rFonts w:hint="eastAsia"/>
                <w:lang w:val="en-US" w:eastAsia="zh-CN"/>
              </w:rPr>
              <w:t>薏苡主要病虫草害绿色防控</w:t>
            </w:r>
            <w:r>
              <w:rPr>
                <w:rFonts w:hint="eastAsia"/>
              </w:rPr>
              <w:t>技术规程》技术要点指导</w:t>
            </w:r>
            <w:r>
              <w:rPr>
                <w:rFonts w:hint="eastAsia"/>
                <w:lang w:eastAsia="zh-CN"/>
              </w:rPr>
              <w:t>；</w:t>
            </w:r>
            <w:r>
              <w:rPr>
                <w:rFonts w:hint="eastAsia"/>
              </w:rPr>
              <w:t>组织相关</w:t>
            </w:r>
            <w:r>
              <w:rPr>
                <w:rFonts w:hint="eastAsia"/>
                <w:lang w:eastAsia="zh-CN"/>
              </w:rPr>
              <w:t>农业</w:t>
            </w:r>
            <w:r>
              <w:rPr>
                <w:rFonts w:hint="eastAsia"/>
              </w:rPr>
              <w:t>技术推广人员、</w:t>
            </w:r>
            <w:r>
              <w:rPr>
                <w:rFonts w:hint="eastAsia"/>
                <w:lang w:val="en-US" w:eastAsia="zh-CN"/>
              </w:rPr>
              <w:t>薏苡生产</w:t>
            </w:r>
            <w:r>
              <w:rPr>
                <w:rFonts w:hint="eastAsia"/>
              </w:rPr>
              <w:t>从业人员，现场观摩</w:t>
            </w:r>
            <w:r>
              <w:rPr>
                <w:rFonts w:hint="eastAsia"/>
                <w:lang w:val="en-US" w:eastAsia="zh-CN"/>
              </w:rPr>
              <w:t>薏苡主要病虫草害绿色防控</w:t>
            </w:r>
            <w:r>
              <w:rPr>
                <w:rFonts w:hint="eastAsia"/>
              </w:rPr>
              <w:t>技术。</w:t>
            </w:r>
          </w:p>
          <w:p>
            <w:pPr>
              <w:spacing w:line="360" w:lineRule="auto"/>
              <w:ind w:left="0" w:leftChars="0" w:firstLine="420" w:firstLineChars="200"/>
              <w:rPr>
                <w:rFonts w:ascii="宋体" w:hAnsi="宋体"/>
                <w:color w:val="000000"/>
                <w:szCs w:val="21"/>
              </w:rPr>
            </w:pPr>
            <w:r>
              <w:rPr>
                <w:rFonts w:hint="eastAsia" w:hAnsi="宋体"/>
                <w:color w:val="000000"/>
                <w:szCs w:val="21"/>
              </w:rPr>
              <w:t>过渡办法：在本标准未实施前通过</w:t>
            </w:r>
            <w:r>
              <w:rPr>
                <w:rFonts w:hint="eastAsia" w:ascii="宋体" w:hAnsi="宋体"/>
                <w:color w:val="000000"/>
                <w:szCs w:val="21"/>
              </w:rPr>
              <w:t>标准编制</w:t>
            </w:r>
            <w:r>
              <w:rPr>
                <w:rFonts w:hint="eastAsia" w:hAnsi="宋体"/>
                <w:bCs/>
                <w:szCs w:val="21"/>
              </w:rPr>
              <w:t>团队成员所在的单位和参与企业</w:t>
            </w:r>
            <w:r>
              <w:rPr>
                <w:rFonts w:hint="eastAsia" w:hAnsi="宋体"/>
                <w:bCs/>
                <w:szCs w:val="21"/>
                <w:lang w:val="en-US" w:eastAsia="zh-CN"/>
              </w:rPr>
              <w:t>积极开展</w:t>
            </w:r>
            <w:r>
              <w:rPr>
                <w:rFonts w:hint="eastAsia"/>
                <w:lang w:val="en-US" w:eastAsia="zh-CN"/>
              </w:rPr>
              <w:t>薏苡主要病虫草害绿色防控</w:t>
            </w:r>
            <w:r>
              <w:rPr>
                <w:rFonts w:hint="eastAsia"/>
              </w:rPr>
              <w:t>技术</w:t>
            </w:r>
            <w:r>
              <w:rPr>
                <w:rFonts w:hint="eastAsia" w:ascii="宋体" w:hAnsi="宋体"/>
                <w:color w:val="000000"/>
                <w:szCs w:val="21"/>
              </w:rPr>
              <w:t>指导</w:t>
            </w:r>
            <w:r>
              <w:rPr>
                <w:rFonts w:hint="eastAsia" w:ascii="宋体" w:hAnsi="宋体"/>
                <w:color w:val="000000"/>
                <w:szCs w:val="21"/>
                <w:lang w:val="en-US" w:eastAsia="zh-CN"/>
              </w:rPr>
              <w:t>并</w:t>
            </w:r>
            <w:r>
              <w:rPr>
                <w:rFonts w:hint="eastAsia" w:ascii="宋体" w:hAnsi="宋体"/>
                <w:color w:val="000000"/>
                <w:szCs w:val="21"/>
              </w:rPr>
              <w:t>进行推广和应用。</w:t>
            </w:r>
          </w:p>
          <w:p>
            <w:pPr>
              <w:widowControl/>
              <w:tabs>
                <w:tab w:val="center" w:pos="4201"/>
                <w:tab w:val="right" w:leader="dot" w:pos="9298"/>
              </w:tabs>
              <w:autoSpaceDE w:val="0"/>
              <w:autoSpaceDN w:val="0"/>
              <w:adjustRightInd w:val="0"/>
              <w:spacing w:line="360" w:lineRule="auto"/>
              <w:ind w:left="0" w:leftChars="0" w:firstLine="420" w:firstLineChars="200"/>
              <w:contextualSpacing/>
              <w:rPr>
                <w:rFonts w:ascii="宋体" w:hAnsi="宋体"/>
                <w:kern w:val="0"/>
                <w:szCs w:val="21"/>
              </w:rPr>
            </w:pPr>
            <w:r>
              <w:rPr>
                <w:rFonts w:hint="eastAsia" w:hAnsi="宋体"/>
                <w:color w:val="000000"/>
                <w:szCs w:val="21"/>
              </w:rPr>
              <w:t>实施日期：自标准颁布之日起实施。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bookmarkStart w:id="21" w:name="_Toc464905561"/>
            <w:bookmarkStart w:id="22" w:name="_Toc464902856"/>
            <w:bookmarkStart w:id="23" w:name="_Toc464905617"/>
            <w:bookmarkStart w:id="24" w:name="_Toc465074270"/>
            <w:bookmarkStart w:id="25" w:name="_Toc464905813"/>
            <w:r>
              <w:rPr>
                <w:rFonts w:hint="eastAsia" w:ascii="宋体" w:hAnsi="宋体"/>
                <w:kern w:val="0"/>
                <w:szCs w:val="21"/>
              </w:rPr>
              <w:t>9、废止现行相关标准的建议</w:t>
            </w:r>
            <w:bookmarkEnd w:id="21"/>
            <w:bookmarkEnd w:id="22"/>
            <w:bookmarkEnd w:id="23"/>
            <w:bookmarkEnd w:id="24"/>
            <w:bookmarkEnd w:id="2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r>
              <w:rPr>
                <w:rFonts w:hint="eastAsia" w:ascii="宋体" w:hAnsi="宋体"/>
                <w:kern w:val="0"/>
                <w:szCs w:val="21"/>
              </w:rPr>
              <w:t xml:space="preserve">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bookmarkStart w:id="26" w:name="_Toc464902857"/>
            <w:bookmarkStart w:id="27" w:name="_Toc464905814"/>
            <w:bookmarkStart w:id="28" w:name="_Toc464905562"/>
            <w:bookmarkStart w:id="29" w:name="_Toc465074271"/>
            <w:bookmarkStart w:id="30" w:name="_Toc464905618"/>
            <w:r>
              <w:rPr>
                <w:rFonts w:hint="eastAsia" w:ascii="宋体" w:hAnsi="宋体"/>
                <w:kern w:val="0"/>
                <w:szCs w:val="21"/>
              </w:rPr>
              <w:t>10、其它应予说明的事项</w:t>
            </w:r>
            <w:bookmarkEnd w:id="26"/>
            <w:bookmarkEnd w:id="27"/>
            <w:bookmarkEnd w:id="28"/>
            <w:bookmarkEnd w:id="29"/>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widowControl/>
              <w:tabs>
                <w:tab w:val="center" w:pos="4201"/>
                <w:tab w:val="right" w:leader="dot" w:pos="9298"/>
              </w:tabs>
              <w:autoSpaceDE w:val="0"/>
              <w:autoSpaceDN w:val="0"/>
              <w:adjustRightInd w:val="0"/>
              <w:spacing w:line="360" w:lineRule="auto"/>
              <w:contextualSpacing/>
              <w:rPr>
                <w:rFonts w:ascii="宋体" w:hAnsi="宋体"/>
                <w:kern w:val="0"/>
                <w:szCs w:val="21"/>
              </w:rPr>
            </w:pPr>
            <w:r>
              <w:rPr>
                <w:rFonts w:hint="eastAsia" w:ascii="宋体" w:hAnsi="宋体"/>
                <w:kern w:val="0"/>
                <w:szCs w:val="21"/>
              </w:rPr>
              <w:t xml:space="preserve">  无</w:t>
            </w:r>
          </w:p>
        </w:tc>
      </w:tr>
    </w:tbl>
    <w:p>
      <w:pPr>
        <w:autoSpaceDE w:val="0"/>
        <w:autoSpaceDN w:val="0"/>
        <w:ind w:left="726" w:hanging="363"/>
      </w:pPr>
      <w:r>
        <w:rPr>
          <w:rFonts w:hint="eastAsia" w:ascii="宋体"/>
          <w:kern w:val="0"/>
          <w:sz w:val="18"/>
          <w:szCs w:val="18"/>
        </w:rPr>
        <w:t>没有的请填写 “无”。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EFF905"/>
    <w:multiLevelType w:val="singleLevel"/>
    <w:tmpl w:val="EDEFF905"/>
    <w:lvl w:ilvl="0" w:tentative="0">
      <w:start w:val="2"/>
      <w:numFmt w:val="decimal"/>
      <w:suff w:val="nothing"/>
      <w:lvlText w:val="%1、"/>
      <w:lvlJc w:val="left"/>
    </w:lvl>
  </w:abstractNum>
  <w:abstractNum w:abstractNumId="1">
    <w:nsid w:val="FF9FCD04"/>
    <w:multiLevelType w:val="singleLevel"/>
    <w:tmpl w:val="FF9FCD04"/>
    <w:lvl w:ilvl="0" w:tentative="0">
      <w:start w:val="3"/>
      <w:numFmt w:val="chineseCounting"/>
      <w:suff w:val="nothing"/>
      <w:lvlText w:val="%1、"/>
      <w:lvlJc w:val="left"/>
      <w:rPr>
        <w:rFonts w:hint="eastAsia"/>
      </w:rPr>
    </w:lvl>
  </w:abstractNum>
  <w:abstractNum w:abstractNumId="2">
    <w:nsid w:val="765A31B4"/>
    <w:multiLevelType w:val="multilevel"/>
    <w:tmpl w:val="765A31B4"/>
    <w:lvl w:ilvl="0" w:tentative="0">
      <w:start w:val="1"/>
      <w:numFmt w:val="decimal"/>
      <w:lvlText w:val="%1."/>
      <w:lvlJc w:val="left"/>
      <w:pPr>
        <w:tabs>
          <w:tab w:val="left" w:pos="720"/>
        </w:tabs>
        <w:ind w:left="720" w:hanging="720"/>
      </w:pPr>
    </w:lvl>
    <w:lvl w:ilvl="1" w:tentative="0">
      <w:start w:val="1"/>
      <w:numFmt w:val="decimal"/>
      <w:pStyle w:val="19"/>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NlZTRjZDMxZDRjMDFjYzkxODMwN2FkMTJhMzlhZmIifQ=="/>
  </w:docVars>
  <w:rsids>
    <w:rsidRoot w:val="35EF3F41"/>
    <w:rsid w:val="00023EDA"/>
    <w:rsid w:val="000464E1"/>
    <w:rsid w:val="0007376D"/>
    <w:rsid w:val="000B0A35"/>
    <w:rsid w:val="000B1B89"/>
    <w:rsid w:val="000C420F"/>
    <w:rsid w:val="000C4859"/>
    <w:rsid w:val="001307FD"/>
    <w:rsid w:val="00131956"/>
    <w:rsid w:val="001357E0"/>
    <w:rsid w:val="0015098B"/>
    <w:rsid w:val="00151BCF"/>
    <w:rsid w:val="00152421"/>
    <w:rsid w:val="00161B04"/>
    <w:rsid w:val="001766E1"/>
    <w:rsid w:val="0018024B"/>
    <w:rsid w:val="00185015"/>
    <w:rsid w:val="00192AF5"/>
    <w:rsid w:val="001A48C4"/>
    <w:rsid w:val="001B0091"/>
    <w:rsid w:val="001D2B90"/>
    <w:rsid w:val="001E3FB5"/>
    <w:rsid w:val="00202FA3"/>
    <w:rsid w:val="0020796B"/>
    <w:rsid w:val="002146B2"/>
    <w:rsid w:val="00220970"/>
    <w:rsid w:val="002336D7"/>
    <w:rsid w:val="0024762F"/>
    <w:rsid w:val="002640F1"/>
    <w:rsid w:val="00271E53"/>
    <w:rsid w:val="002823B9"/>
    <w:rsid w:val="002964BF"/>
    <w:rsid w:val="002977D7"/>
    <w:rsid w:val="002C494E"/>
    <w:rsid w:val="002E5316"/>
    <w:rsid w:val="002F5EB9"/>
    <w:rsid w:val="00360744"/>
    <w:rsid w:val="003A67EF"/>
    <w:rsid w:val="003B294A"/>
    <w:rsid w:val="003D6725"/>
    <w:rsid w:val="00407FBE"/>
    <w:rsid w:val="00431A73"/>
    <w:rsid w:val="00487856"/>
    <w:rsid w:val="004D71FF"/>
    <w:rsid w:val="004E085D"/>
    <w:rsid w:val="004E2DB7"/>
    <w:rsid w:val="004E5B40"/>
    <w:rsid w:val="004F0D57"/>
    <w:rsid w:val="00504C9F"/>
    <w:rsid w:val="00546497"/>
    <w:rsid w:val="005476D2"/>
    <w:rsid w:val="00567FA4"/>
    <w:rsid w:val="00584323"/>
    <w:rsid w:val="005A472E"/>
    <w:rsid w:val="005B3EAA"/>
    <w:rsid w:val="005B4FC8"/>
    <w:rsid w:val="005C42BF"/>
    <w:rsid w:val="0063052F"/>
    <w:rsid w:val="00652C13"/>
    <w:rsid w:val="006B6988"/>
    <w:rsid w:val="006D2BA4"/>
    <w:rsid w:val="006E5F6D"/>
    <w:rsid w:val="006F4AE8"/>
    <w:rsid w:val="00700B88"/>
    <w:rsid w:val="007146FD"/>
    <w:rsid w:val="00757EAB"/>
    <w:rsid w:val="00770B8E"/>
    <w:rsid w:val="0078084C"/>
    <w:rsid w:val="00790DC4"/>
    <w:rsid w:val="007D3D16"/>
    <w:rsid w:val="007F6CA0"/>
    <w:rsid w:val="00800A42"/>
    <w:rsid w:val="008044E7"/>
    <w:rsid w:val="008104E2"/>
    <w:rsid w:val="0081105A"/>
    <w:rsid w:val="008224F7"/>
    <w:rsid w:val="00880346"/>
    <w:rsid w:val="00896118"/>
    <w:rsid w:val="008D1D78"/>
    <w:rsid w:val="009034A7"/>
    <w:rsid w:val="0090388F"/>
    <w:rsid w:val="009266F6"/>
    <w:rsid w:val="00935C3D"/>
    <w:rsid w:val="00936009"/>
    <w:rsid w:val="009531C4"/>
    <w:rsid w:val="0097470B"/>
    <w:rsid w:val="00976A86"/>
    <w:rsid w:val="00980021"/>
    <w:rsid w:val="00991D9C"/>
    <w:rsid w:val="009942BB"/>
    <w:rsid w:val="009B6A3D"/>
    <w:rsid w:val="009E1E28"/>
    <w:rsid w:val="009E4C5B"/>
    <w:rsid w:val="00A0636B"/>
    <w:rsid w:val="00A10B0C"/>
    <w:rsid w:val="00A42282"/>
    <w:rsid w:val="00A73BF2"/>
    <w:rsid w:val="00AB50D2"/>
    <w:rsid w:val="00AB77EF"/>
    <w:rsid w:val="00AE3463"/>
    <w:rsid w:val="00B023B4"/>
    <w:rsid w:val="00B02A93"/>
    <w:rsid w:val="00B13EC9"/>
    <w:rsid w:val="00B31908"/>
    <w:rsid w:val="00BA65DD"/>
    <w:rsid w:val="00BB2425"/>
    <w:rsid w:val="00BD7114"/>
    <w:rsid w:val="00BF4B92"/>
    <w:rsid w:val="00C01DB0"/>
    <w:rsid w:val="00C47C3F"/>
    <w:rsid w:val="00C705EE"/>
    <w:rsid w:val="00C7601C"/>
    <w:rsid w:val="00C87586"/>
    <w:rsid w:val="00C946BA"/>
    <w:rsid w:val="00D15061"/>
    <w:rsid w:val="00D22063"/>
    <w:rsid w:val="00D42D4B"/>
    <w:rsid w:val="00D5345D"/>
    <w:rsid w:val="00DE689F"/>
    <w:rsid w:val="00E15B03"/>
    <w:rsid w:val="00E41D36"/>
    <w:rsid w:val="00E51AE0"/>
    <w:rsid w:val="00E579FA"/>
    <w:rsid w:val="00E77CBF"/>
    <w:rsid w:val="00E83B8A"/>
    <w:rsid w:val="00E913D5"/>
    <w:rsid w:val="00EC110B"/>
    <w:rsid w:val="00EC6161"/>
    <w:rsid w:val="00F400E0"/>
    <w:rsid w:val="00F61021"/>
    <w:rsid w:val="00F70A39"/>
    <w:rsid w:val="00F930C8"/>
    <w:rsid w:val="00FF77E7"/>
    <w:rsid w:val="02CE17E8"/>
    <w:rsid w:val="0388408C"/>
    <w:rsid w:val="07504685"/>
    <w:rsid w:val="09A727B4"/>
    <w:rsid w:val="0A2A7398"/>
    <w:rsid w:val="154041A8"/>
    <w:rsid w:val="1686039B"/>
    <w:rsid w:val="1CE772A7"/>
    <w:rsid w:val="1EDD6775"/>
    <w:rsid w:val="1EEE0DF0"/>
    <w:rsid w:val="2348022F"/>
    <w:rsid w:val="29C015DB"/>
    <w:rsid w:val="2A88034A"/>
    <w:rsid w:val="2FD9B0B3"/>
    <w:rsid w:val="32364B30"/>
    <w:rsid w:val="34E22105"/>
    <w:rsid w:val="35EF3F41"/>
    <w:rsid w:val="39F8091D"/>
    <w:rsid w:val="46D52711"/>
    <w:rsid w:val="474B6530"/>
    <w:rsid w:val="511679BC"/>
    <w:rsid w:val="51DE2E7B"/>
    <w:rsid w:val="537A73C2"/>
    <w:rsid w:val="55CECDC2"/>
    <w:rsid w:val="56BF413F"/>
    <w:rsid w:val="585D60C3"/>
    <w:rsid w:val="62D81168"/>
    <w:rsid w:val="688F0210"/>
    <w:rsid w:val="69B84887"/>
    <w:rsid w:val="69BBE33E"/>
    <w:rsid w:val="6DF054DE"/>
    <w:rsid w:val="75544258"/>
    <w:rsid w:val="7BF1150E"/>
    <w:rsid w:val="9FEFC62F"/>
    <w:rsid w:val="AD7659CC"/>
    <w:rsid w:val="BEEFFC07"/>
    <w:rsid w:val="DFFF19D4"/>
    <w:rsid w:val="EE6F2BEB"/>
    <w:rsid w:val="EFDFB6C8"/>
    <w:rsid w:val="F7A7AFCA"/>
    <w:rsid w:val="FDED453C"/>
    <w:rsid w:val="FFDF0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rPr>
      <w:rFonts w:ascii="Times New Roman" w:hAnsi="Times New Roman"/>
      <w:sz w:val="28"/>
    </w:rPr>
  </w:style>
  <w:style w:type="paragraph" w:styleId="3">
    <w:name w:val="Body Text"/>
    <w:basedOn w:val="1"/>
    <w:next w:val="2"/>
    <w:qFormat/>
    <w:uiPriority w:val="1"/>
    <w:pPr>
      <w:autoSpaceDE w:val="0"/>
      <w:autoSpaceDN w:val="0"/>
      <w:adjustRightInd/>
      <w:spacing w:line="240" w:lineRule="auto"/>
      <w:jc w:val="left"/>
    </w:pPr>
    <w:rPr>
      <w:rFonts w:ascii="宋体" w:hAnsi="宋体" w:cs="宋体"/>
      <w:kern w:val="0"/>
      <w:lang w:val="zh-CN" w:bidi="zh-CN"/>
    </w:rPr>
  </w:style>
  <w:style w:type="paragraph" w:styleId="4">
    <w:name w:val="toc 6"/>
    <w:basedOn w:val="1"/>
    <w:next w:val="1"/>
    <w:qFormat/>
    <w:uiPriority w:val="0"/>
    <w:pPr>
      <w:ind w:left="2100" w:leftChars="1000"/>
    </w:pPr>
  </w:style>
  <w:style w:type="paragraph" w:styleId="5">
    <w:name w:val="Balloon Text"/>
    <w:basedOn w:val="1"/>
    <w:link w:val="16"/>
    <w:qFormat/>
    <w:uiPriority w:val="0"/>
    <w:rPr>
      <w:sz w:val="18"/>
      <w:szCs w:val="18"/>
    </w:rPr>
  </w:style>
  <w:style w:type="paragraph" w:styleId="6">
    <w:name w:val="footer"/>
    <w:basedOn w:val="1"/>
    <w:next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11">
    <w:name w:val="Emphasis"/>
    <w:basedOn w:val="10"/>
    <w:qFormat/>
    <w:uiPriority w:val="0"/>
    <w:rPr>
      <w:i/>
    </w:rPr>
  </w:style>
  <w:style w:type="paragraph" w:customStyle="1" w:styleId="12">
    <w:name w:val="目次、标准名称标题"/>
    <w:basedOn w:val="1"/>
    <w:next w:val="1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3">
    <w:name w:val="段"/>
    <w:link w:val="1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4">
    <w:name w:val="页眉 Char"/>
    <w:basedOn w:val="10"/>
    <w:link w:val="7"/>
    <w:qFormat/>
    <w:uiPriority w:val="0"/>
    <w:rPr>
      <w:kern w:val="2"/>
      <w:sz w:val="18"/>
      <w:szCs w:val="18"/>
    </w:rPr>
  </w:style>
  <w:style w:type="character" w:customStyle="1" w:styleId="15">
    <w:name w:val="页脚 Char"/>
    <w:basedOn w:val="10"/>
    <w:link w:val="6"/>
    <w:qFormat/>
    <w:uiPriority w:val="0"/>
    <w:rPr>
      <w:kern w:val="2"/>
      <w:sz w:val="18"/>
      <w:szCs w:val="18"/>
    </w:rPr>
  </w:style>
  <w:style w:type="character" w:customStyle="1" w:styleId="16">
    <w:name w:val="批注框文本 Char"/>
    <w:basedOn w:val="10"/>
    <w:link w:val="5"/>
    <w:qFormat/>
    <w:uiPriority w:val="0"/>
    <w:rPr>
      <w:kern w:val="2"/>
      <w:sz w:val="18"/>
      <w:szCs w:val="18"/>
    </w:rPr>
  </w:style>
  <w:style w:type="character" w:customStyle="1" w:styleId="17">
    <w:name w:val="段 Char"/>
    <w:link w:val="13"/>
    <w:qFormat/>
    <w:uiPriority w:val="0"/>
    <w:rPr>
      <w:rFonts w:ascii="宋体"/>
      <w:sz w:val="21"/>
    </w:rPr>
  </w:style>
  <w:style w:type="character" w:customStyle="1" w:styleId="18">
    <w:name w:val="一级条标题 Char"/>
    <w:link w:val="19"/>
    <w:qFormat/>
    <w:uiPriority w:val="0"/>
    <w:rPr>
      <w:rFonts w:ascii="黑体" w:eastAsia="黑体"/>
      <w:sz w:val="21"/>
      <w:szCs w:val="21"/>
    </w:rPr>
  </w:style>
  <w:style w:type="paragraph" w:customStyle="1" w:styleId="19">
    <w:name w:val="一级条标题"/>
    <w:next w:val="13"/>
    <w:link w:val="18"/>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Pages>
  <Words>564</Words>
  <Characters>3219</Characters>
  <Lines>26</Lines>
  <Paragraphs>7</Paragraphs>
  <TotalTime>9</TotalTime>
  <ScaleCrop>false</ScaleCrop>
  <LinksUpToDate>false</LinksUpToDate>
  <CharactersWithSpaces>3776</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2021-01-07T11:41:00Z</dcterms:created>
  <dc:creator>小羽</dc:creator>
  <cp:lastModifiedBy>nky</cp:lastModifiedBy>
  <cp:lastPrinted>2021-01-08T12:49:00Z</cp:lastPrinted>
  <dcterms:modified xsi:type="dcterms:W3CDTF">2024-10-09T08:30:14Z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86642AE854214EB0A97B8CCE70182D80_12</vt:lpwstr>
  </property>
</Properties>
</file>