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auto"/>
        <w:jc w:val="center"/>
        <w:textAlignment w:val="auto"/>
        <w:rPr>
          <w:rFonts w:hint="default" w:ascii="Times New Roman" w:hAnsi="Times New Roman" w:eastAsia="宋体" w:cs="Times New Roman"/>
          <w:b w:val="0"/>
          <w:bCs w:val="0"/>
          <w:color w:val="000000"/>
          <w:kern w:val="0"/>
          <w:sz w:val="43"/>
          <w:szCs w:val="43"/>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auto"/>
        <w:jc w:val="center"/>
        <w:textAlignment w:val="auto"/>
        <w:rPr>
          <w:rFonts w:hint="default" w:ascii="Times New Roman" w:hAnsi="Times New Roman" w:eastAsia="宋体" w:cs="Times New Roman"/>
          <w:b w:val="0"/>
          <w:bCs w:val="0"/>
          <w:color w:val="000000"/>
          <w:kern w:val="0"/>
          <w:sz w:val="43"/>
          <w:szCs w:val="43"/>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auto"/>
        <w:jc w:val="center"/>
        <w:textAlignment w:val="auto"/>
        <w:rPr>
          <w:b/>
          <w:bCs/>
        </w:rPr>
      </w:pPr>
      <w:r>
        <w:rPr>
          <w:rFonts w:hint="eastAsia" w:ascii="宋体" w:hAnsi="宋体" w:eastAsia="宋体" w:cs="宋体"/>
          <w:b/>
          <w:bCs/>
          <w:color w:val="000000"/>
          <w:kern w:val="0"/>
          <w:sz w:val="43"/>
          <w:szCs w:val="43"/>
          <w:lang w:val="en-US" w:eastAsia="zh-CN" w:bidi="ar"/>
        </w:rPr>
        <w:t>《三维皮托管法烟道流量标准装置检定规程》</w:t>
      </w: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编</w:t>
      </w: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制</w:t>
      </w: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说</w:t>
      </w: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明</w:t>
      </w: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pPr>
      <w:r>
        <w:rPr>
          <w:rFonts w:hint="eastAsia" w:ascii="宋体" w:hAnsi="宋体" w:cs="宋体"/>
          <w:b/>
          <w:bCs/>
          <w:color w:val="000000"/>
          <w:kern w:val="0"/>
          <w:sz w:val="31"/>
          <w:szCs w:val="31"/>
          <w:lang w:val="en-US" w:eastAsia="zh-CN" w:bidi="ar"/>
        </w:rPr>
        <w:t>规范</w:t>
      </w:r>
      <w:r>
        <w:rPr>
          <w:rFonts w:hint="eastAsia" w:ascii="宋体" w:hAnsi="宋体" w:eastAsia="宋体" w:cs="宋体"/>
          <w:b/>
          <w:bCs/>
          <w:color w:val="000000"/>
          <w:kern w:val="0"/>
          <w:sz w:val="31"/>
          <w:szCs w:val="31"/>
          <w:lang w:val="en-US" w:eastAsia="zh-CN" w:bidi="ar"/>
        </w:rPr>
        <w:t>起草组</w:t>
      </w:r>
    </w:p>
    <w:p>
      <w:pPr>
        <w:keepNext w:val="0"/>
        <w:keepLines w:val="0"/>
        <w:widowControl/>
        <w:suppressLineNumbers w:val="0"/>
        <w:spacing w:line="360" w:lineRule="auto"/>
        <w:jc w:val="center"/>
        <w:rPr>
          <w:rFonts w:hint="default" w:ascii="Times New Roman" w:hAnsi="Times New Roman" w:eastAsia="宋体" w:cs="Times New Roman"/>
          <w:b/>
          <w:bCs/>
          <w:color w:val="000000"/>
          <w:kern w:val="0"/>
          <w:sz w:val="31"/>
          <w:szCs w:val="31"/>
          <w:lang w:val="en-US" w:eastAsia="zh-CN" w:bidi="ar"/>
        </w:rPr>
      </w:pPr>
      <w:r>
        <w:rPr>
          <w:rFonts w:hint="default" w:ascii="Times New Roman" w:hAnsi="Times New Roman" w:eastAsia="宋体" w:cs="Times New Roman"/>
          <w:b/>
          <w:bCs/>
          <w:color w:val="000000"/>
          <w:kern w:val="0"/>
          <w:sz w:val="31"/>
          <w:szCs w:val="31"/>
          <w:lang w:val="en-US" w:eastAsia="zh-CN" w:bidi="ar"/>
        </w:rPr>
        <w:t>202</w:t>
      </w:r>
      <w:r>
        <w:rPr>
          <w:rFonts w:hint="default" w:ascii="Times New Roman" w:hAnsi="Times New Roman" w:cs="Times New Roman"/>
          <w:b/>
          <w:bCs/>
          <w:color w:val="000000"/>
          <w:kern w:val="0"/>
          <w:sz w:val="31"/>
          <w:szCs w:val="31"/>
          <w:lang w:val="en-US" w:eastAsia="zh-CN" w:bidi="ar"/>
        </w:rPr>
        <w:t>4</w:t>
      </w:r>
      <w:r>
        <w:rPr>
          <w:rFonts w:hint="default" w:ascii="Times New Roman" w:hAnsi="Times New Roman" w:eastAsia="宋体" w:cs="Times New Roman"/>
          <w:b/>
          <w:bCs/>
          <w:color w:val="000000"/>
          <w:kern w:val="0"/>
          <w:sz w:val="31"/>
          <w:szCs w:val="31"/>
          <w:lang w:val="en-US" w:eastAsia="zh-CN" w:bidi="ar"/>
        </w:rPr>
        <w:t>年</w:t>
      </w:r>
      <w:r>
        <w:rPr>
          <w:rFonts w:hint="eastAsia" w:cs="Times New Roman"/>
          <w:b/>
          <w:bCs/>
          <w:color w:val="000000"/>
          <w:kern w:val="0"/>
          <w:sz w:val="31"/>
          <w:szCs w:val="31"/>
          <w:lang w:val="en-US" w:eastAsia="zh-CN" w:bidi="ar"/>
        </w:rPr>
        <w:t>10</w:t>
      </w:r>
      <w:r>
        <w:rPr>
          <w:rFonts w:hint="default" w:ascii="Times New Roman" w:hAnsi="Times New Roman" w:eastAsia="宋体" w:cs="Times New Roman"/>
          <w:b/>
          <w:bCs/>
          <w:color w:val="000000"/>
          <w:kern w:val="0"/>
          <w:sz w:val="31"/>
          <w:szCs w:val="31"/>
          <w:lang w:val="en-US" w:eastAsia="zh-CN" w:bidi="ar"/>
        </w:rPr>
        <w:t>月</w:t>
      </w:r>
    </w:p>
    <w:p>
      <w:pPr>
        <w:keepNext w:val="0"/>
        <w:keepLines w:val="0"/>
        <w:widowControl/>
        <w:suppressLineNumbers w:val="0"/>
        <w:spacing w:line="360" w:lineRule="auto"/>
        <w:jc w:val="center"/>
        <w:rPr>
          <w:rFonts w:hint="default" w:ascii="Times New Roman" w:hAnsi="Times New Roman" w:eastAsia="宋体" w:cs="Times New Roman"/>
          <w:b/>
          <w:bCs/>
          <w:color w:val="000000"/>
          <w:kern w:val="0"/>
          <w:sz w:val="31"/>
          <w:szCs w:val="31"/>
          <w:lang w:val="en-US" w:eastAsia="zh-CN" w:bidi="ar"/>
        </w:rPr>
      </w:pPr>
    </w:p>
    <w:p>
      <w:pPr>
        <w:keepNext w:val="0"/>
        <w:keepLines w:val="0"/>
        <w:widowControl/>
        <w:suppressLineNumbers w:val="0"/>
        <w:spacing w:line="360" w:lineRule="auto"/>
        <w:jc w:val="center"/>
        <w:rPr>
          <w:rFonts w:hint="default" w:ascii="Times New Roman" w:hAnsi="Times New Roman" w:eastAsia="宋体" w:cs="Times New Roman"/>
          <w:b/>
          <w:bCs/>
          <w:color w:val="000000"/>
          <w:kern w:val="0"/>
          <w:sz w:val="31"/>
          <w:szCs w:val="31"/>
          <w:lang w:val="en-US" w:eastAsia="zh-CN" w:bidi="ar"/>
        </w:rPr>
        <w:sectPr>
          <w:footerReference r:id="rId3" w:type="default"/>
          <w:pgSz w:w="11906" w:h="16838"/>
          <w:pgMar w:top="1440" w:right="1800" w:bottom="1440" w:left="1800" w:header="851" w:footer="992" w:gutter="0"/>
          <w:cols w:space="425" w:num="1"/>
          <w:docGrid w:type="lines" w:linePitch="312" w:charSpace="0"/>
        </w:sectPr>
      </w:pPr>
    </w:p>
    <w:p>
      <w:pPr>
        <w:keepNext w:val="0"/>
        <w:keepLines w:val="0"/>
        <w:widowControl/>
        <w:suppressLineNumbers w:val="0"/>
        <w:spacing w:line="360" w:lineRule="auto"/>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《三维皮托管法烟道流量标准装置检定规程》</w:t>
      </w:r>
    </w:p>
    <w:p>
      <w:pPr>
        <w:keepNext w:val="0"/>
        <w:keepLines w:val="0"/>
        <w:widowControl/>
        <w:suppressLineNumbers w:val="0"/>
        <w:spacing w:line="360" w:lineRule="auto"/>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编制说明</w:t>
      </w:r>
    </w:p>
    <w:p>
      <w:pPr>
        <w:pStyle w:val="2"/>
        <w:keepNext/>
        <w:keepLines/>
        <w:pageBreakBefore w:val="0"/>
        <w:widowControl w:val="0"/>
        <w:kinsoku/>
        <w:wordWrap/>
        <w:overflowPunct/>
        <w:topLinePunct w:val="0"/>
        <w:autoSpaceDE/>
        <w:autoSpaceDN/>
        <w:bidi w:val="0"/>
        <w:adjustRightInd/>
        <w:snapToGrid/>
        <w:spacing w:line="413" w:lineRule="auto"/>
        <w:ind w:firstLine="642" w:firstLineChars="200"/>
        <w:textAlignment w:val="auto"/>
        <w:rPr>
          <w:rFonts w:hint="default" w:ascii="Times New Roman" w:hAnsi="Times New Roman" w:eastAsia="宋体" w:cs="Times New Roman"/>
          <w:b/>
          <w:bCs/>
          <w:color w:val="000000"/>
          <w:kern w:val="0"/>
          <w:sz w:val="31"/>
          <w:szCs w:val="31"/>
          <w:lang w:val="en-US" w:eastAsia="zh-CN" w:bidi="ar"/>
        </w:rPr>
      </w:pPr>
      <w:r>
        <w:rPr>
          <w:rFonts w:hint="eastAsia" w:ascii="仿宋_GB2312" w:hAnsi="仿宋_GB2312" w:eastAsia="仿宋_GB2312" w:cs="仿宋_GB2312"/>
          <w:lang w:val="en-US" w:eastAsia="zh-CN"/>
        </w:rPr>
        <w:t>一、任务来源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2024年6月，广东省市场监督管理局印发《广东省市场监督管理局关于下达2024年广东省地方计量技术规范制修订计划项目的通知》（粤市监量〔2024〕300号），对主要起草单位广东省计量科学研究院下达了</w:t>
      </w:r>
      <w:r>
        <w:rPr>
          <w:rFonts w:hint="eastAsia" w:eastAsia="仿宋_GB2312" w:cs="Times New Roman"/>
          <w:sz w:val="32"/>
          <w:szCs w:val="32"/>
          <w:lang w:val="en-US" w:eastAsia="zh-CN"/>
        </w:rPr>
        <w:t>编制</w:t>
      </w:r>
      <w:r>
        <w:rPr>
          <w:rFonts w:hint="eastAsia" w:ascii="Times New Roman" w:hAnsi="Times New Roman" w:eastAsia="仿宋_GB2312" w:cs="Times New Roman"/>
          <w:sz w:val="32"/>
          <w:szCs w:val="32"/>
          <w:lang w:val="en-US" w:eastAsia="zh-CN"/>
        </w:rPr>
        <w:t>任务，《三维皮托管法烟道流量标准装置检定规程》正式批准立项，任务归口广东省碳达峰碳中和计量技术委员会管理。</w:t>
      </w:r>
    </w:p>
    <w:p>
      <w:pPr>
        <w:pStyle w:val="2"/>
        <w:keepNext/>
        <w:keepLines/>
        <w:pageBreakBefore w:val="0"/>
        <w:widowControl w:val="0"/>
        <w:kinsoku/>
        <w:wordWrap/>
        <w:overflowPunct/>
        <w:topLinePunct w:val="0"/>
        <w:autoSpaceDE/>
        <w:autoSpaceDN/>
        <w:bidi w:val="0"/>
        <w:adjustRightInd/>
        <w:snapToGrid/>
        <w:spacing w:line="413" w:lineRule="auto"/>
        <w:ind w:firstLine="642"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二、编制背景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eastAsia="仿宋_GB2312" w:cs="Times New Roman"/>
          <w:sz w:val="32"/>
          <w:szCs w:val="32"/>
          <w:lang w:val="en-US" w:eastAsia="zh-CN"/>
        </w:rPr>
      </w:pPr>
      <w:r>
        <w:rPr>
          <w:rFonts w:hint="default" w:eastAsia="仿宋_GB2312" w:cs="Times New Roman"/>
          <w:sz w:val="32"/>
          <w:szCs w:val="32"/>
          <w:lang w:val="en-US" w:eastAsia="zh-CN"/>
        </w:rPr>
        <w:t>实现碳达峰、碳中和，是党中央统筹国内国际两个大局作出的重大战略决策。2022年10月18日，市场监管总局等九部门联合印发《建立健全碳达峰碳中和标准计量体系实施方案》，方案中明确提到，要开展系统碳排放计量测试方法研究和碳排放连续在线监测计量技术研究，提升碳排放和碳监测数据准确性和一致性。当前国内针对碳排放的监测方式正在力求逐步由传统的宏观“碳核算”向精准的“碳计量”发展。在这种政策环境下，研究并推广应用直接排放侧的温室气体排放量计量已经成为精准“碳计量”中必要的一环。</w:t>
      </w:r>
    </w:p>
    <w:p>
      <w:pPr>
        <w:pStyle w:val="2"/>
        <w:keepNext/>
        <w:keepLines/>
        <w:pageBreakBefore w:val="0"/>
        <w:widowControl w:val="0"/>
        <w:numPr>
          <w:ilvl w:val="0"/>
          <w:numId w:val="1"/>
        </w:numPr>
        <w:kinsoku/>
        <w:wordWrap/>
        <w:overflowPunct/>
        <w:topLinePunct w:val="0"/>
        <w:autoSpaceDE/>
        <w:autoSpaceDN/>
        <w:bidi w:val="0"/>
        <w:adjustRightInd/>
        <w:snapToGrid/>
        <w:spacing w:line="413" w:lineRule="auto"/>
        <w:ind w:left="-13" w:leftChars="0" w:firstLine="643"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编制意义</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现阶段，固定污染源烟气的排放量主要通过固定源连续排放监测系统（以下简称CEMS）来测量。CEMS通过测量烟道烟气中的气体浓度、流量、温度、湿度等参数来对总的排放量进行定量分析，其中流量则通常是通过流速加烟道的截面积求得。由于CEMS通常是固定安装，难以拆卸，当前国内对于CEMS流量或流速部分的校准基本都是通过比对法进行，例如JJF 1585《固定污染源烟气排放连续监测系统校准规范》和HJ 397《固定源废气监测技术规范》等，使用皮托管在现场进行流速测量，然后通过与CEMS进行比对实现流速的校准。传统用于烟道现场测量的皮托管为S型，然而S型皮托管在实际使用中，受到风速、俯仰角、扭转角、湍流度等影响很大，相比之下，三维皮托管由于结构上的改进，可以有效降低相应的影响，从而大幅度提高流量测量的准确性，目前正越来越多地用于烟道流量的测量中。三维皮托管又称为五孔探针，主要包括球型和菱型等形式，通过五个取压孔之间的差压来计算出气流速度。</w:t>
      </w:r>
    </w:p>
    <w:p>
      <w:pPr>
        <w:pStyle w:val="5"/>
        <w:spacing w:before="0" w:beforeAutospacing="0" w:after="0" w:afterAutospacing="0" w:line="360" w:lineRule="auto"/>
        <w:ind w:firstLine="633" w:firstLineChars="198"/>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针对三维皮托管，目前国内相关的计量技术规范仅有JJG 518 《皮托管检定规程》，但该规范仅适用于L型及S型皮托管，且仅针对皮托管的通用技术要求及系数的误差提出了要求，无法满足三维皮托管的校准需求。</w:t>
      </w:r>
    </w:p>
    <w:p>
      <w:pPr>
        <w:pStyle w:val="5"/>
        <w:spacing w:before="0" w:beforeAutospacing="0" w:after="0" w:afterAutospacing="0" w:line="360" w:lineRule="auto"/>
        <w:ind w:firstLine="633" w:firstLineChars="198"/>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维皮托管法烟道流量标准装置，是基于三维皮托管测量原理，用于对CEMS流量测量结果进行现场检定的标准装置，在环保行业也常称为手工采样参比方法设备。本规范中提到的三维皮托管法烟道流量标准装置主要用于烟气排放连续监测系统流量计体积流量的在线检定，也称手工采样比对监测。</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w:t>
      </w:r>
      <w:r>
        <w:rPr>
          <w:rFonts w:hint="eastAsia" w:eastAsia="仿宋_GB2312" w:cs="Times New Roman"/>
          <w:kern w:val="2"/>
          <w:sz w:val="32"/>
          <w:szCs w:val="32"/>
          <w:lang w:val="en-US" w:eastAsia="zh-CN" w:bidi="ar-SA"/>
        </w:rPr>
        <w:t>规范</w:t>
      </w:r>
      <w:r>
        <w:rPr>
          <w:rFonts w:hint="eastAsia" w:ascii="Times New Roman" w:hAnsi="Times New Roman" w:eastAsia="仿宋_GB2312" w:cs="Times New Roman"/>
          <w:kern w:val="2"/>
          <w:sz w:val="32"/>
          <w:szCs w:val="32"/>
          <w:lang w:val="en-US" w:eastAsia="zh-CN" w:bidi="ar-SA"/>
        </w:rPr>
        <w:t>所起草的三维皮托管法烟道流量标准装置检定规程，将对三维皮托管法烟道流量标准装置检定方法作出规定，确保三维皮托管法获得的量值的准确可比，为烟道流量测量可靠性提供保证，助力直接排放侧排放量数据质量的提升。</w:t>
      </w:r>
    </w:p>
    <w:p>
      <w:pPr>
        <w:pStyle w:val="2"/>
        <w:keepNext/>
        <w:keepLines/>
        <w:pageBreakBefore w:val="0"/>
        <w:widowControl w:val="0"/>
        <w:numPr>
          <w:ilvl w:val="0"/>
          <w:numId w:val="1"/>
        </w:numPr>
        <w:kinsoku/>
        <w:wordWrap/>
        <w:overflowPunct/>
        <w:topLinePunct w:val="0"/>
        <w:autoSpaceDE/>
        <w:autoSpaceDN/>
        <w:bidi w:val="0"/>
        <w:adjustRightInd/>
        <w:snapToGrid/>
        <w:spacing w:line="413" w:lineRule="auto"/>
        <w:ind w:left="-13" w:leftChars="0" w:firstLine="643" w:firstLineChars="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编制依据</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JJF 10</w:t>
      </w:r>
      <w:r>
        <w:rPr>
          <w:rFonts w:hint="eastAsia" w:eastAsia="仿宋_GB2312" w:cs="Times New Roman"/>
          <w:kern w:val="2"/>
          <w:sz w:val="32"/>
          <w:szCs w:val="32"/>
          <w:lang w:val="en-US" w:eastAsia="zh-CN" w:bidi="ar-SA"/>
        </w:rPr>
        <w:t>02</w:t>
      </w:r>
      <w:r>
        <w:rPr>
          <w:rFonts w:hint="default" w:ascii="Times New Roman" w:hAnsi="Times New Roman" w:eastAsia="仿宋_GB2312" w:cs="Times New Roman"/>
          <w:kern w:val="2"/>
          <w:sz w:val="32"/>
          <w:szCs w:val="32"/>
          <w:lang w:val="en-US" w:eastAsia="zh-CN" w:bidi="ar-SA"/>
        </w:rPr>
        <w:t>-2010《国家计量</w:t>
      </w:r>
      <w:r>
        <w:rPr>
          <w:rFonts w:hint="eastAsia" w:eastAsia="仿宋_GB2312" w:cs="Times New Roman"/>
          <w:kern w:val="2"/>
          <w:sz w:val="32"/>
          <w:szCs w:val="32"/>
          <w:lang w:val="en-US" w:eastAsia="zh-CN" w:bidi="ar-SA"/>
        </w:rPr>
        <w:t>检定规程</w:t>
      </w:r>
      <w:r>
        <w:rPr>
          <w:rFonts w:hint="default" w:ascii="Times New Roman" w:hAnsi="Times New Roman" w:eastAsia="仿宋_GB2312" w:cs="Times New Roman"/>
          <w:kern w:val="2"/>
          <w:sz w:val="32"/>
          <w:szCs w:val="32"/>
          <w:lang w:val="en-US" w:eastAsia="zh-CN" w:bidi="ar-SA"/>
        </w:rPr>
        <w:t>编写规则》、JJF 1001-2011《通用计量术语及定义》、JJF 1059.1-2012《测量不确定度评估与表示》、JJF 1094-2002《测量仪器特性评估》，共同构成支撑本规范制订工作的基础性系列规范。</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规范编制过程中还重点参考了以下规范、规程、标准：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JJG 518  皮托管检定规程</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JJF 1004  流量计量名词术语及定义</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EPA Method 2F《用三维皮托管确定烟道气体流速及体积流量》(Determination of Stack Gas Velocity And Volumetric Flow Rate With Three-Dimensional Probes)</w:t>
      </w:r>
    </w:p>
    <w:p>
      <w:pPr>
        <w:pStyle w:val="2"/>
        <w:keepNext/>
        <w:keepLines/>
        <w:pageBreakBefore w:val="0"/>
        <w:widowControl w:val="0"/>
        <w:numPr>
          <w:ilvl w:val="0"/>
          <w:numId w:val="1"/>
        </w:numPr>
        <w:kinsoku/>
        <w:wordWrap/>
        <w:overflowPunct/>
        <w:topLinePunct w:val="0"/>
        <w:autoSpaceDE/>
        <w:autoSpaceDN/>
        <w:bidi w:val="0"/>
        <w:adjustRightInd/>
        <w:snapToGrid/>
        <w:spacing w:line="413" w:lineRule="auto"/>
        <w:ind w:left="-13" w:leftChars="0" w:firstLine="643" w:firstLineChars="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规范主要内容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本计量技术规范为首次制定，内容编制将遵循技术法规的科学性、先进性</w:t>
      </w:r>
      <w:bookmarkStart w:id="0" w:name="_GoBack"/>
      <w:bookmarkEnd w:id="0"/>
      <w:r>
        <w:rPr>
          <w:rFonts w:hint="eastAsia" w:eastAsia="仿宋_GB2312" w:cs="Times New Roman"/>
          <w:kern w:val="2"/>
          <w:sz w:val="32"/>
          <w:szCs w:val="32"/>
          <w:lang w:val="en-US" w:eastAsia="zh-CN" w:bidi="ar-SA"/>
        </w:rPr>
        <w:t>和可操作性原则。主要内容如下：</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5.1 范围</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eastAsia="仿宋_GB2312" w:cs="Times New Roman"/>
          <w:kern w:val="2"/>
          <w:sz w:val="32"/>
          <w:szCs w:val="32"/>
          <w:lang w:val="en-US" w:eastAsia="zh-CN" w:bidi="ar-SA"/>
        </w:rPr>
      </w:pPr>
      <w:r>
        <w:rPr>
          <w:rFonts w:hint="default" w:eastAsia="仿宋_GB2312" w:cs="Times New Roman"/>
          <w:kern w:val="2"/>
          <w:sz w:val="32"/>
          <w:szCs w:val="32"/>
          <w:lang w:val="en-US" w:eastAsia="zh-CN" w:bidi="ar-SA"/>
        </w:rPr>
        <w:t>本</w:t>
      </w:r>
      <w:r>
        <w:rPr>
          <w:rFonts w:hint="eastAsia" w:eastAsia="仿宋_GB2312" w:cs="Times New Roman"/>
          <w:kern w:val="2"/>
          <w:sz w:val="32"/>
          <w:szCs w:val="32"/>
          <w:lang w:val="en-US" w:eastAsia="zh-CN" w:bidi="ar-SA"/>
        </w:rPr>
        <w:t>《</w:t>
      </w:r>
      <w:r>
        <w:rPr>
          <w:rFonts w:hint="default" w:eastAsia="仿宋_GB2312" w:cs="Times New Roman"/>
          <w:kern w:val="2"/>
          <w:sz w:val="32"/>
          <w:szCs w:val="32"/>
          <w:lang w:val="en-US" w:eastAsia="zh-CN" w:bidi="ar-SA"/>
        </w:rPr>
        <w:t>规范</w:t>
      </w:r>
      <w:r>
        <w:rPr>
          <w:rFonts w:hint="eastAsia" w:eastAsia="仿宋_GB2312" w:cs="Times New Roman"/>
          <w:kern w:val="2"/>
          <w:sz w:val="32"/>
          <w:szCs w:val="32"/>
          <w:lang w:val="en-US" w:eastAsia="zh-CN" w:bidi="ar-SA"/>
        </w:rPr>
        <w:t>》</w:t>
      </w:r>
      <w:r>
        <w:rPr>
          <w:rFonts w:hint="default" w:eastAsia="仿宋_GB2312" w:cs="Times New Roman"/>
          <w:kern w:val="2"/>
          <w:sz w:val="32"/>
          <w:szCs w:val="32"/>
          <w:lang w:val="en-US" w:eastAsia="zh-CN" w:bidi="ar-SA"/>
        </w:rPr>
        <w:t>适用于对三维皮托管法烟道流量标准装置体积流量的检定。</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5.2 引用文件</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eastAsia="仿宋_GB2312" w:cs="Times New Roman"/>
          <w:kern w:val="2"/>
          <w:sz w:val="32"/>
          <w:szCs w:val="32"/>
          <w:lang w:val="en-US" w:eastAsia="zh-CN" w:bidi="ar-SA"/>
        </w:rPr>
      </w:pPr>
      <w:r>
        <w:rPr>
          <w:rFonts w:hint="default" w:eastAsia="仿宋_GB2312" w:cs="Times New Roman"/>
          <w:kern w:val="2"/>
          <w:sz w:val="32"/>
          <w:szCs w:val="32"/>
          <w:lang w:val="en-US" w:eastAsia="zh-CN" w:bidi="ar-SA"/>
        </w:rPr>
        <w:t>列出本《</w:t>
      </w:r>
      <w:r>
        <w:rPr>
          <w:rFonts w:hint="eastAsia" w:eastAsia="仿宋_GB2312" w:cs="Times New Roman"/>
          <w:kern w:val="2"/>
          <w:sz w:val="32"/>
          <w:szCs w:val="32"/>
          <w:lang w:val="en-US" w:eastAsia="zh-CN" w:bidi="ar-SA"/>
        </w:rPr>
        <w:t>规范</w:t>
      </w:r>
      <w:r>
        <w:rPr>
          <w:rFonts w:hint="default" w:eastAsia="仿宋_GB2312" w:cs="Times New Roman"/>
          <w:kern w:val="2"/>
          <w:sz w:val="32"/>
          <w:szCs w:val="32"/>
          <w:lang w:val="en-US" w:eastAsia="zh-CN" w:bidi="ar-SA"/>
        </w:rPr>
        <w:t>》编制相关的国家标准、技术规范等文件。</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5.3 术语和计量单位</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解释本规范中的相关术语和计量单位。</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5.4 概述</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介绍了三维皮托管标准装置的结构、工作原理及用途。</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5.5 计量性能要求</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规定了示值误差和重复性的要求。</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5.6 通用技术要求</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规定了流量标准装置的通用技术要求。</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w:t>
      </w:r>
      <w:r>
        <w:rPr>
          <w:rFonts w:hint="eastAsia" w:ascii="Times New Roman" w:hAnsi="Times New Roman" w:eastAsia="仿宋_GB2312" w:cs="Times New Roman"/>
          <w:kern w:val="2"/>
          <w:sz w:val="32"/>
          <w:szCs w:val="32"/>
          <w:lang w:val="en-US" w:eastAsia="zh-CN" w:bidi="ar-SA"/>
        </w:rPr>
        <w:t>.7 计量器具控制</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规定了流量标准装置的检定条件、检定项目、检定方法、检定结果表达、检定周期。</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5.8 附录A</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给出了三维皮托管（含差压计）点流速初始系数确定方法。</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5.9 附录B</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给出了扰流件参考结构和形式。</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5.10 附录C</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给出了检定记录参考格式。</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511 附录D</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给出了检定证书内页信息及推荐格式。</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5.12 附录E</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给出了标准装置单点轴向流速和截面平均流速计算方法。</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5.13 附录F</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给出了不确定评定方法及示例。</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lang w:val="en-US" w:eastAsia="zh-CN" w:bidi="ar-SA"/>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6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AoAAAAAAIdO4kAAAAAAAAAAAAAAAAAGAAAAAAAA&#10;AAAAEAAAAJIDAABfcmVscy9QSwECFAAKAAAAAACHTuJAAAAAAAAAAAAAAAAABAAAAAAAAAAAABAA&#10;AAAWAAAAZHJzL1BLAQIUABQAAAAIAIdO4kAkgka0MQIAAGEEAAAOAAAAAAAAAAEAIAAAADUBAABk&#10;cnMvZTJvRG9jLnhtbFBLAQIUABQAAAAIAIdO4kCzSVju0AAAAAUBAAAPAAAAAAAAAAEAIAAAADgA&#10;AABkcnMvZG93bnJldi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4F784"/>
    <w:multiLevelType w:val="singleLevel"/>
    <w:tmpl w:val="9094F784"/>
    <w:lvl w:ilvl="0" w:tentative="0">
      <w:start w:val="3"/>
      <w:numFmt w:val="chineseCounting"/>
      <w:suff w:val="nothing"/>
      <w:lvlText w:val="%1、"/>
      <w:lvlJc w:val="left"/>
      <w:pPr>
        <w:ind w:left="-1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2NmU3N2RkODQ3NDA4YjY0MTI0NTQxOWQ1NzQ0NTgifQ=="/>
  </w:docVars>
  <w:rsids>
    <w:rsidRoot w:val="2A063252"/>
    <w:rsid w:val="004832C9"/>
    <w:rsid w:val="118934A9"/>
    <w:rsid w:val="1DD7070C"/>
    <w:rsid w:val="1F842044"/>
    <w:rsid w:val="201F193E"/>
    <w:rsid w:val="24C079C7"/>
    <w:rsid w:val="2A063252"/>
    <w:rsid w:val="2B3E471D"/>
    <w:rsid w:val="2EE948CA"/>
    <w:rsid w:val="34EB5376"/>
    <w:rsid w:val="466C7B8A"/>
    <w:rsid w:val="47776CB0"/>
    <w:rsid w:val="496F29A9"/>
    <w:rsid w:val="4AA36D32"/>
    <w:rsid w:val="4CFE5DF2"/>
    <w:rsid w:val="4F8056A2"/>
    <w:rsid w:val="513F7E3C"/>
    <w:rsid w:val="52602273"/>
    <w:rsid w:val="57315D4C"/>
    <w:rsid w:val="57777AA8"/>
    <w:rsid w:val="583B0506"/>
    <w:rsid w:val="5BB7118F"/>
    <w:rsid w:val="60CE5BBD"/>
    <w:rsid w:val="622C73A1"/>
    <w:rsid w:val="688A7D3D"/>
    <w:rsid w:val="688C149A"/>
    <w:rsid w:val="6CC76C7A"/>
    <w:rsid w:val="724018CF"/>
    <w:rsid w:val="775F6158"/>
    <w:rsid w:val="7B0A3A31"/>
    <w:rsid w:val="7D8F2F8E"/>
    <w:rsid w:val="7DAF48DD"/>
    <w:rsid w:val="7F3B509E"/>
    <w:rsid w:val="7FD78FC1"/>
    <w:rsid w:val="7FDC48D3"/>
    <w:rsid w:val="7FF9E5C0"/>
    <w:rsid w:val="B7DFC1E7"/>
    <w:rsid w:val="EDEFB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rFonts w:ascii="Calibri" w:hAnsi="Calibri" w:eastAsia="宋体" w:cs="Times New Roman"/>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2391</Words>
  <Characters>2657</Characters>
  <Lines>0</Lines>
  <Paragraphs>0</Paragraphs>
  <TotalTime>15</TotalTime>
  <ScaleCrop>false</ScaleCrop>
  <LinksUpToDate>false</LinksUpToDate>
  <CharactersWithSpaces>2704</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2024-09-07T16:40:00Z</dcterms:created>
  <dc:creator>WPS_1499004857</dc:creator>
  <cp:lastModifiedBy>scj</cp:lastModifiedBy>
  <dcterms:modified xsi:type="dcterms:W3CDTF">2024-11-05T09:04:26Z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921374039E0143E39082A8948CEB2507_11</vt:lpwstr>
  </property>
</Properties>
</file>