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line="360" w:lineRule="auto"/>
        <w:jc w:val="center"/>
        <w:rPr>
          <w:rFonts w:hint="default" w:ascii="Times New Roman" w:hAnsi="Times New Roman" w:eastAsia="宋体" w:cs="Times New Roman"/>
          <w:b/>
          <w:bCs/>
          <w:color w:val="000000"/>
          <w:kern w:val="0"/>
          <w:sz w:val="43"/>
          <w:szCs w:val="43"/>
          <w:lang w:val="en-US" w:eastAsia="zh-CN" w:bidi="ar"/>
        </w:rPr>
      </w:pPr>
    </w:p>
    <w:p>
      <w:pPr>
        <w:keepNext w:val="0"/>
        <w:keepLines w:val="0"/>
        <w:widowControl/>
        <w:suppressLineNumbers w:val="0"/>
        <w:spacing w:line="360" w:lineRule="auto"/>
        <w:jc w:val="center"/>
        <w:rPr>
          <w:rFonts w:hint="default" w:ascii="Times New Roman" w:hAnsi="Times New Roman" w:eastAsia="宋体" w:cs="Times New Roman"/>
          <w:b/>
          <w:bCs/>
          <w:color w:val="000000"/>
          <w:kern w:val="0"/>
          <w:sz w:val="43"/>
          <w:szCs w:val="43"/>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360" w:lineRule="auto"/>
        <w:jc w:val="center"/>
        <w:textAlignment w:val="auto"/>
        <w:rPr>
          <w:b/>
          <w:bCs/>
        </w:rPr>
      </w:pPr>
      <w:r>
        <w:rPr>
          <w:rFonts w:hint="eastAsia" w:ascii="宋体" w:hAnsi="宋体" w:eastAsia="宋体" w:cs="宋体"/>
          <w:b/>
          <w:bCs/>
          <w:color w:val="000000"/>
          <w:kern w:val="0"/>
          <w:sz w:val="43"/>
          <w:szCs w:val="43"/>
          <w:lang w:val="en-US" w:eastAsia="zh-CN" w:bidi="ar"/>
        </w:rPr>
        <w:t>《</w:t>
      </w:r>
      <w:r>
        <w:rPr>
          <w:rFonts w:hint="eastAsia" w:ascii="宋体" w:hAnsi="宋体" w:cs="宋体"/>
          <w:b/>
          <w:bCs/>
          <w:color w:val="000000"/>
          <w:kern w:val="0"/>
          <w:sz w:val="43"/>
          <w:szCs w:val="43"/>
          <w:lang w:val="en-US" w:eastAsia="zh-CN" w:bidi="ar"/>
        </w:rPr>
        <w:t>烟气排放连续监测系统流量计检定规程</w:t>
      </w:r>
      <w:r>
        <w:rPr>
          <w:rFonts w:hint="eastAsia" w:ascii="宋体" w:hAnsi="宋体" w:eastAsia="宋体" w:cs="宋体"/>
          <w:b/>
          <w:bCs/>
          <w:color w:val="000000"/>
          <w:kern w:val="0"/>
          <w:sz w:val="43"/>
          <w:szCs w:val="43"/>
          <w:lang w:val="en-US" w:eastAsia="zh-CN" w:bidi="ar"/>
        </w:rPr>
        <w:t>》</w:t>
      </w: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52"/>
          <w:szCs w:val="52"/>
          <w:lang w:val="en-US" w:eastAsia="zh-CN" w:bidi="ar"/>
        </w:rPr>
      </w:pPr>
      <w:r>
        <w:rPr>
          <w:rFonts w:hint="eastAsia" w:ascii="黑体" w:hAnsi="宋体" w:eastAsia="黑体" w:cs="黑体"/>
          <w:color w:val="000000"/>
          <w:kern w:val="0"/>
          <w:sz w:val="52"/>
          <w:szCs w:val="52"/>
          <w:lang w:val="en-US" w:eastAsia="zh-CN" w:bidi="ar"/>
        </w:rPr>
        <w:t>编</w:t>
      </w:r>
    </w:p>
    <w:p>
      <w:pPr>
        <w:keepNext w:val="0"/>
        <w:keepLines w:val="0"/>
        <w:widowControl/>
        <w:suppressLineNumbers w:val="0"/>
        <w:spacing w:line="360" w:lineRule="auto"/>
        <w:jc w:val="center"/>
        <w:rPr>
          <w:rFonts w:hint="eastAsia" w:ascii="黑体" w:hAnsi="宋体" w:eastAsia="黑体" w:cs="黑体"/>
          <w:color w:val="000000"/>
          <w:kern w:val="0"/>
          <w:sz w:val="52"/>
          <w:szCs w:val="52"/>
          <w:lang w:val="en-US" w:eastAsia="zh-CN" w:bidi="ar"/>
        </w:rPr>
      </w:pPr>
      <w:r>
        <w:rPr>
          <w:rFonts w:hint="eastAsia" w:ascii="黑体" w:hAnsi="宋体" w:eastAsia="黑体" w:cs="黑体"/>
          <w:color w:val="000000"/>
          <w:kern w:val="0"/>
          <w:sz w:val="52"/>
          <w:szCs w:val="52"/>
          <w:lang w:val="en-US" w:eastAsia="zh-CN" w:bidi="ar"/>
        </w:rPr>
        <w:t>制</w:t>
      </w:r>
    </w:p>
    <w:p>
      <w:pPr>
        <w:keepNext w:val="0"/>
        <w:keepLines w:val="0"/>
        <w:widowControl/>
        <w:suppressLineNumbers w:val="0"/>
        <w:spacing w:line="360" w:lineRule="auto"/>
        <w:jc w:val="center"/>
        <w:rPr>
          <w:rFonts w:hint="eastAsia" w:ascii="黑体" w:hAnsi="宋体" w:eastAsia="黑体" w:cs="黑体"/>
          <w:color w:val="000000"/>
          <w:kern w:val="0"/>
          <w:sz w:val="52"/>
          <w:szCs w:val="52"/>
          <w:lang w:val="en-US" w:eastAsia="zh-CN" w:bidi="ar"/>
        </w:rPr>
      </w:pPr>
      <w:r>
        <w:rPr>
          <w:rFonts w:hint="eastAsia" w:ascii="黑体" w:hAnsi="宋体" w:eastAsia="黑体" w:cs="黑体"/>
          <w:color w:val="000000"/>
          <w:kern w:val="0"/>
          <w:sz w:val="52"/>
          <w:szCs w:val="52"/>
          <w:lang w:val="en-US" w:eastAsia="zh-CN" w:bidi="ar"/>
        </w:rPr>
        <w:t>说</w:t>
      </w:r>
    </w:p>
    <w:p>
      <w:pPr>
        <w:keepNext w:val="0"/>
        <w:keepLines w:val="0"/>
        <w:widowControl/>
        <w:suppressLineNumbers w:val="0"/>
        <w:spacing w:line="360" w:lineRule="auto"/>
        <w:jc w:val="center"/>
        <w:rPr>
          <w:rFonts w:hint="eastAsia" w:ascii="黑体" w:hAnsi="宋体" w:eastAsia="黑体" w:cs="黑体"/>
          <w:color w:val="000000"/>
          <w:kern w:val="0"/>
          <w:sz w:val="52"/>
          <w:szCs w:val="52"/>
          <w:lang w:val="en-US" w:eastAsia="zh-CN" w:bidi="ar"/>
        </w:rPr>
      </w:pPr>
      <w:r>
        <w:rPr>
          <w:rFonts w:hint="eastAsia" w:ascii="黑体" w:hAnsi="宋体" w:eastAsia="黑体" w:cs="黑体"/>
          <w:color w:val="000000"/>
          <w:kern w:val="0"/>
          <w:sz w:val="52"/>
          <w:szCs w:val="52"/>
          <w:lang w:val="en-US" w:eastAsia="zh-CN" w:bidi="ar"/>
        </w:rPr>
        <w:t>明</w:t>
      </w: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rPr>
          <w:rFonts w:hint="eastAsia" w:ascii="黑体" w:hAnsi="宋体" w:eastAsia="黑体" w:cs="黑体"/>
          <w:color w:val="000000"/>
          <w:kern w:val="0"/>
          <w:sz w:val="43"/>
          <w:szCs w:val="43"/>
          <w:lang w:val="en-US" w:eastAsia="zh-CN" w:bidi="ar"/>
        </w:rPr>
      </w:pPr>
    </w:p>
    <w:p>
      <w:pPr>
        <w:keepNext w:val="0"/>
        <w:keepLines w:val="0"/>
        <w:widowControl/>
        <w:suppressLineNumbers w:val="0"/>
        <w:spacing w:line="360" w:lineRule="auto"/>
        <w:jc w:val="center"/>
      </w:pPr>
      <w:r>
        <w:rPr>
          <w:rFonts w:hint="eastAsia" w:ascii="宋体" w:hAnsi="宋体" w:eastAsia="宋体" w:cs="宋体"/>
          <w:b/>
          <w:bCs/>
          <w:color w:val="000000"/>
          <w:kern w:val="0"/>
          <w:sz w:val="31"/>
          <w:szCs w:val="31"/>
          <w:lang w:val="en-US" w:eastAsia="zh-CN" w:bidi="ar"/>
        </w:rPr>
        <w:t>规范起草组</w:t>
      </w:r>
    </w:p>
    <w:p>
      <w:pPr>
        <w:keepNext w:val="0"/>
        <w:keepLines w:val="0"/>
        <w:widowControl/>
        <w:suppressLineNumbers w:val="0"/>
        <w:spacing w:line="360" w:lineRule="auto"/>
        <w:jc w:val="center"/>
      </w:pPr>
      <w:r>
        <w:rPr>
          <w:rFonts w:hint="default" w:ascii="Times New Roman" w:hAnsi="Times New Roman" w:eastAsia="宋体" w:cs="Times New Roman"/>
          <w:b/>
          <w:bCs/>
          <w:color w:val="000000"/>
          <w:kern w:val="0"/>
          <w:sz w:val="31"/>
          <w:szCs w:val="31"/>
          <w:lang w:val="en-US" w:eastAsia="zh-CN" w:bidi="ar"/>
        </w:rPr>
        <w:t>202</w:t>
      </w:r>
      <w:r>
        <w:rPr>
          <w:rFonts w:hint="default" w:ascii="Times New Roman" w:hAnsi="Times New Roman" w:cs="Times New Roman"/>
          <w:b/>
          <w:bCs/>
          <w:color w:val="000000"/>
          <w:kern w:val="0"/>
          <w:sz w:val="31"/>
          <w:szCs w:val="31"/>
          <w:lang w:val="en-US" w:eastAsia="zh-CN" w:bidi="ar"/>
        </w:rPr>
        <w:t>4</w:t>
      </w:r>
      <w:r>
        <w:rPr>
          <w:rFonts w:hint="default" w:ascii="Times New Roman" w:hAnsi="Times New Roman" w:eastAsia="宋体" w:cs="Times New Roman"/>
          <w:b/>
          <w:bCs/>
          <w:color w:val="000000"/>
          <w:kern w:val="0"/>
          <w:sz w:val="31"/>
          <w:szCs w:val="31"/>
          <w:lang w:val="en-US" w:eastAsia="zh-CN" w:bidi="ar"/>
        </w:rPr>
        <w:t xml:space="preserve"> 年</w:t>
      </w:r>
      <w:r>
        <w:rPr>
          <w:rFonts w:hint="eastAsia" w:cs="Times New Roman"/>
          <w:b/>
          <w:bCs/>
          <w:color w:val="000000"/>
          <w:kern w:val="0"/>
          <w:sz w:val="31"/>
          <w:szCs w:val="31"/>
          <w:lang w:val="en-US" w:eastAsia="zh-CN" w:bidi="ar"/>
        </w:rPr>
        <w:t>10</w:t>
      </w:r>
      <w:r>
        <w:rPr>
          <w:rFonts w:hint="default" w:ascii="Times New Roman" w:hAnsi="Times New Roman" w:eastAsia="宋体" w:cs="Times New Roman"/>
          <w:b/>
          <w:bCs/>
          <w:color w:val="000000"/>
          <w:kern w:val="0"/>
          <w:sz w:val="31"/>
          <w:szCs w:val="31"/>
          <w:lang w:val="en-US" w:eastAsia="zh-CN" w:bidi="ar"/>
        </w:rPr>
        <w:t>月</w:t>
      </w:r>
    </w:p>
    <w:p>
      <w:pPr>
        <w:jc w:val="both"/>
        <w:rPr>
          <w:rFonts w:hint="eastAsia" w:ascii="仿宋_GB2312" w:eastAsia="仿宋_GB2312"/>
          <w:b/>
          <w:bCs/>
          <w:sz w:val="44"/>
          <w:szCs w:val="44"/>
        </w:rPr>
      </w:pPr>
    </w:p>
    <w:p>
      <w:pPr>
        <w:jc w:val="both"/>
        <w:rPr>
          <w:rFonts w:hint="eastAsia" w:ascii="仿宋_GB2312" w:eastAsia="仿宋_GB2312"/>
          <w:b/>
          <w:bCs/>
          <w:sz w:val="44"/>
          <w:szCs w:val="44"/>
        </w:rPr>
        <w:sectPr>
          <w:pgSz w:w="11906" w:h="16838"/>
          <w:pgMar w:top="1440" w:right="1800" w:bottom="1440" w:left="1800" w:header="851" w:footer="992" w:gutter="0"/>
          <w:pgNumType w:fmt="decimal"/>
          <w:cols w:space="425" w:num="1"/>
          <w:docGrid w:type="lines" w:linePitch="312" w:charSpace="0"/>
        </w:sectPr>
      </w:pPr>
    </w:p>
    <w:p>
      <w:pPr>
        <w:keepNext w:val="0"/>
        <w:keepLines w:val="0"/>
        <w:widowControl/>
        <w:suppressLineNumbers w:val="0"/>
        <w:spacing w:line="360" w:lineRule="auto"/>
        <w:jc w:val="center"/>
        <w:rPr>
          <w:rFonts w:hint="eastAsia" w:ascii="宋体" w:hAnsi="宋体" w:eastAsia="宋体" w:cs="宋体"/>
          <w:b/>
          <w:bCs/>
          <w:color w:val="000000"/>
          <w:kern w:val="0"/>
          <w:sz w:val="32"/>
          <w:szCs w:val="32"/>
          <w:lang w:val="en-US" w:eastAsia="zh-CN" w:bidi="ar"/>
        </w:rPr>
      </w:pPr>
      <w:r>
        <w:rPr>
          <w:rFonts w:hint="eastAsia" w:ascii="宋体" w:hAnsi="宋体" w:eastAsia="宋体" w:cs="宋体"/>
          <w:b/>
          <w:bCs/>
          <w:color w:val="000000"/>
          <w:kern w:val="0"/>
          <w:sz w:val="32"/>
          <w:szCs w:val="32"/>
          <w:lang w:val="en-US" w:eastAsia="zh-CN" w:bidi="ar"/>
        </w:rPr>
        <w:t>《</w:t>
      </w:r>
      <w:r>
        <w:rPr>
          <w:rFonts w:hint="eastAsia" w:ascii="宋体" w:hAnsi="宋体" w:cs="宋体"/>
          <w:b/>
          <w:bCs/>
          <w:color w:val="000000"/>
          <w:kern w:val="0"/>
          <w:sz w:val="32"/>
          <w:szCs w:val="32"/>
          <w:lang w:val="en-US" w:eastAsia="zh-CN" w:bidi="ar"/>
        </w:rPr>
        <w:t>烟气排放连续监测系统流量计检定规程</w:t>
      </w:r>
      <w:r>
        <w:rPr>
          <w:rFonts w:hint="eastAsia" w:ascii="宋体" w:hAnsi="宋体" w:eastAsia="宋体" w:cs="宋体"/>
          <w:b/>
          <w:bCs/>
          <w:color w:val="000000"/>
          <w:kern w:val="0"/>
          <w:sz w:val="32"/>
          <w:szCs w:val="32"/>
          <w:lang w:val="en-US" w:eastAsia="zh-CN" w:bidi="ar"/>
        </w:rPr>
        <w:t>》</w:t>
      </w:r>
    </w:p>
    <w:p>
      <w:pPr>
        <w:keepNext w:val="0"/>
        <w:keepLines w:val="0"/>
        <w:widowControl/>
        <w:suppressLineNumbers w:val="0"/>
        <w:spacing w:line="360" w:lineRule="auto"/>
        <w:jc w:val="center"/>
        <w:rPr>
          <w:rFonts w:hint="eastAsia" w:ascii="宋体" w:hAnsi="宋体" w:eastAsia="宋体" w:cs="宋体"/>
          <w:b/>
          <w:bCs/>
          <w:color w:val="000000"/>
          <w:kern w:val="0"/>
          <w:sz w:val="32"/>
          <w:szCs w:val="32"/>
          <w:lang w:val="en-US" w:eastAsia="zh-CN" w:bidi="ar"/>
        </w:rPr>
      </w:pPr>
      <w:r>
        <w:rPr>
          <w:rFonts w:hint="eastAsia" w:ascii="宋体" w:hAnsi="宋体" w:eastAsia="宋体" w:cs="宋体"/>
          <w:b/>
          <w:bCs/>
          <w:color w:val="000000"/>
          <w:kern w:val="0"/>
          <w:sz w:val="32"/>
          <w:szCs w:val="32"/>
          <w:lang w:val="en-US" w:eastAsia="zh-CN" w:bidi="ar"/>
        </w:rPr>
        <w:t>编制说明</w:t>
      </w:r>
    </w:p>
    <w:p>
      <w:pPr>
        <w:keepNext w:val="0"/>
        <w:keepLines w:val="0"/>
        <w:pageBreakBefore w:val="0"/>
        <w:widowControl w:val="0"/>
        <w:kinsoku/>
        <w:wordWrap/>
        <w:overflowPunct/>
        <w:topLinePunct w:val="0"/>
        <w:autoSpaceDE/>
        <w:autoSpaceDN/>
        <w:bidi w:val="0"/>
        <w:adjustRightInd/>
        <w:snapToGrid/>
        <w:spacing w:beforeLines="50" w:after="157" w:afterLines="50" w:line="360" w:lineRule="auto"/>
        <w:ind w:firstLine="562" w:firstLineChars="200"/>
        <w:textAlignment w:val="auto"/>
        <w:rPr>
          <w:rFonts w:hint="default" w:ascii="Times New Roman" w:hAnsi="Times New Roman" w:eastAsia="仿宋_GB2312" w:cs="Times New Roman"/>
          <w:b/>
          <w:color w:val="000000"/>
          <w:kern w:val="0"/>
          <w:sz w:val="28"/>
          <w:szCs w:val="28"/>
        </w:rPr>
      </w:pPr>
      <w:r>
        <w:rPr>
          <w:rFonts w:hint="default" w:ascii="Times New Roman" w:hAnsi="Times New Roman" w:eastAsia="仿宋_GB2312" w:cs="Times New Roman"/>
          <w:b/>
          <w:color w:val="000000"/>
          <w:kern w:val="0"/>
          <w:sz w:val="28"/>
          <w:szCs w:val="28"/>
        </w:rPr>
        <w:t>一、任务来源</w:t>
      </w:r>
    </w:p>
    <w:p>
      <w:pPr>
        <w:pStyle w:val="19"/>
        <w:keepNext w:val="0"/>
        <w:keepLines w:val="0"/>
        <w:pageBreakBefore w:val="0"/>
        <w:widowControl w:val="0"/>
        <w:kinsoku/>
        <w:wordWrap/>
        <w:overflowPunct/>
        <w:topLinePunct w:val="0"/>
        <w:bidi w:val="0"/>
        <w:adjustRightInd w:val="0"/>
        <w:spacing w:line="360" w:lineRule="auto"/>
        <w:ind w:firstLine="560" w:firstLineChars="200"/>
        <w:textAlignment w:val="auto"/>
        <w:rPr>
          <w:rFonts w:hint="default" w:ascii="Times New Roman" w:hAnsi="Times New Roman" w:eastAsia="仿宋_GB2312" w:cs="Times New Roman"/>
          <w:sz w:val="28"/>
          <w:szCs w:val="28"/>
        </w:rPr>
      </w:pPr>
      <w:r>
        <w:rPr>
          <w:rFonts w:hint="eastAsia" w:ascii="仿宋_GB2312" w:hAnsi="仿宋_GB2312" w:eastAsia="仿宋_GB2312" w:cs="仿宋_GB2312"/>
          <w:sz w:val="28"/>
          <w:szCs w:val="28"/>
        </w:rPr>
        <w:t>2024年6月，广东省市场监督管理局印发</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广东省市场监督管理局关于下达2024年广东省地方计量技术规范制修订计划项目的通知</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粤</w:t>
      </w:r>
      <w:r>
        <w:rPr>
          <w:rFonts w:hint="eastAsia" w:ascii="仿宋_GB2312" w:hAnsi="仿宋_GB2312" w:eastAsia="仿宋_GB2312" w:cs="仿宋_GB2312"/>
          <w:sz w:val="28"/>
          <w:szCs w:val="28"/>
        </w:rPr>
        <w:t>市监量〔202</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300</w:t>
      </w:r>
      <w:r>
        <w:rPr>
          <w:rFonts w:hint="eastAsia" w:ascii="仿宋_GB2312" w:hAnsi="仿宋_GB2312" w:eastAsia="仿宋_GB2312" w:cs="仿宋_GB2312"/>
          <w:sz w:val="28"/>
          <w:szCs w:val="28"/>
        </w:rPr>
        <w:t>号），</w:t>
      </w:r>
      <w:r>
        <w:rPr>
          <w:rFonts w:hint="default" w:ascii="Times New Roman" w:hAnsi="Times New Roman" w:eastAsia="仿宋_GB2312" w:cs="Times New Roman"/>
          <w:sz w:val="28"/>
          <w:szCs w:val="28"/>
        </w:rPr>
        <w:t>对主要起草单位广东省计量科学研究院下达了起草任务，《</w:t>
      </w:r>
      <w:r>
        <w:rPr>
          <w:rFonts w:hint="eastAsia" w:ascii="Times New Roman" w:eastAsia="仿宋_GB2312" w:cs="Times New Roman"/>
          <w:sz w:val="28"/>
          <w:szCs w:val="28"/>
          <w:lang w:eastAsia="zh-CN"/>
        </w:rPr>
        <w:t>烟气排放连续监测系统流量计</w:t>
      </w:r>
      <w:r>
        <w:rPr>
          <w:rFonts w:hint="default" w:ascii="Times New Roman" w:hAnsi="Times New Roman" w:eastAsia="仿宋_GB2312" w:cs="Times New Roman"/>
          <w:sz w:val="28"/>
          <w:szCs w:val="28"/>
        </w:rPr>
        <w:t>计量技术规范》正式批准立项</w:t>
      </w:r>
      <w:r>
        <w:rPr>
          <w:rFonts w:hint="eastAsia" w:ascii="Times New Roman" w:eastAsia="仿宋_GB2312" w:cs="Times New Roman"/>
          <w:sz w:val="28"/>
          <w:szCs w:val="28"/>
          <w:lang w:eastAsia="zh-CN"/>
        </w:rPr>
        <w:t>，</w:t>
      </w:r>
      <w:r>
        <w:rPr>
          <w:rFonts w:hint="default" w:ascii="Times New Roman" w:hAnsi="Times New Roman" w:eastAsia="仿宋_GB2312" w:cs="Times New Roman"/>
          <w:sz w:val="28"/>
          <w:szCs w:val="28"/>
        </w:rPr>
        <w:t>任务归口广东省碳达峰碳中和计量技术委员会管理。</w:t>
      </w:r>
    </w:p>
    <w:p>
      <w:pPr>
        <w:keepNext w:val="0"/>
        <w:keepLines w:val="0"/>
        <w:pageBreakBefore w:val="0"/>
        <w:widowControl w:val="0"/>
        <w:kinsoku/>
        <w:wordWrap/>
        <w:overflowPunct/>
        <w:topLinePunct w:val="0"/>
        <w:autoSpaceDE/>
        <w:autoSpaceDN/>
        <w:bidi w:val="0"/>
        <w:adjustRightInd/>
        <w:snapToGrid/>
        <w:spacing w:beforeLines="50" w:after="157" w:afterLines="50" w:line="360" w:lineRule="auto"/>
        <w:ind w:firstLine="562" w:firstLineChars="200"/>
        <w:textAlignment w:val="auto"/>
        <w:rPr>
          <w:rFonts w:hint="default" w:ascii="Times New Roman" w:hAnsi="Times New Roman" w:eastAsia="仿宋_GB2312" w:cs="Times New Roman"/>
          <w:b/>
          <w:color w:val="000000"/>
          <w:kern w:val="0"/>
          <w:sz w:val="28"/>
          <w:szCs w:val="28"/>
        </w:rPr>
      </w:pPr>
      <w:r>
        <w:rPr>
          <w:rFonts w:hint="default" w:ascii="Times New Roman" w:hAnsi="Times New Roman" w:eastAsia="仿宋_GB2312" w:cs="Times New Roman"/>
          <w:b/>
          <w:color w:val="000000"/>
          <w:kern w:val="0"/>
          <w:sz w:val="28"/>
          <w:szCs w:val="28"/>
        </w:rPr>
        <w:t>二、</w:t>
      </w:r>
      <w:r>
        <w:rPr>
          <w:rFonts w:hint="default" w:ascii="Times New Roman" w:hAnsi="Times New Roman" w:eastAsia="仿宋_GB2312" w:cs="Times New Roman"/>
          <w:b/>
          <w:color w:val="000000"/>
          <w:kern w:val="0"/>
          <w:sz w:val="28"/>
          <w:szCs w:val="28"/>
          <w:lang w:val="en-US" w:eastAsia="zh-CN"/>
        </w:rPr>
        <w:t>编制</w:t>
      </w:r>
      <w:r>
        <w:rPr>
          <w:rFonts w:hint="default" w:ascii="Times New Roman" w:hAnsi="Times New Roman" w:eastAsia="仿宋_GB2312" w:cs="Times New Roman"/>
          <w:b/>
          <w:color w:val="000000"/>
          <w:kern w:val="0"/>
          <w:sz w:val="28"/>
          <w:szCs w:val="28"/>
        </w:rPr>
        <w:t>背景</w:t>
      </w:r>
    </w:p>
    <w:p>
      <w:pPr>
        <w:spacing w:before="50" w:line="360" w:lineRule="auto"/>
        <w:ind w:firstLine="573"/>
        <w:rPr>
          <w:rFonts w:hint="default" w:ascii="Times New Roman" w:hAnsi="Times New Roman" w:eastAsia="仿宋_GB2312" w:cs="Times New Roman"/>
          <w:i w:val="0"/>
          <w:iCs w:val="0"/>
          <w:caps w:val="0"/>
          <w:color w:val="000000"/>
          <w:spacing w:val="0"/>
          <w:kern w:val="0"/>
          <w:sz w:val="28"/>
          <w:szCs w:val="28"/>
          <w:shd w:val="clear"/>
        </w:rPr>
      </w:pPr>
      <w:r>
        <w:rPr>
          <w:rFonts w:hint="default" w:ascii="Times New Roman" w:hAnsi="Times New Roman" w:eastAsia="仿宋_GB2312" w:cs="Times New Roman"/>
          <w:i w:val="0"/>
          <w:iCs w:val="0"/>
          <w:caps w:val="0"/>
          <w:color w:val="000000"/>
          <w:spacing w:val="0"/>
          <w:kern w:val="0"/>
          <w:sz w:val="28"/>
          <w:szCs w:val="28"/>
          <w:shd w:val="clear"/>
        </w:rPr>
        <w:t>实现碳达峰、碳中和，是党中央统筹国内国际两个大局作出的重大战略决策。2022年10月18日，市场监管总局等九部门联合印发《建立健全碳达峰碳中和标准计量体系实施方案》，方案中明确提到，要开展系统碳排放计量测试方法研究和碳排放连续在线监测计量技术研究，提升碳排放和碳监测数据准确性和一致性。当前国内针对碳排放的监测方式正在力求逐步由传统的宏观“碳核算”向精准的“碳计量”发展</w:t>
      </w:r>
      <w:r>
        <w:rPr>
          <w:rFonts w:hint="default" w:ascii="Times New Roman" w:hAnsi="Times New Roman" w:eastAsia="仿宋_GB2312" w:cs="Times New Roman"/>
          <w:i w:val="0"/>
          <w:iCs w:val="0"/>
          <w:caps w:val="0"/>
          <w:color w:val="000000"/>
          <w:spacing w:val="0"/>
          <w:kern w:val="0"/>
          <w:sz w:val="28"/>
          <w:szCs w:val="28"/>
          <w:shd w:val="clear"/>
          <w:lang w:eastAsia="zh-CN"/>
        </w:rPr>
        <w:t>。</w:t>
      </w:r>
      <w:r>
        <w:rPr>
          <w:rFonts w:hint="default" w:ascii="Times New Roman" w:hAnsi="Times New Roman" w:eastAsia="仿宋_GB2312" w:cs="Times New Roman"/>
          <w:i w:val="0"/>
          <w:iCs w:val="0"/>
          <w:caps w:val="0"/>
          <w:color w:val="000000"/>
          <w:spacing w:val="0"/>
          <w:kern w:val="0"/>
          <w:sz w:val="28"/>
          <w:szCs w:val="28"/>
          <w:shd w:val="clear"/>
        </w:rPr>
        <w:t>经过国内近20年的发展和技术积累，</w:t>
      </w:r>
      <w:r>
        <w:rPr>
          <w:rFonts w:hint="default" w:ascii="Times New Roman" w:hAnsi="Times New Roman" w:eastAsia="仿宋_GB2312" w:cs="Times New Roman"/>
          <w:i w:val="0"/>
          <w:iCs w:val="0"/>
          <w:caps w:val="0"/>
          <w:color w:val="000000"/>
          <w:spacing w:val="0"/>
          <w:kern w:val="0"/>
          <w:sz w:val="28"/>
          <w:szCs w:val="28"/>
          <w:shd w:val="clear"/>
          <w:lang w:val="en-US" w:eastAsia="zh-CN"/>
        </w:rPr>
        <w:t>连续排放监测系统（以下简称</w:t>
      </w:r>
      <w:r>
        <w:rPr>
          <w:rFonts w:hint="default" w:ascii="Times New Roman" w:hAnsi="Times New Roman" w:eastAsia="仿宋_GB2312" w:cs="Times New Roman"/>
          <w:i w:val="0"/>
          <w:iCs w:val="0"/>
          <w:caps w:val="0"/>
          <w:color w:val="000000"/>
          <w:spacing w:val="0"/>
          <w:kern w:val="0"/>
          <w:sz w:val="28"/>
          <w:szCs w:val="28"/>
          <w:shd w:val="clear"/>
        </w:rPr>
        <w:t>CEMS</w:t>
      </w:r>
      <w:r>
        <w:rPr>
          <w:rFonts w:hint="default" w:ascii="Times New Roman" w:hAnsi="Times New Roman" w:eastAsia="仿宋_GB2312" w:cs="Times New Roman"/>
          <w:i w:val="0"/>
          <w:iCs w:val="0"/>
          <w:caps w:val="0"/>
          <w:color w:val="000000"/>
          <w:spacing w:val="0"/>
          <w:kern w:val="0"/>
          <w:sz w:val="28"/>
          <w:szCs w:val="28"/>
          <w:shd w:val="clear"/>
          <w:lang w:eastAsia="zh-CN"/>
        </w:rPr>
        <w:t>）</w:t>
      </w:r>
      <w:r>
        <w:rPr>
          <w:rFonts w:hint="default" w:ascii="Times New Roman" w:hAnsi="Times New Roman" w:eastAsia="仿宋_GB2312" w:cs="Times New Roman"/>
          <w:i w:val="0"/>
          <w:iCs w:val="0"/>
          <w:caps w:val="0"/>
          <w:color w:val="000000"/>
          <w:spacing w:val="0"/>
          <w:kern w:val="0"/>
          <w:sz w:val="28"/>
          <w:szCs w:val="28"/>
          <w:shd w:val="clear"/>
        </w:rPr>
        <w:t>已经成为衡量工业企业污染物</w:t>
      </w:r>
      <w:r>
        <w:rPr>
          <w:rFonts w:hint="default" w:ascii="Times New Roman" w:hAnsi="Times New Roman" w:eastAsia="仿宋_GB2312" w:cs="Times New Roman"/>
          <w:i w:val="0"/>
          <w:iCs w:val="0"/>
          <w:caps w:val="0"/>
          <w:color w:val="000000"/>
          <w:spacing w:val="0"/>
          <w:kern w:val="0"/>
          <w:sz w:val="28"/>
          <w:szCs w:val="28"/>
          <w:shd w:val="clear"/>
          <w:lang w:val="en-US" w:eastAsia="zh-CN"/>
        </w:rPr>
        <w:t>和碳</w:t>
      </w:r>
      <w:r>
        <w:rPr>
          <w:rFonts w:hint="default" w:ascii="Times New Roman" w:hAnsi="Times New Roman" w:eastAsia="仿宋_GB2312" w:cs="Times New Roman"/>
          <w:i w:val="0"/>
          <w:iCs w:val="0"/>
          <w:caps w:val="0"/>
          <w:color w:val="000000"/>
          <w:spacing w:val="0"/>
          <w:kern w:val="0"/>
          <w:sz w:val="28"/>
          <w:szCs w:val="28"/>
          <w:shd w:val="clear"/>
        </w:rPr>
        <w:t>排放量以及环保执法单位决策的重要参考依据。</w:t>
      </w:r>
    </w:p>
    <w:p>
      <w:pPr>
        <w:spacing w:before="50" w:line="360" w:lineRule="auto"/>
        <w:ind w:firstLine="573"/>
        <w:rPr>
          <w:rFonts w:hint="default" w:ascii="Times New Roman" w:hAnsi="Times New Roman" w:eastAsia="仿宋_GB2312" w:cs="Times New Roman"/>
          <w:i w:val="0"/>
          <w:iCs w:val="0"/>
          <w:caps w:val="0"/>
          <w:color w:val="000000"/>
          <w:spacing w:val="0"/>
          <w:kern w:val="0"/>
          <w:sz w:val="28"/>
          <w:szCs w:val="28"/>
          <w:shd w:val="clear"/>
        </w:rPr>
      </w:pPr>
      <w:r>
        <w:rPr>
          <w:rFonts w:hint="default" w:ascii="Times New Roman" w:hAnsi="Times New Roman" w:eastAsia="仿宋_GB2312" w:cs="Times New Roman"/>
          <w:i w:val="0"/>
          <w:iCs w:val="0"/>
          <w:caps w:val="0"/>
          <w:color w:val="000000"/>
          <w:spacing w:val="0"/>
          <w:kern w:val="0"/>
          <w:sz w:val="28"/>
          <w:szCs w:val="28"/>
          <w:shd w:val="clear"/>
        </w:rPr>
        <w:t>在实际运行过程中，为了确保CEMS监测数据的准确性，尽可能降低由系统本身带来的误差，现场采用比对</w:t>
      </w:r>
      <w:r>
        <w:rPr>
          <w:rFonts w:hint="default" w:ascii="Times New Roman" w:hAnsi="Times New Roman" w:eastAsia="仿宋_GB2312" w:cs="Times New Roman"/>
          <w:i w:val="0"/>
          <w:iCs w:val="0"/>
          <w:caps w:val="0"/>
          <w:color w:val="000000"/>
          <w:spacing w:val="0"/>
          <w:kern w:val="0"/>
          <w:sz w:val="28"/>
          <w:szCs w:val="28"/>
          <w:shd w:val="clear"/>
          <w:lang w:val="en-US" w:eastAsia="zh-CN"/>
        </w:rPr>
        <w:t>标准</w:t>
      </w:r>
      <w:r>
        <w:rPr>
          <w:rFonts w:hint="default" w:ascii="Times New Roman" w:hAnsi="Times New Roman" w:eastAsia="仿宋_GB2312" w:cs="Times New Roman"/>
          <w:i w:val="0"/>
          <w:iCs w:val="0"/>
          <w:caps w:val="0"/>
          <w:color w:val="000000"/>
          <w:spacing w:val="0"/>
          <w:kern w:val="0"/>
          <w:sz w:val="28"/>
          <w:szCs w:val="28"/>
          <w:shd w:val="clear"/>
        </w:rPr>
        <w:t>装置基于参比方法对CEMS烟道流量计进行</w:t>
      </w:r>
      <w:r>
        <w:rPr>
          <w:rFonts w:hint="default" w:ascii="Times New Roman" w:hAnsi="Times New Roman" w:eastAsia="仿宋_GB2312" w:cs="Times New Roman"/>
          <w:i w:val="0"/>
          <w:iCs w:val="0"/>
          <w:caps w:val="0"/>
          <w:color w:val="000000"/>
          <w:spacing w:val="0"/>
          <w:kern w:val="0"/>
          <w:sz w:val="28"/>
          <w:szCs w:val="28"/>
          <w:shd w:val="clear"/>
          <w:lang w:val="en-US" w:eastAsia="zh-CN"/>
        </w:rPr>
        <w:t>检测</w:t>
      </w:r>
      <w:r>
        <w:rPr>
          <w:rFonts w:hint="default" w:ascii="Times New Roman" w:hAnsi="Times New Roman" w:eastAsia="仿宋_GB2312" w:cs="Times New Roman"/>
          <w:i w:val="0"/>
          <w:iCs w:val="0"/>
          <w:caps w:val="0"/>
          <w:color w:val="000000"/>
          <w:spacing w:val="0"/>
          <w:kern w:val="0"/>
          <w:sz w:val="28"/>
          <w:szCs w:val="28"/>
          <w:shd w:val="clear"/>
        </w:rPr>
        <w:t>。HJ/T</w:t>
      </w:r>
      <w:r>
        <w:rPr>
          <w:rFonts w:hint="default" w:ascii="Times New Roman" w:hAnsi="Times New Roman" w:eastAsia="仿宋_GB2312" w:cs="Times New Roman"/>
          <w:i w:val="0"/>
          <w:iCs w:val="0"/>
          <w:caps w:val="0"/>
          <w:color w:val="000000"/>
          <w:spacing w:val="0"/>
          <w:kern w:val="0"/>
          <w:sz w:val="28"/>
          <w:szCs w:val="28"/>
          <w:shd w:val="clear"/>
          <w:lang w:val="en-US" w:eastAsia="zh-CN"/>
        </w:rPr>
        <w:t xml:space="preserve"> </w:t>
      </w:r>
      <w:r>
        <w:rPr>
          <w:rFonts w:hint="default" w:ascii="Times New Roman" w:hAnsi="Times New Roman" w:eastAsia="仿宋_GB2312" w:cs="Times New Roman"/>
          <w:i w:val="0"/>
          <w:iCs w:val="0"/>
          <w:caps w:val="0"/>
          <w:color w:val="000000"/>
          <w:spacing w:val="0"/>
          <w:kern w:val="0"/>
          <w:sz w:val="28"/>
          <w:szCs w:val="28"/>
          <w:shd w:val="clear"/>
        </w:rPr>
        <w:t>75《固定污染源烟气排放连续监测技术规范》、GB/T</w:t>
      </w:r>
      <w:r>
        <w:rPr>
          <w:rFonts w:hint="default" w:ascii="Times New Roman" w:hAnsi="Times New Roman" w:eastAsia="仿宋_GB2312" w:cs="Times New Roman"/>
          <w:i w:val="0"/>
          <w:iCs w:val="0"/>
          <w:caps w:val="0"/>
          <w:color w:val="000000"/>
          <w:spacing w:val="0"/>
          <w:kern w:val="0"/>
          <w:sz w:val="28"/>
          <w:szCs w:val="28"/>
          <w:shd w:val="clear"/>
          <w:lang w:val="en-US" w:eastAsia="zh-CN"/>
        </w:rPr>
        <w:t xml:space="preserve"> </w:t>
      </w:r>
      <w:r>
        <w:rPr>
          <w:rFonts w:hint="default" w:ascii="Times New Roman" w:hAnsi="Times New Roman" w:eastAsia="仿宋_GB2312" w:cs="Times New Roman"/>
          <w:i w:val="0"/>
          <w:iCs w:val="0"/>
          <w:caps w:val="0"/>
          <w:color w:val="000000"/>
          <w:spacing w:val="0"/>
          <w:kern w:val="0"/>
          <w:sz w:val="28"/>
          <w:szCs w:val="28"/>
          <w:shd w:val="clear"/>
        </w:rPr>
        <w:t>16157《固定污染源排气中颗粒物测定与气态污染物采样方法》等相关行业和国家规范虽然对参比方法也有部分介绍，但鲜有涉及现场比对</w:t>
      </w:r>
      <w:r>
        <w:rPr>
          <w:rFonts w:hint="default" w:ascii="Times New Roman" w:hAnsi="Times New Roman" w:eastAsia="仿宋_GB2312" w:cs="Times New Roman"/>
          <w:i w:val="0"/>
          <w:iCs w:val="0"/>
          <w:caps w:val="0"/>
          <w:color w:val="000000"/>
          <w:spacing w:val="0"/>
          <w:kern w:val="0"/>
          <w:sz w:val="28"/>
          <w:szCs w:val="28"/>
          <w:shd w:val="clear"/>
          <w:lang w:eastAsia="zh-CN"/>
        </w:rPr>
        <w:t>校准</w:t>
      </w:r>
      <w:r>
        <w:rPr>
          <w:rFonts w:hint="default" w:ascii="Times New Roman" w:hAnsi="Times New Roman" w:eastAsia="仿宋_GB2312" w:cs="Times New Roman"/>
          <w:i w:val="0"/>
          <w:iCs w:val="0"/>
          <w:caps w:val="0"/>
          <w:color w:val="000000"/>
          <w:spacing w:val="0"/>
          <w:kern w:val="0"/>
          <w:sz w:val="28"/>
          <w:szCs w:val="28"/>
          <w:shd w:val="clear"/>
        </w:rPr>
        <w:t>项目、</w:t>
      </w:r>
      <w:r>
        <w:rPr>
          <w:rFonts w:hint="default" w:ascii="Times New Roman" w:hAnsi="Times New Roman" w:eastAsia="仿宋_GB2312" w:cs="Times New Roman"/>
          <w:i w:val="0"/>
          <w:iCs w:val="0"/>
          <w:caps w:val="0"/>
          <w:color w:val="000000"/>
          <w:spacing w:val="0"/>
          <w:kern w:val="0"/>
          <w:sz w:val="28"/>
          <w:szCs w:val="28"/>
          <w:shd w:val="clear"/>
          <w:lang w:eastAsia="zh-CN"/>
        </w:rPr>
        <w:t>校准</w:t>
      </w:r>
      <w:r>
        <w:rPr>
          <w:rFonts w:hint="default" w:ascii="Times New Roman" w:hAnsi="Times New Roman" w:eastAsia="仿宋_GB2312" w:cs="Times New Roman"/>
          <w:i w:val="0"/>
          <w:iCs w:val="0"/>
          <w:caps w:val="0"/>
          <w:color w:val="000000"/>
          <w:spacing w:val="0"/>
          <w:kern w:val="0"/>
          <w:sz w:val="28"/>
          <w:szCs w:val="28"/>
          <w:shd w:val="clear"/>
        </w:rPr>
        <w:t>方法、不确定度评定方法等内容。</w:t>
      </w:r>
    </w:p>
    <w:p>
      <w:pPr>
        <w:keepNext w:val="0"/>
        <w:keepLines w:val="0"/>
        <w:pageBreakBefore w:val="0"/>
        <w:widowControl w:val="0"/>
        <w:kinsoku/>
        <w:wordWrap/>
        <w:overflowPunct/>
        <w:topLinePunct w:val="0"/>
        <w:autoSpaceDE/>
        <w:autoSpaceDN/>
        <w:bidi w:val="0"/>
        <w:adjustRightInd/>
        <w:snapToGrid/>
        <w:spacing w:beforeLines="50" w:after="157" w:afterLines="50" w:line="360" w:lineRule="auto"/>
        <w:ind w:firstLine="562" w:firstLineChars="200"/>
        <w:textAlignment w:val="auto"/>
        <w:rPr>
          <w:rFonts w:hint="default" w:ascii="Times New Roman" w:hAnsi="Times New Roman" w:eastAsia="仿宋_GB2312" w:cs="Times New Roman"/>
          <w:b/>
          <w:color w:val="000000"/>
          <w:kern w:val="0"/>
          <w:sz w:val="28"/>
          <w:szCs w:val="28"/>
          <w:lang w:val="en-US" w:eastAsia="zh-CN"/>
        </w:rPr>
      </w:pPr>
      <w:r>
        <w:rPr>
          <w:rFonts w:hint="default" w:ascii="Times New Roman" w:hAnsi="Times New Roman" w:eastAsia="仿宋_GB2312" w:cs="Times New Roman"/>
          <w:b/>
          <w:color w:val="000000"/>
          <w:kern w:val="0"/>
          <w:sz w:val="28"/>
          <w:szCs w:val="28"/>
        </w:rPr>
        <w:t>三、编制</w:t>
      </w:r>
      <w:r>
        <w:rPr>
          <w:rFonts w:hint="default" w:ascii="Times New Roman" w:hAnsi="Times New Roman" w:eastAsia="仿宋_GB2312" w:cs="Times New Roman"/>
          <w:b/>
          <w:color w:val="000000"/>
          <w:kern w:val="0"/>
          <w:sz w:val="28"/>
          <w:szCs w:val="28"/>
          <w:lang w:val="en-US" w:eastAsia="zh-CN"/>
        </w:rPr>
        <w:t>意义</w:t>
      </w:r>
    </w:p>
    <w:p>
      <w:pPr>
        <w:spacing w:line="360" w:lineRule="auto"/>
        <w:ind w:firstLine="480"/>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i w:val="0"/>
          <w:iCs w:val="0"/>
          <w:caps w:val="0"/>
          <w:color w:val="000000"/>
          <w:spacing w:val="0"/>
          <w:kern w:val="0"/>
          <w:sz w:val="28"/>
          <w:szCs w:val="28"/>
          <w:shd w:val="clear"/>
        </w:rPr>
        <w:t>为落实减污降碳总要求，支撑应对气候变化工作成效评估，生态环境部在国内组织开展了碳监测评估试点，确定在火电、钢铁、废弃物处理等重点行业开展碳源排放监测，在方案中均要求企业在固定源安装二氧化碳排放监测设备，通过直接测量所排放的二氧化碳量来对碳排放量的核算提供支撑，因而确保固定源二氧化碳连续监测数据的准确性与可比性至关重要。</w:t>
      </w:r>
    </w:p>
    <w:p>
      <w:pPr>
        <w:spacing w:before="50" w:line="360" w:lineRule="auto"/>
        <w:ind w:firstLine="573"/>
        <w:rPr>
          <w:rFonts w:hint="default" w:ascii="Times New Roman" w:hAnsi="Times New Roman" w:eastAsia="仿宋_GB2312" w:cs="Times New Roman"/>
          <w:color w:val="000000"/>
          <w:kern w:val="0"/>
          <w:sz w:val="28"/>
          <w:szCs w:val="28"/>
          <w:lang w:eastAsia="zh-CN"/>
        </w:rPr>
      </w:pPr>
      <w:r>
        <w:rPr>
          <w:rFonts w:hint="default" w:ascii="Times New Roman" w:hAnsi="Times New Roman" w:eastAsia="仿宋_GB2312" w:cs="Times New Roman"/>
          <w:i w:val="0"/>
          <w:iCs w:val="0"/>
          <w:caps w:val="0"/>
          <w:color w:val="000000"/>
          <w:spacing w:val="0"/>
          <w:kern w:val="0"/>
          <w:sz w:val="28"/>
          <w:szCs w:val="28"/>
          <w:shd w:val="clear"/>
        </w:rPr>
        <w:t>国内长期以来缺少对烟道流量计现场</w:t>
      </w:r>
      <w:r>
        <w:rPr>
          <w:rFonts w:hint="default" w:ascii="Times New Roman" w:hAnsi="Times New Roman" w:eastAsia="仿宋_GB2312" w:cs="Times New Roman"/>
          <w:i w:val="0"/>
          <w:iCs w:val="0"/>
          <w:caps w:val="0"/>
          <w:color w:val="000000"/>
          <w:spacing w:val="0"/>
          <w:kern w:val="0"/>
          <w:sz w:val="28"/>
          <w:szCs w:val="28"/>
          <w:shd w:val="clear"/>
          <w:lang w:eastAsia="zh-CN"/>
        </w:rPr>
        <w:t>校准</w:t>
      </w:r>
      <w:r>
        <w:rPr>
          <w:rFonts w:hint="default" w:ascii="Times New Roman" w:hAnsi="Times New Roman" w:eastAsia="仿宋_GB2312" w:cs="Times New Roman"/>
          <w:i w:val="0"/>
          <w:iCs w:val="0"/>
          <w:caps w:val="0"/>
          <w:color w:val="000000"/>
          <w:spacing w:val="0"/>
          <w:kern w:val="0"/>
          <w:sz w:val="28"/>
          <w:szCs w:val="28"/>
          <w:shd w:val="clear"/>
        </w:rPr>
        <w:t>的专业计量技术规范，现场污染物排放量长期存在</w:t>
      </w:r>
      <w:r>
        <w:rPr>
          <w:rFonts w:hint="default" w:ascii="Times New Roman" w:hAnsi="Times New Roman" w:eastAsia="仿宋_GB2312" w:cs="Times New Roman"/>
          <w:i w:val="0"/>
          <w:iCs w:val="0"/>
          <w:caps w:val="0"/>
          <w:color w:val="000000"/>
          <w:spacing w:val="0"/>
          <w:kern w:val="0"/>
          <w:sz w:val="28"/>
          <w:szCs w:val="28"/>
          <w:shd w:val="clear"/>
          <w:lang w:val="en-US" w:eastAsia="zh-CN"/>
        </w:rPr>
        <w:t>难以</w:t>
      </w:r>
      <w:r>
        <w:rPr>
          <w:rFonts w:hint="default" w:ascii="Times New Roman" w:hAnsi="Times New Roman" w:eastAsia="仿宋_GB2312" w:cs="Times New Roman"/>
          <w:i w:val="0"/>
          <w:iCs w:val="0"/>
          <w:caps w:val="0"/>
          <w:color w:val="000000"/>
          <w:spacing w:val="0"/>
          <w:kern w:val="0"/>
          <w:sz w:val="28"/>
          <w:szCs w:val="28"/>
          <w:shd w:val="clear"/>
        </w:rPr>
        <w:t>溯源的问题，严重影响了CEMS监测数据的准确度和可信度。本规范主要针对CEMS烟道</w:t>
      </w:r>
      <w:r>
        <w:rPr>
          <w:rFonts w:hint="default" w:ascii="Times New Roman" w:hAnsi="Times New Roman" w:eastAsia="仿宋_GB2312" w:cs="Times New Roman"/>
          <w:i w:val="0"/>
          <w:iCs w:val="0"/>
          <w:caps w:val="0"/>
          <w:color w:val="000000"/>
          <w:spacing w:val="0"/>
          <w:kern w:val="0"/>
          <w:sz w:val="28"/>
          <w:szCs w:val="28"/>
          <w:shd w:val="clear"/>
          <w:lang w:eastAsia="zh-CN"/>
        </w:rPr>
        <w:t>烟气排放连续监测系统</w:t>
      </w:r>
      <w:r>
        <w:rPr>
          <w:rFonts w:hint="default" w:ascii="Times New Roman" w:hAnsi="Times New Roman" w:eastAsia="仿宋_GB2312" w:cs="Times New Roman"/>
          <w:i w:val="0"/>
          <w:iCs w:val="0"/>
          <w:caps w:val="0"/>
          <w:color w:val="000000"/>
          <w:spacing w:val="0"/>
          <w:kern w:val="0"/>
          <w:sz w:val="28"/>
          <w:szCs w:val="28"/>
          <w:shd w:val="clear"/>
        </w:rPr>
        <w:t>流量计进行示值误差和</w:t>
      </w:r>
      <w:r>
        <w:rPr>
          <w:rFonts w:hint="default" w:ascii="Times New Roman" w:hAnsi="Times New Roman" w:eastAsia="仿宋_GB2312" w:cs="Times New Roman"/>
          <w:i w:val="0"/>
          <w:iCs w:val="0"/>
          <w:caps w:val="0"/>
          <w:color w:val="000000"/>
          <w:spacing w:val="0"/>
          <w:kern w:val="0"/>
          <w:sz w:val="28"/>
          <w:szCs w:val="28"/>
          <w:shd w:val="clear"/>
          <w:lang w:eastAsia="zh-CN"/>
        </w:rPr>
        <w:t>校准</w:t>
      </w:r>
      <w:r>
        <w:rPr>
          <w:rFonts w:hint="default" w:ascii="Times New Roman" w:hAnsi="Times New Roman" w:eastAsia="仿宋_GB2312" w:cs="Times New Roman"/>
          <w:i w:val="0"/>
          <w:iCs w:val="0"/>
          <w:caps w:val="0"/>
          <w:color w:val="000000"/>
          <w:spacing w:val="0"/>
          <w:kern w:val="0"/>
          <w:sz w:val="28"/>
          <w:szCs w:val="28"/>
          <w:shd w:val="clear"/>
        </w:rPr>
        <w:t>系数以及在复杂流场下的</w:t>
      </w:r>
      <w:r>
        <w:rPr>
          <w:rFonts w:hint="default" w:ascii="Times New Roman" w:hAnsi="Times New Roman" w:eastAsia="仿宋_GB2312" w:cs="Times New Roman"/>
          <w:i w:val="0"/>
          <w:iCs w:val="0"/>
          <w:caps w:val="0"/>
          <w:color w:val="000000"/>
          <w:spacing w:val="0"/>
          <w:kern w:val="0"/>
          <w:sz w:val="28"/>
          <w:szCs w:val="28"/>
          <w:shd w:val="clear"/>
          <w:lang w:eastAsia="zh-CN"/>
        </w:rPr>
        <w:t>校准</w:t>
      </w:r>
      <w:r>
        <w:rPr>
          <w:rFonts w:hint="default" w:ascii="Times New Roman" w:hAnsi="Times New Roman" w:eastAsia="仿宋_GB2312" w:cs="Times New Roman"/>
          <w:i w:val="0"/>
          <w:iCs w:val="0"/>
          <w:caps w:val="0"/>
          <w:color w:val="000000"/>
          <w:spacing w:val="0"/>
          <w:kern w:val="0"/>
          <w:sz w:val="28"/>
          <w:szCs w:val="28"/>
          <w:shd w:val="clear"/>
        </w:rPr>
        <w:t>。作为对插入式流量计进行</w:t>
      </w:r>
      <w:r>
        <w:rPr>
          <w:rFonts w:hint="default" w:ascii="Times New Roman" w:hAnsi="Times New Roman" w:eastAsia="仿宋_GB2312" w:cs="Times New Roman"/>
          <w:i w:val="0"/>
          <w:iCs w:val="0"/>
          <w:caps w:val="0"/>
          <w:color w:val="000000"/>
          <w:spacing w:val="0"/>
          <w:kern w:val="0"/>
          <w:sz w:val="28"/>
          <w:szCs w:val="28"/>
          <w:shd w:val="clear"/>
          <w:lang w:eastAsia="zh-CN"/>
        </w:rPr>
        <w:t>校准</w:t>
      </w:r>
      <w:r>
        <w:rPr>
          <w:rFonts w:hint="default" w:ascii="Times New Roman" w:hAnsi="Times New Roman" w:eastAsia="仿宋_GB2312" w:cs="Times New Roman"/>
          <w:i w:val="0"/>
          <w:iCs w:val="0"/>
          <w:caps w:val="0"/>
          <w:color w:val="000000"/>
          <w:spacing w:val="0"/>
          <w:kern w:val="0"/>
          <w:sz w:val="28"/>
          <w:szCs w:val="28"/>
          <w:shd w:val="clear"/>
        </w:rPr>
        <w:t>的</w:t>
      </w:r>
      <w:r>
        <w:rPr>
          <w:rFonts w:hint="default" w:ascii="Times New Roman" w:hAnsi="Times New Roman" w:eastAsia="仿宋_GB2312" w:cs="Times New Roman"/>
          <w:i w:val="0"/>
          <w:iCs w:val="0"/>
          <w:caps w:val="0"/>
          <w:color w:val="000000"/>
          <w:spacing w:val="0"/>
          <w:kern w:val="0"/>
          <w:sz w:val="28"/>
          <w:szCs w:val="28"/>
          <w:shd w:val="clear"/>
          <w:lang w:val="en-US" w:eastAsia="zh-CN"/>
        </w:rPr>
        <w:t>依据</w:t>
      </w:r>
      <w:r>
        <w:rPr>
          <w:rFonts w:hint="default" w:ascii="Times New Roman" w:hAnsi="Times New Roman" w:eastAsia="仿宋_GB2312" w:cs="Times New Roman"/>
          <w:i w:val="0"/>
          <w:iCs w:val="0"/>
          <w:caps w:val="0"/>
          <w:color w:val="000000"/>
          <w:spacing w:val="0"/>
          <w:kern w:val="0"/>
          <w:sz w:val="28"/>
          <w:szCs w:val="28"/>
          <w:shd w:val="clear"/>
        </w:rPr>
        <w:t>，</w:t>
      </w:r>
      <w:r>
        <w:rPr>
          <w:rFonts w:hint="default" w:ascii="Times New Roman" w:hAnsi="Times New Roman" w:eastAsia="仿宋_GB2312" w:cs="Times New Roman"/>
          <w:i w:val="0"/>
          <w:iCs w:val="0"/>
          <w:caps w:val="0"/>
          <w:color w:val="000000"/>
          <w:spacing w:val="0"/>
          <w:kern w:val="0"/>
          <w:sz w:val="28"/>
          <w:szCs w:val="28"/>
          <w:shd w:val="clear"/>
          <w:lang w:val="en-US" w:eastAsia="zh-CN"/>
        </w:rPr>
        <w:t>对其提出</w:t>
      </w:r>
      <w:r>
        <w:rPr>
          <w:rFonts w:hint="default" w:ascii="Times New Roman" w:hAnsi="Times New Roman" w:eastAsia="仿宋_GB2312" w:cs="Times New Roman"/>
          <w:i w:val="0"/>
          <w:iCs w:val="0"/>
          <w:caps w:val="0"/>
          <w:color w:val="000000"/>
          <w:spacing w:val="0"/>
          <w:kern w:val="0"/>
          <w:sz w:val="28"/>
          <w:szCs w:val="28"/>
          <w:shd w:val="clear"/>
        </w:rPr>
        <w:t>计量管理要求、计量设备要求以及计量方法的</w:t>
      </w:r>
      <w:r>
        <w:rPr>
          <w:rFonts w:hint="default" w:ascii="Times New Roman" w:hAnsi="Times New Roman" w:eastAsia="仿宋_GB2312" w:cs="Times New Roman"/>
          <w:i w:val="0"/>
          <w:iCs w:val="0"/>
          <w:caps w:val="0"/>
          <w:color w:val="000000"/>
          <w:spacing w:val="0"/>
          <w:kern w:val="0"/>
          <w:sz w:val="28"/>
          <w:szCs w:val="28"/>
          <w:shd w:val="clear"/>
          <w:lang w:val="en-US" w:eastAsia="zh-CN"/>
        </w:rPr>
        <w:t>要求</w:t>
      </w:r>
      <w:r>
        <w:rPr>
          <w:rFonts w:hint="default" w:ascii="Times New Roman" w:hAnsi="Times New Roman" w:eastAsia="仿宋_GB2312" w:cs="Times New Roman"/>
          <w:i w:val="0"/>
          <w:iCs w:val="0"/>
          <w:caps w:val="0"/>
          <w:color w:val="000000"/>
          <w:spacing w:val="0"/>
          <w:kern w:val="0"/>
          <w:sz w:val="28"/>
          <w:szCs w:val="28"/>
          <w:shd w:val="clear"/>
        </w:rPr>
        <w:t>，为建立完整的污染物排放流量计量量值传递体系，提升现场CEMS</w:t>
      </w:r>
      <w:r>
        <w:rPr>
          <w:rFonts w:hint="default" w:ascii="Times New Roman" w:hAnsi="Times New Roman" w:eastAsia="仿宋_GB2312" w:cs="Times New Roman"/>
          <w:i w:val="0"/>
          <w:iCs w:val="0"/>
          <w:caps w:val="0"/>
          <w:color w:val="000000"/>
          <w:spacing w:val="0"/>
          <w:kern w:val="0"/>
          <w:sz w:val="28"/>
          <w:szCs w:val="28"/>
          <w:shd w:val="clear"/>
          <w:lang w:eastAsia="zh-CN"/>
        </w:rPr>
        <w:t>校准</w:t>
      </w:r>
      <w:r>
        <w:rPr>
          <w:rFonts w:hint="default" w:ascii="Times New Roman" w:hAnsi="Times New Roman" w:eastAsia="仿宋_GB2312" w:cs="Times New Roman"/>
          <w:i w:val="0"/>
          <w:iCs w:val="0"/>
          <w:caps w:val="0"/>
          <w:color w:val="000000"/>
          <w:spacing w:val="0"/>
          <w:kern w:val="0"/>
          <w:sz w:val="28"/>
          <w:szCs w:val="28"/>
          <w:shd w:val="clear"/>
        </w:rPr>
        <w:t>的准确度和可信度提供支持。</w:t>
      </w:r>
    </w:p>
    <w:p>
      <w:pPr>
        <w:keepNext w:val="0"/>
        <w:keepLines w:val="0"/>
        <w:pageBreakBefore w:val="0"/>
        <w:widowControl w:val="0"/>
        <w:kinsoku/>
        <w:wordWrap/>
        <w:overflowPunct/>
        <w:topLinePunct w:val="0"/>
        <w:autoSpaceDE/>
        <w:autoSpaceDN/>
        <w:bidi w:val="0"/>
        <w:adjustRightInd/>
        <w:snapToGrid/>
        <w:spacing w:beforeLines="50" w:after="157" w:afterLines="50" w:line="360" w:lineRule="auto"/>
        <w:ind w:firstLine="562" w:firstLineChars="200"/>
        <w:textAlignment w:val="auto"/>
        <w:rPr>
          <w:rFonts w:hint="eastAsia" w:ascii="Times New Roman" w:hAnsi="Times New Roman" w:eastAsia="仿宋_GB2312" w:cs="Times New Roman"/>
          <w:b/>
          <w:color w:val="000000"/>
          <w:kern w:val="0"/>
          <w:sz w:val="28"/>
          <w:szCs w:val="28"/>
          <w:lang w:val="en-US" w:eastAsia="zh-CN"/>
        </w:rPr>
      </w:pPr>
      <w:r>
        <w:rPr>
          <w:rFonts w:hint="eastAsia" w:eastAsia="仿宋_GB2312" w:cs="Times New Roman"/>
          <w:b/>
          <w:color w:val="000000"/>
          <w:kern w:val="0"/>
          <w:sz w:val="28"/>
          <w:szCs w:val="28"/>
          <w:lang w:eastAsia="zh-CN"/>
        </w:rPr>
        <w:t>四</w:t>
      </w:r>
      <w:r>
        <w:rPr>
          <w:rFonts w:hint="default" w:ascii="Times New Roman" w:hAnsi="Times New Roman" w:eastAsia="仿宋_GB2312" w:cs="Times New Roman"/>
          <w:b/>
          <w:color w:val="000000"/>
          <w:kern w:val="0"/>
          <w:sz w:val="28"/>
          <w:szCs w:val="28"/>
        </w:rPr>
        <w:t>、</w:t>
      </w:r>
      <w:r>
        <w:rPr>
          <w:rFonts w:hint="eastAsia" w:eastAsia="仿宋_GB2312" w:cs="Times New Roman"/>
          <w:b/>
          <w:color w:val="000000"/>
          <w:kern w:val="0"/>
          <w:sz w:val="28"/>
          <w:szCs w:val="28"/>
          <w:lang w:val="en-US" w:eastAsia="zh-CN"/>
        </w:rPr>
        <w:t>编制依据</w:t>
      </w:r>
    </w:p>
    <w:p>
      <w:pPr>
        <w:keepNext w:val="0"/>
        <w:keepLines w:val="0"/>
        <w:pageBreakBefore w:val="0"/>
        <w:widowControl w:val="0"/>
        <w:kinsoku/>
        <w:wordWrap/>
        <w:overflowPunct/>
        <w:topLinePunct w:val="0"/>
        <w:autoSpaceDE/>
        <w:autoSpaceDN/>
        <w:bidi w:val="0"/>
        <w:adjustRightInd/>
        <w:snapToGrid/>
        <w:spacing w:beforeLines="50" w:line="360" w:lineRule="auto"/>
        <w:ind w:firstLine="560" w:firstLineChars="200"/>
        <w:textAlignment w:val="auto"/>
        <w:rPr>
          <w:rFonts w:hint="eastAsia" w:eastAsia="仿宋_GB2312" w:cs="Times New Roman"/>
          <w:color w:val="000000"/>
          <w:kern w:val="0"/>
          <w:sz w:val="28"/>
          <w:szCs w:val="28"/>
          <w:highlight w:val="none"/>
          <w:lang w:val="en-US" w:eastAsia="zh-CN"/>
        </w:rPr>
      </w:pPr>
      <w:r>
        <w:rPr>
          <w:rFonts w:hint="eastAsia" w:eastAsia="仿宋_GB2312" w:cs="Times New Roman"/>
          <w:color w:val="000000"/>
          <w:kern w:val="0"/>
          <w:sz w:val="28"/>
          <w:szCs w:val="28"/>
          <w:highlight w:val="none"/>
          <w:lang w:val="en-US" w:eastAsia="zh-CN"/>
        </w:rPr>
        <w:t>JJF 1002-2010《国家计量</w:t>
      </w:r>
      <w:r>
        <w:rPr>
          <w:rFonts w:hint="eastAsia" w:eastAsia="仿宋_GB2312" w:cs="Times New Roman"/>
          <w:kern w:val="2"/>
          <w:sz w:val="32"/>
          <w:szCs w:val="32"/>
          <w:lang w:val="en-US" w:eastAsia="zh-CN" w:bidi="ar-SA"/>
        </w:rPr>
        <w:t>检定</w:t>
      </w:r>
      <w:r>
        <w:rPr>
          <w:rFonts w:hint="eastAsia" w:eastAsia="仿宋_GB2312" w:cs="Times New Roman"/>
          <w:color w:val="000000"/>
          <w:kern w:val="0"/>
          <w:sz w:val="28"/>
          <w:szCs w:val="28"/>
          <w:highlight w:val="none"/>
          <w:lang w:val="en-US" w:eastAsia="zh-CN"/>
        </w:rPr>
        <w:t>规程编写规则》、JJF 1001-2011《通用计量术语及定义》、JJF 1059.1-2012《测量不确定度评估与表示》、JJF 1094-2002《测量仪器特性评估》，共同构成支撑本规范制订工作的基础性系列规范。</w:t>
      </w:r>
    </w:p>
    <w:p>
      <w:pPr>
        <w:keepNext w:val="0"/>
        <w:keepLines w:val="0"/>
        <w:pageBreakBefore w:val="0"/>
        <w:widowControl w:val="0"/>
        <w:kinsoku/>
        <w:wordWrap/>
        <w:overflowPunct/>
        <w:topLinePunct w:val="0"/>
        <w:autoSpaceDE/>
        <w:autoSpaceDN/>
        <w:bidi w:val="0"/>
        <w:adjustRightInd/>
        <w:snapToGrid/>
        <w:spacing w:beforeLines="50" w:line="360" w:lineRule="auto"/>
        <w:ind w:firstLine="560" w:firstLineChars="200"/>
        <w:textAlignment w:val="auto"/>
        <w:rPr>
          <w:rFonts w:hint="default" w:ascii="Times New Roman" w:hAnsi="Times New Roman" w:eastAsia="仿宋_GB2312" w:cs="Times New Roman"/>
          <w:color w:val="000000"/>
          <w:kern w:val="0"/>
          <w:sz w:val="28"/>
          <w:szCs w:val="28"/>
        </w:rPr>
      </w:pPr>
      <w:r>
        <w:rPr>
          <w:rFonts w:hint="eastAsia" w:eastAsia="仿宋_GB2312" w:cs="Times New Roman"/>
          <w:color w:val="000000"/>
          <w:kern w:val="0"/>
          <w:sz w:val="28"/>
          <w:szCs w:val="28"/>
          <w:highlight w:val="none"/>
          <w:lang w:val="en-US" w:eastAsia="zh-CN"/>
        </w:rPr>
        <w:t>本规范在编制中充分考虑了JJF1585-2016《固定污染源烟气排放连续监测系统校准规范》、JJG 635-2011《一氧化碳、二氧化碳红外气体分析器》检定规程的部分技术指标。</w:t>
      </w:r>
    </w:p>
    <w:p>
      <w:pPr>
        <w:pStyle w:val="23"/>
        <w:bidi w:val="0"/>
        <w:rPr>
          <w:sz w:val="28"/>
          <w:szCs w:val="28"/>
        </w:rPr>
      </w:pPr>
      <w:r>
        <w:rPr>
          <w:rFonts w:hint="eastAsia"/>
          <w:sz w:val="28"/>
          <w:szCs w:val="28"/>
          <w:lang w:val="en-US" w:eastAsia="zh-CN"/>
        </w:rPr>
        <w:t>此外，</w:t>
      </w:r>
      <w:r>
        <w:rPr>
          <w:sz w:val="28"/>
          <w:szCs w:val="28"/>
        </w:rPr>
        <w:t>规范编制过程中</w:t>
      </w:r>
      <w:r>
        <w:rPr>
          <w:rFonts w:hint="eastAsia"/>
          <w:sz w:val="28"/>
          <w:szCs w:val="28"/>
          <w:lang w:val="en-US" w:eastAsia="zh-CN"/>
        </w:rPr>
        <w:t>还</w:t>
      </w:r>
      <w:r>
        <w:rPr>
          <w:sz w:val="28"/>
          <w:szCs w:val="28"/>
        </w:rPr>
        <w:t>重点参考了以下规范、规程、标准：</w:t>
      </w:r>
    </w:p>
    <w:p>
      <w:pPr>
        <w:pStyle w:val="23"/>
        <w:bidi w:val="0"/>
        <w:rPr>
          <w:sz w:val="28"/>
          <w:szCs w:val="28"/>
        </w:rPr>
      </w:pPr>
      <w:r>
        <w:rPr>
          <w:rFonts w:hint="eastAsia"/>
          <w:sz w:val="28"/>
          <w:szCs w:val="28"/>
        </w:rPr>
        <w:t>GB/T 16157-1996 固定污染源排气中颗粒物测定与气态污染物采样方法</w:t>
      </w:r>
    </w:p>
    <w:p>
      <w:pPr>
        <w:pStyle w:val="23"/>
        <w:bidi w:val="0"/>
        <w:rPr>
          <w:sz w:val="28"/>
          <w:szCs w:val="28"/>
        </w:rPr>
      </w:pPr>
      <w:r>
        <w:rPr>
          <w:rFonts w:hint="eastAsia"/>
          <w:sz w:val="28"/>
          <w:szCs w:val="28"/>
          <w:lang w:val="en-US" w:eastAsia="zh-CN"/>
        </w:rPr>
        <w:t>DL/T 2376-2021 火电厂烟气二氧化碳排放连续监测技术规范</w:t>
      </w:r>
    </w:p>
    <w:p>
      <w:pPr>
        <w:pStyle w:val="23"/>
        <w:bidi w:val="0"/>
        <w:rPr>
          <w:sz w:val="28"/>
          <w:szCs w:val="28"/>
        </w:rPr>
      </w:pPr>
      <w:r>
        <w:rPr>
          <w:rFonts w:hint="eastAsia"/>
          <w:sz w:val="28"/>
          <w:szCs w:val="28"/>
          <w:lang w:val="en-US" w:eastAsia="zh-CN"/>
        </w:rPr>
        <w:t>HJ 75-2017 固定污染源烟气（SO</w:t>
      </w:r>
      <w:r>
        <w:rPr>
          <w:rFonts w:hint="eastAsia"/>
          <w:sz w:val="28"/>
          <w:szCs w:val="28"/>
          <w:vertAlign w:val="subscript"/>
          <w:lang w:val="en-US" w:eastAsia="zh-CN"/>
        </w:rPr>
        <w:t>2</w:t>
      </w:r>
      <w:r>
        <w:rPr>
          <w:rFonts w:hint="eastAsia"/>
          <w:sz w:val="28"/>
          <w:szCs w:val="28"/>
          <w:lang w:val="en-US" w:eastAsia="zh-CN"/>
        </w:rPr>
        <w:t>、NO</w:t>
      </w:r>
      <w:r>
        <w:rPr>
          <w:rFonts w:hint="eastAsia"/>
          <w:sz w:val="28"/>
          <w:szCs w:val="28"/>
          <w:vertAlign w:val="subscript"/>
          <w:lang w:val="en-US" w:eastAsia="zh-CN"/>
        </w:rPr>
        <w:t>X</w:t>
      </w:r>
      <w:r>
        <w:rPr>
          <w:rFonts w:hint="eastAsia"/>
          <w:sz w:val="28"/>
          <w:szCs w:val="28"/>
          <w:lang w:val="en-US" w:eastAsia="zh-CN"/>
        </w:rPr>
        <w:t>、颗粒物）排放连续监测技术规范</w:t>
      </w:r>
    </w:p>
    <w:p>
      <w:pPr>
        <w:pStyle w:val="23"/>
        <w:bidi w:val="0"/>
        <w:rPr>
          <w:sz w:val="28"/>
          <w:szCs w:val="28"/>
        </w:rPr>
      </w:pPr>
      <w:r>
        <w:rPr>
          <w:rFonts w:hint="eastAsia"/>
          <w:sz w:val="28"/>
          <w:szCs w:val="28"/>
          <w:lang w:val="en-US" w:eastAsia="zh-CN"/>
        </w:rPr>
        <w:t>HJ 76-2017 固定污染源烟气（SO</w:t>
      </w:r>
      <w:r>
        <w:rPr>
          <w:rFonts w:hint="eastAsia"/>
          <w:sz w:val="28"/>
          <w:szCs w:val="28"/>
          <w:vertAlign w:val="subscript"/>
          <w:lang w:val="en-US" w:eastAsia="zh-CN"/>
        </w:rPr>
        <w:t>2</w:t>
      </w:r>
      <w:r>
        <w:rPr>
          <w:rFonts w:hint="eastAsia"/>
          <w:sz w:val="28"/>
          <w:szCs w:val="28"/>
          <w:lang w:val="en-US" w:eastAsia="zh-CN"/>
        </w:rPr>
        <w:t>、NO</w:t>
      </w:r>
      <w:r>
        <w:rPr>
          <w:rFonts w:hint="eastAsia"/>
          <w:sz w:val="28"/>
          <w:szCs w:val="28"/>
          <w:vertAlign w:val="subscript"/>
          <w:lang w:val="en-US" w:eastAsia="zh-CN"/>
        </w:rPr>
        <w:t>X</w:t>
      </w:r>
      <w:r>
        <w:rPr>
          <w:rFonts w:hint="eastAsia"/>
          <w:sz w:val="28"/>
          <w:szCs w:val="28"/>
          <w:lang w:val="en-US" w:eastAsia="zh-CN"/>
        </w:rPr>
        <w:t>、颗粒物）排放连续监测系统技术要求及检测方法</w:t>
      </w:r>
    </w:p>
    <w:p>
      <w:pPr>
        <w:pStyle w:val="23"/>
        <w:bidi w:val="0"/>
        <w:rPr>
          <w:sz w:val="28"/>
          <w:szCs w:val="28"/>
        </w:rPr>
      </w:pPr>
      <w:r>
        <w:rPr>
          <w:rFonts w:hint="eastAsia"/>
          <w:sz w:val="28"/>
          <w:szCs w:val="28"/>
          <w:lang w:val="en-US" w:eastAsia="zh-CN"/>
        </w:rPr>
        <w:t>HJ 870-2017 固定污染源废气 二氧化碳的测定 非分散红外吸收法</w:t>
      </w:r>
    </w:p>
    <w:p>
      <w:pPr>
        <w:pStyle w:val="23"/>
        <w:bidi w:val="0"/>
        <w:rPr>
          <w:rFonts w:hint="default" w:ascii="Times New Roman" w:hAnsi="Times New Roman" w:eastAsia="仿宋_GB2312" w:cs="Times New Roman"/>
          <w:color w:val="000000"/>
          <w:kern w:val="0"/>
          <w:sz w:val="28"/>
          <w:szCs w:val="28"/>
        </w:rPr>
      </w:pPr>
      <w:r>
        <w:rPr>
          <w:rFonts w:hint="eastAsia"/>
          <w:sz w:val="28"/>
          <w:szCs w:val="28"/>
          <w:lang w:val="en-US" w:eastAsia="zh-CN"/>
        </w:rPr>
        <w:t>HJ 1240-2021 固定污染源废气 气体污染物（SO</w:t>
      </w:r>
      <w:r>
        <w:rPr>
          <w:rFonts w:hint="eastAsia"/>
          <w:sz w:val="28"/>
          <w:szCs w:val="28"/>
          <w:vertAlign w:val="subscript"/>
          <w:lang w:val="en-US" w:eastAsia="zh-CN"/>
        </w:rPr>
        <w:t>2</w:t>
      </w:r>
      <w:r>
        <w:rPr>
          <w:rFonts w:hint="eastAsia"/>
          <w:sz w:val="28"/>
          <w:szCs w:val="28"/>
          <w:lang w:val="en-US" w:eastAsia="zh-CN"/>
        </w:rPr>
        <w:t>、NO、NO</w:t>
      </w:r>
      <w:r>
        <w:rPr>
          <w:rFonts w:hint="eastAsia"/>
          <w:sz w:val="28"/>
          <w:szCs w:val="28"/>
          <w:vertAlign w:val="subscript"/>
          <w:lang w:val="en-US" w:eastAsia="zh-CN"/>
        </w:rPr>
        <w:t>2</w:t>
      </w:r>
      <w:r>
        <w:rPr>
          <w:rFonts w:hint="eastAsia"/>
          <w:sz w:val="28"/>
          <w:szCs w:val="28"/>
          <w:lang w:val="en-US" w:eastAsia="zh-CN"/>
        </w:rPr>
        <w:t>、CO、CO</w:t>
      </w:r>
      <w:r>
        <w:rPr>
          <w:rFonts w:hint="eastAsia"/>
          <w:sz w:val="28"/>
          <w:szCs w:val="28"/>
          <w:vertAlign w:val="subscript"/>
          <w:lang w:val="en-US" w:eastAsia="zh-CN"/>
        </w:rPr>
        <w:t>2</w:t>
      </w:r>
      <w:r>
        <w:rPr>
          <w:rFonts w:hint="eastAsia"/>
          <w:sz w:val="28"/>
          <w:szCs w:val="28"/>
          <w:lang w:val="en-US" w:eastAsia="zh-CN"/>
        </w:rPr>
        <w:t>）的测定 便携式傅立叶变换红外光谱法</w:t>
      </w:r>
    </w:p>
    <w:p>
      <w:pPr>
        <w:keepNext w:val="0"/>
        <w:keepLines w:val="0"/>
        <w:pageBreakBefore w:val="0"/>
        <w:widowControl w:val="0"/>
        <w:kinsoku/>
        <w:wordWrap/>
        <w:overflowPunct/>
        <w:topLinePunct w:val="0"/>
        <w:autoSpaceDE/>
        <w:autoSpaceDN/>
        <w:bidi w:val="0"/>
        <w:adjustRightInd/>
        <w:snapToGrid/>
        <w:spacing w:beforeLines="50" w:after="157" w:afterLines="50" w:line="360" w:lineRule="auto"/>
        <w:ind w:firstLine="562" w:firstLineChars="200"/>
        <w:textAlignment w:val="auto"/>
        <w:rPr>
          <w:rFonts w:hint="default" w:ascii="Times New Roman" w:hAnsi="Times New Roman" w:eastAsia="仿宋_GB2312" w:cs="Times New Roman"/>
          <w:b/>
          <w:color w:val="000000"/>
          <w:kern w:val="0"/>
          <w:sz w:val="28"/>
          <w:szCs w:val="28"/>
        </w:rPr>
      </w:pPr>
      <w:r>
        <w:rPr>
          <w:rFonts w:hint="eastAsia" w:eastAsia="仿宋_GB2312" w:cs="Times New Roman"/>
          <w:b/>
          <w:color w:val="000000"/>
          <w:kern w:val="0"/>
          <w:sz w:val="28"/>
          <w:szCs w:val="28"/>
          <w:lang w:val="en-US" w:eastAsia="zh-CN"/>
        </w:rPr>
        <w:t>五</w:t>
      </w:r>
      <w:r>
        <w:rPr>
          <w:rFonts w:hint="default" w:ascii="Times New Roman" w:hAnsi="Times New Roman" w:eastAsia="仿宋_GB2312" w:cs="Times New Roman"/>
          <w:b/>
          <w:color w:val="000000"/>
          <w:kern w:val="0"/>
          <w:sz w:val="28"/>
          <w:szCs w:val="28"/>
        </w:rPr>
        <w:t>、规范主要内容</w:t>
      </w:r>
    </w:p>
    <w:p>
      <w:pPr>
        <w:keepNext w:val="0"/>
        <w:keepLines w:val="0"/>
        <w:pageBreakBefore w:val="0"/>
        <w:widowControl w:val="0"/>
        <w:kinsoku/>
        <w:wordWrap/>
        <w:overflowPunct/>
        <w:topLinePunct w:val="0"/>
        <w:autoSpaceDE/>
        <w:autoSpaceDN/>
        <w:bidi w:val="0"/>
        <w:adjustRightInd/>
        <w:snapToGrid/>
        <w:spacing w:beforeLines="50" w:line="360" w:lineRule="auto"/>
        <w:ind w:firstLine="560" w:firstLineChars="200"/>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本</w:t>
      </w:r>
      <w:r>
        <w:rPr>
          <w:rFonts w:hint="eastAsia" w:eastAsia="仿宋_GB2312" w:cs="Times New Roman"/>
          <w:color w:val="000000"/>
          <w:kern w:val="0"/>
          <w:sz w:val="28"/>
          <w:szCs w:val="28"/>
          <w:highlight w:val="none"/>
          <w:lang w:val="en-US" w:eastAsia="zh-CN"/>
        </w:rPr>
        <w:t>规范</w:t>
      </w:r>
      <w:r>
        <w:rPr>
          <w:rFonts w:hint="default" w:ascii="Times New Roman" w:hAnsi="Times New Roman" w:eastAsia="仿宋_GB2312" w:cs="Times New Roman"/>
          <w:color w:val="000000"/>
          <w:kern w:val="0"/>
          <w:sz w:val="28"/>
          <w:szCs w:val="28"/>
        </w:rPr>
        <w:t>为首次制定，内容编制将遵循技术法规的科学性、先进性和可操作性原则。主要</w:t>
      </w:r>
      <w:bookmarkStart w:id="7" w:name="_GoBack"/>
      <w:bookmarkEnd w:id="7"/>
      <w:r>
        <w:rPr>
          <w:rFonts w:hint="default" w:ascii="Times New Roman" w:hAnsi="Times New Roman" w:eastAsia="仿宋_GB2312" w:cs="Times New Roman"/>
          <w:color w:val="000000"/>
          <w:kern w:val="0"/>
          <w:sz w:val="28"/>
          <w:szCs w:val="28"/>
        </w:rPr>
        <w:t>内容如下：</w:t>
      </w:r>
    </w:p>
    <w:p>
      <w:pPr>
        <w:pStyle w:val="22"/>
        <w:numPr>
          <w:ilvl w:val="0"/>
          <w:numId w:val="0"/>
        </w:numPr>
        <w:bidi w:val="0"/>
        <w:ind w:leftChars="0" w:firstLine="560" w:firstLineChars="200"/>
        <w:rPr>
          <w:rFonts w:hint="default"/>
          <w:sz w:val="28"/>
          <w:szCs w:val="28"/>
        </w:rPr>
      </w:pPr>
      <w:r>
        <w:rPr>
          <w:rFonts w:hint="eastAsia"/>
          <w:sz w:val="28"/>
          <w:szCs w:val="28"/>
          <w:lang w:val="en-US" w:eastAsia="zh-CN"/>
        </w:rPr>
        <w:t xml:space="preserve">5.1 </w:t>
      </w:r>
      <w:r>
        <w:rPr>
          <w:rFonts w:hint="default"/>
          <w:sz w:val="28"/>
          <w:szCs w:val="28"/>
        </w:rPr>
        <w:t>引言</w:t>
      </w:r>
    </w:p>
    <w:p>
      <w:pPr>
        <w:pStyle w:val="23"/>
        <w:bidi w:val="0"/>
        <w:rPr>
          <w:rFonts w:hint="default"/>
          <w:sz w:val="28"/>
          <w:szCs w:val="28"/>
        </w:rPr>
      </w:pPr>
      <w:r>
        <w:rPr>
          <w:rFonts w:hint="eastAsia"/>
          <w:sz w:val="28"/>
          <w:szCs w:val="28"/>
          <w:lang w:val="en-US" w:eastAsia="zh-CN"/>
        </w:rPr>
        <w:t>介绍了规程的编制依据及标准参考情况</w:t>
      </w:r>
      <w:r>
        <w:rPr>
          <w:rFonts w:hint="default"/>
          <w:sz w:val="28"/>
          <w:szCs w:val="28"/>
          <w:lang w:val="en-US" w:eastAsia="zh-CN"/>
        </w:rPr>
        <w:t>。</w:t>
      </w:r>
    </w:p>
    <w:p>
      <w:pPr>
        <w:pStyle w:val="22"/>
        <w:numPr>
          <w:ilvl w:val="0"/>
          <w:numId w:val="0"/>
        </w:numPr>
        <w:bidi w:val="0"/>
        <w:ind w:leftChars="0" w:firstLine="560" w:firstLineChars="200"/>
        <w:rPr>
          <w:rFonts w:hint="default"/>
          <w:sz w:val="28"/>
          <w:szCs w:val="28"/>
          <w:lang w:val="en-US" w:eastAsia="zh-CN"/>
        </w:rPr>
      </w:pPr>
      <w:r>
        <w:rPr>
          <w:rFonts w:hint="eastAsia"/>
          <w:sz w:val="28"/>
          <w:szCs w:val="28"/>
          <w:lang w:val="en-US" w:eastAsia="zh-CN"/>
        </w:rPr>
        <w:t>5.2</w:t>
      </w:r>
      <w:r>
        <w:rPr>
          <w:rFonts w:hint="default"/>
          <w:sz w:val="28"/>
          <w:szCs w:val="28"/>
          <w:lang w:val="en-US" w:eastAsia="zh-CN"/>
        </w:rPr>
        <w:t>范围</w:t>
      </w:r>
    </w:p>
    <w:p>
      <w:pPr>
        <w:pStyle w:val="23"/>
        <w:bidi w:val="0"/>
        <w:rPr>
          <w:rFonts w:hint="default"/>
          <w:sz w:val="28"/>
          <w:szCs w:val="28"/>
          <w:lang w:val="zh-CN" w:eastAsia="zh-CN"/>
        </w:rPr>
      </w:pPr>
      <w:r>
        <w:rPr>
          <w:rFonts w:hint="default"/>
          <w:sz w:val="28"/>
          <w:szCs w:val="28"/>
          <w:lang w:val="en-US" w:eastAsia="zh-CN"/>
        </w:rPr>
        <w:t>本规范适用于安装在水力直径≥300mm的圆形或矩形烟道中烟气排放连续监测系统用流量计的检定</w:t>
      </w:r>
      <w:r>
        <w:rPr>
          <w:rFonts w:hint="default"/>
          <w:sz w:val="28"/>
          <w:szCs w:val="28"/>
          <w:lang w:val="zh-CN" w:eastAsia="zh-CN"/>
        </w:rPr>
        <w:t>。</w:t>
      </w:r>
    </w:p>
    <w:p>
      <w:pPr>
        <w:pStyle w:val="22"/>
        <w:numPr>
          <w:ilvl w:val="0"/>
          <w:numId w:val="0"/>
        </w:numPr>
        <w:bidi w:val="0"/>
        <w:ind w:leftChars="0" w:firstLine="560" w:firstLineChars="200"/>
        <w:rPr>
          <w:rFonts w:hint="default"/>
          <w:sz w:val="28"/>
          <w:szCs w:val="28"/>
          <w:lang w:val="en-US" w:eastAsia="zh-CN"/>
        </w:rPr>
      </w:pPr>
      <w:r>
        <w:rPr>
          <w:rFonts w:hint="eastAsia"/>
          <w:sz w:val="28"/>
          <w:szCs w:val="28"/>
          <w:lang w:val="en-US" w:eastAsia="zh-CN"/>
        </w:rPr>
        <w:t>5.3概述</w:t>
      </w:r>
    </w:p>
    <w:p>
      <w:pPr>
        <w:pStyle w:val="23"/>
        <w:bidi w:val="0"/>
        <w:rPr>
          <w:rFonts w:hint="default"/>
          <w:sz w:val="28"/>
          <w:szCs w:val="28"/>
          <w:lang w:val="en-US" w:eastAsia="zh-CN"/>
        </w:rPr>
      </w:pPr>
      <w:r>
        <w:rPr>
          <w:rFonts w:hint="eastAsia"/>
          <w:sz w:val="28"/>
          <w:szCs w:val="28"/>
          <w:lang w:val="en-US" w:eastAsia="zh-CN"/>
        </w:rPr>
        <w:t>介绍了烟气排放连续监测系统流量计的结构和测量原理等相关情况。</w:t>
      </w:r>
    </w:p>
    <w:p>
      <w:pPr>
        <w:pStyle w:val="22"/>
        <w:numPr>
          <w:ilvl w:val="0"/>
          <w:numId w:val="0"/>
        </w:numPr>
        <w:bidi w:val="0"/>
        <w:ind w:leftChars="0" w:firstLine="560" w:firstLineChars="200"/>
        <w:rPr>
          <w:rFonts w:hint="default"/>
          <w:sz w:val="28"/>
          <w:szCs w:val="28"/>
          <w:lang w:val="en-US" w:eastAsia="zh-CN"/>
        </w:rPr>
      </w:pPr>
      <w:r>
        <w:rPr>
          <w:rFonts w:hint="eastAsia"/>
          <w:sz w:val="28"/>
          <w:szCs w:val="28"/>
          <w:lang w:val="en-US" w:eastAsia="zh-CN"/>
        </w:rPr>
        <w:t>5.4计量性能要求</w:t>
      </w:r>
    </w:p>
    <w:p>
      <w:pPr>
        <w:pStyle w:val="23"/>
        <w:bidi w:val="0"/>
        <w:rPr>
          <w:rFonts w:hint="eastAsia"/>
          <w:sz w:val="28"/>
          <w:szCs w:val="28"/>
          <w:lang w:val="en-US" w:eastAsia="zh-CN"/>
        </w:rPr>
      </w:pPr>
      <w:r>
        <w:rPr>
          <w:rFonts w:hint="eastAsia"/>
          <w:sz w:val="28"/>
          <w:szCs w:val="28"/>
          <w:lang w:val="en-US" w:eastAsia="zh-CN"/>
        </w:rPr>
        <w:t>规定了烟气排放连续监测系统流量计的计量特性，按照单工况状态及多工况状态下进行了区分。</w:t>
      </w:r>
    </w:p>
    <w:p>
      <w:pPr>
        <w:pStyle w:val="23"/>
        <w:bidi w:val="0"/>
        <w:rPr>
          <w:rFonts w:hint="default"/>
          <w:sz w:val="28"/>
          <w:szCs w:val="28"/>
          <w:lang w:val="en-US" w:eastAsia="zh-CN"/>
        </w:rPr>
      </w:pPr>
      <w:r>
        <w:rPr>
          <w:rFonts w:hint="eastAsia"/>
          <w:sz w:val="28"/>
          <w:szCs w:val="28"/>
          <w:lang w:val="en-US" w:eastAsia="zh-CN"/>
        </w:rPr>
        <w:t>5.5通用技术要求</w:t>
      </w:r>
    </w:p>
    <w:p>
      <w:pPr>
        <w:pStyle w:val="23"/>
        <w:bidi w:val="0"/>
        <w:rPr>
          <w:rFonts w:hint="default"/>
          <w:sz w:val="28"/>
          <w:szCs w:val="28"/>
          <w:lang w:val="en-US" w:eastAsia="zh-CN"/>
        </w:rPr>
      </w:pPr>
      <w:r>
        <w:rPr>
          <w:rFonts w:hint="eastAsia"/>
          <w:sz w:val="28"/>
          <w:szCs w:val="28"/>
          <w:lang w:val="en-US" w:eastAsia="zh-CN"/>
        </w:rPr>
        <w:t>规定了烟气排放连续监测系统流量计校准应满足的环境条件，以及单工况与多工况状态下校准所需要配备的计量器具及相应技术指标。</w:t>
      </w:r>
    </w:p>
    <w:p>
      <w:pPr>
        <w:pStyle w:val="22"/>
        <w:numPr>
          <w:ilvl w:val="0"/>
          <w:numId w:val="0"/>
        </w:numPr>
        <w:bidi w:val="0"/>
        <w:ind w:leftChars="0" w:firstLine="560" w:firstLineChars="200"/>
        <w:rPr>
          <w:rFonts w:hint="default"/>
          <w:sz w:val="28"/>
          <w:szCs w:val="28"/>
          <w:lang w:val="en-US" w:eastAsia="zh-CN"/>
        </w:rPr>
      </w:pPr>
      <w:r>
        <w:rPr>
          <w:rFonts w:hint="eastAsia"/>
          <w:sz w:val="28"/>
          <w:szCs w:val="28"/>
          <w:lang w:val="en-US" w:eastAsia="zh-CN"/>
        </w:rPr>
        <w:t>5.6计量器具控制</w:t>
      </w:r>
    </w:p>
    <w:p>
      <w:pPr>
        <w:pStyle w:val="23"/>
        <w:bidi w:val="0"/>
        <w:rPr>
          <w:rFonts w:hint="default"/>
          <w:sz w:val="28"/>
          <w:szCs w:val="28"/>
          <w:lang w:val="en-US" w:eastAsia="zh-CN"/>
        </w:rPr>
      </w:pPr>
      <w:r>
        <w:rPr>
          <w:rFonts w:hint="eastAsia"/>
          <w:sz w:val="28"/>
          <w:szCs w:val="28"/>
          <w:lang w:val="en-US" w:eastAsia="zh-CN"/>
        </w:rPr>
        <w:t>规定了烟气排放连续监测系统流量计单工况状态及多工况状态下各项目的检定方法。包括示值误差、重复性和相应的气体浓度、流速、温度、湿度。</w:t>
      </w:r>
    </w:p>
    <w:p>
      <w:pPr>
        <w:pStyle w:val="22"/>
        <w:numPr>
          <w:ilvl w:val="0"/>
          <w:numId w:val="0"/>
        </w:numPr>
        <w:bidi w:val="0"/>
        <w:ind w:leftChars="0" w:firstLine="560" w:firstLineChars="200"/>
        <w:rPr>
          <w:rFonts w:hint="default"/>
          <w:sz w:val="28"/>
          <w:szCs w:val="28"/>
          <w:lang w:val="zh-CN" w:eastAsia="zh-CN"/>
        </w:rPr>
      </w:pPr>
      <w:r>
        <w:rPr>
          <w:rFonts w:hint="eastAsia"/>
          <w:sz w:val="28"/>
          <w:szCs w:val="28"/>
          <w:lang w:val="en-US" w:eastAsia="zh-CN"/>
        </w:rPr>
        <w:t>5.7检定结果的处理</w:t>
      </w:r>
    </w:p>
    <w:p>
      <w:pPr>
        <w:pStyle w:val="23"/>
        <w:bidi w:val="0"/>
        <w:rPr>
          <w:rFonts w:hint="default"/>
          <w:sz w:val="28"/>
          <w:szCs w:val="28"/>
          <w:lang w:val="en-US" w:eastAsia="zh-CN"/>
        </w:rPr>
      </w:pPr>
      <w:r>
        <w:rPr>
          <w:rFonts w:hint="eastAsia"/>
          <w:sz w:val="28"/>
          <w:szCs w:val="28"/>
          <w:lang w:val="en-US" w:eastAsia="zh-CN"/>
        </w:rPr>
        <w:t>规定了烟气排放连续监测系统流量计检定证书至少应包含的内容。</w:t>
      </w:r>
    </w:p>
    <w:p>
      <w:pPr>
        <w:pStyle w:val="22"/>
        <w:numPr>
          <w:ilvl w:val="0"/>
          <w:numId w:val="0"/>
        </w:numPr>
        <w:bidi w:val="0"/>
        <w:ind w:leftChars="0" w:firstLine="560" w:firstLineChars="200"/>
        <w:rPr>
          <w:rFonts w:hint="default"/>
          <w:sz w:val="28"/>
          <w:szCs w:val="28"/>
          <w:lang w:val="zh-CN" w:eastAsia="zh-CN"/>
        </w:rPr>
      </w:pPr>
      <w:r>
        <w:rPr>
          <w:rFonts w:hint="eastAsia"/>
          <w:sz w:val="28"/>
          <w:szCs w:val="28"/>
          <w:lang w:val="en-US" w:eastAsia="zh-CN"/>
        </w:rPr>
        <w:t>5.8检定周期</w:t>
      </w:r>
    </w:p>
    <w:p>
      <w:pPr>
        <w:pStyle w:val="23"/>
        <w:bidi w:val="0"/>
        <w:rPr>
          <w:rFonts w:hint="default"/>
          <w:sz w:val="28"/>
          <w:szCs w:val="28"/>
          <w:lang w:val="zh-CN" w:eastAsia="zh-CN"/>
        </w:rPr>
      </w:pPr>
      <w:r>
        <w:rPr>
          <w:rFonts w:hint="eastAsia"/>
          <w:sz w:val="28"/>
          <w:szCs w:val="28"/>
          <w:lang w:val="en-US" w:eastAsia="zh-CN"/>
        </w:rPr>
        <w:t>规定了烟气排放连续监测系统流量计的检定周期。</w:t>
      </w:r>
    </w:p>
    <w:p>
      <w:pPr>
        <w:pStyle w:val="22"/>
        <w:numPr>
          <w:ilvl w:val="0"/>
          <w:numId w:val="0"/>
        </w:numPr>
        <w:bidi w:val="0"/>
        <w:ind w:leftChars="0" w:firstLine="560" w:firstLineChars="200"/>
        <w:rPr>
          <w:rFonts w:hint="default"/>
          <w:sz w:val="28"/>
          <w:szCs w:val="28"/>
          <w:lang w:val="zh-CN" w:eastAsia="zh-CN"/>
        </w:rPr>
      </w:pPr>
      <w:r>
        <w:rPr>
          <w:rFonts w:hint="eastAsia"/>
          <w:sz w:val="28"/>
          <w:szCs w:val="28"/>
          <w:lang w:val="en-US" w:eastAsia="zh-CN"/>
        </w:rPr>
        <w:t>5.9</w:t>
      </w:r>
      <w:r>
        <w:rPr>
          <w:rFonts w:hint="default"/>
          <w:sz w:val="28"/>
          <w:szCs w:val="28"/>
          <w:lang w:val="zh-CN" w:eastAsia="zh-CN"/>
        </w:rPr>
        <w:t>附录A</w:t>
      </w:r>
    </w:p>
    <w:p>
      <w:pPr>
        <w:pStyle w:val="23"/>
        <w:bidi w:val="0"/>
        <w:rPr>
          <w:rFonts w:hint="default"/>
          <w:sz w:val="28"/>
          <w:szCs w:val="28"/>
          <w:lang w:val="en-US" w:eastAsia="zh-CN"/>
        </w:rPr>
      </w:pPr>
      <w:r>
        <w:rPr>
          <w:rFonts w:hint="eastAsia"/>
          <w:sz w:val="28"/>
          <w:szCs w:val="28"/>
          <w:lang w:val="en-US" w:eastAsia="zh-CN"/>
        </w:rPr>
        <w:t>给出了烟气排放连续监测系统流量计</w:t>
      </w:r>
      <w:bookmarkStart w:id="0" w:name="_Toc23538"/>
      <w:r>
        <w:rPr>
          <w:rFonts w:hint="eastAsia"/>
          <w:sz w:val="28"/>
          <w:szCs w:val="28"/>
          <w:lang w:val="en-US" w:eastAsia="zh-CN"/>
        </w:rPr>
        <w:t>数值模拟标准装置轴向速度修正</w:t>
      </w:r>
      <w:bookmarkEnd w:id="0"/>
      <w:r>
        <w:rPr>
          <w:rFonts w:hint="eastAsia"/>
          <w:sz w:val="28"/>
          <w:szCs w:val="28"/>
          <w:lang w:val="en-US" w:eastAsia="zh-CN"/>
        </w:rPr>
        <w:t>方法。</w:t>
      </w:r>
    </w:p>
    <w:p>
      <w:pPr>
        <w:pStyle w:val="22"/>
        <w:numPr>
          <w:ilvl w:val="0"/>
          <w:numId w:val="0"/>
        </w:numPr>
        <w:bidi w:val="0"/>
        <w:ind w:leftChars="0" w:firstLine="560" w:firstLineChars="200"/>
        <w:rPr>
          <w:rFonts w:hint="default"/>
          <w:sz w:val="28"/>
          <w:szCs w:val="28"/>
          <w:lang w:val="zh-CN" w:eastAsia="zh-CN"/>
        </w:rPr>
      </w:pPr>
      <w:r>
        <w:rPr>
          <w:rFonts w:hint="eastAsia"/>
          <w:sz w:val="28"/>
          <w:szCs w:val="28"/>
          <w:lang w:val="en-US" w:eastAsia="zh-CN"/>
        </w:rPr>
        <w:t>5.10</w:t>
      </w:r>
      <w:r>
        <w:rPr>
          <w:rFonts w:hint="default"/>
          <w:sz w:val="28"/>
          <w:szCs w:val="28"/>
          <w:lang w:val="zh-CN" w:eastAsia="zh-CN"/>
        </w:rPr>
        <w:t>附录B</w:t>
      </w:r>
    </w:p>
    <w:p>
      <w:pPr>
        <w:pStyle w:val="23"/>
        <w:bidi w:val="0"/>
        <w:rPr>
          <w:rFonts w:hint="default"/>
          <w:sz w:val="28"/>
          <w:szCs w:val="28"/>
          <w:lang w:val="en-US" w:eastAsia="zh-CN"/>
        </w:rPr>
      </w:pPr>
      <w:r>
        <w:rPr>
          <w:rFonts w:hint="eastAsia"/>
          <w:sz w:val="28"/>
          <w:szCs w:val="28"/>
          <w:lang w:val="en-US" w:eastAsia="zh-CN"/>
        </w:rPr>
        <w:t>给出了烟气排放连续监测系统流量计</w:t>
      </w:r>
      <w:bookmarkStart w:id="1" w:name="_Toc28371"/>
      <w:r>
        <w:rPr>
          <w:rFonts w:hint="eastAsia"/>
          <w:sz w:val="28"/>
          <w:szCs w:val="28"/>
          <w:lang w:val="en-US" w:eastAsia="zh-CN"/>
        </w:rPr>
        <w:t>采样点的位置和数目</w:t>
      </w:r>
      <w:bookmarkEnd w:id="1"/>
      <w:r>
        <w:rPr>
          <w:rFonts w:hint="eastAsia"/>
          <w:sz w:val="28"/>
          <w:szCs w:val="28"/>
          <w:lang w:val="en-US" w:eastAsia="zh-CN"/>
        </w:rPr>
        <w:t>。</w:t>
      </w:r>
    </w:p>
    <w:p>
      <w:pPr>
        <w:pStyle w:val="22"/>
        <w:numPr>
          <w:ilvl w:val="0"/>
          <w:numId w:val="0"/>
        </w:numPr>
        <w:bidi w:val="0"/>
        <w:ind w:leftChars="0" w:firstLine="560" w:firstLineChars="200"/>
        <w:rPr>
          <w:rFonts w:hint="default"/>
          <w:sz w:val="28"/>
          <w:szCs w:val="28"/>
          <w:lang w:val="zh-CN" w:eastAsia="zh-CN"/>
        </w:rPr>
      </w:pPr>
      <w:r>
        <w:rPr>
          <w:rFonts w:hint="eastAsia"/>
          <w:sz w:val="28"/>
          <w:szCs w:val="28"/>
          <w:lang w:val="en-US" w:eastAsia="zh-CN"/>
        </w:rPr>
        <w:t>5.11</w:t>
      </w:r>
      <w:r>
        <w:rPr>
          <w:rFonts w:hint="default"/>
          <w:sz w:val="28"/>
          <w:szCs w:val="28"/>
          <w:lang w:val="zh-CN" w:eastAsia="zh-CN"/>
        </w:rPr>
        <w:t>附录</w:t>
      </w:r>
      <w:r>
        <w:rPr>
          <w:rFonts w:hint="eastAsia"/>
          <w:sz w:val="28"/>
          <w:szCs w:val="28"/>
          <w:lang w:val="en-US" w:eastAsia="zh-CN"/>
        </w:rPr>
        <w:t>C</w:t>
      </w:r>
    </w:p>
    <w:p>
      <w:pPr>
        <w:pStyle w:val="23"/>
        <w:bidi w:val="0"/>
        <w:rPr>
          <w:rFonts w:hint="eastAsia"/>
          <w:sz w:val="28"/>
          <w:szCs w:val="28"/>
          <w:lang w:val="en-US" w:eastAsia="zh-CN"/>
        </w:rPr>
      </w:pPr>
      <w:r>
        <w:rPr>
          <w:rFonts w:hint="eastAsia"/>
          <w:sz w:val="28"/>
          <w:szCs w:val="28"/>
          <w:lang w:val="en-US" w:eastAsia="zh-CN"/>
        </w:rPr>
        <w:t>给出了烟气排放连续监测系统流量计</w:t>
      </w:r>
      <w:bookmarkStart w:id="2" w:name="_Toc19350"/>
      <w:r>
        <w:rPr>
          <w:rFonts w:hint="eastAsia"/>
          <w:sz w:val="28"/>
          <w:szCs w:val="28"/>
          <w:lang w:val="en-US" w:eastAsia="zh-CN"/>
        </w:rPr>
        <w:t>对向测量偏航角、俯仰角的计算</w:t>
      </w:r>
      <w:bookmarkEnd w:id="2"/>
      <w:r>
        <w:rPr>
          <w:rFonts w:hint="eastAsia"/>
          <w:sz w:val="28"/>
          <w:szCs w:val="28"/>
          <w:lang w:val="en-US" w:eastAsia="zh-CN"/>
        </w:rPr>
        <w:t>。</w:t>
      </w:r>
    </w:p>
    <w:p>
      <w:pPr>
        <w:pStyle w:val="22"/>
        <w:numPr>
          <w:ilvl w:val="0"/>
          <w:numId w:val="0"/>
        </w:numPr>
        <w:bidi w:val="0"/>
        <w:ind w:leftChars="0" w:firstLine="560" w:firstLineChars="200"/>
        <w:rPr>
          <w:rFonts w:hint="default"/>
          <w:sz w:val="28"/>
          <w:szCs w:val="28"/>
          <w:lang w:val="zh-CN" w:eastAsia="zh-CN"/>
        </w:rPr>
      </w:pPr>
      <w:r>
        <w:rPr>
          <w:rFonts w:hint="eastAsia"/>
          <w:sz w:val="28"/>
          <w:szCs w:val="28"/>
          <w:lang w:val="en-US" w:eastAsia="zh-CN"/>
        </w:rPr>
        <w:t>5.12</w:t>
      </w:r>
      <w:r>
        <w:rPr>
          <w:rFonts w:hint="default"/>
          <w:sz w:val="28"/>
          <w:szCs w:val="28"/>
          <w:lang w:val="zh-CN" w:eastAsia="zh-CN"/>
        </w:rPr>
        <w:t>附录</w:t>
      </w:r>
      <w:r>
        <w:rPr>
          <w:rFonts w:hint="eastAsia"/>
          <w:sz w:val="28"/>
          <w:szCs w:val="28"/>
          <w:lang w:val="en-US" w:eastAsia="zh-CN"/>
        </w:rPr>
        <w:t>D</w:t>
      </w:r>
    </w:p>
    <w:p>
      <w:pPr>
        <w:pStyle w:val="23"/>
        <w:bidi w:val="0"/>
        <w:rPr>
          <w:rFonts w:hint="eastAsia"/>
          <w:sz w:val="28"/>
          <w:szCs w:val="28"/>
          <w:lang w:val="en-US" w:eastAsia="zh-CN"/>
        </w:rPr>
      </w:pPr>
      <w:r>
        <w:rPr>
          <w:rFonts w:hint="eastAsia"/>
          <w:sz w:val="28"/>
          <w:szCs w:val="28"/>
          <w:lang w:val="en-US" w:eastAsia="zh-CN"/>
        </w:rPr>
        <w:t>给出了烟气排放连续监测系统流量计</w:t>
      </w:r>
      <w:bookmarkStart w:id="3" w:name="_Toc19229"/>
      <w:r>
        <w:rPr>
          <w:rFonts w:hint="eastAsia"/>
          <w:sz w:val="28"/>
          <w:szCs w:val="28"/>
          <w:lang w:val="en-US" w:eastAsia="zh-CN"/>
        </w:rPr>
        <w:t>标准装置平均轴向流速计算方法及状态转换</w:t>
      </w:r>
      <w:bookmarkEnd w:id="3"/>
      <w:r>
        <w:rPr>
          <w:rFonts w:hint="eastAsia"/>
          <w:sz w:val="28"/>
          <w:szCs w:val="28"/>
          <w:lang w:val="en-US" w:eastAsia="zh-CN"/>
        </w:rPr>
        <w:t>方法。</w:t>
      </w:r>
    </w:p>
    <w:p>
      <w:pPr>
        <w:pStyle w:val="22"/>
        <w:numPr>
          <w:ilvl w:val="0"/>
          <w:numId w:val="0"/>
        </w:numPr>
        <w:bidi w:val="0"/>
        <w:ind w:leftChars="0" w:firstLine="560" w:firstLineChars="200"/>
        <w:rPr>
          <w:rFonts w:hint="default"/>
          <w:sz w:val="28"/>
          <w:szCs w:val="28"/>
          <w:lang w:val="zh-CN" w:eastAsia="zh-CN"/>
        </w:rPr>
      </w:pPr>
      <w:r>
        <w:rPr>
          <w:rFonts w:hint="eastAsia"/>
          <w:sz w:val="28"/>
          <w:szCs w:val="28"/>
          <w:lang w:val="en-US" w:eastAsia="zh-CN"/>
        </w:rPr>
        <w:t>5.13</w:t>
      </w:r>
      <w:r>
        <w:rPr>
          <w:rFonts w:hint="default"/>
          <w:sz w:val="28"/>
          <w:szCs w:val="28"/>
          <w:lang w:val="zh-CN" w:eastAsia="zh-CN"/>
        </w:rPr>
        <w:t>附录</w:t>
      </w:r>
      <w:r>
        <w:rPr>
          <w:rFonts w:hint="eastAsia"/>
          <w:sz w:val="28"/>
          <w:szCs w:val="28"/>
          <w:lang w:val="en-US" w:eastAsia="zh-CN"/>
        </w:rPr>
        <w:t>E</w:t>
      </w:r>
    </w:p>
    <w:p>
      <w:pPr>
        <w:pStyle w:val="23"/>
        <w:bidi w:val="0"/>
        <w:rPr>
          <w:rFonts w:hint="default"/>
          <w:sz w:val="28"/>
          <w:szCs w:val="28"/>
          <w:lang w:val="en-US" w:eastAsia="zh-CN"/>
        </w:rPr>
      </w:pPr>
      <w:r>
        <w:rPr>
          <w:rFonts w:hint="eastAsia"/>
          <w:sz w:val="28"/>
          <w:szCs w:val="28"/>
          <w:lang w:val="en-US" w:eastAsia="zh-CN"/>
        </w:rPr>
        <w:t>给出了烟气排放连续监测系统流量计相应的检定原始记录表参考格式。</w:t>
      </w:r>
    </w:p>
    <w:p>
      <w:pPr>
        <w:pStyle w:val="22"/>
        <w:numPr>
          <w:ilvl w:val="0"/>
          <w:numId w:val="0"/>
        </w:numPr>
        <w:bidi w:val="0"/>
        <w:ind w:leftChars="0" w:firstLine="560" w:firstLineChars="200"/>
        <w:rPr>
          <w:rFonts w:hint="default"/>
          <w:sz w:val="28"/>
          <w:szCs w:val="28"/>
          <w:lang w:val="zh-CN" w:eastAsia="zh-CN"/>
        </w:rPr>
      </w:pPr>
      <w:r>
        <w:rPr>
          <w:rFonts w:hint="eastAsia"/>
          <w:sz w:val="28"/>
          <w:szCs w:val="28"/>
          <w:lang w:val="en-US" w:eastAsia="zh-CN"/>
        </w:rPr>
        <w:t>5.14</w:t>
      </w:r>
      <w:r>
        <w:rPr>
          <w:rFonts w:hint="default"/>
          <w:sz w:val="28"/>
          <w:szCs w:val="28"/>
          <w:lang w:val="zh-CN" w:eastAsia="zh-CN"/>
        </w:rPr>
        <w:t>附录</w:t>
      </w:r>
      <w:r>
        <w:rPr>
          <w:rFonts w:hint="eastAsia"/>
          <w:sz w:val="28"/>
          <w:szCs w:val="28"/>
          <w:lang w:val="en-US" w:eastAsia="zh-CN"/>
        </w:rPr>
        <w:t>F</w:t>
      </w:r>
    </w:p>
    <w:p>
      <w:pPr>
        <w:pStyle w:val="23"/>
        <w:bidi w:val="0"/>
        <w:rPr>
          <w:rFonts w:hint="eastAsia"/>
          <w:sz w:val="28"/>
          <w:szCs w:val="28"/>
          <w:lang w:val="en-US" w:eastAsia="zh-CN"/>
        </w:rPr>
      </w:pPr>
      <w:r>
        <w:rPr>
          <w:rFonts w:hint="eastAsia"/>
          <w:sz w:val="28"/>
          <w:szCs w:val="28"/>
          <w:lang w:val="en-US" w:eastAsia="zh-CN"/>
        </w:rPr>
        <w:t>给出了烟气排放连续监测系统流量计相应的</w:t>
      </w:r>
      <w:bookmarkStart w:id="4" w:name="_Toc13286"/>
      <w:r>
        <w:rPr>
          <w:rFonts w:hint="eastAsia"/>
          <w:sz w:val="28"/>
          <w:szCs w:val="28"/>
          <w:lang w:val="en-US" w:eastAsia="zh-CN"/>
        </w:rPr>
        <w:t>检定证书</w:t>
      </w:r>
      <w:bookmarkStart w:id="5" w:name="_Toc391285728"/>
      <w:r>
        <w:rPr>
          <w:rFonts w:hint="eastAsia"/>
          <w:sz w:val="28"/>
          <w:szCs w:val="28"/>
          <w:lang w:val="en-US" w:eastAsia="zh-CN"/>
        </w:rPr>
        <w:t>（内页）参考格式</w:t>
      </w:r>
      <w:bookmarkEnd w:id="4"/>
      <w:bookmarkEnd w:id="5"/>
      <w:r>
        <w:rPr>
          <w:rFonts w:hint="eastAsia"/>
          <w:sz w:val="28"/>
          <w:szCs w:val="28"/>
          <w:lang w:val="en-US" w:eastAsia="zh-CN"/>
        </w:rPr>
        <w:t>。</w:t>
      </w:r>
    </w:p>
    <w:p>
      <w:pPr>
        <w:pStyle w:val="22"/>
        <w:numPr>
          <w:ilvl w:val="0"/>
          <w:numId w:val="0"/>
        </w:numPr>
        <w:bidi w:val="0"/>
        <w:ind w:leftChars="0" w:firstLine="560" w:firstLineChars="200"/>
        <w:rPr>
          <w:rFonts w:hint="default"/>
          <w:sz w:val="28"/>
          <w:szCs w:val="28"/>
          <w:lang w:val="zh-CN" w:eastAsia="zh-CN"/>
        </w:rPr>
      </w:pPr>
      <w:r>
        <w:rPr>
          <w:rFonts w:hint="eastAsia"/>
          <w:sz w:val="28"/>
          <w:szCs w:val="28"/>
          <w:lang w:val="en-US" w:eastAsia="zh-CN"/>
        </w:rPr>
        <w:t>5.15</w:t>
      </w:r>
      <w:r>
        <w:rPr>
          <w:rFonts w:hint="default"/>
          <w:sz w:val="28"/>
          <w:szCs w:val="28"/>
          <w:lang w:val="zh-CN" w:eastAsia="zh-CN"/>
        </w:rPr>
        <w:t>附录</w:t>
      </w:r>
      <w:r>
        <w:rPr>
          <w:rFonts w:hint="eastAsia"/>
          <w:sz w:val="28"/>
          <w:szCs w:val="28"/>
          <w:lang w:val="en-US" w:eastAsia="zh-CN"/>
        </w:rPr>
        <w:t>G</w:t>
      </w:r>
    </w:p>
    <w:p>
      <w:pPr>
        <w:pStyle w:val="23"/>
        <w:bidi w:val="0"/>
        <w:rPr>
          <w:rFonts w:hint="default" w:ascii="Times New Roman" w:hAnsi="Times New Roman" w:eastAsia="仿宋_GB2312" w:cs="Times New Roman"/>
          <w:b/>
          <w:bCs/>
          <w:color w:val="000000"/>
          <w:kern w:val="0"/>
          <w:sz w:val="32"/>
          <w:szCs w:val="32"/>
          <w:lang w:val="en-US" w:eastAsia="zh-CN"/>
        </w:rPr>
      </w:pPr>
      <w:r>
        <w:rPr>
          <w:rFonts w:hint="eastAsia"/>
          <w:sz w:val="28"/>
          <w:szCs w:val="28"/>
          <w:lang w:val="en-US" w:eastAsia="zh-CN"/>
        </w:rPr>
        <w:t>给出了烟气排放连续监测系统流量计相应的</w:t>
      </w:r>
      <w:bookmarkStart w:id="6" w:name="_Toc27787"/>
      <w:r>
        <w:rPr>
          <w:rFonts w:hint="eastAsia"/>
          <w:sz w:val="28"/>
          <w:szCs w:val="28"/>
          <w:lang w:val="en-US" w:eastAsia="zh-CN"/>
        </w:rPr>
        <w:t>不确定度评定方法及示例</w:t>
      </w:r>
      <w:bookmarkEnd w:id="6"/>
      <w:r>
        <w:rPr>
          <w:rFonts w:hint="eastAsia"/>
          <w:sz w:val="28"/>
          <w:szCs w:val="28"/>
          <w:lang w:val="en-US" w:eastAsia="zh-CN"/>
        </w:rPr>
        <w:t>。</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6030804020204"/>
    <w:charset w:val="00"/>
    <w:family w:val="auto"/>
    <w:pitch w:val="default"/>
    <w:sig w:usb0="E7006EFF" w:usb1="D200FDFF" w:usb2="0A246029" w:usb3="0400200C" w:csb0="600001FF" w:csb1="DFFF0000"/>
  </w:font>
  <w:font w:name="仿宋">
    <w:panose1 w:val="02010609060101010101"/>
    <w:charset w:val="86"/>
    <w:family w:val="modern"/>
    <w:pitch w:val="default"/>
    <w:sig w:usb0="800002BF" w:usb1="38CF7CFA" w:usb2="00000016" w:usb3="00000000" w:csb0="00040001" w:csb1="00000000"/>
  </w:font>
  <w:font w:name="Tahoma">
    <w:altName w:val="DejaVu Sans"/>
    <w:panose1 w:val="020B0604030504040204"/>
    <w:charset w:val="00"/>
    <w:family w:val="swiss"/>
    <w:pitch w:val="default"/>
    <w:sig w:usb0="00000000" w:usb1="00000000"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SECTIONPAGES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">
              <v:fill on="f" focussize="0,0"/>
              <v:stroke on="f"/>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SECTIONPAGES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F395ED"/>
    <w:multiLevelType w:val="singleLevel"/>
    <w:tmpl w:val="C5F395ED"/>
    <w:lvl w:ilvl="0" w:tentative="0">
      <w:start w:val="1"/>
      <w:numFmt w:val="decimal"/>
      <w:pStyle w:val="22"/>
      <w:suff w:val="nothing"/>
      <w:lvlText w:val="6.%1"/>
      <w:lvlJc w:val="left"/>
      <w:pPr>
        <w:tabs>
          <w:tab w:val="left" w:pos="0"/>
        </w:tabs>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2NmU3N2RkODQ3NDA4YjY0MTI0NTQxOWQ1NzQ0NTgifQ=="/>
  </w:docVars>
  <w:rsids>
    <w:rsidRoot w:val="00B54640"/>
    <w:rsid w:val="00002AA3"/>
    <w:rsid w:val="000111A8"/>
    <w:rsid w:val="00024AD0"/>
    <w:rsid w:val="000432E4"/>
    <w:rsid w:val="00045408"/>
    <w:rsid w:val="00065747"/>
    <w:rsid w:val="00072F9E"/>
    <w:rsid w:val="0007518D"/>
    <w:rsid w:val="00081136"/>
    <w:rsid w:val="000967E5"/>
    <w:rsid w:val="000E2DB0"/>
    <w:rsid w:val="000E5EEA"/>
    <w:rsid w:val="00100600"/>
    <w:rsid w:val="0010628C"/>
    <w:rsid w:val="00117225"/>
    <w:rsid w:val="00125ED1"/>
    <w:rsid w:val="001261FB"/>
    <w:rsid w:val="001459EA"/>
    <w:rsid w:val="001B240D"/>
    <w:rsid w:val="001B7FCF"/>
    <w:rsid w:val="001E60B2"/>
    <w:rsid w:val="001E66BB"/>
    <w:rsid w:val="001F49A2"/>
    <w:rsid w:val="00223F43"/>
    <w:rsid w:val="00251635"/>
    <w:rsid w:val="002570E7"/>
    <w:rsid w:val="00263B08"/>
    <w:rsid w:val="00270389"/>
    <w:rsid w:val="00277F67"/>
    <w:rsid w:val="002A4354"/>
    <w:rsid w:val="002B33FD"/>
    <w:rsid w:val="002C51E6"/>
    <w:rsid w:val="002C669B"/>
    <w:rsid w:val="002E48F8"/>
    <w:rsid w:val="002F3A23"/>
    <w:rsid w:val="002F4F4A"/>
    <w:rsid w:val="002F62C6"/>
    <w:rsid w:val="0032722A"/>
    <w:rsid w:val="003573A8"/>
    <w:rsid w:val="00381661"/>
    <w:rsid w:val="0038241B"/>
    <w:rsid w:val="00394E55"/>
    <w:rsid w:val="00395198"/>
    <w:rsid w:val="003C5A51"/>
    <w:rsid w:val="003D013C"/>
    <w:rsid w:val="003D2031"/>
    <w:rsid w:val="00401C38"/>
    <w:rsid w:val="004860B6"/>
    <w:rsid w:val="004A1A3B"/>
    <w:rsid w:val="004B3375"/>
    <w:rsid w:val="005251DD"/>
    <w:rsid w:val="00562E3C"/>
    <w:rsid w:val="005652D8"/>
    <w:rsid w:val="00574624"/>
    <w:rsid w:val="005A612F"/>
    <w:rsid w:val="00613688"/>
    <w:rsid w:val="006153FD"/>
    <w:rsid w:val="0062394B"/>
    <w:rsid w:val="006242C0"/>
    <w:rsid w:val="006271FF"/>
    <w:rsid w:val="00662957"/>
    <w:rsid w:val="006701C4"/>
    <w:rsid w:val="00687895"/>
    <w:rsid w:val="00696AF4"/>
    <w:rsid w:val="006B1DD1"/>
    <w:rsid w:val="006D7356"/>
    <w:rsid w:val="006F02C0"/>
    <w:rsid w:val="007031ED"/>
    <w:rsid w:val="0071685C"/>
    <w:rsid w:val="00722AA5"/>
    <w:rsid w:val="00733A45"/>
    <w:rsid w:val="0073635D"/>
    <w:rsid w:val="00750174"/>
    <w:rsid w:val="0077158A"/>
    <w:rsid w:val="00771DEF"/>
    <w:rsid w:val="00773570"/>
    <w:rsid w:val="007B25BD"/>
    <w:rsid w:val="007B2834"/>
    <w:rsid w:val="007C5393"/>
    <w:rsid w:val="007D5260"/>
    <w:rsid w:val="007E5E98"/>
    <w:rsid w:val="00826FCD"/>
    <w:rsid w:val="00850060"/>
    <w:rsid w:val="008579E9"/>
    <w:rsid w:val="008653E2"/>
    <w:rsid w:val="00874983"/>
    <w:rsid w:val="00893810"/>
    <w:rsid w:val="008B4210"/>
    <w:rsid w:val="008C3162"/>
    <w:rsid w:val="008C4F78"/>
    <w:rsid w:val="008D28EC"/>
    <w:rsid w:val="008E19E6"/>
    <w:rsid w:val="009048DA"/>
    <w:rsid w:val="00913326"/>
    <w:rsid w:val="0092603E"/>
    <w:rsid w:val="00946452"/>
    <w:rsid w:val="00946591"/>
    <w:rsid w:val="00955312"/>
    <w:rsid w:val="00957A50"/>
    <w:rsid w:val="009751AB"/>
    <w:rsid w:val="009770CA"/>
    <w:rsid w:val="009D2AF8"/>
    <w:rsid w:val="009E17C5"/>
    <w:rsid w:val="009E339B"/>
    <w:rsid w:val="009E44E4"/>
    <w:rsid w:val="009E7041"/>
    <w:rsid w:val="009F2C31"/>
    <w:rsid w:val="00A012B3"/>
    <w:rsid w:val="00A04927"/>
    <w:rsid w:val="00A05AE6"/>
    <w:rsid w:val="00A567A6"/>
    <w:rsid w:val="00A64693"/>
    <w:rsid w:val="00A7623B"/>
    <w:rsid w:val="00A80411"/>
    <w:rsid w:val="00A86118"/>
    <w:rsid w:val="00AA116A"/>
    <w:rsid w:val="00AB7160"/>
    <w:rsid w:val="00AC1AB0"/>
    <w:rsid w:val="00AC772D"/>
    <w:rsid w:val="00AE5608"/>
    <w:rsid w:val="00B05475"/>
    <w:rsid w:val="00B07C01"/>
    <w:rsid w:val="00B2138A"/>
    <w:rsid w:val="00B4181C"/>
    <w:rsid w:val="00B54640"/>
    <w:rsid w:val="00B63A7B"/>
    <w:rsid w:val="00B743BA"/>
    <w:rsid w:val="00B7465D"/>
    <w:rsid w:val="00B82E98"/>
    <w:rsid w:val="00B8579F"/>
    <w:rsid w:val="00B86C46"/>
    <w:rsid w:val="00B874B7"/>
    <w:rsid w:val="00BA7BCA"/>
    <w:rsid w:val="00BB3955"/>
    <w:rsid w:val="00BC1746"/>
    <w:rsid w:val="00BC7D1B"/>
    <w:rsid w:val="00BD3C91"/>
    <w:rsid w:val="00BE40E0"/>
    <w:rsid w:val="00BF1A73"/>
    <w:rsid w:val="00C44DF3"/>
    <w:rsid w:val="00CD2418"/>
    <w:rsid w:val="00CF0364"/>
    <w:rsid w:val="00CF4109"/>
    <w:rsid w:val="00CF61EA"/>
    <w:rsid w:val="00D25C02"/>
    <w:rsid w:val="00D77E8B"/>
    <w:rsid w:val="00DA3C85"/>
    <w:rsid w:val="00DA5E07"/>
    <w:rsid w:val="00DB2A21"/>
    <w:rsid w:val="00DD070C"/>
    <w:rsid w:val="00DD1151"/>
    <w:rsid w:val="00DD3E9D"/>
    <w:rsid w:val="00DE0F1F"/>
    <w:rsid w:val="00E20DC2"/>
    <w:rsid w:val="00E70CBD"/>
    <w:rsid w:val="00E71A9D"/>
    <w:rsid w:val="00E82372"/>
    <w:rsid w:val="00EA0A61"/>
    <w:rsid w:val="00EB224D"/>
    <w:rsid w:val="00EE2740"/>
    <w:rsid w:val="00F20547"/>
    <w:rsid w:val="00F447F0"/>
    <w:rsid w:val="00F47556"/>
    <w:rsid w:val="00F52297"/>
    <w:rsid w:val="00F53ABF"/>
    <w:rsid w:val="00F6753A"/>
    <w:rsid w:val="00F73BA8"/>
    <w:rsid w:val="00F748FC"/>
    <w:rsid w:val="00FD6F04"/>
    <w:rsid w:val="01CB58C2"/>
    <w:rsid w:val="01F321A0"/>
    <w:rsid w:val="05FC223C"/>
    <w:rsid w:val="061C3F4A"/>
    <w:rsid w:val="072E02D5"/>
    <w:rsid w:val="0757482B"/>
    <w:rsid w:val="07B94603"/>
    <w:rsid w:val="0A700A33"/>
    <w:rsid w:val="0B59666F"/>
    <w:rsid w:val="0B6D72A9"/>
    <w:rsid w:val="0E08495E"/>
    <w:rsid w:val="0EAA7C1C"/>
    <w:rsid w:val="11F052D6"/>
    <w:rsid w:val="13F83153"/>
    <w:rsid w:val="14E06A25"/>
    <w:rsid w:val="191A0873"/>
    <w:rsid w:val="1D0417DD"/>
    <w:rsid w:val="1D8E3A41"/>
    <w:rsid w:val="1DC174AD"/>
    <w:rsid w:val="1E3B3743"/>
    <w:rsid w:val="20240065"/>
    <w:rsid w:val="21860F96"/>
    <w:rsid w:val="23993581"/>
    <w:rsid w:val="24EF4B49"/>
    <w:rsid w:val="25224278"/>
    <w:rsid w:val="252512E3"/>
    <w:rsid w:val="25E67338"/>
    <w:rsid w:val="25FD49D4"/>
    <w:rsid w:val="281C4A19"/>
    <w:rsid w:val="28722A91"/>
    <w:rsid w:val="2B160490"/>
    <w:rsid w:val="2BF63D51"/>
    <w:rsid w:val="2C9D5212"/>
    <w:rsid w:val="2E9D5D04"/>
    <w:rsid w:val="2EB92C47"/>
    <w:rsid w:val="2EBC4A66"/>
    <w:rsid w:val="2F39109A"/>
    <w:rsid w:val="2F996633"/>
    <w:rsid w:val="32F10A57"/>
    <w:rsid w:val="333D0C66"/>
    <w:rsid w:val="33CC6B7F"/>
    <w:rsid w:val="340F71F4"/>
    <w:rsid w:val="38014AC7"/>
    <w:rsid w:val="38B00893"/>
    <w:rsid w:val="3B1D6917"/>
    <w:rsid w:val="3BEB24E7"/>
    <w:rsid w:val="3CA05E05"/>
    <w:rsid w:val="3EAA0C79"/>
    <w:rsid w:val="3F1C2A13"/>
    <w:rsid w:val="3F4A1C1A"/>
    <w:rsid w:val="40D52048"/>
    <w:rsid w:val="41774FF8"/>
    <w:rsid w:val="417C1E33"/>
    <w:rsid w:val="433D6C85"/>
    <w:rsid w:val="43684434"/>
    <w:rsid w:val="45173816"/>
    <w:rsid w:val="4719259B"/>
    <w:rsid w:val="476E1BC4"/>
    <w:rsid w:val="49306CF7"/>
    <w:rsid w:val="4AC67B9D"/>
    <w:rsid w:val="4C835885"/>
    <w:rsid w:val="4C8C3872"/>
    <w:rsid w:val="4EE96D5A"/>
    <w:rsid w:val="4EFD637E"/>
    <w:rsid w:val="505A792C"/>
    <w:rsid w:val="511B6357"/>
    <w:rsid w:val="544F332D"/>
    <w:rsid w:val="54C21E15"/>
    <w:rsid w:val="55DE5100"/>
    <w:rsid w:val="56517337"/>
    <w:rsid w:val="59484FC5"/>
    <w:rsid w:val="5F4872DE"/>
    <w:rsid w:val="5FE25A0A"/>
    <w:rsid w:val="61415519"/>
    <w:rsid w:val="629965C8"/>
    <w:rsid w:val="66AE5085"/>
    <w:rsid w:val="66E02478"/>
    <w:rsid w:val="678F3CB2"/>
    <w:rsid w:val="67DE73E1"/>
    <w:rsid w:val="6B2E09FC"/>
    <w:rsid w:val="6B380BB3"/>
    <w:rsid w:val="6C661592"/>
    <w:rsid w:val="6C6A4D83"/>
    <w:rsid w:val="6C77554D"/>
    <w:rsid w:val="6D964261"/>
    <w:rsid w:val="6DCA3571"/>
    <w:rsid w:val="71A44693"/>
    <w:rsid w:val="72507332"/>
    <w:rsid w:val="73B36106"/>
    <w:rsid w:val="74601B33"/>
    <w:rsid w:val="7553672D"/>
    <w:rsid w:val="770E2B74"/>
    <w:rsid w:val="77C47DAA"/>
    <w:rsid w:val="79881175"/>
    <w:rsid w:val="7C456D3F"/>
    <w:rsid w:val="7CC55E61"/>
    <w:rsid w:val="7DE94297"/>
    <w:rsid w:val="7DFC3B04"/>
    <w:rsid w:val="7FDBE7BF"/>
    <w:rsid w:val="7FFDB37A"/>
    <w:rsid w:val="BEF78B6C"/>
    <w:rsid w:val="DF6FCF91"/>
    <w:rsid w:val="F4FEEAAB"/>
    <w:rsid w:val="FF9E6F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21"/>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7"/>
    <w:qFormat/>
    <w:uiPriority w:val="0"/>
    <w:pPr>
      <w:spacing w:after="120"/>
      <w:ind w:left="420" w:leftChars="200"/>
    </w:pPr>
    <w:rPr>
      <w:szCs w:val="20"/>
    </w:rPr>
  </w:style>
  <w:style w:type="paragraph" w:styleId="4">
    <w:name w:val="Body Text Indent 2"/>
    <w:basedOn w:val="1"/>
    <w:link w:val="18"/>
    <w:qFormat/>
    <w:uiPriority w:val="0"/>
    <w:pPr>
      <w:spacing w:after="120" w:line="480" w:lineRule="auto"/>
      <w:ind w:left="420" w:leftChars="200"/>
    </w:pPr>
  </w:style>
  <w:style w:type="paragraph" w:styleId="5">
    <w:name w:val="Balloon Text"/>
    <w:basedOn w:val="1"/>
    <w:link w:val="15"/>
    <w:qFormat/>
    <w:uiPriority w:val="0"/>
    <w:rPr>
      <w:sz w:val="18"/>
      <w:szCs w:val="18"/>
    </w:r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rFonts w:ascii="Calibri" w:hAnsi="Calibri" w:eastAsia="宋体" w:cs="Times New Roman"/>
      <w:kern w:val="0"/>
      <w:sz w:val="24"/>
      <w:lang w:val="en-US" w:eastAsia="zh-CN" w:bidi="ar"/>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22"/>
    <w:rPr>
      <w:b/>
      <w:bCs/>
    </w:rPr>
  </w:style>
  <w:style w:type="character" w:customStyle="1" w:styleId="13">
    <w:name w:val="页眉 Char"/>
    <w:basedOn w:val="11"/>
    <w:link w:val="7"/>
    <w:qFormat/>
    <w:uiPriority w:val="0"/>
    <w:rPr>
      <w:kern w:val="2"/>
      <w:sz w:val="18"/>
      <w:szCs w:val="18"/>
    </w:rPr>
  </w:style>
  <w:style w:type="character" w:customStyle="1" w:styleId="14">
    <w:name w:val="页脚 Char"/>
    <w:basedOn w:val="11"/>
    <w:link w:val="6"/>
    <w:qFormat/>
    <w:uiPriority w:val="99"/>
    <w:rPr>
      <w:kern w:val="2"/>
      <w:sz w:val="18"/>
      <w:szCs w:val="18"/>
    </w:rPr>
  </w:style>
  <w:style w:type="character" w:customStyle="1" w:styleId="15">
    <w:name w:val="批注框文本 Char"/>
    <w:basedOn w:val="11"/>
    <w:link w:val="5"/>
    <w:qFormat/>
    <w:uiPriority w:val="0"/>
    <w:rPr>
      <w:kern w:val="2"/>
      <w:sz w:val="18"/>
      <w:szCs w:val="18"/>
    </w:rPr>
  </w:style>
  <w:style w:type="paragraph" w:styleId="16">
    <w:name w:val="List Paragraph"/>
    <w:basedOn w:val="1"/>
    <w:qFormat/>
    <w:uiPriority w:val="34"/>
    <w:pPr>
      <w:ind w:firstLine="420" w:firstLineChars="200"/>
    </w:pPr>
  </w:style>
  <w:style w:type="character" w:customStyle="1" w:styleId="17">
    <w:name w:val="正文文本缩进 Char"/>
    <w:basedOn w:val="11"/>
    <w:link w:val="3"/>
    <w:qFormat/>
    <w:uiPriority w:val="0"/>
    <w:rPr>
      <w:kern w:val="2"/>
      <w:sz w:val="21"/>
    </w:rPr>
  </w:style>
  <w:style w:type="character" w:customStyle="1" w:styleId="18">
    <w:name w:val="正文文本缩进 2 Char"/>
    <w:basedOn w:val="11"/>
    <w:link w:val="4"/>
    <w:qFormat/>
    <w:uiPriority w:val="0"/>
    <w:rPr>
      <w:kern w:val="2"/>
      <w:sz w:val="21"/>
      <w:szCs w:val="24"/>
    </w:rPr>
  </w:style>
  <w:style w:type="paragraph" w:customStyle="1" w:styleId="19">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20">
    <w:name w:val="Char Char1 Char Char Char Char Char Char Char"/>
    <w:basedOn w:val="1"/>
    <w:qFormat/>
    <w:uiPriority w:val="0"/>
    <w:pPr>
      <w:widowControl/>
      <w:spacing w:after="160" w:line="240" w:lineRule="exact"/>
      <w:jc w:val="left"/>
    </w:pPr>
    <w:rPr>
      <w:rFonts w:ascii="Tahoma" w:hAnsi="Tahoma" w:eastAsia="Times New Roman" w:cs="Tahoma"/>
      <w:kern w:val="0"/>
      <w:sz w:val="20"/>
      <w:szCs w:val="20"/>
      <w:lang w:eastAsia="en-US"/>
    </w:rPr>
  </w:style>
  <w:style w:type="character" w:customStyle="1" w:styleId="21">
    <w:name w:val="标题 3 Char"/>
    <w:basedOn w:val="11"/>
    <w:link w:val="2"/>
    <w:qFormat/>
    <w:uiPriority w:val="9"/>
    <w:rPr>
      <w:rFonts w:ascii="宋体" w:hAnsi="宋体" w:cs="宋体"/>
      <w:b/>
      <w:bCs/>
      <w:sz w:val="27"/>
      <w:szCs w:val="27"/>
    </w:rPr>
  </w:style>
  <w:style w:type="paragraph" w:customStyle="1" w:styleId="22">
    <w:name w:val="5.1 标题"/>
    <w:basedOn w:val="1"/>
    <w:qFormat/>
    <w:uiPriority w:val="0"/>
    <w:pPr>
      <w:numPr>
        <w:ilvl w:val="0"/>
        <w:numId w:val="1"/>
      </w:numPr>
    </w:pPr>
    <w:rPr>
      <w:rFonts w:eastAsia="仿宋_GB2312"/>
      <w:color w:val="000000"/>
      <w:kern w:val="0"/>
      <w:sz w:val="32"/>
      <w:szCs w:val="32"/>
    </w:rPr>
  </w:style>
  <w:style w:type="paragraph" w:customStyle="1" w:styleId="23">
    <w:name w:val="正文1"/>
    <w:basedOn w:val="1"/>
    <w:qFormat/>
    <w:uiPriority w:val="0"/>
    <w:pPr>
      <w:spacing w:line="360" w:lineRule="auto"/>
      <w:ind w:firstLine="640" w:firstLineChars="200"/>
    </w:pPr>
    <w:rPr>
      <w:rFonts w:eastAsia="仿宋_GB2312"/>
      <w:color w:val="000000"/>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2629</Words>
  <Characters>2862</Characters>
  <Lines>22</Lines>
  <Paragraphs>6</Paragraphs>
  <TotalTime>2</TotalTime>
  <ScaleCrop>false</ScaleCrop>
  <LinksUpToDate>false</LinksUpToDate>
  <CharactersWithSpaces>2903</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2020-04-16T03:09:00Z</dcterms:created>
  <dc:creator>Think</dc:creator>
  <cp:lastModifiedBy>scj</cp:lastModifiedBy>
  <dcterms:modified xsi:type="dcterms:W3CDTF">2024-11-05T08:56:53Z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5E40FB15A8BE45B381C6C9A6E57F6851_13</vt:lpwstr>
  </property>
</Properties>
</file>