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5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32"/>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32"/>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32"/>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32"/>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点击此处添加CCS号</w:t>
            </w:r>
          </w:p>
        </w:tc>
      </w:tr>
    </w:tbl>
    <w:tbl>
      <w:tblPr>
        <w:tblStyle w:val="5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73"/>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65</w:t>
            </w:r>
            <w:r>
              <w:fldChar w:fldCharType="end"/>
            </w:r>
            <w:bookmarkEnd w:id="1"/>
          </w:p>
        </w:tc>
      </w:tr>
    </w:tbl>
    <w:p>
      <w:pPr>
        <w:pStyle w:val="74"/>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pPr>
        <w:pStyle w:val="219"/>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t>65</w:t>
      </w:r>
      <w:r>
        <w:rPr>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t>202X</w:t>
      </w:r>
    </w:p>
    <w:p>
      <w:pPr>
        <w:pStyle w:val="220"/>
        <w:framePr/>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74"/>
        <w:framePr w:w="9639" w:h="6976" w:hRule="exact" w:hSpace="0" w:vSpace="0" w:hAnchor="page" w:y="6408"/>
        <w:jc w:val="center"/>
        <w:rPr>
          <w:rFonts w:ascii="黑体" w:hAnsi="黑体" w:eastAsia="黑体"/>
          <w:b w:val="0"/>
          <w:bCs w:val="0"/>
          <w:w w:val="100"/>
        </w:rPr>
      </w:pPr>
    </w:p>
    <w:p>
      <w:pPr>
        <w:pStyle w:val="221"/>
        <w:framePr w:h="6974" w:hRule="exact" w:x="1419" w:anchorLock="1"/>
      </w:pPr>
    </w:p>
    <w:p>
      <w:pPr>
        <w:pStyle w:val="221"/>
        <w:framePr w:h="6974" w:hRule="exact" w:x="1419" w:anchorLock="1"/>
      </w:pPr>
    </w:p>
    <w:p>
      <w:pPr>
        <w:pStyle w:val="201"/>
        <w:framePr w:w="9639" w:h="6974" w:hRule="exact" w:wrap="around" w:vAnchor="page" w:hAnchor="page" w:x="1419" w:y="6408" w:anchorLock="1"/>
        <w:spacing w:before="436" w:beforeLines="182" w:after="2" w:afterLines="1"/>
        <w:rPr>
          <w:bCs/>
          <w:kern w:val="0"/>
          <w:sz w:val="52"/>
          <w:szCs w:val="20"/>
        </w:rPr>
      </w:pPr>
      <w:bookmarkStart w:id="6" w:name="_Hlk120956676"/>
      <w:r>
        <w:rPr>
          <w:rFonts w:hint="eastAsia"/>
          <w:bCs/>
          <w:kern w:val="0"/>
          <w:sz w:val="52"/>
          <w:szCs w:val="20"/>
        </w:rPr>
        <w:t>化工企业安全操作规程编制指南</w:t>
      </w:r>
    </w:p>
    <w:bookmarkEnd w:id="6"/>
    <w:p>
      <w:pPr>
        <w:framePr w:w="9639" w:h="6974" w:hRule="exact" w:wrap="around" w:vAnchor="page" w:hAnchor="page" w:x="1419" w:y="6408" w:anchorLock="1"/>
        <w:ind w:left="-1418"/>
        <w:rPr>
          <w:rFonts w:ascii="Times New Roman" w:hAnsi="Times New Roman" w:eastAsia="黑体"/>
          <w:kern w:val="0"/>
          <w:sz w:val="28"/>
          <w:szCs w:val="28"/>
        </w:rPr>
      </w:pPr>
    </w:p>
    <w:p>
      <w:pPr>
        <w:pStyle w:val="149"/>
        <w:framePr w:w="9639" w:h="6974" w:hRule="exact" w:wrap="around" w:vAnchor="page" w:hAnchor="page" w:x="1419" w:y="6408" w:anchorLock="1"/>
        <w:textAlignment w:val="bottom"/>
        <w:rPr>
          <w:rFonts w:eastAsia="黑体"/>
          <w:szCs w:val="28"/>
        </w:rPr>
      </w:pPr>
      <w:r>
        <w:rPr>
          <w:rFonts w:hint="eastAsia" w:eastAsia="黑体"/>
          <w:szCs w:val="28"/>
        </w:rPr>
        <w:t>Guidelines for the preparation of safety operating procedures for chemical enterprises</w:t>
      </w:r>
    </w:p>
    <w:p>
      <w:pPr>
        <w:pStyle w:val="149"/>
        <w:framePr w:w="9639" w:h="6974" w:hRule="exact" w:wrap="around" w:vAnchor="page" w:hAnchor="page" w:x="1419" w:y="6408" w:anchorLock="1"/>
        <w:textAlignment w:val="bottom"/>
        <w:rPr>
          <w:rFonts w:eastAsia="黑体"/>
          <w:szCs w:val="28"/>
        </w:rPr>
      </w:pPr>
    </w:p>
    <w:p>
      <w:pPr>
        <w:pStyle w:val="149"/>
        <w:framePr w:w="9639" w:h="6974" w:hRule="exact" w:wrap="around" w:vAnchor="page" w:hAnchor="page" w:x="1419" w:y="6408" w:anchorLock="1"/>
        <w:spacing w:before="440" w:after="160"/>
        <w:textAlignment w:val="bottom"/>
        <w:rPr>
          <w:rFonts w:eastAsia="仿宋_GB2312"/>
          <w:color w:val="0000FF"/>
          <w:sz w:val="24"/>
          <w:szCs w:val="28"/>
          <w:highlight w:val="cyan"/>
        </w:rPr>
      </w:pPr>
    </w:p>
    <w:p>
      <w:pPr>
        <w:pStyle w:val="14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4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217"/>
        <w:framePr w:y="14176"/>
      </w:pPr>
      <w:r>
        <w:rPr>
          <w:rFonts w:ascii="黑体"/>
        </w:rPr>
        <w:t>202X</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pStyle w:val="218"/>
        <w:framePr w:y="14176"/>
      </w:pPr>
      <w:r>
        <w:rPr>
          <w:rFonts w:ascii="黑体"/>
        </w:rPr>
        <w:t>202X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175"/>
        <w:framePr w:h="584" w:hRule="exact" w:hSpace="181" w:vSpace="181" w:y="15027"/>
        <w:rPr>
          <w:rFonts w:hAnsi="黑体"/>
        </w:rPr>
      </w:pPr>
      <w:r>
        <w:rPr>
          <w:rFonts w:hint="eastAsia" w:hAnsi="黑体"/>
          <w:w w:val="100"/>
          <w:sz w:val="28"/>
        </w:rPr>
        <w:t>新疆维吾尔自治区市场监督管理局</w:t>
      </w:r>
      <w:r>
        <w:rPr>
          <w:rFonts w:ascii="Times New Roman"/>
          <w:w w:val="100"/>
          <w:sz w:val="28"/>
        </w:rPr>
        <w:t>  </w:t>
      </w:r>
      <w:r>
        <w:rPr>
          <w:rStyle w:val="253"/>
          <w:rFonts w:hint="eastAsia" w:hAnsi="黑体"/>
          <w:position w:val="0"/>
        </w:rPr>
        <w:t>发</w:t>
      </w:r>
      <w:r>
        <w:rPr>
          <w:rStyle w:val="253"/>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115"/>
        <w:spacing w:after="468"/>
        <w:jc w:val="both"/>
      </w:pPr>
      <w:bookmarkStart w:id="13" w:name="BookMark1"/>
      <w:bookmarkStart w:id="14" w:name="_Toc78283027"/>
      <w:bookmarkStart w:id="15" w:name="_Toc78282998"/>
    </w:p>
    <w:p>
      <w:pPr>
        <w:pStyle w:val="26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lang w:val="zh-CN"/>
          <w14:textFill>
            <w14:solidFill>
              <w14:schemeClr w14:val="tx1"/>
            </w14:solidFill>
          </w14:textFill>
        </w:rPr>
        <w:t xml:space="preserve">目 </w:t>
      </w:r>
      <w:r>
        <w:rPr>
          <w:rFonts w:ascii="黑体" w:hAnsi="黑体" w:eastAsia="黑体"/>
          <w:color w:val="000000" w:themeColor="text1"/>
          <w:lang w:val="zh-CN"/>
          <w14:textFill>
            <w14:solidFill>
              <w14:schemeClr w14:val="tx1"/>
            </w14:solidFill>
          </w14:textFill>
        </w:rPr>
        <w:t xml:space="preserve">   </w:t>
      </w:r>
      <w:r>
        <w:rPr>
          <w:rFonts w:hint="eastAsia" w:ascii="黑体" w:hAnsi="黑体" w:eastAsia="黑体"/>
          <w:color w:val="000000" w:themeColor="text1"/>
          <w:lang w:val="zh-CN"/>
          <w14:textFill>
            <w14:solidFill>
              <w14:schemeClr w14:val="tx1"/>
            </w14:solidFill>
          </w14:textFill>
        </w:rPr>
        <w:t>次</w:t>
      </w:r>
    </w:p>
    <w:p>
      <w:pPr>
        <w:pStyle w:val="33"/>
        <w:tabs>
          <w:tab w:val="right" w:leader="dot" w:pos="9355"/>
        </w:tabs>
        <w:rPr>
          <w:rFonts w:ascii="宋体" w:hAnsi="宋体" w:cs="宋体"/>
        </w:rPr>
      </w:pPr>
      <w:r>
        <w:rPr>
          <w:b/>
          <w:bCs/>
          <w:lang w:val="zh-CN"/>
        </w:rPr>
        <w:fldChar w:fldCharType="begin"/>
      </w:r>
      <w:r>
        <w:rPr>
          <w:b/>
          <w:bCs/>
          <w:lang w:val="zh-CN"/>
        </w:rPr>
        <w:instrText xml:space="preserve">TOC \o "1-3" \h \u </w:instrText>
      </w:r>
      <w:r>
        <w:rPr>
          <w:b/>
          <w:bCs/>
          <w:lang w:val="zh-CN"/>
        </w:rPr>
        <w:fldChar w:fldCharType="separate"/>
      </w:r>
      <w:r>
        <w:fldChar w:fldCharType="begin"/>
      </w:r>
      <w:r>
        <w:instrText xml:space="preserve"> HYPERLINK \l "_Toc24493" </w:instrText>
      </w:r>
      <w:r>
        <w:fldChar w:fldCharType="separate"/>
      </w:r>
      <w:r>
        <w:rPr>
          <w:rFonts w:hint="eastAsia" w:ascii="宋体" w:hAnsi="宋体" w:cs="宋体"/>
        </w:rPr>
        <w:t>前言</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_Toc24493 </w:instrText>
      </w:r>
      <w:r>
        <w:rPr>
          <w:rFonts w:hint="eastAsia" w:ascii="宋体" w:hAnsi="宋体" w:cs="宋体"/>
        </w:rPr>
        <w:fldChar w:fldCharType="separate"/>
      </w:r>
      <w:r>
        <w:rPr>
          <w:rFonts w:hint="eastAsia" w:ascii="宋体" w:hAnsi="宋体" w:cs="宋体"/>
        </w:rPr>
        <w:t>II</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"_Toc4037" </w:instrText>
      </w:r>
      <w:r>
        <w:fldChar w:fldCharType="separate"/>
      </w:r>
      <w:r>
        <w:rPr>
          <w:rFonts w:hint="eastAsia" w:ascii="宋体" w:hAnsi="宋体" w:cs="宋体"/>
        </w:rPr>
        <w:t>1</w:t>
      </w:r>
      <w:r>
        <w:rPr>
          <w:rStyle w:val="53"/>
          <w:rFonts w:hint="eastAsia" w:hAnsi="宋体" w:cs="宋体"/>
        </w:rPr>
        <w:t xml:space="preserve">  </w:t>
      </w:r>
      <w:r>
        <w:rPr>
          <w:rFonts w:hint="eastAsia" w:ascii="宋体" w:hAnsi="宋体" w:cs="宋体"/>
        </w:rPr>
        <w:t>范围</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_Toc4037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"_Toc9540" </w:instrText>
      </w:r>
      <w:r>
        <w:fldChar w:fldCharType="separate"/>
      </w:r>
      <w:r>
        <w:rPr>
          <w:rFonts w:hint="eastAsia" w:ascii="宋体" w:hAnsi="宋体" w:cs="宋体"/>
        </w:rPr>
        <w:t>2</w:t>
      </w:r>
      <w:r>
        <w:rPr>
          <w:rStyle w:val="53"/>
          <w:rFonts w:hint="eastAsia" w:hAnsi="宋体" w:cs="宋体"/>
        </w:rPr>
        <w:t xml:space="preserve">  </w:t>
      </w:r>
      <w:r>
        <w:rPr>
          <w:rFonts w:hint="eastAsia" w:ascii="宋体" w:hAnsi="宋体" w:cs="宋体"/>
        </w:rPr>
        <w:t>规范性引用文件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_Toc9540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"_Toc5605" </w:instrText>
      </w:r>
      <w:r>
        <w:fldChar w:fldCharType="separate"/>
      </w:r>
      <w:r>
        <w:rPr>
          <w:rFonts w:hint="eastAsia" w:ascii="宋体" w:hAnsi="宋体" w:cs="宋体"/>
        </w:rPr>
        <w:t>3</w:t>
      </w:r>
      <w:r>
        <w:rPr>
          <w:rStyle w:val="53"/>
          <w:rFonts w:hint="eastAsia" w:hAnsi="宋体" w:cs="宋体"/>
        </w:rPr>
        <w:t xml:space="preserve">  </w:t>
      </w:r>
      <w:r>
        <w:rPr>
          <w:rFonts w:hint="eastAsia" w:ascii="宋体" w:hAnsi="宋体" w:cs="宋体"/>
        </w:rPr>
        <w:t>术语和定义</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_Toc5605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"_Toc2390" </w:instrText>
      </w:r>
      <w:r>
        <w:fldChar w:fldCharType="separate"/>
      </w:r>
      <w:r>
        <w:rPr>
          <w:rFonts w:hint="eastAsia" w:ascii="宋体" w:hAnsi="宋体" w:cs="宋体"/>
        </w:rPr>
        <w:t>4</w:t>
      </w:r>
      <w:r>
        <w:rPr>
          <w:rStyle w:val="53"/>
          <w:rFonts w:hint="eastAsia" w:hAnsi="宋体" w:cs="宋体"/>
        </w:rPr>
        <w:t xml:space="preserve">  </w:t>
      </w:r>
      <w:r>
        <w:rPr>
          <w:rFonts w:hint="eastAsia" w:ascii="宋体" w:hAnsi="宋体" w:cs="宋体"/>
        </w:rPr>
        <w:t>总则</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_Toc2390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"_Toc5366" </w:instrText>
      </w:r>
      <w:r>
        <w:fldChar w:fldCharType="separate"/>
      </w:r>
      <w:r>
        <w:rPr>
          <w:rFonts w:hint="eastAsia" w:ascii="宋体" w:hAnsi="宋体" w:cs="宋体"/>
        </w:rPr>
        <w:t>5</w:t>
      </w:r>
      <w:r>
        <w:rPr>
          <w:rStyle w:val="53"/>
          <w:rFonts w:hint="eastAsia" w:hAnsi="宋体" w:cs="宋体"/>
        </w:rPr>
        <w:t xml:space="preserve">  </w:t>
      </w:r>
      <w:r>
        <w:rPr>
          <w:rFonts w:hint="eastAsia" w:ascii="宋体" w:hAnsi="宋体" w:cs="宋体"/>
        </w:rPr>
        <w:t>编制前准备</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_Toc5366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"_Toc32668" </w:instrText>
      </w:r>
      <w:r>
        <w:fldChar w:fldCharType="separate"/>
      </w:r>
      <w:r>
        <w:rPr>
          <w:rFonts w:hint="eastAsia" w:ascii="宋体" w:hAnsi="宋体" w:cs="宋体"/>
        </w:rPr>
        <w:t>6</w:t>
      </w:r>
      <w:r>
        <w:rPr>
          <w:rStyle w:val="53"/>
          <w:rFonts w:hint="eastAsia" w:hAnsi="宋体" w:cs="宋体"/>
        </w:rPr>
        <w:t xml:space="preserve">  </w:t>
      </w:r>
      <w:r>
        <w:rPr>
          <w:rFonts w:hint="eastAsia" w:ascii="宋体" w:hAnsi="宋体" w:cs="宋体"/>
        </w:rPr>
        <w:t>编制与评审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_Toc32668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"_Toc7836" </w:instrText>
      </w:r>
      <w:r>
        <w:fldChar w:fldCharType="separate"/>
      </w:r>
      <w:r>
        <w:rPr>
          <w:rFonts w:hint="eastAsia" w:ascii="宋体" w:hAnsi="宋体" w:cs="宋体"/>
        </w:rPr>
        <w:t>7</w:t>
      </w:r>
      <w:r>
        <w:rPr>
          <w:rStyle w:val="53"/>
          <w:rFonts w:hint="eastAsia" w:hAnsi="宋体" w:cs="宋体"/>
        </w:rPr>
        <w:t xml:space="preserve">  </w:t>
      </w:r>
      <w:r>
        <w:rPr>
          <w:rFonts w:hint="eastAsia" w:ascii="宋体" w:hAnsi="宋体" w:cs="宋体"/>
        </w:rPr>
        <w:t>发布实施与管理</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_Toc7836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"_Toc14149" </w:instrText>
      </w:r>
      <w:r>
        <w:fldChar w:fldCharType="separate"/>
      </w:r>
      <w:r>
        <w:rPr>
          <w:rFonts w:hint="eastAsia" w:ascii="宋体" w:hAnsi="宋体" w:cs="宋体"/>
        </w:rPr>
        <w:t>附录A</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_Toc14149 </w:instrText>
      </w:r>
      <w:r>
        <w:rPr>
          <w:rFonts w:hint="eastAsia" w:ascii="宋体" w:hAnsi="宋体" w:cs="宋体"/>
        </w:rPr>
        <w:fldChar w:fldCharType="separate"/>
      </w:r>
      <w:r>
        <w:rPr>
          <w:rFonts w:hint="eastAsia" w:ascii="宋体" w:hAnsi="宋体" w:cs="宋体"/>
        </w:rPr>
        <w:t>5</w:t>
      </w:r>
      <w:r>
        <w:rPr>
          <w:rFonts w:hint="eastAsia" w:ascii="宋体" w:hAnsi="宋体" w:cs="宋体"/>
        </w:rPr>
        <w:fldChar w:fldCharType="end"/>
      </w:r>
      <w:r>
        <w:rPr>
          <w:rFonts w:hint="eastAsia" w:ascii="宋体" w:hAnsi="宋体" w:cs="宋体"/>
        </w:rPr>
        <w:fldChar w:fldCharType="end"/>
      </w:r>
    </w:p>
    <w:p>
      <w:pPr>
        <w:pStyle w:val="33"/>
        <w:tabs>
          <w:tab w:val="right" w:leader="dot" w:pos="9344"/>
        </w:tabs>
        <w:rPr>
          <w:rFonts w:ascii="宋体" w:hAnsi="宋体" w:cs="宋体"/>
        </w:rPr>
      </w:pPr>
      <w:r>
        <w:fldChar w:fldCharType="begin"/>
      </w:r>
      <w:r>
        <w:instrText xml:space="preserve"> HYPERLINK \l "_Toc25012" </w:instrText>
      </w:r>
      <w:r>
        <w:fldChar w:fldCharType="separate"/>
      </w:r>
      <w:r>
        <w:rPr>
          <w:rFonts w:hint="eastAsia" w:ascii="宋体" w:hAnsi="宋体" w:cs="宋体"/>
        </w:rPr>
        <w:t>附录B</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_Toc25012 </w:instrText>
      </w:r>
      <w:r>
        <w:rPr>
          <w:rFonts w:hint="eastAsia" w:ascii="宋体" w:hAnsi="宋体" w:cs="宋体"/>
        </w:rPr>
        <w:fldChar w:fldCharType="separate"/>
      </w:r>
      <w:r>
        <w:rPr>
          <w:rFonts w:hint="eastAsia" w:ascii="宋体" w:hAnsi="宋体" w:cs="宋体"/>
        </w:rPr>
        <w:t>8</w:t>
      </w:r>
      <w:r>
        <w:rPr>
          <w:rFonts w:hint="eastAsia" w:ascii="宋体" w:hAnsi="宋体" w:cs="宋体"/>
        </w:rPr>
        <w:fldChar w:fldCharType="end"/>
      </w:r>
      <w:r>
        <w:rPr>
          <w:rFonts w:hint="eastAsia" w:ascii="宋体" w:hAnsi="宋体" w:cs="宋体"/>
        </w:rPr>
        <w:fldChar w:fldCharType="end"/>
      </w:r>
    </w:p>
    <w:p>
      <w:pPr>
        <w:pStyle w:val="33"/>
        <w:tabs>
          <w:tab w:val="right" w:leader="dot" w:pos="9355"/>
        </w:tabs>
        <w:rPr>
          <w:rFonts w:ascii="宋体" w:hAnsi="宋体" w:cs="宋体"/>
        </w:rPr>
      </w:pPr>
      <w:r>
        <w:fldChar w:fldCharType="begin"/>
      </w:r>
      <w:r>
        <w:instrText xml:space="preserve"> HYPERLINK \l "_Toc21347" </w:instrText>
      </w:r>
      <w:r>
        <w:fldChar w:fldCharType="separate"/>
      </w:r>
      <w:r>
        <w:rPr>
          <w:rFonts w:hint="eastAsia" w:ascii="宋体" w:hAnsi="宋体" w:cs="宋体"/>
        </w:rPr>
        <w:t>参考文献</w:t>
      </w:r>
      <w:r>
        <w:rPr>
          <w:rFonts w:hint="eastAsia" w:ascii="宋体" w:hAnsi="宋体" w:cs="宋体"/>
        </w:rPr>
        <w:tab/>
      </w:r>
      <w:r>
        <w:rPr>
          <w:rFonts w:hint="eastAsia" w:ascii="宋体" w:hAnsi="宋体" w:cs="宋体"/>
        </w:rPr>
        <w:t>9</w:t>
      </w:r>
      <w:r>
        <w:rPr>
          <w:rFonts w:hint="eastAsia" w:ascii="宋体" w:hAnsi="宋体" w:cs="宋体"/>
        </w:rPr>
        <w:fldChar w:fldCharType="end"/>
      </w:r>
    </w:p>
    <w:p>
      <w:pPr>
        <w:pStyle w:val="115"/>
        <w:spacing w:after="468"/>
        <w:jc w:val="both"/>
        <w:sectPr>
          <w:headerReference r:id="rId9" w:type="default"/>
          <w:footerReference r:id="rId11" w:type="default"/>
          <w:headerReference r:id="rId10" w:type="even"/>
          <w:footerReference r:id="rId12" w:type="even"/>
          <w:pgSz w:w="11906" w:h="16838"/>
          <w:pgMar w:top="567" w:right="1134" w:bottom="1134" w:left="1134" w:header="1418" w:footer="1134" w:gutter="283"/>
          <w:pgNumType w:fmt="upperRoman" w:start="1"/>
          <w:cols w:space="0" w:num="1"/>
          <w:formProt w:val="0"/>
          <w:docGrid w:type="lines" w:linePitch="312" w:charSpace="0"/>
        </w:sectPr>
      </w:pPr>
      <w:r>
        <w:rPr>
          <w:rFonts w:ascii="Calibri" w:eastAsia="宋体"/>
          <w:bCs/>
          <w:lang w:val="zh-CN"/>
        </w:rPr>
        <w:fldChar w:fldCharType="end"/>
      </w:r>
    </w:p>
    <w:bookmarkEnd w:id="13"/>
    <w:bookmarkEnd w:id="14"/>
    <w:bookmarkEnd w:id="15"/>
    <w:p>
      <w:pPr>
        <w:pStyle w:val="113"/>
        <w:spacing w:after="468"/>
      </w:pPr>
      <w:bookmarkStart w:id="16" w:name="_Toc14807"/>
      <w:bookmarkStart w:id="17" w:name="_Toc24303"/>
      <w:bookmarkStart w:id="18" w:name="_Toc24493"/>
      <w:r>
        <w:rPr>
          <w:spacing w:val="320"/>
        </w:rPr>
        <w:t>前</w:t>
      </w:r>
      <w:r>
        <w:t>言</w:t>
      </w:r>
      <w:bookmarkEnd w:id="16"/>
      <w:bookmarkEnd w:id="17"/>
      <w:bookmarkEnd w:id="18"/>
      <w:bookmarkStart w:id="19" w:name="BookMark2"/>
    </w:p>
    <w:p>
      <w:pPr>
        <w:pStyle w:val="80"/>
        <w:ind w:firstLine="420"/>
      </w:pPr>
      <w:r>
        <w:rPr>
          <w:rFonts w:hint="eastAsia"/>
        </w:rPr>
        <w:t>本文件按照GB/T 1.1—2020《标准化工作导则  第1部分：标准化文件的结构和起草规则》的规定起草。</w:t>
      </w:r>
    </w:p>
    <w:p>
      <w:pPr>
        <w:pStyle w:val="80"/>
        <w:ind w:firstLine="420"/>
      </w:pPr>
      <w:r>
        <w:rPr>
          <w:rFonts w:hint="eastAsia"/>
        </w:rPr>
        <w:t>请注意本文件的某些内容可能涉及专利。本文件的发布机构不承担识别专利的责任。</w:t>
      </w:r>
    </w:p>
    <w:p>
      <w:pPr>
        <w:pStyle w:val="80"/>
        <w:ind w:firstLine="420"/>
        <w:rPr>
          <w:color w:val="0070C0"/>
        </w:rPr>
      </w:pPr>
      <w:r>
        <w:rPr>
          <w:rFonts w:hint="eastAsia"/>
        </w:rPr>
        <w:t>本文件由新疆维吾尔自治区应急管理厅提出、归口并组织实施。</w:t>
      </w:r>
    </w:p>
    <w:p>
      <w:pPr>
        <w:pStyle w:val="80"/>
        <w:ind w:firstLine="420"/>
      </w:pPr>
      <w:r>
        <w:rPr>
          <w:rFonts w:hint="eastAsia"/>
        </w:rPr>
        <w:t>本标准起草单位：新疆维吾尔自治区应急管理科学研究院。</w:t>
      </w:r>
    </w:p>
    <w:p>
      <w:pPr>
        <w:pStyle w:val="80"/>
        <w:ind w:firstLine="420"/>
      </w:pPr>
      <w:r>
        <w:rPr>
          <w:rFonts w:hint="eastAsia"/>
        </w:rPr>
        <w:t>本标准主要起草人：。</w:t>
      </w:r>
    </w:p>
    <w:p>
      <w:pPr>
        <w:pStyle w:val="80"/>
        <w:ind w:firstLine="420"/>
      </w:pPr>
      <w:r>
        <w:rPr>
          <w:rFonts w:hint="eastAsia"/>
        </w:rPr>
        <w:t>本文件实施应用中的疑问，请咨询新疆维吾尔自治区应急管理科学研究院。</w:t>
      </w:r>
    </w:p>
    <w:p>
      <w:pPr>
        <w:pStyle w:val="80"/>
        <w:ind w:firstLine="420"/>
      </w:pPr>
      <w:r>
        <w:rPr>
          <w:rFonts w:hint="eastAsia"/>
        </w:rPr>
        <w:t>对本文件的修改意见建议，请反馈至新疆维吾尔自治区应急管理厅（乌鲁木齐市六道湾路59号）、新疆维吾尔自治区应急管理科学研究院（乌鲁木齐市</w:t>
      </w:r>
      <w:r>
        <w:rPr>
          <w:rFonts w:hint="eastAsia"/>
          <w:lang w:val="en-US" w:eastAsia="zh-CN"/>
        </w:rPr>
        <w:t>湖州路1799</w:t>
      </w:r>
      <w:bookmarkStart w:id="93" w:name="_GoBack"/>
      <w:bookmarkEnd w:id="93"/>
      <w:r>
        <w:rPr>
          <w:rFonts w:hint="eastAsia"/>
        </w:rPr>
        <w:t>号）、新疆维吾尔自治区市场监督管理局（乌鲁木齐市新华南路167号）。</w:t>
      </w:r>
    </w:p>
    <w:p>
      <w:pPr>
        <w:pStyle w:val="80"/>
        <w:ind w:firstLine="420"/>
      </w:pPr>
      <w:r>
        <w:rPr>
          <w:rFonts w:hint="eastAsia"/>
        </w:rPr>
        <w:t>新疆维吾尔自治区应急管理厅  联系电话：0</w:t>
      </w:r>
      <w:r>
        <w:t>991-5093134</w:t>
      </w:r>
      <w:r>
        <w:rPr>
          <w:rFonts w:hint="eastAsia"/>
        </w:rPr>
        <w:t>；传真：0</w:t>
      </w:r>
      <w:r>
        <w:t>991-5093134</w:t>
      </w:r>
      <w:r>
        <w:rPr>
          <w:rFonts w:hint="eastAsia"/>
        </w:rPr>
        <w:t>；邮编：830011</w:t>
      </w:r>
    </w:p>
    <w:p>
      <w:pPr>
        <w:pStyle w:val="80"/>
        <w:ind w:firstLine="420"/>
      </w:pPr>
      <w:r>
        <w:rPr>
          <w:rFonts w:hint="eastAsia"/>
        </w:rPr>
        <w:t>新疆维吾尔自治区应急管理科学研究院  联系电话：0991-5201509；0</w:t>
      </w:r>
      <w:r>
        <w:t>991-5093152</w:t>
      </w:r>
      <w:r>
        <w:rPr>
          <w:rFonts w:hint="eastAsia"/>
        </w:rPr>
        <w:t>；邮编：830011</w:t>
      </w:r>
    </w:p>
    <w:p>
      <w:pPr>
        <w:pStyle w:val="80"/>
        <w:ind w:firstLine="420"/>
        <w:sectPr>
          <w:headerReference r:id="rId13" w:type="default"/>
          <w:footerReference r:id="rId15" w:type="default"/>
          <w:headerReference r:id="rId14" w:type="even"/>
          <w:footerReference r:id="rId16" w:type="even"/>
          <w:pgSz w:w="11906" w:h="16838"/>
          <w:pgMar w:top="567" w:right="1134" w:bottom="1134" w:left="1134" w:header="1417" w:footer="1134" w:gutter="283"/>
          <w:pgNumType w:fmt="upperRoman"/>
          <w:cols w:space="0" w:num="1"/>
          <w:formProt w:val="0"/>
          <w:docGrid w:type="lines" w:linePitch="312" w:charSpace="0"/>
        </w:sectPr>
      </w:pPr>
      <w:r>
        <w:rPr>
          <w:rFonts w:hint="eastAsia"/>
        </w:rPr>
        <w:t>新疆维吾尔自治区市场监督管理局  联系电话：0991-2818750；传真：0991-2311250；邮编：830000</w:t>
      </w:r>
    </w:p>
    <w:p>
      <w:pPr>
        <w:pStyle w:val="80"/>
        <w:ind w:firstLine="420"/>
      </w:pPr>
    </w:p>
    <w:bookmarkEnd w:id="19"/>
    <w:p>
      <w:pPr>
        <w:spacing w:line="20" w:lineRule="exact"/>
        <w:jc w:val="center"/>
        <w:rPr>
          <w:rFonts w:ascii="黑体" w:hAnsi="黑体" w:eastAsia="黑体"/>
          <w:sz w:val="32"/>
          <w:szCs w:val="32"/>
        </w:rPr>
        <w:sectPr>
          <w:headerReference r:id="rId17" w:type="default"/>
          <w:footerReference r:id="rId19" w:type="default"/>
          <w:headerReference r:id="rId18" w:type="even"/>
          <w:footerReference r:id="rId20" w:type="even"/>
          <w:type w:val="continuous"/>
          <w:pgSz w:w="11906" w:h="16838"/>
          <w:pgMar w:top="567" w:right="1134" w:bottom="1134" w:left="1134" w:header="1417" w:footer="1134" w:gutter="283"/>
          <w:cols w:space="0" w:num="1"/>
          <w:formProt w:val="0"/>
          <w:docGrid w:type="lines" w:linePitch="312" w:charSpace="0"/>
        </w:sectPr>
      </w:pPr>
      <w:bookmarkStart w:id="20" w:name="BookMark4"/>
    </w:p>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tag w:val="NEW_STAND_NAME"/>
        <w:id w:val="595910757"/>
        <w:lock w:val="sdtLocked"/>
        <w:placeholder>
          <w:docPart w:val="{6100614f-b747-405e-8b47-32761a3c7715}"/>
        </w:placeholder>
      </w:sdtPr>
      <w:sdtContent>
        <w:p>
          <w:pPr>
            <w:pStyle w:val="201"/>
            <w:spacing w:before="3" w:beforeLines="1" w:after="3" w:afterLines="1"/>
            <w:jc w:val="both"/>
          </w:pPr>
          <w:bookmarkStart w:id="21" w:name="NEW_STAND_NAME"/>
        </w:p>
        <w:p>
          <w:pPr>
            <w:pStyle w:val="201"/>
            <w:spacing w:before="3" w:beforeLines="1" w:after="686" w:afterLines="220"/>
          </w:pPr>
          <w:bookmarkStart w:id="22" w:name="_Hlk127173369"/>
          <w:r>
            <w:rPr>
              <w:rFonts w:hint="eastAsia"/>
            </w:rPr>
            <w:t>化工企业安全操作规程编制指南</w:t>
          </w:r>
        </w:p>
      </w:sdtContent>
    </w:sdt>
    <w:bookmarkEnd w:id="20"/>
    <w:bookmarkEnd w:id="21"/>
    <w:bookmarkEnd w:id="22"/>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23" w:name="_Toc45528967"/>
      <w:bookmarkStart w:id="24" w:name="_Toc380064338"/>
      <w:bookmarkStart w:id="25" w:name="_Toc410834001"/>
      <w:bookmarkStart w:id="26" w:name="_Toc1472"/>
      <w:bookmarkStart w:id="27" w:name="_Toc380066209"/>
      <w:bookmarkStart w:id="28" w:name="_Toc4037"/>
      <w:r>
        <w:rPr>
          <w:rFonts w:hint="eastAsia" w:ascii="Times New Roman" w:hAnsi="Times New Roman" w:eastAsia="黑体"/>
          <w:color w:val="000000"/>
          <w:kern w:val="0"/>
          <w:sz w:val="21"/>
          <w:szCs w:val="22"/>
          <w:lang w:bidi="ar"/>
        </w:rPr>
        <w:t>范围</w:t>
      </w:r>
      <w:bookmarkEnd w:id="23"/>
      <w:bookmarkEnd w:id="24"/>
      <w:bookmarkEnd w:id="25"/>
      <w:bookmarkEnd w:id="26"/>
      <w:bookmarkEnd w:id="27"/>
      <w:bookmarkEnd w:id="28"/>
    </w:p>
    <w:p>
      <w:pPr>
        <w:pStyle w:val="80"/>
        <w:ind w:firstLine="420"/>
        <w:rPr>
          <w:rFonts w:hAnsi="宋体"/>
          <w:szCs w:val="21"/>
        </w:rPr>
      </w:pPr>
      <w:bookmarkStart w:id="29" w:name="_Toc45528968"/>
      <w:bookmarkStart w:id="30" w:name="_Toc32361"/>
      <w:bookmarkStart w:id="31" w:name="_Toc380066210"/>
      <w:bookmarkStart w:id="32" w:name="_Toc410834002"/>
      <w:bookmarkStart w:id="33" w:name="_Toc380064339"/>
      <w:r>
        <w:rPr>
          <w:rFonts w:hint="eastAsia" w:hAnsi="宋体"/>
          <w:szCs w:val="21"/>
        </w:rPr>
        <w:t>本标准为化工企业安全操作规程的编制提供了技术指导，主要内容包括：总则、编制前的准备、编制与评审、发布实施与管理。</w:t>
      </w:r>
    </w:p>
    <w:p>
      <w:pPr>
        <w:pStyle w:val="80"/>
        <w:ind w:firstLine="420"/>
        <w:rPr>
          <w:rFonts w:hAnsi="宋体"/>
          <w:szCs w:val="21"/>
        </w:rPr>
      </w:pPr>
      <w:r>
        <w:rPr>
          <w:rFonts w:hint="eastAsia" w:hAnsi="宋体"/>
          <w:szCs w:val="21"/>
        </w:rPr>
        <w:t>本标准适用于化工企业安全操作规程编制指南。</w:t>
      </w:r>
    </w:p>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34" w:name="_Toc9540"/>
      <w:r>
        <w:rPr>
          <w:rFonts w:hint="eastAsia" w:ascii="Times New Roman" w:hAnsi="Times New Roman" w:eastAsia="黑体"/>
          <w:color w:val="000000"/>
          <w:kern w:val="0"/>
          <w:sz w:val="21"/>
          <w:szCs w:val="22"/>
          <w:lang w:bidi="ar"/>
        </w:rPr>
        <w:t>规范性引用文件</w:t>
      </w:r>
      <w:bookmarkEnd w:id="29"/>
      <w:bookmarkEnd w:id="30"/>
      <w:bookmarkEnd w:id="31"/>
      <w:bookmarkEnd w:id="32"/>
      <w:bookmarkEnd w:id="33"/>
      <w:bookmarkEnd w:id="34"/>
    </w:p>
    <w:p>
      <w:pPr>
        <w:pStyle w:val="80"/>
        <w:ind w:firstLine="420"/>
      </w:pPr>
      <w:bookmarkStart w:id="35" w:name="_Toc410834003"/>
      <w:bookmarkStart w:id="36" w:name="_Toc45528969"/>
      <w:bookmarkStart w:id="37" w:name="_Toc32688"/>
      <w:bookmarkStart w:id="38" w:name="_Toc380066211"/>
      <w:r>
        <w:rPr>
          <w:rFonts w:hint="eastAsia"/>
        </w:rPr>
        <w:t>下列文件对于本文件的应用是必不可少的。凡是注日期的引用文件，仅所注日期的版本适用于本文件。凡是不注日期的引用文件，其最新版本（包括所有的修改单）适用于本文件。</w:t>
      </w:r>
    </w:p>
    <w:p>
      <w:pPr>
        <w:pStyle w:val="80"/>
        <w:ind w:firstLine="420"/>
      </w:pPr>
      <w:r>
        <w:rPr>
          <w:rFonts w:hint="eastAsia"/>
        </w:rPr>
        <w:t>GB 6441  企业职工伤亡事故分类</w:t>
      </w:r>
    </w:p>
    <w:p>
      <w:pPr>
        <w:pStyle w:val="80"/>
        <w:ind w:firstLine="420"/>
      </w:pPr>
      <w:r>
        <w:rPr>
          <w:rFonts w:hint="eastAsia"/>
        </w:rPr>
        <w:t>AQ/T 3034  化工过程安全管理导则</w:t>
      </w:r>
    </w:p>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39" w:name="_Toc5605"/>
      <w:r>
        <w:rPr>
          <w:rFonts w:hint="eastAsia" w:ascii="Times New Roman" w:hAnsi="Times New Roman" w:eastAsia="黑体"/>
          <w:color w:val="000000"/>
          <w:kern w:val="0"/>
          <w:sz w:val="21"/>
          <w:szCs w:val="22"/>
          <w:lang w:bidi="ar"/>
        </w:rPr>
        <w:t>术语和定义</w:t>
      </w:r>
      <w:bookmarkEnd w:id="35"/>
      <w:bookmarkEnd w:id="36"/>
      <w:bookmarkEnd w:id="37"/>
      <w:bookmarkEnd w:id="38"/>
      <w:bookmarkEnd w:id="39"/>
    </w:p>
    <w:p>
      <w:pPr>
        <w:pStyle w:val="80"/>
        <w:ind w:firstLine="420"/>
      </w:pPr>
      <w:r>
        <w:t>下列术语和定义适用于本文件。</w:t>
      </w:r>
    </w:p>
    <w:p>
      <w:pPr>
        <w:pStyle w:val="247"/>
        <w:rPr>
          <w:rFonts w:ascii="黑体" w:hAnsi="黑体" w:eastAsia="黑体"/>
        </w:rPr>
      </w:pPr>
      <w:r>
        <w:rPr>
          <w:rFonts w:hint="eastAsia" w:ascii="黑体" w:hAnsi="黑体" w:eastAsia="黑体"/>
        </w:rPr>
        <w:t>3</w:t>
      </w:r>
      <w:r>
        <w:rPr>
          <w:rFonts w:ascii="黑体" w:hAnsi="黑体" w:eastAsia="黑体"/>
        </w:rPr>
        <w:t xml:space="preserve">.1 </w:t>
      </w:r>
    </w:p>
    <w:p>
      <w:pPr>
        <w:pStyle w:val="247"/>
        <w:ind w:firstLine="420" w:firstLineChars="200"/>
        <w:rPr>
          <w:rFonts w:ascii="Times New Roman" w:eastAsia="黑体"/>
        </w:rPr>
      </w:pPr>
      <w:r>
        <w:rPr>
          <w:rFonts w:hint="eastAsia" w:ascii="黑体" w:hAnsi="黑体" w:eastAsia="黑体"/>
        </w:rPr>
        <w:t>安全操作规程</w:t>
      </w:r>
      <w:r>
        <w:rPr>
          <w:rFonts w:hint="eastAsia"/>
        </w:rPr>
        <w:t xml:space="preserve">  </w:t>
      </w:r>
      <w:r>
        <w:rPr>
          <w:rFonts w:hint="eastAsia" w:ascii="Times New Roman" w:eastAsia="黑体"/>
          <w:b/>
          <w:bCs/>
        </w:rPr>
        <w:t>Safetyoperation regulation</w:t>
      </w:r>
    </w:p>
    <w:p>
      <w:pPr>
        <w:pStyle w:val="80"/>
        <w:ind w:firstLine="420"/>
      </w:pPr>
      <w:r>
        <w:rPr>
          <w:rFonts w:hint="eastAsia"/>
        </w:rPr>
        <w:t>根据物料性质、工艺流程、作业活动、设备使用操作和自动控制等要求，制定的安全操作、安全作业要求及实施程序所作的规定。主要包括，安全技术知识、风险防控事项、重点关注内容、个体防护用品配备要求、异常情况应急处置措施等。</w:t>
      </w:r>
    </w:p>
    <w:p>
      <w:pPr>
        <w:pStyle w:val="247"/>
        <w:rPr>
          <w:rFonts w:ascii="黑体" w:hAnsi="黑体" w:eastAsia="黑体"/>
        </w:rPr>
      </w:pPr>
      <w:r>
        <w:rPr>
          <w:rFonts w:hint="eastAsia" w:ascii="黑体" w:hAnsi="黑体" w:eastAsia="黑体"/>
        </w:rPr>
        <w:t>3</w:t>
      </w:r>
      <w:r>
        <w:rPr>
          <w:rFonts w:ascii="黑体" w:hAnsi="黑体" w:eastAsia="黑体"/>
        </w:rPr>
        <w:t>.</w:t>
      </w:r>
      <w:r>
        <w:rPr>
          <w:rFonts w:hint="eastAsia" w:ascii="黑体" w:hAnsi="黑体" w:eastAsia="黑体"/>
        </w:rPr>
        <w:t>2</w:t>
      </w:r>
    </w:p>
    <w:p>
      <w:pPr>
        <w:pStyle w:val="80"/>
        <w:ind w:firstLine="420"/>
        <w:rPr>
          <w:rFonts w:ascii="黑体" w:hAnsi="黑体" w:eastAsia="黑体"/>
          <w:color w:val="000000"/>
          <w:szCs w:val="21"/>
        </w:rPr>
      </w:pPr>
      <w:r>
        <w:rPr>
          <w:rFonts w:hint="eastAsia" w:ascii="黑体" w:hAnsi="黑体" w:eastAsia="黑体"/>
          <w:color w:val="000000"/>
          <w:szCs w:val="21"/>
        </w:rPr>
        <w:t xml:space="preserve">风险  </w:t>
      </w:r>
      <w:r>
        <w:rPr>
          <w:rFonts w:hint="eastAsia" w:ascii="Times New Roman" w:eastAsia="黑体"/>
          <w:b/>
          <w:bCs/>
        </w:rPr>
        <w:t>risk</w:t>
      </w:r>
    </w:p>
    <w:p>
      <w:pPr>
        <w:pStyle w:val="80"/>
        <w:ind w:firstLine="420"/>
      </w:pPr>
      <w:r>
        <w:rPr>
          <w:rFonts w:hint="eastAsia"/>
        </w:rPr>
        <w:t xml:space="preserve">发生危险事件或有害暴露的可能性，与随之引发的人身伤害、健康损害或财产损失的严重性的组合。 </w:t>
      </w:r>
    </w:p>
    <w:p>
      <w:pPr>
        <w:pStyle w:val="80"/>
        <w:ind w:firstLine="420"/>
      </w:pPr>
      <w:r>
        <w:rPr>
          <w:rFonts w:hint="eastAsia"/>
        </w:rPr>
        <w:t>[来源：GB/T 33000—2016 ,3.8]</w:t>
      </w:r>
    </w:p>
    <w:p>
      <w:pPr>
        <w:pStyle w:val="247"/>
        <w:rPr>
          <w:rFonts w:ascii="黑体" w:hAnsi="黑体" w:eastAsia="黑体"/>
        </w:rPr>
      </w:pPr>
      <w:r>
        <w:rPr>
          <w:rFonts w:hint="eastAsia" w:ascii="黑体" w:hAnsi="黑体" w:eastAsia="黑体"/>
        </w:rPr>
        <w:t>3</w:t>
      </w:r>
      <w:r>
        <w:rPr>
          <w:rFonts w:ascii="黑体" w:hAnsi="黑体" w:eastAsia="黑体"/>
        </w:rPr>
        <w:t>.</w:t>
      </w:r>
      <w:r>
        <w:rPr>
          <w:rFonts w:hint="eastAsia" w:ascii="黑体" w:hAnsi="黑体" w:eastAsia="黑体"/>
        </w:rPr>
        <w:t>3</w:t>
      </w:r>
    </w:p>
    <w:p>
      <w:pPr>
        <w:pStyle w:val="80"/>
        <w:ind w:firstLine="420"/>
        <w:rPr>
          <w:rFonts w:ascii="黑体" w:hAnsi="黑体" w:eastAsia="黑体"/>
          <w:color w:val="000000"/>
          <w:szCs w:val="21"/>
        </w:rPr>
      </w:pPr>
      <w:r>
        <w:rPr>
          <w:rFonts w:hint="eastAsia" w:ascii="黑体" w:hAnsi="黑体" w:eastAsia="黑体"/>
          <w:color w:val="000000"/>
          <w:szCs w:val="21"/>
        </w:rPr>
        <w:t xml:space="preserve">安全风险评估  </w:t>
      </w:r>
      <w:r>
        <w:rPr>
          <w:rFonts w:hint="eastAsia" w:ascii="Times New Roman" w:eastAsia="黑体"/>
          <w:b/>
          <w:bCs/>
        </w:rPr>
        <w:t>hazard assessment</w:t>
      </w:r>
    </w:p>
    <w:p>
      <w:pPr>
        <w:pStyle w:val="247"/>
        <w:ind w:firstLine="420" w:firstLineChars="200"/>
      </w:pPr>
      <w:r>
        <w:rPr>
          <w:rFonts w:hint="eastAsia"/>
        </w:rPr>
        <w:t>运用定性或定量的统计分析方法对安全风险进行分析、确定其严重程度，对现有控制措施的充分性、可靠性加以考虑，以及对其是否可接受予以确定的过程。</w:t>
      </w:r>
    </w:p>
    <w:p>
      <w:pPr>
        <w:pStyle w:val="80"/>
        <w:ind w:firstLine="420"/>
      </w:pPr>
      <w:r>
        <w:rPr>
          <w:rFonts w:hint="eastAsia"/>
        </w:rPr>
        <w:t>[来源：GB/T 33000—2016 ,3.9]</w:t>
      </w:r>
    </w:p>
    <w:p>
      <w:pPr>
        <w:pStyle w:val="247"/>
        <w:rPr>
          <w:rFonts w:ascii="黑体" w:hAnsi="黑体" w:eastAsia="黑体"/>
        </w:rPr>
      </w:pPr>
      <w:r>
        <w:rPr>
          <w:rFonts w:hint="eastAsia" w:ascii="黑体" w:hAnsi="黑体" w:eastAsia="黑体"/>
        </w:rPr>
        <w:t>3</w:t>
      </w:r>
      <w:r>
        <w:rPr>
          <w:rFonts w:ascii="黑体" w:hAnsi="黑体" w:eastAsia="黑体"/>
        </w:rPr>
        <w:t>.</w:t>
      </w:r>
      <w:r>
        <w:rPr>
          <w:rFonts w:hint="eastAsia" w:ascii="黑体" w:hAnsi="黑体" w:eastAsia="黑体"/>
        </w:rPr>
        <w:t>4</w:t>
      </w:r>
    </w:p>
    <w:p>
      <w:pPr>
        <w:pStyle w:val="80"/>
        <w:ind w:firstLine="0" w:firstLineChars="0"/>
      </w:pPr>
      <w:r>
        <w:rPr>
          <w:rFonts w:hint="eastAsia"/>
        </w:rPr>
        <w:t xml:space="preserve">  </w:t>
      </w:r>
      <w:r>
        <w:rPr>
          <w:rFonts w:hint="eastAsia" w:ascii="黑体" w:hAnsi="黑体" w:eastAsia="黑体"/>
          <w:color w:val="000000"/>
          <w:szCs w:val="21"/>
        </w:rPr>
        <w:t xml:space="preserve"> 变更管理  </w:t>
      </w:r>
      <w:r>
        <w:rPr>
          <w:rFonts w:hint="eastAsia" w:ascii="Times New Roman" w:eastAsia="黑体"/>
          <w:b/>
          <w:bCs/>
        </w:rPr>
        <w:t>management of change</w:t>
      </w:r>
    </w:p>
    <w:p>
      <w:pPr>
        <w:pStyle w:val="80"/>
        <w:ind w:firstLine="420"/>
      </w:pPr>
      <w:r>
        <w:rPr>
          <w:rFonts w:hint="eastAsia"/>
        </w:rPr>
        <w:t>对机构、人员、管理、工艺、技术、设备设施、作业环境等永久性或暂时性的变化进行有计划的控制，以避免或减轻对安全生产的影响。</w:t>
      </w:r>
    </w:p>
    <w:p>
      <w:pPr>
        <w:pStyle w:val="80"/>
        <w:ind w:firstLine="420"/>
      </w:pPr>
      <w:r>
        <w:rPr>
          <w:rFonts w:hint="eastAsia"/>
        </w:rPr>
        <w:t>[来源：GB/T 33000—2016 ,3.7]</w:t>
      </w:r>
    </w:p>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40" w:name="_Toc2390"/>
      <w:r>
        <w:rPr>
          <w:rFonts w:hint="eastAsia" w:ascii="Times New Roman" w:hAnsi="Times New Roman" w:eastAsia="黑体"/>
          <w:color w:val="000000"/>
          <w:kern w:val="0"/>
          <w:sz w:val="21"/>
          <w:szCs w:val="22"/>
          <w:lang w:bidi="ar"/>
        </w:rPr>
        <w:t>总则</w:t>
      </w:r>
      <w:bookmarkEnd w:id="40"/>
    </w:p>
    <w:p>
      <w:pPr>
        <w:pStyle w:val="189"/>
        <w:numPr>
          <w:ilvl w:val="0"/>
          <w:numId w:val="0"/>
        </w:numPr>
      </w:pPr>
      <w:r>
        <w:rPr>
          <w:rFonts w:hint="eastAsia" w:ascii="黑体" w:hAnsi="黑体" w:eastAsia="黑体" w:cs="黑体"/>
        </w:rPr>
        <w:t>4.1  </w:t>
      </w:r>
      <w:r>
        <w:rPr>
          <w:rFonts w:hint="eastAsia"/>
        </w:rPr>
        <w:t>安全操作规程的内容应涵盖化工企业基层操作岗位所负责管理的各类设备设施和各类作业活动的安全作业要求。</w:t>
      </w:r>
    </w:p>
    <w:p>
      <w:pPr>
        <w:pStyle w:val="189"/>
        <w:numPr>
          <w:ilvl w:val="0"/>
          <w:numId w:val="0"/>
        </w:numPr>
      </w:pPr>
      <w:r>
        <w:rPr>
          <w:rFonts w:hint="eastAsia" w:ascii="黑体" w:hAnsi="黑体" w:eastAsia="黑体" w:cs="黑体"/>
        </w:rPr>
        <w:t>4.2  </w:t>
      </w:r>
      <w:r>
        <w:rPr>
          <w:rFonts w:hint="eastAsia"/>
        </w:rPr>
        <w:t>编制化工企业基层操作岗位的安全操作规程前，应进行危险有害因素辨识和风险分析。</w:t>
      </w:r>
    </w:p>
    <w:p>
      <w:pPr>
        <w:pStyle w:val="189"/>
        <w:numPr>
          <w:ilvl w:val="0"/>
          <w:numId w:val="0"/>
        </w:numPr>
      </w:pPr>
      <w:r>
        <w:rPr>
          <w:rFonts w:hint="eastAsia" w:ascii="黑体" w:hAnsi="黑体" w:eastAsia="黑体" w:cs="黑体"/>
        </w:rPr>
        <w:t xml:space="preserve">4.3  </w:t>
      </w:r>
      <w:r>
        <w:rPr>
          <w:rFonts w:hint="eastAsia"/>
        </w:rPr>
        <w:t>在编制化工企业基层操作岗位的安全操作规程时，应考虑相应岗位管理的设备在出现异常和突发、紧急情况下的处置方法。</w:t>
      </w:r>
    </w:p>
    <w:p>
      <w:pPr>
        <w:pStyle w:val="189"/>
        <w:numPr>
          <w:ilvl w:val="0"/>
          <w:numId w:val="0"/>
        </w:numPr>
      </w:pPr>
      <w:r>
        <w:rPr>
          <w:rFonts w:hint="eastAsia" w:ascii="黑体" w:hAnsi="黑体" w:eastAsia="黑体" w:cs="黑体"/>
        </w:rPr>
        <w:t xml:space="preserve">4.4  </w:t>
      </w:r>
      <w:r>
        <w:rPr>
          <w:rFonts w:hint="eastAsia"/>
        </w:rPr>
        <w:t>化工企业基层操作岗位的安全操作规程编制工作，要严格按照国家安全生产标准化、双重预防机制要求，结合企业生产经营安全设施设计、安全评价、安全评估、安全管理制度、安全管理体系、企业管理流程等相关文件进行编制，安全操作规程应遵循全面、科学、符合实际、逻辑清晰、可操作性强的原则进行编制，各项安全操作规程都应纳入企业安全管理体系要素进行内控管理。</w:t>
      </w:r>
    </w:p>
    <w:p>
      <w:pPr>
        <w:pStyle w:val="189"/>
        <w:numPr>
          <w:ilvl w:val="0"/>
          <w:numId w:val="0"/>
        </w:numPr>
      </w:pPr>
      <w:r>
        <w:rPr>
          <w:rFonts w:hint="eastAsia" w:ascii="黑体" w:hAnsi="黑体" w:eastAsia="黑体" w:cs="黑体"/>
        </w:rPr>
        <w:t>4.5</w:t>
      </w:r>
      <w:r>
        <w:rPr>
          <w:rFonts w:hint="eastAsia"/>
        </w:rPr>
        <w:t>  化工企业基层操作岗位的安全操作规程主要条款的表述，应采用符合规范标准、地方标准运用的专业技术数据及术语，宜以量化的数据及详细的具体步骤与措施，规范描述禁止事项，可能导致的事故后果，以要求、指导的方式，警示和引导具体操作岗位与作业人员。事故后果应严格按照按照企业职工伤亡事故分类分类进行事故类型列举。</w:t>
      </w:r>
    </w:p>
    <w:p>
      <w:pPr>
        <w:pStyle w:val="44"/>
        <w:widowControl/>
        <w:numPr>
          <w:ilvl w:val="0"/>
          <w:numId w:val="33"/>
        </w:numPr>
        <w:spacing w:before="312" w:beforeLines="100" w:after="312" w:afterLines="100" w:line="240" w:lineRule="auto"/>
        <w:outlineLvl w:val="1"/>
        <w:rPr>
          <w:rFonts w:ascii="Times New Roman" w:hAnsi="Times New Roman"/>
          <w:color w:val="000000"/>
        </w:rPr>
      </w:pPr>
      <w:bookmarkStart w:id="41" w:name="_Toc5366"/>
      <w:bookmarkStart w:id="42" w:name="_Toc410834011"/>
      <w:bookmarkStart w:id="43" w:name="_Toc410827016"/>
      <w:r>
        <w:rPr>
          <w:rFonts w:hint="eastAsia" w:ascii="Times New Roman" w:hAnsi="Times New Roman" w:eastAsia="黑体"/>
          <w:color w:val="000000"/>
          <w:kern w:val="0"/>
          <w:sz w:val="21"/>
          <w:szCs w:val="22"/>
          <w:lang w:bidi="ar"/>
        </w:rPr>
        <w:t>编制前准备</w:t>
      </w:r>
      <w:bookmarkEnd w:id="41"/>
    </w:p>
    <w:p>
      <w:pPr>
        <w:pStyle w:val="129"/>
        <w:spacing w:before="0" w:beforeLines="0" w:after="0" w:afterLines="0"/>
        <w:outlineLvl w:val="9"/>
        <w:rPr>
          <w:rFonts w:ascii="宋体" w:eastAsia="宋体"/>
        </w:rPr>
      </w:pPr>
      <w:bookmarkStart w:id="44" w:name="_Toc24175"/>
      <w:bookmarkStart w:id="45" w:name="_Toc30763"/>
      <w:bookmarkStart w:id="46" w:name="_Toc27582"/>
      <w:r>
        <w:rPr>
          <w:rFonts w:hint="eastAsia" w:hAnsi="黑体" w:cs="黑体"/>
        </w:rPr>
        <w:t>5.1  </w:t>
      </w:r>
      <w:r>
        <w:rPr>
          <w:rFonts w:hint="eastAsia" w:ascii="宋体" w:eastAsia="宋体"/>
        </w:rPr>
        <w:t>化工企业基层操作岗位安全操作规程应由企业主要负责人或由企业负责人委托分管领导组织，协调相关专业技术管理部门的技术人员、管理人员及基层操作与作业岗位的班组长、操作人员组成编制组。</w:t>
      </w:r>
    </w:p>
    <w:p>
      <w:pPr>
        <w:pStyle w:val="129"/>
        <w:spacing w:before="0" w:beforeLines="0" w:after="0" w:afterLines="0"/>
        <w:outlineLvl w:val="9"/>
        <w:rPr>
          <w:rFonts w:ascii="宋体" w:eastAsia="宋体"/>
        </w:rPr>
      </w:pPr>
      <w:r>
        <w:rPr>
          <w:rFonts w:hint="eastAsia" w:hAnsi="黑体" w:cs="黑体"/>
        </w:rPr>
        <w:t>5.2</w:t>
      </w:r>
      <w:r>
        <w:rPr>
          <w:rFonts w:hint="eastAsia" w:ascii="宋体" w:eastAsia="宋体"/>
        </w:rPr>
        <w:t>  不具备条件的企业，可邀请具备相应技术能力的第三方机构，或具有国有大中型企业的专业技术管理人员或技术专家（具备中级及以上技术职称，具有国有大中型企业10年以上技术管理工作经验及履历），参与编制或评审。</w:t>
      </w:r>
      <w:bookmarkEnd w:id="44"/>
      <w:bookmarkEnd w:id="45"/>
      <w:bookmarkEnd w:id="46"/>
    </w:p>
    <w:p>
      <w:pPr>
        <w:pStyle w:val="129"/>
        <w:spacing w:before="0" w:beforeLines="0" w:after="0" w:afterLines="0"/>
        <w:outlineLvl w:val="9"/>
        <w:rPr>
          <w:rFonts w:ascii="宋体" w:eastAsia="宋体"/>
        </w:rPr>
      </w:pPr>
      <w:bookmarkStart w:id="47" w:name="_Toc20917"/>
      <w:bookmarkStart w:id="48" w:name="_Toc25750"/>
      <w:bookmarkStart w:id="49" w:name="_Toc8806"/>
      <w:r>
        <w:rPr>
          <w:rFonts w:hint="eastAsia" w:hAnsi="黑体" w:cs="黑体"/>
        </w:rPr>
        <w:t>5.3</w:t>
      </w:r>
      <w:r>
        <w:rPr>
          <w:rFonts w:hint="eastAsia" w:ascii="宋体" w:eastAsia="宋体"/>
        </w:rPr>
        <w:t> </w:t>
      </w:r>
      <w:r>
        <w:rPr>
          <w:rFonts w:hint="eastAsia" w:hAnsi="黑体" w:cs="黑体"/>
        </w:rPr>
        <w:t xml:space="preserve">  </w:t>
      </w:r>
      <w:r>
        <w:rPr>
          <w:rFonts w:hint="eastAsia" w:ascii="宋体" w:eastAsia="宋体"/>
        </w:rPr>
        <w:t>对操作与作业岗位及其风险、风险防控要求等进行摸底调研，收集汇总国家法律法规、国家规范标准、行业标准及规范性文件，以及设计单位提供的设计文件，工艺技术提供方的工艺技术包，安全评价单位提供的安全评价报告，设备厂家提供的使用说明书、出厂资料等风险防控要求，国内外事故案例中明确严禁事项和安全要点、防范措施等资料，基层班组长、技术和管理人员、第三方机构及专家提出的相关建议与意见。</w:t>
      </w:r>
      <w:bookmarkEnd w:id="47"/>
      <w:bookmarkEnd w:id="48"/>
      <w:bookmarkEnd w:id="49"/>
    </w:p>
    <w:p>
      <w:pPr>
        <w:pStyle w:val="129"/>
        <w:spacing w:before="0" w:beforeLines="0" w:after="0" w:afterLines="0"/>
        <w:outlineLvl w:val="9"/>
        <w:rPr>
          <w:rFonts w:ascii="宋体" w:eastAsia="宋体"/>
        </w:rPr>
      </w:pPr>
      <w:bookmarkStart w:id="50" w:name="_Toc1296"/>
      <w:bookmarkStart w:id="51" w:name="_Toc9349"/>
      <w:bookmarkStart w:id="52" w:name="_Toc20564"/>
      <w:r>
        <w:rPr>
          <w:rFonts w:hint="eastAsia" w:hAnsi="黑体" w:cs="黑体"/>
        </w:rPr>
        <w:t>5.4  </w:t>
      </w:r>
      <w:r>
        <w:rPr>
          <w:rFonts w:hint="eastAsia" w:ascii="宋体" w:eastAsia="宋体"/>
        </w:rPr>
        <w:t>收集汇总岗位职责、岗位安全职责、安全生产责任制、重大危险源安全包保责任人隐患排查任务清单等安全要求内容及条款，据实逐条列举操作作业岗位的工作步骤、岗位危险有害因素辨识表、风险防控内容，相关专业技术数据与重点防控的工艺参数值、设备操作步骤，以及针对突发情况、新疆天气特点变化的具体应对措施、处置步骤。</w:t>
      </w:r>
      <w:bookmarkEnd w:id="50"/>
      <w:bookmarkEnd w:id="51"/>
      <w:bookmarkEnd w:id="52"/>
    </w:p>
    <w:p>
      <w:pPr>
        <w:pStyle w:val="129"/>
        <w:spacing w:before="0" w:beforeLines="0" w:after="0" w:afterLines="0"/>
        <w:outlineLvl w:val="9"/>
        <w:rPr>
          <w:rFonts w:ascii="宋体" w:eastAsia="宋体"/>
          <w:highlight w:val="yellow"/>
        </w:rPr>
      </w:pPr>
      <w:bookmarkStart w:id="53" w:name="_Toc25170"/>
      <w:bookmarkStart w:id="54" w:name="_Toc25789"/>
      <w:bookmarkStart w:id="55" w:name="_Toc2224"/>
      <w:r>
        <w:rPr>
          <w:rFonts w:hint="eastAsia" w:hAnsi="黑体" w:cs="黑体"/>
        </w:rPr>
        <w:t>5.5  </w:t>
      </w:r>
      <w:r>
        <w:rPr>
          <w:rFonts w:hint="eastAsia" w:ascii="宋体" w:eastAsia="宋体"/>
        </w:rPr>
        <w:t>细化化工反应风险评估、安全审查、HAZOP分析、安全完整性等级（SIL）定级评估和安全完整性等级（SIL）等级验算及其他风险评估等相关安全技术评估报告提出的相关建议与意见。</w:t>
      </w:r>
      <w:bookmarkEnd w:id="53"/>
      <w:bookmarkEnd w:id="54"/>
      <w:bookmarkEnd w:id="55"/>
    </w:p>
    <w:p>
      <w:pPr>
        <w:pStyle w:val="129"/>
        <w:spacing w:before="0" w:beforeLines="0" w:after="0" w:afterLines="0"/>
        <w:outlineLvl w:val="9"/>
        <w:rPr>
          <w:rFonts w:ascii="宋体" w:eastAsia="宋体"/>
        </w:rPr>
      </w:pPr>
      <w:bookmarkStart w:id="56" w:name="_Toc26040"/>
      <w:bookmarkStart w:id="57" w:name="_Toc18423"/>
      <w:bookmarkStart w:id="58" w:name="_Toc287"/>
      <w:r>
        <w:rPr>
          <w:rFonts w:hint="eastAsia" w:hAnsi="黑体" w:cs="黑体"/>
        </w:rPr>
        <w:t>5.6  </w:t>
      </w:r>
      <w:r>
        <w:rPr>
          <w:rFonts w:hint="eastAsia" w:ascii="宋体" w:eastAsia="宋体"/>
        </w:rPr>
        <w:t>严禁对未经过检测、评估、论证，无设计年限或超设计年限的利旧设备，且属于国家应急管理部明令的“老旧装置”编制安全操作规程。</w:t>
      </w:r>
      <w:bookmarkEnd w:id="56"/>
      <w:bookmarkEnd w:id="57"/>
      <w:bookmarkEnd w:id="58"/>
    </w:p>
    <w:p>
      <w:pPr>
        <w:pStyle w:val="129"/>
        <w:spacing w:before="0" w:beforeLines="0" w:after="0" w:afterLines="0"/>
        <w:outlineLvl w:val="9"/>
        <w:rPr>
          <w:rFonts w:ascii="宋体" w:eastAsia="宋体"/>
        </w:rPr>
      </w:pPr>
      <w:bookmarkStart w:id="59" w:name="_Toc6353"/>
      <w:bookmarkStart w:id="60" w:name="_Toc14135"/>
      <w:bookmarkStart w:id="61" w:name="_Toc14523"/>
      <w:r>
        <w:rPr>
          <w:rFonts w:hint="eastAsia" w:hAnsi="黑体" w:cs="黑体"/>
        </w:rPr>
        <w:t>5.7  </w:t>
      </w:r>
      <w:r>
        <w:rPr>
          <w:rFonts w:hint="eastAsia" w:ascii="宋体" w:eastAsia="宋体"/>
        </w:rPr>
        <w:t>严禁对国家应急管理部公布《淘汰落后危险化学品安全生产工艺技术设备目录》中的工艺技术、设备编制安全操作规程。</w:t>
      </w:r>
      <w:bookmarkEnd w:id="59"/>
      <w:bookmarkEnd w:id="60"/>
      <w:bookmarkEnd w:id="61"/>
    </w:p>
    <w:p>
      <w:pPr>
        <w:pStyle w:val="44"/>
        <w:widowControl/>
        <w:numPr>
          <w:ilvl w:val="0"/>
          <w:numId w:val="33"/>
        </w:numPr>
        <w:spacing w:before="312" w:beforeLines="100" w:after="312" w:afterLines="100" w:line="240" w:lineRule="auto"/>
        <w:outlineLvl w:val="1"/>
        <w:rPr>
          <w:rFonts w:ascii="Times New Roman" w:hAnsi="Times New Roman" w:eastAsia="黑体"/>
          <w:color w:val="000000"/>
          <w:kern w:val="0"/>
          <w:sz w:val="21"/>
          <w:szCs w:val="22"/>
          <w:lang w:bidi="ar"/>
        </w:rPr>
      </w:pPr>
      <w:bookmarkStart w:id="62" w:name="_Toc32668"/>
      <w:r>
        <w:rPr>
          <w:rFonts w:hint="eastAsia" w:ascii="Times New Roman" w:hAnsi="Times New Roman" w:eastAsia="黑体"/>
          <w:color w:val="000000"/>
          <w:kern w:val="0"/>
          <w:sz w:val="21"/>
          <w:szCs w:val="22"/>
          <w:lang w:bidi="ar"/>
        </w:rPr>
        <w:t>编制与评审</w:t>
      </w:r>
      <w:bookmarkEnd w:id="62"/>
    </w:p>
    <w:p>
      <w:pPr>
        <w:pStyle w:val="44"/>
        <w:widowControl/>
        <w:spacing w:before="156" w:beforeLines="50" w:after="156" w:afterLines="50" w:line="240" w:lineRule="auto"/>
        <w:outlineLvl w:val="1"/>
        <w:rPr>
          <w:rFonts w:ascii="黑体" w:hAnsi="黑体" w:eastAsia="黑体" w:cs="黑体"/>
          <w:color w:val="000000"/>
          <w:kern w:val="0"/>
          <w:sz w:val="21"/>
          <w:szCs w:val="22"/>
          <w:lang w:bidi="ar"/>
        </w:rPr>
      </w:pPr>
      <w:r>
        <w:rPr>
          <w:rFonts w:hint="eastAsia" w:ascii="黑体" w:hAnsi="黑体" w:eastAsia="黑体" w:cs="黑体"/>
          <w:color w:val="000000"/>
          <w:kern w:val="0"/>
          <w:sz w:val="21"/>
          <w:szCs w:val="22"/>
          <w:lang w:bidi="ar"/>
        </w:rPr>
        <w:t>6.1  编制安全操作规程时主要依据</w:t>
      </w:r>
    </w:p>
    <w:p>
      <w:pPr>
        <w:pStyle w:val="189"/>
        <w:numPr>
          <w:ilvl w:val="0"/>
          <w:numId w:val="0"/>
        </w:numPr>
      </w:pPr>
      <w:r>
        <w:rPr>
          <w:rFonts w:hint="eastAsia" w:ascii="黑体" w:hAnsi="黑体" w:eastAsia="黑体" w:cs="黑体"/>
        </w:rPr>
        <w:t>6.1.1  </w:t>
      </w:r>
      <w:r>
        <w:rPr>
          <w:rFonts w:hint="eastAsia"/>
        </w:rPr>
        <w:t>国家现行的法律法规、国家规范标准、行业标准、规范性文件，地方政府行政文件、国内外事故案例凸显的新问题等。</w:t>
      </w:r>
    </w:p>
    <w:p>
      <w:pPr>
        <w:pStyle w:val="189"/>
        <w:numPr>
          <w:ilvl w:val="0"/>
          <w:numId w:val="0"/>
        </w:numPr>
      </w:pPr>
      <w:r>
        <w:rPr>
          <w:rFonts w:hint="eastAsia" w:ascii="黑体" w:hAnsi="黑体" w:eastAsia="黑体" w:cs="黑体"/>
        </w:rPr>
        <w:t xml:space="preserve">6.1.2  </w:t>
      </w:r>
      <w:r>
        <w:rPr>
          <w:rFonts w:hint="eastAsia"/>
        </w:rPr>
        <w:t>化学品安全技术说明书、工艺装置或设备的使用说明书、工作原理资料，以及设计、安全评价、</w:t>
      </w:r>
    </w:p>
    <w:p>
      <w:pPr>
        <w:pStyle w:val="189"/>
        <w:numPr>
          <w:ilvl w:val="0"/>
          <w:numId w:val="0"/>
        </w:numPr>
      </w:pPr>
      <w:r>
        <w:rPr>
          <w:rFonts w:hint="eastAsia"/>
        </w:rPr>
        <w:t>相关检测评估报告、工艺控制参数、工艺流程图等。</w:t>
      </w:r>
    </w:p>
    <w:p>
      <w:pPr>
        <w:pStyle w:val="189"/>
        <w:numPr>
          <w:ilvl w:val="0"/>
          <w:numId w:val="0"/>
        </w:numPr>
      </w:pPr>
      <w:r>
        <w:rPr>
          <w:rFonts w:hint="eastAsia" w:ascii="黑体" w:hAnsi="黑体" w:eastAsia="黑体" w:cs="黑体"/>
        </w:rPr>
        <w:t>6.1.3  </w:t>
      </w:r>
      <w:r>
        <w:rPr>
          <w:rFonts w:hint="eastAsia"/>
        </w:rPr>
        <w:t>基层操作岗位的操作步骤与作业人员的作业行为。</w:t>
      </w:r>
    </w:p>
    <w:p>
      <w:pPr>
        <w:pStyle w:val="189"/>
        <w:numPr>
          <w:ilvl w:val="0"/>
          <w:numId w:val="0"/>
        </w:numPr>
      </w:pPr>
      <w:r>
        <w:rPr>
          <w:rFonts w:hint="eastAsia" w:ascii="黑体" w:hAnsi="黑体" w:eastAsia="黑体" w:cs="黑体"/>
        </w:rPr>
        <w:t>6.1.4  </w:t>
      </w:r>
      <w:r>
        <w:rPr>
          <w:rFonts w:hint="eastAsia"/>
        </w:rPr>
        <w:t>危险有害因素分析结果。</w:t>
      </w:r>
    </w:p>
    <w:p>
      <w:pPr>
        <w:pStyle w:val="189"/>
        <w:numPr>
          <w:ilvl w:val="0"/>
          <w:numId w:val="0"/>
        </w:numPr>
      </w:pPr>
      <w:r>
        <w:rPr>
          <w:rFonts w:hint="eastAsia" w:ascii="黑体" w:hAnsi="黑体" w:eastAsia="黑体" w:cs="黑体"/>
        </w:rPr>
        <w:t>6.1.5  </w:t>
      </w:r>
      <w:r>
        <w:rPr>
          <w:rFonts w:hint="eastAsia"/>
        </w:rPr>
        <w:t>国内外事故通报、案例中出现过的危险作业行为，与工艺设备操作、作业有关的风险及其他不</w:t>
      </w:r>
    </w:p>
    <w:p>
      <w:pPr>
        <w:pStyle w:val="189"/>
        <w:numPr>
          <w:ilvl w:val="0"/>
          <w:numId w:val="0"/>
        </w:numPr>
      </w:pPr>
      <w:r>
        <w:rPr>
          <w:rFonts w:hint="eastAsia"/>
        </w:rPr>
        <w:t>安全因素。</w:t>
      </w:r>
    </w:p>
    <w:p>
      <w:pPr>
        <w:pStyle w:val="189"/>
        <w:numPr>
          <w:ilvl w:val="0"/>
          <w:numId w:val="0"/>
        </w:numPr>
      </w:pPr>
      <w:r>
        <w:rPr>
          <w:rFonts w:hint="eastAsia" w:ascii="黑体" w:hAnsi="黑体" w:eastAsia="黑体" w:cs="黑体"/>
        </w:rPr>
        <w:t>6.1.6  </w:t>
      </w:r>
      <w:r>
        <w:rPr>
          <w:rFonts w:hint="eastAsia"/>
        </w:rPr>
        <w:t>企业各专业技术管理制度要求，作业环境条件、安全管理流程、岗位职责、安全生产责任制等。</w:t>
      </w:r>
    </w:p>
    <w:p>
      <w:pPr>
        <w:pStyle w:val="189"/>
        <w:numPr>
          <w:ilvl w:val="0"/>
          <w:numId w:val="0"/>
        </w:numPr>
      </w:pPr>
      <w:r>
        <w:rPr>
          <w:rFonts w:hint="eastAsia" w:ascii="黑体" w:hAnsi="黑体" w:eastAsia="黑体" w:cs="黑体"/>
        </w:rPr>
        <w:t>6.1.7  </w:t>
      </w:r>
      <w:r>
        <w:rPr>
          <w:rFonts w:hint="eastAsia"/>
        </w:rPr>
        <w:t>企业安全生产标准化、双重预防机制建设、化工过程安全管理等各类安全管理体系的相关资料。</w:t>
      </w:r>
    </w:p>
    <w:p>
      <w:pPr>
        <w:pStyle w:val="80"/>
        <w:ind w:firstLine="0" w:firstLineChars="0"/>
        <w:rPr>
          <w:rFonts w:hAnsi="宋体" w:cs="宋体"/>
        </w:rPr>
      </w:pPr>
      <w:r>
        <w:rPr>
          <w:rFonts w:hint="eastAsia" w:ascii="黑体" w:hAnsi="黑体" w:eastAsia="黑体" w:cs="黑体"/>
        </w:rPr>
        <w:t>6.2   </w:t>
      </w:r>
      <w:r>
        <w:rPr>
          <w:rFonts w:hint="eastAsia" w:hAnsi="宋体" w:cs="宋体"/>
        </w:rPr>
        <w:t>编制安全操作规程应明确操作岗位与作业范围：包括总则；封面；前言；参编人员信息页；审核签批页；目录正文内容。</w:t>
      </w:r>
    </w:p>
    <w:p>
      <w:pPr>
        <w:pStyle w:val="80"/>
        <w:ind w:firstLine="0" w:firstLineChars="0"/>
        <w:rPr>
          <w:rFonts w:hAnsi="宋体" w:cs="宋体"/>
        </w:rPr>
      </w:pPr>
      <w:r>
        <w:rPr>
          <w:rFonts w:hint="eastAsia" w:ascii="黑体" w:hAnsi="黑体" w:eastAsia="黑体" w:cs="黑体"/>
        </w:rPr>
        <w:t>6.3</w:t>
      </w:r>
      <w:r>
        <w:rPr>
          <w:rFonts w:hint="eastAsia" w:hAnsi="宋体" w:cs="宋体"/>
        </w:rPr>
        <w:t> 对操作与作业过程进行全面的危险有害因素辨识，并分析可能造成事故的原因后果及伤害，记录辨识分析结果。</w:t>
      </w:r>
      <w:bookmarkStart w:id="63" w:name="_Toc16363"/>
    </w:p>
    <w:p>
      <w:pPr>
        <w:pStyle w:val="44"/>
        <w:widowControl/>
        <w:spacing w:before="156" w:beforeLines="50" w:after="156" w:afterLines="50" w:line="240" w:lineRule="auto"/>
        <w:outlineLvl w:val="1"/>
        <w:rPr>
          <w:rFonts w:ascii="黑体" w:hAnsi="黑体" w:eastAsia="黑体" w:cs="黑体"/>
          <w:color w:val="000000"/>
          <w:kern w:val="0"/>
          <w:sz w:val="21"/>
          <w:szCs w:val="22"/>
          <w:lang w:bidi="ar"/>
        </w:rPr>
      </w:pPr>
      <w:r>
        <w:rPr>
          <w:rFonts w:hint="eastAsia" w:ascii="黑体" w:hAnsi="黑体" w:eastAsia="黑体" w:cs="黑体"/>
          <w:color w:val="000000"/>
          <w:kern w:val="0"/>
          <w:sz w:val="21"/>
          <w:szCs w:val="22"/>
          <w:lang w:bidi="ar"/>
        </w:rPr>
        <w:t>6.4   策划总体框架</w:t>
      </w:r>
      <w:bookmarkEnd w:id="63"/>
    </w:p>
    <w:p>
      <w:pPr>
        <w:pStyle w:val="189"/>
        <w:numPr>
          <w:ilvl w:val="0"/>
          <w:numId w:val="0"/>
        </w:numPr>
      </w:pPr>
      <w:r>
        <w:rPr>
          <w:rFonts w:hint="eastAsia" w:ascii="黑体" w:hAnsi="黑体" w:eastAsia="黑体" w:cs="黑体"/>
        </w:rPr>
        <w:t>6.4.1  </w:t>
      </w:r>
      <w:r>
        <w:rPr>
          <w:rFonts w:hint="eastAsia"/>
        </w:rPr>
        <w:t>基层岗位安全操作规程总体策划，确定本企业生产经营链中的基层岗位框架结构。安全操作规程的具体内容应包括但不限于以下内容：</w:t>
      </w:r>
    </w:p>
    <w:p>
      <w:pPr>
        <w:pStyle w:val="189"/>
        <w:numPr>
          <w:ilvl w:val="0"/>
          <w:numId w:val="0"/>
        </w:numPr>
        <w:ind w:firstLine="420" w:firstLineChars="200"/>
      </w:pPr>
      <w:r>
        <w:rPr>
          <w:rFonts w:hint="eastAsia"/>
        </w:rPr>
        <w:t>a)  总则；</w:t>
      </w:r>
    </w:p>
    <w:p>
      <w:pPr>
        <w:pStyle w:val="189"/>
        <w:numPr>
          <w:ilvl w:val="0"/>
          <w:numId w:val="0"/>
        </w:numPr>
        <w:ind w:firstLine="420" w:firstLineChars="200"/>
      </w:pPr>
      <w:r>
        <w:rPr>
          <w:rFonts w:hint="eastAsia"/>
        </w:rPr>
        <w:t>b)  操作与作业范围内容；</w:t>
      </w:r>
    </w:p>
    <w:p>
      <w:pPr>
        <w:pStyle w:val="189"/>
        <w:numPr>
          <w:ilvl w:val="0"/>
          <w:numId w:val="0"/>
        </w:numPr>
        <w:ind w:firstLine="420" w:firstLineChars="200"/>
      </w:pPr>
      <w:r>
        <w:rPr>
          <w:rFonts w:hint="eastAsia"/>
        </w:rPr>
        <w:t>c)  操作与作业人员在操作与作业过程中存在的主要危险有害因素；</w:t>
      </w:r>
    </w:p>
    <w:p>
      <w:pPr>
        <w:pStyle w:val="189"/>
        <w:numPr>
          <w:ilvl w:val="0"/>
          <w:numId w:val="0"/>
        </w:numPr>
        <w:ind w:firstLine="420" w:firstLineChars="200"/>
      </w:pPr>
      <w:r>
        <w:rPr>
          <w:rFonts w:hint="eastAsia"/>
        </w:rPr>
        <w:t xml:space="preserve">d)  作业前准备，例如：操作与作业前安全分析、操作与作业环境的安全检查、检查相关设备状态、 </w:t>
      </w:r>
    </w:p>
    <w:p>
      <w:pPr>
        <w:pStyle w:val="189"/>
        <w:numPr>
          <w:ilvl w:val="0"/>
          <w:numId w:val="0"/>
        </w:numPr>
        <w:ind w:firstLine="420" w:firstLineChars="200"/>
      </w:pPr>
      <w:r>
        <w:rPr>
          <w:rFonts w:hint="eastAsia"/>
        </w:rPr>
        <w:t xml:space="preserve">    操作与作业人员能力与合法性要求（培训教育情况、应取得的资格证书、职业禁忌体检等要求）、</w:t>
      </w:r>
    </w:p>
    <w:p>
      <w:pPr>
        <w:pStyle w:val="189"/>
        <w:numPr>
          <w:ilvl w:val="0"/>
          <w:numId w:val="0"/>
        </w:numPr>
        <w:ind w:firstLine="420" w:firstLineChars="200"/>
      </w:pPr>
      <w:r>
        <w:rPr>
          <w:rFonts w:hint="eastAsia"/>
        </w:rPr>
        <w:t xml:space="preserve">    个体防护用品配备要求等；</w:t>
      </w:r>
    </w:p>
    <w:p>
      <w:pPr>
        <w:pStyle w:val="189"/>
        <w:numPr>
          <w:ilvl w:val="0"/>
          <w:numId w:val="0"/>
        </w:numPr>
        <w:ind w:firstLine="420" w:firstLineChars="200"/>
      </w:pPr>
      <w:r>
        <w:rPr>
          <w:rFonts w:hint="eastAsia"/>
        </w:rPr>
        <w:t>e)  正常情况下的规范操作与作业顺序与方法，例如：正常操作与作业的安全操作方法、巡检路线、</w:t>
      </w:r>
    </w:p>
    <w:p>
      <w:pPr>
        <w:pStyle w:val="189"/>
        <w:numPr>
          <w:ilvl w:val="0"/>
          <w:numId w:val="0"/>
        </w:numPr>
        <w:ind w:firstLine="420" w:firstLineChars="200"/>
      </w:pPr>
      <w:r>
        <w:rPr>
          <w:rFonts w:hint="eastAsia"/>
        </w:rPr>
        <w:t xml:space="preserve">    巡检检查顺序与重点关注事项、设备检维修重点关注事项、开停车检查确认事项和交接班的交</w:t>
      </w:r>
    </w:p>
    <w:p>
      <w:pPr>
        <w:pStyle w:val="189"/>
        <w:numPr>
          <w:ilvl w:val="0"/>
          <w:numId w:val="0"/>
        </w:numPr>
        <w:ind w:firstLine="420" w:firstLineChars="200"/>
      </w:pPr>
      <w:r>
        <w:rPr>
          <w:rFonts w:hint="eastAsia"/>
        </w:rPr>
        <w:t xml:space="preserve">    接内容等；</w:t>
      </w:r>
    </w:p>
    <w:p>
      <w:pPr>
        <w:pStyle w:val="189"/>
        <w:numPr>
          <w:ilvl w:val="0"/>
          <w:numId w:val="0"/>
        </w:numPr>
        <w:ind w:firstLine="420" w:firstLineChars="200"/>
      </w:pPr>
      <w:r>
        <w:rPr>
          <w:rFonts w:hint="eastAsia"/>
        </w:rPr>
        <w:t>f)  异常情况下的应对措施、应急处置步骤、报警要求等；</w:t>
      </w:r>
    </w:p>
    <w:p>
      <w:pPr>
        <w:pStyle w:val="189"/>
        <w:numPr>
          <w:ilvl w:val="0"/>
          <w:numId w:val="0"/>
        </w:numPr>
        <w:ind w:firstLine="420" w:firstLineChars="200"/>
      </w:pPr>
      <w:r>
        <w:rPr>
          <w:rFonts w:hint="eastAsia"/>
        </w:rPr>
        <w:t>g)  持续细化、纠错、改进、完善、更新的管理要求。</w:t>
      </w:r>
    </w:p>
    <w:p>
      <w:pPr>
        <w:pStyle w:val="189"/>
        <w:numPr>
          <w:ilvl w:val="0"/>
          <w:numId w:val="0"/>
        </w:numPr>
      </w:pPr>
      <w:r>
        <w:rPr>
          <w:rFonts w:hint="eastAsia" w:ascii="黑体" w:hAnsi="黑体" w:eastAsia="黑体" w:cs="黑体"/>
        </w:rPr>
        <w:t>6.4.2  </w:t>
      </w:r>
      <w:r>
        <w:rPr>
          <w:rFonts w:hint="eastAsia"/>
        </w:rPr>
        <w:t>重点要害部位、关键设备设施的巡检、操作及相关技术参数等信息描述不具体时，可采用图、文、表并茂的形式进行详细列举和描述，确保操作与作业人员能够清晰、全面、完整、准确的理解。</w:t>
      </w:r>
    </w:p>
    <w:p>
      <w:pPr>
        <w:pStyle w:val="44"/>
        <w:widowControl/>
        <w:spacing w:before="156" w:beforeLines="50" w:after="156" w:afterLines="50" w:line="240" w:lineRule="auto"/>
        <w:outlineLvl w:val="1"/>
        <w:rPr>
          <w:rFonts w:ascii="Times New Roman" w:hAnsi="Times New Roman" w:eastAsia="黑体"/>
          <w:color w:val="000000"/>
          <w:kern w:val="0"/>
          <w:sz w:val="21"/>
          <w:szCs w:val="22"/>
          <w:lang w:bidi="ar"/>
        </w:rPr>
      </w:pPr>
      <w:bookmarkStart w:id="64" w:name="_Toc24246"/>
      <w:r>
        <w:rPr>
          <w:rFonts w:hint="eastAsia" w:ascii="黑体" w:hAnsi="黑体" w:eastAsia="黑体" w:cs="黑体"/>
          <w:color w:val="000000"/>
          <w:kern w:val="0"/>
          <w:sz w:val="21"/>
          <w:szCs w:val="22"/>
          <w:lang w:bidi="ar"/>
        </w:rPr>
        <w:t>6.5  </w:t>
      </w:r>
      <w:r>
        <w:rPr>
          <w:rFonts w:hint="eastAsia" w:ascii="Times New Roman" w:hAnsi="Times New Roman" w:eastAsia="黑体"/>
          <w:color w:val="000000"/>
          <w:kern w:val="0"/>
          <w:sz w:val="21"/>
          <w:szCs w:val="22"/>
          <w:lang w:bidi="ar"/>
        </w:rPr>
        <w:t> 评审</w:t>
      </w:r>
      <w:bookmarkEnd w:id="64"/>
    </w:p>
    <w:p>
      <w:pPr>
        <w:pStyle w:val="189"/>
        <w:numPr>
          <w:ilvl w:val="0"/>
          <w:numId w:val="0"/>
        </w:numPr>
        <w:rPr>
          <w:rFonts w:hAnsi="宋体" w:cs="宋体"/>
        </w:rPr>
      </w:pPr>
      <w:r>
        <w:rPr>
          <w:rFonts w:hint="eastAsia" w:ascii="黑体" w:hAnsi="黑体" w:eastAsia="黑体" w:cs="黑体"/>
        </w:rPr>
        <w:t>6.5.1  </w:t>
      </w:r>
      <w:r>
        <w:rPr>
          <w:rFonts w:hint="eastAsia" w:hAnsi="宋体" w:cs="宋体"/>
        </w:rPr>
        <w:t>化工企业基层操作岗位安全操作规程的编制人员和企业相关技术管理部门的管理人员，对初稿进行评审。</w:t>
      </w:r>
    </w:p>
    <w:p>
      <w:pPr>
        <w:pStyle w:val="189"/>
        <w:numPr>
          <w:ilvl w:val="0"/>
          <w:numId w:val="0"/>
        </w:numPr>
        <w:rPr>
          <w:rFonts w:hAnsi="宋体" w:cs="宋体"/>
        </w:rPr>
      </w:pPr>
      <w:r>
        <w:rPr>
          <w:rFonts w:hint="eastAsia" w:ascii="黑体" w:hAnsi="黑体" w:eastAsia="黑体" w:cs="黑体"/>
        </w:rPr>
        <w:t>6.5.2  </w:t>
      </w:r>
      <w:r>
        <w:rPr>
          <w:rFonts w:hint="eastAsia" w:hAnsi="宋体" w:cs="宋体"/>
        </w:rPr>
        <w:t>根据初评意见，修改后形成《***岗位安全操作规程（评审稿）》；应将初稿或评审稿一并发送至相应的操作与作业岗位班组长、相关专业技术管理部门、参与编制的第三方机构或专家征求意见，并根据反馈意见进行修改完善。</w:t>
      </w:r>
    </w:p>
    <w:p>
      <w:pPr>
        <w:pStyle w:val="189"/>
        <w:numPr>
          <w:ilvl w:val="0"/>
          <w:numId w:val="0"/>
        </w:numPr>
      </w:pPr>
      <w:r>
        <w:rPr>
          <w:rFonts w:hint="eastAsia" w:ascii="黑体" w:hAnsi="黑体" w:eastAsia="黑体" w:cs="黑体"/>
        </w:rPr>
        <w:t>6.5.3</w:t>
      </w:r>
      <w:r>
        <w:rPr>
          <w:rFonts w:hint="eastAsia" w:ascii="黑体" w:hAnsi="黑体" w:eastAsia="黑体" w:cs="黑体"/>
          <w:b/>
          <w:bCs/>
        </w:rPr>
        <w:t xml:space="preserve"> </w:t>
      </w:r>
      <w:r>
        <w:rPr>
          <w:rFonts w:hint="eastAsia" w:ascii="黑体" w:hAnsi="黑体" w:eastAsia="黑体" w:cs="黑体"/>
        </w:rPr>
        <w:t> </w:t>
      </w:r>
      <w:r>
        <w:rPr>
          <w:rFonts w:hint="eastAsia" w:hAnsi="宋体" w:cs="宋体"/>
        </w:rPr>
        <w:t>《***岗位安全操作规程（评审稿）》由企业分管领导组织相应的基层操作与作业岗位班组长、相关专业技术管理部门负责人、相关技术管理人员等进行二次评审，根据评审后的修改意见，形成《***岗位安全操作规程（报批稿）》</w:t>
      </w:r>
      <w:r>
        <w:rPr>
          <w:rFonts w:hint="eastAsia"/>
        </w:rPr>
        <w:t>。</w:t>
      </w:r>
    </w:p>
    <w:p>
      <w:pPr>
        <w:pStyle w:val="189"/>
        <w:numPr>
          <w:ilvl w:val="0"/>
          <w:numId w:val="0"/>
        </w:numPr>
      </w:pPr>
    </w:p>
    <w:p>
      <w:pPr>
        <w:pStyle w:val="189"/>
        <w:numPr>
          <w:ilvl w:val="0"/>
          <w:numId w:val="0"/>
        </w:numPr>
      </w:pPr>
    </w:p>
    <w:p>
      <w:pPr>
        <w:pStyle w:val="189"/>
        <w:numPr>
          <w:ilvl w:val="0"/>
          <w:numId w:val="0"/>
        </w:numPr>
      </w:pPr>
    </w:p>
    <w:p>
      <w:pPr>
        <w:pStyle w:val="44"/>
        <w:widowControl/>
        <w:numPr>
          <w:ilvl w:val="0"/>
          <w:numId w:val="33"/>
        </w:numPr>
        <w:spacing w:before="312" w:beforeLines="100" w:after="312" w:afterLines="100" w:line="240" w:lineRule="auto"/>
        <w:outlineLvl w:val="1"/>
        <w:rPr>
          <w:rFonts w:ascii="宋体" w:hAnsi="Times New Roman"/>
          <w:kern w:val="0"/>
          <w:sz w:val="21"/>
          <w:szCs w:val="20"/>
        </w:rPr>
      </w:pPr>
      <w:bookmarkStart w:id="65" w:name="_Toc7836"/>
      <w:r>
        <w:rPr>
          <w:rFonts w:hint="eastAsia" w:ascii="Times New Roman" w:hAnsi="Times New Roman" w:eastAsia="黑体"/>
          <w:color w:val="000000"/>
          <w:kern w:val="0"/>
          <w:sz w:val="21"/>
          <w:szCs w:val="22"/>
          <w:lang w:bidi="ar"/>
        </w:rPr>
        <w:t>发布实施与管理</w:t>
      </w:r>
      <w:bookmarkEnd w:id="65"/>
      <w:bookmarkStart w:id="66" w:name="_Toc32446"/>
      <w:bookmarkStart w:id="67" w:name="_Toc6083"/>
      <w:bookmarkStart w:id="68" w:name="_Toc22833"/>
    </w:p>
    <w:p>
      <w:pPr>
        <w:pStyle w:val="44"/>
        <w:widowControl/>
        <w:spacing w:line="240" w:lineRule="auto"/>
        <w:outlineLvl w:val="1"/>
        <w:rPr>
          <w:rFonts w:ascii="宋体" w:hAnsi="Times New Roman"/>
          <w:kern w:val="0"/>
          <w:sz w:val="21"/>
          <w:szCs w:val="20"/>
        </w:rPr>
      </w:pPr>
      <w:r>
        <w:rPr>
          <w:rFonts w:hint="eastAsia" w:ascii="黑体" w:hAnsi="黑体" w:eastAsia="黑体" w:cs="黑体"/>
          <w:sz w:val="21"/>
        </w:rPr>
        <w:t>7.1</w:t>
      </w:r>
      <w:r>
        <w:rPr>
          <w:rFonts w:hint="eastAsia" w:ascii="黑体" w:hAnsi="黑体" w:eastAsia="黑体" w:cs="黑体"/>
        </w:rPr>
        <w:t xml:space="preserve">  </w:t>
      </w:r>
      <w:r>
        <w:rPr>
          <w:rFonts w:hint="eastAsia" w:ascii="宋体" w:hAnsi="Times New Roman"/>
          <w:kern w:val="0"/>
          <w:sz w:val="21"/>
          <w:szCs w:val="20"/>
        </w:rPr>
        <w:t>《***岗位安全操作规程（报批稿）》经企业分管生产、设备等专业技术领导审核后签字，由企业主要负责人签字批准，经企业下发文件或装订成册、填写相关技术管理档案编号后盖章发布。</w:t>
      </w:r>
      <w:bookmarkEnd w:id="66"/>
      <w:bookmarkEnd w:id="67"/>
      <w:bookmarkEnd w:id="68"/>
    </w:p>
    <w:p>
      <w:pPr>
        <w:pStyle w:val="129"/>
        <w:spacing w:before="0" w:beforeLines="0" w:after="0" w:afterLines="0"/>
        <w:outlineLvl w:val="9"/>
        <w:rPr>
          <w:rFonts w:ascii="宋体" w:eastAsia="宋体"/>
        </w:rPr>
      </w:pPr>
      <w:bookmarkStart w:id="69" w:name="_Toc28969"/>
      <w:bookmarkStart w:id="70" w:name="_Toc27971"/>
      <w:bookmarkStart w:id="71" w:name="_Toc6324"/>
      <w:r>
        <w:rPr>
          <w:rFonts w:hint="eastAsia" w:hAnsi="黑体" w:cs="黑体"/>
        </w:rPr>
        <w:t>7.2  </w:t>
      </w:r>
      <w:r>
        <w:rPr>
          <w:rFonts w:hint="eastAsia" w:ascii="宋体" w:eastAsia="宋体"/>
        </w:rPr>
        <w:t>安全操作规程的下发应有相应记录并进行存档管理。</w:t>
      </w:r>
      <w:bookmarkEnd w:id="69"/>
      <w:bookmarkEnd w:id="70"/>
      <w:bookmarkEnd w:id="71"/>
    </w:p>
    <w:p>
      <w:pPr>
        <w:pStyle w:val="129"/>
        <w:spacing w:before="0" w:beforeLines="0" w:after="0" w:afterLines="0"/>
        <w:outlineLvl w:val="9"/>
        <w:rPr>
          <w:rFonts w:ascii="宋体" w:eastAsia="宋体"/>
          <w:highlight w:val="cyan"/>
        </w:rPr>
      </w:pPr>
      <w:bookmarkStart w:id="72" w:name="_Toc19427"/>
      <w:bookmarkStart w:id="73" w:name="_Toc18185"/>
      <w:bookmarkStart w:id="74" w:name="_Toc20214"/>
      <w:r>
        <w:rPr>
          <w:rFonts w:hint="eastAsia" w:hAnsi="黑体" w:cs="黑体"/>
        </w:rPr>
        <w:t>7.3  </w:t>
      </w:r>
      <w:r>
        <w:rPr>
          <w:rFonts w:hint="eastAsia" w:ascii="宋体" w:eastAsia="宋体"/>
        </w:rPr>
        <w:t>安全操作规程应以纸质版发放到相关操作或作业岗位，应将规程的主要内容制成目视化看板、展板、操作作业卡（宜采用图表或流程图形式展现）等放置在作业现场，组织岗位员工对安全操作规程进行培训学习，并组织进行测试、考核，确保岗位操作或作业人员熟悉掌握。</w:t>
      </w:r>
      <w:bookmarkEnd w:id="72"/>
      <w:bookmarkEnd w:id="73"/>
      <w:bookmarkEnd w:id="74"/>
    </w:p>
    <w:p>
      <w:pPr>
        <w:pStyle w:val="129"/>
        <w:spacing w:before="0" w:beforeLines="0" w:after="0" w:afterLines="0"/>
        <w:outlineLvl w:val="9"/>
        <w:rPr>
          <w:rFonts w:ascii="宋体" w:eastAsia="宋体"/>
        </w:rPr>
      </w:pPr>
      <w:bookmarkStart w:id="75" w:name="_Toc14517"/>
      <w:bookmarkStart w:id="76" w:name="_Toc24258"/>
      <w:bookmarkStart w:id="77" w:name="_Toc4692"/>
      <w:r>
        <w:rPr>
          <w:rFonts w:hint="eastAsia" w:hAnsi="黑体" w:cs="黑体"/>
        </w:rPr>
        <w:t>7.4  </w:t>
      </w:r>
      <w:r>
        <w:rPr>
          <w:rFonts w:hint="eastAsia" w:ascii="宋体" w:eastAsia="宋体"/>
        </w:rPr>
        <w:t>企业工艺技术、设备设施、作业活动等发生变化，或者采用新技术、新工艺、新设备、新材料等，在重新进行安全设计、安全评价的基础上，应停止相关操作、作业，并立即组织编审组，对相关基层岗</w:t>
      </w:r>
      <w:bookmarkEnd w:id="75"/>
      <w:bookmarkEnd w:id="76"/>
      <w:bookmarkStart w:id="78" w:name="_Toc30093"/>
      <w:bookmarkStart w:id="79" w:name="_Toc25575"/>
      <w:r>
        <w:rPr>
          <w:rFonts w:hint="eastAsia" w:ascii="宋体" w:eastAsia="宋体"/>
        </w:rPr>
        <w:t>位安全操作规程进行分析、梳理与修订。</w:t>
      </w:r>
    </w:p>
    <w:p>
      <w:pPr>
        <w:pStyle w:val="129"/>
        <w:spacing w:before="0" w:beforeLines="0" w:after="0" w:afterLines="0"/>
        <w:outlineLvl w:val="9"/>
        <w:rPr>
          <w:rFonts w:ascii="宋体" w:eastAsia="宋体"/>
        </w:rPr>
      </w:pPr>
      <w:r>
        <w:rPr>
          <w:rFonts w:hint="eastAsia" w:hAnsi="黑体" w:cs="黑体"/>
        </w:rPr>
        <w:t>7.5  </w:t>
      </w:r>
      <w:r>
        <w:rPr>
          <w:rFonts w:hint="eastAsia" w:ascii="宋体" w:eastAsia="宋体"/>
        </w:rPr>
        <w:t>安全操作规程更新修订、审核、审批发布后，将原安全操作规程及时从相关岗位回收，并以文件形式向相关岗位及人员告知作废，重新发放新版岗位安全操作规程，同时对岗位安全操作规程的看板、展板、操作作业卡等进行更新，并对相关作业人员重新进行培训学习、教育，经测试、考核后实施。</w:t>
      </w:r>
      <w:bookmarkEnd w:id="77"/>
      <w:bookmarkEnd w:id="78"/>
      <w:bookmarkEnd w:id="79"/>
    </w:p>
    <w:p>
      <w:pPr>
        <w:pStyle w:val="129"/>
        <w:spacing w:before="0" w:beforeLines="0" w:after="0" w:afterLines="0"/>
        <w:outlineLvl w:val="9"/>
        <w:rPr>
          <w:rFonts w:ascii="宋体" w:eastAsia="宋体"/>
        </w:rPr>
      </w:pPr>
      <w:bookmarkStart w:id="80" w:name="_Toc1253"/>
      <w:bookmarkStart w:id="81" w:name="_Toc32281"/>
      <w:bookmarkStart w:id="82" w:name="_Toc10780"/>
      <w:r>
        <w:rPr>
          <w:rFonts w:hint="eastAsia" w:hAnsi="黑体" w:cs="黑体"/>
        </w:rPr>
        <w:t>7.6  </w:t>
      </w:r>
      <w:r>
        <w:rPr>
          <w:rFonts w:hint="eastAsia" w:ascii="宋体" w:eastAsia="宋体"/>
        </w:rPr>
        <w:t>当企业操作与作业过程或设备发生事故后，应根据事故原因分析、梳理安全操作规程的相关工艺设备参数值、操作顺序、操作步骤、作业顺序、作业步骤、管理流程是否科学合理，对发现的问题要及时制定整改措施，在做好停工期间整改、落实相应安全措施的基础上，及时修订安全操作规程。</w:t>
      </w:r>
      <w:bookmarkEnd w:id="80"/>
      <w:bookmarkEnd w:id="81"/>
      <w:bookmarkEnd w:id="82"/>
    </w:p>
    <w:p>
      <w:pPr>
        <w:pStyle w:val="129"/>
        <w:spacing w:before="0" w:beforeLines="0" w:after="0" w:afterLines="0"/>
        <w:outlineLvl w:val="9"/>
        <w:rPr>
          <w:rFonts w:ascii="宋体" w:eastAsia="宋体"/>
        </w:rPr>
      </w:pPr>
      <w:bookmarkStart w:id="83" w:name="_Toc21988"/>
      <w:bookmarkStart w:id="84" w:name="_Toc29850"/>
      <w:bookmarkStart w:id="85" w:name="_Toc26320"/>
      <w:r>
        <w:rPr>
          <w:rFonts w:hint="eastAsia" w:hAnsi="黑体" w:cs="黑体"/>
        </w:rPr>
        <w:t>7.7  </w:t>
      </w:r>
      <w:r>
        <w:rPr>
          <w:rFonts w:hint="eastAsia" w:ascii="宋体" w:eastAsia="宋体"/>
        </w:rPr>
        <w:t>当国家相关法律法规、国家标准、行业标准、地方标准等规范性文件有更新时，应根据更新内容立即组织检查安全操作规程的合理性及适应性。</w:t>
      </w:r>
      <w:bookmarkEnd w:id="83"/>
      <w:bookmarkEnd w:id="84"/>
      <w:bookmarkEnd w:id="85"/>
    </w:p>
    <w:p>
      <w:pPr>
        <w:pStyle w:val="44"/>
        <w:widowControl/>
        <w:spacing w:line="240" w:lineRule="auto"/>
        <w:rPr>
          <w:rFonts w:ascii="Times New Roman" w:hAnsi="Times New Roman" w:eastAsia="黑体"/>
          <w:color w:val="000000"/>
          <w:kern w:val="0"/>
          <w:sz w:val="21"/>
          <w:szCs w:val="22"/>
          <w:lang w:bidi="ar"/>
        </w:rPr>
      </w:pPr>
      <w:bookmarkStart w:id="86" w:name="_Toc4441"/>
      <w:r>
        <w:rPr>
          <w:rFonts w:hint="eastAsia" w:ascii="黑体" w:hAnsi="黑体" w:eastAsia="黑体" w:cs="黑体"/>
          <w:sz w:val="21"/>
        </w:rPr>
        <w:t>7.8</w:t>
      </w:r>
      <w:r>
        <w:rPr>
          <w:rFonts w:hint="eastAsia" w:ascii="黑体" w:hAnsi="黑体" w:eastAsia="黑体" w:cs="黑体"/>
        </w:rPr>
        <w:t xml:space="preserve">  </w:t>
      </w:r>
      <w:r>
        <w:rPr>
          <w:rFonts w:hint="eastAsia" w:ascii="宋体" w:hAnsi="Times New Roman"/>
          <w:kern w:val="0"/>
          <w:sz w:val="21"/>
          <w:szCs w:val="20"/>
        </w:rPr>
        <w:t>即使未发生本文件中7.4至7.6条款中的情况，企业应对安全操作规程每年开展1次定期检查、审核，及时对检查、审核、评审过程中发现的问题进行认真梳理和分析，及时组织修订与评审，严格按本文件的要求进行发布与管理。</w:t>
      </w:r>
      <w:bookmarkEnd w:id="86"/>
    </w:p>
    <w:bookmarkEnd w:id="42"/>
    <w:bookmarkEnd w:id="43"/>
    <w:p>
      <w:pPr>
        <w:pStyle w:val="80"/>
        <w:ind w:firstLine="0" w:firstLineChars="0"/>
        <w:sectPr>
          <w:footerReference r:id="rId21" w:type="default"/>
          <w:footerReference r:id="rId22" w:type="even"/>
          <w:pgSz w:w="11906" w:h="16838"/>
          <w:pgMar w:top="567" w:right="1134" w:bottom="1134" w:left="1134" w:header="1417" w:footer="1134" w:gutter="283"/>
          <w:pgNumType w:start="1"/>
          <w:cols w:space="0" w:num="1"/>
          <w:formProt w:val="0"/>
          <w:docGrid w:type="lines" w:linePitch="312" w:charSpace="0"/>
        </w:sectPr>
      </w:pPr>
    </w:p>
    <w:p>
      <w:pPr>
        <w:widowControl/>
        <w:adjustRightInd/>
        <w:spacing w:line="240" w:lineRule="auto"/>
        <w:jc w:val="center"/>
        <w:outlineLvl w:val="0"/>
        <w:rPr>
          <w:rFonts w:ascii="宋体" w:hAnsi="宋体" w:cs="宋体"/>
          <w:kern w:val="0"/>
          <w:sz w:val="24"/>
          <w:szCs w:val="24"/>
        </w:rPr>
      </w:pPr>
      <w:bookmarkStart w:id="87" w:name="_Toc14149"/>
      <w:r>
        <w:rPr>
          <w:rFonts w:hint="eastAsia" w:ascii="黑体" w:hAnsi="黑体" w:eastAsia="黑体" w:cs="宋体"/>
          <w:color w:val="000000"/>
          <w:kern w:val="0"/>
        </w:rPr>
        <w:t>附 录  A</w:t>
      </w:r>
      <w:bookmarkEnd w:id="87"/>
    </w:p>
    <w:p>
      <w:pPr>
        <w:widowControl/>
        <w:adjustRightInd/>
        <w:spacing w:line="240" w:lineRule="auto"/>
        <w:jc w:val="center"/>
        <w:outlineLvl w:val="0"/>
        <w:rPr>
          <w:rFonts w:ascii="黑体" w:hAnsi="黑体" w:eastAsia="黑体" w:cs="宋体"/>
          <w:color w:val="000000"/>
          <w:kern w:val="0"/>
        </w:rPr>
      </w:pPr>
      <w:r>
        <w:rPr>
          <w:rFonts w:hint="eastAsia" w:ascii="黑体" w:hAnsi="黑体" w:eastAsia="黑体" w:cs="宋体"/>
          <w:color w:val="000000"/>
          <w:kern w:val="0"/>
        </w:rPr>
        <w:t>（规范性）</w:t>
      </w:r>
    </w:p>
    <w:p>
      <w:pPr>
        <w:widowControl/>
        <w:adjustRightInd/>
        <w:spacing w:after="159" w:afterLines="50" w:line="240" w:lineRule="auto"/>
        <w:jc w:val="center"/>
        <w:outlineLvl w:val="0"/>
        <w:rPr>
          <w:rFonts w:ascii="黑体" w:hAnsi="黑体" w:eastAsia="黑体" w:cs="宋体"/>
          <w:color w:val="000000"/>
          <w:kern w:val="0"/>
        </w:rPr>
      </w:pPr>
      <w:r>
        <w:rPr>
          <w:rFonts w:hint="eastAsia" w:ascii="黑体" w:hAnsi="黑体" w:eastAsia="黑体" w:cs="宋体"/>
          <w:color w:val="000000"/>
          <w:kern w:val="0"/>
        </w:rPr>
        <w:t>危险有害因素辨识记录表</w:t>
      </w:r>
    </w:p>
    <w:p>
      <w:pPr>
        <w:widowControl/>
        <w:adjustRightInd/>
        <w:spacing w:before="159" w:beforeLines="50" w:after="159" w:afterLines="50" w:line="240" w:lineRule="auto"/>
        <w:jc w:val="center"/>
        <w:outlineLvl w:val="0"/>
        <w:rPr>
          <w:rFonts w:ascii="宋体" w:hAnsi="宋体" w:eastAsia="黑体" w:cs="宋体"/>
          <w:kern w:val="0"/>
          <w:sz w:val="24"/>
          <w:szCs w:val="24"/>
        </w:rPr>
      </w:pPr>
      <w:r>
        <w:rPr>
          <w:rFonts w:hint="eastAsia" w:ascii="黑体" w:hAnsi="黑体" w:eastAsia="黑体" w:cs="宋体"/>
          <w:color w:val="000000"/>
          <w:kern w:val="0"/>
        </w:rPr>
        <w:t>表A.1 危险有害因素辨识记录表</w:t>
      </w:r>
    </w:p>
    <w:tbl>
      <w:tblPr>
        <w:tblStyle w:val="56"/>
        <w:tblW w:w="14076" w:type="dxa"/>
        <w:tblInd w:w="-10" w:type="dxa"/>
        <w:tblLayout w:type="fixed"/>
        <w:tblCellMar>
          <w:top w:w="0" w:type="dxa"/>
          <w:left w:w="0" w:type="dxa"/>
          <w:bottom w:w="0" w:type="dxa"/>
          <w:right w:w="0" w:type="dxa"/>
        </w:tblCellMar>
      </w:tblPr>
      <w:tblGrid>
        <w:gridCol w:w="665"/>
        <w:gridCol w:w="1706"/>
        <w:gridCol w:w="2029"/>
        <w:gridCol w:w="1412"/>
        <w:gridCol w:w="1665"/>
        <w:gridCol w:w="561"/>
        <w:gridCol w:w="562"/>
        <w:gridCol w:w="561"/>
        <w:gridCol w:w="562"/>
        <w:gridCol w:w="1235"/>
        <w:gridCol w:w="3118"/>
      </w:tblGrid>
      <w:tr>
        <w:tblPrEx>
          <w:tblLayout w:type="fixed"/>
          <w:tblCellMar>
            <w:top w:w="0" w:type="dxa"/>
            <w:left w:w="0" w:type="dxa"/>
            <w:bottom w:w="0" w:type="dxa"/>
            <w:right w:w="0" w:type="dxa"/>
          </w:tblCellMar>
        </w:tblPrEx>
        <w:trPr>
          <w:cantSplit/>
          <w:trHeight w:val="90" w:hRule="atLeast"/>
        </w:trPr>
        <w:tc>
          <w:tcPr>
            <w:tcW w:w="665" w:type="dxa"/>
            <w:vMerge w:val="restart"/>
            <w:tcBorders>
              <w:top w:val="single" w:color="auto" w:sz="8" w:space="0"/>
              <w:left w:val="single" w:color="auto" w:sz="8" w:space="0"/>
              <w:bottom w:val="single" w:color="auto" w:sz="8" w:space="0"/>
              <w:right w:val="single" w:color="auto" w:sz="8"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序号</w:t>
            </w:r>
          </w:p>
        </w:tc>
        <w:tc>
          <w:tcPr>
            <w:tcW w:w="1706" w:type="dxa"/>
            <w:vMerge w:val="restart"/>
            <w:tcBorders>
              <w:top w:val="single" w:color="auto" w:sz="8" w:space="0"/>
              <w:left w:val="nil"/>
              <w:bottom w:val="single" w:color="auto" w:sz="8" w:space="0"/>
              <w:right w:val="single" w:color="auto" w:sz="8"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作业活动</w:t>
            </w:r>
          </w:p>
        </w:tc>
        <w:tc>
          <w:tcPr>
            <w:tcW w:w="2029" w:type="dxa"/>
            <w:vMerge w:val="restart"/>
            <w:tcBorders>
              <w:top w:val="single" w:color="auto" w:sz="8" w:space="0"/>
              <w:left w:val="nil"/>
              <w:bottom w:val="single" w:color="auto" w:sz="8" w:space="0"/>
              <w:right w:val="single" w:color="auto" w:sz="8"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危险因素</w:t>
            </w:r>
          </w:p>
        </w:tc>
        <w:tc>
          <w:tcPr>
            <w:tcW w:w="1412" w:type="dxa"/>
            <w:vMerge w:val="restart"/>
            <w:tcBorders>
              <w:top w:val="single" w:color="auto" w:sz="8" w:space="0"/>
              <w:left w:val="nil"/>
              <w:bottom w:val="single" w:color="auto" w:sz="8" w:space="0"/>
              <w:right w:val="single" w:color="auto" w:sz="8"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可能导致的事故</w:t>
            </w:r>
          </w:p>
        </w:tc>
        <w:tc>
          <w:tcPr>
            <w:tcW w:w="1665" w:type="dxa"/>
            <w:vMerge w:val="restart"/>
            <w:tcBorders>
              <w:top w:val="single" w:color="auto" w:sz="8" w:space="0"/>
              <w:left w:val="nil"/>
              <w:bottom w:val="single" w:color="auto" w:sz="8" w:space="0"/>
              <w:right w:val="single" w:color="auto" w:sz="8"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判别依据（I-V）</w:t>
            </w:r>
          </w:p>
        </w:tc>
        <w:tc>
          <w:tcPr>
            <w:tcW w:w="2246" w:type="dxa"/>
            <w:gridSpan w:val="4"/>
            <w:tcBorders>
              <w:top w:val="single" w:color="auto" w:sz="8" w:space="0"/>
              <w:left w:val="nil"/>
              <w:bottom w:val="single" w:color="auto" w:sz="8" w:space="0"/>
              <w:right w:val="single" w:color="auto" w:sz="8"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作业条件风险性评价</w:t>
            </w:r>
          </w:p>
        </w:tc>
        <w:tc>
          <w:tcPr>
            <w:tcW w:w="1235"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line="320" w:lineRule="exact"/>
              <w:jc w:val="left"/>
              <w:rPr>
                <w:rFonts w:ascii="宋体" w:hAnsi="宋体" w:cs="宋体"/>
                <w:kern w:val="0"/>
                <w:sz w:val="18"/>
                <w:szCs w:val="18"/>
              </w:rPr>
            </w:pPr>
            <w:r>
              <w:rPr>
                <w:rFonts w:hint="eastAsia" w:ascii="宋体" w:hAnsi="宋体" w:cs="宋体"/>
                <w:kern w:val="0"/>
                <w:sz w:val="18"/>
                <w:szCs w:val="18"/>
              </w:rPr>
              <w:t>危险级别</w:t>
            </w:r>
          </w:p>
        </w:tc>
        <w:tc>
          <w:tcPr>
            <w:tcW w:w="3118" w:type="dxa"/>
            <w:vMerge w:val="restart"/>
            <w:tcBorders>
              <w:top w:val="single" w:color="auto" w:sz="8" w:space="0"/>
              <w:left w:val="nil"/>
              <w:right w:val="single" w:color="auto" w:sz="8" w:space="0"/>
            </w:tcBorders>
            <w:tcMar>
              <w:top w:w="0" w:type="dxa"/>
              <w:left w:w="108" w:type="dxa"/>
              <w:bottom w:w="0" w:type="dxa"/>
              <w:right w:w="108" w:type="dxa"/>
            </w:tcMar>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现有控制措施</w:t>
            </w:r>
          </w:p>
        </w:tc>
      </w:tr>
      <w:tr>
        <w:tblPrEx>
          <w:tblLayout w:type="fixed"/>
          <w:tblCellMar>
            <w:top w:w="0" w:type="dxa"/>
            <w:left w:w="0" w:type="dxa"/>
            <w:bottom w:w="0" w:type="dxa"/>
            <w:right w:w="0" w:type="dxa"/>
          </w:tblCellMar>
        </w:tblPrEx>
        <w:trPr>
          <w:cantSplit/>
          <w:trHeight w:val="90" w:hRule="atLeast"/>
        </w:trPr>
        <w:tc>
          <w:tcPr>
            <w:tcW w:w="665"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kern w:val="0"/>
                <w:sz w:val="18"/>
                <w:szCs w:val="18"/>
              </w:rPr>
            </w:pPr>
          </w:p>
        </w:tc>
        <w:tc>
          <w:tcPr>
            <w:tcW w:w="1706"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cs="宋体"/>
                <w:kern w:val="0"/>
                <w:sz w:val="18"/>
                <w:szCs w:val="18"/>
              </w:rPr>
            </w:pPr>
          </w:p>
        </w:tc>
        <w:tc>
          <w:tcPr>
            <w:tcW w:w="2029"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cs="宋体"/>
                <w:kern w:val="0"/>
                <w:sz w:val="18"/>
                <w:szCs w:val="18"/>
              </w:rPr>
            </w:pPr>
          </w:p>
        </w:tc>
        <w:tc>
          <w:tcPr>
            <w:tcW w:w="1412"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cs="宋体"/>
                <w:kern w:val="0"/>
                <w:sz w:val="18"/>
                <w:szCs w:val="18"/>
              </w:rPr>
            </w:pPr>
          </w:p>
        </w:tc>
        <w:tc>
          <w:tcPr>
            <w:tcW w:w="1665"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cs="宋体"/>
                <w:kern w:val="0"/>
                <w:sz w:val="18"/>
                <w:szCs w:val="18"/>
              </w:rPr>
            </w:pP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jc w:val="left"/>
              <w:rPr>
                <w:rFonts w:ascii="宋体" w:hAnsi="宋体" w:cs="宋体"/>
                <w:kern w:val="0"/>
                <w:sz w:val="18"/>
                <w:szCs w:val="18"/>
              </w:rPr>
            </w:pPr>
            <w:r>
              <w:rPr>
                <w:rFonts w:hint="eastAsia" w:ascii="宋体" w:hAnsi="宋体" w:cs="宋体"/>
                <w:kern w:val="0"/>
                <w:sz w:val="18"/>
                <w:szCs w:val="18"/>
              </w:rPr>
              <w:t>L</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jc w:val="left"/>
              <w:rPr>
                <w:rFonts w:ascii="宋体" w:hAnsi="宋体" w:cs="宋体"/>
                <w:kern w:val="0"/>
                <w:sz w:val="18"/>
                <w:szCs w:val="18"/>
              </w:rPr>
            </w:pPr>
            <w:r>
              <w:rPr>
                <w:rFonts w:hint="eastAsia" w:ascii="宋体" w:hAnsi="宋体" w:cs="宋体"/>
                <w:kern w:val="0"/>
                <w:sz w:val="18"/>
                <w:szCs w:val="18"/>
              </w:rPr>
              <w:t>E</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jc w:val="left"/>
              <w:rPr>
                <w:rFonts w:ascii="宋体" w:hAnsi="宋体" w:cs="宋体"/>
                <w:kern w:val="0"/>
                <w:sz w:val="18"/>
                <w:szCs w:val="18"/>
              </w:rPr>
            </w:pPr>
            <w:r>
              <w:rPr>
                <w:rFonts w:hint="eastAsia" w:ascii="宋体" w:hAnsi="宋体" w:cs="宋体"/>
                <w:kern w:val="0"/>
                <w:sz w:val="18"/>
                <w:szCs w:val="18"/>
              </w:rPr>
              <w:t>C</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jc w:val="left"/>
              <w:rPr>
                <w:rFonts w:ascii="宋体" w:hAnsi="宋体" w:cs="宋体"/>
                <w:kern w:val="0"/>
                <w:sz w:val="18"/>
                <w:szCs w:val="18"/>
              </w:rPr>
            </w:pPr>
            <w:r>
              <w:rPr>
                <w:rFonts w:hint="eastAsia" w:ascii="宋体" w:hAnsi="宋体" w:cs="宋体"/>
                <w:kern w:val="0"/>
                <w:sz w:val="18"/>
                <w:szCs w:val="18"/>
              </w:rPr>
              <w:t>D</w:t>
            </w:r>
          </w:p>
        </w:tc>
        <w:tc>
          <w:tcPr>
            <w:tcW w:w="1235" w:type="dxa"/>
            <w:vMerge w:val="continue"/>
            <w:tcBorders>
              <w:top w:val="single" w:color="auto" w:sz="8" w:space="0"/>
              <w:left w:val="nil"/>
              <w:bottom w:val="single" w:color="auto" w:sz="8" w:space="0"/>
              <w:right w:val="single" w:color="auto" w:sz="8" w:space="0"/>
            </w:tcBorders>
            <w:vAlign w:val="center"/>
          </w:tcPr>
          <w:p>
            <w:pPr>
              <w:widowControl/>
              <w:jc w:val="left"/>
              <w:rPr>
                <w:rFonts w:ascii="宋体" w:hAnsi="宋体" w:cs="宋体"/>
                <w:kern w:val="0"/>
                <w:sz w:val="18"/>
                <w:szCs w:val="18"/>
              </w:rPr>
            </w:pPr>
          </w:p>
        </w:tc>
        <w:tc>
          <w:tcPr>
            <w:tcW w:w="3118" w:type="dxa"/>
            <w:vMerge w:val="continue"/>
            <w:tcBorders>
              <w:left w:val="nil"/>
              <w:bottom w:val="single" w:color="auto" w:sz="8" w:space="0"/>
              <w:right w:val="single" w:color="auto" w:sz="8" w:space="0"/>
            </w:tcBorders>
            <w:vAlign w:val="center"/>
          </w:tcPr>
          <w:p>
            <w:pPr>
              <w:widowControl/>
              <w:jc w:val="left"/>
              <w:rPr>
                <w:rFonts w:ascii="宋体" w:hAnsi="宋体" w:cs="宋体"/>
                <w:kern w:val="0"/>
                <w:sz w:val="18"/>
                <w:szCs w:val="18"/>
              </w:rPr>
            </w:pPr>
          </w:p>
        </w:tc>
      </w:tr>
      <w:tr>
        <w:tblPrEx>
          <w:tblLayout w:type="fixed"/>
          <w:tblCellMar>
            <w:top w:w="0" w:type="dxa"/>
            <w:left w:w="0" w:type="dxa"/>
            <w:bottom w:w="0" w:type="dxa"/>
            <w:right w:w="0" w:type="dxa"/>
          </w:tblCellMar>
        </w:tblPrEx>
        <w:trPr>
          <w:trHeight w:val="255" w:hRule="atLeast"/>
        </w:trPr>
        <w:tc>
          <w:tcPr>
            <w:tcW w:w="6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1</w:t>
            </w:r>
          </w:p>
        </w:tc>
        <w:tc>
          <w:tcPr>
            <w:tcW w:w="170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2029"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41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2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311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0" w:type="dxa"/>
            <w:bottom w:w="0" w:type="dxa"/>
            <w:right w:w="0" w:type="dxa"/>
          </w:tblCellMar>
        </w:tblPrEx>
        <w:tc>
          <w:tcPr>
            <w:tcW w:w="6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2</w:t>
            </w:r>
          </w:p>
        </w:tc>
        <w:tc>
          <w:tcPr>
            <w:tcW w:w="170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2029"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41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2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311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0" w:type="dxa"/>
            <w:bottom w:w="0" w:type="dxa"/>
            <w:right w:w="0" w:type="dxa"/>
          </w:tblCellMar>
        </w:tblPrEx>
        <w:tc>
          <w:tcPr>
            <w:tcW w:w="6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3</w:t>
            </w:r>
          </w:p>
        </w:tc>
        <w:tc>
          <w:tcPr>
            <w:tcW w:w="170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2029"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41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2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311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0" w:type="dxa"/>
            <w:bottom w:w="0" w:type="dxa"/>
            <w:right w:w="0" w:type="dxa"/>
          </w:tblCellMar>
        </w:tblPrEx>
        <w:tc>
          <w:tcPr>
            <w:tcW w:w="6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4</w:t>
            </w:r>
          </w:p>
        </w:tc>
        <w:tc>
          <w:tcPr>
            <w:tcW w:w="170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2029"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41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2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311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0" w:type="dxa"/>
            <w:bottom w:w="0" w:type="dxa"/>
            <w:right w:w="0" w:type="dxa"/>
          </w:tblCellMar>
        </w:tblPrEx>
        <w:tc>
          <w:tcPr>
            <w:tcW w:w="6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5</w:t>
            </w:r>
          </w:p>
        </w:tc>
        <w:tc>
          <w:tcPr>
            <w:tcW w:w="170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2029"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41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2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311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0" w:type="dxa"/>
            <w:bottom w:w="0" w:type="dxa"/>
            <w:right w:w="0" w:type="dxa"/>
          </w:tblCellMar>
        </w:tblPrEx>
        <w:tc>
          <w:tcPr>
            <w:tcW w:w="6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6</w:t>
            </w:r>
          </w:p>
        </w:tc>
        <w:tc>
          <w:tcPr>
            <w:tcW w:w="170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2029"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41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2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311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0" w:type="dxa"/>
            <w:bottom w:w="0" w:type="dxa"/>
            <w:right w:w="0" w:type="dxa"/>
          </w:tblCellMar>
        </w:tblPrEx>
        <w:tc>
          <w:tcPr>
            <w:tcW w:w="6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7</w:t>
            </w:r>
          </w:p>
        </w:tc>
        <w:tc>
          <w:tcPr>
            <w:tcW w:w="170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2029"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41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1"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562"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12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c>
          <w:tcPr>
            <w:tcW w:w="311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0" w:type="dxa"/>
            <w:bottom w:w="0" w:type="dxa"/>
            <w:right w:w="0" w:type="dxa"/>
          </w:tblCellMar>
        </w:tblPrEx>
        <w:trPr>
          <w:cantSplit/>
          <w:trHeight w:val="667" w:hRule="atLeast"/>
        </w:trPr>
        <w:tc>
          <w:tcPr>
            <w:tcW w:w="237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40" w:lineRule="exact"/>
              <w:rPr>
                <w:rFonts w:ascii="宋体" w:hAnsi="宋体" w:cs="宋体"/>
                <w:kern w:val="0"/>
                <w:sz w:val="18"/>
                <w:szCs w:val="18"/>
              </w:rPr>
            </w:pPr>
            <w:r>
              <w:rPr>
                <w:rFonts w:hint="eastAsia" w:ascii="宋体" w:hAnsi="宋体" w:cs="宋体"/>
                <w:b/>
                <w:bCs/>
                <w:kern w:val="0"/>
                <w:sz w:val="18"/>
                <w:szCs w:val="18"/>
              </w:rPr>
              <w:t>判 别 依 据</w:t>
            </w:r>
          </w:p>
        </w:tc>
        <w:tc>
          <w:tcPr>
            <w:tcW w:w="11705" w:type="dxa"/>
            <w:gridSpan w:val="9"/>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line="340" w:lineRule="exact"/>
              <w:jc w:val="left"/>
              <w:rPr>
                <w:rFonts w:ascii="宋体" w:hAnsi="宋体" w:cs="宋体"/>
                <w:kern w:val="0"/>
                <w:sz w:val="18"/>
                <w:szCs w:val="18"/>
              </w:rPr>
            </w:pPr>
            <w:r>
              <w:rPr>
                <w:rFonts w:hint="eastAsia" w:ascii="宋体" w:hAnsi="宋体" w:cs="宋体"/>
                <w:kern w:val="0"/>
                <w:sz w:val="18"/>
                <w:szCs w:val="18"/>
              </w:rPr>
              <w:t>Ⅰ.不符合法律法规及其要求；  Ⅱ. 曾发生过事故仍未采取措施；</w:t>
            </w:r>
          </w:p>
          <w:p>
            <w:pPr>
              <w:widowControl/>
              <w:spacing w:line="340" w:lineRule="exact"/>
              <w:jc w:val="left"/>
              <w:rPr>
                <w:rFonts w:ascii="宋体" w:hAnsi="宋体" w:cs="宋体"/>
                <w:kern w:val="0"/>
                <w:sz w:val="18"/>
                <w:szCs w:val="18"/>
              </w:rPr>
            </w:pPr>
            <w:r>
              <w:rPr>
                <w:rFonts w:hint="eastAsia" w:ascii="宋体" w:hAnsi="宋体" w:cs="宋体"/>
                <w:kern w:val="0"/>
                <w:sz w:val="18"/>
                <w:szCs w:val="18"/>
              </w:rPr>
              <w:t>Ⅲ. 相关方合理抱怨或要求；  Ⅳ. 直接观察到的危害；  Ⅴ. 定量评价（LEC法）；</w:t>
            </w:r>
          </w:p>
        </w:tc>
      </w:tr>
    </w:tbl>
    <w:p>
      <w:pPr>
        <w:numPr>
          <w:ilvl w:val="0"/>
          <w:numId w:val="34"/>
        </w:numPr>
        <w:spacing w:line="240" w:lineRule="auto"/>
        <w:rPr>
          <w:rFonts w:ascii="宋体" w:hAnsi="Times New Roman"/>
          <w:kern w:val="0"/>
          <w:szCs w:val="20"/>
        </w:rPr>
      </w:pPr>
      <w:r>
        <w:rPr>
          <w:rFonts w:hint="eastAsia" w:ascii="宋体" w:hAnsi="Times New Roman"/>
          <w:kern w:val="0"/>
          <w:szCs w:val="20"/>
        </w:rPr>
        <w:t xml:space="preserve"> 本辨识表为《危险源辩识、风险评价及风险控制策划》过程提供了技术和方法支持；</w:t>
      </w:r>
    </w:p>
    <w:p>
      <w:pPr>
        <w:numPr>
          <w:ilvl w:val="0"/>
          <w:numId w:val="34"/>
        </w:numPr>
        <w:spacing w:line="240" w:lineRule="auto"/>
        <w:rPr>
          <w:rFonts w:ascii="宋体" w:hAnsi="Times New Roman"/>
          <w:kern w:val="0"/>
          <w:szCs w:val="20"/>
        </w:rPr>
      </w:pPr>
      <w:r>
        <w:rPr>
          <w:rFonts w:hint="eastAsia" w:ascii="宋体" w:hAnsi="Times New Roman"/>
          <w:kern w:val="0"/>
          <w:szCs w:val="20"/>
        </w:rPr>
        <w:t xml:space="preserve"> </w:t>
      </w:r>
      <w:r>
        <w:rPr>
          <w:rFonts w:hint="eastAsia" w:ascii="宋体"/>
        </w:rPr>
        <w:t>对企业的活动、产品或服务中危险因素的辩识与评价。用于系统风险率相关的三种危险因素L、E、C三项指标之积来评价系统的伤害风险大小（级）。</w:t>
      </w:r>
    </w:p>
    <w:p>
      <w:pPr>
        <w:pStyle w:val="189"/>
        <w:numPr>
          <w:ilvl w:val="0"/>
          <w:numId w:val="0"/>
        </w:numPr>
        <w:ind w:firstLine="420" w:firstLineChars="200"/>
      </w:pPr>
      <w:r>
        <w:rPr>
          <w:rFonts w:hint="eastAsia"/>
        </w:rPr>
        <w:t xml:space="preserve">L—发生伤害事故的可能性大小； </w:t>
      </w:r>
    </w:p>
    <w:p>
      <w:pPr>
        <w:pStyle w:val="189"/>
        <w:numPr>
          <w:ilvl w:val="0"/>
          <w:numId w:val="0"/>
        </w:numPr>
        <w:ind w:firstLine="420" w:firstLineChars="200"/>
      </w:pPr>
      <w:r>
        <w:rPr>
          <w:rFonts w:hint="eastAsia"/>
        </w:rPr>
        <w:t>E—作业人员暴露在作业危险环境中的频率、程度；</w:t>
      </w:r>
    </w:p>
    <w:p>
      <w:pPr>
        <w:pStyle w:val="189"/>
        <w:numPr>
          <w:ilvl w:val="0"/>
          <w:numId w:val="0"/>
        </w:numPr>
        <w:ind w:firstLine="420" w:firstLineChars="200"/>
      </w:pPr>
      <w:r>
        <w:rPr>
          <w:rFonts w:hint="eastAsia"/>
        </w:rPr>
        <w:t>C—旦发生事故（伤亡、疾病、财产损失等）会造成的损失后果；</w:t>
      </w:r>
    </w:p>
    <w:p>
      <w:pPr>
        <w:pStyle w:val="189"/>
        <w:numPr>
          <w:ilvl w:val="0"/>
          <w:numId w:val="0"/>
        </w:numPr>
        <w:ind w:firstLine="420" w:firstLineChars="200"/>
      </w:pPr>
      <w:r>
        <w:rPr>
          <w:rFonts w:hint="eastAsia"/>
        </w:rPr>
        <w:t>D=L·E·C—综合评价危险性大小。D值大，作业系统危险性大，应加强安全保障措施，或改变事故发生的可能性，或减少从事人员暴露于作业危险环境的频度，或减轻事故损失，直到调整到可允许的范围。</w:t>
      </w:r>
    </w:p>
    <w:p>
      <w:pPr>
        <w:pStyle w:val="189"/>
        <w:numPr>
          <w:ilvl w:val="0"/>
          <w:numId w:val="0"/>
        </w:numPr>
      </w:pPr>
      <w:r>
        <w:rPr>
          <w:rFonts w:hint="eastAsia"/>
        </w:rPr>
        <w:t xml:space="preserve">c)  </w:t>
      </w:r>
      <w:r>
        <w:rPr>
          <w:rFonts w:hint="eastAsia" w:hAnsi="宋体" w:cs="宋体"/>
          <w:szCs w:val="21"/>
        </w:rPr>
        <w:t>L、E、C值的值及评价技术依据。</w:t>
      </w:r>
    </w:p>
    <w:p>
      <w:pPr>
        <w:rPr>
          <w:rFonts w:ascii="宋体"/>
        </w:rPr>
        <w:sectPr>
          <w:footerReference r:id="rId23" w:type="default"/>
          <w:footerReference r:id="rId24" w:type="even"/>
          <w:pgSz w:w="16838" w:h="11906" w:orient="landscape"/>
          <w:pgMar w:top="1803" w:right="1440" w:bottom="1803" w:left="1440" w:header="851" w:footer="992" w:gutter="0"/>
          <w:cols w:space="720" w:num="1"/>
          <w:docGrid w:type="lines" w:linePitch="319" w:charSpace="0"/>
        </w:sectPr>
      </w:pPr>
    </w:p>
    <w:p>
      <w:pPr>
        <w:widowControl/>
        <w:adjustRightInd/>
        <w:spacing w:line="240" w:lineRule="auto"/>
        <w:jc w:val="center"/>
        <w:rPr>
          <w:rFonts w:ascii="黑体" w:hAnsi="黑体" w:eastAsia="黑体" w:cs="宋体"/>
          <w:color w:val="000000"/>
          <w:kern w:val="0"/>
        </w:rPr>
      </w:pPr>
      <w:r>
        <w:rPr>
          <w:rFonts w:hint="eastAsia" w:ascii="黑体" w:hAnsi="黑体" w:eastAsia="黑体" w:cs="宋体"/>
          <w:color w:val="000000"/>
          <w:kern w:val="0"/>
        </w:rPr>
        <w:t>表A.2 表达事故的可能性：L</w:t>
      </w:r>
    </w:p>
    <w:tbl>
      <w:tblPr>
        <w:tblStyle w:val="56"/>
        <w:tblW w:w="9398" w:type="dxa"/>
        <w:tblInd w:w="0" w:type="dxa"/>
        <w:tblLayout w:type="fixed"/>
        <w:tblCellMar>
          <w:top w:w="0" w:type="dxa"/>
          <w:left w:w="0" w:type="dxa"/>
          <w:bottom w:w="0" w:type="dxa"/>
          <w:right w:w="0" w:type="dxa"/>
        </w:tblCellMar>
      </w:tblPr>
      <w:tblGrid>
        <w:gridCol w:w="1129"/>
        <w:gridCol w:w="6381"/>
        <w:gridCol w:w="1888"/>
      </w:tblGrid>
      <w:tr>
        <w:tblPrEx>
          <w:tblLayout w:type="fixed"/>
          <w:tblCellMar>
            <w:top w:w="0" w:type="dxa"/>
            <w:left w:w="0" w:type="dxa"/>
            <w:bottom w:w="0" w:type="dxa"/>
            <w:right w:w="0" w:type="dxa"/>
          </w:tblCellMar>
        </w:tblPrEx>
        <w:trPr>
          <w:trHeight w:val="90" w:hRule="atLeast"/>
        </w:trPr>
        <w:tc>
          <w:tcPr>
            <w:tcW w:w="112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级号</w:t>
            </w:r>
          </w:p>
        </w:tc>
        <w:tc>
          <w:tcPr>
            <w:tcW w:w="638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事故发生的可能性</w:t>
            </w:r>
          </w:p>
        </w:tc>
        <w:tc>
          <w:tcPr>
            <w:tcW w:w="18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L分值</w:t>
            </w:r>
          </w:p>
        </w:tc>
      </w:tr>
      <w:tr>
        <w:tblPrEx>
          <w:tblLayout w:type="fixed"/>
          <w:tblCellMar>
            <w:top w:w="0" w:type="dxa"/>
            <w:left w:w="0" w:type="dxa"/>
            <w:bottom w:w="0" w:type="dxa"/>
            <w:right w:w="0" w:type="dxa"/>
          </w:tblCellMar>
        </w:tblPrEx>
        <w:trPr>
          <w:trHeight w:val="90" w:hRule="atLeast"/>
        </w:trPr>
        <w:tc>
          <w:tcPr>
            <w:tcW w:w="11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38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完全可以预见会发生</w:t>
            </w:r>
          </w:p>
        </w:tc>
        <w:tc>
          <w:tcPr>
            <w:tcW w:w="188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0" w:type="dxa"/>
            <w:bottom w:w="0" w:type="dxa"/>
            <w:right w:w="0" w:type="dxa"/>
          </w:tblCellMar>
        </w:tblPrEx>
        <w:trPr>
          <w:trHeight w:val="90" w:hRule="atLeast"/>
        </w:trPr>
        <w:tc>
          <w:tcPr>
            <w:tcW w:w="11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38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偶尔发生</w:t>
            </w:r>
          </w:p>
        </w:tc>
        <w:tc>
          <w:tcPr>
            <w:tcW w:w="188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r>
      <w:tr>
        <w:tblPrEx>
          <w:tblLayout w:type="fixed"/>
          <w:tblCellMar>
            <w:top w:w="0" w:type="dxa"/>
            <w:left w:w="0" w:type="dxa"/>
            <w:bottom w:w="0" w:type="dxa"/>
            <w:right w:w="0" w:type="dxa"/>
          </w:tblCellMar>
        </w:tblPrEx>
        <w:trPr>
          <w:trHeight w:val="90" w:hRule="atLeast"/>
        </w:trPr>
        <w:tc>
          <w:tcPr>
            <w:tcW w:w="11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38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发生机会不大，完全意外</w:t>
            </w:r>
          </w:p>
        </w:tc>
        <w:tc>
          <w:tcPr>
            <w:tcW w:w="188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r>
      <w:tr>
        <w:tblPrEx>
          <w:tblLayout w:type="fixed"/>
          <w:tblCellMar>
            <w:top w:w="0" w:type="dxa"/>
            <w:left w:w="0" w:type="dxa"/>
            <w:bottom w:w="0" w:type="dxa"/>
            <w:right w:w="0" w:type="dxa"/>
          </w:tblCellMar>
        </w:tblPrEx>
        <w:trPr>
          <w:trHeight w:val="90" w:hRule="atLeast"/>
        </w:trPr>
        <w:tc>
          <w:tcPr>
            <w:tcW w:w="11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638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发生机会很小，可以设想</w:t>
            </w:r>
          </w:p>
        </w:tc>
        <w:tc>
          <w:tcPr>
            <w:tcW w:w="188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r>
      <w:tr>
        <w:tblPrEx>
          <w:tblLayout w:type="fixed"/>
          <w:tblCellMar>
            <w:top w:w="0" w:type="dxa"/>
            <w:left w:w="0" w:type="dxa"/>
            <w:bottom w:w="0" w:type="dxa"/>
            <w:right w:w="0" w:type="dxa"/>
          </w:tblCellMar>
        </w:tblPrEx>
        <w:trPr>
          <w:trHeight w:val="90" w:hRule="atLeast"/>
        </w:trPr>
        <w:tc>
          <w:tcPr>
            <w:tcW w:w="11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638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极不可能发生</w:t>
            </w:r>
          </w:p>
        </w:tc>
        <w:tc>
          <w:tcPr>
            <w:tcW w:w="188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0.2</w:t>
            </w:r>
          </w:p>
        </w:tc>
      </w:tr>
      <w:tr>
        <w:tblPrEx>
          <w:tblLayout w:type="fixed"/>
          <w:tblCellMar>
            <w:top w:w="0" w:type="dxa"/>
            <w:left w:w="0" w:type="dxa"/>
            <w:bottom w:w="0" w:type="dxa"/>
            <w:right w:w="0" w:type="dxa"/>
          </w:tblCellMar>
        </w:tblPrEx>
        <w:trPr>
          <w:trHeight w:val="90" w:hRule="atLeast"/>
        </w:trPr>
        <w:tc>
          <w:tcPr>
            <w:tcW w:w="11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638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实际不会发生</w:t>
            </w:r>
          </w:p>
        </w:tc>
        <w:tc>
          <w:tcPr>
            <w:tcW w:w="188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0.1</w:t>
            </w:r>
          </w:p>
        </w:tc>
      </w:tr>
    </w:tbl>
    <w:p>
      <w:pPr>
        <w:widowControl/>
        <w:adjustRightInd/>
        <w:spacing w:line="240" w:lineRule="auto"/>
        <w:jc w:val="center"/>
        <w:rPr>
          <w:rFonts w:ascii="黑体" w:hAnsi="黑体" w:eastAsia="黑体" w:cs="宋体"/>
          <w:kern w:val="0"/>
        </w:rPr>
      </w:pPr>
    </w:p>
    <w:p>
      <w:pPr>
        <w:widowControl/>
        <w:adjustRightInd/>
        <w:spacing w:line="240" w:lineRule="auto"/>
        <w:jc w:val="center"/>
        <w:rPr>
          <w:rFonts w:ascii="黑体" w:hAnsi="黑体" w:eastAsia="黑体" w:cs="宋体"/>
          <w:kern w:val="0"/>
        </w:rPr>
      </w:pPr>
      <w:r>
        <w:rPr>
          <w:rFonts w:hint="eastAsia" w:ascii="黑体" w:hAnsi="黑体" w:eastAsia="黑体" w:cs="宋体"/>
          <w:kern w:val="0"/>
        </w:rPr>
        <w:t>表A.3 暴露于危险环境的频度：E</w:t>
      </w:r>
    </w:p>
    <w:tbl>
      <w:tblPr>
        <w:tblStyle w:val="56"/>
        <w:tblW w:w="9410" w:type="dxa"/>
        <w:tblInd w:w="0" w:type="dxa"/>
        <w:tblLayout w:type="fixed"/>
        <w:tblCellMar>
          <w:top w:w="0" w:type="dxa"/>
          <w:left w:w="0" w:type="dxa"/>
          <w:bottom w:w="0" w:type="dxa"/>
          <w:right w:w="0" w:type="dxa"/>
        </w:tblCellMar>
      </w:tblPr>
      <w:tblGrid>
        <w:gridCol w:w="1124"/>
        <w:gridCol w:w="6375"/>
        <w:gridCol w:w="1911"/>
      </w:tblGrid>
      <w:tr>
        <w:tblPrEx>
          <w:tblLayout w:type="fixed"/>
          <w:tblCellMar>
            <w:top w:w="0" w:type="dxa"/>
            <w:left w:w="0" w:type="dxa"/>
            <w:bottom w:w="0" w:type="dxa"/>
            <w:right w:w="0" w:type="dxa"/>
          </w:tblCellMar>
        </w:tblPrEx>
        <w:trPr>
          <w:trHeight w:val="285" w:hRule="atLeast"/>
        </w:trPr>
        <w:tc>
          <w:tcPr>
            <w:tcW w:w="112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级号</w:t>
            </w:r>
          </w:p>
        </w:tc>
        <w:tc>
          <w:tcPr>
            <w:tcW w:w="637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暴露于危险环境频度</w:t>
            </w:r>
          </w:p>
        </w:tc>
        <w:tc>
          <w:tcPr>
            <w:tcW w:w="191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E分值</w:t>
            </w:r>
          </w:p>
        </w:tc>
      </w:tr>
      <w:tr>
        <w:tblPrEx>
          <w:tblLayout w:type="fixed"/>
          <w:tblCellMar>
            <w:top w:w="0" w:type="dxa"/>
            <w:left w:w="0" w:type="dxa"/>
            <w:bottom w:w="0" w:type="dxa"/>
            <w:right w:w="0" w:type="dxa"/>
          </w:tblCellMar>
        </w:tblPrEx>
        <w:trPr>
          <w:trHeight w:val="90" w:hRule="atLeast"/>
        </w:trPr>
        <w:tc>
          <w:tcPr>
            <w:tcW w:w="112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3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连续暴露</w:t>
            </w:r>
          </w:p>
        </w:tc>
        <w:tc>
          <w:tcPr>
            <w:tcW w:w="191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0" w:type="dxa"/>
            <w:bottom w:w="0" w:type="dxa"/>
            <w:right w:w="0" w:type="dxa"/>
          </w:tblCellMar>
        </w:tblPrEx>
        <w:trPr>
          <w:trHeight w:val="180" w:hRule="atLeast"/>
        </w:trPr>
        <w:tc>
          <w:tcPr>
            <w:tcW w:w="112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3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每天工作时间内暴露</w:t>
            </w:r>
          </w:p>
        </w:tc>
        <w:tc>
          <w:tcPr>
            <w:tcW w:w="191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r>
      <w:tr>
        <w:tblPrEx>
          <w:tblLayout w:type="fixed"/>
          <w:tblCellMar>
            <w:top w:w="0" w:type="dxa"/>
            <w:left w:w="0" w:type="dxa"/>
            <w:bottom w:w="0" w:type="dxa"/>
            <w:right w:w="0" w:type="dxa"/>
          </w:tblCellMar>
        </w:tblPrEx>
        <w:trPr>
          <w:trHeight w:val="90" w:hRule="atLeast"/>
        </w:trPr>
        <w:tc>
          <w:tcPr>
            <w:tcW w:w="112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3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每周一次或偶尔暴露</w:t>
            </w:r>
          </w:p>
        </w:tc>
        <w:tc>
          <w:tcPr>
            <w:tcW w:w="191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r>
      <w:tr>
        <w:tblPrEx>
          <w:tblLayout w:type="fixed"/>
          <w:tblCellMar>
            <w:top w:w="0" w:type="dxa"/>
            <w:left w:w="0" w:type="dxa"/>
            <w:bottom w:w="0" w:type="dxa"/>
            <w:right w:w="0" w:type="dxa"/>
          </w:tblCellMar>
        </w:tblPrEx>
        <w:trPr>
          <w:trHeight w:val="90" w:hRule="atLeast"/>
        </w:trPr>
        <w:tc>
          <w:tcPr>
            <w:tcW w:w="112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63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每月一次暴露</w:t>
            </w:r>
          </w:p>
        </w:tc>
        <w:tc>
          <w:tcPr>
            <w:tcW w:w="191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r>
      <w:tr>
        <w:tblPrEx>
          <w:tblLayout w:type="fixed"/>
          <w:tblCellMar>
            <w:top w:w="0" w:type="dxa"/>
            <w:left w:w="0" w:type="dxa"/>
            <w:bottom w:w="0" w:type="dxa"/>
            <w:right w:w="0" w:type="dxa"/>
          </w:tblCellMar>
        </w:tblPrEx>
        <w:trPr>
          <w:trHeight w:val="90" w:hRule="atLeast"/>
        </w:trPr>
        <w:tc>
          <w:tcPr>
            <w:tcW w:w="112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63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每年低于12次暴露</w:t>
            </w:r>
          </w:p>
        </w:tc>
        <w:tc>
          <w:tcPr>
            <w:tcW w:w="191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r>
      <w:tr>
        <w:tblPrEx>
          <w:tblLayout w:type="fixed"/>
          <w:tblCellMar>
            <w:top w:w="0" w:type="dxa"/>
            <w:left w:w="0" w:type="dxa"/>
            <w:bottom w:w="0" w:type="dxa"/>
            <w:right w:w="0" w:type="dxa"/>
          </w:tblCellMar>
        </w:tblPrEx>
        <w:trPr>
          <w:trHeight w:val="90" w:hRule="atLeast"/>
        </w:trPr>
        <w:tc>
          <w:tcPr>
            <w:tcW w:w="112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63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只有在特定情况暴露，或几乎不暴露</w:t>
            </w:r>
          </w:p>
        </w:tc>
        <w:tc>
          <w:tcPr>
            <w:tcW w:w="191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r>
    </w:tbl>
    <w:p>
      <w:pPr>
        <w:widowControl/>
        <w:adjustRightInd/>
        <w:spacing w:line="240" w:lineRule="auto"/>
        <w:jc w:val="center"/>
        <w:rPr>
          <w:rFonts w:ascii="黑体" w:hAnsi="黑体" w:eastAsia="黑体" w:cs="宋体"/>
          <w:color w:val="000000"/>
          <w:kern w:val="0"/>
        </w:rPr>
      </w:pPr>
    </w:p>
    <w:p>
      <w:pPr>
        <w:widowControl/>
        <w:adjustRightInd/>
        <w:spacing w:line="240" w:lineRule="auto"/>
        <w:jc w:val="center"/>
        <w:rPr>
          <w:rFonts w:ascii="黑体" w:hAnsi="黑体" w:eastAsia="黑体" w:cs="宋体"/>
          <w:color w:val="000000"/>
          <w:kern w:val="0"/>
        </w:rPr>
      </w:pPr>
      <w:r>
        <w:rPr>
          <w:rFonts w:hint="eastAsia" w:ascii="黑体" w:hAnsi="黑体" w:eastAsia="黑体" w:cs="宋体"/>
          <w:color w:val="000000"/>
          <w:kern w:val="0"/>
        </w:rPr>
        <w:t>表A.4  发生事故产生的后果：C</w:t>
      </w:r>
    </w:p>
    <w:tbl>
      <w:tblPr>
        <w:tblStyle w:val="56"/>
        <w:tblW w:w="9410" w:type="dxa"/>
        <w:tblInd w:w="0" w:type="dxa"/>
        <w:tblLayout w:type="fixed"/>
        <w:tblCellMar>
          <w:top w:w="0" w:type="dxa"/>
          <w:left w:w="0" w:type="dxa"/>
          <w:bottom w:w="0" w:type="dxa"/>
          <w:right w:w="0" w:type="dxa"/>
        </w:tblCellMar>
      </w:tblPr>
      <w:tblGrid>
        <w:gridCol w:w="1132"/>
        <w:gridCol w:w="4251"/>
        <w:gridCol w:w="2138"/>
        <w:gridCol w:w="1889"/>
      </w:tblGrid>
      <w:tr>
        <w:tblPrEx>
          <w:tblLayout w:type="fixed"/>
          <w:tblCellMar>
            <w:top w:w="0" w:type="dxa"/>
            <w:left w:w="0" w:type="dxa"/>
            <w:bottom w:w="0" w:type="dxa"/>
            <w:right w:w="0" w:type="dxa"/>
          </w:tblCellMar>
        </w:tblPrEx>
        <w:trPr>
          <w:trHeight w:val="192" w:hRule="atLeast"/>
        </w:trPr>
        <w:tc>
          <w:tcPr>
            <w:tcW w:w="113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级号</w:t>
            </w:r>
          </w:p>
        </w:tc>
        <w:tc>
          <w:tcPr>
            <w:tcW w:w="42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事故分级</w:t>
            </w:r>
          </w:p>
        </w:tc>
        <w:tc>
          <w:tcPr>
            <w:tcW w:w="21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jc w:val="center"/>
              <w:rPr>
                <w:rFonts w:ascii="宋体" w:hAnsi="宋体" w:cs="宋体"/>
                <w:b/>
                <w:bCs/>
                <w:kern w:val="0"/>
                <w:sz w:val="18"/>
                <w:szCs w:val="18"/>
              </w:rPr>
            </w:pPr>
            <w:r>
              <w:rPr>
                <w:rFonts w:hint="eastAsia" w:ascii="宋体" w:hAnsi="宋体" w:cs="宋体"/>
                <w:b/>
                <w:bCs/>
                <w:kern w:val="0"/>
                <w:sz w:val="18"/>
                <w:szCs w:val="18"/>
              </w:rPr>
              <w:t>财产</w:t>
            </w:r>
          </w:p>
        </w:tc>
        <w:tc>
          <w:tcPr>
            <w:tcW w:w="188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jc w:val="center"/>
              <w:rPr>
                <w:rFonts w:ascii="宋体" w:hAnsi="宋体" w:cs="宋体"/>
                <w:b/>
                <w:bCs/>
                <w:kern w:val="0"/>
                <w:sz w:val="18"/>
                <w:szCs w:val="18"/>
              </w:rPr>
            </w:pPr>
            <w:r>
              <w:rPr>
                <w:rFonts w:hint="eastAsia" w:ascii="宋体" w:hAnsi="宋体" w:cs="宋体"/>
                <w:b/>
                <w:bCs/>
                <w:kern w:val="0"/>
                <w:sz w:val="18"/>
                <w:szCs w:val="18"/>
              </w:rPr>
              <w:t>C分值</w:t>
            </w:r>
          </w:p>
        </w:tc>
      </w:tr>
      <w:tr>
        <w:tblPrEx>
          <w:tblLayout w:type="fixed"/>
          <w:tblCellMar>
            <w:top w:w="0" w:type="dxa"/>
            <w:left w:w="0" w:type="dxa"/>
            <w:bottom w:w="0" w:type="dxa"/>
            <w:right w:w="0" w:type="dxa"/>
          </w:tblCellMar>
        </w:tblPrEx>
        <w:trPr>
          <w:trHeight w:val="90" w:hRule="atLeast"/>
        </w:trPr>
        <w:tc>
          <w:tcPr>
            <w:tcW w:w="113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42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特别重大事故（30人以上死亡）</w:t>
            </w:r>
          </w:p>
        </w:tc>
        <w:tc>
          <w:tcPr>
            <w:tcW w:w="21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jc w:val="center"/>
              <w:rPr>
                <w:rFonts w:ascii="宋体" w:hAnsi="宋体" w:cs="宋体"/>
                <w:kern w:val="0"/>
                <w:sz w:val="18"/>
                <w:szCs w:val="18"/>
              </w:rPr>
            </w:pPr>
            <w:r>
              <w:rPr>
                <w:rFonts w:hint="eastAsia" w:ascii="宋体" w:hAnsi="宋体" w:cs="宋体"/>
                <w:kern w:val="0"/>
                <w:sz w:val="18"/>
                <w:szCs w:val="18"/>
              </w:rPr>
              <w:t>1亿元以上</w:t>
            </w:r>
          </w:p>
        </w:tc>
        <w:tc>
          <w:tcPr>
            <w:tcW w:w="188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0" w:type="dxa"/>
            <w:bottom w:w="0" w:type="dxa"/>
            <w:right w:w="0" w:type="dxa"/>
          </w:tblCellMar>
        </w:tblPrEx>
        <w:trPr>
          <w:trHeight w:val="267" w:hRule="atLeast"/>
        </w:trPr>
        <w:tc>
          <w:tcPr>
            <w:tcW w:w="113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42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重大事故（10~30人死亡）</w:t>
            </w:r>
          </w:p>
        </w:tc>
        <w:tc>
          <w:tcPr>
            <w:tcW w:w="21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jc w:val="center"/>
              <w:rPr>
                <w:rFonts w:ascii="宋体" w:hAnsi="宋体" w:cs="宋体"/>
                <w:kern w:val="0"/>
                <w:sz w:val="18"/>
                <w:szCs w:val="18"/>
              </w:rPr>
            </w:pPr>
            <w:r>
              <w:rPr>
                <w:rFonts w:hint="eastAsia" w:ascii="宋体" w:hAnsi="宋体" w:cs="宋体"/>
                <w:kern w:val="0"/>
                <w:sz w:val="18"/>
                <w:szCs w:val="18"/>
              </w:rPr>
              <w:t>5k万~1亿元</w:t>
            </w:r>
          </w:p>
        </w:tc>
        <w:tc>
          <w:tcPr>
            <w:tcW w:w="188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r>
      <w:tr>
        <w:tblPrEx>
          <w:tblLayout w:type="fixed"/>
          <w:tblCellMar>
            <w:top w:w="0" w:type="dxa"/>
            <w:left w:w="0" w:type="dxa"/>
            <w:bottom w:w="0" w:type="dxa"/>
            <w:right w:w="0" w:type="dxa"/>
          </w:tblCellMar>
        </w:tblPrEx>
        <w:trPr>
          <w:trHeight w:val="190" w:hRule="atLeast"/>
        </w:trPr>
        <w:tc>
          <w:tcPr>
            <w:tcW w:w="113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42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较大事故（3~10人死亡）</w:t>
            </w:r>
          </w:p>
        </w:tc>
        <w:tc>
          <w:tcPr>
            <w:tcW w:w="21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jc w:val="center"/>
              <w:rPr>
                <w:rFonts w:ascii="宋体" w:hAnsi="宋体" w:cs="宋体"/>
                <w:kern w:val="0"/>
                <w:sz w:val="18"/>
                <w:szCs w:val="18"/>
              </w:rPr>
            </w:pPr>
            <w:r>
              <w:rPr>
                <w:rFonts w:hint="eastAsia" w:ascii="宋体" w:hAnsi="宋体" w:cs="宋体"/>
                <w:kern w:val="0"/>
                <w:sz w:val="18"/>
                <w:szCs w:val="18"/>
              </w:rPr>
              <w:t>1k万~5k万元</w:t>
            </w:r>
          </w:p>
        </w:tc>
        <w:tc>
          <w:tcPr>
            <w:tcW w:w="188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r>
      <w:tr>
        <w:tblPrEx>
          <w:tblLayout w:type="fixed"/>
          <w:tblCellMar>
            <w:top w:w="0" w:type="dxa"/>
            <w:left w:w="0" w:type="dxa"/>
            <w:bottom w:w="0" w:type="dxa"/>
            <w:right w:w="0" w:type="dxa"/>
          </w:tblCellMar>
        </w:tblPrEx>
        <w:trPr>
          <w:trHeight w:val="90" w:hRule="atLeast"/>
        </w:trPr>
        <w:tc>
          <w:tcPr>
            <w:tcW w:w="113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2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一般事故（10人以下）</w:t>
            </w:r>
          </w:p>
        </w:tc>
        <w:tc>
          <w:tcPr>
            <w:tcW w:w="21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jc w:val="center"/>
              <w:rPr>
                <w:rFonts w:ascii="宋体" w:hAnsi="宋体" w:cs="宋体"/>
                <w:kern w:val="0"/>
                <w:sz w:val="18"/>
                <w:szCs w:val="18"/>
              </w:rPr>
            </w:pPr>
            <w:r>
              <w:rPr>
                <w:rFonts w:hint="eastAsia" w:ascii="宋体" w:hAnsi="宋体" w:cs="宋体"/>
                <w:kern w:val="0"/>
                <w:sz w:val="18"/>
                <w:szCs w:val="18"/>
              </w:rPr>
              <w:t>1k万以下</w:t>
            </w:r>
          </w:p>
        </w:tc>
        <w:tc>
          <w:tcPr>
            <w:tcW w:w="188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r>
    </w:tbl>
    <w:p>
      <w:pPr>
        <w:widowControl/>
        <w:adjustRightInd/>
        <w:spacing w:line="240" w:lineRule="auto"/>
        <w:rPr>
          <w:rFonts w:ascii="黑体" w:hAnsi="黑体" w:eastAsia="黑体" w:cs="宋体"/>
          <w:color w:val="000000"/>
          <w:kern w:val="0"/>
        </w:rPr>
      </w:pPr>
    </w:p>
    <w:p>
      <w:pPr>
        <w:widowControl/>
        <w:adjustRightInd/>
        <w:spacing w:line="240" w:lineRule="auto"/>
        <w:jc w:val="center"/>
        <w:rPr>
          <w:rFonts w:ascii="黑体" w:hAnsi="黑体" w:eastAsia="黑体" w:cs="宋体"/>
          <w:color w:val="000000"/>
          <w:kern w:val="0"/>
        </w:rPr>
      </w:pPr>
      <w:r>
        <w:rPr>
          <w:rFonts w:hint="eastAsia" w:ascii="黑体" w:hAnsi="黑体" w:eastAsia="黑体" w:cs="宋体"/>
          <w:color w:val="000000"/>
          <w:kern w:val="0"/>
        </w:rPr>
        <w:t>表A.5  危险等级划分：D</w:t>
      </w:r>
    </w:p>
    <w:tbl>
      <w:tblPr>
        <w:tblStyle w:val="56"/>
        <w:tblW w:w="9421" w:type="dxa"/>
        <w:tblInd w:w="0" w:type="dxa"/>
        <w:tblLayout w:type="fixed"/>
        <w:tblCellMar>
          <w:top w:w="0" w:type="dxa"/>
          <w:left w:w="0" w:type="dxa"/>
          <w:bottom w:w="0" w:type="dxa"/>
          <w:right w:w="0" w:type="dxa"/>
        </w:tblCellMar>
      </w:tblPr>
      <w:tblGrid>
        <w:gridCol w:w="1117"/>
        <w:gridCol w:w="6386"/>
        <w:gridCol w:w="1918"/>
      </w:tblGrid>
      <w:tr>
        <w:tblPrEx>
          <w:tblLayout w:type="fixed"/>
          <w:tblCellMar>
            <w:top w:w="0" w:type="dxa"/>
            <w:left w:w="0" w:type="dxa"/>
            <w:bottom w:w="0" w:type="dxa"/>
            <w:right w:w="0" w:type="dxa"/>
          </w:tblCellMar>
        </w:tblPrEx>
        <w:trPr>
          <w:trHeight w:val="90" w:hRule="atLeast"/>
        </w:trPr>
        <w:tc>
          <w:tcPr>
            <w:tcW w:w="11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级号</w:t>
            </w:r>
          </w:p>
        </w:tc>
        <w:tc>
          <w:tcPr>
            <w:tcW w:w="638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危险程度</w:t>
            </w:r>
          </w:p>
        </w:tc>
        <w:tc>
          <w:tcPr>
            <w:tcW w:w="19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D分值</w:t>
            </w:r>
          </w:p>
        </w:tc>
      </w:tr>
      <w:tr>
        <w:tblPrEx>
          <w:tblLayout w:type="fixed"/>
          <w:tblCellMar>
            <w:top w:w="0" w:type="dxa"/>
            <w:left w:w="0" w:type="dxa"/>
            <w:bottom w:w="0" w:type="dxa"/>
            <w:right w:w="0" w:type="dxa"/>
          </w:tblCellMar>
        </w:tblPrEx>
        <w:trPr>
          <w:trHeight w:val="235" w:hRule="atLeast"/>
        </w:trPr>
        <w:tc>
          <w:tcPr>
            <w:tcW w:w="111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3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极其危险，不能继续作业</w:t>
            </w:r>
          </w:p>
        </w:tc>
        <w:tc>
          <w:tcPr>
            <w:tcW w:w="191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&gt;320</w:t>
            </w:r>
          </w:p>
        </w:tc>
      </w:tr>
      <w:tr>
        <w:tblPrEx>
          <w:tblLayout w:type="fixed"/>
          <w:tblCellMar>
            <w:top w:w="0" w:type="dxa"/>
            <w:left w:w="0" w:type="dxa"/>
            <w:bottom w:w="0" w:type="dxa"/>
            <w:right w:w="0" w:type="dxa"/>
          </w:tblCellMar>
        </w:tblPrEx>
        <w:trPr>
          <w:trHeight w:val="390" w:hRule="atLeast"/>
        </w:trPr>
        <w:tc>
          <w:tcPr>
            <w:tcW w:w="111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3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高度危险，应立即采取管理措施</w:t>
            </w:r>
          </w:p>
        </w:tc>
        <w:tc>
          <w:tcPr>
            <w:tcW w:w="191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160-320</w:t>
            </w:r>
          </w:p>
        </w:tc>
      </w:tr>
      <w:tr>
        <w:tblPrEx>
          <w:tblLayout w:type="fixed"/>
          <w:tblCellMar>
            <w:top w:w="0" w:type="dxa"/>
            <w:left w:w="0" w:type="dxa"/>
            <w:bottom w:w="0" w:type="dxa"/>
            <w:right w:w="0" w:type="dxa"/>
          </w:tblCellMar>
        </w:tblPrEx>
        <w:trPr>
          <w:trHeight w:val="358" w:hRule="atLeast"/>
        </w:trPr>
        <w:tc>
          <w:tcPr>
            <w:tcW w:w="111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3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显著危险，需要采取管理措施</w:t>
            </w:r>
          </w:p>
        </w:tc>
        <w:tc>
          <w:tcPr>
            <w:tcW w:w="191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70-159</w:t>
            </w:r>
          </w:p>
        </w:tc>
      </w:tr>
      <w:tr>
        <w:tblPrEx>
          <w:tblLayout w:type="fixed"/>
          <w:tblCellMar>
            <w:top w:w="0" w:type="dxa"/>
            <w:left w:w="0" w:type="dxa"/>
            <w:bottom w:w="0" w:type="dxa"/>
            <w:right w:w="0" w:type="dxa"/>
          </w:tblCellMar>
        </w:tblPrEx>
        <w:trPr>
          <w:trHeight w:val="233" w:hRule="atLeast"/>
        </w:trPr>
        <w:tc>
          <w:tcPr>
            <w:tcW w:w="111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63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一般危险，需要引起注意</w:t>
            </w:r>
          </w:p>
        </w:tc>
        <w:tc>
          <w:tcPr>
            <w:tcW w:w="191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0-69</w:t>
            </w:r>
          </w:p>
        </w:tc>
      </w:tr>
      <w:tr>
        <w:tblPrEx>
          <w:tblLayout w:type="fixed"/>
          <w:tblCellMar>
            <w:top w:w="0" w:type="dxa"/>
            <w:left w:w="0" w:type="dxa"/>
            <w:bottom w:w="0" w:type="dxa"/>
            <w:right w:w="0" w:type="dxa"/>
          </w:tblCellMar>
        </w:tblPrEx>
        <w:trPr>
          <w:trHeight w:val="90" w:hRule="atLeast"/>
        </w:trPr>
        <w:tc>
          <w:tcPr>
            <w:tcW w:w="9421"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29"/>
              <w:spacing w:before="0" w:beforeLines="0" w:after="0" w:afterLines="0" w:line="280" w:lineRule="exact"/>
              <w:outlineLvl w:val="9"/>
              <w:rPr>
                <w:rFonts w:ascii="宋体" w:hAnsi="宋体" w:eastAsia="宋体" w:cs="宋体"/>
                <w:sz w:val="18"/>
                <w:szCs w:val="16"/>
              </w:rPr>
            </w:pPr>
            <w:r>
              <w:rPr>
                <w:rFonts w:hint="eastAsia" w:ascii="宋体" w:hAnsi="宋体" w:eastAsia="宋体" w:cs="宋体"/>
                <w:sz w:val="18"/>
                <w:szCs w:val="16"/>
              </w:rPr>
              <w:t>注1：重要危险源（因素）判定准则</w:t>
            </w:r>
          </w:p>
          <w:p>
            <w:pPr>
              <w:pStyle w:val="129"/>
              <w:numPr>
                <w:ilvl w:val="0"/>
                <w:numId w:val="35"/>
              </w:numPr>
              <w:spacing w:before="0" w:beforeLines="0" w:after="0" w:afterLines="0" w:line="280" w:lineRule="exact"/>
              <w:ind w:left="300"/>
              <w:outlineLvl w:val="9"/>
              <w:rPr>
                <w:rFonts w:ascii="宋体" w:hAnsi="宋体" w:eastAsia="宋体" w:cs="宋体"/>
                <w:sz w:val="18"/>
                <w:szCs w:val="16"/>
              </w:rPr>
            </w:pPr>
            <w:r>
              <w:rPr>
                <w:rFonts w:hint="eastAsia" w:ascii="宋体" w:hAnsi="宋体" w:eastAsia="宋体" w:cs="宋体"/>
                <w:sz w:val="18"/>
                <w:szCs w:val="16"/>
              </w:rPr>
              <w:t xml:space="preserve"> 总分值大于70分以上的；</w:t>
            </w:r>
          </w:p>
          <w:p>
            <w:pPr>
              <w:pStyle w:val="129"/>
              <w:numPr>
                <w:ilvl w:val="0"/>
                <w:numId w:val="35"/>
              </w:numPr>
              <w:spacing w:before="0" w:beforeLines="0" w:after="0" w:afterLines="0" w:line="280" w:lineRule="exact"/>
              <w:ind w:left="300"/>
              <w:outlineLvl w:val="9"/>
              <w:rPr>
                <w:rFonts w:ascii="宋体" w:hAnsi="宋体" w:eastAsia="宋体" w:cs="宋体"/>
                <w:sz w:val="18"/>
                <w:szCs w:val="16"/>
              </w:rPr>
            </w:pPr>
            <w:r>
              <w:rPr>
                <w:rFonts w:hint="eastAsia" w:ascii="宋体" w:hAnsi="宋体" w:eastAsia="宋体" w:cs="宋体"/>
                <w:sz w:val="18"/>
                <w:szCs w:val="16"/>
              </w:rPr>
              <w:t xml:space="preserve"> L、E、C单因素超过级号3的；</w:t>
            </w:r>
          </w:p>
          <w:p>
            <w:pPr>
              <w:pStyle w:val="129"/>
              <w:numPr>
                <w:ilvl w:val="0"/>
                <w:numId w:val="35"/>
              </w:numPr>
              <w:spacing w:before="0" w:beforeLines="0" w:after="0" w:afterLines="0" w:line="280" w:lineRule="exact"/>
              <w:ind w:left="300"/>
              <w:outlineLvl w:val="9"/>
              <w:rPr>
                <w:rFonts w:ascii="宋体" w:hAnsi="宋体" w:eastAsia="宋体" w:cs="宋体"/>
                <w:sz w:val="18"/>
                <w:szCs w:val="18"/>
              </w:rPr>
            </w:pPr>
            <w:r>
              <w:rPr>
                <w:rFonts w:hint="eastAsia" w:ascii="宋体" w:hAnsi="宋体" w:eastAsia="宋体" w:cs="宋体"/>
                <w:sz w:val="18"/>
                <w:szCs w:val="16"/>
              </w:rPr>
              <w:t xml:space="preserve"> 凡违法或超标的。</w:t>
            </w:r>
          </w:p>
        </w:tc>
      </w:tr>
    </w:tbl>
    <w:p>
      <w:pPr>
        <w:widowControl/>
        <w:adjustRightInd/>
        <w:spacing w:line="240" w:lineRule="auto"/>
        <w:rPr>
          <w:rFonts w:ascii="黑体" w:hAnsi="黑体" w:eastAsia="黑体" w:cs="宋体"/>
          <w:color w:val="000000"/>
          <w:kern w:val="0"/>
          <w:highlight w:val="cyan"/>
        </w:rPr>
        <w:sectPr>
          <w:footerReference r:id="rId25" w:type="default"/>
          <w:footerReference r:id="rId26" w:type="even"/>
          <w:pgSz w:w="11906" w:h="16838"/>
          <w:pgMar w:top="567" w:right="1134" w:bottom="1134" w:left="1134" w:header="1417" w:footer="1134" w:gutter="283"/>
          <w:cols w:space="0" w:num="1"/>
          <w:formProt w:val="0"/>
          <w:docGrid w:type="lines" w:linePitch="312" w:charSpace="0"/>
        </w:sectPr>
      </w:pPr>
    </w:p>
    <w:p>
      <w:pPr>
        <w:widowControl/>
        <w:adjustRightInd/>
        <w:spacing w:line="240" w:lineRule="auto"/>
        <w:rPr>
          <w:rFonts w:ascii="黑体" w:hAnsi="黑体" w:eastAsia="黑体" w:cs="宋体"/>
          <w:color w:val="000000"/>
          <w:kern w:val="0"/>
          <w:highlight w:val="cyan"/>
        </w:rPr>
      </w:pPr>
    </w:p>
    <w:p>
      <w:pPr>
        <w:widowControl/>
        <w:adjustRightInd/>
        <w:spacing w:line="240" w:lineRule="auto"/>
        <w:jc w:val="center"/>
        <w:outlineLvl w:val="0"/>
        <w:rPr>
          <w:rFonts w:ascii="宋体" w:hAnsi="宋体" w:eastAsia="黑体" w:cs="宋体"/>
          <w:kern w:val="0"/>
          <w:sz w:val="24"/>
          <w:szCs w:val="24"/>
        </w:rPr>
      </w:pPr>
      <w:bookmarkStart w:id="88" w:name="_Toc25012"/>
      <w:r>
        <w:rPr>
          <w:rFonts w:hint="eastAsia" w:ascii="黑体" w:hAnsi="黑体" w:eastAsia="黑体" w:cs="宋体"/>
          <w:color w:val="000000"/>
          <w:kern w:val="0"/>
        </w:rPr>
        <w:t>附 录 B</w:t>
      </w:r>
      <w:bookmarkEnd w:id="88"/>
    </w:p>
    <w:p>
      <w:pPr>
        <w:widowControl/>
        <w:adjustRightInd/>
        <w:spacing w:line="240" w:lineRule="auto"/>
        <w:jc w:val="center"/>
        <w:outlineLvl w:val="0"/>
        <w:rPr>
          <w:rFonts w:ascii="宋体" w:hAnsi="宋体" w:cs="宋体"/>
          <w:kern w:val="0"/>
          <w:sz w:val="24"/>
          <w:szCs w:val="24"/>
        </w:rPr>
      </w:pPr>
      <w:r>
        <w:rPr>
          <w:rFonts w:hint="eastAsia" w:ascii="黑体" w:hAnsi="黑体" w:eastAsia="黑体" w:cs="宋体"/>
          <w:color w:val="000000"/>
          <w:kern w:val="0"/>
        </w:rPr>
        <w:t>（资料性附录）</w:t>
      </w:r>
    </w:p>
    <w:p>
      <w:pPr>
        <w:widowControl/>
        <w:adjustRightInd/>
        <w:spacing w:line="240" w:lineRule="auto"/>
        <w:jc w:val="center"/>
        <w:outlineLvl w:val="0"/>
        <w:rPr>
          <w:rFonts w:ascii="黑体" w:hAnsi="黑体" w:eastAsia="黑体" w:cs="宋体"/>
          <w:color w:val="000000"/>
          <w:kern w:val="0"/>
        </w:rPr>
      </w:pPr>
      <w:r>
        <w:rPr>
          <w:rFonts w:hint="eastAsia" w:ascii="黑体" w:hAnsi="黑体" w:eastAsia="黑体" w:cs="宋体"/>
          <w:color w:val="000000"/>
          <w:kern w:val="0"/>
        </w:rPr>
        <w:t>安全操作规程的主要内容和结构格式</w:t>
      </w:r>
    </w:p>
    <w:p>
      <w:pPr>
        <w:pStyle w:val="80"/>
        <w:numPr>
          <w:ilvl w:val="0"/>
          <w:numId w:val="36"/>
        </w:numPr>
        <w:ind w:firstLine="420"/>
      </w:pPr>
      <w:r>
        <w:rPr>
          <w:rFonts w:hint="eastAsia"/>
        </w:rPr>
        <w:t>封面</w:t>
      </w:r>
    </w:p>
    <w:p>
      <w:pPr>
        <w:pStyle w:val="80"/>
        <w:ind w:firstLine="420"/>
      </w:pPr>
      <w:r>
        <w:rPr>
          <w:rFonts w:hint="eastAsia"/>
        </w:rPr>
        <w:t>应急能力评估报告封面内容主要包括:岗位（作业）名称、单位名称、编制单位名称、编制日期等。</w:t>
      </w:r>
    </w:p>
    <w:p>
      <w:pPr>
        <w:pStyle w:val="80"/>
        <w:ind w:firstLine="420"/>
      </w:pPr>
      <w:r>
        <w:rPr>
          <w:rFonts w:hint="eastAsia"/>
        </w:rPr>
        <w:t>二、前言；</w:t>
      </w:r>
    </w:p>
    <w:p>
      <w:pPr>
        <w:pStyle w:val="80"/>
        <w:ind w:firstLine="420"/>
      </w:pPr>
      <w:r>
        <w:rPr>
          <w:rFonts w:hint="eastAsia"/>
        </w:rPr>
        <w:t>三、参编人员信息页</w:t>
      </w:r>
    </w:p>
    <w:p>
      <w:pPr>
        <w:pStyle w:val="80"/>
        <w:ind w:firstLine="420"/>
      </w:pPr>
      <w:r>
        <w:rPr>
          <w:rFonts w:hint="eastAsia"/>
        </w:rPr>
        <w:t>四、审核签批页</w:t>
      </w:r>
    </w:p>
    <w:p>
      <w:pPr>
        <w:pStyle w:val="80"/>
        <w:ind w:firstLine="420"/>
      </w:pPr>
      <w:r>
        <w:rPr>
          <w:rFonts w:hint="eastAsia"/>
        </w:rPr>
        <w:t>五、目录；</w:t>
      </w:r>
    </w:p>
    <w:p>
      <w:pPr>
        <w:pStyle w:val="80"/>
        <w:ind w:firstLine="420"/>
      </w:pPr>
      <w:r>
        <w:rPr>
          <w:rFonts w:hint="eastAsia"/>
        </w:rPr>
        <w:t>六、正文内容，包括：</w:t>
      </w:r>
    </w:p>
    <w:p>
      <w:pPr>
        <w:pStyle w:val="80"/>
        <w:ind w:firstLine="420"/>
      </w:pPr>
      <w:r>
        <w:rPr>
          <w:rFonts w:hint="eastAsia"/>
        </w:rPr>
        <w:t>1、总则</w:t>
      </w:r>
    </w:p>
    <w:p>
      <w:pPr>
        <w:pStyle w:val="80"/>
        <w:ind w:firstLine="420"/>
      </w:pPr>
      <w:r>
        <w:rPr>
          <w:rFonts w:hint="eastAsia"/>
        </w:rPr>
        <w:t>2、岗位安全操作与作业职责；</w:t>
      </w:r>
    </w:p>
    <w:p>
      <w:pPr>
        <w:pStyle w:val="80"/>
        <w:ind w:firstLine="420"/>
      </w:pPr>
      <w:r>
        <w:rPr>
          <w:rFonts w:hint="eastAsia"/>
        </w:rPr>
        <w:t>3、岗位存在的主要危险有害因素；</w:t>
      </w:r>
    </w:p>
    <w:p>
      <w:pPr>
        <w:pStyle w:val="80"/>
        <w:ind w:firstLine="420"/>
      </w:pPr>
      <w:r>
        <w:rPr>
          <w:rFonts w:hint="eastAsia"/>
        </w:rPr>
        <w:t>4、操作前的准备；</w:t>
      </w:r>
    </w:p>
    <w:p>
      <w:pPr>
        <w:pStyle w:val="80"/>
        <w:ind w:firstLine="420"/>
      </w:pPr>
      <w:r>
        <w:rPr>
          <w:rFonts w:hint="eastAsia"/>
        </w:rPr>
        <w:t>5、岗位作业安全要求；</w:t>
      </w:r>
    </w:p>
    <w:p>
      <w:pPr>
        <w:pStyle w:val="80"/>
        <w:ind w:firstLine="420"/>
      </w:pPr>
      <w:r>
        <w:rPr>
          <w:rFonts w:hint="eastAsia"/>
        </w:rPr>
        <w:t>6、收尾工作安全要求；</w:t>
      </w:r>
    </w:p>
    <w:p>
      <w:pPr>
        <w:pStyle w:val="80"/>
        <w:ind w:firstLine="420"/>
      </w:pPr>
      <w:r>
        <w:rPr>
          <w:rFonts w:hint="eastAsia"/>
        </w:rPr>
        <w:t>7、应急处置要求等；</w:t>
      </w:r>
    </w:p>
    <w:p>
      <w:pPr>
        <w:pStyle w:val="80"/>
        <w:ind w:firstLine="420"/>
        <w:rPr>
          <w:spacing w:val="105"/>
        </w:rPr>
        <w:sectPr>
          <w:footerReference r:id="rId27" w:type="default"/>
          <w:footerReference r:id="rId28" w:type="even"/>
          <w:pgSz w:w="11906" w:h="16838"/>
          <w:pgMar w:top="567" w:right="1134" w:bottom="1134" w:left="1134" w:header="1417" w:footer="1134" w:gutter="283"/>
          <w:cols w:space="0" w:num="1"/>
          <w:formProt w:val="0"/>
          <w:docGrid w:type="lines" w:linePitch="312" w:charSpace="0"/>
        </w:sectPr>
      </w:pPr>
      <w:r>
        <w:rPr>
          <w:rFonts w:hint="eastAsia"/>
        </w:rPr>
        <w:t>8、安全操作规程更新要求。</w:t>
      </w:r>
      <w:bookmarkStart w:id="89" w:name="_Toc155713496"/>
      <w:bookmarkStart w:id="90" w:name="_Toc155713650"/>
    </w:p>
    <w:p>
      <w:pPr>
        <w:pStyle w:val="87"/>
        <w:spacing w:before="124" w:after="156"/>
      </w:pPr>
      <w:bookmarkStart w:id="91" w:name="_Toc21347"/>
      <w:r>
        <w:rPr>
          <w:rFonts w:hint="eastAsia"/>
          <w:spacing w:val="105"/>
        </w:rPr>
        <w:t>参考文</w:t>
      </w:r>
      <w:r>
        <w:rPr>
          <w:rFonts w:hint="eastAsia"/>
        </w:rPr>
        <w:t>献</w:t>
      </w:r>
      <w:bookmarkEnd w:id="89"/>
      <w:bookmarkEnd w:id="90"/>
      <w:bookmarkEnd w:id="91"/>
    </w:p>
    <w:p>
      <w:pPr>
        <w:pStyle w:val="80"/>
        <w:ind w:firstLine="420"/>
      </w:pPr>
      <w:r>
        <w:rPr>
          <w:rFonts w:hint="eastAsia"/>
        </w:rPr>
        <w:t>[</w:t>
      </w:r>
      <w:r>
        <w:t xml:space="preserve">1] </w:t>
      </w:r>
      <w:r>
        <w:rPr>
          <w:rFonts w:hint="eastAsia"/>
        </w:rPr>
        <w:t xml:space="preserve"> GB 6441  企业职工伤亡事故分类</w:t>
      </w:r>
    </w:p>
    <w:p>
      <w:pPr>
        <w:pStyle w:val="80"/>
        <w:ind w:firstLine="409" w:firstLineChars="195"/>
      </w:pPr>
      <w:r>
        <w:rPr>
          <w:rFonts w:hint="eastAsia"/>
        </w:rPr>
        <w:t>[2]</w:t>
      </w:r>
      <w:r>
        <w:t xml:space="preserve"> </w:t>
      </w:r>
      <w:r>
        <w:rPr>
          <w:rFonts w:hint="eastAsia"/>
        </w:rPr>
        <w:t xml:space="preserve"> </w:t>
      </w:r>
      <w:r>
        <w:t>GB/T 16483-2008</w:t>
      </w:r>
      <w:r>
        <w:rPr>
          <w:rFonts w:hint="eastAsia"/>
        </w:rPr>
        <w:t xml:space="preserve">  </w:t>
      </w:r>
      <w:r>
        <w:t>化学品安全技术说明书</w:t>
      </w:r>
    </w:p>
    <w:p>
      <w:pPr>
        <w:pStyle w:val="80"/>
        <w:ind w:firstLine="420"/>
      </w:pPr>
      <w:r>
        <w:rPr>
          <w:rFonts w:hint="eastAsia"/>
        </w:rPr>
        <w:t>[</w:t>
      </w:r>
      <w:r>
        <w:t>3</w:t>
      </w:r>
      <w:r>
        <w:rPr>
          <w:rFonts w:hint="eastAsia"/>
        </w:rPr>
        <w:t xml:space="preserve">]  </w:t>
      </w:r>
      <w:r>
        <w:fldChar w:fldCharType="begin"/>
      </w:r>
      <w:r>
        <w:instrText xml:space="preserve"> HYPERLINK "http://c.gb688.cn/bzgk/gb/javascript:download();void(0);" </w:instrText>
      </w:r>
      <w:r>
        <w:fldChar w:fldCharType="separate"/>
      </w:r>
      <w:r>
        <w:rPr>
          <w:rFonts w:hint="eastAsia"/>
        </w:rPr>
        <w:t>GB 18218-2018</w:t>
      </w:r>
      <w:r>
        <w:rPr>
          <w:rFonts w:hint="eastAsia"/>
        </w:rPr>
        <w:fldChar w:fldCharType="end"/>
      </w:r>
      <w:r>
        <w:rPr>
          <w:rFonts w:hint="eastAsia"/>
        </w:rPr>
        <w:t xml:space="preserve">  </w:t>
      </w:r>
      <w:r>
        <w:fldChar w:fldCharType="begin"/>
      </w:r>
      <w:r>
        <w:instrText xml:space="preserve"> HYPERLINK "http://c.gb688.cn/bzgk/gb/javascript:download();void(0);" </w:instrText>
      </w:r>
      <w:r>
        <w:fldChar w:fldCharType="separate"/>
      </w:r>
      <w:r>
        <w:rPr>
          <w:rFonts w:hint="eastAsia"/>
        </w:rPr>
        <w:t>危险化学品重大危险源辨识</w:t>
      </w:r>
      <w:r>
        <w:rPr>
          <w:rFonts w:hint="eastAsia"/>
        </w:rPr>
        <w:fldChar w:fldCharType="end"/>
      </w:r>
    </w:p>
    <w:p>
      <w:pPr>
        <w:pStyle w:val="80"/>
        <w:ind w:firstLine="420"/>
      </w:pPr>
      <w:bookmarkStart w:id="92" w:name="BookMark8"/>
      <w:r>
        <w:rPr>
          <w:rFonts w:hint="eastAsia"/>
        </w:rPr>
        <w:t xml:space="preserve">                             </w:t>
      </w:r>
      <w:r>
        <w:rPr>
          <w:rFonts w:hint="eastAsia"/>
        </w:rPr>
        <w:drawing>
          <wp:inline distT="0" distB="0" distL="0" distR="0">
            <wp:extent cx="1485900" cy="317500"/>
            <wp:effectExtent l="0" t="0" r="0" b="0"/>
            <wp:docPr id="1197892434" name="图片 1"/>
            <wp:cNvGraphicFramePr/>
            <a:graphic xmlns:a="http://schemas.openxmlformats.org/drawingml/2006/main">
              <a:graphicData uri="http://schemas.openxmlformats.org/drawingml/2006/picture">
                <pic:pic xmlns:pic="http://schemas.openxmlformats.org/drawingml/2006/picture">
                  <pic:nvPicPr>
                    <pic:cNvPr id="1197892434"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2"/>
    </w:p>
    <w:p/>
    <w:p/>
    <w:p/>
    <w:p/>
    <w:p/>
    <w:p/>
    <w:p/>
    <w:p/>
    <w:p/>
    <w:p/>
    <w:p/>
    <w:p/>
    <w:p/>
    <w:p/>
    <w:p/>
    <w:p/>
    <w:p/>
    <w:p>
      <w:pPr>
        <w:tabs>
          <w:tab w:val="left" w:pos="5744"/>
        </w:tabs>
        <w:jc w:val="left"/>
      </w:pPr>
      <w:r>
        <w:rPr>
          <w:rFonts w:hint="eastAsia"/>
        </w:rPr>
        <w:tab/>
      </w:r>
    </w:p>
    <w:sectPr>
      <w:footerReference r:id="rId29" w:type="default"/>
      <w:footerReference r:id="rId30" w:type="even"/>
      <w:pgSz w:w="11906" w:h="16838"/>
      <w:pgMar w:top="567" w:right="1134" w:bottom="1134" w:left="1134" w:header="1417" w:footer="1134" w:gutter="283"/>
      <w:cols w:space="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Microsoft YaHei UI">
    <w:altName w:val="宋体"/>
    <w:panose1 w:val="00000000000000000000"/>
    <w:charset w:val="86"/>
    <w:family w:val="swiss"/>
    <w:pitch w:val="default"/>
    <w:sig w:usb0="00000000" w:usb1="00000000"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fldChar w:fldCharType="begin"/>
    </w:r>
    <w:r>
      <w:instrText xml:space="preserve"> </w:instrText>
    </w:r>
    <w:r>
      <w:rPr>
        <w:rFonts w:hint="eastAsia"/>
      </w:rPr>
      <w:instrText xml:space="preserve">= 1 \* ROMAN</w:instrText>
    </w:r>
    <w:r>
      <w:instrText xml:space="preserve"> </w:instrText>
    </w:r>
    <w:r>
      <w:fldChar w:fldCharType="separate"/>
    </w:r>
    <w:r>
      <w:t>I</w:t>
    </w:r>
    <w:r>
      <w:fldChar w:fldCharType="end"/>
    </w:r>
    <w:r>
      <w:fldChar w:fldCharType="begin"/>
    </w:r>
    <w:r>
      <w:instrText xml:space="preserve"> </w:instrText>
    </w:r>
    <w:r>
      <w:rPr>
        <w:rFonts w:hint="eastAsia"/>
      </w:rPr>
      <w:instrText xml:space="preserve">= 2 \* ROMAN</w:instrText>
    </w:r>
    <w:r>
      <w:instrText xml:space="preserve"> </w:instrText>
    </w:r>
    <w:r>
      <w:fldChar w:fldCharType="separate"/>
    </w:r>
    <w:r>
      <w:t>II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78720" behindDoc="0" locked="0" layoutInCell="1" allowOverlap="1">
              <wp:simplePos x="0" y="0"/>
              <wp:positionH relativeFrom="margin">
                <wp:posOffset>5835650</wp:posOffset>
              </wp:positionH>
              <wp:positionV relativeFrom="paragraph">
                <wp:posOffset>0</wp:posOffset>
              </wp:positionV>
              <wp:extent cx="762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59.5pt;margin-top:0pt;height:144pt;width:6pt;mso-position-horizontal-relative:margin;z-index:251678720;mso-width-relative:page;mso-height-relative:page;" filled="f" stroked="f" coordsize="21600,21600" o:gfxdata="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s4f2f1gAAAAgBAAAPAAAAAAAA&#10;AAEAIAAAACIAAABkcnMvZG93bnJldi54bWxQSwECFAAUAAAACACHTuJAgJAntRQCAAAJBAAADgAA&#10;AAAAAAABACAAAAAlAQAAZHJzL2Uyb0RvYy54bWxQSwUGAAAAAAYABgBZAQAAqwU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180"/>
      </w:tabs>
    </w:pPr>
    <w:r>
      <mc:AlternateContent>
        <mc:Choice Requires="wps">
          <w:drawing>
            <wp:anchor distT="0" distB="0" distL="114300" distR="114300" simplePos="0" relativeHeight="251679744" behindDoc="0" locked="0" layoutInCell="1" allowOverlap="1">
              <wp:simplePos x="0" y="0"/>
              <wp:positionH relativeFrom="margin">
                <wp:align>left</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x+5UR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N5RoprCj04/vp58Pp1/fCHwgqLV+hryNRWbo3pkOix78Hs44&#10;d1c5Fb+YiCAOqo8XekUXCI+XppPpNEeIIzb8AD97vG6dD++FUSQaBXXYX6KVHdY+9KlDSqymzaqR&#10;Mu1QatIW9Or12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q3H7lRECAAAJBAAADgAAAAAAAAABACAA&#10;AAAfAQAAZHJzL2Uyb0RvYy54bWxQSwUGAAAAAAYABgBZAQAAog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wordWrap w:val="0"/>
    </w:pPr>
    <w:r>
      <mc:AlternateContent>
        <mc:Choice Requires="wps">
          <w:drawing>
            <wp:anchor distT="0" distB="0" distL="114300" distR="114300" simplePos="0" relativeHeight="251663360" behindDoc="0" locked="0" layoutInCell="1" allowOverlap="1">
              <wp:simplePos x="0" y="0"/>
              <wp:positionH relativeFrom="margin">
                <wp:posOffset>8750300</wp:posOffset>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689pt;margin-top:0pt;height:144pt;width:144pt;mso-position-horizontal-relative:margin;mso-wrap-style:none;z-index:251663360;mso-width-relative:page;mso-height-relative:page;" filled="f" stroked="f" coordsize="21600,21600" o:gfxdata="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8bCpO9UAAAAKAQAADwAAAAAAAAABACAA&#10;AAAiAAAAZHJzL2Rvd25yZXYueG1sUEsBAhQAFAAAAAgAh07iQOgj4x0QAgAABwQAAA4AAAAAAAAA&#10;AQAgAAAAJAEAAGRycy9lMm9Eb2MueG1sUEsFBgAAAAAGAAYAWQEAAKY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r>
      <w:rPr>
        <w:rFonts w:hint="eastAsia"/>
      </w:rPr>
      <w:t xml:space="preserve"> </w:t>
    </w:r>
  </w:p>
  <w:p>
    <w:pPr>
      <w:pStyle w:val="76"/>
      <w:jc w:val="left"/>
    </w:pPr>
    <w:r>
      <w:rPr>
        <w:rFonts w:hint="eastAsia"/>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pPr>
    <w: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p>
  <w:p>
    <w:pPr>
      <w:pStyle w:val="30"/>
      <w:tabs>
        <w:tab w:val="clear" w:pos="8306"/>
      </w:tabs>
      <w:jc w:val="both"/>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zDmYQ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2+v8n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sw5mEAIAAAkEAAAOAAAAAAAAAAEAIAAA&#10;AB8BAABkcnMvZTJvRG9jLnhtbFBLBQYAAAAABgAGAFkBAACh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posOffset>5877560</wp:posOffset>
              </wp:positionH>
              <wp:positionV relativeFrom="paragraph">
                <wp:posOffset>-106045</wp:posOffset>
              </wp:positionV>
              <wp:extent cx="255905" cy="36766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55905" cy="3676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6"/>
                            <w:jc w:val="left"/>
                          </w:pPr>
                        </w:p>
                        <w:p>
                          <w:pPr>
                            <w:snapToGrid w:val="0"/>
                            <w:rPr>
                              <w:sz w:val="18"/>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462.8pt;margin-top:-8.35pt;height:28.95pt;width:20.15pt;mso-position-horizontal-relative:margin;z-index:251666432;mso-width-relative:page;mso-height-relative:page;" filled="f" stroked="f" coordsize="21600,21600" o:gfxdata="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6wsiTZAAAACgEAAA8A&#10;AAAAAAAAAQAgAAAAIgAAAGRycy9kb3ducmV2LnhtbFBLAQIUABQAAAAIAIdO4kDFTA8dFgIAAAkE&#10;AAAOAAAAAAAAAAEAIAAAACgBAABkcnMvZTJvRG9jLnhtbFBLBQYAAAAABgAGAFkBAACwBQAAAAA=&#10;">
              <v:fill on="f" focussize="0,0"/>
              <v:stroke on="f" weight="0.5pt"/>
              <v:imagedata o:title=""/>
              <o:lock v:ext="edit" aspectratio="f"/>
              <v:textbox inset="0mm,0mm,0mm,0mm">
                <w:txbxContent>
                  <w:p>
                    <w:pPr>
                      <w:pStyle w:val="76"/>
                      <w:jc w:val="left"/>
                    </w:pPr>
                  </w:p>
                  <w:p>
                    <w:pPr>
                      <w:snapToGrid w:val="0"/>
                      <w:rPr>
                        <w:sz w:val="18"/>
                      </w:rPr>
                    </w:pP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5675630</wp:posOffset>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color w:val="FFFFFF" w:themeColor="background1"/>
                              <w14:textFill>
                                <w14:solidFill>
                                  <w14:schemeClr w14:val="bg1"/>
                                </w14:solidFill>
                              </w14:textFill>
                            </w:rPr>
                            <w:t xml:space="preserve"> </w:t>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46.9pt;margin-top:0pt;height:144pt;width:144pt;mso-position-horizontal-relative:margin;mso-wrap-style:none;z-index:251667456;mso-width-relative:page;mso-height-relative:page;" filled="f" stroked="f" coordsize="21600,21600" o:gfxdata="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bNz+NUAAAAJAQAADwAAAAAAAAABACAA&#10;AAAiAAAAZHJzL2Rvd25yZXYueG1sUEsBAhQAFAAAAAgAh07iQKsoqOYQAgAACQQAAA4AAAAAAAAA&#10;AQAgAAAAJAEAAGRycy9lMm9Eb2MueG1sUEsFBgAAAAAGAAYAWQEAAKYFAAAAAA==&#10;">
              <v:fill on="f" focussize="0,0"/>
              <v:stroke on="f" weight="0.5pt"/>
              <v:imagedata o:title=""/>
              <o:lock v:ext="edit" aspectratio="f"/>
              <v:textbox inset="0mm,0mm,0mm,0mm" style="mso-fit-shape-to-text:t;">
                <w:txbxContent>
                  <w:p>
                    <w:r>
                      <w:rPr>
                        <w:rFonts w:hint="eastAsia"/>
                        <w:color w:val="FFFFFF" w:themeColor="background1"/>
                        <w14:textFill>
                          <w14:solidFill>
                            <w14:schemeClr w14:val="bg1"/>
                          </w14:solidFill>
                        </w14:textFill>
                      </w:rPr>
                      <w:t xml:space="preserve"> </w:t>
                    </w:r>
                    <w:r>
                      <w:rPr>
                        <w:rFonts w:hint="eastAsia"/>
                      </w:rPr>
                      <w:t xml:space="preserve">              </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265"/>
      </w:tabs>
      <w:jc w:val="both"/>
    </w:pPr>
    <w:r>
      <mc:AlternateContent>
        <mc:Choice Requires="wps">
          <w:drawing>
            <wp:anchor distT="0" distB="0" distL="114300" distR="114300" simplePos="0" relativeHeight="251674624" behindDoc="0" locked="0" layoutInCell="1" allowOverlap="1">
              <wp:simplePos x="0" y="0"/>
              <wp:positionH relativeFrom="margin">
                <wp:align>left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YlDwQAgAACQQAAA4AAABkcnMvZTJvRG9jLnhtbK1TzY7TMBC+I/EO&#10;lu80aVes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1dv83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KGJQ8EAIAAAkEAAAOAAAAAAAAAAEAIAAA&#10;AB8BAABkcnMvZTJvRG9jLnhtbFBLBQYAAAAABgAGAFkBAACh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75648" behindDoc="0" locked="0" layoutInCell="1" allowOverlap="1">
              <wp:simplePos x="0" y="0"/>
              <wp:positionH relativeFrom="margin">
                <wp:align>left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XSYQ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Q4lmCjs6/fh++vlw+vWNwAeCWutnyNtYZIbunemQPPg9nHHu&#10;rnIqfjERQRxUHy/0ii4QHi9NJ9NpjhBHbPgBfvZ43Tof3gujSDQK6rC/RCs7rH3oU4eUWE2bVSNl&#10;2qHUpC3o1eu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T/l0mEAIAAAkEAAAOAAAAAAAAAAEAIAAA&#10;AB8BAABkcnMvZTJvRG9jLnhtbFBLBQYAAAAABgAGAFkBAACh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7</w:t>
                    </w:r>
                    <w:r>
                      <w:fldChar w:fldCharType="end"/>
                    </w:r>
                  </w:p>
                </w:txbxContent>
              </v:textbox>
            </v:shape>
          </w:pict>
        </mc:Fallback>
      </mc:AlternateContent>
    </w:r>
  </w:p>
  <w:p>
    <w:pPr>
      <w:pStyle w:val="76"/>
      <w:jc w:val="left"/>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pPr>
    <w: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IMlA8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OIMlA8PAgAACQQAAA4AAAAAAAAAAQAgAAAA&#10;HwEAAGRycy9lMm9Eb2MueG1sUEsFBgAAAAAGAAYAWQEAAKA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OYf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3o0UxhR5evXy7ffly+fybwgaDW+gXydhaZoXttOiSPfg9nnLur&#10;nIpfTEQQB9b5Sq/oAuHx0nw2n+cIccTGH+BnT9et8+GNMIpEo6AO+0u0stPWhz51TInVtNk0UqYd&#10;Sk3agt68fJWnC9cIwKVGjThE32y0Qrfvhsn2pjxjMGd6bXjLNw2Kb5kPj8xBDGgYAg8POCppUMQM&#10;FiW1cZ/+5o/52BGilLQQV0E11E+JfKuxOwCG0XCjsR8NfVR3Bmqd4uFYn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ss5h/A4CAAAJ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p>
  <w:p>
    <w:pPr>
      <w:pStyle w:val="30"/>
      <w:tabs>
        <w:tab w:val="left" w:pos="265"/>
      </w:tabs>
      <w:jc w:val="both"/>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70528" behindDoc="0" locked="0" layoutInCell="1" allowOverlap="1">
              <wp:simplePos x="0" y="0"/>
              <wp:positionH relativeFrom="margin">
                <wp:align>left</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aYc8Q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Aa2mHPEAIAAAkEAAAOAAAAAAAAAAEAIAAA&#10;AB8BAABkcnMvZTJvRG9jLnhtbFBLBQYAAAAABgAGAFkBAACh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p>
    <w:pPr>
      <w:pStyle w:val="76"/>
      <w:jc w:val="left"/>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pPr>
    <w:r>
      <mc:AlternateContent>
        <mc:Choice Requires="wps">
          <w:drawing>
            <wp:anchor distT="0" distB="0" distL="114300" distR="114300" simplePos="0" relativeHeight="251671552" behindDoc="0" locked="0" layoutInCell="1" allowOverlap="1">
              <wp:simplePos x="0" y="0"/>
              <wp:positionH relativeFrom="margin">
                <wp:align>left</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KXMo8RAgAACQQAAA4AAABkcnMvZTJvRG9jLnhtbK1TzY7TMBC+I/EO&#10;lu80aVes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spcyjxECAAAJBAAADgAAAAAAAAABACAA&#10;AAAfAQAAZHJzL2Uyb0RvYy54bWxQSwUGAAAAAAYABgBZAQAAog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p>
    <w:pPr>
      <w:pStyle w:val="30"/>
      <w:tabs>
        <w:tab w:val="left" w:pos="265"/>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180"/>
        <w:tab w:val="right" w:pos="9354"/>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mc:AlternateContent>
        <mc:Choice Requires="wps">
          <w:drawing>
            <wp:anchor distT="0" distB="0" distL="114300" distR="114300" simplePos="0" relativeHeight="251676672"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GpaJM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DGpaJMPAgAACQQAAA4AAAAAAAAAAQAgAAAA&#10;HwEAAGRycy9lMm9Eb2MueG1sUEsFBgAAAAAGAAYAWQEAAKAFA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180"/>
        <w:tab w:val="right" w:pos="9354"/>
      </w:tabs>
      <w:jc w:val="both"/>
    </w:pPr>
    <w:r>
      <mc:AlternateContent>
        <mc:Choice Requires="wps">
          <w:drawing>
            <wp:anchor distT="0" distB="0" distL="114300" distR="114300" simplePos="0" relativeHeight="251677696"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nkO9MQAgAACQQAAA4AAABkcnMvZTJvRG9jLnhtbK1TzY7TMBC+I/EO&#10;lu80aRGrUj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S4lmCjs6/fh++vlw+vWNwAeCWutnyNtYZIbunemQPPg9nHHu&#10;rnIqfjERQRxUHy/0ii4QHi9NJ9NpjhBHbPgBfvZ43Tof3gujSDQK6rC/RCs7rH3oU4eUWE2bVSNl&#10;2qHUpC3o1es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CZ5DvTEAIAAAkEAAAOAAAAAAAAAAEAIAAA&#10;AB8BAABkcnMvZTJvRG9jLnhtbFBLBQYAAAAABgAGAFkBAACh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JVx3w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OJVx3wPAgAACQQAAA4AAAAAAAAAAQAgAAAA&#10;HwEAAGRycy9lMm9Eb2MueG1sUEsFBgAAAAAGAAYAWQEAAKAFA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180"/>
      </w:tabs>
    </w:pPr>
    <w:r>
      <mc:AlternateContent>
        <mc:Choice Requires="wps">
          <w:drawing>
            <wp:anchor distT="0" distB="0" distL="114300" distR="114300" simplePos="0" relativeHeight="251672576" behindDoc="0" locked="0" layoutInCell="1" allowOverlap="1">
              <wp:simplePos x="0" y="0"/>
              <wp:positionH relativeFrom="margin">
                <wp:align>left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II</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DMr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UEs0UdnT5+uXy7cfl+2cCHwhqrV8gb2eRGbrXpkPy6Pdwxrm7&#10;yqn4xUQEcVB9vtIrukB4vDSfzec5Qhyx8Qf42dN163x4I4wi0Siow/4Srey09aFPHVNiNW02jZRp&#10;h1KTtqA3L1/l6cI1AnCpUSMO0TcbrdDtu2GyvSnPGMyZXhve8k2D4lvmwyNzEAMahsDDA45KGhQx&#10;g0VJbdynv/ljPnaEKCUtxFVQDfVTIt9q7C7qcDTcaOxHQx/VnYFasQ70k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GoMyvA4CAAAJ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II</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mc:AlternateContent>
        <mc:Choice Requires="wps">
          <w:drawing>
            <wp:anchor distT="0" distB="0" distL="114300" distR="114300" simplePos="0" relativeHeight="251680768" behindDoc="0" locked="0" layoutInCell="1" allowOverlap="1">
              <wp:simplePos x="0" y="0"/>
              <wp:positionH relativeFrom="margin">
                <wp:align>left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180"/>
      </w:tabs>
    </w:pPr>
    <w:r>
      <mc:AlternateContent>
        <mc:Choice Requires="wps">
          <w:drawing>
            <wp:anchor distT="0" distB="0" distL="114300" distR="114300" simplePos="0" relativeHeight="251681792" behindDoc="0" locked="0" layoutInCell="1" allowOverlap="1">
              <wp:simplePos x="0" y="0"/>
              <wp:positionH relativeFrom="margin">
                <wp:align>left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eastAsia="黑体"/>
        <w:sz w:val="21"/>
        <w:szCs w:val="21"/>
        <w:highlight w:val="yellow"/>
      </w:rPr>
    </w:pPr>
    <w:r>
      <w:rPr>
        <w:rFonts w:ascii="黑体" w:hAnsi="黑体" w:eastAsia="黑体"/>
        <w:sz w:val="21"/>
        <w:szCs w:val="21"/>
        <w:highlight w:val="yellow"/>
      </w:rPr>
      <w:t>DB 65/T XXXX—2022</w:t>
    </w:r>
    <w:r>
      <w:rPr>
        <w:rFonts w:hint="eastAsia" w:ascii="黑体" w:hAnsi="黑体" w:eastAsia="黑体"/>
        <w:sz w:val="21"/>
        <w:szCs w:val="21"/>
        <w:highlight w:val="cyan"/>
      </w:rPr>
      <w:t>一左一右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ascii="黑体" w:hAnsi="黑体" w:eastAsia="黑体"/>
        <w:sz w:val="21"/>
        <w:szCs w:val="21"/>
      </w:rPr>
    </w:pPr>
    <w:r>
      <w:rPr>
        <w:rFonts w:ascii="黑体" w:hAnsi="黑体" w:eastAsia="黑体"/>
        <w:sz w:val="21"/>
        <w:szCs w:val="21"/>
      </w:rPr>
      <w:t>DB 65/T XXXX—2021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left" w:pos="7698"/>
        <w:tab w:val="clear" w:pos="4153"/>
        <w:tab w:val="clear" w:pos="8306"/>
      </w:tabs>
      <w:jc w:val="right"/>
      <w:rPr>
        <w:rFonts w:ascii="黑体" w:hAnsi="黑体" w:eastAsia="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left"/>
      <w:rPr>
        <w:rFonts w:ascii="黑体" w:hAnsi="黑体"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both"/>
      <w:rPr>
        <w:rFonts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left"/>
      <w:rPr>
        <w:rFonts w:ascii="黑体" w:hAnsi="黑体"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left" w:pos="13104"/>
      </w:tabs>
      <w:ind w:left="7350" w:leftChars="3500" w:firstLine="2100" w:firstLineChars="1000"/>
      <w:jc w:val="both"/>
      <w:rPr>
        <w:rFonts w:eastAsia="黑体"/>
        <w:sz w:val="21"/>
        <w:szCs w:val="21"/>
      </w:rPr>
    </w:pPr>
    <w:r>
      <w:rPr>
        <w:rFonts w:hint="eastAsia" w:ascii="黑体" w:hAnsi="黑体" w:eastAsia="黑体"/>
        <w:sz w:val="21"/>
        <w:szCs w:val="21"/>
      </w:rPr>
      <w:t xml:space="preserve">       </w:t>
    </w:r>
    <w:r>
      <w:rPr>
        <w:rFonts w:ascii="黑体" w:hAnsi="黑体" w:eastAsia="黑体"/>
        <w:sz w:val="21"/>
        <w:szCs w:val="21"/>
      </w:rPr>
      <w:t xml:space="preserve"> </w:t>
    </w:r>
    <w:r>
      <w:rPr>
        <w:rFonts w:hint="eastAsia" w:ascii="黑体" w:hAnsi="黑体" w:eastAsia="黑体"/>
        <w:sz w:val="21"/>
        <w:szCs w:val="21"/>
      </w:rPr>
      <w:t xml:space="preserve">             DB </w:t>
    </w:r>
    <w:r>
      <w:rPr>
        <w:rFonts w:ascii="黑体" w:hAnsi="黑体" w:eastAsia="黑体"/>
        <w:sz w:val="21"/>
        <w:szCs w:val="21"/>
      </w:rPr>
      <w:t>65/T XXXX—202</w:t>
    </w:r>
    <w:r>
      <w:rPr>
        <w:rFonts w:hint="eastAsia" w:ascii="黑体" w:hAnsi="黑体" w:eastAsia="黑体"/>
        <w:sz w:val="21"/>
        <w:szCs w:val="21"/>
      </w:rPr>
      <w:t>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left"/>
      <w:rPr>
        <w:rFonts w:ascii="黑体" w:hAnsi="黑体" w:eastAsia="黑体"/>
        <w:sz w:val="21"/>
        <w:szCs w:val="21"/>
      </w:rPr>
    </w:pPr>
    <w:r>
      <w:rPr>
        <w:rFonts w:ascii="黑体" w:hAnsi="黑体" w:eastAsia="黑体"/>
        <w:sz w:val="21"/>
        <w:szCs w:val="21"/>
      </w:rPr>
      <w:t>DB 65/T XXXX—202</w:t>
    </w:r>
    <w:r>
      <w:rPr>
        <w:rFonts w:hint="eastAsia" w:ascii="黑体" w:hAnsi="黑体" w:eastAsia="黑体"/>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73C821"/>
    <w:multiLevelType w:val="multilevel"/>
    <w:tmpl w:val="A773C821"/>
    <w:lvl w:ilvl="0" w:tentative="0">
      <w:start w:val="1"/>
      <w:numFmt w:val="decimal"/>
      <w:suff w:val="nothing"/>
      <w:lvlText w:val="%1　"/>
      <w:lvlJc w:val="left"/>
      <w:pPr>
        <w:ind w:left="0" w:firstLine="0"/>
      </w:pPr>
      <w:rPr>
        <w:rFonts w:hint="eastAsia" w:ascii="黑体" w:hAnsi="Times New Roman" w:eastAsia="黑体" w:cs="黑体"/>
        <w:b w:val="0"/>
        <w:i w:val="0"/>
        <w:sz w:val="21"/>
        <w:szCs w:val="21"/>
      </w:rPr>
    </w:lvl>
    <w:lvl w:ilvl="1" w:tentative="0">
      <w:start w:val="1"/>
      <w:numFmt w:val="decimal"/>
      <w:suff w:val="nothing"/>
      <w:lvlText w:val="%1.%2　"/>
      <w:lvlJc w:val="left"/>
      <w:pPr>
        <w:ind w:left="142" w:firstLine="0"/>
        <w:textAlignment w:val="baseline"/>
      </w:pPr>
      <w:rPr>
        <w:rFonts w:hint="eastAsia" w:ascii="黑体" w:hAnsi="Times New Roman" w:eastAsia="黑体" w:cs="Times New Roman"/>
        <w:b w:val="0"/>
        <w:bCs w:val="0"/>
        <w:i w:val="0"/>
        <w:iCs w:val="0"/>
        <w:caps w:val="0"/>
        <w:strike w:val="0"/>
        <w:dstrike w:val="0"/>
        <w:vanish w:val="0"/>
        <w:spacing w:val="0"/>
        <w:kern w:val="0"/>
        <w:position w:val="0"/>
        <w:sz w:val="21"/>
        <w:szCs w:val="21"/>
        <w:u w:val="none"/>
      </w:rPr>
    </w:lvl>
    <w:lvl w:ilvl="2" w:tentative="0">
      <w:start w:val="1"/>
      <w:numFmt w:val="decimal"/>
      <w:suff w:val="nothing"/>
      <w:lvlText w:val="%1.%2.%3　"/>
      <w:lvlJc w:val="left"/>
      <w:pPr>
        <w:ind w:left="6241"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1277"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02837933"/>
    <w:multiLevelType w:val="multilevel"/>
    <w:tmpl w:val="02837933"/>
    <w:lvl w:ilvl="0" w:tentative="0">
      <w:start w:val="1"/>
      <w:numFmt w:val="decimal"/>
      <w:pStyle w:val="8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83"/>
      <w:suff w:val="nothing"/>
      <w:lvlText w:val="%1%2.%3　"/>
      <w:lvlJc w:val="left"/>
      <w:pPr>
        <w:ind w:left="0" w:firstLine="0"/>
      </w:pPr>
    </w:lvl>
    <w:lvl w:ilvl="3" w:tentative="0">
      <w:start w:val="1"/>
      <w:numFmt w:val="decimal"/>
      <w:pStyle w:val="142"/>
      <w:suff w:val="nothing"/>
      <w:lvlText w:val="%1%2.%3.%4　"/>
      <w:lvlJc w:val="left"/>
      <w:pPr>
        <w:ind w:left="0" w:firstLine="0"/>
      </w:pPr>
    </w:lvl>
    <w:lvl w:ilvl="4" w:tentative="0">
      <w:start w:val="1"/>
      <w:numFmt w:val="decimal"/>
      <w:pStyle w:val="177"/>
      <w:suff w:val="nothing"/>
      <w:lvlText w:val="%1%2.%3.%4.%5　"/>
      <w:lvlJc w:val="left"/>
      <w:pPr>
        <w:ind w:left="0" w:firstLine="0"/>
      </w:pPr>
    </w:lvl>
    <w:lvl w:ilvl="5" w:tentative="0">
      <w:start w:val="1"/>
      <w:numFmt w:val="decimal"/>
      <w:pStyle w:val="179"/>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20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13"/>
      <w:lvlText w:val="%1"/>
      <w:lvlJc w:val="left"/>
      <w:pPr>
        <w:ind w:left="425" w:hanging="425"/>
      </w:pPr>
      <w:rPr>
        <w:rFonts w:hint="eastAsia"/>
      </w:rPr>
    </w:lvl>
    <w:lvl w:ilvl="1" w:tentative="0">
      <w:start w:val="1"/>
      <w:numFmt w:val="decimal"/>
      <w:pStyle w:val="224"/>
      <w:suff w:val="nothing"/>
      <w:lvlText w:val="%10.%2 "/>
      <w:lvlJc w:val="left"/>
      <w:pPr>
        <w:ind w:left="0" w:firstLine="0"/>
      </w:pPr>
      <w:rPr>
        <w:rFonts w:hint="eastAsia" w:ascii="黑体" w:eastAsia="黑体" w:hAnsiTheme="minorHAnsi"/>
        <w:b w:val="0"/>
        <w:i w:val="0"/>
        <w:sz w:val="21"/>
      </w:rPr>
    </w:lvl>
    <w:lvl w:ilvl="2" w:tentative="0">
      <w:start w:val="1"/>
      <w:numFmt w:val="decimal"/>
      <w:pStyle w:val="225"/>
      <w:suff w:val="nothing"/>
      <w:lvlText w:val="%10.%2.%3 "/>
      <w:lvlJc w:val="left"/>
      <w:pPr>
        <w:ind w:left="0" w:firstLine="0"/>
      </w:pPr>
      <w:rPr>
        <w:rFonts w:hint="eastAsia" w:ascii="黑体" w:eastAsia="黑体" w:hAnsiTheme="minorHAnsi"/>
        <w:b w:val="0"/>
        <w:i w:val="0"/>
        <w:sz w:val="21"/>
      </w:rPr>
    </w:lvl>
    <w:lvl w:ilvl="3" w:tentative="0">
      <w:start w:val="1"/>
      <w:numFmt w:val="decimal"/>
      <w:pStyle w:val="226"/>
      <w:suff w:val="nothing"/>
      <w:lvlText w:val="%10.%2.%3.%4 "/>
      <w:lvlJc w:val="left"/>
      <w:pPr>
        <w:ind w:left="0" w:firstLine="0"/>
      </w:pPr>
      <w:rPr>
        <w:rFonts w:hint="eastAsia" w:ascii="黑体" w:eastAsia="黑体" w:hAnsiTheme="minorHAnsi"/>
        <w:b w:val="0"/>
        <w:i w:val="0"/>
        <w:sz w:val="21"/>
      </w:rPr>
    </w:lvl>
    <w:lvl w:ilvl="4" w:tentative="0">
      <w:start w:val="1"/>
      <w:numFmt w:val="decimal"/>
      <w:pStyle w:val="227"/>
      <w:suff w:val="nothing"/>
      <w:lvlText w:val="%10.%2.%3.%4.%5 "/>
      <w:lvlJc w:val="left"/>
      <w:pPr>
        <w:ind w:left="0" w:firstLine="0"/>
      </w:pPr>
      <w:rPr>
        <w:rFonts w:hint="eastAsia" w:ascii="黑体" w:eastAsia="黑体" w:hAnsiTheme="minorHAnsi"/>
        <w:b w:val="0"/>
        <w:i w:val="0"/>
        <w:sz w:val="21"/>
      </w:rPr>
    </w:lvl>
    <w:lvl w:ilvl="5" w:tentative="0">
      <w:start w:val="1"/>
      <w:numFmt w:val="decimal"/>
      <w:pStyle w:val="22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20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9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9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0ED03A81"/>
    <w:multiLevelType w:val="singleLevel"/>
    <w:tmpl w:val="0ED03A81"/>
    <w:lvl w:ilvl="0" w:tentative="0">
      <w:start w:val="1"/>
      <w:numFmt w:val="lowerLetter"/>
      <w:suff w:val="space"/>
      <w:lvlText w:val="%1)"/>
      <w:lvlJc w:val="left"/>
    </w:lvl>
  </w:abstractNum>
  <w:abstractNum w:abstractNumId="9">
    <w:nsid w:val="199B83AE"/>
    <w:multiLevelType w:val="singleLevel"/>
    <w:tmpl w:val="199B83AE"/>
    <w:lvl w:ilvl="0" w:tentative="0">
      <w:start w:val="1"/>
      <w:numFmt w:val="lowerLetter"/>
      <w:suff w:val="space"/>
      <w:lvlText w:val="%1)"/>
      <w:lvlJc w:val="left"/>
    </w:lvl>
  </w:abstractNum>
  <w:abstractNum w:abstractNumId="10">
    <w:nsid w:val="1AD20F90"/>
    <w:multiLevelType w:val="multilevel"/>
    <w:tmpl w:val="1AD20F90"/>
    <w:lvl w:ilvl="0" w:tentative="0">
      <w:start w:val="1"/>
      <w:numFmt w:val="none"/>
      <w:pStyle w:val="13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109"/>
      <w:suff w:val="nothing"/>
      <w:lvlText w:val="附 录(Annex) %1"/>
      <w:lvlJc w:val="left"/>
      <w:pPr>
        <w:ind w:left="0" w:firstLine="0"/>
      </w:pPr>
    </w:lvl>
    <w:lvl w:ilvl="1" w:tentative="0">
      <w:start w:val="1"/>
      <w:numFmt w:val="decimal"/>
      <w:pStyle w:val="407"/>
      <w:suff w:val="nothing"/>
      <w:lvlText w:val="%1.%2　"/>
      <w:lvlJc w:val="left"/>
      <w:pPr>
        <w:ind w:left="0" w:firstLine="0"/>
      </w:pPr>
    </w:lvl>
    <w:lvl w:ilvl="2" w:tentative="0">
      <w:start w:val="1"/>
      <w:numFmt w:val="decimal"/>
      <w:pStyle w:val="346"/>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11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pStyle w:val="362"/>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1FC91163"/>
    <w:multiLevelType w:val="multilevel"/>
    <w:tmpl w:val="1FC91163"/>
    <w:lvl w:ilvl="0" w:tentative="0">
      <w:start w:val="1"/>
      <w:numFmt w:val="decimal"/>
      <w:pStyle w:val="25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58"/>
      <w:suff w:val="nothing"/>
      <w:lvlText w:val="%1.%2　"/>
      <w:lvlJc w:val="left"/>
      <w:pPr>
        <w:ind w:left="141"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623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1277"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26EFAFEF"/>
    <w:multiLevelType w:val="singleLevel"/>
    <w:tmpl w:val="26EFAFEF"/>
    <w:lvl w:ilvl="0" w:tentative="0">
      <w:start w:val="1"/>
      <w:numFmt w:val="chineseCounting"/>
      <w:suff w:val="nothing"/>
      <w:lvlText w:val="%1、"/>
      <w:lvlJc w:val="left"/>
      <w:rPr>
        <w:rFonts w:hint="eastAsia"/>
      </w:rPr>
    </w:lvl>
  </w:abstractNum>
  <w:abstractNum w:abstractNumId="15">
    <w:nsid w:val="2C5917C3"/>
    <w:multiLevelType w:val="multilevel"/>
    <w:tmpl w:val="2C5917C3"/>
    <w:lvl w:ilvl="0" w:tentative="0">
      <w:start w:val="1"/>
      <w:numFmt w:val="none"/>
      <w:pStyle w:val="15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11"/>
      <w:lvlText w:val=""/>
      <w:lvlJc w:val="left"/>
      <w:pPr>
        <w:ind w:left="851" w:hanging="431"/>
      </w:pPr>
      <w:rPr>
        <w:rFonts w:hint="default" w:ascii="Symbol" w:hAnsi="Symbol"/>
        <w:sz w:val="21"/>
      </w:rPr>
    </w:lvl>
    <w:lvl w:ilvl="2" w:tentative="0">
      <w:start w:val="1"/>
      <w:numFmt w:val="bullet"/>
      <w:pStyle w:val="19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2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pStyle w:val="393"/>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4C50F90"/>
    <w:multiLevelType w:val="multilevel"/>
    <w:tmpl w:val="44C50F90"/>
    <w:lvl w:ilvl="0" w:tentative="0">
      <w:start w:val="1"/>
      <w:numFmt w:val="lowerLetter"/>
      <w:pStyle w:val="259"/>
      <w:lvlText w:val="%1)"/>
      <w:lvlJc w:val="left"/>
      <w:pPr>
        <w:tabs>
          <w:tab w:val="left" w:pos="851"/>
        </w:tabs>
        <w:ind w:left="851" w:hanging="426"/>
      </w:pPr>
      <w:rPr>
        <w:rFonts w:hint="eastAsia" w:ascii="宋体" w:hAnsi="Times New Roman" w:eastAsia="宋体"/>
        <w:sz w:val="21"/>
      </w:rPr>
    </w:lvl>
    <w:lvl w:ilvl="1" w:tentative="0">
      <w:start w:val="1"/>
      <w:numFmt w:val="decimal"/>
      <w:pStyle w:val="133"/>
      <w:lvlText w:val="%2)"/>
      <w:lvlJc w:val="left"/>
      <w:pPr>
        <w:tabs>
          <w:tab w:val="left" w:pos="1276"/>
        </w:tabs>
        <w:ind w:left="1276" w:hanging="425"/>
      </w:pPr>
      <w:rPr>
        <w:rFonts w:hint="eastAsia" w:ascii="宋体" w:hAnsi="Times New Roman" w:eastAsia="宋体"/>
        <w:sz w:val="21"/>
      </w:rPr>
    </w:lvl>
    <w:lvl w:ilvl="2" w:tentative="0">
      <w:start w:val="1"/>
      <w:numFmt w:val="decimal"/>
      <w:pStyle w:val="14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tentative="0">
      <w:start w:val="1"/>
      <w:numFmt w:val="upperLetter"/>
      <w:pStyle w:val="222"/>
      <w:lvlText w:val="%1"/>
      <w:lvlJc w:val="left"/>
      <w:pPr>
        <w:ind w:left="420" w:hanging="420"/>
      </w:pPr>
      <w:rPr>
        <w:rFonts w:hint="eastAsia"/>
      </w:rPr>
    </w:lvl>
    <w:lvl w:ilvl="1" w:tentative="0">
      <w:start w:val="1"/>
      <w:numFmt w:val="decimal"/>
      <w:pStyle w:val="10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B733A5F"/>
    <w:multiLevelType w:val="multilevel"/>
    <w:tmpl w:val="4B733A5F"/>
    <w:lvl w:ilvl="0" w:tentative="0">
      <w:start w:val="1"/>
      <w:numFmt w:val="decimal"/>
      <w:pStyle w:val="20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4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4632751"/>
    <w:multiLevelType w:val="multilevel"/>
    <w:tmpl w:val="54632751"/>
    <w:lvl w:ilvl="0" w:tentative="0">
      <w:start w:val="1"/>
      <w:numFmt w:val="none"/>
      <w:pStyle w:val="117"/>
      <w:suff w:val="nothing"/>
      <w:lvlText w:val="——"/>
      <w:lvlJc w:val="left"/>
      <w:pPr>
        <w:ind w:left="1588" w:firstLine="0"/>
      </w:pPr>
    </w:lvl>
    <w:lvl w:ilvl="1" w:tentative="0">
      <w:start w:val="1"/>
      <w:numFmt w:val="decimal"/>
      <w:pStyle w:val="377"/>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3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23"/>
      <w:suff w:val="space"/>
      <w:lvlText w:val="%1"/>
      <w:lvlJc w:val="left"/>
      <w:pPr>
        <w:ind w:left="425" w:hanging="425"/>
      </w:pPr>
      <w:rPr>
        <w:rFonts w:hint="eastAsia"/>
      </w:rPr>
    </w:lvl>
    <w:lvl w:ilvl="1" w:tentative="0">
      <w:start w:val="1"/>
      <w:numFmt w:val="decimal"/>
      <w:pStyle w:val="10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3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4622F9"/>
    <w:multiLevelType w:val="multilevel"/>
    <w:tmpl w:val="644622F9"/>
    <w:lvl w:ilvl="0" w:tentative="0">
      <w:start w:val="1"/>
      <w:numFmt w:val="upperRoman"/>
      <w:pStyle w:val="19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tentative="0">
      <w:start w:val="1"/>
      <w:numFmt w:val="decimal"/>
      <w:pStyle w:val="13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7">
    <w:nsid w:val="654A26C9"/>
    <w:multiLevelType w:val="multilevel"/>
    <w:tmpl w:val="654A26C9"/>
    <w:lvl w:ilvl="0" w:tentative="0">
      <w:start w:val="1"/>
      <w:numFmt w:val="none"/>
      <w:pStyle w:val="21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pStyle w:val="106"/>
      <w:suff w:val="nothing"/>
      <w:lvlText w:val="%1.%2.%3.%4.%5　"/>
      <w:lvlJc w:val="left"/>
      <w:pPr>
        <w:ind w:left="0" w:firstLine="0"/>
      </w:pPr>
      <w:rPr>
        <w:rFonts w:hint="eastAsia" w:ascii="黑体" w:eastAsia="黑体"/>
        <w:b w:val="0"/>
        <w:i w:val="0"/>
        <w:sz w:val="21"/>
      </w:rPr>
    </w:lvl>
    <w:lvl w:ilvl="5" w:tentative="0">
      <w:start w:val="1"/>
      <w:numFmt w:val="decimal"/>
      <w:pStyle w:val="10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B1FB3D"/>
    <w:multiLevelType w:val="multilevel"/>
    <w:tmpl w:val="65B1FB3D"/>
    <w:lvl w:ilvl="0" w:tentative="0">
      <w:start w:val="1"/>
      <w:numFmt w:val="none"/>
      <w:pStyle w:val="176"/>
      <w:suff w:val="nothing"/>
      <w:lvlText w:val="%1"/>
      <w:lvlJc w:val="left"/>
      <w:pPr>
        <w:ind w:left="0" w:firstLine="0"/>
      </w:pPr>
      <w:rPr>
        <w:rFonts w:hint="eastAsia"/>
      </w:rPr>
    </w:lvl>
    <w:lvl w:ilvl="1" w:tentative="0">
      <w:start w:val="7"/>
      <w:numFmt w:val="decimal"/>
      <w:suff w:val="nothing"/>
      <w:lvlText w:val="%1%2　"/>
      <w:lvlJc w:val="left"/>
      <w:pPr>
        <w:ind w:left="0" w:firstLine="0"/>
      </w:pPr>
      <w:rPr>
        <w:rFonts w:hint="default" w:ascii="宋体" w:hAnsi="宋体" w:eastAsia="宋体" w:cs="宋体"/>
        <w:b w:val="0"/>
        <w:i w:val="0"/>
        <w:sz w:val="21"/>
      </w:rPr>
    </w:lvl>
    <w:lvl w:ilvl="2" w:tentative="0">
      <w:start w:val="2"/>
      <w:numFmt w:val="decimal"/>
      <w:suff w:val="nothing"/>
      <w:lvlText w:val="%1%2.%3　"/>
      <w:lvlJc w:val="left"/>
      <w:pPr>
        <w:ind w:left="284" w:firstLine="0"/>
      </w:pPr>
      <w:rPr>
        <w:rFonts w:hint="default" w:ascii="宋体" w:hAnsi="宋体" w:eastAsia="宋体" w:cs="宋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89"/>
      <w:suff w:val="nothing"/>
      <w:lvlText w:val="%1%2.%3.%4　"/>
      <w:lvlJc w:val="left"/>
      <w:pPr>
        <w:tabs>
          <w:tab w:val="left" w:pos="0"/>
        </w:tabs>
        <w:ind w:left="0" w:firstLine="0"/>
      </w:pPr>
      <w:rPr>
        <w:rFonts w:hint="default" w:ascii="黑体" w:eastAsia="宋体"/>
        <w:b w:val="0"/>
        <w:i w:val="0"/>
        <w:sz w:val="21"/>
      </w:rPr>
    </w:lvl>
    <w:lvl w:ilvl="4" w:tentative="0">
      <w:start w:val="1"/>
      <w:numFmt w:val="decimal"/>
      <w:pStyle w:val="118"/>
      <w:suff w:val="nothing"/>
      <w:lvlText w:val="%1%2.%3.%4.%5　"/>
      <w:lvlJc w:val="left"/>
      <w:pPr>
        <w:ind w:left="0" w:firstLine="0"/>
      </w:pPr>
      <w:rPr>
        <w:rFonts w:hint="eastAsia" w:ascii="黑体" w:eastAsia="黑体"/>
        <w:b w:val="0"/>
        <w:i w:val="0"/>
        <w:sz w:val="21"/>
      </w:rPr>
    </w:lvl>
    <w:lvl w:ilvl="5" w:tentative="0">
      <w:start w:val="1"/>
      <w:numFmt w:val="decimal"/>
      <w:pStyle w:val="12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9506ABF"/>
    <w:multiLevelType w:val="multilevel"/>
    <w:tmpl w:val="69506ABF"/>
    <w:lvl w:ilvl="0" w:tentative="0">
      <w:start w:val="1"/>
      <w:numFmt w:val="bullet"/>
      <w:pStyle w:val="21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12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pStyle w:val="388"/>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9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DBF04F4"/>
    <w:multiLevelType w:val="multilevel"/>
    <w:tmpl w:val="6DBF04F4"/>
    <w:lvl w:ilvl="0" w:tentative="0">
      <w:start w:val="1"/>
      <w:numFmt w:val="none"/>
      <w:pStyle w:val="20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3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6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3"/>
  </w:num>
  <w:num w:numId="5">
    <w:abstractNumId w:val="28"/>
  </w:num>
  <w:num w:numId="6">
    <w:abstractNumId w:val="18"/>
  </w:num>
  <w:num w:numId="7">
    <w:abstractNumId w:val="11"/>
  </w:num>
  <w:num w:numId="8">
    <w:abstractNumId w:val="4"/>
  </w:num>
  <w:num w:numId="9">
    <w:abstractNumId w:val="12"/>
  </w:num>
  <w:num w:numId="10">
    <w:abstractNumId w:val="21"/>
  </w:num>
  <w:num w:numId="11">
    <w:abstractNumId w:val="31"/>
  </w:num>
  <w:num w:numId="12">
    <w:abstractNumId w:val="16"/>
  </w:num>
  <w:num w:numId="13">
    <w:abstractNumId w:val="17"/>
  </w:num>
  <w:num w:numId="14">
    <w:abstractNumId w:val="10"/>
  </w:num>
  <w:num w:numId="15">
    <w:abstractNumId w:val="24"/>
  </w:num>
  <w:num w:numId="16">
    <w:abstractNumId w:val="26"/>
  </w:num>
  <w:num w:numId="17">
    <w:abstractNumId w:val="22"/>
  </w:num>
  <w:num w:numId="18">
    <w:abstractNumId w:val="34"/>
  </w:num>
  <w:num w:numId="19">
    <w:abstractNumId w:val="20"/>
  </w:num>
  <w:num w:numId="20">
    <w:abstractNumId w:val="2"/>
  </w:num>
  <w:num w:numId="21">
    <w:abstractNumId w:val="15"/>
  </w:num>
  <w:num w:numId="22">
    <w:abstractNumId w:val="35"/>
  </w:num>
  <w:num w:numId="23">
    <w:abstractNumId w:val="25"/>
  </w:num>
  <w:num w:numId="24">
    <w:abstractNumId w:val="7"/>
  </w:num>
  <w:num w:numId="25">
    <w:abstractNumId w:val="32"/>
  </w:num>
  <w:num w:numId="26">
    <w:abstractNumId w:val="33"/>
  </w:num>
  <w:num w:numId="27">
    <w:abstractNumId w:val="3"/>
  </w:num>
  <w:num w:numId="28">
    <w:abstractNumId w:val="5"/>
  </w:num>
  <w:num w:numId="29">
    <w:abstractNumId w:val="19"/>
  </w:num>
  <w:num w:numId="30">
    <w:abstractNumId w:val="30"/>
  </w:num>
  <w:num w:numId="31">
    <w:abstractNumId w:val="27"/>
  </w:num>
  <w:num w:numId="32">
    <w:abstractNumId w:val="13"/>
  </w:num>
  <w:num w:numId="33">
    <w:abstractNumId w:val="0"/>
  </w:num>
  <w:num w:numId="34">
    <w:abstractNumId w:val="9"/>
  </w:num>
  <w:num w:numId="35">
    <w:abstractNumId w:val="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edit="forms" w:enforcement="0"/>
  <w:defaultTabStop w:val="420"/>
  <w:evenAndOddHeaders w:val="1"/>
  <w:drawingGridHorizontalSpacing w:val="210"/>
  <w:drawingGridVerticalSpacing w:val="-7946"/>
  <w:displayVerticalDrawingGridEvery w:val="2"/>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0ZjVjMGY1OWVjODYyZGYwM2EyZGVlYjZkYjk3ZjAifQ=="/>
  </w:docVars>
  <w:rsids>
    <w:rsidRoot w:val="009E0FB3"/>
    <w:rsid w:val="0000040A"/>
    <w:rsid w:val="00000A94"/>
    <w:rsid w:val="00001972"/>
    <w:rsid w:val="00001A6D"/>
    <w:rsid w:val="00001D9A"/>
    <w:rsid w:val="00007B3A"/>
    <w:rsid w:val="000107E0"/>
    <w:rsid w:val="00011FDE"/>
    <w:rsid w:val="00012FFD"/>
    <w:rsid w:val="00014162"/>
    <w:rsid w:val="00014340"/>
    <w:rsid w:val="00014686"/>
    <w:rsid w:val="0001578D"/>
    <w:rsid w:val="00016A9C"/>
    <w:rsid w:val="00020403"/>
    <w:rsid w:val="00022184"/>
    <w:rsid w:val="00022762"/>
    <w:rsid w:val="000238E0"/>
    <w:rsid w:val="000249DB"/>
    <w:rsid w:val="0002595E"/>
    <w:rsid w:val="000303C3"/>
    <w:rsid w:val="000323E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3EE"/>
    <w:rsid w:val="00067F1E"/>
    <w:rsid w:val="00071CC0"/>
    <w:rsid w:val="00073C8C"/>
    <w:rsid w:val="00077B64"/>
    <w:rsid w:val="00080A1C"/>
    <w:rsid w:val="00082317"/>
    <w:rsid w:val="00083D2C"/>
    <w:rsid w:val="00086AA1"/>
    <w:rsid w:val="00087A77"/>
    <w:rsid w:val="00090CA6"/>
    <w:rsid w:val="00092B8A"/>
    <w:rsid w:val="00092FB0"/>
    <w:rsid w:val="000934C5"/>
    <w:rsid w:val="00093ADA"/>
    <w:rsid w:val="00093D25"/>
    <w:rsid w:val="00093DAB"/>
    <w:rsid w:val="00094D73"/>
    <w:rsid w:val="00096D63"/>
    <w:rsid w:val="000976F1"/>
    <w:rsid w:val="000A0B60"/>
    <w:rsid w:val="000A0EB8"/>
    <w:rsid w:val="000A19FC"/>
    <w:rsid w:val="000A296B"/>
    <w:rsid w:val="000A7311"/>
    <w:rsid w:val="000B060F"/>
    <w:rsid w:val="000B1592"/>
    <w:rsid w:val="000B1FF2"/>
    <w:rsid w:val="000B3CDA"/>
    <w:rsid w:val="000B504D"/>
    <w:rsid w:val="000B6A0B"/>
    <w:rsid w:val="000C0187"/>
    <w:rsid w:val="000C0F6C"/>
    <w:rsid w:val="000C11DB"/>
    <w:rsid w:val="000C1492"/>
    <w:rsid w:val="000C2FBD"/>
    <w:rsid w:val="000C4B41"/>
    <w:rsid w:val="000C57D6"/>
    <w:rsid w:val="000C6362"/>
    <w:rsid w:val="000C7666"/>
    <w:rsid w:val="000D0077"/>
    <w:rsid w:val="000D0A9C"/>
    <w:rsid w:val="000D1795"/>
    <w:rsid w:val="000D196A"/>
    <w:rsid w:val="000D329A"/>
    <w:rsid w:val="000D4B9C"/>
    <w:rsid w:val="000D4EB6"/>
    <w:rsid w:val="000D5741"/>
    <w:rsid w:val="000D753B"/>
    <w:rsid w:val="000E4C9E"/>
    <w:rsid w:val="000E57E9"/>
    <w:rsid w:val="000E6FD7"/>
    <w:rsid w:val="000F06E1"/>
    <w:rsid w:val="000F0E3C"/>
    <w:rsid w:val="000F19D5"/>
    <w:rsid w:val="000F4AEA"/>
    <w:rsid w:val="000F633F"/>
    <w:rsid w:val="000F67E9"/>
    <w:rsid w:val="00101D01"/>
    <w:rsid w:val="001034A5"/>
    <w:rsid w:val="00104926"/>
    <w:rsid w:val="00105C7F"/>
    <w:rsid w:val="00111761"/>
    <w:rsid w:val="00113B1E"/>
    <w:rsid w:val="00116FFD"/>
    <w:rsid w:val="0011711C"/>
    <w:rsid w:val="0012059C"/>
    <w:rsid w:val="0012205E"/>
    <w:rsid w:val="00124E4F"/>
    <w:rsid w:val="001260B7"/>
    <w:rsid w:val="001265CB"/>
    <w:rsid w:val="001266A3"/>
    <w:rsid w:val="00127AC3"/>
    <w:rsid w:val="001321C6"/>
    <w:rsid w:val="001325C4"/>
    <w:rsid w:val="00133010"/>
    <w:rsid w:val="001338EE"/>
    <w:rsid w:val="00133AAE"/>
    <w:rsid w:val="00135323"/>
    <w:rsid w:val="001356C4"/>
    <w:rsid w:val="00140E83"/>
    <w:rsid w:val="00141114"/>
    <w:rsid w:val="00142969"/>
    <w:rsid w:val="001446C2"/>
    <w:rsid w:val="001457E7"/>
    <w:rsid w:val="00145D9D"/>
    <w:rsid w:val="00146388"/>
    <w:rsid w:val="001529E5"/>
    <w:rsid w:val="00153C7E"/>
    <w:rsid w:val="00156B25"/>
    <w:rsid w:val="00156CD3"/>
    <w:rsid w:val="00156E1A"/>
    <w:rsid w:val="00157894"/>
    <w:rsid w:val="00157B55"/>
    <w:rsid w:val="00161025"/>
    <w:rsid w:val="001642FA"/>
    <w:rsid w:val="001649EB"/>
    <w:rsid w:val="00164BAF"/>
    <w:rsid w:val="00164FA8"/>
    <w:rsid w:val="00165065"/>
    <w:rsid w:val="00165434"/>
    <w:rsid w:val="0016580B"/>
    <w:rsid w:val="00165F49"/>
    <w:rsid w:val="00166B88"/>
    <w:rsid w:val="0016770A"/>
    <w:rsid w:val="00167EB8"/>
    <w:rsid w:val="00170804"/>
    <w:rsid w:val="001708E9"/>
    <w:rsid w:val="0017340B"/>
    <w:rsid w:val="00173F3C"/>
    <w:rsid w:val="00173FB1"/>
    <w:rsid w:val="00176C93"/>
    <w:rsid w:val="00176DFD"/>
    <w:rsid w:val="00183237"/>
    <w:rsid w:val="001852C9"/>
    <w:rsid w:val="00190087"/>
    <w:rsid w:val="001913C4"/>
    <w:rsid w:val="00192B51"/>
    <w:rsid w:val="0019348F"/>
    <w:rsid w:val="00193719"/>
    <w:rsid w:val="00193A07"/>
    <w:rsid w:val="00193BB7"/>
    <w:rsid w:val="00194C95"/>
    <w:rsid w:val="00195C34"/>
    <w:rsid w:val="00196EF5"/>
    <w:rsid w:val="001977E3"/>
    <w:rsid w:val="001A0D70"/>
    <w:rsid w:val="001A1A53"/>
    <w:rsid w:val="001A234A"/>
    <w:rsid w:val="001A4CF3"/>
    <w:rsid w:val="001B06E8"/>
    <w:rsid w:val="001B5641"/>
    <w:rsid w:val="001B66F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593"/>
    <w:rsid w:val="001E4882"/>
    <w:rsid w:val="001E73AB"/>
    <w:rsid w:val="001F092D"/>
    <w:rsid w:val="001F143A"/>
    <w:rsid w:val="001F1605"/>
    <w:rsid w:val="001F2508"/>
    <w:rsid w:val="001F4816"/>
    <w:rsid w:val="001F4EE9"/>
    <w:rsid w:val="001F69B4"/>
    <w:rsid w:val="001F759A"/>
    <w:rsid w:val="001F77C7"/>
    <w:rsid w:val="00200183"/>
    <w:rsid w:val="00200333"/>
    <w:rsid w:val="0020107D"/>
    <w:rsid w:val="00202AA4"/>
    <w:rsid w:val="002031F7"/>
    <w:rsid w:val="002040E6"/>
    <w:rsid w:val="0020527B"/>
    <w:rsid w:val="00205F2C"/>
    <w:rsid w:val="00210B15"/>
    <w:rsid w:val="002142EA"/>
    <w:rsid w:val="00214643"/>
    <w:rsid w:val="00217C8D"/>
    <w:rsid w:val="002204BB"/>
    <w:rsid w:val="00221B79"/>
    <w:rsid w:val="00221C6B"/>
    <w:rsid w:val="002253A1"/>
    <w:rsid w:val="00225CF8"/>
    <w:rsid w:val="00226366"/>
    <w:rsid w:val="00227154"/>
    <w:rsid w:val="0022794E"/>
    <w:rsid w:val="002315FC"/>
    <w:rsid w:val="00233D64"/>
    <w:rsid w:val="0023482A"/>
    <w:rsid w:val="002359CB"/>
    <w:rsid w:val="00235D2F"/>
    <w:rsid w:val="00240772"/>
    <w:rsid w:val="0024283C"/>
    <w:rsid w:val="00243540"/>
    <w:rsid w:val="0024497B"/>
    <w:rsid w:val="0024515B"/>
    <w:rsid w:val="00246021"/>
    <w:rsid w:val="0024666E"/>
    <w:rsid w:val="00247F52"/>
    <w:rsid w:val="00250B25"/>
    <w:rsid w:val="00250BBE"/>
    <w:rsid w:val="002515C2"/>
    <w:rsid w:val="00251730"/>
    <w:rsid w:val="0025194F"/>
    <w:rsid w:val="00251D62"/>
    <w:rsid w:val="0026148A"/>
    <w:rsid w:val="00262696"/>
    <w:rsid w:val="002636E1"/>
    <w:rsid w:val="00263D25"/>
    <w:rsid w:val="00263FB6"/>
    <w:rsid w:val="002643C3"/>
    <w:rsid w:val="00264A0C"/>
    <w:rsid w:val="00265E52"/>
    <w:rsid w:val="00266EEB"/>
    <w:rsid w:val="00267EF4"/>
    <w:rsid w:val="00270CB8"/>
    <w:rsid w:val="00272B08"/>
    <w:rsid w:val="00281BB8"/>
    <w:rsid w:val="00281E9E"/>
    <w:rsid w:val="00282405"/>
    <w:rsid w:val="00285170"/>
    <w:rsid w:val="00285361"/>
    <w:rsid w:val="00292D60"/>
    <w:rsid w:val="00293B30"/>
    <w:rsid w:val="00294D34"/>
    <w:rsid w:val="00294E3B"/>
    <w:rsid w:val="00295C8E"/>
    <w:rsid w:val="00296193"/>
    <w:rsid w:val="002963CC"/>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529"/>
    <w:rsid w:val="002B5779"/>
    <w:rsid w:val="002B7332"/>
    <w:rsid w:val="002B7F51"/>
    <w:rsid w:val="002C09E7"/>
    <w:rsid w:val="002C1E06"/>
    <w:rsid w:val="002C1E1C"/>
    <w:rsid w:val="002C2300"/>
    <w:rsid w:val="002C3F07"/>
    <w:rsid w:val="002C5278"/>
    <w:rsid w:val="002C7EBB"/>
    <w:rsid w:val="002D06C1"/>
    <w:rsid w:val="002D42B5"/>
    <w:rsid w:val="002D4F1A"/>
    <w:rsid w:val="002D6EC6"/>
    <w:rsid w:val="002D79AC"/>
    <w:rsid w:val="002E039D"/>
    <w:rsid w:val="002E4D5A"/>
    <w:rsid w:val="002E62CF"/>
    <w:rsid w:val="002E6326"/>
    <w:rsid w:val="002E76B3"/>
    <w:rsid w:val="002F30E0"/>
    <w:rsid w:val="002F35E4"/>
    <w:rsid w:val="002F3730"/>
    <w:rsid w:val="002F38E1"/>
    <w:rsid w:val="002F7AF6"/>
    <w:rsid w:val="002F7C39"/>
    <w:rsid w:val="00300E63"/>
    <w:rsid w:val="0030200C"/>
    <w:rsid w:val="00302F5F"/>
    <w:rsid w:val="0030441D"/>
    <w:rsid w:val="00306063"/>
    <w:rsid w:val="00306E83"/>
    <w:rsid w:val="00313B85"/>
    <w:rsid w:val="00313EAB"/>
    <w:rsid w:val="00317270"/>
    <w:rsid w:val="00317988"/>
    <w:rsid w:val="003221B4"/>
    <w:rsid w:val="0032258D"/>
    <w:rsid w:val="00322E62"/>
    <w:rsid w:val="00324D13"/>
    <w:rsid w:val="00324D2A"/>
    <w:rsid w:val="00324EDD"/>
    <w:rsid w:val="00326851"/>
    <w:rsid w:val="00326DE6"/>
    <w:rsid w:val="003323C1"/>
    <w:rsid w:val="0033302D"/>
    <w:rsid w:val="003331E4"/>
    <w:rsid w:val="00336C64"/>
    <w:rsid w:val="00337162"/>
    <w:rsid w:val="0034194F"/>
    <w:rsid w:val="00343A23"/>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470"/>
    <w:rsid w:val="0037154F"/>
    <w:rsid w:val="00376713"/>
    <w:rsid w:val="00381815"/>
    <w:rsid w:val="003819AF"/>
    <w:rsid w:val="003820E9"/>
    <w:rsid w:val="00382DE7"/>
    <w:rsid w:val="00384FFC"/>
    <w:rsid w:val="00386C8E"/>
    <w:rsid w:val="003872FC"/>
    <w:rsid w:val="00387ADC"/>
    <w:rsid w:val="00390020"/>
    <w:rsid w:val="003903D6"/>
    <w:rsid w:val="00390EE6"/>
    <w:rsid w:val="0039118F"/>
    <w:rsid w:val="00392AD7"/>
    <w:rsid w:val="003938D9"/>
    <w:rsid w:val="00394376"/>
    <w:rsid w:val="003943FF"/>
    <w:rsid w:val="0039485D"/>
    <w:rsid w:val="00395700"/>
    <w:rsid w:val="003974EB"/>
    <w:rsid w:val="00397CC5"/>
    <w:rsid w:val="003A1582"/>
    <w:rsid w:val="003A1FDC"/>
    <w:rsid w:val="003A4077"/>
    <w:rsid w:val="003B09AD"/>
    <w:rsid w:val="003B11F6"/>
    <w:rsid w:val="003B1F18"/>
    <w:rsid w:val="003B31FF"/>
    <w:rsid w:val="003B5BF0"/>
    <w:rsid w:val="003B60BF"/>
    <w:rsid w:val="003B6BE3"/>
    <w:rsid w:val="003C010C"/>
    <w:rsid w:val="003C0A6C"/>
    <w:rsid w:val="003C14F8"/>
    <w:rsid w:val="003C5A43"/>
    <w:rsid w:val="003C6CA4"/>
    <w:rsid w:val="003D0519"/>
    <w:rsid w:val="003D0FF6"/>
    <w:rsid w:val="003D262C"/>
    <w:rsid w:val="003D6D61"/>
    <w:rsid w:val="003E091D"/>
    <w:rsid w:val="003E1C53"/>
    <w:rsid w:val="003E2A69"/>
    <w:rsid w:val="003E2D49"/>
    <w:rsid w:val="003E2FD4"/>
    <w:rsid w:val="003E49F6"/>
    <w:rsid w:val="003E5951"/>
    <w:rsid w:val="003E660F"/>
    <w:rsid w:val="003E66A9"/>
    <w:rsid w:val="003F0841"/>
    <w:rsid w:val="003F23D3"/>
    <w:rsid w:val="003F3F08"/>
    <w:rsid w:val="003F49F1"/>
    <w:rsid w:val="003F5CD1"/>
    <w:rsid w:val="003F6272"/>
    <w:rsid w:val="00400E72"/>
    <w:rsid w:val="00400FAF"/>
    <w:rsid w:val="00401400"/>
    <w:rsid w:val="00404869"/>
    <w:rsid w:val="00405884"/>
    <w:rsid w:val="00407D39"/>
    <w:rsid w:val="00413E47"/>
    <w:rsid w:val="0041477A"/>
    <w:rsid w:val="004167A3"/>
    <w:rsid w:val="004177DB"/>
    <w:rsid w:val="0042166F"/>
    <w:rsid w:val="00423AF0"/>
    <w:rsid w:val="004254AB"/>
    <w:rsid w:val="00432DAA"/>
    <w:rsid w:val="00434305"/>
    <w:rsid w:val="00435DF7"/>
    <w:rsid w:val="004365D5"/>
    <w:rsid w:val="0044083F"/>
    <w:rsid w:val="00441AE7"/>
    <w:rsid w:val="00441BD3"/>
    <w:rsid w:val="00445574"/>
    <w:rsid w:val="00446329"/>
    <w:rsid w:val="004467FB"/>
    <w:rsid w:val="00452D6B"/>
    <w:rsid w:val="00454484"/>
    <w:rsid w:val="0045517B"/>
    <w:rsid w:val="00455ACA"/>
    <w:rsid w:val="0046003A"/>
    <w:rsid w:val="00460DB6"/>
    <w:rsid w:val="00460FE5"/>
    <w:rsid w:val="00463B77"/>
    <w:rsid w:val="00463C7B"/>
    <w:rsid w:val="004644A6"/>
    <w:rsid w:val="004659BD"/>
    <w:rsid w:val="00470775"/>
    <w:rsid w:val="004746B1"/>
    <w:rsid w:val="0047583F"/>
    <w:rsid w:val="00475DE8"/>
    <w:rsid w:val="00481C44"/>
    <w:rsid w:val="00484936"/>
    <w:rsid w:val="00485C89"/>
    <w:rsid w:val="00485DAA"/>
    <w:rsid w:val="00486BE3"/>
    <w:rsid w:val="00487C21"/>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90F"/>
    <w:rsid w:val="004B4DB1"/>
    <w:rsid w:val="004B6278"/>
    <w:rsid w:val="004C1FBC"/>
    <w:rsid w:val="004C3F1D"/>
    <w:rsid w:val="004C458D"/>
    <w:rsid w:val="004C7556"/>
    <w:rsid w:val="004C764E"/>
    <w:rsid w:val="004C7E8B"/>
    <w:rsid w:val="004C7E9D"/>
    <w:rsid w:val="004C7F67"/>
    <w:rsid w:val="004D076D"/>
    <w:rsid w:val="004D0EF1"/>
    <w:rsid w:val="004D2253"/>
    <w:rsid w:val="004D4406"/>
    <w:rsid w:val="004D7C42"/>
    <w:rsid w:val="004E0465"/>
    <w:rsid w:val="004E127B"/>
    <w:rsid w:val="004E13A1"/>
    <w:rsid w:val="004E1C0A"/>
    <w:rsid w:val="004E2B06"/>
    <w:rsid w:val="004E30C5"/>
    <w:rsid w:val="004E4AA5"/>
    <w:rsid w:val="004E4AEE"/>
    <w:rsid w:val="004E59E3"/>
    <w:rsid w:val="004E67C0"/>
    <w:rsid w:val="004E6E4B"/>
    <w:rsid w:val="004F391A"/>
    <w:rsid w:val="004F3CFB"/>
    <w:rsid w:val="004F6456"/>
    <w:rsid w:val="004F675E"/>
    <w:rsid w:val="004F696E"/>
    <w:rsid w:val="004F6C71"/>
    <w:rsid w:val="004F70C8"/>
    <w:rsid w:val="00501139"/>
    <w:rsid w:val="0050363E"/>
    <w:rsid w:val="005039BC"/>
    <w:rsid w:val="005043BB"/>
    <w:rsid w:val="00504A3D"/>
    <w:rsid w:val="0050560F"/>
    <w:rsid w:val="00505767"/>
    <w:rsid w:val="005073F0"/>
    <w:rsid w:val="00510A7B"/>
    <w:rsid w:val="00512EFF"/>
    <w:rsid w:val="00512F6E"/>
    <w:rsid w:val="00513038"/>
    <w:rsid w:val="00514174"/>
    <w:rsid w:val="005156C8"/>
    <w:rsid w:val="00516088"/>
    <w:rsid w:val="00516B0B"/>
    <w:rsid w:val="005220EC"/>
    <w:rsid w:val="00523F95"/>
    <w:rsid w:val="00524D65"/>
    <w:rsid w:val="00525B16"/>
    <w:rsid w:val="0053225D"/>
    <w:rsid w:val="00533D04"/>
    <w:rsid w:val="00534804"/>
    <w:rsid w:val="00534BDF"/>
    <w:rsid w:val="005354EA"/>
    <w:rsid w:val="0053585F"/>
    <w:rsid w:val="00535EC4"/>
    <w:rsid w:val="00535ED9"/>
    <w:rsid w:val="0053692B"/>
    <w:rsid w:val="00541853"/>
    <w:rsid w:val="00543BDA"/>
    <w:rsid w:val="005441CC"/>
    <w:rsid w:val="005472A6"/>
    <w:rsid w:val="005479DA"/>
    <w:rsid w:val="00547BCC"/>
    <w:rsid w:val="0055013B"/>
    <w:rsid w:val="00551F6F"/>
    <w:rsid w:val="00555044"/>
    <w:rsid w:val="00561475"/>
    <w:rsid w:val="0056487B"/>
    <w:rsid w:val="00564FB9"/>
    <w:rsid w:val="00570CCA"/>
    <w:rsid w:val="005710DA"/>
    <w:rsid w:val="00571928"/>
    <w:rsid w:val="00573D9E"/>
    <w:rsid w:val="005801E3"/>
    <w:rsid w:val="005804AD"/>
    <w:rsid w:val="00581802"/>
    <w:rsid w:val="005836A8"/>
    <w:rsid w:val="0058409C"/>
    <w:rsid w:val="00584262"/>
    <w:rsid w:val="00586630"/>
    <w:rsid w:val="00587ADD"/>
    <w:rsid w:val="00591E27"/>
    <w:rsid w:val="00596160"/>
    <w:rsid w:val="005966E2"/>
    <w:rsid w:val="00597007"/>
    <w:rsid w:val="005A0966"/>
    <w:rsid w:val="005A11B7"/>
    <w:rsid w:val="005A260B"/>
    <w:rsid w:val="005A2FDB"/>
    <w:rsid w:val="005A4A1B"/>
    <w:rsid w:val="005A7092"/>
    <w:rsid w:val="005A7830"/>
    <w:rsid w:val="005A7FCE"/>
    <w:rsid w:val="005B0130"/>
    <w:rsid w:val="005B0F3F"/>
    <w:rsid w:val="005B4903"/>
    <w:rsid w:val="005B51CE"/>
    <w:rsid w:val="005B5885"/>
    <w:rsid w:val="005B5CD7"/>
    <w:rsid w:val="005B6CF6"/>
    <w:rsid w:val="005B7422"/>
    <w:rsid w:val="005C29B8"/>
    <w:rsid w:val="005C4E4F"/>
    <w:rsid w:val="005C5F21"/>
    <w:rsid w:val="005C7156"/>
    <w:rsid w:val="005D0C75"/>
    <w:rsid w:val="005D2089"/>
    <w:rsid w:val="005D4171"/>
    <w:rsid w:val="005D6A95"/>
    <w:rsid w:val="005D6B2C"/>
    <w:rsid w:val="005D6D9C"/>
    <w:rsid w:val="005E2335"/>
    <w:rsid w:val="005E34CA"/>
    <w:rsid w:val="005E3C18"/>
    <w:rsid w:val="005E5210"/>
    <w:rsid w:val="005E6812"/>
    <w:rsid w:val="005E7881"/>
    <w:rsid w:val="005E78E0"/>
    <w:rsid w:val="005F01AC"/>
    <w:rsid w:val="005F0D9C"/>
    <w:rsid w:val="005F284E"/>
    <w:rsid w:val="005F4712"/>
    <w:rsid w:val="005F7698"/>
    <w:rsid w:val="005F7982"/>
    <w:rsid w:val="006015CE"/>
    <w:rsid w:val="00604784"/>
    <w:rsid w:val="00606419"/>
    <w:rsid w:val="0060686C"/>
    <w:rsid w:val="00607D29"/>
    <w:rsid w:val="00612677"/>
    <w:rsid w:val="00612952"/>
    <w:rsid w:val="00614CC1"/>
    <w:rsid w:val="00615A9D"/>
    <w:rsid w:val="00617387"/>
    <w:rsid w:val="00617AEA"/>
    <w:rsid w:val="006205D6"/>
    <w:rsid w:val="006252D8"/>
    <w:rsid w:val="006259BC"/>
    <w:rsid w:val="0062636B"/>
    <w:rsid w:val="00627E9C"/>
    <w:rsid w:val="00632182"/>
    <w:rsid w:val="00632AE0"/>
    <w:rsid w:val="00633C17"/>
    <w:rsid w:val="00634D9E"/>
    <w:rsid w:val="00636E3E"/>
    <w:rsid w:val="006370A5"/>
    <w:rsid w:val="006379F7"/>
    <w:rsid w:val="00637E4D"/>
    <w:rsid w:val="00640620"/>
    <w:rsid w:val="00641A1F"/>
    <w:rsid w:val="00644DA9"/>
    <w:rsid w:val="00645904"/>
    <w:rsid w:val="00651ACB"/>
    <w:rsid w:val="00651C47"/>
    <w:rsid w:val="00652AB2"/>
    <w:rsid w:val="0065325E"/>
    <w:rsid w:val="00653FED"/>
    <w:rsid w:val="00654EC0"/>
    <w:rsid w:val="0065525B"/>
    <w:rsid w:val="00655D4F"/>
    <w:rsid w:val="00656D29"/>
    <w:rsid w:val="0066329C"/>
    <w:rsid w:val="006640E5"/>
    <w:rsid w:val="006646F1"/>
    <w:rsid w:val="00664929"/>
    <w:rsid w:val="00664F62"/>
    <w:rsid w:val="006655E1"/>
    <w:rsid w:val="00672060"/>
    <w:rsid w:val="00672BFD"/>
    <w:rsid w:val="00674E13"/>
    <w:rsid w:val="006770F4"/>
    <w:rsid w:val="00677A84"/>
    <w:rsid w:val="0068026D"/>
    <w:rsid w:val="00680A27"/>
    <w:rsid w:val="006816A4"/>
    <w:rsid w:val="006819B8"/>
    <w:rsid w:val="006840A6"/>
    <w:rsid w:val="006850CD"/>
    <w:rsid w:val="00685AAB"/>
    <w:rsid w:val="006934BE"/>
    <w:rsid w:val="00695D22"/>
    <w:rsid w:val="006A07AA"/>
    <w:rsid w:val="006A25E5"/>
    <w:rsid w:val="006A2B46"/>
    <w:rsid w:val="006A336D"/>
    <w:rsid w:val="006A37B9"/>
    <w:rsid w:val="006B2672"/>
    <w:rsid w:val="006B54BF"/>
    <w:rsid w:val="006B5F44"/>
    <w:rsid w:val="006B5F90"/>
    <w:rsid w:val="006B62E4"/>
    <w:rsid w:val="006C0282"/>
    <w:rsid w:val="006C15CB"/>
    <w:rsid w:val="006C1BBA"/>
    <w:rsid w:val="006C2079"/>
    <w:rsid w:val="006C5A62"/>
    <w:rsid w:val="006C5D68"/>
    <w:rsid w:val="006C6976"/>
    <w:rsid w:val="006C6DD0"/>
    <w:rsid w:val="006D04EA"/>
    <w:rsid w:val="006D16C4"/>
    <w:rsid w:val="006D30E0"/>
    <w:rsid w:val="006D3E96"/>
    <w:rsid w:val="006D4515"/>
    <w:rsid w:val="006D4BB1"/>
    <w:rsid w:val="006D60F5"/>
    <w:rsid w:val="006D6593"/>
    <w:rsid w:val="006E23EA"/>
    <w:rsid w:val="006F03A8"/>
    <w:rsid w:val="006F1FCE"/>
    <w:rsid w:val="006F25B9"/>
    <w:rsid w:val="006F2ACA"/>
    <w:rsid w:val="006F2ADC"/>
    <w:rsid w:val="006F2BFE"/>
    <w:rsid w:val="006F31E9"/>
    <w:rsid w:val="006F32CB"/>
    <w:rsid w:val="006F6284"/>
    <w:rsid w:val="007002C5"/>
    <w:rsid w:val="007009CE"/>
    <w:rsid w:val="0070138A"/>
    <w:rsid w:val="00704387"/>
    <w:rsid w:val="007058BE"/>
    <w:rsid w:val="00707669"/>
    <w:rsid w:val="00711CBA"/>
    <w:rsid w:val="00711FB5"/>
    <w:rsid w:val="00712A01"/>
    <w:rsid w:val="00714F58"/>
    <w:rsid w:val="00722FBF"/>
    <w:rsid w:val="00722FC2"/>
    <w:rsid w:val="00724879"/>
    <w:rsid w:val="00724BE8"/>
    <w:rsid w:val="00724E1B"/>
    <w:rsid w:val="00725949"/>
    <w:rsid w:val="00727A53"/>
    <w:rsid w:val="00727FA2"/>
    <w:rsid w:val="007322D9"/>
    <w:rsid w:val="00732BC0"/>
    <w:rsid w:val="007364F7"/>
    <w:rsid w:val="0073720F"/>
    <w:rsid w:val="00737796"/>
    <w:rsid w:val="00740BE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F85"/>
    <w:rsid w:val="00773C1F"/>
    <w:rsid w:val="00774DA4"/>
    <w:rsid w:val="00775F29"/>
    <w:rsid w:val="00776599"/>
    <w:rsid w:val="0078114B"/>
    <w:rsid w:val="00781AEB"/>
    <w:rsid w:val="00781DD2"/>
    <w:rsid w:val="007827FF"/>
    <w:rsid w:val="00783ECF"/>
    <w:rsid w:val="0078413A"/>
    <w:rsid w:val="00784D29"/>
    <w:rsid w:val="00785C49"/>
    <w:rsid w:val="007959E8"/>
    <w:rsid w:val="00795E9C"/>
    <w:rsid w:val="00796F38"/>
    <w:rsid w:val="007A0521"/>
    <w:rsid w:val="007A2E12"/>
    <w:rsid w:val="007A3475"/>
    <w:rsid w:val="007A41C8"/>
    <w:rsid w:val="007A54CE"/>
    <w:rsid w:val="007A6592"/>
    <w:rsid w:val="007A6FD9"/>
    <w:rsid w:val="007A7FFA"/>
    <w:rsid w:val="007B04EB"/>
    <w:rsid w:val="007B0D4F"/>
    <w:rsid w:val="007B22EC"/>
    <w:rsid w:val="007B59F2"/>
    <w:rsid w:val="007B5A3D"/>
    <w:rsid w:val="007B5B95"/>
    <w:rsid w:val="007B68EA"/>
    <w:rsid w:val="007B7453"/>
    <w:rsid w:val="007C1E8B"/>
    <w:rsid w:val="007C2D89"/>
    <w:rsid w:val="007C4593"/>
    <w:rsid w:val="007C5309"/>
    <w:rsid w:val="007C6069"/>
    <w:rsid w:val="007D06C4"/>
    <w:rsid w:val="007D1352"/>
    <w:rsid w:val="007D2508"/>
    <w:rsid w:val="007D346A"/>
    <w:rsid w:val="007D3D0F"/>
    <w:rsid w:val="007D6518"/>
    <w:rsid w:val="007D76BD"/>
    <w:rsid w:val="007E0BF1"/>
    <w:rsid w:val="007E3685"/>
    <w:rsid w:val="007F0ED8"/>
    <w:rsid w:val="007F0F63"/>
    <w:rsid w:val="007F3DE8"/>
    <w:rsid w:val="007F5F25"/>
    <w:rsid w:val="007F75CE"/>
    <w:rsid w:val="008013A4"/>
    <w:rsid w:val="008027CE"/>
    <w:rsid w:val="00802F42"/>
    <w:rsid w:val="00803097"/>
    <w:rsid w:val="00804383"/>
    <w:rsid w:val="00804BB7"/>
    <w:rsid w:val="00804D41"/>
    <w:rsid w:val="00806797"/>
    <w:rsid w:val="00806BE6"/>
    <w:rsid w:val="00807EA8"/>
    <w:rsid w:val="00810257"/>
    <w:rsid w:val="008104F5"/>
    <w:rsid w:val="00811072"/>
    <w:rsid w:val="00811369"/>
    <w:rsid w:val="00811E52"/>
    <w:rsid w:val="00813CD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F76"/>
    <w:rsid w:val="0085173A"/>
    <w:rsid w:val="00856316"/>
    <w:rsid w:val="008603CE"/>
    <w:rsid w:val="0086075D"/>
    <w:rsid w:val="008620FC"/>
    <w:rsid w:val="0086220F"/>
    <w:rsid w:val="008627A5"/>
    <w:rsid w:val="00863E05"/>
    <w:rsid w:val="00865ACA"/>
    <w:rsid w:val="00865D28"/>
    <w:rsid w:val="00865F85"/>
    <w:rsid w:val="00866D67"/>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2B8"/>
    <w:rsid w:val="00896DFF"/>
    <w:rsid w:val="0089762C"/>
    <w:rsid w:val="008A000B"/>
    <w:rsid w:val="008A0DBC"/>
    <w:rsid w:val="008A1893"/>
    <w:rsid w:val="008A3215"/>
    <w:rsid w:val="008A57E6"/>
    <w:rsid w:val="008A6F81"/>
    <w:rsid w:val="008A7012"/>
    <w:rsid w:val="008A769A"/>
    <w:rsid w:val="008B0C9C"/>
    <w:rsid w:val="008B166D"/>
    <w:rsid w:val="008B17F4"/>
    <w:rsid w:val="008B3615"/>
    <w:rsid w:val="008B3EA2"/>
    <w:rsid w:val="008B4AC4"/>
    <w:rsid w:val="008B50C8"/>
    <w:rsid w:val="008B5281"/>
    <w:rsid w:val="008B7E05"/>
    <w:rsid w:val="008C1797"/>
    <w:rsid w:val="008C219C"/>
    <w:rsid w:val="008C2A6B"/>
    <w:rsid w:val="008C31A1"/>
    <w:rsid w:val="008C475E"/>
    <w:rsid w:val="008C619A"/>
    <w:rsid w:val="008D0CE8"/>
    <w:rsid w:val="008D2B8A"/>
    <w:rsid w:val="008D2D1D"/>
    <w:rsid w:val="008D453D"/>
    <w:rsid w:val="008D53AD"/>
    <w:rsid w:val="008D562B"/>
    <w:rsid w:val="008D5733"/>
    <w:rsid w:val="008D622B"/>
    <w:rsid w:val="008D666C"/>
    <w:rsid w:val="008D7B54"/>
    <w:rsid w:val="008D7BB5"/>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39B"/>
    <w:rsid w:val="009062E6"/>
    <w:rsid w:val="00910B31"/>
    <w:rsid w:val="00911BE5"/>
    <w:rsid w:val="00913CA9"/>
    <w:rsid w:val="009145AE"/>
    <w:rsid w:val="009146CE"/>
    <w:rsid w:val="00914CA7"/>
    <w:rsid w:val="00915C3E"/>
    <w:rsid w:val="009161A8"/>
    <w:rsid w:val="009210E6"/>
    <w:rsid w:val="009245F5"/>
    <w:rsid w:val="009249EC"/>
    <w:rsid w:val="009273B3"/>
    <w:rsid w:val="009305B5"/>
    <w:rsid w:val="0093392D"/>
    <w:rsid w:val="00934F26"/>
    <w:rsid w:val="00935CBE"/>
    <w:rsid w:val="00937E3B"/>
    <w:rsid w:val="009429D5"/>
    <w:rsid w:val="00942BF1"/>
    <w:rsid w:val="009448A9"/>
    <w:rsid w:val="00945180"/>
    <w:rsid w:val="00945428"/>
    <w:rsid w:val="0094607B"/>
    <w:rsid w:val="009464BE"/>
    <w:rsid w:val="00953604"/>
    <w:rsid w:val="0095496B"/>
    <w:rsid w:val="009571E9"/>
    <w:rsid w:val="00957202"/>
    <w:rsid w:val="009610DC"/>
    <w:rsid w:val="00961490"/>
    <w:rsid w:val="0096381A"/>
    <w:rsid w:val="00965E04"/>
    <w:rsid w:val="00966192"/>
    <w:rsid w:val="009668B6"/>
    <w:rsid w:val="009671D8"/>
    <w:rsid w:val="009674AD"/>
    <w:rsid w:val="00967EA5"/>
    <w:rsid w:val="00970CDC"/>
    <w:rsid w:val="00971D72"/>
    <w:rsid w:val="009720D3"/>
    <w:rsid w:val="00977010"/>
    <w:rsid w:val="00977D02"/>
    <w:rsid w:val="009809BB"/>
    <w:rsid w:val="00981F1E"/>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0E5E"/>
    <w:rsid w:val="009B1247"/>
    <w:rsid w:val="009B6029"/>
    <w:rsid w:val="009B6971"/>
    <w:rsid w:val="009B7768"/>
    <w:rsid w:val="009C27F1"/>
    <w:rsid w:val="009C3152"/>
    <w:rsid w:val="009C426B"/>
    <w:rsid w:val="009C4CFA"/>
    <w:rsid w:val="009C5070"/>
    <w:rsid w:val="009C658B"/>
    <w:rsid w:val="009D112C"/>
    <w:rsid w:val="009D2337"/>
    <w:rsid w:val="009D2C75"/>
    <w:rsid w:val="009D47FA"/>
    <w:rsid w:val="009D49C5"/>
    <w:rsid w:val="009D4C5B"/>
    <w:rsid w:val="009D50D2"/>
    <w:rsid w:val="009D6BCA"/>
    <w:rsid w:val="009E0F62"/>
    <w:rsid w:val="009E0FB3"/>
    <w:rsid w:val="009E4A58"/>
    <w:rsid w:val="009E5A2D"/>
    <w:rsid w:val="009E5AB2"/>
    <w:rsid w:val="009E6219"/>
    <w:rsid w:val="009E6917"/>
    <w:rsid w:val="009F03B3"/>
    <w:rsid w:val="009F4BEE"/>
    <w:rsid w:val="009F5C1F"/>
    <w:rsid w:val="009F7185"/>
    <w:rsid w:val="00A0096C"/>
    <w:rsid w:val="00A01757"/>
    <w:rsid w:val="00A018BA"/>
    <w:rsid w:val="00A028C0"/>
    <w:rsid w:val="00A02BAE"/>
    <w:rsid w:val="00A06A6B"/>
    <w:rsid w:val="00A07E47"/>
    <w:rsid w:val="00A129D0"/>
    <w:rsid w:val="00A12C33"/>
    <w:rsid w:val="00A138BA"/>
    <w:rsid w:val="00A14C8E"/>
    <w:rsid w:val="00A153D9"/>
    <w:rsid w:val="00A157C3"/>
    <w:rsid w:val="00A15D2E"/>
    <w:rsid w:val="00A15F09"/>
    <w:rsid w:val="00A169B6"/>
    <w:rsid w:val="00A22647"/>
    <w:rsid w:val="00A2271D"/>
    <w:rsid w:val="00A235EB"/>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B03"/>
    <w:rsid w:val="00A44E69"/>
    <w:rsid w:val="00A4661E"/>
    <w:rsid w:val="00A5508C"/>
    <w:rsid w:val="00A55BD6"/>
    <w:rsid w:val="00A55D50"/>
    <w:rsid w:val="00A56A34"/>
    <w:rsid w:val="00A57142"/>
    <w:rsid w:val="00A61570"/>
    <w:rsid w:val="00A648CD"/>
    <w:rsid w:val="00A6537A"/>
    <w:rsid w:val="00A67866"/>
    <w:rsid w:val="00A70B07"/>
    <w:rsid w:val="00A723F8"/>
    <w:rsid w:val="00A77CCB"/>
    <w:rsid w:val="00A8282F"/>
    <w:rsid w:val="00A83D8D"/>
    <w:rsid w:val="00A8446B"/>
    <w:rsid w:val="00A8473F"/>
    <w:rsid w:val="00A859AC"/>
    <w:rsid w:val="00A862D6"/>
    <w:rsid w:val="00A8715E"/>
    <w:rsid w:val="00A87F74"/>
    <w:rsid w:val="00A90C9D"/>
    <w:rsid w:val="00A924C3"/>
    <w:rsid w:val="00A9295B"/>
    <w:rsid w:val="00A93050"/>
    <w:rsid w:val="00A93B09"/>
    <w:rsid w:val="00A94247"/>
    <w:rsid w:val="00A94F07"/>
    <w:rsid w:val="00A952D7"/>
    <w:rsid w:val="00A963F7"/>
    <w:rsid w:val="00A96AD8"/>
    <w:rsid w:val="00AA052C"/>
    <w:rsid w:val="00AA1E45"/>
    <w:rsid w:val="00AA4286"/>
    <w:rsid w:val="00AA456B"/>
    <w:rsid w:val="00AA5587"/>
    <w:rsid w:val="00AA57F5"/>
    <w:rsid w:val="00AA649E"/>
    <w:rsid w:val="00AA672E"/>
    <w:rsid w:val="00AA6EC9"/>
    <w:rsid w:val="00AB41D5"/>
    <w:rsid w:val="00AB5D75"/>
    <w:rsid w:val="00AB6309"/>
    <w:rsid w:val="00AB6C5F"/>
    <w:rsid w:val="00AB7129"/>
    <w:rsid w:val="00AC27A6"/>
    <w:rsid w:val="00AC2DF9"/>
    <w:rsid w:val="00AC30F7"/>
    <w:rsid w:val="00AC3A5A"/>
    <w:rsid w:val="00AC4D95"/>
    <w:rsid w:val="00AC5DF4"/>
    <w:rsid w:val="00AC6682"/>
    <w:rsid w:val="00AD0AEF"/>
    <w:rsid w:val="00AD11B7"/>
    <w:rsid w:val="00AD1A94"/>
    <w:rsid w:val="00AD1C05"/>
    <w:rsid w:val="00AD31F6"/>
    <w:rsid w:val="00AD4126"/>
    <w:rsid w:val="00AD421C"/>
    <w:rsid w:val="00AD44FA"/>
    <w:rsid w:val="00AD5241"/>
    <w:rsid w:val="00AE070A"/>
    <w:rsid w:val="00AE101C"/>
    <w:rsid w:val="00AE37E5"/>
    <w:rsid w:val="00AE5EB4"/>
    <w:rsid w:val="00AF0C18"/>
    <w:rsid w:val="00AF47C5"/>
    <w:rsid w:val="00AF5398"/>
    <w:rsid w:val="00B049AF"/>
    <w:rsid w:val="00B07242"/>
    <w:rsid w:val="00B10534"/>
    <w:rsid w:val="00B113DB"/>
    <w:rsid w:val="00B11896"/>
    <w:rsid w:val="00B11D8A"/>
    <w:rsid w:val="00B12981"/>
    <w:rsid w:val="00B147DD"/>
    <w:rsid w:val="00B156FD"/>
    <w:rsid w:val="00B21F61"/>
    <w:rsid w:val="00B261F1"/>
    <w:rsid w:val="00B265BC"/>
    <w:rsid w:val="00B26FCE"/>
    <w:rsid w:val="00B31FB1"/>
    <w:rsid w:val="00B33952"/>
    <w:rsid w:val="00B33C5E"/>
    <w:rsid w:val="00B342F4"/>
    <w:rsid w:val="00B34369"/>
    <w:rsid w:val="00B34DC2"/>
    <w:rsid w:val="00B378E5"/>
    <w:rsid w:val="00B41B7A"/>
    <w:rsid w:val="00B4346D"/>
    <w:rsid w:val="00B440F4"/>
    <w:rsid w:val="00B447A5"/>
    <w:rsid w:val="00B4654C"/>
    <w:rsid w:val="00B47238"/>
    <w:rsid w:val="00B47293"/>
    <w:rsid w:val="00B50089"/>
    <w:rsid w:val="00B50E50"/>
    <w:rsid w:val="00B52120"/>
    <w:rsid w:val="00B54ABC"/>
    <w:rsid w:val="00B54DDE"/>
    <w:rsid w:val="00B56FBE"/>
    <w:rsid w:val="00B60ACF"/>
    <w:rsid w:val="00B62B58"/>
    <w:rsid w:val="00B6411C"/>
    <w:rsid w:val="00B65149"/>
    <w:rsid w:val="00B657F2"/>
    <w:rsid w:val="00B66567"/>
    <w:rsid w:val="00B66F52"/>
    <w:rsid w:val="00B66FE5"/>
    <w:rsid w:val="00B72880"/>
    <w:rsid w:val="00B758BF"/>
    <w:rsid w:val="00B76C13"/>
    <w:rsid w:val="00B77EC8"/>
    <w:rsid w:val="00B827A6"/>
    <w:rsid w:val="00B831CE"/>
    <w:rsid w:val="00B86677"/>
    <w:rsid w:val="00B87131"/>
    <w:rsid w:val="00B9164C"/>
    <w:rsid w:val="00B939B1"/>
    <w:rsid w:val="00B94B6D"/>
    <w:rsid w:val="00B96D40"/>
    <w:rsid w:val="00B97386"/>
    <w:rsid w:val="00BA263B"/>
    <w:rsid w:val="00BA42B2"/>
    <w:rsid w:val="00BA58D4"/>
    <w:rsid w:val="00BA5B9E"/>
    <w:rsid w:val="00BA7C9A"/>
    <w:rsid w:val="00BB4636"/>
    <w:rsid w:val="00BB5F8F"/>
    <w:rsid w:val="00BB657A"/>
    <w:rsid w:val="00BC1A4E"/>
    <w:rsid w:val="00BC5DC7"/>
    <w:rsid w:val="00BC6B8B"/>
    <w:rsid w:val="00BC73D8"/>
    <w:rsid w:val="00BD52D7"/>
    <w:rsid w:val="00BD5AD2"/>
    <w:rsid w:val="00BE22F3"/>
    <w:rsid w:val="00BE5B52"/>
    <w:rsid w:val="00BE7387"/>
    <w:rsid w:val="00BE7B8D"/>
    <w:rsid w:val="00BF0993"/>
    <w:rsid w:val="00BF10A9"/>
    <w:rsid w:val="00BF1703"/>
    <w:rsid w:val="00BF217A"/>
    <w:rsid w:val="00BF231C"/>
    <w:rsid w:val="00BF51E5"/>
    <w:rsid w:val="00BF5CC9"/>
    <w:rsid w:val="00BF67FE"/>
    <w:rsid w:val="00BF74A6"/>
    <w:rsid w:val="00C013AD"/>
    <w:rsid w:val="00C02C98"/>
    <w:rsid w:val="00C03B65"/>
    <w:rsid w:val="00C04904"/>
    <w:rsid w:val="00C056B3"/>
    <w:rsid w:val="00C103E5"/>
    <w:rsid w:val="00C13319"/>
    <w:rsid w:val="00C13EE9"/>
    <w:rsid w:val="00C14DFB"/>
    <w:rsid w:val="00C2065E"/>
    <w:rsid w:val="00C21540"/>
    <w:rsid w:val="00C21906"/>
    <w:rsid w:val="00C21BFA"/>
    <w:rsid w:val="00C22148"/>
    <w:rsid w:val="00C23EB5"/>
    <w:rsid w:val="00C24C8D"/>
    <w:rsid w:val="00C25FE2"/>
    <w:rsid w:val="00C26B53"/>
    <w:rsid w:val="00C279B2"/>
    <w:rsid w:val="00C33E50"/>
    <w:rsid w:val="00C34C20"/>
    <w:rsid w:val="00C35A3E"/>
    <w:rsid w:val="00C42130"/>
    <w:rsid w:val="00C423A4"/>
    <w:rsid w:val="00C429AB"/>
    <w:rsid w:val="00C44BF5"/>
    <w:rsid w:val="00C46BA4"/>
    <w:rsid w:val="00C521D6"/>
    <w:rsid w:val="00C55232"/>
    <w:rsid w:val="00C553A4"/>
    <w:rsid w:val="00C55A06"/>
    <w:rsid w:val="00C55D03"/>
    <w:rsid w:val="00C57EB5"/>
    <w:rsid w:val="00C601BC"/>
    <w:rsid w:val="00C6329F"/>
    <w:rsid w:val="00C63340"/>
    <w:rsid w:val="00C643F9"/>
    <w:rsid w:val="00C64E95"/>
    <w:rsid w:val="00C66BE4"/>
    <w:rsid w:val="00C71372"/>
    <w:rsid w:val="00C71433"/>
    <w:rsid w:val="00C72410"/>
    <w:rsid w:val="00C7287F"/>
    <w:rsid w:val="00C733E2"/>
    <w:rsid w:val="00C808E7"/>
    <w:rsid w:val="00C80CB8"/>
    <w:rsid w:val="00C819F8"/>
    <w:rsid w:val="00C8248C"/>
    <w:rsid w:val="00C84E33"/>
    <w:rsid w:val="00C86D6F"/>
    <w:rsid w:val="00C905FC"/>
    <w:rsid w:val="00C92D03"/>
    <w:rsid w:val="00C9319C"/>
    <w:rsid w:val="00C9435D"/>
    <w:rsid w:val="00C94DF2"/>
    <w:rsid w:val="00C96741"/>
    <w:rsid w:val="00CA02D5"/>
    <w:rsid w:val="00CA2D1B"/>
    <w:rsid w:val="00CA375D"/>
    <w:rsid w:val="00CA473A"/>
    <w:rsid w:val="00CA662A"/>
    <w:rsid w:val="00CA7AFD"/>
    <w:rsid w:val="00CA7C3C"/>
    <w:rsid w:val="00CB0189"/>
    <w:rsid w:val="00CB0BA2"/>
    <w:rsid w:val="00CB1A42"/>
    <w:rsid w:val="00CB1B0C"/>
    <w:rsid w:val="00CB2C0B"/>
    <w:rsid w:val="00CB3FE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5BE"/>
    <w:rsid w:val="00CD4A20"/>
    <w:rsid w:val="00CD50A1"/>
    <w:rsid w:val="00CD519E"/>
    <w:rsid w:val="00CD6277"/>
    <w:rsid w:val="00CE007C"/>
    <w:rsid w:val="00CE0C4F"/>
    <w:rsid w:val="00CE30EA"/>
    <w:rsid w:val="00CF044C"/>
    <w:rsid w:val="00CF048A"/>
    <w:rsid w:val="00CF155A"/>
    <w:rsid w:val="00CF2947"/>
    <w:rsid w:val="00CF31A3"/>
    <w:rsid w:val="00CF372C"/>
    <w:rsid w:val="00CF3818"/>
    <w:rsid w:val="00CF686F"/>
    <w:rsid w:val="00CF6E60"/>
    <w:rsid w:val="00CF72C4"/>
    <w:rsid w:val="00CF7BCA"/>
    <w:rsid w:val="00D000F2"/>
    <w:rsid w:val="00D008FD"/>
    <w:rsid w:val="00D0321C"/>
    <w:rsid w:val="00D035EC"/>
    <w:rsid w:val="00D06AB1"/>
    <w:rsid w:val="00D06EAE"/>
    <w:rsid w:val="00D072ED"/>
    <w:rsid w:val="00D07A16"/>
    <w:rsid w:val="00D1067E"/>
    <w:rsid w:val="00D10C41"/>
    <w:rsid w:val="00D10F50"/>
    <w:rsid w:val="00D11272"/>
    <w:rsid w:val="00D126F5"/>
    <w:rsid w:val="00D1489E"/>
    <w:rsid w:val="00D17C17"/>
    <w:rsid w:val="00D20737"/>
    <w:rsid w:val="00D21E81"/>
    <w:rsid w:val="00D223DE"/>
    <w:rsid w:val="00D23024"/>
    <w:rsid w:val="00D25E37"/>
    <w:rsid w:val="00D2661A"/>
    <w:rsid w:val="00D27582"/>
    <w:rsid w:val="00D27EC4"/>
    <w:rsid w:val="00D30309"/>
    <w:rsid w:val="00D320B5"/>
    <w:rsid w:val="00D32719"/>
    <w:rsid w:val="00D33333"/>
    <w:rsid w:val="00D33457"/>
    <w:rsid w:val="00D352A2"/>
    <w:rsid w:val="00D4162B"/>
    <w:rsid w:val="00D4514F"/>
    <w:rsid w:val="00D451E2"/>
    <w:rsid w:val="00D45E89"/>
    <w:rsid w:val="00D45E8D"/>
    <w:rsid w:val="00D466AE"/>
    <w:rsid w:val="00D4734F"/>
    <w:rsid w:val="00D51BF3"/>
    <w:rsid w:val="00D53296"/>
    <w:rsid w:val="00D6098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7EE"/>
    <w:rsid w:val="00DA1E08"/>
    <w:rsid w:val="00DA24F8"/>
    <w:rsid w:val="00DA28E8"/>
    <w:rsid w:val="00DA38D3"/>
    <w:rsid w:val="00DA3932"/>
    <w:rsid w:val="00DA3AFC"/>
    <w:rsid w:val="00DA64F8"/>
    <w:rsid w:val="00DA6C15"/>
    <w:rsid w:val="00DB0258"/>
    <w:rsid w:val="00DB234C"/>
    <w:rsid w:val="00DB38EE"/>
    <w:rsid w:val="00DB498B"/>
    <w:rsid w:val="00DB66CA"/>
    <w:rsid w:val="00DB6BCA"/>
    <w:rsid w:val="00DB73F7"/>
    <w:rsid w:val="00DC0321"/>
    <w:rsid w:val="00DC3067"/>
    <w:rsid w:val="00DC370B"/>
    <w:rsid w:val="00DC37E2"/>
    <w:rsid w:val="00DC5B90"/>
    <w:rsid w:val="00DD00FF"/>
    <w:rsid w:val="00DD0619"/>
    <w:rsid w:val="00DD07FB"/>
    <w:rsid w:val="00DD25C6"/>
    <w:rsid w:val="00DD4FE5"/>
    <w:rsid w:val="00DD54B0"/>
    <w:rsid w:val="00DD57EE"/>
    <w:rsid w:val="00DD6BCC"/>
    <w:rsid w:val="00DD785C"/>
    <w:rsid w:val="00DE0A4B"/>
    <w:rsid w:val="00DE1EB4"/>
    <w:rsid w:val="00DE2410"/>
    <w:rsid w:val="00DE2939"/>
    <w:rsid w:val="00DE2ADF"/>
    <w:rsid w:val="00DE6E81"/>
    <w:rsid w:val="00DE703F"/>
    <w:rsid w:val="00DE7595"/>
    <w:rsid w:val="00DF1961"/>
    <w:rsid w:val="00DF2A38"/>
    <w:rsid w:val="00DF44DE"/>
    <w:rsid w:val="00DF5F11"/>
    <w:rsid w:val="00DF7F98"/>
    <w:rsid w:val="00E00B85"/>
    <w:rsid w:val="00E01138"/>
    <w:rsid w:val="00E02CA7"/>
    <w:rsid w:val="00E02DFB"/>
    <w:rsid w:val="00E030F9"/>
    <w:rsid w:val="00E0311A"/>
    <w:rsid w:val="00E03138"/>
    <w:rsid w:val="00E06404"/>
    <w:rsid w:val="00E077D2"/>
    <w:rsid w:val="00E11A85"/>
    <w:rsid w:val="00E12495"/>
    <w:rsid w:val="00E15CCD"/>
    <w:rsid w:val="00E160A6"/>
    <w:rsid w:val="00E202EF"/>
    <w:rsid w:val="00E210B5"/>
    <w:rsid w:val="00E23D99"/>
    <w:rsid w:val="00E2552F"/>
    <w:rsid w:val="00E30D1C"/>
    <w:rsid w:val="00E3137A"/>
    <w:rsid w:val="00E32CCF"/>
    <w:rsid w:val="00E34A98"/>
    <w:rsid w:val="00E35D1E"/>
    <w:rsid w:val="00E364F9"/>
    <w:rsid w:val="00E365FA"/>
    <w:rsid w:val="00E36789"/>
    <w:rsid w:val="00E44A83"/>
    <w:rsid w:val="00E46C82"/>
    <w:rsid w:val="00E502C1"/>
    <w:rsid w:val="00E502DD"/>
    <w:rsid w:val="00E50D3A"/>
    <w:rsid w:val="00E51387"/>
    <w:rsid w:val="00E51E68"/>
    <w:rsid w:val="00E52E86"/>
    <w:rsid w:val="00E52EFD"/>
    <w:rsid w:val="00E5408A"/>
    <w:rsid w:val="00E56800"/>
    <w:rsid w:val="00E60C63"/>
    <w:rsid w:val="00E62FF9"/>
    <w:rsid w:val="00E635D6"/>
    <w:rsid w:val="00E639BC"/>
    <w:rsid w:val="00E64A5F"/>
    <w:rsid w:val="00E64B69"/>
    <w:rsid w:val="00E664CC"/>
    <w:rsid w:val="00E70388"/>
    <w:rsid w:val="00E70F92"/>
    <w:rsid w:val="00E74C54"/>
    <w:rsid w:val="00E77A03"/>
    <w:rsid w:val="00E822E8"/>
    <w:rsid w:val="00E82554"/>
    <w:rsid w:val="00E82606"/>
    <w:rsid w:val="00E846C8"/>
    <w:rsid w:val="00E84957"/>
    <w:rsid w:val="00E84A55"/>
    <w:rsid w:val="00E85BFF"/>
    <w:rsid w:val="00E90371"/>
    <w:rsid w:val="00E90391"/>
    <w:rsid w:val="00E906C2"/>
    <w:rsid w:val="00E9311F"/>
    <w:rsid w:val="00E934D1"/>
    <w:rsid w:val="00E94AF0"/>
    <w:rsid w:val="00E95D13"/>
    <w:rsid w:val="00E95DD3"/>
    <w:rsid w:val="00E969D5"/>
    <w:rsid w:val="00EA06D4"/>
    <w:rsid w:val="00EA58D1"/>
    <w:rsid w:val="00EA61BC"/>
    <w:rsid w:val="00EA681A"/>
    <w:rsid w:val="00EA735B"/>
    <w:rsid w:val="00EB17DE"/>
    <w:rsid w:val="00EB1E69"/>
    <w:rsid w:val="00EB2086"/>
    <w:rsid w:val="00EB3FC0"/>
    <w:rsid w:val="00EB5EDF"/>
    <w:rsid w:val="00EB60FE"/>
    <w:rsid w:val="00EB74DB"/>
    <w:rsid w:val="00EC44E4"/>
    <w:rsid w:val="00EC5359"/>
    <w:rsid w:val="00EC562A"/>
    <w:rsid w:val="00ED067A"/>
    <w:rsid w:val="00ED2437"/>
    <w:rsid w:val="00ED2B50"/>
    <w:rsid w:val="00ED3899"/>
    <w:rsid w:val="00ED4D01"/>
    <w:rsid w:val="00EE0350"/>
    <w:rsid w:val="00EE0719"/>
    <w:rsid w:val="00EE0E80"/>
    <w:rsid w:val="00EE160B"/>
    <w:rsid w:val="00EE54A6"/>
    <w:rsid w:val="00EE613F"/>
    <w:rsid w:val="00EE7295"/>
    <w:rsid w:val="00EE7869"/>
    <w:rsid w:val="00EF0212"/>
    <w:rsid w:val="00EF054A"/>
    <w:rsid w:val="00EF26FA"/>
    <w:rsid w:val="00EF3235"/>
    <w:rsid w:val="00EF7E72"/>
    <w:rsid w:val="00F031FD"/>
    <w:rsid w:val="00F06D37"/>
    <w:rsid w:val="00F07736"/>
    <w:rsid w:val="00F07B9D"/>
    <w:rsid w:val="00F11586"/>
    <w:rsid w:val="00F1183B"/>
    <w:rsid w:val="00F11C9F"/>
    <w:rsid w:val="00F12263"/>
    <w:rsid w:val="00F1409D"/>
    <w:rsid w:val="00F14214"/>
    <w:rsid w:val="00F157A9"/>
    <w:rsid w:val="00F25BB6"/>
    <w:rsid w:val="00F26B7E"/>
    <w:rsid w:val="00F27A3B"/>
    <w:rsid w:val="00F30234"/>
    <w:rsid w:val="00F33817"/>
    <w:rsid w:val="00F420D5"/>
    <w:rsid w:val="00F451EA"/>
    <w:rsid w:val="00F4533E"/>
    <w:rsid w:val="00F45447"/>
    <w:rsid w:val="00F456C6"/>
    <w:rsid w:val="00F4577B"/>
    <w:rsid w:val="00F4604C"/>
    <w:rsid w:val="00F46496"/>
    <w:rsid w:val="00F474D0"/>
    <w:rsid w:val="00F50179"/>
    <w:rsid w:val="00F501DB"/>
    <w:rsid w:val="00F515EE"/>
    <w:rsid w:val="00F56511"/>
    <w:rsid w:val="00F6194E"/>
    <w:rsid w:val="00F623AC"/>
    <w:rsid w:val="00F6412A"/>
    <w:rsid w:val="00F648B7"/>
    <w:rsid w:val="00F65893"/>
    <w:rsid w:val="00F66791"/>
    <w:rsid w:val="00F66A4A"/>
    <w:rsid w:val="00F7027B"/>
    <w:rsid w:val="00F71DBB"/>
    <w:rsid w:val="00F71E22"/>
    <w:rsid w:val="00F72142"/>
    <w:rsid w:val="00F72AE7"/>
    <w:rsid w:val="00F75847"/>
    <w:rsid w:val="00F81141"/>
    <w:rsid w:val="00F833BA"/>
    <w:rsid w:val="00F84FD0"/>
    <w:rsid w:val="00F859A8"/>
    <w:rsid w:val="00F86D87"/>
    <w:rsid w:val="00F9108B"/>
    <w:rsid w:val="00F91349"/>
    <w:rsid w:val="00F93A8A"/>
    <w:rsid w:val="00F95248"/>
    <w:rsid w:val="00F956A9"/>
    <w:rsid w:val="00F963ED"/>
    <w:rsid w:val="00F9663A"/>
    <w:rsid w:val="00F966CF"/>
    <w:rsid w:val="00F96CAE"/>
    <w:rsid w:val="00F97C99"/>
    <w:rsid w:val="00FA0EE2"/>
    <w:rsid w:val="00FA4DAC"/>
    <w:rsid w:val="00FA662D"/>
    <w:rsid w:val="00FA73B1"/>
    <w:rsid w:val="00FB0CB9"/>
    <w:rsid w:val="00FB231D"/>
    <w:rsid w:val="00FB45F1"/>
    <w:rsid w:val="00FB4A72"/>
    <w:rsid w:val="00FB54E8"/>
    <w:rsid w:val="00FB7054"/>
    <w:rsid w:val="00FC0179"/>
    <w:rsid w:val="00FC17B7"/>
    <w:rsid w:val="00FC2CB7"/>
    <w:rsid w:val="00FC4090"/>
    <w:rsid w:val="00FC55B4"/>
    <w:rsid w:val="00FC7ED1"/>
    <w:rsid w:val="00FD00E6"/>
    <w:rsid w:val="00FD09A1"/>
    <w:rsid w:val="00FD2A7C"/>
    <w:rsid w:val="00FD59EB"/>
    <w:rsid w:val="00FD7299"/>
    <w:rsid w:val="00FD7606"/>
    <w:rsid w:val="00FE1FBE"/>
    <w:rsid w:val="00FE3901"/>
    <w:rsid w:val="00FE39D3"/>
    <w:rsid w:val="00FE4BCE"/>
    <w:rsid w:val="00FE51C7"/>
    <w:rsid w:val="00FE54AE"/>
    <w:rsid w:val="00FE576A"/>
    <w:rsid w:val="00FE7E79"/>
    <w:rsid w:val="00FF1CCB"/>
    <w:rsid w:val="00FF3E7D"/>
    <w:rsid w:val="00FF5B99"/>
    <w:rsid w:val="00FF730C"/>
    <w:rsid w:val="00FF73F4"/>
    <w:rsid w:val="00FF7CE4"/>
    <w:rsid w:val="00FF7E39"/>
    <w:rsid w:val="017815E6"/>
    <w:rsid w:val="01C16D6E"/>
    <w:rsid w:val="026149DE"/>
    <w:rsid w:val="029D1A04"/>
    <w:rsid w:val="02CD2C9B"/>
    <w:rsid w:val="031A67DB"/>
    <w:rsid w:val="03806F86"/>
    <w:rsid w:val="03B11A9D"/>
    <w:rsid w:val="043861F7"/>
    <w:rsid w:val="046F2851"/>
    <w:rsid w:val="04893ACA"/>
    <w:rsid w:val="05AE6109"/>
    <w:rsid w:val="05CD5D86"/>
    <w:rsid w:val="05E360D9"/>
    <w:rsid w:val="06896472"/>
    <w:rsid w:val="06CC603E"/>
    <w:rsid w:val="08295055"/>
    <w:rsid w:val="08D544C6"/>
    <w:rsid w:val="09154A99"/>
    <w:rsid w:val="09296B5B"/>
    <w:rsid w:val="09381902"/>
    <w:rsid w:val="09A13015"/>
    <w:rsid w:val="0AB45767"/>
    <w:rsid w:val="0ABB08A3"/>
    <w:rsid w:val="0ACA1294"/>
    <w:rsid w:val="0BCB2D68"/>
    <w:rsid w:val="0C1923AC"/>
    <w:rsid w:val="0C9C593D"/>
    <w:rsid w:val="0D4B5661"/>
    <w:rsid w:val="0D706F9B"/>
    <w:rsid w:val="0DE325EB"/>
    <w:rsid w:val="0E3869E3"/>
    <w:rsid w:val="0E420C67"/>
    <w:rsid w:val="0FB13B6D"/>
    <w:rsid w:val="0FBC30F4"/>
    <w:rsid w:val="0FE812B5"/>
    <w:rsid w:val="103E1D5B"/>
    <w:rsid w:val="10587DC5"/>
    <w:rsid w:val="106D1062"/>
    <w:rsid w:val="11452DE3"/>
    <w:rsid w:val="1182036D"/>
    <w:rsid w:val="11D861DF"/>
    <w:rsid w:val="11E92612"/>
    <w:rsid w:val="132200C7"/>
    <w:rsid w:val="1351591F"/>
    <w:rsid w:val="135F0966"/>
    <w:rsid w:val="13783950"/>
    <w:rsid w:val="13901C58"/>
    <w:rsid w:val="139A7BF0"/>
    <w:rsid w:val="139C2FCC"/>
    <w:rsid w:val="13D34EB0"/>
    <w:rsid w:val="142604CF"/>
    <w:rsid w:val="14824A63"/>
    <w:rsid w:val="14CC6EAC"/>
    <w:rsid w:val="15C50828"/>
    <w:rsid w:val="16414AC9"/>
    <w:rsid w:val="16515A68"/>
    <w:rsid w:val="16BB694C"/>
    <w:rsid w:val="173E0892"/>
    <w:rsid w:val="176B2C78"/>
    <w:rsid w:val="17B9260F"/>
    <w:rsid w:val="18404032"/>
    <w:rsid w:val="187D188E"/>
    <w:rsid w:val="187D53EA"/>
    <w:rsid w:val="189439DF"/>
    <w:rsid w:val="19793E03"/>
    <w:rsid w:val="19B144CC"/>
    <w:rsid w:val="1A0F29BA"/>
    <w:rsid w:val="1AC23372"/>
    <w:rsid w:val="1C7A5BA8"/>
    <w:rsid w:val="1CA11007"/>
    <w:rsid w:val="1CBC0BD7"/>
    <w:rsid w:val="1D1C3424"/>
    <w:rsid w:val="1D1D0FA8"/>
    <w:rsid w:val="1DCF03F4"/>
    <w:rsid w:val="1EB12549"/>
    <w:rsid w:val="1F7929AE"/>
    <w:rsid w:val="1FE1428B"/>
    <w:rsid w:val="20942964"/>
    <w:rsid w:val="21224D81"/>
    <w:rsid w:val="21F901D7"/>
    <w:rsid w:val="231921B3"/>
    <w:rsid w:val="24187544"/>
    <w:rsid w:val="2472601F"/>
    <w:rsid w:val="25054896"/>
    <w:rsid w:val="253B0B07"/>
    <w:rsid w:val="25830579"/>
    <w:rsid w:val="25965D3D"/>
    <w:rsid w:val="27110526"/>
    <w:rsid w:val="271E5FEA"/>
    <w:rsid w:val="27FF5E1C"/>
    <w:rsid w:val="285F2D5E"/>
    <w:rsid w:val="288253D9"/>
    <w:rsid w:val="28B10DBB"/>
    <w:rsid w:val="28BA561F"/>
    <w:rsid w:val="28C01D28"/>
    <w:rsid w:val="28C049EA"/>
    <w:rsid w:val="29A1636A"/>
    <w:rsid w:val="2AC0755D"/>
    <w:rsid w:val="2B5C1BF3"/>
    <w:rsid w:val="2C5F757A"/>
    <w:rsid w:val="2C697D08"/>
    <w:rsid w:val="2C7C5C8D"/>
    <w:rsid w:val="2CCB6B0E"/>
    <w:rsid w:val="2DF06932"/>
    <w:rsid w:val="2F397E65"/>
    <w:rsid w:val="2FE442C0"/>
    <w:rsid w:val="31097D0B"/>
    <w:rsid w:val="31260EF9"/>
    <w:rsid w:val="313A7EC4"/>
    <w:rsid w:val="3148438F"/>
    <w:rsid w:val="314B68FF"/>
    <w:rsid w:val="330A6264"/>
    <w:rsid w:val="33C70135"/>
    <w:rsid w:val="35B845ED"/>
    <w:rsid w:val="362509BD"/>
    <w:rsid w:val="379D2F5B"/>
    <w:rsid w:val="3800754D"/>
    <w:rsid w:val="393F2458"/>
    <w:rsid w:val="39953A8F"/>
    <w:rsid w:val="3A8A77C7"/>
    <w:rsid w:val="3AAD7959"/>
    <w:rsid w:val="3AD0140D"/>
    <w:rsid w:val="3B88345B"/>
    <w:rsid w:val="3C041233"/>
    <w:rsid w:val="3C240331"/>
    <w:rsid w:val="3C355E58"/>
    <w:rsid w:val="3C587C0F"/>
    <w:rsid w:val="3D000214"/>
    <w:rsid w:val="3D540560"/>
    <w:rsid w:val="3DC448E2"/>
    <w:rsid w:val="3F0B1853"/>
    <w:rsid w:val="3F7D4F2E"/>
    <w:rsid w:val="3F8007EC"/>
    <w:rsid w:val="3F9D1D4A"/>
    <w:rsid w:val="3FDD6F27"/>
    <w:rsid w:val="411B561D"/>
    <w:rsid w:val="412546ED"/>
    <w:rsid w:val="413B7A6D"/>
    <w:rsid w:val="41AB1B94"/>
    <w:rsid w:val="41F67955"/>
    <w:rsid w:val="43475CB4"/>
    <w:rsid w:val="43776D56"/>
    <w:rsid w:val="44175753"/>
    <w:rsid w:val="443469F5"/>
    <w:rsid w:val="449D0A3E"/>
    <w:rsid w:val="451C7473"/>
    <w:rsid w:val="45713DE8"/>
    <w:rsid w:val="45997458"/>
    <w:rsid w:val="46367BC0"/>
    <w:rsid w:val="46826C09"/>
    <w:rsid w:val="46933EA7"/>
    <w:rsid w:val="477F61D9"/>
    <w:rsid w:val="47BA5463"/>
    <w:rsid w:val="47C63E08"/>
    <w:rsid w:val="48154BD2"/>
    <w:rsid w:val="482E0134"/>
    <w:rsid w:val="49125EA8"/>
    <w:rsid w:val="49B06B1E"/>
    <w:rsid w:val="4A05330E"/>
    <w:rsid w:val="4AEB5ED2"/>
    <w:rsid w:val="4B9F73C8"/>
    <w:rsid w:val="4C3420B1"/>
    <w:rsid w:val="4C473F96"/>
    <w:rsid w:val="4C4869B3"/>
    <w:rsid w:val="4C9F07E1"/>
    <w:rsid w:val="4D330192"/>
    <w:rsid w:val="4DDD3C5A"/>
    <w:rsid w:val="4E2F2DF8"/>
    <w:rsid w:val="4EAD13BA"/>
    <w:rsid w:val="4F121247"/>
    <w:rsid w:val="503A5994"/>
    <w:rsid w:val="504243FE"/>
    <w:rsid w:val="505C7F65"/>
    <w:rsid w:val="51321D6B"/>
    <w:rsid w:val="51987CEC"/>
    <w:rsid w:val="52004BA2"/>
    <w:rsid w:val="522E717A"/>
    <w:rsid w:val="523C29F9"/>
    <w:rsid w:val="52C11922"/>
    <w:rsid w:val="532319B6"/>
    <w:rsid w:val="538057B3"/>
    <w:rsid w:val="53FC2179"/>
    <w:rsid w:val="545F32E7"/>
    <w:rsid w:val="54C067AF"/>
    <w:rsid w:val="54D85D17"/>
    <w:rsid w:val="54F46D90"/>
    <w:rsid w:val="56E85B49"/>
    <w:rsid w:val="572F19CA"/>
    <w:rsid w:val="57CC0FC7"/>
    <w:rsid w:val="57CE2F91"/>
    <w:rsid w:val="58F52598"/>
    <w:rsid w:val="594A55D4"/>
    <w:rsid w:val="59C83A10"/>
    <w:rsid w:val="59D92D8A"/>
    <w:rsid w:val="59F111B9"/>
    <w:rsid w:val="59F341F4"/>
    <w:rsid w:val="5A3F3FCC"/>
    <w:rsid w:val="5AB32454"/>
    <w:rsid w:val="5B751975"/>
    <w:rsid w:val="5B863B83"/>
    <w:rsid w:val="5C3B2BBF"/>
    <w:rsid w:val="5CDD1FF5"/>
    <w:rsid w:val="5CFE0F55"/>
    <w:rsid w:val="5D045895"/>
    <w:rsid w:val="5DDD390F"/>
    <w:rsid w:val="5DE11544"/>
    <w:rsid w:val="5E8C14B0"/>
    <w:rsid w:val="5E9405BA"/>
    <w:rsid w:val="5ECE1AC8"/>
    <w:rsid w:val="5ED57A8B"/>
    <w:rsid w:val="603D6F06"/>
    <w:rsid w:val="603E4373"/>
    <w:rsid w:val="6071407C"/>
    <w:rsid w:val="609127A3"/>
    <w:rsid w:val="60B62814"/>
    <w:rsid w:val="611F660B"/>
    <w:rsid w:val="61575977"/>
    <w:rsid w:val="616C4DE5"/>
    <w:rsid w:val="617150E9"/>
    <w:rsid w:val="621B5E82"/>
    <w:rsid w:val="621E68C3"/>
    <w:rsid w:val="625E3163"/>
    <w:rsid w:val="62A20825"/>
    <w:rsid w:val="62E25B42"/>
    <w:rsid w:val="6372336A"/>
    <w:rsid w:val="645F0A48"/>
    <w:rsid w:val="64CC2881"/>
    <w:rsid w:val="652561BA"/>
    <w:rsid w:val="656A3FF0"/>
    <w:rsid w:val="659D5323"/>
    <w:rsid w:val="66373E26"/>
    <w:rsid w:val="66D02156"/>
    <w:rsid w:val="68133177"/>
    <w:rsid w:val="690070AC"/>
    <w:rsid w:val="699816C0"/>
    <w:rsid w:val="69CB37D4"/>
    <w:rsid w:val="6A0A2D85"/>
    <w:rsid w:val="6AB56AA1"/>
    <w:rsid w:val="6ABB40F3"/>
    <w:rsid w:val="6B7113D2"/>
    <w:rsid w:val="6C377D3B"/>
    <w:rsid w:val="6C4A61B1"/>
    <w:rsid w:val="6C705F6D"/>
    <w:rsid w:val="6C92305C"/>
    <w:rsid w:val="6CBB719C"/>
    <w:rsid w:val="6CC62031"/>
    <w:rsid w:val="6D5E2269"/>
    <w:rsid w:val="6E5C309F"/>
    <w:rsid w:val="6E930D4C"/>
    <w:rsid w:val="6EAD34A8"/>
    <w:rsid w:val="6EFC1D3A"/>
    <w:rsid w:val="6F87092C"/>
    <w:rsid w:val="6F993A2D"/>
    <w:rsid w:val="70A67126"/>
    <w:rsid w:val="70F4004C"/>
    <w:rsid w:val="70F51137"/>
    <w:rsid w:val="716E1728"/>
    <w:rsid w:val="718C22A0"/>
    <w:rsid w:val="73F00A06"/>
    <w:rsid w:val="741B7106"/>
    <w:rsid w:val="743B1556"/>
    <w:rsid w:val="7476258E"/>
    <w:rsid w:val="74DE2C8E"/>
    <w:rsid w:val="75243D99"/>
    <w:rsid w:val="75250343"/>
    <w:rsid w:val="753179E2"/>
    <w:rsid w:val="75BA200F"/>
    <w:rsid w:val="76320737"/>
    <w:rsid w:val="769B452E"/>
    <w:rsid w:val="78FD502C"/>
    <w:rsid w:val="797E5812"/>
    <w:rsid w:val="79A14858"/>
    <w:rsid w:val="79A47B9E"/>
    <w:rsid w:val="7AA240DD"/>
    <w:rsid w:val="7B310FBD"/>
    <w:rsid w:val="7B6A44CF"/>
    <w:rsid w:val="7C224DAA"/>
    <w:rsid w:val="7C240B22"/>
    <w:rsid w:val="7C6026CD"/>
    <w:rsid w:val="7E200015"/>
    <w:rsid w:val="7E374B3D"/>
    <w:rsid w:val="7E9462D1"/>
    <w:rsid w:val="7EE10F4C"/>
    <w:rsid w:val="7F871AF4"/>
    <w:rsid w:val="7FA63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0"/>
    <w:qFormat/>
    <w:uiPriority w:val="0"/>
    <w:pPr>
      <w:keepNext/>
      <w:keepLines/>
      <w:spacing w:before="260" w:after="260" w:line="416" w:lineRule="auto"/>
      <w:outlineLvl w:val="2"/>
    </w:pPr>
    <w:rPr>
      <w:b/>
      <w:bCs/>
      <w:sz w:val="32"/>
      <w:szCs w:val="32"/>
    </w:rPr>
  </w:style>
  <w:style w:type="paragraph" w:styleId="5">
    <w:name w:val="heading 4"/>
    <w:basedOn w:val="1"/>
    <w:next w:val="1"/>
    <w:link w:val="6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6"/>
    <w:qFormat/>
    <w:uiPriority w:val="0"/>
    <w:pPr>
      <w:keepNext/>
      <w:keepLines/>
      <w:adjustRightInd/>
      <w:spacing w:before="240" w:after="64" w:line="320" w:lineRule="auto"/>
      <w:outlineLvl w:val="8"/>
    </w:pPr>
    <w:rPr>
      <w:rFonts w:ascii="Arial" w:hAnsi="Arial" w:eastAsia="黑体"/>
    </w:rPr>
  </w:style>
  <w:style w:type="character" w:default="1" w:styleId="47">
    <w:name w:val="Default Paragraph Font"/>
    <w:unhideWhenUsed/>
    <w:uiPriority w:val="1"/>
  </w:style>
  <w:style w:type="table" w:default="1" w:styleId="5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303"/>
    <w:unhideWhenUsed/>
    <w:qFormat/>
    <w:uiPriority w:val="99"/>
    <w:pPr>
      <w:adjustRightInd/>
      <w:spacing w:line="360" w:lineRule="exact"/>
    </w:pPr>
    <w:rPr>
      <w:b/>
      <w:bCs/>
      <w:szCs w:val="24"/>
    </w:rPr>
  </w:style>
  <w:style w:type="paragraph" w:styleId="12">
    <w:name w:val="annotation text"/>
    <w:basedOn w:val="1"/>
    <w:link w:val="301"/>
    <w:unhideWhenUsed/>
    <w:qFormat/>
    <w:uiPriority w:val="99"/>
    <w:pPr>
      <w:jc w:val="left"/>
    </w:pPr>
    <w:rPr>
      <w:rFonts w:cs="Arial"/>
    </w:rPr>
  </w:style>
  <w:style w:type="paragraph" w:styleId="13">
    <w:name w:val="toc 7"/>
    <w:basedOn w:val="1"/>
    <w:next w:val="1"/>
    <w:unhideWhenUsed/>
    <w:qFormat/>
    <w:uiPriority w:val="39"/>
    <w:pPr>
      <w:ind w:left="2520" w:leftChars="1200"/>
    </w:pPr>
  </w:style>
  <w:style w:type="paragraph" w:styleId="14">
    <w:name w:val="index 8"/>
    <w:basedOn w:val="1"/>
    <w:next w:val="1"/>
    <w:qFormat/>
    <w:uiPriority w:val="99"/>
    <w:pPr>
      <w:adjustRightInd/>
      <w:spacing w:line="360" w:lineRule="exact"/>
      <w:ind w:left="1680" w:hanging="210"/>
      <w:jc w:val="left"/>
    </w:pPr>
    <w:rPr>
      <w:sz w:val="20"/>
      <w:szCs w:val="20"/>
    </w:rPr>
  </w:style>
  <w:style w:type="paragraph" w:styleId="15">
    <w:name w:val="Normal Indent"/>
    <w:basedOn w:val="1"/>
    <w:qFormat/>
    <w:uiPriority w:val="0"/>
    <w:pPr>
      <w:ind w:firstLine="420"/>
    </w:pPr>
  </w:style>
  <w:style w:type="paragraph" w:styleId="16">
    <w:name w:val="caption"/>
    <w:basedOn w:val="1"/>
    <w:next w:val="1"/>
    <w:qFormat/>
    <w:uiPriority w:val="99"/>
    <w:pPr>
      <w:adjustRightInd/>
      <w:spacing w:before="152" w:after="160" w:line="360" w:lineRule="exact"/>
    </w:pPr>
    <w:rPr>
      <w:rFonts w:ascii="Arial" w:hAnsi="Arial" w:eastAsia="黑体" w:cs="Arial"/>
      <w:sz w:val="20"/>
      <w:szCs w:val="20"/>
    </w:rPr>
  </w:style>
  <w:style w:type="paragraph" w:styleId="17">
    <w:name w:val="index 5"/>
    <w:basedOn w:val="1"/>
    <w:next w:val="1"/>
    <w:qFormat/>
    <w:uiPriority w:val="99"/>
    <w:pPr>
      <w:adjustRightInd/>
      <w:spacing w:line="360" w:lineRule="exact"/>
      <w:ind w:left="1050" w:hanging="210"/>
      <w:jc w:val="left"/>
    </w:pPr>
    <w:rPr>
      <w:sz w:val="20"/>
      <w:szCs w:val="20"/>
    </w:rPr>
  </w:style>
  <w:style w:type="paragraph" w:styleId="18">
    <w:name w:val="Document Map"/>
    <w:basedOn w:val="1"/>
    <w:link w:val="326"/>
    <w:semiHidden/>
    <w:qFormat/>
    <w:uiPriority w:val="99"/>
    <w:pPr>
      <w:shd w:val="clear" w:color="auto" w:fill="000080"/>
      <w:adjustRightInd/>
      <w:spacing w:line="360" w:lineRule="exact"/>
    </w:pPr>
    <w:rPr>
      <w:rFonts w:cs="Arial"/>
      <w:szCs w:val="24"/>
    </w:rPr>
  </w:style>
  <w:style w:type="paragraph" w:styleId="19">
    <w:name w:val="index 6"/>
    <w:basedOn w:val="1"/>
    <w:next w:val="1"/>
    <w:qFormat/>
    <w:uiPriority w:val="99"/>
    <w:pPr>
      <w:adjustRightInd/>
      <w:spacing w:line="360" w:lineRule="exact"/>
      <w:ind w:left="1260" w:hanging="210"/>
      <w:jc w:val="left"/>
    </w:pPr>
    <w:rPr>
      <w:sz w:val="20"/>
      <w:szCs w:val="20"/>
    </w:rPr>
  </w:style>
  <w:style w:type="paragraph" w:styleId="20">
    <w:name w:val="Body Text"/>
    <w:basedOn w:val="1"/>
    <w:link w:val="110"/>
    <w:qFormat/>
    <w:uiPriority w:val="99"/>
    <w:pPr>
      <w:spacing w:after="120"/>
    </w:pPr>
  </w:style>
  <w:style w:type="paragraph" w:styleId="21">
    <w:name w:val="Body Text Indent"/>
    <w:basedOn w:val="1"/>
    <w:link w:val="300"/>
    <w:unhideWhenUsed/>
    <w:qFormat/>
    <w:uiPriority w:val="99"/>
    <w:pPr>
      <w:adjustRightInd/>
      <w:spacing w:line="320" w:lineRule="atLeast"/>
      <w:ind w:firstLine="210"/>
    </w:pPr>
    <w:rPr>
      <w:rFonts w:cs="Arial"/>
      <w:szCs w:val="20"/>
    </w:rPr>
  </w:style>
  <w:style w:type="paragraph" w:styleId="22">
    <w:name w:val="index 4"/>
    <w:basedOn w:val="1"/>
    <w:next w:val="1"/>
    <w:qFormat/>
    <w:uiPriority w:val="99"/>
    <w:pPr>
      <w:adjustRightInd/>
      <w:spacing w:line="360" w:lineRule="exact"/>
      <w:ind w:left="840" w:hanging="210"/>
      <w:jc w:val="left"/>
    </w:pPr>
    <w:rPr>
      <w:sz w:val="20"/>
      <w:szCs w:val="20"/>
    </w:rPr>
  </w:style>
  <w:style w:type="paragraph" w:styleId="23">
    <w:name w:val="toc 5"/>
    <w:basedOn w:val="1"/>
    <w:next w:val="1"/>
    <w:unhideWhenUsed/>
    <w:qFormat/>
    <w:uiPriority w:val="39"/>
    <w:pPr>
      <w:ind w:left="1680" w:leftChars="800"/>
    </w:pPr>
  </w:style>
  <w:style w:type="paragraph" w:styleId="24">
    <w:name w:val="toc 3"/>
    <w:basedOn w:val="1"/>
    <w:next w:val="1"/>
    <w:unhideWhenUsed/>
    <w:qFormat/>
    <w:uiPriority w:val="39"/>
    <w:pPr>
      <w:ind w:left="840" w:leftChars="400"/>
    </w:pPr>
  </w:style>
  <w:style w:type="paragraph" w:styleId="25">
    <w:name w:val="toc 8"/>
    <w:basedOn w:val="1"/>
    <w:next w:val="1"/>
    <w:unhideWhenUsed/>
    <w:qFormat/>
    <w:uiPriority w:val="0"/>
    <w:pPr>
      <w:ind w:left="2940" w:leftChars="1400"/>
    </w:pPr>
  </w:style>
  <w:style w:type="paragraph" w:styleId="26">
    <w:name w:val="index 3"/>
    <w:basedOn w:val="1"/>
    <w:next w:val="1"/>
    <w:qFormat/>
    <w:uiPriority w:val="99"/>
    <w:pPr>
      <w:adjustRightInd/>
      <w:spacing w:line="360" w:lineRule="exact"/>
      <w:ind w:left="630" w:hanging="210"/>
      <w:jc w:val="left"/>
    </w:pPr>
    <w:rPr>
      <w:sz w:val="20"/>
      <w:szCs w:val="20"/>
    </w:rPr>
  </w:style>
  <w:style w:type="paragraph" w:styleId="27">
    <w:name w:val="Date"/>
    <w:basedOn w:val="1"/>
    <w:next w:val="1"/>
    <w:link w:val="317"/>
    <w:semiHidden/>
    <w:qFormat/>
    <w:uiPriority w:val="0"/>
    <w:pPr>
      <w:adjustRightInd/>
      <w:ind w:left="100" w:leftChars="2500"/>
    </w:pPr>
    <w:rPr>
      <w:rFonts w:cs="Arial"/>
      <w:szCs w:val="20"/>
    </w:rPr>
  </w:style>
  <w:style w:type="paragraph" w:styleId="28">
    <w:name w:val="endnote text"/>
    <w:basedOn w:val="1"/>
    <w:link w:val="299"/>
    <w:semiHidden/>
    <w:qFormat/>
    <w:uiPriority w:val="99"/>
    <w:pPr>
      <w:adjustRightInd/>
      <w:snapToGrid w:val="0"/>
      <w:spacing w:line="360" w:lineRule="exact"/>
      <w:jc w:val="left"/>
    </w:pPr>
    <w:rPr>
      <w:rFonts w:cs="Arial"/>
      <w:szCs w:val="24"/>
    </w:rPr>
  </w:style>
  <w:style w:type="paragraph" w:styleId="29">
    <w:name w:val="Balloon Text"/>
    <w:basedOn w:val="1"/>
    <w:link w:val="69"/>
    <w:unhideWhenUsed/>
    <w:qFormat/>
    <w:uiPriority w:val="99"/>
    <w:rPr>
      <w:sz w:val="18"/>
      <w:szCs w:val="18"/>
    </w:rPr>
  </w:style>
  <w:style w:type="paragraph" w:styleId="30">
    <w:name w:val="footer"/>
    <w:basedOn w:val="1"/>
    <w:link w:val="68"/>
    <w:qFormat/>
    <w:uiPriority w:val="99"/>
    <w:pPr>
      <w:tabs>
        <w:tab w:val="center" w:pos="4153"/>
        <w:tab w:val="right" w:pos="8306"/>
      </w:tabs>
      <w:adjustRightInd/>
      <w:snapToGrid w:val="0"/>
      <w:spacing w:line="240" w:lineRule="auto"/>
      <w:jc w:val="right"/>
    </w:pPr>
    <w:rPr>
      <w:rFonts w:ascii="宋体"/>
      <w:sz w:val="18"/>
      <w:szCs w:val="18"/>
    </w:rPr>
  </w:style>
  <w:style w:type="paragraph" w:styleId="31">
    <w:name w:val="Body Text First Indent 2"/>
    <w:basedOn w:val="21"/>
    <w:link w:val="298"/>
    <w:unhideWhenUsed/>
    <w:qFormat/>
    <w:uiPriority w:val="0"/>
    <w:pPr>
      <w:adjustRightInd w:val="0"/>
      <w:spacing w:after="120" w:line="400" w:lineRule="exact"/>
      <w:ind w:left="420" w:leftChars="200" w:firstLine="420" w:firstLineChars="200"/>
    </w:pPr>
    <w:rPr>
      <w:szCs w:val="24"/>
    </w:rPr>
  </w:style>
  <w:style w:type="paragraph" w:styleId="32">
    <w:name w:val="header"/>
    <w:basedOn w:val="1"/>
    <w:link w:val="67"/>
    <w:qFormat/>
    <w:uiPriority w:val="99"/>
    <w:pPr>
      <w:tabs>
        <w:tab w:val="center" w:pos="4153"/>
        <w:tab w:val="right" w:pos="8306"/>
      </w:tabs>
      <w:adjustRightInd/>
      <w:snapToGrid w:val="0"/>
      <w:jc w:val="center"/>
    </w:pPr>
    <w:rPr>
      <w:sz w:val="18"/>
      <w:szCs w:val="18"/>
    </w:rPr>
  </w:style>
  <w:style w:type="paragraph" w:styleId="33">
    <w:name w:val="toc 1"/>
    <w:basedOn w:val="1"/>
    <w:next w:val="1"/>
    <w:unhideWhenUsed/>
    <w:qFormat/>
    <w:uiPriority w:val="39"/>
  </w:style>
  <w:style w:type="paragraph" w:styleId="34">
    <w:name w:val="toc 4"/>
    <w:basedOn w:val="1"/>
    <w:next w:val="1"/>
    <w:unhideWhenUsed/>
    <w:qFormat/>
    <w:uiPriority w:val="39"/>
    <w:pPr>
      <w:ind w:left="1260" w:leftChars="600"/>
    </w:pPr>
  </w:style>
  <w:style w:type="paragraph" w:styleId="35">
    <w:name w:val="index heading"/>
    <w:basedOn w:val="1"/>
    <w:next w:val="36"/>
    <w:qFormat/>
    <w:uiPriority w:val="99"/>
    <w:pPr>
      <w:adjustRightInd/>
      <w:spacing w:before="120" w:after="120" w:line="360" w:lineRule="exact"/>
      <w:jc w:val="center"/>
    </w:pPr>
    <w:rPr>
      <w:b/>
      <w:bCs/>
      <w:iCs/>
      <w:szCs w:val="20"/>
    </w:rPr>
  </w:style>
  <w:style w:type="paragraph" w:styleId="36">
    <w:name w:val="index 1"/>
    <w:basedOn w:val="1"/>
    <w:next w:val="1"/>
    <w:unhideWhenUsed/>
    <w:qFormat/>
    <w:uiPriority w:val="99"/>
  </w:style>
  <w:style w:type="paragraph" w:styleId="37">
    <w:name w:val="footnote text"/>
    <w:basedOn w:val="1"/>
    <w:next w:val="1"/>
    <w:link w:val="123"/>
    <w:qFormat/>
    <w:uiPriority w:val="99"/>
    <w:pPr>
      <w:adjustRightInd/>
      <w:snapToGrid w:val="0"/>
      <w:spacing w:line="300" w:lineRule="exact"/>
      <w:ind w:left="400" w:leftChars="200" w:hanging="200" w:hangingChars="200"/>
      <w:jc w:val="left"/>
    </w:pPr>
    <w:rPr>
      <w:rFonts w:ascii="宋体"/>
      <w:sz w:val="18"/>
      <w:szCs w:val="18"/>
    </w:rPr>
  </w:style>
  <w:style w:type="paragraph" w:styleId="38">
    <w:name w:val="toc 6"/>
    <w:basedOn w:val="1"/>
    <w:next w:val="1"/>
    <w:unhideWhenUsed/>
    <w:qFormat/>
    <w:uiPriority w:val="39"/>
    <w:pPr>
      <w:ind w:left="2100" w:leftChars="1000"/>
    </w:pPr>
  </w:style>
  <w:style w:type="paragraph" w:styleId="39">
    <w:name w:val="index 7"/>
    <w:basedOn w:val="1"/>
    <w:next w:val="1"/>
    <w:qFormat/>
    <w:uiPriority w:val="99"/>
    <w:pPr>
      <w:adjustRightInd/>
      <w:spacing w:line="360" w:lineRule="exact"/>
      <w:ind w:left="1470" w:hanging="210"/>
      <w:jc w:val="left"/>
    </w:pPr>
    <w:rPr>
      <w:sz w:val="20"/>
      <w:szCs w:val="20"/>
    </w:rPr>
  </w:style>
  <w:style w:type="paragraph" w:styleId="40">
    <w:name w:val="index 9"/>
    <w:basedOn w:val="1"/>
    <w:next w:val="1"/>
    <w:qFormat/>
    <w:uiPriority w:val="99"/>
    <w:pPr>
      <w:adjustRightInd/>
      <w:spacing w:line="360" w:lineRule="exact"/>
      <w:ind w:left="1890" w:hanging="210"/>
      <w:jc w:val="left"/>
    </w:pPr>
    <w:rPr>
      <w:sz w:val="20"/>
      <w:szCs w:val="20"/>
    </w:rPr>
  </w:style>
  <w:style w:type="paragraph" w:styleId="41">
    <w:name w:val="table of figures"/>
    <w:basedOn w:val="1"/>
    <w:next w:val="1"/>
    <w:semiHidden/>
    <w:qFormat/>
    <w:uiPriority w:val="0"/>
    <w:pPr>
      <w:adjustRightInd/>
      <w:spacing w:line="240" w:lineRule="auto"/>
      <w:jc w:val="left"/>
    </w:pPr>
    <w:rPr>
      <w:szCs w:val="24"/>
    </w:rPr>
  </w:style>
  <w:style w:type="paragraph" w:styleId="42">
    <w:name w:val="toc 2"/>
    <w:basedOn w:val="1"/>
    <w:next w:val="1"/>
    <w:unhideWhenUsed/>
    <w:qFormat/>
    <w:uiPriority w:val="39"/>
    <w:pPr>
      <w:ind w:left="420" w:leftChars="200"/>
    </w:pPr>
  </w:style>
  <w:style w:type="paragraph" w:styleId="43">
    <w:name w:val="toc 9"/>
    <w:basedOn w:val="1"/>
    <w:next w:val="1"/>
    <w:unhideWhenUsed/>
    <w:qFormat/>
    <w:uiPriority w:val="0"/>
    <w:pPr>
      <w:ind w:left="3360" w:leftChars="1600"/>
    </w:pPr>
  </w:style>
  <w:style w:type="paragraph" w:styleId="44">
    <w:name w:val="Normal (Web)"/>
    <w:basedOn w:val="1"/>
    <w:unhideWhenUsed/>
    <w:qFormat/>
    <w:uiPriority w:val="99"/>
    <w:rPr>
      <w:sz w:val="24"/>
    </w:rPr>
  </w:style>
  <w:style w:type="paragraph" w:styleId="45">
    <w:name w:val="index 2"/>
    <w:basedOn w:val="1"/>
    <w:next w:val="1"/>
    <w:qFormat/>
    <w:uiPriority w:val="99"/>
    <w:pPr>
      <w:adjustRightInd/>
      <w:spacing w:line="360" w:lineRule="exact"/>
      <w:ind w:left="420" w:hanging="210"/>
      <w:jc w:val="left"/>
    </w:pPr>
    <w:rPr>
      <w:sz w:val="20"/>
      <w:szCs w:val="20"/>
    </w:rPr>
  </w:style>
  <w:style w:type="paragraph" w:styleId="46">
    <w:name w:val="Title"/>
    <w:basedOn w:val="1"/>
    <w:link w:val="72"/>
    <w:qFormat/>
    <w:uiPriority w:val="0"/>
    <w:pPr>
      <w:spacing w:before="240" w:after="60"/>
      <w:jc w:val="center"/>
      <w:outlineLvl w:val="0"/>
    </w:pPr>
    <w:rPr>
      <w:rFonts w:ascii="Arial" w:hAnsi="Arial" w:cs="Arial"/>
      <w:b/>
      <w:bCs/>
      <w:sz w:val="32"/>
      <w:szCs w:val="32"/>
    </w:rPr>
  </w:style>
  <w:style w:type="character" w:styleId="48">
    <w:name w:val="Strong"/>
    <w:qFormat/>
    <w:uiPriority w:val="22"/>
    <w:rPr>
      <w:b/>
      <w:bCs/>
    </w:rPr>
  </w:style>
  <w:style w:type="character" w:styleId="49">
    <w:name w:val="endnote reference"/>
    <w:semiHidden/>
    <w:qFormat/>
    <w:uiPriority w:val="99"/>
    <w:rPr>
      <w:vertAlign w:val="superscript"/>
    </w:rPr>
  </w:style>
  <w:style w:type="character" w:styleId="50">
    <w:name w:val="page number"/>
    <w:qFormat/>
    <w:uiPriority w:val="0"/>
    <w:rPr>
      <w:rFonts w:ascii="宋体" w:hAnsi="Times New Roman" w:eastAsia="宋体"/>
      <w:sz w:val="18"/>
    </w:rPr>
  </w:style>
  <w:style w:type="character" w:styleId="51">
    <w:name w:val="FollowedHyperlink"/>
    <w:unhideWhenUsed/>
    <w:qFormat/>
    <w:uiPriority w:val="99"/>
    <w:rPr>
      <w:color w:val="954F72"/>
      <w:u w:val="single"/>
    </w:rPr>
  </w:style>
  <w:style w:type="character" w:styleId="52">
    <w:name w:val="Emphasis"/>
    <w:qFormat/>
    <w:uiPriority w:val="20"/>
    <w:rPr>
      <w:i/>
      <w:iCs/>
    </w:rPr>
  </w:style>
  <w:style w:type="character" w:styleId="53">
    <w:name w:val="Hyperlink"/>
    <w:qFormat/>
    <w:uiPriority w:val="99"/>
    <w:rPr>
      <w:rFonts w:ascii="宋体" w:hAnsi="Times New Roman" w:eastAsia="宋体"/>
      <w:color w:val="auto"/>
      <w:spacing w:val="0"/>
      <w:w w:val="100"/>
      <w:position w:val="0"/>
      <w:sz w:val="21"/>
      <w:u w:val="none"/>
      <w:vertAlign w:val="baseline"/>
    </w:rPr>
  </w:style>
  <w:style w:type="character" w:styleId="54">
    <w:name w:val="annotation reference"/>
    <w:qFormat/>
    <w:uiPriority w:val="99"/>
    <w:rPr>
      <w:sz w:val="21"/>
      <w:szCs w:val="21"/>
    </w:rPr>
  </w:style>
  <w:style w:type="character" w:styleId="55">
    <w:name w:val="footnote reference"/>
    <w:semiHidden/>
    <w:qFormat/>
    <w:uiPriority w:val="99"/>
    <w:rPr>
      <w:rFonts w:ascii="宋体" w:hAnsi="宋体" w:eastAsia="宋体" w:cs="Times New Roman"/>
      <w:spacing w:val="0"/>
      <w:sz w:val="18"/>
      <w:vertAlign w:val="superscript"/>
    </w:rPr>
  </w:style>
  <w:style w:type="table" w:styleId="57">
    <w:name w:val="Table Grid"/>
    <w:basedOn w:val="5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标题 1 Char1"/>
    <w:link w:val="2"/>
    <w:qFormat/>
    <w:uiPriority w:val="99"/>
    <w:rPr>
      <w:rFonts w:ascii="Times New Roman" w:hAnsi="Times New Roman" w:eastAsia="宋体" w:cs="Times New Roman"/>
      <w:b/>
      <w:bCs/>
      <w:kern w:val="44"/>
      <w:sz w:val="44"/>
      <w:szCs w:val="44"/>
    </w:rPr>
  </w:style>
  <w:style w:type="character" w:customStyle="1" w:styleId="59">
    <w:name w:val="标题 2 Char1"/>
    <w:link w:val="3"/>
    <w:qFormat/>
    <w:uiPriority w:val="0"/>
    <w:rPr>
      <w:rFonts w:ascii="Arial" w:hAnsi="Arial" w:eastAsia="黑体" w:cs="Times New Roman"/>
      <w:b/>
      <w:bCs/>
      <w:sz w:val="32"/>
      <w:szCs w:val="32"/>
    </w:rPr>
  </w:style>
  <w:style w:type="character" w:customStyle="1" w:styleId="60">
    <w:name w:val="标题 3 Char1"/>
    <w:link w:val="4"/>
    <w:qFormat/>
    <w:uiPriority w:val="0"/>
    <w:rPr>
      <w:rFonts w:ascii="Times New Roman" w:hAnsi="Times New Roman" w:eastAsia="宋体" w:cs="Times New Roman"/>
      <w:b/>
      <w:bCs/>
      <w:sz w:val="32"/>
      <w:szCs w:val="32"/>
    </w:rPr>
  </w:style>
  <w:style w:type="character" w:customStyle="1" w:styleId="61">
    <w:name w:val="标题 4 Char"/>
    <w:link w:val="5"/>
    <w:qFormat/>
    <w:uiPriority w:val="0"/>
    <w:rPr>
      <w:rFonts w:ascii="Arial" w:hAnsi="Arial" w:eastAsia="黑体" w:cs="Times New Roman"/>
      <w:b/>
      <w:bCs/>
      <w:sz w:val="28"/>
      <w:szCs w:val="28"/>
    </w:rPr>
  </w:style>
  <w:style w:type="character" w:customStyle="1" w:styleId="62">
    <w:name w:val="标题 5 Char"/>
    <w:link w:val="6"/>
    <w:qFormat/>
    <w:uiPriority w:val="0"/>
    <w:rPr>
      <w:rFonts w:ascii="Times New Roman" w:hAnsi="Times New Roman" w:eastAsia="宋体" w:cs="Times New Roman"/>
      <w:b/>
      <w:bCs/>
      <w:sz w:val="28"/>
      <w:szCs w:val="28"/>
    </w:rPr>
  </w:style>
  <w:style w:type="character" w:customStyle="1" w:styleId="63">
    <w:name w:val="标题 6 Char"/>
    <w:link w:val="7"/>
    <w:qFormat/>
    <w:uiPriority w:val="0"/>
    <w:rPr>
      <w:rFonts w:ascii="Arial" w:hAnsi="Arial" w:eastAsia="黑体" w:cs="Times New Roman"/>
      <w:b/>
      <w:bCs/>
      <w:sz w:val="24"/>
      <w:szCs w:val="24"/>
    </w:rPr>
  </w:style>
  <w:style w:type="character" w:customStyle="1" w:styleId="64">
    <w:name w:val="标题 7 Char"/>
    <w:link w:val="8"/>
    <w:qFormat/>
    <w:uiPriority w:val="0"/>
    <w:rPr>
      <w:rFonts w:ascii="Times New Roman" w:hAnsi="Times New Roman" w:eastAsia="宋体" w:cs="Times New Roman"/>
      <w:b/>
      <w:bCs/>
      <w:sz w:val="24"/>
      <w:szCs w:val="24"/>
    </w:rPr>
  </w:style>
  <w:style w:type="character" w:customStyle="1" w:styleId="65">
    <w:name w:val="标题 8 Char"/>
    <w:link w:val="9"/>
    <w:qFormat/>
    <w:uiPriority w:val="0"/>
    <w:rPr>
      <w:rFonts w:ascii="Arial" w:hAnsi="Arial" w:eastAsia="黑体" w:cs="Times New Roman"/>
      <w:sz w:val="24"/>
      <w:szCs w:val="24"/>
    </w:rPr>
  </w:style>
  <w:style w:type="character" w:customStyle="1" w:styleId="66">
    <w:name w:val="标题 9 Char"/>
    <w:link w:val="10"/>
    <w:qFormat/>
    <w:uiPriority w:val="0"/>
    <w:rPr>
      <w:rFonts w:ascii="Arial" w:hAnsi="Arial" w:eastAsia="黑体" w:cs="Times New Roman"/>
      <w:szCs w:val="21"/>
    </w:rPr>
  </w:style>
  <w:style w:type="character" w:customStyle="1" w:styleId="67">
    <w:name w:val="页眉 Char1"/>
    <w:link w:val="32"/>
    <w:qFormat/>
    <w:uiPriority w:val="99"/>
    <w:rPr>
      <w:rFonts w:ascii="Times New Roman" w:hAnsi="Times New Roman" w:eastAsia="宋体" w:cs="Times New Roman"/>
      <w:sz w:val="18"/>
      <w:szCs w:val="18"/>
    </w:rPr>
  </w:style>
  <w:style w:type="character" w:customStyle="1" w:styleId="68">
    <w:name w:val="页脚 Char1"/>
    <w:link w:val="30"/>
    <w:qFormat/>
    <w:uiPriority w:val="99"/>
    <w:rPr>
      <w:rFonts w:ascii="宋体" w:hAnsi="Times New Roman" w:eastAsia="宋体" w:cs="Times New Roman"/>
      <w:sz w:val="18"/>
      <w:szCs w:val="18"/>
    </w:rPr>
  </w:style>
  <w:style w:type="character" w:customStyle="1" w:styleId="69">
    <w:name w:val="批注框文本 Char1"/>
    <w:link w:val="29"/>
    <w:semiHidden/>
    <w:qFormat/>
    <w:uiPriority w:val="99"/>
    <w:rPr>
      <w:sz w:val="18"/>
      <w:szCs w:val="18"/>
    </w:rPr>
  </w:style>
  <w:style w:type="paragraph" w:customStyle="1" w:styleId="70">
    <w:name w:val="引用1"/>
    <w:basedOn w:val="1"/>
    <w:next w:val="1"/>
    <w:link w:val="71"/>
    <w:qFormat/>
    <w:uiPriority w:val="29"/>
    <w:rPr>
      <w:i/>
      <w:iCs/>
      <w:color w:val="000000"/>
    </w:rPr>
  </w:style>
  <w:style w:type="character" w:customStyle="1" w:styleId="71">
    <w:name w:val="引用 字符"/>
    <w:link w:val="70"/>
    <w:qFormat/>
    <w:uiPriority w:val="29"/>
    <w:rPr>
      <w:i/>
      <w:iCs/>
      <w:color w:val="000000"/>
    </w:rPr>
  </w:style>
  <w:style w:type="character" w:customStyle="1" w:styleId="72">
    <w:name w:val="标题 Char"/>
    <w:link w:val="46"/>
    <w:qFormat/>
    <w:uiPriority w:val="0"/>
    <w:rPr>
      <w:rFonts w:ascii="Arial" w:hAnsi="Arial" w:eastAsia="宋体" w:cs="Arial"/>
      <w:b/>
      <w:bCs/>
      <w:sz w:val="32"/>
      <w:szCs w:val="32"/>
    </w:rPr>
  </w:style>
  <w:style w:type="paragraph" w:customStyle="1" w:styleId="73">
    <w:name w:val="标准标志"/>
    <w:next w:val="1"/>
    <w:qFormat/>
    <w:uiPriority w:val="99"/>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4">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7">
    <w:name w:val="标准书眉一"/>
    <w:qFormat/>
    <w:uiPriority w:val="99"/>
    <w:pPr>
      <w:jc w:val="both"/>
    </w:pPr>
    <w:rPr>
      <w:rFonts w:ascii="Times New Roman" w:hAnsi="Times New Roman" w:eastAsia="宋体" w:cs="Times New Roman"/>
      <w:lang w:val="en-US" w:eastAsia="zh-CN" w:bidi="ar-SA"/>
    </w:rPr>
  </w:style>
  <w:style w:type="paragraph" w:customStyle="1" w:styleId="78">
    <w:name w:val="标准文件_ICS"/>
    <w:basedOn w:val="1"/>
    <w:qFormat/>
    <w:uiPriority w:val="0"/>
    <w:pPr>
      <w:spacing w:line="0" w:lineRule="atLeast"/>
    </w:pPr>
    <w:rPr>
      <w:rFonts w:ascii="黑体" w:hAnsi="宋体" w:eastAsia="黑体"/>
    </w:rPr>
  </w:style>
  <w:style w:type="paragraph" w:customStyle="1" w:styleId="79">
    <w:name w:val="标准文件_标准正文"/>
    <w:basedOn w:val="1"/>
    <w:next w:val="80"/>
    <w:qFormat/>
    <w:uiPriority w:val="0"/>
    <w:pPr>
      <w:snapToGrid w:val="0"/>
      <w:ind w:firstLine="200" w:firstLineChars="200"/>
    </w:pPr>
    <w:rPr>
      <w:kern w:val="0"/>
    </w:rPr>
  </w:style>
  <w:style w:type="paragraph" w:customStyle="1" w:styleId="80">
    <w:name w:val="标准文件_段"/>
    <w:link w:val="20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1">
    <w:name w:val="标准文件_版本"/>
    <w:basedOn w:val="79"/>
    <w:qFormat/>
    <w:uiPriority w:val="0"/>
    <w:pPr>
      <w:adjustRightInd/>
      <w:snapToGrid/>
      <w:ind w:firstLine="0" w:firstLineChars="0"/>
    </w:pPr>
    <w:rPr>
      <w:rFonts w:ascii="宋体" w:hAnsi="宋体"/>
      <w:kern w:val="2"/>
    </w:rPr>
  </w:style>
  <w:style w:type="paragraph" w:customStyle="1" w:styleId="82">
    <w:name w:val="标准文件_标准部门"/>
    <w:basedOn w:val="1"/>
    <w:qFormat/>
    <w:uiPriority w:val="0"/>
    <w:pPr>
      <w:jc w:val="center"/>
    </w:pPr>
    <w:rPr>
      <w:rFonts w:ascii="黑体" w:eastAsia="黑体"/>
      <w:kern w:val="0"/>
      <w:sz w:val="44"/>
    </w:rPr>
  </w:style>
  <w:style w:type="paragraph" w:customStyle="1" w:styleId="83">
    <w:name w:val="标准文件_标准代替"/>
    <w:basedOn w:val="1"/>
    <w:next w:val="1"/>
    <w:qFormat/>
    <w:uiPriority w:val="0"/>
    <w:pPr>
      <w:spacing w:line="310" w:lineRule="exact"/>
      <w:jc w:val="right"/>
    </w:pPr>
    <w:rPr>
      <w:rFonts w:ascii="宋体" w:hAnsi="宋体"/>
      <w:kern w:val="0"/>
    </w:rPr>
  </w:style>
  <w:style w:type="paragraph" w:customStyle="1" w:styleId="8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6">
    <w:name w:val="标准文件_页眉偶数页"/>
    <w:basedOn w:val="85"/>
    <w:next w:val="1"/>
    <w:qFormat/>
    <w:uiPriority w:val="0"/>
    <w:pPr>
      <w:jc w:val="left"/>
    </w:pPr>
  </w:style>
  <w:style w:type="paragraph" w:customStyle="1" w:styleId="8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8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89">
    <w:name w:val="标准文件_二级条标题"/>
    <w:next w:val="8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90">
    <w:name w:val="标准文件_发布"/>
    <w:qFormat/>
    <w:uiPriority w:val="0"/>
    <w:rPr>
      <w:rFonts w:ascii="黑体" w:eastAsia="黑体"/>
      <w:spacing w:val="0"/>
      <w:w w:val="100"/>
      <w:position w:val="3"/>
      <w:sz w:val="28"/>
    </w:rPr>
  </w:style>
  <w:style w:type="paragraph" w:customStyle="1" w:styleId="91">
    <w:name w:val="标准文件_方框数字列项"/>
    <w:basedOn w:val="80"/>
    <w:qFormat/>
    <w:uiPriority w:val="0"/>
    <w:pPr>
      <w:numPr>
        <w:ilvl w:val="0"/>
        <w:numId w:val="3"/>
      </w:numPr>
      <w:ind w:firstLine="0" w:firstLineChars="0"/>
    </w:pPr>
  </w:style>
  <w:style w:type="paragraph" w:customStyle="1" w:styleId="92">
    <w:name w:val="标准文件_封面标准编号"/>
    <w:basedOn w:val="1"/>
    <w:next w:val="83"/>
    <w:qFormat/>
    <w:uiPriority w:val="0"/>
    <w:pPr>
      <w:spacing w:line="310" w:lineRule="exact"/>
      <w:jc w:val="right"/>
    </w:pPr>
    <w:rPr>
      <w:rFonts w:ascii="黑体" w:eastAsia="黑体"/>
      <w:kern w:val="0"/>
      <w:sz w:val="28"/>
    </w:rPr>
  </w:style>
  <w:style w:type="paragraph" w:customStyle="1" w:styleId="93">
    <w:name w:val="标准文件_封面标准分类号"/>
    <w:basedOn w:val="1"/>
    <w:qFormat/>
    <w:uiPriority w:val="0"/>
    <w:rPr>
      <w:rFonts w:ascii="黑体" w:eastAsia="黑体"/>
      <w:b/>
      <w:kern w:val="0"/>
      <w:sz w:val="28"/>
    </w:rPr>
  </w:style>
  <w:style w:type="paragraph" w:customStyle="1" w:styleId="94">
    <w:name w:val="标准文件_封面标准名称"/>
    <w:basedOn w:val="1"/>
    <w:qFormat/>
    <w:uiPriority w:val="0"/>
    <w:pPr>
      <w:spacing w:line="240" w:lineRule="auto"/>
      <w:jc w:val="center"/>
    </w:pPr>
    <w:rPr>
      <w:rFonts w:ascii="黑体" w:eastAsia="黑体"/>
      <w:kern w:val="0"/>
      <w:sz w:val="52"/>
    </w:rPr>
  </w:style>
  <w:style w:type="paragraph" w:customStyle="1" w:styleId="95">
    <w:name w:val="标准文件_封面标准英文名称"/>
    <w:basedOn w:val="1"/>
    <w:qFormat/>
    <w:uiPriority w:val="0"/>
    <w:pPr>
      <w:spacing w:line="240" w:lineRule="auto"/>
      <w:jc w:val="center"/>
    </w:pPr>
    <w:rPr>
      <w:rFonts w:ascii="黑体" w:eastAsia="黑体"/>
      <w:b/>
      <w:sz w:val="28"/>
    </w:rPr>
  </w:style>
  <w:style w:type="paragraph" w:customStyle="1" w:styleId="96">
    <w:name w:val="标准文件_封面发布日期"/>
    <w:basedOn w:val="1"/>
    <w:qFormat/>
    <w:uiPriority w:val="0"/>
    <w:pPr>
      <w:spacing w:line="310" w:lineRule="exact"/>
    </w:pPr>
    <w:rPr>
      <w:rFonts w:ascii="黑体" w:eastAsia="黑体"/>
      <w:kern w:val="0"/>
      <w:sz w:val="28"/>
    </w:rPr>
  </w:style>
  <w:style w:type="paragraph" w:customStyle="1" w:styleId="97">
    <w:name w:val="标准文件_封面密级"/>
    <w:basedOn w:val="1"/>
    <w:qFormat/>
    <w:uiPriority w:val="0"/>
    <w:rPr>
      <w:rFonts w:eastAsia="黑体"/>
      <w:sz w:val="32"/>
    </w:rPr>
  </w:style>
  <w:style w:type="paragraph" w:customStyle="1" w:styleId="98">
    <w:name w:val="标准文件_封面实施日期"/>
    <w:basedOn w:val="1"/>
    <w:qFormat/>
    <w:uiPriority w:val="0"/>
    <w:pPr>
      <w:spacing w:line="310" w:lineRule="exact"/>
      <w:jc w:val="right"/>
    </w:pPr>
    <w:rPr>
      <w:rFonts w:ascii="黑体" w:eastAsia="黑体"/>
      <w:sz w:val="28"/>
    </w:rPr>
  </w:style>
  <w:style w:type="paragraph" w:customStyle="1" w:styleId="99">
    <w:name w:val="标准文件_封面抬头"/>
    <w:basedOn w:val="80"/>
    <w:qFormat/>
    <w:uiPriority w:val="0"/>
    <w:pPr>
      <w:adjustRightInd w:val="0"/>
      <w:spacing w:line="800" w:lineRule="exact"/>
      <w:ind w:firstLine="0" w:firstLineChars="0"/>
      <w:jc w:val="distribute"/>
    </w:pPr>
    <w:rPr>
      <w:rFonts w:ascii="黑体" w:eastAsia="黑体"/>
      <w:b/>
      <w:sz w:val="64"/>
    </w:rPr>
  </w:style>
  <w:style w:type="paragraph" w:customStyle="1" w:styleId="100">
    <w:name w:val="标准文件_附录标识"/>
    <w:next w:val="80"/>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01">
    <w:name w:val="标准文件_附录表标题"/>
    <w:next w:val="80"/>
    <w:qFormat/>
    <w:uiPriority w:val="0"/>
    <w:pPr>
      <w:numPr>
        <w:ilvl w:val="1"/>
        <w:numId w:val="4"/>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02">
    <w:name w:val="标准文件_附录一级条标题"/>
    <w:next w:val="80"/>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03">
    <w:name w:val="标准文件_附录二级条标题"/>
    <w:basedOn w:val="102"/>
    <w:next w:val="80"/>
    <w:qFormat/>
    <w:uiPriority w:val="0"/>
    <w:pPr>
      <w:widowControl/>
      <w:wordWrap w:val="0"/>
      <w:overflowPunct w:val="0"/>
      <w:autoSpaceDE w:val="0"/>
      <w:autoSpaceDN w:val="0"/>
      <w:textAlignment w:val="baseline"/>
      <w:outlineLvl w:val="3"/>
    </w:pPr>
  </w:style>
  <w:style w:type="paragraph" w:customStyle="1" w:styleId="104">
    <w:name w:val="标准文件_附录公式"/>
    <w:basedOn w:val="79"/>
    <w:next w:val="7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5">
    <w:name w:val="标准文件_附录三级条标题"/>
    <w:next w:val="80"/>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6">
    <w:name w:val="标准文件_附录四级条标题"/>
    <w:next w:val="80"/>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07">
    <w:name w:val="标准文件_附录图标题"/>
    <w:next w:val="80"/>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08">
    <w:name w:val="标准文件_附录五级条标题"/>
    <w:next w:val="80"/>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09">
    <w:name w:val="标准文件_附录英文标识"/>
    <w:next w:val="20"/>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10">
    <w:name w:val="正文文本 Char1"/>
    <w:link w:val="20"/>
    <w:qFormat/>
    <w:uiPriority w:val="0"/>
    <w:rPr>
      <w:rFonts w:ascii="Times New Roman" w:hAnsi="Times New Roman" w:eastAsia="宋体" w:cs="Times New Roman"/>
      <w:szCs w:val="20"/>
    </w:rPr>
  </w:style>
  <w:style w:type="paragraph" w:customStyle="1" w:styleId="111">
    <w:name w:val="标准文件_附录章标题"/>
    <w:next w:val="8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标准文件_公式后的破折号"/>
    <w:basedOn w:val="80"/>
    <w:next w:val="80"/>
    <w:qFormat/>
    <w:uiPriority w:val="0"/>
    <w:pPr>
      <w:ind w:left="488" w:leftChars="200" w:hanging="289" w:hangingChars="290"/>
    </w:pPr>
  </w:style>
  <w:style w:type="paragraph" w:customStyle="1" w:styleId="113">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14">
    <w:name w:val="标准文件_目次、标准名称标题"/>
    <w:basedOn w:val="113"/>
    <w:next w:val="80"/>
    <w:qFormat/>
    <w:uiPriority w:val="0"/>
    <w:pPr>
      <w:spacing w:line="460" w:lineRule="exact"/>
    </w:pPr>
  </w:style>
  <w:style w:type="paragraph" w:customStyle="1" w:styleId="115">
    <w:name w:val="标准文件_目录标题"/>
    <w:basedOn w:val="1"/>
    <w:qFormat/>
    <w:uiPriority w:val="0"/>
    <w:pPr>
      <w:spacing w:after="150" w:afterLines="150" w:line="240" w:lineRule="auto"/>
      <w:jc w:val="center"/>
    </w:pPr>
    <w:rPr>
      <w:rFonts w:ascii="黑体" w:eastAsia="黑体"/>
      <w:sz w:val="32"/>
    </w:rPr>
  </w:style>
  <w:style w:type="paragraph" w:customStyle="1" w:styleId="11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17">
    <w:name w:val="标准文件_破折号列项（二级）"/>
    <w:basedOn w:val="116"/>
    <w:qFormat/>
    <w:uiPriority w:val="0"/>
    <w:pPr>
      <w:numPr>
        <w:numId w:val="10"/>
      </w:numPr>
      <w:ind w:left="0" w:firstLine="200"/>
    </w:pPr>
  </w:style>
  <w:style w:type="paragraph" w:customStyle="1" w:styleId="118">
    <w:name w:val="标准文件_三级条标题"/>
    <w:basedOn w:val="89"/>
    <w:next w:val="80"/>
    <w:qFormat/>
    <w:uiPriority w:val="0"/>
    <w:pPr>
      <w:widowControl/>
      <w:numPr>
        <w:ilvl w:val="4"/>
      </w:numPr>
      <w:outlineLvl w:val="3"/>
    </w:pPr>
  </w:style>
  <w:style w:type="character" w:customStyle="1" w:styleId="119">
    <w:name w:val="不明显参考1"/>
    <w:qFormat/>
    <w:uiPriority w:val="31"/>
    <w:rPr>
      <w:smallCaps/>
      <w:color w:val="C0504D"/>
      <w:u w:val="single"/>
    </w:rPr>
  </w:style>
  <w:style w:type="paragraph" w:customStyle="1" w:styleId="120">
    <w:name w:val="标准文件_示例后续"/>
    <w:basedOn w:val="1"/>
    <w:qFormat/>
    <w:uiPriority w:val="0"/>
    <w:pPr>
      <w:adjustRightInd/>
      <w:spacing w:line="240" w:lineRule="auto"/>
      <w:ind w:firstLine="200" w:firstLineChars="200"/>
    </w:pPr>
    <w:rPr>
      <w:sz w:val="18"/>
      <w:szCs w:val="24"/>
    </w:rPr>
  </w:style>
  <w:style w:type="paragraph" w:customStyle="1" w:styleId="12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22">
    <w:name w:val="标准文件_四级条标题"/>
    <w:next w:val="8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23">
    <w:name w:val="脚注文本 Char1"/>
    <w:link w:val="37"/>
    <w:semiHidden/>
    <w:qFormat/>
    <w:uiPriority w:val="0"/>
    <w:rPr>
      <w:rFonts w:ascii="宋体" w:hAnsi="Times New Roman" w:eastAsia="宋体" w:cs="Times New Roman"/>
      <w:sz w:val="18"/>
      <w:szCs w:val="18"/>
    </w:rPr>
  </w:style>
  <w:style w:type="paragraph" w:customStyle="1" w:styleId="124">
    <w:name w:val="标准文件_条文脚注"/>
    <w:basedOn w:val="37"/>
    <w:qFormat/>
    <w:uiPriority w:val="0"/>
    <w:pPr>
      <w:adjustRightInd w:val="0"/>
      <w:spacing w:line="240" w:lineRule="auto"/>
      <w:ind w:left="0" w:leftChars="0" w:firstLine="200" w:firstLineChars="200"/>
      <w:jc w:val="both"/>
    </w:pPr>
    <w:rPr>
      <w:rFonts w:hAnsi="宋体"/>
    </w:rPr>
  </w:style>
  <w:style w:type="paragraph" w:customStyle="1" w:styleId="125">
    <w:name w:val="标准文件_图表脚注"/>
    <w:basedOn w:val="1"/>
    <w:next w:val="80"/>
    <w:qFormat/>
    <w:uiPriority w:val="0"/>
    <w:pPr>
      <w:numPr>
        <w:ilvl w:val="0"/>
        <w:numId w:val="12"/>
      </w:numPr>
      <w:spacing w:line="240" w:lineRule="auto"/>
      <w:jc w:val="left"/>
    </w:pPr>
    <w:rPr>
      <w:rFonts w:ascii="宋体" w:hAnsi="宋体"/>
      <w:sz w:val="18"/>
    </w:rPr>
  </w:style>
  <w:style w:type="character" w:customStyle="1" w:styleId="126">
    <w:name w:val="标准文件_图表脚注内容"/>
    <w:qFormat/>
    <w:uiPriority w:val="0"/>
    <w:rPr>
      <w:rFonts w:ascii="宋体" w:hAnsi="宋体" w:eastAsia="宋体" w:cs="Times New Roman"/>
      <w:spacing w:val="0"/>
      <w:sz w:val="18"/>
      <w:vertAlign w:val="superscript"/>
    </w:rPr>
  </w:style>
  <w:style w:type="paragraph" w:customStyle="1" w:styleId="127">
    <w:name w:val="标准文件_五级条标题"/>
    <w:next w:val="80"/>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8">
    <w:name w:val="标准文件_章标题"/>
    <w:next w:val="80"/>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9">
    <w:name w:val="标准文件_一级条标题"/>
    <w:basedOn w:val="128"/>
    <w:next w:val="80"/>
    <w:qFormat/>
    <w:uiPriority w:val="0"/>
    <w:pPr>
      <w:spacing w:before="50" w:beforeLines="50" w:after="50" w:afterLines="50"/>
      <w:outlineLvl w:val="1"/>
    </w:pPr>
  </w:style>
  <w:style w:type="paragraph" w:customStyle="1" w:styleId="130">
    <w:name w:val="标准文件_一致程度"/>
    <w:basedOn w:val="1"/>
    <w:qFormat/>
    <w:uiPriority w:val="0"/>
    <w:pPr>
      <w:spacing w:line="440" w:lineRule="exact"/>
      <w:jc w:val="center"/>
    </w:pPr>
    <w:rPr>
      <w:sz w:val="28"/>
    </w:rPr>
  </w:style>
  <w:style w:type="paragraph" w:customStyle="1" w:styleId="13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2">
    <w:name w:val="标准文件_英文图表脚注"/>
    <w:basedOn w:val="79"/>
    <w:qFormat/>
    <w:uiPriority w:val="0"/>
    <w:pPr>
      <w:widowControl/>
      <w:adjustRightInd/>
      <w:snapToGrid/>
      <w:spacing w:line="240" w:lineRule="auto"/>
      <w:ind w:left="79" w:hanging="79" w:hangingChars="80"/>
    </w:pPr>
    <w:rPr>
      <w:rFonts w:ascii="宋体" w:hAnsi="宋体"/>
    </w:rPr>
  </w:style>
  <w:style w:type="paragraph" w:customStyle="1" w:styleId="13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34">
    <w:name w:val="标准文件_英文注："/>
    <w:basedOn w:val="1"/>
    <w:next w:val="8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6">
    <w:name w:val="标准文件_正文表标题"/>
    <w:next w:val="8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7">
    <w:name w:val="标准文件_正文公式"/>
    <w:basedOn w:val="1"/>
    <w:next w:val="79"/>
    <w:qFormat/>
    <w:uiPriority w:val="0"/>
    <w:pPr>
      <w:tabs>
        <w:tab w:val="center" w:pos="4678"/>
        <w:tab w:val="right" w:leader="middleDot" w:pos="9356"/>
      </w:tabs>
      <w:spacing w:line="240" w:lineRule="auto"/>
    </w:pPr>
    <w:rPr>
      <w:rFonts w:ascii="宋体" w:hAnsi="宋体"/>
    </w:rPr>
  </w:style>
  <w:style w:type="paragraph" w:customStyle="1" w:styleId="138">
    <w:name w:val="标准文件_正文图标题"/>
    <w:next w:val="8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39">
    <w:name w:val="标准文件_正文英文表标题"/>
    <w:next w:val="8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40">
    <w:name w:val="标准文件_正文英文图标题"/>
    <w:next w:val="8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4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4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43">
    <w:name w:val="发布部门"/>
    <w:next w:val="80"/>
    <w:qFormat/>
    <w:uiPriority w:val="99"/>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44">
    <w:name w:val="发布日期"/>
    <w:qFormat/>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45">
    <w:name w:val="封面标准代替信息"/>
    <w:basedOn w:val="1"/>
    <w:qFormat/>
    <w:uiPriority w:val="99"/>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6">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7">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48">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49">
    <w:name w:val="封面标准英文名称"/>
    <w:qFormat/>
    <w:uiPriority w:val="99"/>
    <w:pPr>
      <w:widowControl w:val="0"/>
      <w:spacing w:line="360" w:lineRule="exact"/>
      <w:jc w:val="center"/>
    </w:pPr>
    <w:rPr>
      <w:rFonts w:ascii="Times New Roman" w:hAnsi="Times New Roman" w:eastAsia="宋体" w:cs="Times New Roman"/>
      <w:sz w:val="28"/>
      <w:lang w:val="en-US" w:eastAsia="zh-CN" w:bidi="ar-SA"/>
    </w:rPr>
  </w:style>
  <w:style w:type="paragraph" w:customStyle="1" w:styleId="150">
    <w:name w:val="封面一致性程度标识"/>
    <w:qFormat/>
    <w:uiPriority w:val="99"/>
    <w:pPr>
      <w:spacing w:before="440" w:line="440" w:lineRule="exact"/>
      <w:jc w:val="center"/>
    </w:pPr>
    <w:rPr>
      <w:rFonts w:ascii="Times New Roman" w:hAnsi="Times New Roman" w:eastAsia="宋体" w:cs="Times New Roman"/>
      <w:sz w:val="28"/>
      <w:lang w:val="en-US" w:eastAsia="zh-CN" w:bidi="ar-SA"/>
    </w:rPr>
  </w:style>
  <w:style w:type="paragraph" w:customStyle="1" w:styleId="151">
    <w:name w:val="封面正文"/>
    <w:qFormat/>
    <w:uiPriority w:val="99"/>
    <w:pPr>
      <w:jc w:val="both"/>
    </w:pPr>
    <w:rPr>
      <w:rFonts w:ascii="Times New Roman" w:hAnsi="Times New Roman" w:eastAsia="宋体" w:cs="Times New Roman"/>
      <w:lang w:val="en-US" w:eastAsia="zh-CN" w:bidi="ar-SA"/>
    </w:rPr>
  </w:style>
  <w:style w:type="paragraph" w:customStyle="1" w:styleId="152">
    <w:name w:val="附录二级无标题条"/>
    <w:basedOn w:val="1"/>
    <w:next w:val="8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53">
    <w:name w:val="附录三级无标题条"/>
    <w:basedOn w:val="152"/>
    <w:next w:val="80"/>
    <w:qFormat/>
    <w:uiPriority w:val="0"/>
    <w:pPr>
      <w:outlineLvl w:val="4"/>
    </w:pPr>
  </w:style>
  <w:style w:type="paragraph" w:customStyle="1" w:styleId="154">
    <w:name w:val="附录四级无标题条"/>
    <w:basedOn w:val="153"/>
    <w:next w:val="80"/>
    <w:qFormat/>
    <w:uiPriority w:val="0"/>
    <w:pPr>
      <w:outlineLvl w:val="5"/>
    </w:pPr>
  </w:style>
  <w:style w:type="paragraph" w:customStyle="1" w:styleId="155">
    <w:name w:val="附录图"/>
    <w:next w:val="8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5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57">
    <w:name w:val="附录五级无标题条"/>
    <w:basedOn w:val="154"/>
    <w:next w:val="80"/>
    <w:qFormat/>
    <w:uiPriority w:val="0"/>
    <w:pPr>
      <w:outlineLvl w:val="6"/>
    </w:pPr>
  </w:style>
  <w:style w:type="paragraph" w:customStyle="1" w:styleId="158">
    <w:name w:val="附录性质"/>
    <w:basedOn w:val="1"/>
    <w:qFormat/>
    <w:uiPriority w:val="0"/>
    <w:pPr>
      <w:widowControl/>
      <w:adjustRightInd/>
      <w:jc w:val="center"/>
    </w:pPr>
    <w:rPr>
      <w:rFonts w:ascii="黑体" w:eastAsia="黑体"/>
    </w:rPr>
  </w:style>
  <w:style w:type="paragraph" w:customStyle="1" w:styleId="159">
    <w:name w:val="附录一级无标题条"/>
    <w:basedOn w:val="111"/>
    <w:next w:val="80"/>
    <w:qFormat/>
    <w:uiPriority w:val="0"/>
    <w:pPr>
      <w:autoSpaceDN w:val="0"/>
      <w:outlineLvl w:val="2"/>
    </w:pPr>
    <w:rPr>
      <w:rFonts w:ascii="宋体" w:hAnsi="宋体" w:eastAsia="宋体"/>
    </w:rPr>
  </w:style>
  <w:style w:type="character" w:customStyle="1" w:styleId="160">
    <w:name w:val="个人答复风格"/>
    <w:qFormat/>
    <w:uiPriority w:val="0"/>
    <w:rPr>
      <w:rFonts w:ascii="Arial" w:hAnsi="Arial" w:eastAsia="宋体" w:cs="Arial"/>
      <w:color w:val="auto"/>
      <w:spacing w:val="0"/>
      <w:sz w:val="20"/>
    </w:rPr>
  </w:style>
  <w:style w:type="character" w:customStyle="1" w:styleId="161">
    <w:name w:val="个人撰写风格"/>
    <w:qFormat/>
    <w:uiPriority w:val="0"/>
    <w:rPr>
      <w:rFonts w:ascii="Arial" w:hAnsi="Arial" w:eastAsia="宋体" w:cs="Arial"/>
      <w:color w:val="auto"/>
      <w:spacing w:val="0"/>
      <w:sz w:val="20"/>
    </w:rPr>
  </w:style>
  <w:style w:type="paragraph" w:customStyle="1" w:styleId="16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6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64">
    <w:name w:val="列项·"/>
    <w:basedOn w:val="80"/>
    <w:qFormat/>
    <w:uiPriority w:val="0"/>
    <w:pPr>
      <w:tabs>
        <w:tab w:val="left" w:pos="840"/>
      </w:tabs>
    </w:pPr>
  </w:style>
  <w:style w:type="paragraph" w:customStyle="1" w:styleId="165">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66">
    <w:name w:val="目录 21"/>
    <w:basedOn w:val="1"/>
    <w:next w:val="1"/>
    <w:semiHidden/>
    <w:qFormat/>
    <w:uiPriority w:val="0"/>
    <w:pPr>
      <w:adjustRightInd/>
      <w:spacing w:line="240" w:lineRule="auto"/>
      <w:jc w:val="left"/>
    </w:pPr>
    <w:rPr>
      <w:bCs/>
      <w:iCs/>
    </w:rPr>
  </w:style>
  <w:style w:type="paragraph" w:customStyle="1" w:styleId="167">
    <w:name w:val="目录 31"/>
    <w:basedOn w:val="1"/>
    <w:next w:val="1"/>
    <w:semiHidden/>
    <w:qFormat/>
    <w:uiPriority w:val="0"/>
    <w:pPr>
      <w:spacing w:line="240" w:lineRule="auto"/>
    </w:pPr>
    <w:rPr>
      <w:rFonts w:ascii="宋体" w:hAnsi="宋体"/>
      <w:iCs/>
    </w:rPr>
  </w:style>
  <w:style w:type="paragraph" w:customStyle="1" w:styleId="168">
    <w:name w:val="目录 41"/>
    <w:basedOn w:val="1"/>
    <w:next w:val="1"/>
    <w:semiHidden/>
    <w:qFormat/>
    <w:uiPriority w:val="0"/>
    <w:pPr>
      <w:adjustRightInd/>
      <w:spacing w:line="240" w:lineRule="auto"/>
      <w:jc w:val="left"/>
    </w:pPr>
  </w:style>
  <w:style w:type="paragraph" w:customStyle="1" w:styleId="169">
    <w:name w:val="目录 51"/>
    <w:basedOn w:val="1"/>
    <w:next w:val="1"/>
    <w:semiHidden/>
    <w:qFormat/>
    <w:uiPriority w:val="0"/>
    <w:pPr>
      <w:spacing w:line="240" w:lineRule="auto"/>
    </w:pPr>
    <w:rPr>
      <w:rFonts w:ascii="宋体" w:hAnsi="宋体"/>
    </w:rPr>
  </w:style>
  <w:style w:type="paragraph" w:customStyle="1" w:styleId="170">
    <w:name w:val="目录 61"/>
    <w:basedOn w:val="1"/>
    <w:next w:val="1"/>
    <w:semiHidden/>
    <w:qFormat/>
    <w:uiPriority w:val="0"/>
    <w:pPr>
      <w:adjustRightInd/>
      <w:spacing w:line="240" w:lineRule="auto"/>
      <w:jc w:val="left"/>
    </w:pPr>
  </w:style>
  <w:style w:type="paragraph" w:customStyle="1" w:styleId="171">
    <w:name w:val="目录 71"/>
    <w:basedOn w:val="170"/>
    <w:semiHidden/>
    <w:qFormat/>
    <w:uiPriority w:val="0"/>
    <w:pPr>
      <w:ind w:left="1260"/>
    </w:pPr>
  </w:style>
  <w:style w:type="paragraph" w:customStyle="1" w:styleId="172">
    <w:name w:val="目录 81"/>
    <w:basedOn w:val="171"/>
    <w:semiHidden/>
    <w:qFormat/>
    <w:uiPriority w:val="0"/>
    <w:pPr>
      <w:ind w:left="1470"/>
    </w:pPr>
  </w:style>
  <w:style w:type="paragraph" w:customStyle="1" w:styleId="173">
    <w:name w:val="目录 91"/>
    <w:basedOn w:val="172"/>
    <w:semiHidden/>
    <w:qFormat/>
    <w:uiPriority w:val="0"/>
    <w:pPr>
      <w:ind w:left="1680"/>
    </w:pPr>
  </w:style>
  <w:style w:type="paragraph" w:customStyle="1" w:styleId="174">
    <w:name w:val="其他标准称谓"/>
    <w:qFormat/>
    <w:uiPriority w:val="99"/>
    <w:pPr>
      <w:spacing w:line="0" w:lineRule="atLeast"/>
      <w:jc w:val="distribute"/>
    </w:pPr>
    <w:rPr>
      <w:rFonts w:ascii="黑体" w:hAnsi="宋体" w:eastAsia="黑体" w:cs="Times New Roman"/>
      <w:sz w:val="52"/>
      <w:lang w:val="en-US" w:eastAsia="zh-CN" w:bidi="ar-SA"/>
    </w:rPr>
  </w:style>
  <w:style w:type="paragraph" w:customStyle="1" w:styleId="175">
    <w:name w:val="其他发布部门"/>
    <w:basedOn w:val="143"/>
    <w:qFormat/>
    <w:uiPriority w:val="99"/>
    <w:pPr>
      <w:framePr/>
      <w:spacing w:line="0" w:lineRule="atLeast"/>
    </w:pPr>
    <w:rPr>
      <w:rFonts w:ascii="黑体" w:eastAsia="黑体"/>
      <w:b w:val="0"/>
    </w:rPr>
  </w:style>
  <w:style w:type="paragraph" w:customStyle="1" w:styleId="17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78">
    <w:name w:val="实施日期"/>
    <w:basedOn w:val="144"/>
    <w:qFormat/>
    <w:uiPriority w:val="99"/>
    <w:pPr>
      <w:framePr w:hSpace="0" w:xAlign="right"/>
      <w:jc w:val="right"/>
    </w:pPr>
  </w:style>
  <w:style w:type="paragraph" w:customStyle="1" w:styleId="17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80">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1">
    <w:name w:val="无标题条"/>
    <w:next w:val="80"/>
    <w:qFormat/>
    <w:uiPriority w:val="0"/>
    <w:pPr>
      <w:jc w:val="both"/>
    </w:pPr>
    <w:rPr>
      <w:rFonts w:ascii="宋体" w:hAnsi="宋体" w:eastAsia="宋体" w:cs="Times New Roman"/>
      <w:sz w:val="21"/>
      <w:lang w:val="en-US" w:eastAsia="zh-CN" w:bidi="ar-SA"/>
    </w:rPr>
  </w:style>
  <w:style w:type="paragraph" w:customStyle="1" w:styleId="182">
    <w:name w:val="五级无标题条"/>
    <w:basedOn w:val="1"/>
    <w:qFormat/>
    <w:uiPriority w:val="0"/>
    <w:pPr>
      <w:adjustRightInd/>
    </w:pPr>
    <w:rPr>
      <w:szCs w:val="24"/>
    </w:rPr>
  </w:style>
  <w:style w:type="paragraph" w:customStyle="1" w:styleId="18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8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5">
    <w:name w:val="注×:后续"/>
    <w:basedOn w:val="184"/>
    <w:qFormat/>
    <w:uiPriority w:val="0"/>
    <w:pPr>
      <w:ind w:left="1406" w:leftChars="0" w:hanging="499" w:firstLineChars="0"/>
    </w:pPr>
  </w:style>
  <w:style w:type="paragraph" w:customStyle="1" w:styleId="186">
    <w:name w:val="标准文件_一级无标题"/>
    <w:basedOn w:val="129"/>
    <w:qFormat/>
    <w:uiPriority w:val="0"/>
    <w:pPr>
      <w:spacing w:before="0" w:beforeLines="0" w:after="0" w:afterLines="0"/>
      <w:outlineLvl w:val="9"/>
    </w:pPr>
    <w:rPr>
      <w:rFonts w:ascii="宋体" w:eastAsia="宋体"/>
    </w:rPr>
  </w:style>
  <w:style w:type="paragraph" w:customStyle="1" w:styleId="187">
    <w:name w:val="标准文件_五级无标题"/>
    <w:basedOn w:val="127"/>
    <w:qFormat/>
    <w:uiPriority w:val="0"/>
    <w:pPr>
      <w:spacing w:before="0" w:beforeLines="0" w:after="0" w:afterLines="0"/>
      <w:outlineLvl w:val="9"/>
    </w:pPr>
    <w:rPr>
      <w:rFonts w:ascii="宋体" w:eastAsia="宋体"/>
    </w:rPr>
  </w:style>
  <w:style w:type="paragraph" w:customStyle="1" w:styleId="188">
    <w:name w:val="标准文件_三级无标题"/>
    <w:basedOn w:val="118"/>
    <w:qFormat/>
    <w:uiPriority w:val="0"/>
    <w:pPr>
      <w:spacing w:before="0" w:beforeLines="0" w:after="0" w:afterLines="0"/>
      <w:outlineLvl w:val="9"/>
    </w:pPr>
    <w:rPr>
      <w:rFonts w:ascii="宋体" w:eastAsia="宋体"/>
    </w:rPr>
  </w:style>
  <w:style w:type="paragraph" w:customStyle="1" w:styleId="189">
    <w:name w:val="标准文件_二级无标题"/>
    <w:basedOn w:val="89"/>
    <w:qFormat/>
    <w:uiPriority w:val="0"/>
    <w:pPr>
      <w:spacing w:before="0" w:beforeLines="0" w:after="0" w:afterLines="0"/>
      <w:outlineLvl w:val="9"/>
    </w:pPr>
    <w:rPr>
      <w:rFonts w:ascii="宋体" w:eastAsia="宋体"/>
    </w:rPr>
  </w:style>
  <w:style w:type="paragraph" w:customStyle="1" w:styleId="190">
    <w:name w:val="标准_四级无标题"/>
    <w:basedOn w:val="122"/>
    <w:next w:val="80"/>
    <w:qFormat/>
    <w:uiPriority w:val="0"/>
    <w:rPr>
      <w:rFonts w:eastAsia="宋体"/>
    </w:rPr>
  </w:style>
  <w:style w:type="paragraph" w:customStyle="1" w:styleId="191">
    <w:name w:val="标准文件_四级无标题"/>
    <w:basedOn w:val="122"/>
    <w:qFormat/>
    <w:uiPriority w:val="0"/>
    <w:pPr>
      <w:spacing w:before="0" w:beforeLines="0" w:after="0" w:afterLines="0"/>
      <w:outlineLvl w:val="9"/>
    </w:pPr>
    <w:rPr>
      <w:rFonts w:ascii="宋体" w:hAnsi="黑体" w:eastAsia="宋体"/>
      <w:szCs w:val="52"/>
    </w:rPr>
  </w:style>
  <w:style w:type="paragraph" w:customStyle="1" w:styleId="192">
    <w:name w:val="标准文件_大写罗马数字编号列项"/>
    <w:basedOn w:val="80"/>
    <w:qFormat/>
    <w:uiPriority w:val="0"/>
    <w:pPr>
      <w:numPr>
        <w:ilvl w:val="0"/>
        <w:numId w:val="23"/>
      </w:numPr>
      <w:ind w:firstLine="0" w:firstLineChars="0"/>
    </w:pPr>
    <w:rPr>
      <w:rFonts w:ascii="Times New Roman" w:cs="Arial"/>
      <w:szCs w:val="28"/>
    </w:rPr>
  </w:style>
  <w:style w:type="paragraph" w:customStyle="1" w:styleId="193">
    <w:name w:val="标准文件_小写罗马数字编号列项"/>
    <w:basedOn w:val="80"/>
    <w:qFormat/>
    <w:uiPriority w:val="0"/>
    <w:pPr>
      <w:numPr>
        <w:ilvl w:val="0"/>
        <w:numId w:val="24"/>
      </w:numPr>
      <w:ind w:firstLine="0" w:firstLineChars="0"/>
    </w:pPr>
    <w:rPr>
      <w:rFonts w:cs="Arial"/>
      <w:szCs w:val="28"/>
    </w:rPr>
  </w:style>
  <w:style w:type="paragraph" w:customStyle="1" w:styleId="194">
    <w:name w:val="标准文件_附录标题"/>
    <w:basedOn w:val="100"/>
    <w:qFormat/>
    <w:uiPriority w:val="0"/>
    <w:pPr>
      <w:spacing w:after="280"/>
      <w:outlineLvl w:val="9"/>
    </w:pPr>
  </w:style>
  <w:style w:type="paragraph" w:customStyle="1" w:styleId="195">
    <w:name w:val="标准文件_二级项"/>
    <w:qFormat/>
    <w:uiPriority w:val="0"/>
    <w:rPr>
      <w:rFonts w:ascii="宋体" w:hAnsi="Times New Roman" w:eastAsia="宋体" w:cs="Times New Roman"/>
      <w:sz w:val="21"/>
      <w:lang w:val="en-US" w:eastAsia="zh-CN" w:bidi="ar-SA"/>
    </w:rPr>
  </w:style>
  <w:style w:type="paragraph" w:customStyle="1" w:styleId="196">
    <w:name w:val="标准文件_三级项"/>
    <w:basedOn w:val="1"/>
    <w:qFormat/>
    <w:uiPriority w:val="0"/>
    <w:pPr>
      <w:numPr>
        <w:ilvl w:val="2"/>
        <w:numId w:val="21"/>
      </w:numPr>
      <w:spacing w:line="536870612" w:lineRule="auto"/>
    </w:pPr>
    <w:rPr>
      <w:rFonts w:ascii="Times New Roman" w:hAnsi="Times New Roman"/>
    </w:rPr>
  </w:style>
  <w:style w:type="paragraph" w:customStyle="1" w:styleId="197">
    <w:name w:val="图表脚注说明"/>
    <w:basedOn w:val="1"/>
    <w:next w:val="80"/>
    <w:qFormat/>
    <w:uiPriority w:val="99"/>
    <w:pPr>
      <w:numPr>
        <w:ilvl w:val="0"/>
        <w:numId w:val="25"/>
      </w:numPr>
      <w:adjustRightInd/>
      <w:spacing w:line="240" w:lineRule="auto"/>
      <w:ind w:left="783"/>
    </w:pPr>
    <w:rPr>
      <w:rFonts w:ascii="宋体" w:hAnsi="Times New Roman"/>
      <w:sz w:val="18"/>
      <w:szCs w:val="18"/>
    </w:rPr>
  </w:style>
  <w:style w:type="paragraph" w:customStyle="1" w:styleId="198">
    <w:name w:val="标准文件_字母编号列项（一级）"/>
    <w:qFormat/>
    <w:uiPriority w:val="0"/>
    <w:pPr>
      <w:tabs>
        <w:tab w:val="left" w:pos="851"/>
      </w:tabs>
      <w:ind w:left="851" w:hanging="426"/>
      <w:jc w:val="both"/>
    </w:pPr>
    <w:rPr>
      <w:rFonts w:ascii="宋体" w:hAnsi="Times New Roman" w:eastAsia="宋体" w:cs="Times New Roman"/>
      <w:sz w:val="21"/>
      <w:lang w:val="en-US" w:eastAsia="zh-CN" w:bidi="ar-SA"/>
    </w:rPr>
  </w:style>
  <w:style w:type="paragraph" w:customStyle="1" w:styleId="199">
    <w:name w:val="标准文件_索引字母"/>
    <w:next w:val="80"/>
    <w:qFormat/>
    <w:uiPriority w:val="0"/>
    <w:pPr>
      <w:jc w:val="center"/>
    </w:pPr>
    <w:rPr>
      <w:rFonts w:ascii="宋体" w:hAnsi="宋体" w:eastAsia="Times New Roman" w:cs="Times New Roman"/>
      <w:b/>
      <w:kern w:val="2"/>
      <w:sz w:val="21"/>
      <w:lang w:val="en-US" w:eastAsia="zh-CN" w:bidi="ar-SA"/>
    </w:rPr>
  </w:style>
  <w:style w:type="paragraph" w:customStyle="1" w:styleId="200">
    <w:name w:val="标准文件_附录前"/>
    <w:next w:val="8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01">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202">
    <w:name w:val="标准文件_表格"/>
    <w:basedOn w:val="80"/>
    <w:qFormat/>
    <w:uiPriority w:val="0"/>
    <w:pPr>
      <w:ind w:firstLine="0" w:firstLineChars="0"/>
      <w:jc w:val="center"/>
    </w:pPr>
    <w:rPr>
      <w:sz w:val="18"/>
    </w:rPr>
  </w:style>
  <w:style w:type="paragraph" w:customStyle="1" w:styleId="203">
    <w:name w:val="标准文件_注："/>
    <w:next w:val="8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0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05">
    <w:name w:val="标准文件_示例："/>
    <w:next w:val="20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06">
    <w:name w:val="标准文件_示例内容"/>
    <w:basedOn w:val="80"/>
    <w:qFormat/>
    <w:uiPriority w:val="0"/>
    <w:pPr>
      <w:ind w:firstLine="420"/>
    </w:pPr>
    <w:rPr>
      <w:sz w:val="18"/>
    </w:rPr>
  </w:style>
  <w:style w:type="paragraph" w:customStyle="1" w:styleId="207">
    <w:name w:val="标准文件_示例×："/>
    <w:basedOn w:val="1"/>
    <w:next w:val="20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8">
    <w:name w:val="标准文件_段 Char"/>
    <w:link w:val="80"/>
    <w:qFormat/>
    <w:uiPriority w:val="0"/>
    <w:rPr>
      <w:rFonts w:ascii="宋体" w:hAnsi="Times New Roman"/>
      <w:sz w:val="21"/>
    </w:rPr>
  </w:style>
  <w:style w:type="paragraph" w:customStyle="1" w:styleId="209">
    <w:name w:val="标准文件_表格续"/>
    <w:basedOn w:val="80"/>
    <w:next w:val="80"/>
    <w:qFormat/>
    <w:uiPriority w:val="0"/>
    <w:pPr>
      <w:jc w:val="center"/>
    </w:pPr>
    <w:rPr>
      <w:rFonts w:ascii="黑体" w:hAnsi="黑体" w:eastAsia="黑体"/>
    </w:rPr>
  </w:style>
  <w:style w:type="character" w:customStyle="1" w:styleId="210">
    <w:name w:val="占位符文本1"/>
    <w:basedOn w:val="47"/>
    <w:qFormat/>
    <w:uiPriority w:val="99"/>
    <w:rPr>
      <w:color w:val="808080"/>
    </w:rPr>
  </w:style>
  <w:style w:type="paragraph" w:customStyle="1" w:styleId="211">
    <w:name w:val="标准文件_二级项2"/>
    <w:basedOn w:val="80"/>
    <w:qFormat/>
    <w:uiPriority w:val="0"/>
    <w:pPr>
      <w:numPr>
        <w:ilvl w:val="1"/>
        <w:numId w:val="21"/>
      </w:numPr>
      <w:ind w:left="1271" w:hanging="420" w:firstLineChars="0"/>
    </w:pPr>
  </w:style>
  <w:style w:type="paragraph" w:customStyle="1" w:styleId="212">
    <w:name w:val="标准文件_三级项2"/>
    <w:basedOn w:val="80"/>
    <w:qFormat/>
    <w:uiPriority w:val="0"/>
    <w:pPr>
      <w:numPr>
        <w:ilvl w:val="0"/>
        <w:numId w:val="30"/>
      </w:numPr>
      <w:spacing w:line="300" w:lineRule="exact"/>
      <w:ind w:left="1276" w:hanging="425" w:firstLineChars="0"/>
    </w:pPr>
    <w:rPr>
      <w:rFonts w:ascii="Times New Roman"/>
    </w:rPr>
  </w:style>
  <w:style w:type="paragraph" w:customStyle="1" w:styleId="213">
    <w:name w:val="标准文件_一级项2"/>
    <w:basedOn w:val="80"/>
    <w:qFormat/>
    <w:uiPriority w:val="0"/>
    <w:pPr>
      <w:numPr>
        <w:ilvl w:val="0"/>
        <w:numId w:val="31"/>
      </w:numPr>
      <w:spacing w:line="300" w:lineRule="exact"/>
      <w:ind w:left="1271" w:hanging="420" w:firstLineChars="0"/>
    </w:pPr>
    <w:rPr>
      <w:rFonts w:ascii="Times New Roman"/>
    </w:rPr>
  </w:style>
  <w:style w:type="paragraph" w:customStyle="1" w:styleId="214">
    <w:name w:val="标准文件_提示"/>
    <w:basedOn w:val="80"/>
    <w:next w:val="80"/>
    <w:qFormat/>
    <w:uiPriority w:val="0"/>
    <w:pPr>
      <w:ind w:firstLine="420"/>
    </w:pPr>
    <w:rPr>
      <w:rFonts w:ascii="黑体" w:eastAsia="黑体"/>
    </w:rPr>
  </w:style>
  <w:style w:type="character" w:customStyle="1" w:styleId="215">
    <w:name w:val="标准文件_来源"/>
    <w:basedOn w:val="47"/>
    <w:qFormat/>
    <w:uiPriority w:val="1"/>
    <w:rPr>
      <w:rFonts w:eastAsia="宋体"/>
      <w:sz w:val="21"/>
    </w:rPr>
  </w:style>
  <w:style w:type="paragraph" w:customStyle="1" w:styleId="21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17">
    <w:name w:val="其他发布日期"/>
    <w:basedOn w:val="144"/>
    <w:qFormat/>
    <w:uiPriority w:val="99"/>
    <w:pPr>
      <w:framePr w:w="3997" w:h="471" w:hRule="exact" w:hSpace="0" w:vSpace="181" w:vAnchor="page" w:hAnchor="page" w:x="1419" w:y="14097"/>
    </w:pPr>
  </w:style>
  <w:style w:type="paragraph" w:customStyle="1" w:styleId="218">
    <w:name w:val="其他实施日期"/>
    <w:basedOn w:val="178"/>
    <w:qFormat/>
    <w:uiPriority w:val="99"/>
    <w:pPr>
      <w:framePr w:w="3997" w:h="471" w:hRule="exact" w:vSpace="181" w:vAnchor="page" w:hAnchor="page" w:x="7089" w:y="14097"/>
    </w:pPr>
  </w:style>
  <w:style w:type="paragraph" w:customStyle="1" w:styleId="219">
    <w:name w:val="标准文件_文件编号"/>
    <w:basedOn w:val="8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20">
    <w:name w:val="标准文件_替换文件编号"/>
    <w:basedOn w:val="219"/>
    <w:qFormat/>
    <w:uiPriority w:val="0"/>
    <w:pPr>
      <w:framePr/>
      <w:spacing w:before="57"/>
    </w:pPr>
    <w:rPr>
      <w:sz w:val="21"/>
    </w:rPr>
  </w:style>
  <w:style w:type="paragraph" w:customStyle="1" w:styleId="221">
    <w:name w:val="标准文件_文件名称"/>
    <w:basedOn w:val="80"/>
    <w:next w:val="80"/>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2">
    <w:name w:val="标准文件_附录图标号"/>
    <w:basedOn w:val="80"/>
    <w:next w:val="8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23">
    <w:name w:val="标准文件_附录表标号"/>
    <w:basedOn w:val="80"/>
    <w:next w:val="80"/>
    <w:qFormat/>
    <w:uiPriority w:val="0"/>
    <w:pPr>
      <w:numPr>
        <w:ilvl w:val="0"/>
        <w:numId w:val="4"/>
      </w:numPr>
      <w:spacing w:line="14" w:lineRule="exact"/>
      <w:ind w:firstLine="0" w:firstLineChars="0"/>
      <w:jc w:val="center"/>
    </w:pPr>
    <w:rPr>
      <w:rFonts w:eastAsia="黑体"/>
      <w:vanish/>
      <w:sz w:val="2"/>
    </w:rPr>
  </w:style>
  <w:style w:type="paragraph" w:customStyle="1" w:styleId="224">
    <w:name w:val="标准文件_引言一级条标题"/>
    <w:basedOn w:val="80"/>
    <w:next w:val="80"/>
    <w:qFormat/>
    <w:uiPriority w:val="0"/>
    <w:pPr>
      <w:numPr>
        <w:ilvl w:val="1"/>
        <w:numId w:val="8"/>
      </w:numPr>
      <w:spacing w:before="50" w:beforeLines="50" w:after="50" w:afterLines="50"/>
      <w:ind w:firstLineChars="0"/>
    </w:pPr>
    <w:rPr>
      <w:rFonts w:ascii="黑体" w:eastAsia="黑体"/>
    </w:rPr>
  </w:style>
  <w:style w:type="paragraph" w:customStyle="1" w:styleId="225">
    <w:name w:val="标准文件_引言二级条标题"/>
    <w:basedOn w:val="80"/>
    <w:next w:val="80"/>
    <w:qFormat/>
    <w:uiPriority w:val="0"/>
    <w:pPr>
      <w:numPr>
        <w:ilvl w:val="2"/>
        <w:numId w:val="8"/>
      </w:numPr>
      <w:spacing w:before="50" w:beforeLines="50" w:after="50" w:afterLines="50"/>
      <w:ind w:firstLineChars="0"/>
    </w:pPr>
    <w:rPr>
      <w:rFonts w:ascii="黑体" w:eastAsia="黑体"/>
    </w:rPr>
  </w:style>
  <w:style w:type="paragraph" w:customStyle="1" w:styleId="226">
    <w:name w:val="标准文件_引言三级条标题"/>
    <w:basedOn w:val="80"/>
    <w:next w:val="80"/>
    <w:qFormat/>
    <w:uiPriority w:val="0"/>
    <w:pPr>
      <w:numPr>
        <w:ilvl w:val="3"/>
        <w:numId w:val="8"/>
      </w:numPr>
      <w:spacing w:before="50" w:beforeLines="50" w:after="50" w:afterLines="50"/>
      <w:ind w:firstLineChars="0"/>
    </w:pPr>
    <w:rPr>
      <w:rFonts w:ascii="黑体" w:eastAsia="黑体"/>
    </w:rPr>
  </w:style>
  <w:style w:type="paragraph" w:customStyle="1" w:styleId="227">
    <w:name w:val="标准文件_引言四级条标题"/>
    <w:basedOn w:val="80"/>
    <w:next w:val="80"/>
    <w:qFormat/>
    <w:uiPriority w:val="0"/>
    <w:pPr>
      <w:numPr>
        <w:ilvl w:val="4"/>
        <w:numId w:val="8"/>
      </w:numPr>
      <w:spacing w:before="50" w:beforeLines="50" w:after="50" w:afterLines="50"/>
      <w:ind w:firstLineChars="0"/>
    </w:pPr>
    <w:rPr>
      <w:rFonts w:ascii="黑体" w:eastAsia="黑体"/>
    </w:rPr>
  </w:style>
  <w:style w:type="paragraph" w:customStyle="1" w:styleId="228">
    <w:name w:val="标准文件_引言五级条标题"/>
    <w:basedOn w:val="80"/>
    <w:next w:val="80"/>
    <w:qFormat/>
    <w:uiPriority w:val="0"/>
    <w:pPr>
      <w:numPr>
        <w:ilvl w:val="5"/>
        <w:numId w:val="8"/>
      </w:numPr>
      <w:spacing w:before="50" w:beforeLines="50" w:after="50" w:afterLines="50"/>
      <w:ind w:firstLineChars="0"/>
    </w:pPr>
    <w:rPr>
      <w:rFonts w:ascii="黑体" w:eastAsia="黑体"/>
    </w:rPr>
  </w:style>
  <w:style w:type="paragraph" w:customStyle="1" w:styleId="229">
    <w:name w:val="标准文件_注后"/>
    <w:basedOn w:val="80"/>
    <w:qFormat/>
    <w:uiPriority w:val="0"/>
    <w:pPr>
      <w:ind w:left="811" w:firstLine="0" w:firstLineChars="0"/>
    </w:pPr>
    <w:rPr>
      <w:sz w:val="18"/>
    </w:rPr>
  </w:style>
  <w:style w:type="paragraph" w:customStyle="1" w:styleId="230">
    <w:name w:val="标准文件_注X后"/>
    <w:basedOn w:val="80"/>
    <w:qFormat/>
    <w:uiPriority w:val="0"/>
    <w:pPr>
      <w:ind w:left="811" w:firstLine="0" w:firstLineChars="0"/>
    </w:pPr>
    <w:rPr>
      <w:sz w:val="18"/>
    </w:rPr>
  </w:style>
  <w:style w:type="paragraph" w:customStyle="1" w:styleId="231">
    <w:name w:val="标准文件_示例后"/>
    <w:basedOn w:val="80"/>
    <w:qFormat/>
    <w:uiPriority w:val="0"/>
    <w:pPr>
      <w:ind w:left="964" w:firstLine="0" w:firstLineChars="0"/>
    </w:pPr>
    <w:rPr>
      <w:sz w:val="18"/>
    </w:rPr>
  </w:style>
  <w:style w:type="paragraph" w:customStyle="1" w:styleId="232">
    <w:name w:val="标准文件_示例X后"/>
    <w:basedOn w:val="80"/>
    <w:link w:val="233"/>
    <w:qFormat/>
    <w:uiPriority w:val="0"/>
    <w:pPr>
      <w:ind w:left="1049" w:firstLine="0" w:firstLineChars="0"/>
    </w:pPr>
    <w:rPr>
      <w:sz w:val="18"/>
    </w:rPr>
  </w:style>
  <w:style w:type="character" w:customStyle="1" w:styleId="233">
    <w:name w:val="标准文件_示例X后 字符"/>
    <w:basedOn w:val="208"/>
    <w:link w:val="232"/>
    <w:qFormat/>
    <w:uiPriority w:val="0"/>
    <w:rPr>
      <w:rFonts w:ascii="宋体" w:hAnsi="Times New Roman"/>
      <w:sz w:val="18"/>
    </w:rPr>
  </w:style>
  <w:style w:type="paragraph" w:customStyle="1" w:styleId="234">
    <w:name w:val="标准文件_索引项"/>
    <w:basedOn w:val="80"/>
    <w:next w:val="80"/>
    <w:qFormat/>
    <w:uiPriority w:val="0"/>
    <w:pPr>
      <w:tabs>
        <w:tab w:val="right" w:leader="dot" w:pos="9356"/>
      </w:tabs>
      <w:ind w:left="210" w:hanging="210" w:firstLineChars="0"/>
      <w:jc w:val="left"/>
    </w:pPr>
  </w:style>
  <w:style w:type="paragraph" w:customStyle="1" w:styleId="235">
    <w:name w:val="标准文件_附录一级无标题"/>
    <w:basedOn w:val="102"/>
    <w:qFormat/>
    <w:uiPriority w:val="0"/>
    <w:pPr>
      <w:spacing w:before="0" w:beforeLines="0" w:after="0" w:afterLines="0" w:line="276" w:lineRule="auto"/>
      <w:outlineLvl w:val="9"/>
    </w:pPr>
    <w:rPr>
      <w:rFonts w:ascii="宋体" w:eastAsia="宋体"/>
    </w:rPr>
  </w:style>
  <w:style w:type="paragraph" w:customStyle="1" w:styleId="236">
    <w:name w:val="标准文件_附录二级无标题"/>
    <w:basedOn w:val="103"/>
    <w:qFormat/>
    <w:uiPriority w:val="0"/>
    <w:pPr>
      <w:spacing w:before="0" w:beforeLines="0" w:after="0" w:afterLines="0" w:line="276" w:lineRule="auto"/>
      <w:outlineLvl w:val="9"/>
    </w:pPr>
    <w:rPr>
      <w:rFonts w:ascii="宋体" w:eastAsia="宋体"/>
    </w:rPr>
  </w:style>
  <w:style w:type="paragraph" w:customStyle="1" w:styleId="237">
    <w:name w:val="标准文件_附录三级无标题"/>
    <w:basedOn w:val="105"/>
    <w:qFormat/>
    <w:uiPriority w:val="0"/>
    <w:pPr>
      <w:spacing w:before="0" w:beforeLines="0" w:after="0" w:afterLines="0" w:line="276" w:lineRule="auto"/>
      <w:outlineLvl w:val="9"/>
    </w:pPr>
    <w:rPr>
      <w:rFonts w:ascii="宋体" w:eastAsia="宋体"/>
    </w:rPr>
  </w:style>
  <w:style w:type="paragraph" w:customStyle="1" w:styleId="238">
    <w:name w:val="标准文件_附录四级无标题"/>
    <w:basedOn w:val="106"/>
    <w:qFormat/>
    <w:uiPriority w:val="0"/>
    <w:pPr>
      <w:spacing w:before="0" w:beforeLines="0" w:after="0" w:afterLines="0" w:line="276" w:lineRule="auto"/>
      <w:outlineLvl w:val="9"/>
    </w:pPr>
    <w:rPr>
      <w:rFonts w:ascii="宋体" w:eastAsia="宋体"/>
    </w:rPr>
  </w:style>
  <w:style w:type="paragraph" w:customStyle="1" w:styleId="239">
    <w:name w:val="标准文件_附录五级无标题"/>
    <w:basedOn w:val="108"/>
    <w:qFormat/>
    <w:uiPriority w:val="0"/>
    <w:pPr>
      <w:spacing w:before="0" w:beforeLines="0" w:after="0" w:afterLines="0" w:line="276" w:lineRule="auto"/>
      <w:outlineLvl w:val="9"/>
    </w:pPr>
    <w:rPr>
      <w:rFonts w:ascii="宋体" w:eastAsia="宋体"/>
    </w:rPr>
  </w:style>
  <w:style w:type="paragraph" w:customStyle="1" w:styleId="240">
    <w:name w:val="标准文件_引言一级无标题"/>
    <w:basedOn w:val="224"/>
    <w:next w:val="80"/>
    <w:qFormat/>
    <w:uiPriority w:val="0"/>
    <w:pPr>
      <w:spacing w:before="0" w:beforeLines="0" w:after="0" w:afterLines="0" w:line="276" w:lineRule="auto"/>
    </w:pPr>
    <w:rPr>
      <w:rFonts w:ascii="宋体" w:eastAsia="宋体"/>
    </w:rPr>
  </w:style>
  <w:style w:type="paragraph" w:customStyle="1" w:styleId="241">
    <w:name w:val="标准文件_引言二级无标题"/>
    <w:basedOn w:val="225"/>
    <w:next w:val="80"/>
    <w:qFormat/>
    <w:uiPriority w:val="0"/>
    <w:pPr>
      <w:spacing w:before="0" w:beforeLines="0" w:after="0" w:afterLines="0" w:line="276" w:lineRule="auto"/>
    </w:pPr>
    <w:rPr>
      <w:rFonts w:ascii="宋体" w:eastAsia="宋体"/>
    </w:rPr>
  </w:style>
  <w:style w:type="paragraph" w:customStyle="1" w:styleId="242">
    <w:name w:val="标准文件_引言三级无标题"/>
    <w:basedOn w:val="226"/>
    <w:next w:val="80"/>
    <w:qFormat/>
    <w:uiPriority w:val="0"/>
    <w:pPr>
      <w:spacing w:before="0" w:beforeLines="0" w:after="0" w:afterLines="0" w:line="276" w:lineRule="auto"/>
    </w:pPr>
    <w:rPr>
      <w:rFonts w:ascii="宋体" w:eastAsia="宋体"/>
    </w:rPr>
  </w:style>
  <w:style w:type="paragraph" w:customStyle="1" w:styleId="243">
    <w:name w:val="标准文件_引言四级无标题"/>
    <w:basedOn w:val="227"/>
    <w:next w:val="80"/>
    <w:qFormat/>
    <w:uiPriority w:val="0"/>
    <w:pPr>
      <w:spacing w:before="0" w:beforeLines="0" w:after="0" w:afterLines="0" w:line="276" w:lineRule="auto"/>
    </w:pPr>
    <w:rPr>
      <w:rFonts w:ascii="宋体" w:eastAsia="宋体"/>
    </w:rPr>
  </w:style>
  <w:style w:type="paragraph" w:customStyle="1" w:styleId="244">
    <w:name w:val="标准文件_引言五级无标题"/>
    <w:basedOn w:val="228"/>
    <w:next w:val="80"/>
    <w:qFormat/>
    <w:uiPriority w:val="0"/>
    <w:pPr>
      <w:spacing w:before="0" w:beforeLines="0" w:after="0" w:afterLines="0" w:line="276" w:lineRule="auto"/>
    </w:pPr>
    <w:rPr>
      <w:rFonts w:ascii="宋体" w:eastAsia="宋体"/>
    </w:rPr>
  </w:style>
  <w:style w:type="paragraph" w:customStyle="1" w:styleId="245">
    <w:name w:val="标准文件_索引标题"/>
    <w:basedOn w:val="87"/>
    <w:next w:val="80"/>
    <w:qFormat/>
    <w:uiPriority w:val="0"/>
    <w:rPr>
      <w:rFonts w:hAnsi="黑体"/>
    </w:rPr>
  </w:style>
  <w:style w:type="paragraph" w:customStyle="1" w:styleId="246">
    <w:name w:val="标准文件_脚注内容"/>
    <w:basedOn w:val="80"/>
    <w:qFormat/>
    <w:uiPriority w:val="0"/>
    <w:pPr>
      <w:ind w:left="400" w:leftChars="200" w:hanging="200" w:hangingChars="200"/>
    </w:pPr>
    <w:rPr>
      <w:sz w:val="15"/>
    </w:rPr>
  </w:style>
  <w:style w:type="paragraph" w:customStyle="1" w:styleId="247">
    <w:name w:val="标准文件_术语条一"/>
    <w:basedOn w:val="186"/>
    <w:next w:val="80"/>
    <w:qFormat/>
    <w:uiPriority w:val="0"/>
  </w:style>
  <w:style w:type="paragraph" w:customStyle="1" w:styleId="248">
    <w:name w:val="标准文件_术语条二"/>
    <w:basedOn w:val="189"/>
    <w:next w:val="80"/>
    <w:qFormat/>
    <w:uiPriority w:val="0"/>
  </w:style>
  <w:style w:type="paragraph" w:customStyle="1" w:styleId="249">
    <w:name w:val="标准文件_术语条三"/>
    <w:basedOn w:val="188"/>
    <w:next w:val="80"/>
    <w:qFormat/>
    <w:uiPriority w:val="0"/>
  </w:style>
  <w:style w:type="paragraph" w:customStyle="1" w:styleId="250">
    <w:name w:val="标准文件_术语条四"/>
    <w:basedOn w:val="191"/>
    <w:next w:val="80"/>
    <w:qFormat/>
    <w:uiPriority w:val="0"/>
  </w:style>
  <w:style w:type="paragraph" w:customStyle="1" w:styleId="251">
    <w:name w:val="标准文件_术语条五"/>
    <w:basedOn w:val="187"/>
    <w:next w:val="80"/>
    <w:qFormat/>
    <w:uiPriority w:val="0"/>
  </w:style>
  <w:style w:type="paragraph" w:customStyle="1" w:styleId="25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53">
    <w:name w:val="发布"/>
    <w:basedOn w:val="47"/>
    <w:qFormat/>
    <w:uiPriority w:val="99"/>
    <w:rPr>
      <w:rFonts w:ascii="黑体" w:eastAsia="黑体"/>
      <w:spacing w:val="85"/>
      <w:w w:val="100"/>
      <w:position w:val="3"/>
      <w:sz w:val="28"/>
      <w:szCs w:val="28"/>
    </w:rPr>
  </w:style>
  <w:style w:type="paragraph" w:customStyle="1" w:styleId="254">
    <w:name w:val="列出段落1"/>
    <w:basedOn w:val="1"/>
    <w:qFormat/>
    <w:uiPriority w:val="34"/>
    <w:pPr>
      <w:ind w:firstLine="420" w:firstLineChars="200"/>
    </w:pPr>
  </w:style>
  <w:style w:type="paragraph" w:customStyle="1" w:styleId="255">
    <w:name w:val="1"/>
    <w:basedOn w:val="1"/>
    <w:qFormat/>
    <w:uiPriority w:val="0"/>
    <w:pPr>
      <w:widowControl/>
      <w:adjustRightInd/>
      <w:spacing w:after="160" w:line="240" w:lineRule="exact"/>
      <w:jc w:val="left"/>
    </w:pPr>
    <w:rPr>
      <w:rFonts w:ascii="宋体" w:hAnsi="宋体"/>
      <w:lang w:eastAsia="en-US"/>
    </w:rPr>
  </w:style>
  <w:style w:type="paragraph" w:customStyle="1" w:styleId="256">
    <w:name w:val="章标题"/>
    <w:next w:val="257"/>
    <w:qFormat/>
    <w:uiPriority w:val="0"/>
    <w:pPr>
      <w:numPr>
        <w:ilvl w:val="0"/>
        <w:numId w:val="32"/>
      </w:numPr>
      <w:spacing w:beforeLines="100" w:afterLines="100"/>
      <w:jc w:val="both"/>
      <w:outlineLvl w:val="1"/>
    </w:pPr>
    <w:rPr>
      <w:rFonts w:ascii="黑体" w:hAnsi="Times New Roman" w:eastAsia="黑体" w:cs="Times New Roman"/>
      <w:sz w:val="21"/>
      <w:szCs w:val="22"/>
      <w:lang w:val="en-US" w:eastAsia="zh-CN" w:bidi="ar-SA"/>
    </w:rPr>
  </w:style>
  <w:style w:type="paragraph" w:customStyle="1" w:styleId="257">
    <w:name w:val="段"/>
    <w:link w:val="31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58">
    <w:name w:val="一级条标题"/>
    <w:next w:val="257"/>
    <w:link w:val="314"/>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59">
    <w:name w:val="字母编号列项（一级）"/>
    <w:qFormat/>
    <w:uiPriority w:val="99"/>
    <w:pPr>
      <w:numPr>
        <w:ilvl w:val="0"/>
        <w:numId w:val="13"/>
      </w:numPr>
      <w:jc w:val="both"/>
    </w:pPr>
    <w:rPr>
      <w:rFonts w:ascii="宋体" w:hAnsi="Times New Roman" w:eastAsia="宋体" w:cs="Times New Roman"/>
      <w:sz w:val="21"/>
      <w:szCs w:val="22"/>
      <w:lang w:val="en-US" w:eastAsia="zh-CN" w:bidi="ar-SA"/>
    </w:rPr>
  </w:style>
  <w:style w:type="paragraph" w:customStyle="1" w:styleId="260">
    <w:name w:val="TOC 标题1"/>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61">
    <w:name w:val="文档结构图 Char"/>
    <w:semiHidden/>
    <w:qFormat/>
    <w:locked/>
    <w:uiPriority w:val="99"/>
    <w:rPr>
      <w:kern w:val="2"/>
      <w:sz w:val="21"/>
      <w:szCs w:val="24"/>
      <w:shd w:val="clear" w:color="auto" w:fill="000080"/>
    </w:rPr>
  </w:style>
  <w:style w:type="character" w:customStyle="1" w:styleId="262">
    <w:name w:val="尾注文本 Char"/>
    <w:semiHidden/>
    <w:qFormat/>
    <w:locked/>
    <w:uiPriority w:val="99"/>
    <w:rPr>
      <w:kern w:val="2"/>
      <w:sz w:val="21"/>
      <w:szCs w:val="24"/>
    </w:rPr>
  </w:style>
  <w:style w:type="character" w:customStyle="1" w:styleId="263">
    <w:name w:val="正文文本缩进 Char"/>
    <w:qFormat/>
    <w:uiPriority w:val="99"/>
    <w:rPr>
      <w:kern w:val="2"/>
      <w:sz w:val="21"/>
    </w:rPr>
  </w:style>
  <w:style w:type="character" w:customStyle="1" w:styleId="264">
    <w:name w:val="批注主题 Char"/>
    <w:qFormat/>
    <w:uiPriority w:val="99"/>
    <w:rPr>
      <w:b/>
      <w:bCs/>
      <w:kern w:val="2"/>
      <w:sz w:val="21"/>
      <w:szCs w:val="24"/>
    </w:rPr>
  </w:style>
  <w:style w:type="character" w:customStyle="1" w:styleId="265">
    <w:name w:val="正文首行缩进 2 Char"/>
    <w:link w:val="266"/>
    <w:qFormat/>
    <w:uiPriority w:val="0"/>
    <w:rPr>
      <w:kern w:val="2"/>
      <w:sz w:val="21"/>
      <w:szCs w:val="24"/>
    </w:rPr>
  </w:style>
  <w:style w:type="paragraph" w:customStyle="1" w:styleId="266">
    <w:name w:val="_Style 399"/>
    <w:basedOn w:val="1"/>
    <w:next w:val="254"/>
    <w:link w:val="265"/>
    <w:qFormat/>
    <w:uiPriority w:val="0"/>
    <w:pPr>
      <w:adjustRightInd/>
      <w:spacing w:line="360" w:lineRule="exact"/>
      <w:ind w:firstLine="420" w:firstLineChars="200"/>
    </w:pPr>
    <w:rPr>
      <w:rFonts w:cs="Arial"/>
      <w:szCs w:val="24"/>
    </w:rPr>
  </w:style>
  <w:style w:type="character" w:customStyle="1" w:styleId="267">
    <w:name w:val="日期 Char"/>
    <w:semiHidden/>
    <w:qFormat/>
    <w:locked/>
    <w:uiPriority w:val="0"/>
    <w:rPr>
      <w:rFonts w:eastAsia="宋体"/>
      <w:kern w:val="2"/>
      <w:sz w:val="21"/>
      <w:lang w:val="en-US" w:eastAsia="zh-CN" w:bidi="ar-SA"/>
    </w:rPr>
  </w:style>
  <w:style w:type="character" w:customStyle="1" w:styleId="268">
    <w:name w:val="正文文本首行缩进 2 字符"/>
    <w:semiHidden/>
    <w:qFormat/>
    <w:uiPriority w:val="99"/>
    <w:rPr>
      <w:kern w:val="2"/>
      <w:sz w:val="21"/>
      <w:szCs w:val="21"/>
    </w:rPr>
  </w:style>
  <w:style w:type="character" w:customStyle="1" w:styleId="269">
    <w:name w:val="尾注文本 字符"/>
    <w:semiHidden/>
    <w:qFormat/>
    <w:uiPriority w:val="99"/>
    <w:rPr>
      <w:kern w:val="2"/>
      <w:sz w:val="21"/>
      <w:szCs w:val="21"/>
    </w:rPr>
  </w:style>
  <w:style w:type="character" w:customStyle="1" w:styleId="270">
    <w:name w:val="文档结构图 字符"/>
    <w:semiHidden/>
    <w:qFormat/>
    <w:uiPriority w:val="99"/>
    <w:rPr>
      <w:rFonts w:ascii="Microsoft YaHei UI" w:eastAsia="Microsoft YaHei UI"/>
      <w:kern w:val="2"/>
      <w:sz w:val="18"/>
      <w:szCs w:val="18"/>
    </w:rPr>
  </w:style>
  <w:style w:type="character" w:customStyle="1" w:styleId="271">
    <w:name w:val="批注主题 字符"/>
    <w:semiHidden/>
    <w:qFormat/>
    <w:uiPriority w:val="99"/>
    <w:rPr>
      <w:b/>
      <w:bCs/>
      <w:kern w:val="2"/>
      <w:sz w:val="21"/>
      <w:szCs w:val="21"/>
    </w:rPr>
  </w:style>
  <w:style w:type="character" w:customStyle="1" w:styleId="272">
    <w:name w:val="附录公式 Char"/>
    <w:link w:val="273"/>
    <w:qFormat/>
    <w:uiPriority w:val="99"/>
    <w:rPr>
      <w:rFonts w:ascii="宋体" w:hAnsi="宋体"/>
      <w:sz w:val="21"/>
    </w:rPr>
  </w:style>
  <w:style w:type="paragraph" w:customStyle="1" w:styleId="273">
    <w:name w:val="附录公式"/>
    <w:basedOn w:val="257"/>
    <w:next w:val="257"/>
    <w:link w:val="272"/>
    <w:qFormat/>
    <w:uiPriority w:val="99"/>
    <w:pPr>
      <w:ind w:firstLine="0" w:firstLineChars="0"/>
    </w:pPr>
    <w:rPr>
      <w:rFonts w:hAnsi="宋体" w:cs="Arial"/>
      <w:szCs w:val="20"/>
    </w:rPr>
  </w:style>
  <w:style w:type="character" w:customStyle="1" w:styleId="274">
    <w:name w:val="15"/>
    <w:qFormat/>
    <w:uiPriority w:val="0"/>
    <w:rPr>
      <w:rFonts w:hint="default" w:ascii="Times New Roman" w:hAnsi="Times New Roman" w:cs="Times New Roman"/>
      <w:color w:val="0000FF"/>
      <w:spacing w:val="0"/>
      <w:u w:val="single"/>
    </w:rPr>
  </w:style>
  <w:style w:type="character" w:customStyle="1" w:styleId="275">
    <w:name w:val="标题 1 字符1"/>
    <w:qFormat/>
    <w:locked/>
    <w:uiPriority w:val="99"/>
    <w:rPr>
      <w:rFonts w:ascii="Times New Roman" w:hAnsi="Times New Roman" w:eastAsia="宋体" w:cs="Times New Roman"/>
      <w:b/>
      <w:bCs/>
      <w:kern w:val="44"/>
      <w:sz w:val="44"/>
      <w:szCs w:val="44"/>
    </w:rPr>
  </w:style>
  <w:style w:type="character" w:customStyle="1" w:styleId="276">
    <w:name w:val="附录 Char"/>
    <w:link w:val="277"/>
    <w:qFormat/>
    <w:locked/>
    <w:uiPriority w:val="99"/>
    <w:rPr>
      <w:rFonts w:ascii="黑体" w:hAnsi="黑体" w:eastAsia="黑体"/>
      <w:b/>
      <w:bCs/>
      <w:kern w:val="44"/>
      <w:sz w:val="21"/>
      <w:szCs w:val="44"/>
    </w:rPr>
  </w:style>
  <w:style w:type="paragraph" w:customStyle="1" w:styleId="277">
    <w:name w:val="附录"/>
    <w:basedOn w:val="278"/>
    <w:link w:val="276"/>
    <w:qFormat/>
    <w:uiPriority w:val="99"/>
    <w:pPr>
      <w:spacing w:before="0" w:after="0" w:line="360" w:lineRule="exact"/>
      <w:jc w:val="center"/>
    </w:pPr>
    <w:rPr>
      <w:rFonts w:ascii="黑体" w:hAnsi="黑体"/>
    </w:rPr>
  </w:style>
  <w:style w:type="paragraph" w:customStyle="1" w:styleId="278">
    <w:name w:val="标题1"/>
    <w:basedOn w:val="2"/>
    <w:link w:val="316"/>
    <w:qFormat/>
    <w:uiPriority w:val="99"/>
    <w:pPr>
      <w:adjustRightInd/>
      <w:spacing w:beforeLines="100" w:afterLines="100" w:line="400" w:lineRule="exact"/>
      <w:jc w:val="left"/>
    </w:pPr>
    <w:rPr>
      <w:rFonts w:ascii="Adobe 黑体 Std R" w:hAnsi="Adobe 黑体 Std R" w:eastAsia="黑体" w:cs="Arial"/>
      <w:sz w:val="21"/>
    </w:rPr>
  </w:style>
  <w:style w:type="character" w:customStyle="1" w:styleId="279">
    <w:name w:val="批注框文本 字符1"/>
    <w:semiHidden/>
    <w:qFormat/>
    <w:uiPriority w:val="99"/>
    <w:rPr>
      <w:rFonts w:ascii="Times New Roman" w:hAnsi="Times New Roman" w:eastAsia="宋体"/>
      <w:sz w:val="16"/>
      <w:szCs w:val="0"/>
    </w:rPr>
  </w:style>
  <w:style w:type="character" w:customStyle="1" w:styleId="280">
    <w:name w:val="Body Text Indent Char"/>
    <w:qFormat/>
    <w:locked/>
    <w:uiPriority w:val="99"/>
  </w:style>
  <w:style w:type="character" w:customStyle="1" w:styleId="281">
    <w:name w:val="标题 1 字符2"/>
    <w:qFormat/>
    <w:locked/>
    <w:uiPriority w:val="0"/>
    <w:rPr>
      <w:rFonts w:eastAsia="宋体"/>
      <w:b/>
      <w:bCs/>
      <w:kern w:val="44"/>
      <w:sz w:val="44"/>
      <w:szCs w:val="44"/>
      <w:lang w:val="en-US" w:eastAsia="zh-CN" w:bidi="ar-SA"/>
    </w:rPr>
  </w:style>
  <w:style w:type="character" w:customStyle="1" w:styleId="282">
    <w:name w:val="脚注文本 Char"/>
    <w:qFormat/>
    <w:locked/>
    <w:uiPriority w:val="99"/>
    <w:rPr>
      <w:rFonts w:ascii="宋体"/>
      <w:kern w:val="2"/>
      <w:sz w:val="18"/>
      <w:szCs w:val="18"/>
      <w:lang w:val="zh-CN" w:eastAsia="zh-CN"/>
    </w:rPr>
  </w:style>
  <w:style w:type="character" w:customStyle="1" w:styleId="283">
    <w:name w:val="标题2 Char"/>
    <w:link w:val="284"/>
    <w:qFormat/>
    <w:locked/>
    <w:uiPriority w:val="99"/>
    <w:rPr>
      <w:rFonts w:ascii="Adobe 黑体 Std R" w:hAnsi="Adobe 黑体 Std R" w:eastAsia="黑体"/>
      <w:bCs/>
      <w:kern w:val="2"/>
      <w:sz w:val="21"/>
      <w:szCs w:val="32"/>
    </w:rPr>
  </w:style>
  <w:style w:type="paragraph" w:customStyle="1" w:styleId="284">
    <w:name w:val="标题2"/>
    <w:basedOn w:val="3"/>
    <w:link w:val="283"/>
    <w:qFormat/>
    <w:uiPriority w:val="99"/>
    <w:pPr>
      <w:adjustRightInd/>
      <w:spacing w:before="0" w:after="0" w:line="400" w:lineRule="exact"/>
      <w:jc w:val="left"/>
    </w:pPr>
    <w:rPr>
      <w:rFonts w:ascii="Adobe 黑体 Std R" w:hAnsi="Adobe 黑体 Std R" w:cs="Arial"/>
      <w:b w:val="0"/>
      <w:sz w:val="21"/>
    </w:rPr>
  </w:style>
  <w:style w:type="character" w:customStyle="1" w:styleId="285">
    <w:name w:val="页脚 字符2"/>
    <w:qFormat/>
    <w:locked/>
    <w:uiPriority w:val="99"/>
    <w:rPr>
      <w:rFonts w:eastAsia="宋体"/>
      <w:kern w:val="2"/>
      <w:sz w:val="18"/>
      <w:szCs w:val="18"/>
      <w:lang w:val="en-US" w:eastAsia="zh-CN" w:bidi="ar-SA"/>
    </w:rPr>
  </w:style>
  <w:style w:type="character" w:customStyle="1" w:styleId="286">
    <w:name w:val="Balloon Text Char"/>
    <w:qFormat/>
    <w:locked/>
    <w:uiPriority w:val="99"/>
    <w:rPr>
      <w:sz w:val="18"/>
      <w:szCs w:val="18"/>
    </w:rPr>
  </w:style>
  <w:style w:type="character" w:customStyle="1" w:styleId="287">
    <w:name w:val="short_text"/>
    <w:qFormat/>
    <w:uiPriority w:val="99"/>
    <w:rPr>
      <w:rFonts w:cs="Times New Roman"/>
    </w:rPr>
  </w:style>
  <w:style w:type="character" w:customStyle="1" w:styleId="288">
    <w:name w:val="标题 3 字符1"/>
    <w:qFormat/>
    <w:locked/>
    <w:uiPriority w:val="99"/>
    <w:rPr>
      <w:rFonts w:ascii="Times New Roman" w:hAnsi="Times New Roman" w:eastAsia="宋体" w:cs="Times New Roman"/>
      <w:b/>
      <w:bCs/>
      <w:sz w:val="32"/>
      <w:szCs w:val="32"/>
    </w:rPr>
  </w:style>
  <w:style w:type="character" w:customStyle="1" w:styleId="289">
    <w:name w:val="批注框文本 字符2"/>
    <w:qFormat/>
    <w:uiPriority w:val="99"/>
    <w:rPr>
      <w:kern w:val="2"/>
      <w:sz w:val="18"/>
      <w:szCs w:val="18"/>
    </w:rPr>
  </w:style>
  <w:style w:type="character" w:customStyle="1" w:styleId="290">
    <w:name w:val="标题3 Char"/>
    <w:link w:val="291"/>
    <w:qFormat/>
    <w:locked/>
    <w:uiPriority w:val="99"/>
    <w:rPr>
      <w:rFonts w:ascii="Adobe 黑体 Std R" w:hAnsi="Adobe 黑体 Std R" w:eastAsia="黑体"/>
      <w:bCs/>
      <w:kern w:val="2"/>
      <w:sz w:val="21"/>
      <w:szCs w:val="32"/>
    </w:rPr>
  </w:style>
  <w:style w:type="paragraph" w:customStyle="1" w:styleId="291">
    <w:name w:val="标题3"/>
    <w:basedOn w:val="3"/>
    <w:link w:val="290"/>
    <w:qFormat/>
    <w:uiPriority w:val="99"/>
    <w:pPr>
      <w:adjustRightInd/>
      <w:spacing w:before="0" w:after="0" w:line="400" w:lineRule="exact"/>
      <w:jc w:val="left"/>
      <w:outlineLvl w:val="2"/>
    </w:pPr>
    <w:rPr>
      <w:rFonts w:ascii="Adobe 黑体 Std R" w:hAnsi="Adobe 黑体 Std R" w:cs="Arial"/>
      <w:b w:val="0"/>
      <w:sz w:val="21"/>
    </w:rPr>
  </w:style>
  <w:style w:type="character" w:customStyle="1" w:styleId="292">
    <w:name w:val="正文文本缩进 字符2"/>
    <w:qFormat/>
    <w:uiPriority w:val="0"/>
    <w:rPr>
      <w:kern w:val="2"/>
      <w:sz w:val="21"/>
    </w:rPr>
  </w:style>
  <w:style w:type="character" w:customStyle="1" w:styleId="293">
    <w:name w:val="layui-this"/>
    <w:qFormat/>
    <w:uiPriority w:val="0"/>
    <w:rPr>
      <w:bdr w:val="single" w:color="EEEEEE" w:sz="4" w:space="0"/>
      <w:shd w:val="clear" w:color="auto" w:fill="FFFFFF"/>
    </w:rPr>
  </w:style>
  <w:style w:type="character" w:customStyle="1" w:styleId="294">
    <w:name w:val="批注框文本 Char"/>
    <w:qFormat/>
    <w:uiPriority w:val="99"/>
    <w:rPr>
      <w:kern w:val="2"/>
      <w:sz w:val="18"/>
      <w:szCs w:val="18"/>
    </w:rPr>
  </w:style>
  <w:style w:type="character" w:customStyle="1" w:styleId="295">
    <w:name w:val="标题 2 字符1"/>
    <w:qFormat/>
    <w:locked/>
    <w:uiPriority w:val="99"/>
    <w:rPr>
      <w:rFonts w:ascii="Arial" w:hAnsi="Arial" w:eastAsia="黑体" w:cs="Arial"/>
      <w:b/>
      <w:bCs/>
      <w:sz w:val="32"/>
      <w:szCs w:val="32"/>
    </w:rPr>
  </w:style>
  <w:style w:type="character" w:customStyle="1" w:styleId="296">
    <w:name w:val="正文文本 Char"/>
    <w:qFormat/>
    <w:uiPriority w:val="99"/>
    <w:rPr>
      <w:rFonts w:ascii="Calibri" w:hAnsi="Calibri"/>
      <w:kern w:val="2"/>
      <w:sz w:val="21"/>
      <w:szCs w:val="24"/>
    </w:rPr>
  </w:style>
  <w:style w:type="character" w:customStyle="1" w:styleId="297">
    <w:name w:val="Comment Subject Char"/>
    <w:qFormat/>
    <w:locked/>
    <w:uiPriority w:val="99"/>
    <w:rPr>
      <w:b/>
      <w:bCs/>
      <w:sz w:val="24"/>
      <w:szCs w:val="24"/>
    </w:rPr>
  </w:style>
  <w:style w:type="character" w:customStyle="1" w:styleId="298">
    <w:name w:val="正文首行缩进 2 Char1"/>
    <w:link w:val="31"/>
    <w:qFormat/>
    <w:uiPriority w:val="0"/>
    <w:rPr>
      <w:kern w:val="2"/>
      <w:sz w:val="21"/>
      <w:szCs w:val="24"/>
    </w:rPr>
  </w:style>
  <w:style w:type="character" w:customStyle="1" w:styleId="299">
    <w:name w:val="尾注文本 Char1"/>
    <w:link w:val="28"/>
    <w:semiHidden/>
    <w:qFormat/>
    <w:locked/>
    <w:uiPriority w:val="99"/>
    <w:rPr>
      <w:kern w:val="2"/>
      <w:sz w:val="21"/>
      <w:szCs w:val="24"/>
    </w:rPr>
  </w:style>
  <w:style w:type="character" w:customStyle="1" w:styleId="300">
    <w:name w:val="正文文本缩进 Char1"/>
    <w:link w:val="21"/>
    <w:qFormat/>
    <w:uiPriority w:val="99"/>
    <w:rPr>
      <w:kern w:val="2"/>
      <w:sz w:val="21"/>
    </w:rPr>
  </w:style>
  <w:style w:type="character" w:customStyle="1" w:styleId="301">
    <w:name w:val="批注文字 Char1"/>
    <w:link w:val="12"/>
    <w:qFormat/>
    <w:uiPriority w:val="99"/>
    <w:rPr>
      <w:kern w:val="2"/>
      <w:sz w:val="21"/>
      <w:szCs w:val="21"/>
    </w:rPr>
  </w:style>
  <w:style w:type="character" w:customStyle="1" w:styleId="302">
    <w:name w:val="已访问的超链接1"/>
    <w:qFormat/>
    <w:uiPriority w:val="99"/>
    <w:rPr>
      <w:color w:val="800080"/>
      <w:u w:val="single"/>
    </w:rPr>
  </w:style>
  <w:style w:type="character" w:customStyle="1" w:styleId="303">
    <w:name w:val="批注主题 Char1"/>
    <w:link w:val="11"/>
    <w:qFormat/>
    <w:uiPriority w:val="99"/>
    <w:rPr>
      <w:b/>
      <w:bCs/>
      <w:kern w:val="2"/>
      <w:sz w:val="21"/>
      <w:szCs w:val="24"/>
    </w:rPr>
  </w:style>
  <w:style w:type="character" w:customStyle="1" w:styleId="304">
    <w:name w:val="hps"/>
    <w:qFormat/>
    <w:uiPriority w:val="99"/>
    <w:rPr>
      <w:rFonts w:cs="Times New Roman"/>
    </w:rPr>
  </w:style>
  <w:style w:type="character" w:customStyle="1" w:styleId="305">
    <w:name w:val="页眉 Char"/>
    <w:qFormat/>
    <w:locked/>
    <w:uiPriority w:val="99"/>
    <w:rPr>
      <w:rFonts w:eastAsia="宋体"/>
      <w:kern w:val="2"/>
      <w:sz w:val="18"/>
      <w:szCs w:val="18"/>
      <w:lang w:val="en-US" w:eastAsia="zh-CN" w:bidi="ar-SA"/>
    </w:rPr>
  </w:style>
  <w:style w:type="character" w:customStyle="1" w:styleId="306">
    <w:name w:val="正文文本 字符2"/>
    <w:qFormat/>
    <w:uiPriority w:val="0"/>
  </w:style>
  <w:style w:type="character" w:customStyle="1" w:styleId="307">
    <w:name w:val="first-child"/>
    <w:basedOn w:val="47"/>
    <w:qFormat/>
    <w:uiPriority w:val="0"/>
  </w:style>
  <w:style w:type="character" w:customStyle="1" w:styleId="308">
    <w:name w:val="标题 3 Char"/>
    <w:semiHidden/>
    <w:qFormat/>
    <w:uiPriority w:val="0"/>
    <w:rPr>
      <w:b/>
      <w:bCs/>
      <w:kern w:val="2"/>
      <w:sz w:val="32"/>
      <w:szCs w:val="32"/>
    </w:rPr>
  </w:style>
  <w:style w:type="character" w:customStyle="1" w:styleId="309">
    <w:name w:val="正文文本缩进 字符"/>
    <w:semiHidden/>
    <w:qFormat/>
    <w:uiPriority w:val="99"/>
    <w:rPr>
      <w:kern w:val="2"/>
      <w:sz w:val="21"/>
      <w:szCs w:val="21"/>
    </w:rPr>
  </w:style>
  <w:style w:type="character" w:customStyle="1" w:styleId="310">
    <w:name w:val="font21"/>
    <w:qFormat/>
    <w:uiPriority w:val="0"/>
    <w:rPr>
      <w:rFonts w:hint="eastAsia" w:ascii="宋体" w:hAnsi="宋体" w:eastAsia="宋体" w:cs="宋体"/>
      <w:b/>
      <w:color w:val="000000"/>
      <w:sz w:val="24"/>
      <w:szCs w:val="24"/>
      <w:u w:val="none"/>
    </w:rPr>
  </w:style>
  <w:style w:type="character" w:customStyle="1" w:styleId="311">
    <w:name w:val="段 Char"/>
    <w:link w:val="257"/>
    <w:qFormat/>
    <w:uiPriority w:val="0"/>
    <w:rPr>
      <w:rFonts w:ascii="宋体" w:hAnsi="Times New Roman" w:cs="Times New Roman"/>
      <w:sz w:val="21"/>
      <w:szCs w:val="22"/>
    </w:rPr>
  </w:style>
  <w:style w:type="character" w:customStyle="1" w:styleId="312">
    <w:name w:val="Footer Char"/>
    <w:qFormat/>
    <w:locked/>
    <w:uiPriority w:val="99"/>
    <w:rPr>
      <w:rFonts w:eastAsia="宋体"/>
      <w:sz w:val="18"/>
      <w:szCs w:val="18"/>
    </w:rPr>
  </w:style>
  <w:style w:type="character" w:customStyle="1" w:styleId="313">
    <w:name w:val="批注文字 字符1"/>
    <w:qFormat/>
    <w:uiPriority w:val="99"/>
    <w:rPr>
      <w:kern w:val="2"/>
      <w:sz w:val="21"/>
      <w:szCs w:val="24"/>
    </w:rPr>
  </w:style>
  <w:style w:type="character" w:customStyle="1" w:styleId="314">
    <w:name w:val="一级条标题 字符"/>
    <w:link w:val="258"/>
    <w:qFormat/>
    <w:uiPriority w:val="0"/>
    <w:rPr>
      <w:rFonts w:ascii="黑体" w:hAnsi="Times New Roman" w:eastAsia="黑体" w:cs="Times New Roman"/>
      <w:sz w:val="21"/>
      <w:szCs w:val="21"/>
    </w:rPr>
  </w:style>
  <w:style w:type="character" w:customStyle="1" w:styleId="315">
    <w:name w:val="标题 2 Char"/>
    <w:semiHidden/>
    <w:qFormat/>
    <w:locked/>
    <w:uiPriority w:val="0"/>
    <w:rPr>
      <w:rFonts w:ascii="Arial" w:hAnsi="Arial" w:eastAsia="黑体"/>
      <w:b/>
      <w:bCs/>
      <w:kern w:val="2"/>
      <w:sz w:val="32"/>
      <w:szCs w:val="32"/>
      <w:lang w:val="en-US" w:eastAsia="zh-CN" w:bidi="ar-SA"/>
    </w:rPr>
  </w:style>
  <w:style w:type="character" w:customStyle="1" w:styleId="316">
    <w:name w:val="标题1 Char"/>
    <w:link w:val="278"/>
    <w:qFormat/>
    <w:locked/>
    <w:uiPriority w:val="99"/>
    <w:rPr>
      <w:rFonts w:ascii="Adobe 黑体 Std R" w:hAnsi="Adobe 黑体 Std R" w:eastAsia="黑体"/>
      <w:b/>
      <w:bCs/>
      <w:kern w:val="44"/>
      <w:sz w:val="21"/>
      <w:szCs w:val="44"/>
    </w:rPr>
  </w:style>
  <w:style w:type="character" w:customStyle="1" w:styleId="317">
    <w:name w:val="日期 Char1"/>
    <w:link w:val="27"/>
    <w:semiHidden/>
    <w:qFormat/>
    <w:locked/>
    <w:uiPriority w:val="0"/>
    <w:rPr>
      <w:kern w:val="2"/>
      <w:sz w:val="21"/>
    </w:rPr>
  </w:style>
  <w:style w:type="character" w:customStyle="1" w:styleId="318">
    <w:name w:val="首示例 Char"/>
    <w:link w:val="319"/>
    <w:qFormat/>
    <w:uiPriority w:val="99"/>
    <w:rPr>
      <w:rFonts w:ascii="宋体" w:hAnsi="宋体"/>
      <w:kern w:val="2"/>
      <w:sz w:val="18"/>
      <w:szCs w:val="18"/>
    </w:rPr>
  </w:style>
  <w:style w:type="paragraph" w:customStyle="1" w:styleId="319">
    <w:name w:val="首示例"/>
    <w:next w:val="257"/>
    <w:link w:val="318"/>
    <w:qFormat/>
    <w:uiPriority w:val="99"/>
    <w:pPr>
      <w:tabs>
        <w:tab w:val="left" w:pos="360"/>
      </w:tabs>
      <w:ind w:left="794"/>
    </w:pPr>
    <w:rPr>
      <w:rFonts w:ascii="宋体" w:hAnsi="宋体" w:eastAsia="宋体" w:cs="Arial"/>
      <w:kern w:val="2"/>
      <w:sz w:val="18"/>
      <w:szCs w:val="18"/>
      <w:lang w:val="en-US" w:eastAsia="zh-CN" w:bidi="ar-SA"/>
    </w:rPr>
  </w:style>
  <w:style w:type="character" w:customStyle="1" w:styleId="320">
    <w:name w:val="批注主题 字符2"/>
    <w:qFormat/>
    <w:uiPriority w:val="99"/>
    <w:rPr>
      <w:b/>
      <w:bCs/>
      <w:kern w:val="2"/>
      <w:sz w:val="21"/>
      <w:szCs w:val="24"/>
    </w:rPr>
  </w:style>
  <w:style w:type="character" w:customStyle="1" w:styleId="321">
    <w:name w:val="Body Text Char"/>
    <w:qFormat/>
    <w:locked/>
    <w:uiPriority w:val="99"/>
    <w:rPr>
      <w:rFonts w:ascii="Calibri" w:hAnsi="Calibri" w:cs="Calibri"/>
      <w:sz w:val="24"/>
      <w:szCs w:val="24"/>
    </w:rPr>
  </w:style>
  <w:style w:type="character" w:customStyle="1" w:styleId="322">
    <w:name w:val="Header Char"/>
    <w:qFormat/>
    <w:locked/>
    <w:uiPriority w:val="99"/>
    <w:rPr>
      <w:rFonts w:eastAsia="宋体"/>
      <w:sz w:val="18"/>
      <w:szCs w:val="18"/>
    </w:rPr>
  </w:style>
  <w:style w:type="character" w:customStyle="1" w:styleId="323">
    <w:name w:val="font11"/>
    <w:qFormat/>
    <w:uiPriority w:val="0"/>
    <w:rPr>
      <w:rFonts w:hint="eastAsia" w:ascii="宋体" w:hAnsi="宋体" w:eastAsia="宋体" w:cs="宋体"/>
      <w:color w:val="000000"/>
      <w:sz w:val="24"/>
      <w:szCs w:val="24"/>
      <w:u w:val="none"/>
    </w:rPr>
  </w:style>
  <w:style w:type="character" w:customStyle="1" w:styleId="324">
    <w:name w:val="font31"/>
    <w:qFormat/>
    <w:uiPriority w:val="0"/>
    <w:rPr>
      <w:rFonts w:hint="eastAsia" w:ascii="宋体" w:hAnsi="宋体" w:eastAsia="宋体" w:cs="宋体"/>
      <w:b/>
      <w:color w:val="FF0000"/>
      <w:sz w:val="24"/>
      <w:szCs w:val="24"/>
      <w:u w:val="none"/>
    </w:rPr>
  </w:style>
  <w:style w:type="character" w:customStyle="1" w:styleId="325">
    <w:name w:val="日期 字符"/>
    <w:semiHidden/>
    <w:qFormat/>
    <w:uiPriority w:val="99"/>
    <w:rPr>
      <w:kern w:val="2"/>
      <w:sz w:val="21"/>
      <w:szCs w:val="21"/>
    </w:rPr>
  </w:style>
  <w:style w:type="character" w:customStyle="1" w:styleId="326">
    <w:name w:val="文档结构图 Char1"/>
    <w:link w:val="18"/>
    <w:semiHidden/>
    <w:qFormat/>
    <w:locked/>
    <w:uiPriority w:val="99"/>
    <w:rPr>
      <w:kern w:val="2"/>
      <w:sz w:val="21"/>
      <w:szCs w:val="24"/>
      <w:shd w:val="clear" w:color="auto" w:fill="000080"/>
    </w:rPr>
  </w:style>
  <w:style w:type="character" w:customStyle="1" w:styleId="327">
    <w:name w:val="批注文字 Char"/>
    <w:qFormat/>
    <w:uiPriority w:val="99"/>
    <w:rPr>
      <w:kern w:val="2"/>
      <w:sz w:val="21"/>
      <w:szCs w:val="24"/>
    </w:rPr>
  </w:style>
  <w:style w:type="character" w:customStyle="1" w:styleId="328">
    <w:name w:val="标题 1 Char"/>
    <w:qFormat/>
    <w:locked/>
    <w:uiPriority w:val="0"/>
    <w:rPr>
      <w:rFonts w:eastAsia="宋体"/>
      <w:b/>
      <w:bCs/>
      <w:kern w:val="44"/>
      <w:sz w:val="44"/>
      <w:szCs w:val="44"/>
      <w:lang w:val="en-US" w:eastAsia="zh-CN" w:bidi="ar-SA"/>
    </w:rPr>
  </w:style>
  <w:style w:type="character" w:customStyle="1" w:styleId="329">
    <w:name w:val="未处理的提及1"/>
    <w:unhideWhenUsed/>
    <w:qFormat/>
    <w:uiPriority w:val="99"/>
    <w:rPr>
      <w:color w:val="605E5C"/>
      <w:shd w:val="clear" w:color="auto" w:fill="E1DFDD"/>
    </w:rPr>
  </w:style>
  <w:style w:type="character" w:customStyle="1" w:styleId="330">
    <w:name w:val="页脚 Char"/>
    <w:qFormat/>
    <w:locked/>
    <w:uiPriority w:val="99"/>
    <w:rPr>
      <w:rFonts w:eastAsia="宋体"/>
      <w:kern w:val="2"/>
      <w:sz w:val="18"/>
      <w:szCs w:val="18"/>
      <w:lang w:val="en-US" w:eastAsia="zh-CN" w:bidi="ar-SA"/>
    </w:rPr>
  </w:style>
  <w:style w:type="character" w:customStyle="1" w:styleId="331">
    <w:name w:val="不明显参考11"/>
    <w:qFormat/>
    <w:uiPriority w:val="31"/>
    <w:rPr>
      <w:smallCaps/>
      <w:color w:val="5A5A5A"/>
    </w:rPr>
  </w:style>
  <w:style w:type="character" w:customStyle="1" w:styleId="332">
    <w:name w:val="页眉 字符2"/>
    <w:qFormat/>
    <w:locked/>
    <w:uiPriority w:val="0"/>
    <w:rPr>
      <w:rFonts w:eastAsia="宋体"/>
      <w:kern w:val="2"/>
      <w:sz w:val="18"/>
      <w:szCs w:val="18"/>
      <w:lang w:val="en-US" w:eastAsia="zh-CN" w:bidi="ar-SA"/>
    </w:rPr>
  </w:style>
  <w:style w:type="paragraph" w:customStyle="1" w:styleId="333">
    <w:name w:val="附录图标题"/>
    <w:basedOn w:val="1"/>
    <w:next w:val="257"/>
    <w:qFormat/>
    <w:uiPriority w:val="99"/>
    <w:pPr>
      <w:tabs>
        <w:tab w:val="left" w:pos="363"/>
      </w:tabs>
      <w:adjustRightInd/>
      <w:spacing w:before="50" w:beforeLines="50" w:after="50" w:afterLines="50" w:line="360" w:lineRule="exact"/>
      <w:jc w:val="center"/>
    </w:pPr>
    <w:rPr>
      <w:rFonts w:ascii="黑体" w:eastAsia="黑体"/>
    </w:rPr>
  </w:style>
  <w:style w:type="character" w:customStyle="1" w:styleId="334">
    <w:name w:val="日期 字符2"/>
    <w:basedOn w:val="47"/>
    <w:semiHidden/>
    <w:qFormat/>
    <w:uiPriority w:val="99"/>
    <w:rPr>
      <w:rFonts w:cs="Times New Roman"/>
      <w:kern w:val="2"/>
      <w:sz w:val="21"/>
      <w:szCs w:val="21"/>
    </w:rPr>
  </w:style>
  <w:style w:type="paragraph" w:customStyle="1" w:styleId="335">
    <w:name w:val="目次、标准名称标题"/>
    <w:basedOn w:val="1"/>
    <w:next w:val="257"/>
    <w:qFormat/>
    <w:uiPriority w:val="99"/>
    <w:pPr>
      <w:keepNext/>
      <w:pageBreakBefore/>
      <w:widowControl/>
      <w:shd w:val="clear" w:color="FFFFFF" w:fill="FFFFFF"/>
      <w:adjustRightInd/>
      <w:spacing w:before="640" w:after="560" w:line="460" w:lineRule="exact"/>
      <w:jc w:val="center"/>
      <w:outlineLvl w:val="0"/>
    </w:pPr>
    <w:rPr>
      <w:rFonts w:ascii="黑体" w:eastAsia="黑体"/>
      <w:kern w:val="0"/>
      <w:sz w:val="32"/>
      <w:szCs w:val="20"/>
    </w:rPr>
  </w:style>
  <w:style w:type="paragraph" w:customStyle="1" w:styleId="336">
    <w:name w:val="附录标题"/>
    <w:basedOn w:val="257"/>
    <w:next w:val="257"/>
    <w:qFormat/>
    <w:uiPriority w:val="99"/>
    <w:pPr>
      <w:ind w:firstLine="0" w:firstLineChars="0"/>
      <w:jc w:val="center"/>
    </w:pPr>
    <w:rPr>
      <w:rFonts w:ascii="黑体" w:hAnsi="宋体" w:eastAsia="黑体"/>
      <w:szCs w:val="20"/>
    </w:rPr>
  </w:style>
  <w:style w:type="paragraph" w:customStyle="1" w:styleId="337">
    <w:name w:val="二级无"/>
    <w:basedOn w:val="338"/>
    <w:qFormat/>
    <w:uiPriority w:val="0"/>
    <w:pPr>
      <w:spacing w:before="0" w:beforeLines="0" w:after="0" w:afterLines="0"/>
    </w:pPr>
    <w:rPr>
      <w:rFonts w:ascii="宋体" w:hAnsi="宋体" w:eastAsia="宋体"/>
    </w:rPr>
  </w:style>
  <w:style w:type="paragraph" w:customStyle="1" w:styleId="338">
    <w:name w:val="二级条标题"/>
    <w:basedOn w:val="258"/>
    <w:next w:val="257"/>
    <w:qFormat/>
    <w:uiPriority w:val="0"/>
    <w:pPr>
      <w:numPr>
        <w:ilvl w:val="0"/>
        <w:numId w:val="0"/>
      </w:numPr>
      <w:spacing w:before="50" w:after="50" w:line="360" w:lineRule="exact"/>
      <w:outlineLvl w:val="3"/>
    </w:pPr>
    <w:rPr>
      <w:rFonts w:hAnsi="Calibri"/>
    </w:rPr>
  </w:style>
  <w:style w:type="paragraph" w:customStyle="1" w:styleId="339">
    <w:name w:val="Char11"/>
    <w:basedOn w:val="1"/>
    <w:qFormat/>
    <w:uiPriority w:val="0"/>
    <w:pPr>
      <w:widowControl/>
      <w:adjustRightInd/>
      <w:spacing w:after="160" w:line="240" w:lineRule="exact"/>
      <w:jc w:val="left"/>
    </w:pPr>
    <w:rPr>
      <w:rFonts w:ascii="Verdana" w:hAnsi="Verdana" w:eastAsia="仿宋_GB2312"/>
      <w:kern w:val="0"/>
      <w:sz w:val="24"/>
      <w:szCs w:val="32"/>
      <w:lang w:eastAsia="en-US"/>
    </w:rPr>
  </w:style>
  <w:style w:type="paragraph" w:customStyle="1" w:styleId="340">
    <w:name w:val="Char1"/>
    <w:basedOn w:val="1"/>
    <w:qFormat/>
    <w:uiPriority w:val="0"/>
    <w:pPr>
      <w:widowControl/>
      <w:adjustRightInd/>
      <w:spacing w:after="160" w:line="240" w:lineRule="exact"/>
      <w:jc w:val="left"/>
    </w:pPr>
    <w:rPr>
      <w:rFonts w:ascii="Verdana" w:hAnsi="Verdana" w:eastAsia="仿宋_GB2312"/>
      <w:kern w:val="0"/>
      <w:sz w:val="24"/>
      <w:szCs w:val="32"/>
      <w:lang w:eastAsia="en-US"/>
    </w:rPr>
  </w:style>
  <w:style w:type="paragraph" w:customStyle="1" w:styleId="341">
    <w:name w:val="封面标准英文名称2"/>
    <w:basedOn w:val="149"/>
    <w:qFormat/>
    <w:uiPriority w:val="99"/>
    <w:pPr>
      <w:framePr w:w="9639" w:h="6917" w:hRule="exact" w:wrap="around" w:vAnchor="page" w:hAnchor="page" w:xAlign="center" w:y="4469" w:anchorLock="1"/>
      <w:spacing w:before="370" w:line="400" w:lineRule="exact"/>
      <w:textAlignment w:val="center"/>
    </w:pPr>
    <w:rPr>
      <w:rFonts w:hAnsi="Calibri" w:eastAsia="黑体"/>
      <w:szCs w:val="28"/>
    </w:rPr>
  </w:style>
  <w:style w:type="paragraph" w:customStyle="1" w:styleId="342">
    <w:name w:val="注×：（正文）"/>
    <w:qFormat/>
    <w:uiPriority w:val="99"/>
    <w:pPr>
      <w:ind w:left="420" w:hanging="420"/>
      <w:jc w:val="both"/>
    </w:pPr>
    <w:rPr>
      <w:rFonts w:ascii="宋体" w:hAnsi="Calibri" w:eastAsia="宋体" w:cs="Times New Roman"/>
      <w:sz w:val="18"/>
      <w:szCs w:val="18"/>
      <w:lang w:val="en-US" w:eastAsia="zh-CN" w:bidi="ar-SA"/>
    </w:rPr>
  </w:style>
  <w:style w:type="character" w:customStyle="1" w:styleId="343">
    <w:name w:val="批注文字 字符2"/>
    <w:basedOn w:val="47"/>
    <w:semiHidden/>
    <w:qFormat/>
    <w:uiPriority w:val="99"/>
    <w:rPr>
      <w:rFonts w:cs="Times New Roman"/>
      <w:kern w:val="2"/>
      <w:sz w:val="21"/>
      <w:szCs w:val="21"/>
    </w:rPr>
  </w:style>
  <w:style w:type="paragraph" w:customStyle="1" w:styleId="344">
    <w:name w:val="列项●（二级）"/>
    <w:qFormat/>
    <w:uiPriority w:val="0"/>
    <w:pPr>
      <w:tabs>
        <w:tab w:val="left" w:pos="840"/>
      </w:tabs>
      <w:jc w:val="both"/>
    </w:pPr>
    <w:rPr>
      <w:rFonts w:ascii="宋体" w:hAnsi="Calibri" w:eastAsia="宋体" w:cs="Times New Roman"/>
      <w:sz w:val="21"/>
      <w:lang w:val="en-US" w:eastAsia="zh-CN" w:bidi="ar-SA"/>
    </w:rPr>
  </w:style>
  <w:style w:type="paragraph" w:customStyle="1" w:styleId="345">
    <w:name w:val="正文缩进2"/>
    <w:basedOn w:val="1"/>
    <w:qFormat/>
    <w:uiPriority w:val="0"/>
    <w:pPr>
      <w:adjustRightInd/>
      <w:spacing w:line="360" w:lineRule="exact"/>
      <w:ind w:firstLine="420" w:firstLineChars="200"/>
    </w:pPr>
    <w:rPr>
      <w:szCs w:val="24"/>
    </w:rPr>
  </w:style>
  <w:style w:type="paragraph" w:customStyle="1" w:styleId="346">
    <w:name w:val="编号列项（三级）"/>
    <w:qFormat/>
    <w:uiPriority w:val="99"/>
    <w:pPr>
      <w:numPr>
        <w:ilvl w:val="2"/>
        <w:numId w:val="7"/>
      </w:numPr>
      <w:tabs>
        <w:tab w:val="left" w:pos="0"/>
      </w:tabs>
    </w:pPr>
    <w:rPr>
      <w:rFonts w:ascii="宋体" w:hAnsi="Calibri" w:eastAsia="宋体" w:cs="Times New Roman"/>
      <w:sz w:val="21"/>
      <w:lang w:val="en-US" w:eastAsia="zh-CN" w:bidi="ar-SA"/>
    </w:rPr>
  </w:style>
  <w:style w:type="paragraph" w:customStyle="1" w:styleId="347">
    <w:name w:val="四级无"/>
    <w:basedOn w:val="348"/>
    <w:qFormat/>
    <w:uiPriority w:val="99"/>
    <w:pPr>
      <w:spacing w:before="0" w:beforeLines="0" w:after="0" w:afterLines="0"/>
    </w:pPr>
    <w:rPr>
      <w:rFonts w:ascii="宋体" w:eastAsia="宋体"/>
    </w:rPr>
  </w:style>
  <w:style w:type="paragraph" w:customStyle="1" w:styleId="348">
    <w:name w:val="四级条标题"/>
    <w:basedOn w:val="349"/>
    <w:next w:val="257"/>
    <w:qFormat/>
    <w:uiPriority w:val="99"/>
    <w:pPr>
      <w:numPr>
        <w:ilvl w:val="4"/>
      </w:numPr>
      <w:outlineLvl w:val="5"/>
    </w:pPr>
  </w:style>
  <w:style w:type="paragraph" w:customStyle="1" w:styleId="349">
    <w:name w:val="三级条标题"/>
    <w:basedOn w:val="338"/>
    <w:next w:val="257"/>
    <w:qFormat/>
    <w:uiPriority w:val="99"/>
    <w:pPr>
      <w:outlineLvl w:val="4"/>
    </w:pPr>
  </w:style>
  <w:style w:type="paragraph" w:customStyle="1" w:styleId="350">
    <w:name w:val="附录公式编号制表符"/>
    <w:basedOn w:val="1"/>
    <w:next w:val="257"/>
    <w:qFormat/>
    <w:uiPriority w:val="99"/>
    <w:pPr>
      <w:widowControl/>
      <w:tabs>
        <w:tab w:val="center" w:pos="4201"/>
        <w:tab w:val="right" w:leader="dot" w:pos="9298"/>
      </w:tabs>
      <w:autoSpaceDE w:val="0"/>
      <w:autoSpaceDN w:val="0"/>
      <w:adjustRightInd/>
      <w:spacing w:line="360" w:lineRule="exact"/>
    </w:pPr>
    <w:rPr>
      <w:rFonts w:ascii="宋体"/>
      <w:kern w:val="0"/>
      <w:szCs w:val="20"/>
    </w:rPr>
  </w:style>
  <w:style w:type="paragraph" w:customStyle="1" w:styleId="351">
    <w:name w:val="附录数字编号列项（二级）"/>
    <w:qFormat/>
    <w:uiPriority w:val="99"/>
    <w:pPr>
      <w:tabs>
        <w:tab w:val="left" w:pos="840"/>
        <w:tab w:val="left" w:pos="992"/>
      </w:tabs>
    </w:pPr>
    <w:rPr>
      <w:rFonts w:ascii="宋体" w:hAnsi="Calibri" w:eastAsia="宋体" w:cs="Times New Roman"/>
      <w:sz w:val="21"/>
      <w:lang w:val="en-US" w:eastAsia="zh-CN" w:bidi="ar-SA"/>
    </w:rPr>
  </w:style>
  <w:style w:type="paragraph" w:customStyle="1" w:styleId="352">
    <w:name w:val="三级无"/>
    <w:basedOn w:val="349"/>
    <w:qFormat/>
    <w:uiPriority w:val="0"/>
    <w:pPr>
      <w:spacing w:before="0" w:beforeLines="0" w:after="0" w:afterLines="0"/>
    </w:pPr>
    <w:rPr>
      <w:rFonts w:ascii="宋体" w:eastAsia="宋体"/>
    </w:rPr>
  </w:style>
  <w:style w:type="paragraph" w:customStyle="1" w:styleId="353">
    <w:name w:val="示例"/>
    <w:next w:val="354"/>
    <w:qFormat/>
    <w:uiPriority w:val="0"/>
    <w:pPr>
      <w:widowControl w:val="0"/>
      <w:jc w:val="both"/>
    </w:pPr>
    <w:rPr>
      <w:rFonts w:ascii="宋体" w:hAnsi="Calibri" w:eastAsia="宋体" w:cs="Times New Roman"/>
      <w:sz w:val="18"/>
      <w:szCs w:val="18"/>
      <w:lang w:val="en-US" w:eastAsia="zh-CN" w:bidi="ar-SA"/>
    </w:rPr>
  </w:style>
  <w:style w:type="paragraph" w:customStyle="1" w:styleId="354">
    <w:name w:val="示例内容"/>
    <w:qFormat/>
    <w:uiPriority w:val="0"/>
    <w:rPr>
      <w:rFonts w:ascii="宋体" w:hAnsi="Calibri" w:eastAsia="宋体" w:cs="Times New Roman"/>
      <w:sz w:val="18"/>
      <w:szCs w:val="18"/>
      <w:lang w:val="en-US" w:eastAsia="zh-CN" w:bidi="ar-SA"/>
    </w:rPr>
  </w:style>
  <w:style w:type="paragraph" w:customStyle="1" w:styleId="355">
    <w:name w:val="一级无"/>
    <w:basedOn w:val="258"/>
    <w:qFormat/>
    <w:uiPriority w:val="0"/>
    <w:pPr>
      <w:numPr>
        <w:ilvl w:val="0"/>
        <w:numId w:val="0"/>
      </w:numPr>
      <w:spacing w:beforeLines="0" w:afterLines="0" w:line="360" w:lineRule="exact"/>
    </w:pPr>
    <w:rPr>
      <w:rFonts w:ascii="宋体" w:hAnsi="Calibri" w:eastAsia="宋体"/>
    </w:rPr>
  </w:style>
  <w:style w:type="paragraph" w:customStyle="1" w:styleId="356">
    <w:name w:val="封面标准号2"/>
    <w:qFormat/>
    <w:uiPriority w:val="99"/>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57">
    <w:name w:val="附录二级无"/>
    <w:basedOn w:val="358"/>
    <w:qFormat/>
    <w:uiPriority w:val="99"/>
    <w:pPr>
      <w:tabs>
        <w:tab w:val="left" w:pos="360"/>
        <w:tab w:val="left" w:pos="1680"/>
      </w:tabs>
      <w:spacing w:before="0" w:beforeLines="0" w:after="0" w:afterLines="0"/>
    </w:pPr>
    <w:rPr>
      <w:rFonts w:ascii="宋体" w:eastAsia="宋体"/>
      <w:szCs w:val="21"/>
    </w:rPr>
  </w:style>
  <w:style w:type="paragraph" w:customStyle="1" w:styleId="358">
    <w:name w:val="附录二级条标题"/>
    <w:basedOn w:val="1"/>
    <w:next w:val="257"/>
    <w:qFormat/>
    <w:uiPriority w:val="99"/>
    <w:pPr>
      <w:widowControl/>
      <w:tabs>
        <w:tab w:val="left" w:pos="360"/>
        <w:tab w:val="left" w:pos="1680"/>
      </w:tabs>
      <w:wordWrap w:val="0"/>
      <w:overflowPunct w:val="0"/>
      <w:autoSpaceDE w:val="0"/>
      <w:autoSpaceDN w:val="0"/>
      <w:adjustRightInd/>
      <w:spacing w:before="50" w:beforeLines="50" w:after="50" w:afterLines="50" w:line="360" w:lineRule="exact"/>
      <w:ind w:left="1588"/>
      <w:textAlignment w:val="baseline"/>
      <w:outlineLvl w:val="3"/>
    </w:pPr>
    <w:rPr>
      <w:rFonts w:ascii="黑体" w:eastAsia="黑体"/>
      <w:kern w:val="21"/>
      <w:szCs w:val="20"/>
    </w:rPr>
  </w:style>
  <w:style w:type="paragraph" w:customStyle="1" w:styleId="359">
    <w:name w:val="列项说明数字编号"/>
    <w:qFormat/>
    <w:uiPriority w:val="99"/>
    <w:pPr>
      <w:ind w:left="600" w:leftChars="400" w:hanging="200" w:hangingChars="200"/>
    </w:pPr>
    <w:rPr>
      <w:rFonts w:ascii="宋体" w:hAnsi="Calibri" w:eastAsia="宋体" w:cs="Times New Roman"/>
      <w:sz w:val="21"/>
      <w:lang w:val="en-US" w:eastAsia="zh-CN" w:bidi="ar-SA"/>
    </w:rPr>
  </w:style>
  <w:style w:type="paragraph" w:customStyle="1" w:styleId="360">
    <w:name w:val="五级无"/>
    <w:basedOn w:val="361"/>
    <w:qFormat/>
    <w:uiPriority w:val="0"/>
    <w:pPr>
      <w:spacing w:before="0" w:beforeLines="0" w:after="0" w:afterLines="0"/>
    </w:pPr>
    <w:rPr>
      <w:rFonts w:ascii="宋体" w:eastAsia="宋体"/>
    </w:rPr>
  </w:style>
  <w:style w:type="paragraph" w:customStyle="1" w:styleId="361">
    <w:name w:val="五级条标题"/>
    <w:basedOn w:val="348"/>
    <w:next w:val="257"/>
    <w:qFormat/>
    <w:uiPriority w:val="99"/>
    <w:pPr>
      <w:numPr>
        <w:ilvl w:val="5"/>
      </w:numPr>
      <w:outlineLvl w:val="6"/>
    </w:pPr>
  </w:style>
  <w:style w:type="paragraph" w:customStyle="1" w:styleId="362">
    <w:name w:val="列项◆（三级）"/>
    <w:basedOn w:val="1"/>
    <w:qFormat/>
    <w:uiPriority w:val="99"/>
    <w:pPr>
      <w:numPr>
        <w:ilvl w:val="2"/>
        <w:numId w:val="9"/>
      </w:numPr>
      <w:tabs>
        <w:tab w:val="left" w:pos="1678"/>
      </w:tabs>
      <w:adjustRightInd/>
      <w:spacing w:line="360" w:lineRule="exact"/>
    </w:pPr>
    <w:rPr>
      <w:rFonts w:ascii="宋体"/>
    </w:rPr>
  </w:style>
  <w:style w:type="paragraph" w:customStyle="1" w:styleId="363">
    <w:name w:val="封面一致性程度标识2"/>
    <w:basedOn w:val="150"/>
    <w:qFormat/>
    <w:uiPriority w:val="99"/>
    <w:pPr>
      <w:framePr w:w="9639" w:h="6917" w:hRule="exact" w:wrap="around" w:vAnchor="page" w:hAnchor="page" w:xAlign="center" w:y="4469" w:anchorLock="1"/>
      <w:widowControl w:val="0"/>
      <w:spacing w:line="400" w:lineRule="exact"/>
      <w:textAlignment w:val="center"/>
    </w:pPr>
    <w:rPr>
      <w:rFonts w:ascii="宋体" w:hAnsi="Calibri"/>
      <w:szCs w:val="28"/>
    </w:rPr>
  </w:style>
  <w:style w:type="paragraph" w:customStyle="1" w:styleId="364">
    <w:name w:val="标准书眉_奇数页"/>
    <w:next w:val="1"/>
    <w:qFormat/>
    <w:uiPriority w:val="99"/>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365">
    <w:name w:val="附录四级无"/>
    <w:basedOn w:val="366"/>
    <w:qFormat/>
    <w:uiPriority w:val="99"/>
    <w:pPr>
      <w:tabs>
        <w:tab w:val="left" w:pos="360"/>
        <w:tab w:val="left" w:pos="1680"/>
        <w:tab w:val="left" w:pos="2520"/>
      </w:tabs>
      <w:spacing w:before="0" w:beforeLines="0" w:after="0" w:afterLines="0"/>
    </w:pPr>
    <w:rPr>
      <w:rFonts w:ascii="宋体" w:eastAsia="宋体"/>
      <w:szCs w:val="21"/>
    </w:rPr>
  </w:style>
  <w:style w:type="paragraph" w:customStyle="1" w:styleId="366">
    <w:name w:val="附录四级条标题"/>
    <w:basedOn w:val="367"/>
    <w:next w:val="257"/>
    <w:qFormat/>
    <w:uiPriority w:val="99"/>
    <w:pPr>
      <w:tabs>
        <w:tab w:val="left" w:pos="360"/>
        <w:tab w:val="left" w:pos="1680"/>
        <w:tab w:val="left" w:pos="2520"/>
      </w:tabs>
      <w:ind w:left="2520" w:hanging="420"/>
      <w:outlineLvl w:val="5"/>
    </w:pPr>
  </w:style>
  <w:style w:type="paragraph" w:customStyle="1" w:styleId="367">
    <w:name w:val="附录三级条标题"/>
    <w:basedOn w:val="358"/>
    <w:next w:val="257"/>
    <w:qFormat/>
    <w:uiPriority w:val="99"/>
    <w:pPr>
      <w:outlineLvl w:val="4"/>
    </w:pPr>
  </w:style>
  <w:style w:type="paragraph" w:customStyle="1" w:styleId="368">
    <w:name w:val="附录表标号"/>
    <w:basedOn w:val="1"/>
    <w:next w:val="257"/>
    <w:qFormat/>
    <w:uiPriority w:val="99"/>
    <w:pPr>
      <w:tabs>
        <w:tab w:val="left" w:pos="760"/>
      </w:tabs>
      <w:adjustRightInd/>
      <w:spacing w:line="14" w:lineRule="exact"/>
      <w:ind w:left="811" w:hanging="448"/>
      <w:jc w:val="center"/>
      <w:outlineLvl w:val="0"/>
    </w:pPr>
    <w:rPr>
      <w:color w:val="FFFFFF"/>
      <w:szCs w:val="24"/>
    </w:rPr>
  </w:style>
  <w:style w:type="paragraph" w:customStyle="1" w:styleId="369">
    <w:name w:val="附录五级条标题"/>
    <w:basedOn w:val="366"/>
    <w:next w:val="257"/>
    <w:qFormat/>
    <w:uiPriority w:val="99"/>
    <w:pPr>
      <w:outlineLvl w:val="6"/>
    </w:pPr>
  </w:style>
  <w:style w:type="paragraph" w:customStyle="1" w:styleId="370">
    <w:name w:val="修订1"/>
    <w:unhideWhenUsed/>
    <w:qFormat/>
    <w:uiPriority w:val="99"/>
    <w:rPr>
      <w:rFonts w:ascii="Calibri" w:hAnsi="Calibri" w:eastAsia="宋体" w:cs="Times New Roman"/>
      <w:kern w:val="2"/>
      <w:sz w:val="21"/>
      <w:szCs w:val="24"/>
      <w:lang w:val="en-US" w:eastAsia="zh-CN" w:bidi="ar-SA"/>
    </w:rPr>
  </w:style>
  <w:style w:type="paragraph" w:customStyle="1" w:styleId="371">
    <w:name w:val="TOC 标题11"/>
    <w:basedOn w:val="2"/>
    <w:next w:val="1"/>
    <w:qFormat/>
    <w:uiPriority w:val="99"/>
    <w:pPr>
      <w:widowControl/>
      <w:adjustRightInd/>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372">
    <w:name w:val="Char Char Char Char"/>
    <w:basedOn w:val="1"/>
    <w:qFormat/>
    <w:uiPriority w:val="99"/>
    <w:pPr>
      <w:widowControl/>
      <w:spacing w:after="160" w:line="240" w:lineRule="exact"/>
      <w:jc w:val="left"/>
    </w:pPr>
    <w:rPr>
      <w:rFonts w:ascii="Arial" w:hAnsi="Arial" w:eastAsia="Times New Roman" w:cs="Verdana"/>
      <w:b/>
      <w:kern w:val="0"/>
      <w:sz w:val="24"/>
      <w:szCs w:val="24"/>
      <w:lang w:eastAsia="en-US"/>
    </w:rPr>
  </w:style>
  <w:style w:type="paragraph" w:customStyle="1" w:styleId="373">
    <w:name w:val="附录三级无"/>
    <w:basedOn w:val="367"/>
    <w:qFormat/>
    <w:uiPriority w:val="99"/>
    <w:pPr>
      <w:tabs>
        <w:tab w:val="clear" w:pos="360"/>
      </w:tabs>
      <w:spacing w:before="0" w:beforeLines="0" w:after="0" w:afterLines="0"/>
    </w:pPr>
    <w:rPr>
      <w:rFonts w:ascii="宋体" w:eastAsia="宋体"/>
      <w:szCs w:val="21"/>
    </w:rPr>
  </w:style>
  <w:style w:type="paragraph" w:customStyle="1" w:styleId="374">
    <w:name w:val="附录图标号"/>
    <w:basedOn w:val="1"/>
    <w:qFormat/>
    <w:uiPriority w:val="99"/>
    <w:pPr>
      <w:keepNext/>
      <w:pageBreakBefore/>
      <w:widowControl/>
      <w:adjustRightInd/>
      <w:spacing w:line="14" w:lineRule="exact"/>
      <w:ind w:firstLine="363"/>
      <w:jc w:val="center"/>
      <w:outlineLvl w:val="0"/>
    </w:pPr>
    <w:rPr>
      <w:color w:val="FFFFFF"/>
      <w:szCs w:val="24"/>
    </w:rPr>
  </w:style>
  <w:style w:type="paragraph" w:customStyle="1" w:styleId="375">
    <w:name w:val="前言、引言标题"/>
    <w:next w:val="257"/>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376">
    <w:name w:val="其他标准标志"/>
    <w:basedOn w:val="73"/>
    <w:qFormat/>
    <w:uiPriority w:val="99"/>
    <w:pPr>
      <w:framePr w:w="6101" w:h="1389" w:hRule="exact" w:hSpace="181" w:vSpace="181" w:vAnchor="page" w:hAnchor="page" w:x="4673" w:y="942"/>
    </w:pPr>
    <w:rPr>
      <w:rFonts w:ascii="Calibri" w:hAnsi="Calibri"/>
      <w:szCs w:val="96"/>
    </w:rPr>
  </w:style>
  <w:style w:type="paragraph" w:customStyle="1" w:styleId="377">
    <w:name w:val="附录章标题"/>
    <w:next w:val="257"/>
    <w:qFormat/>
    <w:uiPriority w:val="99"/>
    <w:pPr>
      <w:numPr>
        <w:ilvl w:val="1"/>
        <w:numId w:val="10"/>
      </w:numPr>
      <w:tabs>
        <w:tab w:val="left" w:pos="360"/>
        <w:tab w:val="left" w:pos="840"/>
      </w:tabs>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 w:type="paragraph" w:customStyle="1" w:styleId="378">
    <w:name w:val="附录标识"/>
    <w:basedOn w:val="1"/>
    <w:next w:val="257"/>
    <w:qFormat/>
    <w:uiPriority w:val="0"/>
    <w:pPr>
      <w:keepNext/>
      <w:widowControl/>
      <w:shd w:val="clear" w:color="FFFFFF" w:fill="FFFFFF"/>
      <w:tabs>
        <w:tab w:val="left" w:pos="360"/>
        <w:tab w:val="left" w:pos="6405"/>
      </w:tabs>
      <w:adjustRightInd/>
      <w:spacing w:before="640" w:after="280" w:line="360" w:lineRule="exact"/>
      <w:jc w:val="center"/>
      <w:outlineLvl w:val="0"/>
    </w:pPr>
    <w:rPr>
      <w:rFonts w:ascii="黑体" w:eastAsia="黑体"/>
      <w:kern w:val="0"/>
      <w:szCs w:val="20"/>
    </w:rPr>
  </w:style>
  <w:style w:type="paragraph" w:customStyle="1" w:styleId="379">
    <w:name w:val="附录一级条标题"/>
    <w:basedOn w:val="377"/>
    <w:next w:val="257"/>
    <w:qFormat/>
    <w:uiPriority w:val="99"/>
    <w:pPr>
      <w:numPr>
        <w:ilvl w:val="0"/>
        <w:numId w:val="0"/>
      </w:numPr>
      <w:tabs>
        <w:tab w:val="left" w:pos="1260"/>
      </w:tabs>
      <w:autoSpaceDN w:val="0"/>
      <w:spacing w:before="50" w:beforeLines="50" w:after="50" w:afterLines="50"/>
      <w:ind w:left="1260" w:hanging="420"/>
      <w:outlineLvl w:val="2"/>
    </w:pPr>
  </w:style>
  <w:style w:type="paragraph" w:customStyle="1" w:styleId="380">
    <w:name w:val="注："/>
    <w:next w:val="257"/>
    <w:qFormat/>
    <w:uiPriority w:val="99"/>
    <w:pPr>
      <w:widowControl w:val="0"/>
      <w:autoSpaceDE w:val="0"/>
      <w:autoSpaceDN w:val="0"/>
      <w:ind w:left="3260"/>
      <w:jc w:val="both"/>
    </w:pPr>
    <w:rPr>
      <w:rFonts w:ascii="宋体" w:hAnsi="Calibri" w:eastAsia="宋体" w:cs="Times New Roman"/>
      <w:sz w:val="18"/>
      <w:szCs w:val="18"/>
      <w:lang w:val="en-US" w:eastAsia="zh-CN" w:bidi="ar-SA"/>
    </w:rPr>
  </w:style>
  <w:style w:type="paragraph" w:customStyle="1" w:styleId="381">
    <w:name w:val="注：（正文）"/>
    <w:basedOn w:val="380"/>
    <w:next w:val="257"/>
    <w:qFormat/>
    <w:uiPriority w:val="99"/>
  </w:style>
  <w:style w:type="paragraph" w:customStyle="1" w:styleId="382">
    <w:name w:val="_Style 150"/>
    <w:basedOn w:val="1"/>
    <w:next w:val="254"/>
    <w:qFormat/>
    <w:uiPriority w:val="0"/>
    <w:pPr>
      <w:adjustRightInd/>
      <w:spacing w:line="360" w:lineRule="exact"/>
      <w:ind w:firstLine="420" w:firstLineChars="200"/>
    </w:pPr>
  </w:style>
  <w:style w:type="paragraph" w:customStyle="1" w:styleId="383">
    <w:name w:val="图标脚注说明"/>
    <w:basedOn w:val="257"/>
    <w:qFormat/>
    <w:uiPriority w:val="99"/>
    <w:pPr>
      <w:ind w:left="840" w:hanging="420" w:firstLineChars="0"/>
    </w:pPr>
    <w:rPr>
      <w:rFonts w:hAnsi="宋体"/>
      <w:sz w:val="18"/>
      <w:szCs w:val="18"/>
    </w:rPr>
  </w:style>
  <w:style w:type="paragraph" w:customStyle="1" w:styleId="384">
    <w:name w:val="示例后文字"/>
    <w:basedOn w:val="257"/>
    <w:next w:val="257"/>
    <w:qFormat/>
    <w:uiPriority w:val="99"/>
    <w:pPr>
      <w:ind w:firstLine="360" w:firstLineChars="0"/>
    </w:pPr>
    <w:rPr>
      <w:rFonts w:hAnsi="宋体"/>
      <w:sz w:val="18"/>
      <w:szCs w:val="20"/>
    </w:rPr>
  </w:style>
  <w:style w:type="paragraph" w:customStyle="1" w:styleId="385">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386">
    <w:name w:val="图的脚注"/>
    <w:next w:val="257"/>
    <w:qFormat/>
    <w:uiPriority w:val="99"/>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387">
    <w:name w:val="_Style 235"/>
    <w:basedOn w:val="1"/>
    <w:next w:val="254"/>
    <w:qFormat/>
    <w:uiPriority w:val="34"/>
    <w:pPr>
      <w:adjustRightInd/>
      <w:spacing w:line="360" w:lineRule="exact"/>
      <w:ind w:firstLine="420" w:firstLineChars="200"/>
    </w:pPr>
    <w:rPr>
      <w:szCs w:val="24"/>
    </w:rPr>
  </w:style>
  <w:style w:type="paragraph" w:customStyle="1" w:styleId="388">
    <w:name w:val="四级标题"/>
    <w:basedOn w:val="1"/>
    <w:qFormat/>
    <w:uiPriority w:val="0"/>
    <w:pPr>
      <w:numPr>
        <w:ilvl w:val="2"/>
        <w:numId w:val="11"/>
      </w:numPr>
      <w:adjustRightInd/>
      <w:spacing w:before="50" w:beforeLines="50" w:after="50" w:afterLines="50" w:line="360" w:lineRule="exact"/>
      <w:outlineLvl w:val="3"/>
    </w:pPr>
    <w:rPr>
      <w:rFonts w:eastAsia="黑体"/>
      <w:szCs w:val="24"/>
    </w:rPr>
  </w:style>
  <w:style w:type="paragraph" w:customStyle="1" w:styleId="389">
    <w:name w:val="封面标准文稿类别2"/>
    <w:basedOn w:val="148"/>
    <w:qFormat/>
    <w:uiPriority w:val="99"/>
    <w:pPr>
      <w:framePr w:w="9639" w:h="6917" w:hRule="exact" w:wrap="around" w:vAnchor="page" w:hAnchor="page" w:xAlign="center" w:y="4469" w:anchorLock="1"/>
      <w:widowControl w:val="0"/>
      <w:spacing w:after="160" w:line="240" w:lineRule="auto"/>
      <w:textAlignment w:val="center"/>
    </w:pPr>
    <w:rPr>
      <w:rFonts w:hAnsi="Calibri"/>
      <w:szCs w:val="28"/>
    </w:rPr>
  </w:style>
  <w:style w:type="paragraph" w:customStyle="1" w:styleId="390">
    <w:name w:val="TOC 标题12"/>
    <w:basedOn w:val="2"/>
    <w:next w:val="1"/>
    <w:qFormat/>
    <w:uiPriority w:val="39"/>
    <w:pPr>
      <w:widowControl/>
      <w:adjustRightInd/>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391">
    <w:name w:val="附录五级无"/>
    <w:basedOn w:val="369"/>
    <w:qFormat/>
    <w:uiPriority w:val="0"/>
    <w:pPr>
      <w:tabs>
        <w:tab w:val="clear" w:pos="360"/>
      </w:tabs>
      <w:spacing w:before="0" w:beforeLines="0" w:after="0" w:afterLines="0"/>
    </w:pPr>
    <w:rPr>
      <w:rFonts w:ascii="宋体" w:eastAsia="宋体"/>
      <w:szCs w:val="21"/>
    </w:rPr>
  </w:style>
  <w:style w:type="paragraph" w:customStyle="1" w:styleId="392">
    <w:name w:val="封面标准名称2"/>
    <w:basedOn w:val="146"/>
    <w:qFormat/>
    <w:uiPriority w:val="99"/>
    <w:pPr>
      <w:framePr w:w="9639" w:vAnchor="page" w:hAnchor="page" w:y="4469"/>
      <w:spacing w:before="630" w:beforeLines="630"/>
    </w:pPr>
    <w:rPr>
      <w:rFonts w:hAnsi="Calibri"/>
    </w:rPr>
  </w:style>
  <w:style w:type="paragraph" w:customStyle="1" w:styleId="393">
    <w:name w:val="附录表标题"/>
    <w:basedOn w:val="1"/>
    <w:next w:val="257"/>
    <w:qFormat/>
    <w:uiPriority w:val="99"/>
    <w:pPr>
      <w:numPr>
        <w:ilvl w:val="1"/>
        <w:numId w:val="12"/>
      </w:numPr>
      <w:tabs>
        <w:tab w:val="left" w:pos="180"/>
        <w:tab w:val="left" w:pos="840"/>
      </w:tabs>
      <w:adjustRightInd/>
      <w:spacing w:before="50" w:beforeLines="50" w:after="50" w:afterLines="50" w:line="360" w:lineRule="exact"/>
      <w:ind w:left="0" w:firstLine="0"/>
      <w:jc w:val="center"/>
    </w:pPr>
    <w:rPr>
      <w:rFonts w:ascii="黑体" w:eastAsia="黑体"/>
    </w:rPr>
  </w:style>
  <w:style w:type="paragraph" w:customStyle="1" w:styleId="394">
    <w:name w:val="样式"/>
    <w:basedOn w:val="1"/>
    <w:next w:val="1"/>
    <w:qFormat/>
    <w:uiPriority w:val="99"/>
    <w:pPr>
      <w:tabs>
        <w:tab w:val="right" w:leader="dot" w:pos="9241"/>
      </w:tabs>
      <w:adjustRightInd/>
      <w:spacing w:line="360" w:lineRule="exact"/>
    </w:pPr>
    <w:rPr>
      <w:rFonts w:ascii="宋体" w:cs="宋体"/>
    </w:rPr>
  </w:style>
  <w:style w:type="paragraph" w:customStyle="1" w:styleId="395">
    <w:name w:val="封面标准号1"/>
    <w:qFormat/>
    <w:uiPriority w:val="99"/>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character" w:customStyle="1" w:styleId="396">
    <w:name w:val="尾注文本 字符2"/>
    <w:basedOn w:val="47"/>
    <w:semiHidden/>
    <w:qFormat/>
    <w:uiPriority w:val="99"/>
    <w:rPr>
      <w:rFonts w:cs="Times New Roman"/>
      <w:kern w:val="2"/>
      <w:sz w:val="21"/>
      <w:szCs w:val="21"/>
    </w:rPr>
  </w:style>
  <w:style w:type="paragraph" w:customStyle="1" w:styleId="397">
    <w:name w:val="终结线"/>
    <w:basedOn w:val="1"/>
    <w:qFormat/>
    <w:uiPriority w:val="99"/>
    <w:pPr>
      <w:framePr w:hSpace="181" w:vSpace="181" w:wrap="around" w:vAnchor="text" w:hAnchor="margin" w:xAlign="center" w:y="285"/>
      <w:adjustRightInd/>
      <w:spacing w:line="360" w:lineRule="exact"/>
    </w:pPr>
    <w:rPr>
      <w:szCs w:val="24"/>
    </w:rPr>
  </w:style>
  <w:style w:type="paragraph" w:customStyle="1" w:styleId="398">
    <w:name w:val="参考文献"/>
    <w:basedOn w:val="1"/>
    <w:next w:val="257"/>
    <w:qFormat/>
    <w:uiPriority w:val="99"/>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399">
    <w:name w:val="附录一级无"/>
    <w:basedOn w:val="379"/>
    <w:qFormat/>
    <w:uiPriority w:val="99"/>
    <w:pPr>
      <w:spacing w:before="0" w:beforeLines="0" w:after="0" w:afterLines="0"/>
    </w:pPr>
    <w:rPr>
      <w:rFonts w:ascii="宋体" w:eastAsia="宋体"/>
      <w:szCs w:val="21"/>
    </w:rPr>
  </w:style>
  <w:style w:type="paragraph" w:customStyle="1" w:styleId="400">
    <w:name w:val="正文图标题"/>
    <w:next w:val="257"/>
    <w:qFormat/>
    <w:uiPriority w:val="99"/>
    <w:pPr>
      <w:tabs>
        <w:tab w:val="left" w:pos="360"/>
      </w:tabs>
      <w:spacing w:before="156" w:beforeLines="50" w:after="156" w:afterLines="50"/>
      <w:ind w:left="1588"/>
      <w:jc w:val="center"/>
    </w:pPr>
    <w:rPr>
      <w:rFonts w:ascii="黑体" w:hAnsi="Calibri" w:eastAsia="黑体" w:cs="Times New Roman"/>
      <w:sz w:val="21"/>
      <w:lang w:val="en-US" w:eastAsia="zh-CN" w:bidi="ar-SA"/>
    </w:rPr>
  </w:style>
  <w:style w:type="paragraph" w:customStyle="1" w:styleId="401">
    <w:name w:val="封面标准文稿编辑信息2"/>
    <w:basedOn w:val="147"/>
    <w:qFormat/>
    <w:uiPriority w:val="99"/>
    <w:pPr>
      <w:framePr w:w="9639" w:h="6917" w:hRule="exact" w:wrap="around" w:vAnchor="page" w:hAnchor="page" w:xAlign="center" w:y="4469" w:anchorLock="1"/>
      <w:widowControl w:val="0"/>
      <w:spacing w:after="160"/>
      <w:textAlignment w:val="center"/>
    </w:pPr>
    <w:rPr>
      <w:rFonts w:hAnsi="Calibri"/>
      <w:szCs w:val="28"/>
    </w:rPr>
  </w:style>
  <w:style w:type="paragraph" w:customStyle="1" w:styleId="402">
    <w:name w:val="列项——（一级）"/>
    <w:qFormat/>
    <w:uiPriority w:val="99"/>
    <w:pPr>
      <w:widowControl w:val="0"/>
      <w:jc w:val="both"/>
    </w:pPr>
    <w:rPr>
      <w:rFonts w:ascii="宋体" w:hAnsi="Calibri" w:eastAsia="宋体" w:cs="Times New Roman"/>
      <w:sz w:val="21"/>
      <w:lang w:val="en-US" w:eastAsia="zh-CN" w:bidi="ar-SA"/>
    </w:rPr>
  </w:style>
  <w:style w:type="paragraph" w:customStyle="1" w:styleId="403">
    <w:name w:val="正文公式编号制表符"/>
    <w:basedOn w:val="257"/>
    <w:next w:val="257"/>
    <w:qFormat/>
    <w:uiPriority w:val="99"/>
    <w:pPr>
      <w:ind w:firstLine="0" w:firstLineChars="0"/>
    </w:pPr>
    <w:rPr>
      <w:rFonts w:hAnsi="宋体"/>
      <w:szCs w:val="20"/>
    </w:rPr>
  </w:style>
  <w:style w:type="character" w:customStyle="1" w:styleId="404">
    <w:name w:val="批注主题 字符3"/>
    <w:basedOn w:val="343"/>
    <w:semiHidden/>
    <w:qFormat/>
    <w:uiPriority w:val="99"/>
    <w:rPr>
      <w:rFonts w:cs="Times New Roman"/>
      <w:b/>
      <w:bCs/>
      <w:kern w:val="2"/>
      <w:sz w:val="21"/>
      <w:szCs w:val="21"/>
    </w:rPr>
  </w:style>
  <w:style w:type="paragraph" w:customStyle="1" w:styleId="405">
    <w:name w:val="条文脚注"/>
    <w:basedOn w:val="37"/>
    <w:qFormat/>
    <w:uiPriority w:val="99"/>
    <w:pPr>
      <w:tabs>
        <w:tab w:val="left" w:pos="0"/>
      </w:tabs>
      <w:spacing w:line="360" w:lineRule="exact"/>
      <w:ind w:left="0" w:leftChars="0" w:firstLine="0" w:firstLineChars="0"/>
      <w:jc w:val="both"/>
    </w:pPr>
    <w:rPr>
      <w:lang w:val="zh-CN"/>
    </w:rPr>
  </w:style>
  <w:style w:type="paragraph" w:customStyle="1" w:styleId="406">
    <w:name w:val="列项说明"/>
    <w:basedOn w:val="1"/>
    <w:qFormat/>
    <w:uiPriority w:val="99"/>
    <w:pPr>
      <w:spacing w:line="320" w:lineRule="exact"/>
      <w:ind w:left="400" w:leftChars="200" w:hanging="200" w:hangingChars="200"/>
      <w:jc w:val="left"/>
      <w:textAlignment w:val="baseline"/>
    </w:pPr>
    <w:rPr>
      <w:rFonts w:ascii="宋体"/>
      <w:kern w:val="0"/>
      <w:szCs w:val="20"/>
    </w:rPr>
  </w:style>
  <w:style w:type="paragraph" w:customStyle="1" w:styleId="407">
    <w:name w:val="数字编号列项（二级）"/>
    <w:qFormat/>
    <w:uiPriority w:val="99"/>
    <w:pPr>
      <w:numPr>
        <w:ilvl w:val="1"/>
        <w:numId w:val="7"/>
      </w:numPr>
      <w:tabs>
        <w:tab w:val="left" w:pos="1260"/>
      </w:tabs>
      <w:jc w:val="both"/>
    </w:pPr>
    <w:rPr>
      <w:rFonts w:ascii="宋体" w:hAnsi="Calibri" w:eastAsia="宋体" w:cs="Times New Roman"/>
      <w:sz w:val="21"/>
      <w:lang w:val="en-US" w:eastAsia="zh-CN" w:bidi="ar-SA"/>
    </w:rPr>
  </w:style>
  <w:style w:type="character" w:customStyle="1" w:styleId="408">
    <w:name w:val="文档结构图 字符2"/>
    <w:basedOn w:val="47"/>
    <w:semiHidden/>
    <w:qFormat/>
    <w:uiPriority w:val="99"/>
    <w:rPr>
      <w:rFonts w:ascii="Microsoft YaHei UI" w:eastAsia="Microsoft YaHei UI" w:cs="Times New Roman"/>
      <w:kern w:val="2"/>
      <w:sz w:val="18"/>
      <w:szCs w:val="18"/>
    </w:rPr>
  </w:style>
  <w:style w:type="paragraph" w:customStyle="1" w:styleId="409">
    <w:name w:val="标准书脚_偶数页"/>
    <w:qFormat/>
    <w:uiPriority w:val="99"/>
    <w:pPr>
      <w:spacing w:before="120"/>
      <w:ind w:left="221"/>
    </w:pPr>
    <w:rPr>
      <w:rFonts w:ascii="宋体" w:hAnsi="Calibri" w:eastAsia="宋体" w:cs="Times New Roman"/>
      <w:sz w:val="18"/>
      <w:szCs w:val="18"/>
      <w:lang w:val="en-US" w:eastAsia="zh-CN" w:bidi="ar-SA"/>
    </w:rPr>
  </w:style>
  <w:style w:type="paragraph" w:customStyle="1" w:styleId="410">
    <w:name w:val="示例×："/>
    <w:basedOn w:val="256"/>
    <w:qFormat/>
    <w:uiPriority w:val="99"/>
    <w:pPr>
      <w:numPr>
        <w:numId w:val="0"/>
      </w:numPr>
      <w:tabs>
        <w:tab w:val="left" w:pos="330"/>
      </w:tabs>
      <w:spacing w:beforeLines="0" w:afterLines="0" w:line="360" w:lineRule="exact"/>
      <w:ind w:left="948" w:hanging="420"/>
      <w:jc w:val="left"/>
      <w:outlineLvl w:val="9"/>
    </w:pPr>
    <w:rPr>
      <w:rFonts w:ascii="宋体" w:hAnsi="Calibri" w:eastAsia="宋体"/>
      <w:sz w:val="18"/>
      <w:szCs w:val="18"/>
    </w:rPr>
  </w:style>
  <w:style w:type="character" w:customStyle="1" w:styleId="411">
    <w:name w:val="正文文本缩进 字符3"/>
    <w:basedOn w:val="47"/>
    <w:semiHidden/>
    <w:qFormat/>
    <w:uiPriority w:val="99"/>
    <w:rPr>
      <w:rFonts w:cs="Times New Roman"/>
      <w:kern w:val="2"/>
      <w:sz w:val="21"/>
      <w:szCs w:val="21"/>
    </w:rPr>
  </w:style>
  <w:style w:type="character" w:customStyle="1" w:styleId="412">
    <w:name w:val="正文文本首行缩进 2 字符2"/>
    <w:basedOn w:val="411"/>
    <w:semiHidden/>
    <w:qFormat/>
    <w:uiPriority w:val="99"/>
    <w:rPr>
      <w:rFonts w:cs="Times New Roman"/>
      <w:kern w:val="2"/>
      <w:sz w:val="21"/>
      <w:szCs w:val="21"/>
    </w:rPr>
  </w:style>
  <w:style w:type="paragraph" w:customStyle="1" w:styleId="413">
    <w:name w:val="参考文献、索引标题"/>
    <w:basedOn w:val="1"/>
    <w:next w:val="257"/>
    <w:qFormat/>
    <w:uiPriority w:val="99"/>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414">
    <w:name w:val="附录字母编号列项（一级）"/>
    <w:qFormat/>
    <w:uiPriority w:val="99"/>
    <w:pPr>
      <w:tabs>
        <w:tab w:val="left" w:pos="839"/>
      </w:tabs>
    </w:pPr>
    <w:rPr>
      <w:rFonts w:ascii="宋体" w:hAnsi="Calibri" w:eastAsia="宋体" w:cs="Times New Roman"/>
      <w:sz w:val="21"/>
      <w:lang w:val="en-US" w:eastAsia="zh-CN" w:bidi="ar-SA"/>
    </w:rPr>
  </w:style>
  <w:style w:type="paragraph" w:customStyle="1" w:styleId="415">
    <w:name w:val="正文表标题"/>
    <w:next w:val="257"/>
    <w:qFormat/>
    <w:uiPriority w:val="99"/>
    <w:pPr>
      <w:tabs>
        <w:tab w:val="left" w:pos="360"/>
        <w:tab w:val="left" w:pos="851"/>
      </w:tabs>
      <w:spacing w:before="156" w:beforeLines="50" w:after="156" w:afterLines="50"/>
      <w:ind w:left="851" w:hanging="426"/>
      <w:jc w:val="center"/>
    </w:pPr>
    <w:rPr>
      <w:rFonts w:ascii="黑体" w:hAnsi="Calibri" w:eastAsia="黑体" w:cs="Times New Roman"/>
      <w:sz w:val="21"/>
      <w:lang w:val="en-US" w:eastAsia="zh-CN" w:bidi="ar-SA"/>
    </w:rPr>
  </w:style>
  <w:style w:type="paragraph" w:customStyle="1" w:styleId="416">
    <w:name w:val="注×："/>
    <w:qFormat/>
    <w:uiPriority w:val="99"/>
    <w:pPr>
      <w:widowControl w:val="0"/>
      <w:tabs>
        <w:tab w:val="left" w:pos="845"/>
      </w:tabs>
      <w:autoSpaceDE w:val="0"/>
      <w:autoSpaceDN w:val="0"/>
      <w:ind w:left="-102" w:firstLine="419"/>
      <w:jc w:val="both"/>
    </w:pPr>
    <w:rPr>
      <w:rFonts w:ascii="宋体" w:hAnsi="Calibri" w:eastAsia="宋体" w:cs="Times New Roman"/>
      <w:sz w:val="18"/>
      <w:szCs w:val="18"/>
      <w:lang w:val="en-US" w:eastAsia="zh-CN" w:bidi="ar-SA"/>
    </w:rPr>
  </w:style>
  <w:style w:type="paragraph" w:customStyle="1" w:styleId="417">
    <w:name w:val="标准书眉_偶数页"/>
    <w:basedOn w:val="364"/>
    <w:next w:val="1"/>
    <w:qFormat/>
    <w:uiPriority w:val="99"/>
    <w:pPr>
      <w:jc w:val="left"/>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glossaryDocument" Target="glossary/document.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jpeg"/><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9.xml"/><Relationship Id="rId3" Type="http://schemas.openxmlformats.org/officeDocument/2006/relationships/header" Target="header1.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100614f-b747-405e-8b47-32761a3c7715}"/>
        <w:style w:val=""/>
        <w:category>
          <w:name w:val="常规"/>
          <w:gallery w:val="placeholder"/>
        </w:category>
        <w:types>
          <w:type w:val="bbPlcHdr"/>
        </w:types>
        <w:behaviors>
          <w:behavior w:val="content"/>
        </w:behaviors>
        <w:description w:val=""/>
        <w:guid w:val="{6100614F-B747-405E-8B47-32761A3C7715}"/>
      </w:docPartPr>
      <w:docPartBody>
        <w:p>
          <w:r>
            <w:rPr>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Microsoft YaHei UI">
    <w:altName w:val="宋体"/>
    <w:panose1 w:val="00000000000000000000"/>
    <w:charset w:val="86"/>
    <w:family w:val="swiss"/>
    <w:pitch w:val="default"/>
    <w:sig w:usb0="00000000" w:usb1="00000000"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D5E"/>
    <w:rsid w:val="000006C7"/>
    <w:rsid w:val="00097BA4"/>
    <w:rsid w:val="001A4238"/>
    <w:rsid w:val="001C573B"/>
    <w:rsid w:val="002E44B5"/>
    <w:rsid w:val="002F3C02"/>
    <w:rsid w:val="00327AB4"/>
    <w:rsid w:val="0037197B"/>
    <w:rsid w:val="0042277B"/>
    <w:rsid w:val="00477ADB"/>
    <w:rsid w:val="00517D56"/>
    <w:rsid w:val="00545BD6"/>
    <w:rsid w:val="00550850"/>
    <w:rsid w:val="005B0301"/>
    <w:rsid w:val="005C5288"/>
    <w:rsid w:val="005F6D5E"/>
    <w:rsid w:val="00633851"/>
    <w:rsid w:val="007E6092"/>
    <w:rsid w:val="00805E7F"/>
    <w:rsid w:val="00856157"/>
    <w:rsid w:val="009606B4"/>
    <w:rsid w:val="00962E5B"/>
    <w:rsid w:val="009D5CAD"/>
    <w:rsid w:val="00A1117C"/>
    <w:rsid w:val="00A172F8"/>
    <w:rsid w:val="00AB0821"/>
    <w:rsid w:val="00B12BA8"/>
    <w:rsid w:val="00B73149"/>
    <w:rsid w:val="00B91CA3"/>
    <w:rsid w:val="00BB7C6C"/>
    <w:rsid w:val="00C5238B"/>
    <w:rsid w:val="00C72ED5"/>
    <w:rsid w:val="00C96090"/>
    <w:rsid w:val="00CA7024"/>
    <w:rsid w:val="00D35A7C"/>
    <w:rsid w:val="00D50B18"/>
    <w:rsid w:val="00D87D79"/>
    <w:rsid w:val="00E77F10"/>
    <w:rsid w:val="00EF6FB1"/>
    <w:rsid w:val="00FB08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DCB41B60B3D1412290F3606CDB2C68B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E5DDCE-FC31-49B7-9726-958CA59D26D1}">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12</Pages>
  <Words>1097</Words>
  <Characters>6253</Characters>
  <Lines>52</Lines>
  <Paragraphs>14</Paragraphs>
  <TotalTime>0</TotalTime>
  <ScaleCrop>false</ScaleCrop>
  <LinksUpToDate>false</LinksUpToDate>
  <CharactersWithSpaces>7336</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2023-05-16T09:16:00Z</dcterms:created>
  <dc:creator>Administrator</dc:creator>
  <dc:description>&lt;config cover="true" show_menu="true" version="1.0.0" doctype="SDKXY"&gt;_x000d_
&lt;/config&gt;</dc:description>
  <cp:lastModifiedBy>Administrator</cp:lastModifiedBy>
  <cp:lastPrinted>2023-02-15T03:02:00Z</cp:lastPrinted>
  <dcterms:modified xsi:type="dcterms:W3CDTF">2024-11-05T08:21:46Z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2052-10.8.0.6253</vt:lpwstr>
  </property>
  <property fmtid="{D5CDD505-2E9C-101B-9397-08002B2CF9AE}" pid="15" name="ICV">
    <vt:lpwstr>1FDE77486B7A4A8DB8CED0DA614E5034_13</vt:lpwstr>
  </property>
</Properties>
</file>