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32"/>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32"/>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03.100.01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32"/>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32"/>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点击此处添加CCS号</w:t>
            </w:r>
          </w:p>
        </w:tc>
      </w:tr>
    </w:tbl>
    <w:tbl>
      <w:tblPr>
        <w:tblStyle w:val="5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73"/>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t>65</w:t>
            </w:r>
            <w:r>
              <w:fldChar w:fldCharType="end"/>
            </w:r>
            <w:bookmarkEnd w:id="1"/>
          </w:p>
        </w:tc>
      </w:tr>
    </w:tbl>
    <w:p>
      <w:pPr>
        <w:pStyle w:val="74"/>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新疆维吾尔自治区</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pPr>
        <w:pStyle w:val="219"/>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t>65</w:t>
      </w:r>
      <w:r>
        <w:rPr>
          <w:lang w:val="fr-FR"/>
        </w:rPr>
        <w:t>/T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t>202X</w:t>
      </w:r>
    </w:p>
    <w:p>
      <w:pPr>
        <w:pStyle w:val="220"/>
        <w:framePr/>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74"/>
        <w:framePr w:w="9639" w:h="6976" w:hRule="exact" w:hSpace="0" w:vSpace="0" w:hAnchor="page" w:y="6408"/>
        <w:jc w:val="center"/>
        <w:rPr>
          <w:rFonts w:ascii="黑体" w:hAnsi="黑体" w:eastAsia="黑体"/>
          <w:b w:val="0"/>
          <w:bCs w:val="0"/>
          <w:w w:val="100"/>
        </w:rPr>
      </w:pPr>
    </w:p>
    <w:p>
      <w:pPr>
        <w:pStyle w:val="221"/>
        <w:framePr w:h="6974" w:hRule="exact" w:x="1419" w:anchorLock="1"/>
      </w:pPr>
    </w:p>
    <w:p>
      <w:pPr>
        <w:pStyle w:val="221"/>
        <w:framePr w:h="6974" w:hRule="exact" w:x="1419" w:anchorLock="1"/>
      </w:pPr>
    </w:p>
    <w:p>
      <w:pPr>
        <w:pStyle w:val="221"/>
        <w:framePr w:h="6974" w:hRule="exact" w:x="1419" w:anchorLock="1"/>
      </w:pPr>
      <w:r>
        <w:rPr>
          <w:rFonts w:hint="eastAsia"/>
        </w:rPr>
        <w:t>建筑物抗爆能力提升改造技术规范</w:t>
      </w:r>
    </w:p>
    <w:p>
      <w:pPr>
        <w:framePr w:w="9639" w:h="6974" w:hRule="exact" w:wrap="around" w:vAnchor="page" w:hAnchor="page" w:x="1419" w:y="6408" w:anchorLock="1"/>
        <w:ind w:left="-1418"/>
        <w:rPr>
          <w:rFonts w:ascii="Times New Roman" w:hAnsi="Times New Roman" w:eastAsia="黑体"/>
          <w:kern w:val="0"/>
          <w:sz w:val="28"/>
          <w:szCs w:val="28"/>
        </w:rPr>
      </w:pPr>
    </w:p>
    <w:p>
      <w:pPr>
        <w:pStyle w:val="149"/>
        <w:framePr w:w="9639" w:h="6974" w:hRule="exact" w:wrap="around" w:vAnchor="page" w:hAnchor="page" w:x="1419" w:y="6408" w:anchorLock="1"/>
        <w:textAlignment w:val="bottom"/>
        <w:rPr>
          <w:rFonts w:eastAsia="黑体"/>
          <w:szCs w:val="28"/>
        </w:rPr>
      </w:pPr>
      <w:r>
        <w:rPr>
          <w:rFonts w:hint="eastAsia"/>
        </w:rPr>
        <w:t>S</w:t>
      </w:r>
      <w:r>
        <w:t>pecifications for improving the anti explosion capacity of buildings</w:t>
      </w:r>
    </w:p>
    <w:p>
      <w:pPr>
        <w:pStyle w:val="149"/>
        <w:framePr w:w="9639" w:h="6974" w:hRule="exact" w:wrap="around" w:vAnchor="page" w:hAnchor="page" w:x="1419" w:y="6408" w:anchorLock="1"/>
        <w:textAlignment w:val="bottom"/>
        <w:rPr>
          <w:rFonts w:eastAsia="黑体"/>
          <w:szCs w:val="28"/>
        </w:rPr>
      </w:pPr>
    </w:p>
    <w:p>
      <w:pPr>
        <w:pStyle w:val="149"/>
        <w:framePr w:w="9639" w:h="6974" w:hRule="exact" w:wrap="around" w:vAnchor="page" w:hAnchor="page" w:x="1419" w:y="6408" w:anchorLock="1"/>
        <w:spacing w:before="440" w:after="160"/>
        <w:textAlignment w:val="bottom"/>
        <w:rPr>
          <w:sz w:val="24"/>
          <w:szCs w:val="28"/>
        </w:rPr>
      </w:pPr>
      <w:r>
        <w:rPr>
          <w:rFonts w:hint="eastAsia"/>
          <w:sz w:val="24"/>
          <w:szCs w:val="28"/>
        </w:rPr>
        <w:t xml:space="preserve"> </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6" w:name="下拉1"/>
      <w:r>
        <w:rPr>
          <w:sz w:val="24"/>
          <w:szCs w:val="28"/>
        </w:rPr>
        <w:instrText xml:space="preserve"> FORMDROPDOWN </w:instrText>
      </w:r>
      <w:r>
        <w:rPr>
          <w:sz w:val="24"/>
          <w:szCs w:val="28"/>
        </w:rPr>
        <w:fldChar w:fldCharType="separate"/>
      </w:r>
      <w:r>
        <w:rPr>
          <w:sz w:val="24"/>
          <w:szCs w:val="28"/>
        </w:rPr>
        <w:fldChar w:fldCharType="end"/>
      </w:r>
      <w:bookmarkEnd w:id="6"/>
    </w:p>
    <w:p>
      <w:pPr>
        <w:pStyle w:val="14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7"/>
    </w:p>
    <w:p>
      <w:pPr>
        <w:pStyle w:val="14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pPr>
        <w:pStyle w:val="217"/>
        <w:framePr w:y="14176"/>
      </w:pPr>
      <w:r>
        <w:rPr>
          <w:rFonts w:ascii="黑体"/>
        </w:rPr>
        <w:t>202X</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pPr>
        <w:pStyle w:val="218"/>
        <w:framePr w:y="14176"/>
      </w:pPr>
      <w:r>
        <w:rPr>
          <w:rFonts w:ascii="黑体"/>
        </w:rPr>
        <w:t>202X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实施</w:t>
      </w:r>
    </w:p>
    <w:p>
      <w:pPr>
        <w:pStyle w:val="175"/>
        <w:framePr w:h="584" w:hRule="exact" w:hSpace="181" w:vSpace="181" w:y="15027"/>
        <w:rPr>
          <w:rFonts w:hAnsi="黑体"/>
        </w:rPr>
      </w:pPr>
      <w:r>
        <w:rPr>
          <w:rFonts w:hint="eastAsia" w:hAnsi="黑体"/>
          <w:w w:val="100"/>
          <w:sz w:val="28"/>
        </w:rPr>
        <w:t>新疆维吾尔自治区市场监督管理局</w:t>
      </w:r>
      <w:r>
        <w:rPr>
          <w:rFonts w:ascii="Times New Roman"/>
          <w:w w:val="100"/>
          <w:sz w:val="28"/>
        </w:rPr>
        <w:t>  </w:t>
      </w:r>
      <w:r>
        <w:rPr>
          <w:rStyle w:val="253"/>
          <w:rFonts w:hint="eastAsia" w:hAnsi="黑体"/>
          <w:position w:val="0"/>
        </w:rPr>
        <w:t>发</w:t>
      </w:r>
      <w:r>
        <w:rPr>
          <w:rStyle w:val="253"/>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115"/>
        <w:spacing w:after="468"/>
        <w:jc w:val="both"/>
      </w:pPr>
      <w:bookmarkStart w:id="13" w:name="BookMark1"/>
      <w:bookmarkStart w:id="14" w:name="_Toc78282998"/>
      <w:bookmarkStart w:id="15" w:name="_Toc78283027"/>
    </w:p>
    <w:sdt>
      <w:sdtPr>
        <w:rPr>
          <w:rFonts w:ascii="Calibri" w:hAnsi="Calibri" w:eastAsia="宋体" w:cs="Times New Roman"/>
          <w:color w:val="auto"/>
          <w:kern w:val="2"/>
          <w:sz w:val="21"/>
          <w:szCs w:val="21"/>
          <w:lang w:val="zh-CN"/>
        </w:rPr>
        <w:id w:val="-532336595"/>
      </w:sdtPr>
      <w:sdtEndPr>
        <w:rPr>
          <w:rFonts w:ascii="Calibri" w:hAnsi="Calibri" w:eastAsia="宋体" w:cs="Times New Roman"/>
          <w:b/>
          <w:bCs/>
          <w:color w:val="auto"/>
          <w:kern w:val="2"/>
          <w:sz w:val="21"/>
          <w:szCs w:val="21"/>
          <w:lang w:val="zh-CN"/>
        </w:rPr>
      </w:sdtEndPr>
      <w:sdtContent>
        <w:p>
          <w:pPr>
            <w:pStyle w:val="260"/>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lang w:val="zh-CN"/>
              <w14:textFill>
                <w14:solidFill>
                  <w14:schemeClr w14:val="tx1"/>
                </w14:solidFill>
              </w14:textFill>
            </w:rPr>
            <w:t xml:space="preserve">目 </w:t>
          </w:r>
          <w:r>
            <w:rPr>
              <w:rFonts w:ascii="黑体" w:hAnsi="黑体" w:eastAsia="黑体"/>
              <w:color w:val="000000" w:themeColor="text1"/>
              <w:lang w:val="zh-CN"/>
              <w14:textFill>
                <w14:solidFill>
                  <w14:schemeClr w14:val="tx1"/>
                </w14:solidFill>
              </w14:textFill>
            </w:rPr>
            <w:t xml:space="preserve">   </w:t>
          </w:r>
          <w:r>
            <w:rPr>
              <w:rFonts w:hint="eastAsia" w:ascii="黑体" w:hAnsi="黑体" w:eastAsia="黑体"/>
              <w:color w:val="000000" w:themeColor="text1"/>
              <w:lang w:val="zh-CN"/>
              <w14:textFill>
                <w14:solidFill>
                  <w14:schemeClr w14:val="tx1"/>
                </w14:solidFill>
              </w14:textFill>
            </w:rPr>
            <w:t>次</w:t>
          </w:r>
        </w:p>
        <w:p>
          <w:pPr>
            <w:pStyle w:val="33"/>
            <w:tabs>
              <w:tab w:val="right" w:leader="dot" w:pos="9344"/>
            </w:tabs>
            <w:rPr>
              <w:rFonts w:ascii="宋体"/>
            </w:rPr>
          </w:pPr>
          <w:r>
            <w:rPr>
              <w:rFonts w:ascii="宋体"/>
              <w:lang w:val="zh-CN"/>
            </w:rPr>
            <w:fldChar w:fldCharType="begin"/>
          </w:r>
          <w:r>
            <w:rPr>
              <w:rFonts w:ascii="宋体"/>
              <w:lang w:val="zh-CN"/>
            </w:rPr>
            <w:instrText xml:space="preserve">TOC \o "1-3" \h \u </w:instrText>
          </w:r>
          <w:r>
            <w:rPr>
              <w:rFonts w:ascii="宋体"/>
              <w:lang w:val="zh-CN"/>
            </w:rPr>
            <w:fldChar w:fldCharType="separate"/>
          </w:r>
          <w:r>
            <w:fldChar w:fldCharType="begin"/>
          </w:r>
          <w:r>
            <w:instrText xml:space="preserve"> HYPERLINK \l "_Toc19781" </w:instrText>
          </w:r>
          <w:r>
            <w:fldChar w:fldCharType="separate"/>
          </w:r>
          <w:r>
            <w:rPr>
              <w:rFonts w:ascii="宋体"/>
            </w:rPr>
            <w:t>前言</w:t>
          </w:r>
          <w:r>
            <w:rPr>
              <w:rFonts w:ascii="宋体"/>
            </w:rPr>
            <w:tab/>
          </w:r>
          <w:r>
            <w:rPr>
              <w:rFonts w:ascii="宋体"/>
            </w:rPr>
            <w:fldChar w:fldCharType="begin"/>
          </w:r>
          <w:r>
            <w:rPr>
              <w:rFonts w:ascii="宋体"/>
            </w:rPr>
            <w:instrText xml:space="preserve"> PAGEREF _Toc19781 </w:instrText>
          </w:r>
          <w:r>
            <w:rPr>
              <w:rFonts w:ascii="宋体"/>
            </w:rPr>
            <w:fldChar w:fldCharType="separate"/>
          </w:r>
          <w:r>
            <w:rPr>
              <w:rFonts w:ascii="宋体"/>
            </w:rPr>
            <w:t>II</w:t>
          </w:r>
          <w:r>
            <w:rPr>
              <w:rFonts w:ascii="宋体"/>
            </w:rPr>
            <w:fldChar w:fldCharType="end"/>
          </w:r>
          <w:r>
            <w:rPr>
              <w:rFonts w:ascii="宋体"/>
            </w:rPr>
            <w:fldChar w:fldCharType="end"/>
          </w:r>
        </w:p>
        <w:p>
          <w:pPr>
            <w:pStyle w:val="33"/>
            <w:tabs>
              <w:tab w:val="right" w:leader="dot" w:pos="9344"/>
            </w:tabs>
            <w:rPr>
              <w:rFonts w:ascii="宋体"/>
            </w:rPr>
          </w:pPr>
          <w:r>
            <w:fldChar w:fldCharType="begin"/>
          </w:r>
          <w:r>
            <w:instrText xml:space="preserve"> HYPERLINK \l "_Toc4997" </w:instrText>
          </w:r>
          <w:r>
            <w:fldChar w:fldCharType="separate"/>
          </w:r>
          <w:r>
            <w:rPr>
              <w:rFonts w:ascii="宋体"/>
            </w:rPr>
            <w:t>1</w:t>
          </w:r>
          <w:r>
            <w:rPr>
              <w:rFonts w:hint="eastAsia" w:ascii="宋体"/>
            </w:rPr>
            <w:t xml:space="preserve">  范围</w:t>
          </w:r>
          <w:r>
            <w:rPr>
              <w:rFonts w:ascii="宋体"/>
            </w:rPr>
            <w:tab/>
          </w:r>
          <w:r>
            <w:rPr>
              <w:rFonts w:ascii="宋体"/>
            </w:rPr>
            <w:fldChar w:fldCharType="begin"/>
          </w:r>
          <w:r>
            <w:rPr>
              <w:rFonts w:ascii="宋体"/>
            </w:rPr>
            <w:instrText xml:space="preserve"> PAGEREF _Toc4997 </w:instrText>
          </w:r>
          <w:r>
            <w:rPr>
              <w:rFonts w:ascii="宋体"/>
            </w:rPr>
            <w:fldChar w:fldCharType="separate"/>
          </w:r>
          <w:r>
            <w:rPr>
              <w:rFonts w:ascii="宋体"/>
            </w:rPr>
            <w:t>3</w:t>
          </w:r>
          <w:r>
            <w:rPr>
              <w:rFonts w:ascii="宋体"/>
            </w:rPr>
            <w:fldChar w:fldCharType="end"/>
          </w:r>
          <w:r>
            <w:rPr>
              <w:rFonts w:ascii="宋体"/>
            </w:rPr>
            <w:fldChar w:fldCharType="end"/>
          </w:r>
        </w:p>
        <w:p>
          <w:pPr>
            <w:pStyle w:val="33"/>
            <w:tabs>
              <w:tab w:val="right" w:leader="dot" w:pos="9344"/>
            </w:tabs>
            <w:rPr>
              <w:rFonts w:ascii="宋体"/>
            </w:rPr>
          </w:pPr>
          <w:r>
            <w:fldChar w:fldCharType="begin"/>
          </w:r>
          <w:r>
            <w:instrText xml:space="preserve"> HYPERLINK \l "_Toc192" </w:instrText>
          </w:r>
          <w:r>
            <w:fldChar w:fldCharType="separate"/>
          </w:r>
          <w:r>
            <w:rPr>
              <w:rFonts w:ascii="宋体"/>
            </w:rPr>
            <w:t>2</w:t>
          </w:r>
          <w:r>
            <w:rPr>
              <w:rFonts w:hint="eastAsia" w:ascii="宋体"/>
            </w:rPr>
            <w:t xml:space="preserve">  规范性引用文件</w:t>
          </w:r>
          <w:r>
            <w:rPr>
              <w:rFonts w:ascii="宋体"/>
            </w:rPr>
            <w:tab/>
          </w:r>
          <w:r>
            <w:rPr>
              <w:rFonts w:ascii="宋体"/>
            </w:rPr>
            <w:fldChar w:fldCharType="begin"/>
          </w:r>
          <w:r>
            <w:rPr>
              <w:rFonts w:ascii="宋体"/>
            </w:rPr>
            <w:instrText xml:space="preserve"> PAGEREF _Toc192 </w:instrText>
          </w:r>
          <w:r>
            <w:rPr>
              <w:rFonts w:ascii="宋体"/>
            </w:rPr>
            <w:fldChar w:fldCharType="separate"/>
          </w:r>
          <w:r>
            <w:rPr>
              <w:rFonts w:ascii="宋体"/>
            </w:rPr>
            <w:t>3</w:t>
          </w:r>
          <w:r>
            <w:rPr>
              <w:rFonts w:ascii="宋体"/>
            </w:rPr>
            <w:fldChar w:fldCharType="end"/>
          </w:r>
          <w:r>
            <w:rPr>
              <w:rFonts w:ascii="宋体"/>
            </w:rPr>
            <w:fldChar w:fldCharType="end"/>
          </w:r>
        </w:p>
        <w:p>
          <w:pPr>
            <w:pStyle w:val="33"/>
            <w:tabs>
              <w:tab w:val="right" w:leader="dot" w:pos="9344"/>
            </w:tabs>
            <w:rPr>
              <w:rFonts w:ascii="宋体"/>
            </w:rPr>
          </w:pPr>
          <w:r>
            <w:fldChar w:fldCharType="begin"/>
          </w:r>
          <w:r>
            <w:instrText xml:space="preserve"> HYPERLINK \l "_Toc10831" </w:instrText>
          </w:r>
          <w:r>
            <w:fldChar w:fldCharType="separate"/>
          </w:r>
          <w:r>
            <w:rPr>
              <w:rFonts w:ascii="宋体"/>
            </w:rPr>
            <w:t>3</w:t>
          </w:r>
          <w:r>
            <w:rPr>
              <w:rFonts w:hint="eastAsia" w:ascii="宋体"/>
            </w:rPr>
            <w:t xml:space="preserve">  术语和定义</w:t>
          </w:r>
          <w:r>
            <w:rPr>
              <w:rFonts w:ascii="宋体"/>
            </w:rPr>
            <w:tab/>
          </w:r>
          <w:r>
            <w:rPr>
              <w:rFonts w:ascii="宋体"/>
            </w:rPr>
            <w:fldChar w:fldCharType="begin"/>
          </w:r>
          <w:r>
            <w:rPr>
              <w:rFonts w:ascii="宋体"/>
            </w:rPr>
            <w:instrText xml:space="preserve"> PAGEREF _Toc10831 </w:instrText>
          </w:r>
          <w:r>
            <w:rPr>
              <w:rFonts w:ascii="宋体"/>
            </w:rPr>
            <w:fldChar w:fldCharType="separate"/>
          </w:r>
          <w:r>
            <w:rPr>
              <w:rFonts w:ascii="宋体"/>
            </w:rPr>
            <w:t>3</w:t>
          </w:r>
          <w:r>
            <w:rPr>
              <w:rFonts w:ascii="宋体"/>
            </w:rPr>
            <w:fldChar w:fldCharType="end"/>
          </w:r>
          <w:r>
            <w:rPr>
              <w:rFonts w:ascii="宋体"/>
            </w:rPr>
            <w:fldChar w:fldCharType="end"/>
          </w:r>
        </w:p>
        <w:p>
          <w:pPr>
            <w:pStyle w:val="33"/>
            <w:tabs>
              <w:tab w:val="right" w:leader="dot" w:pos="9344"/>
            </w:tabs>
            <w:rPr>
              <w:rFonts w:ascii="宋体"/>
            </w:rPr>
          </w:pPr>
          <w:r>
            <w:fldChar w:fldCharType="begin"/>
          </w:r>
          <w:r>
            <w:instrText xml:space="preserve"> HYPERLINK \l "_Toc26778" </w:instrText>
          </w:r>
          <w:r>
            <w:fldChar w:fldCharType="separate"/>
          </w:r>
          <w:r>
            <w:rPr>
              <w:rFonts w:ascii="宋体"/>
            </w:rPr>
            <w:t>4</w:t>
          </w:r>
          <w:r>
            <w:rPr>
              <w:rFonts w:hint="eastAsia" w:ascii="宋体"/>
            </w:rPr>
            <w:t xml:space="preserve">  一般要求</w:t>
          </w:r>
          <w:r>
            <w:rPr>
              <w:rFonts w:ascii="宋体"/>
            </w:rPr>
            <w:tab/>
          </w:r>
          <w:r>
            <w:rPr>
              <w:rFonts w:ascii="宋体"/>
            </w:rPr>
            <w:fldChar w:fldCharType="begin"/>
          </w:r>
          <w:r>
            <w:rPr>
              <w:rFonts w:ascii="宋体"/>
            </w:rPr>
            <w:instrText xml:space="preserve"> PAGEREF _Toc26778 </w:instrText>
          </w:r>
          <w:r>
            <w:rPr>
              <w:rFonts w:ascii="宋体"/>
            </w:rPr>
            <w:fldChar w:fldCharType="separate"/>
          </w:r>
          <w:r>
            <w:rPr>
              <w:rFonts w:ascii="宋体"/>
            </w:rPr>
            <w:t>4</w:t>
          </w:r>
          <w:r>
            <w:rPr>
              <w:rFonts w:ascii="宋体"/>
            </w:rPr>
            <w:fldChar w:fldCharType="end"/>
          </w:r>
          <w:r>
            <w:rPr>
              <w:rFonts w:ascii="宋体"/>
            </w:rPr>
            <w:fldChar w:fldCharType="end"/>
          </w:r>
        </w:p>
        <w:p>
          <w:pPr>
            <w:pStyle w:val="33"/>
            <w:tabs>
              <w:tab w:val="right" w:leader="dot" w:pos="9344"/>
            </w:tabs>
            <w:rPr>
              <w:rFonts w:ascii="宋体"/>
            </w:rPr>
          </w:pPr>
          <w:r>
            <w:fldChar w:fldCharType="begin"/>
          </w:r>
          <w:r>
            <w:instrText xml:space="preserve"> HYPERLINK \l "_Toc23885" </w:instrText>
          </w:r>
          <w:r>
            <w:fldChar w:fldCharType="separate"/>
          </w:r>
          <w:r>
            <w:rPr>
              <w:rFonts w:ascii="宋体"/>
            </w:rPr>
            <w:t>5</w:t>
          </w:r>
          <w:r>
            <w:rPr>
              <w:rFonts w:hint="eastAsia" w:ascii="宋体"/>
            </w:rPr>
            <w:t xml:space="preserve">  抗爆涂层加固法技术要求</w:t>
          </w:r>
          <w:r>
            <w:rPr>
              <w:rFonts w:ascii="宋体"/>
            </w:rPr>
            <w:tab/>
          </w:r>
          <w:r>
            <w:rPr>
              <w:rFonts w:ascii="宋体"/>
            </w:rPr>
            <w:fldChar w:fldCharType="begin"/>
          </w:r>
          <w:r>
            <w:rPr>
              <w:rFonts w:ascii="宋体"/>
            </w:rPr>
            <w:instrText xml:space="preserve"> PAGEREF _Toc23885 </w:instrText>
          </w:r>
          <w:r>
            <w:rPr>
              <w:rFonts w:ascii="宋体"/>
            </w:rPr>
            <w:fldChar w:fldCharType="separate"/>
          </w:r>
          <w:r>
            <w:rPr>
              <w:rFonts w:ascii="宋体"/>
            </w:rPr>
            <w:t>5</w:t>
          </w:r>
          <w:r>
            <w:rPr>
              <w:rFonts w:ascii="宋体"/>
            </w:rPr>
            <w:fldChar w:fldCharType="end"/>
          </w:r>
          <w:r>
            <w:rPr>
              <w:rFonts w:ascii="宋体"/>
            </w:rPr>
            <w:fldChar w:fldCharType="end"/>
          </w:r>
        </w:p>
        <w:p>
          <w:pPr>
            <w:pStyle w:val="33"/>
            <w:tabs>
              <w:tab w:val="right" w:leader="dot" w:pos="9344"/>
            </w:tabs>
            <w:rPr>
              <w:rFonts w:ascii="宋体"/>
            </w:rPr>
          </w:pPr>
          <w:r>
            <w:fldChar w:fldCharType="begin"/>
          </w:r>
          <w:r>
            <w:instrText xml:space="preserve"> HYPERLINK \l "_Toc10650" </w:instrText>
          </w:r>
          <w:r>
            <w:fldChar w:fldCharType="separate"/>
          </w:r>
          <w:r>
            <w:rPr>
              <w:rFonts w:ascii="宋体"/>
            </w:rPr>
            <w:t>6</w:t>
          </w:r>
          <w:r>
            <w:rPr>
              <w:rFonts w:hint="eastAsia" w:ascii="宋体"/>
            </w:rPr>
            <w:t xml:space="preserve">  抗爆保护罩技术要求</w:t>
          </w:r>
          <w:r>
            <w:rPr>
              <w:rFonts w:ascii="宋体"/>
            </w:rPr>
            <w:tab/>
          </w:r>
          <w:r>
            <w:rPr>
              <w:rFonts w:ascii="宋体"/>
            </w:rPr>
            <w:fldChar w:fldCharType="begin"/>
          </w:r>
          <w:r>
            <w:rPr>
              <w:rFonts w:ascii="宋体"/>
            </w:rPr>
            <w:instrText xml:space="preserve"> PAGEREF _Toc10650 </w:instrText>
          </w:r>
          <w:r>
            <w:rPr>
              <w:rFonts w:ascii="宋体"/>
            </w:rPr>
            <w:fldChar w:fldCharType="separate"/>
          </w:r>
          <w:r>
            <w:rPr>
              <w:rFonts w:ascii="宋体"/>
            </w:rPr>
            <w:t>5</w:t>
          </w:r>
          <w:r>
            <w:rPr>
              <w:rFonts w:ascii="宋体"/>
            </w:rPr>
            <w:fldChar w:fldCharType="end"/>
          </w:r>
          <w:r>
            <w:rPr>
              <w:rFonts w:ascii="宋体"/>
            </w:rPr>
            <w:fldChar w:fldCharType="end"/>
          </w:r>
        </w:p>
        <w:p>
          <w:pPr>
            <w:pStyle w:val="33"/>
            <w:tabs>
              <w:tab w:val="right" w:leader="dot" w:pos="9344"/>
            </w:tabs>
            <w:rPr>
              <w:rFonts w:ascii="宋体"/>
            </w:rPr>
          </w:pPr>
          <w:r>
            <w:fldChar w:fldCharType="begin"/>
          </w:r>
          <w:r>
            <w:instrText xml:space="preserve"> HYPERLINK \l "_Toc20594" </w:instrText>
          </w:r>
          <w:r>
            <w:fldChar w:fldCharType="separate"/>
          </w:r>
          <w:r>
            <w:rPr>
              <w:rFonts w:ascii="宋体"/>
            </w:rPr>
            <w:t>7</w:t>
          </w:r>
          <w:r>
            <w:rPr>
              <w:rFonts w:hint="eastAsia" w:ascii="宋体"/>
            </w:rPr>
            <w:t xml:space="preserve">  抗爆庇护所技术要求</w:t>
          </w:r>
          <w:r>
            <w:rPr>
              <w:rFonts w:ascii="宋体"/>
            </w:rPr>
            <w:tab/>
          </w:r>
          <w:r>
            <w:rPr>
              <w:rFonts w:ascii="宋体"/>
            </w:rPr>
            <w:fldChar w:fldCharType="begin"/>
          </w:r>
          <w:r>
            <w:rPr>
              <w:rFonts w:ascii="宋体"/>
            </w:rPr>
            <w:instrText xml:space="preserve"> PAGEREF _Toc20594 </w:instrText>
          </w:r>
          <w:r>
            <w:rPr>
              <w:rFonts w:ascii="宋体"/>
            </w:rPr>
            <w:fldChar w:fldCharType="separate"/>
          </w:r>
          <w:r>
            <w:rPr>
              <w:rFonts w:ascii="宋体"/>
            </w:rPr>
            <w:t>6</w:t>
          </w:r>
          <w:r>
            <w:rPr>
              <w:rFonts w:ascii="宋体"/>
            </w:rPr>
            <w:fldChar w:fldCharType="end"/>
          </w:r>
          <w:r>
            <w:rPr>
              <w:rFonts w:ascii="宋体"/>
            </w:rPr>
            <w:fldChar w:fldCharType="end"/>
          </w:r>
        </w:p>
        <w:p>
          <w:pPr>
            <w:pStyle w:val="42"/>
            <w:tabs>
              <w:tab w:val="right" w:leader="dot" w:pos="9344"/>
            </w:tabs>
            <w:spacing w:line="300" w:lineRule="exact"/>
            <w:ind w:left="210" w:leftChars="0"/>
            <w:rPr>
              <w:rFonts w:ascii="宋体"/>
            </w:rPr>
          </w:pPr>
          <w:r>
            <w:fldChar w:fldCharType="begin"/>
          </w:r>
          <w:r>
            <w:instrText xml:space="preserve"> HYPERLINK \l "_Toc22497" </w:instrText>
          </w:r>
          <w:r>
            <w:fldChar w:fldCharType="separate"/>
          </w:r>
          <w:r>
            <w:rPr>
              <w:rFonts w:hint="eastAsia" w:ascii="宋体"/>
            </w:rPr>
            <w:t>7.1  抗爆庇护所抗爆技术要求</w:t>
          </w:r>
          <w:r>
            <w:rPr>
              <w:rFonts w:ascii="宋体"/>
            </w:rPr>
            <w:tab/>
          </w:r>
          <w:r>
            <w:rPr>
              <w:rFonts w:ascii="宋体"/>
            </w:rPr>
            <w:fldChar w:fldCharType="begin"/>
          </w:r>
          <w:r>
            <w:rPr>
              <w:rFonts w:ascii="宋体"/>
            </w:rPr>
            <w:instrText xml:space="preserve"> PAGEREF _Toc22497 </w:instrText>
          </w:r>
          <w:r>
            <w:rPr>
              <w:rFonts w:ascii="宋体"/>
            </w:rPr>
            <w:fldChar w:fldCharType="separate"/>
          </w:r>
          <w:r>
            <w:rPr>
              <w:rFonts w:ascii="宋体"/>
            </w:rPr>
            <w:t>6</w:t>
          </w:r>
          <w:r>
            <w:rPr>
              <w:rFonts w:ascii="宋体"/>
            </w:rPr>
            <w:fldChar w:fldCharType="end"/>
          </w:r>
          <w:r>
            <w:rPr>
              <w:rFonts w:ascii="宋体"/>
            </w:rPr>
            <w:fldChar w:fldCharType="end"/>
          </w:r>
        </w:p>
        <w:p>
          <w:pPr>
            <w:pStyle w:val="42"/>
            <w:tabs>
              <w:tab w:val="right" w:leader="dot" w:pos="9344"/>
            </w:tabs>
            <w:spacing w:line="300" w:lineRule="exact"/>
            <w:ind w:left="210" w:leftChars="0"/>
            <w:rPr>
              <w:rFonts w:ascii="宋体"/>
            </w:rPr>
          </w:pPr>
          <w:r>
            <w:fldChar w:fldCharType="begin"/>
          </w:r>
          <w:r>
            <w:instrText xml:space="preserve"> HYPERLINK \l "_Toc12321" </w:instrText>
          </w:r>
          <w:r>
            <w:fldChar w:fldCharType="separate"/>
          </w:r>
          <w:r>
            <w:rPr>
              <w:rFonts w:hint="eastAsia" w:ascii="宋体"/>
            </w:rPr>
            <w:t>7.2  抗爆庇护所结构技术要求</w:t>
          </w:r>
          <w:r>
            <w:rPr>
              <w:rFonts w:ascii="宋体"/>
            </w:rPr>
            <w:tab/>
          </w:r>
          <w:r>
            <w:rPr>
              <w:rFonts w:ascii="宋体"/>
            </w:rPr>
            <w:fldChar w:fldCharType="begin"/>
          </w:r>
          <w:r>
            <w:rPr>
              <w:rFonts w:ascii="宋体"/>
            </w:rPr>
            <w:instrText xml:space="preserve"> PAGEREF _Toc12321 </w:instrText>
          </w:r>
          <w:r>
            <w:rPr>
              <w:rFonts w:ascii="宋体"/>
            </w:rPr>
            <w:fldChar w:fldCharType="separate"/>
          </w:r>
          <w:r>
            <w:rPr>
              <w:rFonts w:ascii="宋体"/>
            </w:rPr>
            <w:t>6</w:t>
          </w:r>
          <w:r>
            <w:rPr>
              <w:rFonts w:ascii="宋体"/>
            </w:rPr>
            <w:fldChar w:fldCharType="end"/>
          </w:r>
          <w:r>
            <w:rPr>
              <w:rFonts w:ascii="宋体"/>
            </w:rPr>
            <w:fldChar w:fldCharType="end"/>
          </w:r>
        </w:p>
        <w:p>
          <w:pPr>
            <w:pStyle w:val="42"/>
            <w:tabs>
              <w:tab w:val="right" w:leader="dot" w:pos="9344"/>
            </w:tabs>
            <w:spacing w:line="300" w:lineRule="exact"/>
            <w:ind w:left="210" w:leftChars="0"/>
            <w:rPr>
              <w:rFonts w:ascii="宋体"/>
            </w:rPr>
          </w:pPr>
          <w:r>
            <w:fldChar w:fldCharType="begin"/>
          </w:r>
          <w:r>
            <w:instrText xml:space="preserve"> HYPERLINK \l "_Toc8586" </w:instrText>
          </w:r>
          <w:r>
            <w:fldChar w:fldCharType="separate"/>
          </w:r>
          <w:r>
            <w:rPr>
              <w:rFonts w:hint="eastAsia" w:ascii="宋体"/>
            </w:rPr>
            <w:t>7.3  抗爆庇护所防火技术要求</w:t>
          </w:r>
          <w:r>
            <w:rPr>
              <w:rFonts w:ascii="宋体"/>
            </w:rPr>
            <w:tab/>
          </w:r>
          <w:r>
            <w:rPr>
              <w:rFonts w:ascii="宋体"/>
            </w:rPr>
            <w:fldChar w:fldCharType="begin"/>
          </w:r>
          <w:r>
            <w:rPr>
              <w:rFonts w:ascii="宋体"/>
            </w:rPr>
            <w:instrText xml:space="preserve"> PAGEREF _Toc8586 </w:instrText>
          </w:r>
          <w:r>
            <w:rPr>
              <w:rFonts w:ascii="宋体"/>
            </w:rPr>
            <w:fldChar w:fldCharType="separate"/>
          </w:r>
          <w:r>
            <w:rPr>
              <w:rFonts w:ascii="宋体"/>
            </w:rPr>
            <w:t>7</w:t>
          </w:r>
          <w:r>
            <w:rPr>
              <w:rFonts w:ascii="宋体"/>
            </w:rPr>
            <w:fldChar w:fldCharType="end"/>
          </w:r>
          <w:r>
            <w:rPr>
              <w:rFonts w:ascii="宋体"/>
            </w:rPr>
            <w:fldChar w:fldCharType="end"/>
          </w:r>
        </w:p>
        <w:p>
          <w:pPr>
            <w:pStyle w:val="33"/>
            <w:tabs>
              <w:tab w:val="right" w:leader="dot" w:pos="9344"/>
            </w:tabs>
            <w:rPr>
              <w:rFonts w:ascii="宋体"/>
            </w:rPr>
          </w:pPr>
          <w:r>
            <w:fldChar w:fldCharType="begin"/>
          </w:r>
          <w:r>
            <w:instrText xml:space="preserve"> HYPERLINK \l "_Toc2008" </w:instrText>
          </w:r>
          <w:r>
            <w:fldChar w:fldCharType="separate"/>
          </w:r>
          <w:r>
            <w:rPr>
              <w:rFonts w:hint="eastAsia" w:ascii="宋体"/>
            </w:rPr>
            <w:t>附 录 A</w:t>
          </w:r>
          <w:r>
            <w:rPr>
              <w:rFonts w:ascii="宋体"/>
            </w:rPr>
            <w:tab/>
          </w:r>
          <w:r>
            <w:rPr>
              <w:rFonts w:ascii="宋体"/>
            </w:rPr>
            <w:fldChar w:fldCharType="begin"/>
          </w:r>
          <w:r>
            <w:rPr>
              <w:rFonts w:ascii="宋体"/>
            </w:rPr>
            <w:instrText xml:space="preserve"> PAGEREF _Toc2008 </w:instrText>
          </w:r>
          <w:r>
            <w:rPr>
              <w:rFonts w:ascii="宋体"/>
            </w:rPr>
            <w:fldChar w:fldCharType="separate"/>
          </w:r>
          <w:r>
            <w:rPr>
              <w:rFonts w:ascii="宋体"/>
            </w:rPr>
            <w:t>8</w:t>
          </w:r>
          <w:r>
            <w:rPr>
              <w:rFonts w:ascii="宋体"/>
            </w:rPr>
            <w:fldChar w:fldCharType="end"/>
          </w:r>
          <w:r>
            <w:rPr>
              <w:rFonts w:ascii="宋体"/>
            </w:rPr>
            <w:fldChar w:fldCharType="end"/>
          </w:r>
        </w:p>
        <w:p>
          <w:pPr>
            <w:pStyle w:val="33"/>
            <w:tabs>
              <w:tab w:val="right" w:leader="dot" w:pos="9344"/>
            </w:tabs>
            <w:rPr>
              <w:rFonts w:ascii="宋体"/>
            </w:rPr>
          </w:pPr>
          <w:r>
            <w:fldChar w:fldCharType="begin"/>
          </w:r>
          <w:r>
            <w:instrText xml:space="preserve"> HYPERLINK \l "_Toc24081" </w:instrText>
          </w:r>
          <w:r>
            <w:fldChar w:fldCharType="separate"/>
          </w:r>
          <w:r>
            <w:rPr>
              <w:rFonts w:hint="eastAsia" w:ascii="宋体"/>
            </w:rPr>
            <w:t>参考文献</w:t>
          </w:r>
          <w:r>
            <w:rPr>
              <w:rFonts w:ascii="宋体"/>
            </w:rPr>
            <w:tab/>
          </w:r>
          <w:r>
            <w:rPr>
              <w:rFonts w:ascii="宋体"/>
            </w:rPr>
            <w:fldChar w:fldCharType="begin"/>
          </w:r>
          <w:r>
            <w:rPr>
              <w:rFonts w:ascii="宋体"/>
            </w:rPr>
            <w:instrText xml:space="preserve"> PAGEREF _Toc24081 </w:instrText>
          </w:r>
          <w:r>
            <w:rPr>
              <w:rFonts w:ascii="宋体"/>
            </w:rPr>
            <w:fldChar w:fldCharType="separate"/>
          </w:r>
          <w:r>
            <w:rPr>
              <w:rFonts w:ascii="宋体"/>
            </w:rPr>
            <w:t>9</w:t>
          </w:r>
          <w:r>
            <w:rPr>
              <w:rFonts w:ascii="宋体"/>
            </w:rPr>
            <w:fldChar w:fldCharType="end"/>
          </w:r>
          <w:r>
            <w:rPr>
              <w:rFonts w:ascii="宋体"/>
            </w:rPr>
            <w:fldChar w:fldCharType="end"/>
          </w:r>
        </w:p>
        <w:p>
          <w:pPr>
            <w:pStyle w:val="33"/>
            <w:tabs>
              <w:tab w:val="right" w:leader="dot" w:pos="9344"/>
            </w:tabs>
            <w:rPr>
              <w:b/>
              <w:bCs/>
              <w:lang w:val="zh-CN"/>
            </w:rPr>
          </w:pPr>
          <w:r>
            <w:rPr>
              <w:rFonts w:ascii="宋体"/>
              <w:lang w:val="zh-CN"/>
            </w:rPr>
            <w:fldChar w:fldCharType="end"/>
          </w:r>
        </w:p>
        <w:p>
          <w:pPr>
            <w:pStyle w:val="115"/>
            <w:spacing w:after="468"/>
            <w:sectPr>
              <w:footerReference r:id="rId10" w:type="default"/>
              <w:headerReference r:id="rId9" w:type="even"/>
              <w:footerReference r:id="rId11" w:type="even"/>
              <w:pgSz w:w="11906" w:h="16838"/>
              <w:pgMar w:top="567" w:right="1134" w:bottom="1134" w:left="1134" w:header="1418" w:footer="1134" w:gutter="284"/>
              <w:pgNumType w:start="1"/>
              <w:cols w:space="425" w:num="1"/>
              <w:formProt w:val="0"/>
              <w:docGrid w:type="lines" w:linePitch="312" w:charSpace="0"/>
            </w:sectPr>
          </w:pPr>
        </w:p>
      </w:sdtContent>
    </w:sdt>
    <w:bookmarkEnd w:id="13"/>
    <w:p>
      <w:pPr>
        <w:pStyle w:val="113"/>
        <w:spacing w:after="468"/>
      </w:pPr>
      <w:bookmarkStart w:id="16" w:name="_Toc24303"/>
      <w:bookmarkStart w:id="17" w:name="_Toc14807"/>
      <w:bookmarkStart w:id="18" w:name="_Toc19781"/>
      <w:r>
        <w:rPr>
          <w:spacing w:val="320"/>
        </w:rPr>
        <w:t>前</w:t>
      </w:r>
      <w:r>
        <w:t>言</w:t>
      </w:r>
      <w:bookmarkEnd w:id="14"/>
      <w:bookmarkEnd w:id="15"/>
      <w:bookmarkEnd w:id="16"/>
      <w:bookmarkEnd w:id="17"/>
      <w:bookmarkEnd w:id="18"/>
      <w:bookmarkStart w:id="19" w:name="BookMark2"/>
    </w:p>
    <w:p>
      <w:pPr>
        <w:pStyle w:val="80"/>
        <w:ind w:firstLine="420"/>
      </w:pPr>
      <w:r>
        <w:rPr>
          <w:rFonts w:hint="eastAsia"/>
        </w:rPr>
        <w:t>本文件按照GB/T 1.1—2020《标准化工作导则  第1部分：标准化文件的结构和起草规则》的规定起草。</w:t>
      </w:r>
    </w:p>
    <w:p>
      <w:pPr>
        <w:pStyle w:val="80"/>
        <w:ind w:firstLine="420"/>
      </w:pPr>
      <w:r>
        <w:rPr>
          <w:rFonts w:hint="eastAsia"/>
        </w:rPr>
        <w:t>请注意本文件的某些内容可能涉及专利。本文件的发布机构不承担识别专利的责任。</w:t>
      </w:r>
    </w:p>
    <w:p>
      <w:pPr>
        <w:pStyle w:val="80"/>
        <w:ind w:firstLine="420"/>
        <w:rPr>
          <w:color w:val="0070C0"/>
        </w:rPr>
      </w:pPr>
      <w:r>
        <w:rPr>
          <w:rFonts w:hint="eastAsia"/>
        </w:rPr>
        <w:t>本文件由新疆维吾尔自治区应急管理厅提出、归口并组织实施。</w:t>
      </w:r>
    </w:p>
    <w:p>
      <w:pPr>
        <w:pStyle w:val="80"/>
        <w:tabs>
          <w:tab w:val="left" w:pos="6485"/>
        </w:tabs>
        <w:ind w:firstLine="420"/>
      </w:pPr>
      <w:r>
        <w:rPr>
          <w:rFonts w:hint="eastAsia"/>
        </w:rPr>
        <w:t>本文件起草单位：新疆维吾尔自治区应急管理科学研究院。</w:t>
      </w:r>
      <w:r>
        <w:rPr>
          <w:rFonts w:hint="eastAsia"/>
        </w:rPr>
        <w:tab/>
      </w:r>
    </w:p>
    <w:p>
      <w:pPr>
        <w:pStyle w:val="80"/>
        <w:ind w:firstLine="420"/>
      </w:pPr>
      <w:r>
        <w:rPr>
          <w:rFonts w:hint="eastAsia"/>
        </w:rPr>
        <w:t>本文件主要起草人：。</w:t>
      </w:r>
    </w:p>
    <w:p>
      <w:pPr>
        <w:pStyle w:val="80"/>
        <w:ind w:firstLine="420"/>
      </w:pPr>
      <w:r>
        <w:rPr>
          <w:rFonts w:hint="eastAsia"/>
        </w:rPr>
        <w:t>本文件实施应用中的疑问，请咨询新疆维吾尔自治区应急管理科学研究院。</w:t>
      </w:r>
    </w:p>
    <w:p>
      <w:pPr>
        <w:pStyle w:val="80"/>
        <w:ind w:firstLine="420"/>
      </w:pPr>
      <w:r>
        <w:rPr>
          <w:rFonts w:hint="eastAsia"/>
        </w:rPr>
        <w:t>对本文件的修改意见建议，请反馈至新疆维吾尔自治区应急管理厅（乌鲁木齐市六道湾路59号）、新疆维吾尔自治区应急管理科学研究院（</w:t>
      </w:r>
      <w:r>
        <w:rPr>
          <w:rFonts w:hint="eastAsia"/>
          <w:lang w:val="en-US" w:eastAsia="zh-CN"/>
        </w:rPr>
        <w:t>乌鲁木齐市湖州路1799号</w:t>
      </w:r>
      <w:bookmarkStart w:id="71" w:name="_GoBack"/>
      <w:bookmarkEnd w:id="71"/>
      <w:r>
        <w:rPr>
          <w:rFonts w:hint="eastAsia"/>
        </w:rPr>
        <w:t>）、新疆维吾尔自治区市场监督管理局（乌鲁木齐市新华南路167号）。</w:t>
      </w:r>
    </w:p>
    <w:p>
      <w:pPr>
        <w:pStyle w:val="80"/>
        <w:ind w:firstLine="420"/>
      </w:pPr>
      <w:r>
        <w:rPr>
          <w:rFonts w:hint="eastAsia"/>
        </w:rPr>
        <w:t>新疆维吾尔自治区应急管理厅  联系电话：0</w:t>
      </w:r>
      <w:r>
        <w:t>991-5093134</w:t>
      </w:r>
      <w:r>
        <w:rPr>
          <w:rFonts w:hint="eastAsia"/>
        </w:rPr>
        <w:t>；传真：0</w:t>
      </w:r>
      <w:r>
        <w:t>991-5093134</w:t>
      </w:r>
      <w:r>
        <w:rPr>
          <w:rFonts w:hint="eastAsia"/>
        </w:rPr>
        <w:t>；邮编：830011</w:t>
      </w:r>
    </w:p>
    <w:p>
      <w:pPr>
        <w:pStyle w:val="80"/>
        <w:ind w:firstLine="420"/>
      </w:pPr>
      <w:r>
        <w:rPr>
          <w:rFonts w:hint="eastAsia"/>
        </w:rPr>
        <w:t>新疆维吾尔自治区应急管理科学研究院  联系电话：0991-5201509；0</w:t>
      </w:r>
      <w:r>
        <w:t>991-5093152</w:t>
      </w:r>
      <w:r>
        <w:rPr>
          <w:rFonts w:hint="eastAsia"/>
        </w:rPr>
        <w:t>；邮编：830011</w:t>
      </w:r>
    </w:p>
    <w:p>
      <w:pPr>
        <w:pStyle w:val="80"/>
        <w:ind w:firstLine="420"/>
      </w:pPr>
      <w:r>
        <w:rPr>
          <w:rFonts w:hint="eastAsia"/>
        </w:rPr>
        <w:t>新疆维吾尔自治区市场监督管理局  联系电话：0991-2818750；传真：0991-2311250；邮编：830000</w:t>
      </w:r>
    </w:p>
    <w:p>
      <w:pPr>
        <w:pStyle w:val="80"/>
        <w:ind w:firstLine="420"/>
      </w:pPr>
    </w:p>
    <w:p>
      <w:pPr>
        <w:pStyle w:val="80"/>
        <w:ind w:firstLine="420"/>
      </w:pPr>
    </w:p>
    <w:p/>
    <w:p/>
    <w:p/>
    <w:p/>
    <w:p/>
    <w:p/>
    <w:p/>
    <w:p/>
    <w:p/>
    <w:p/>
    <w:p/>
    <w:p/>
    <w:p/>
    <w:p/>
    <w:p/>
    <w:p/>
    <w:p>
      <w:pPr>
        <w:sectPr>
          <w:footerReference r:id="rId12" w:type="default"/>
          <w:pgSz w:w="11906" w:h="16838"/>
          <w:pgMar w:top="567" w:right="1134" w:bottom="1134" w:left="1134" w:header="1418" w:footer="1134" w:gutter="284"/>
          <w:pgNumType w:start="2"/>
          <w:cols w:space="425" w:num="1"/>
          <w:formProt w:val="0"/>
          <w:docGrid w:type="lines" w:linePitch="312" w:charSpace="0"/>
        </w:sectPr>
      </w:pPr>
    </w:p>
    <w:bookmarkEnd w:id="19"/>
    <w:p>
      <w:pPr>
        <w:spacing w:line="20" w:lineRule="exact"/>
        <w:rPr>
          <w:rFonts w:ascii="黑体" w:hAnsi="黑体" w:eastAsia="黑体"/>
          <w:sz w:val="32"/>
          <w:szCs w:val="32"/>
        </w:rPr>
      </w:pPr>
      <w:bookmarkStart w:id="20" w:name="BookMark4"/>
    </w:p>
    <w:p>
      <w:pPr>
        <w:spacing w:line="20" w:lineRule="exact"/>
        <w:jc w:val="center"/>
        <w:rPr>
          <w:rFonts w:ascii="黑体" w:hAnsi="黑体" w:eastAsia="黑体"/>
          <w:sz w:val="32"/>
          <w:szCs w:val="32"/>
        </w:rPr>
      </w:pPr>
    </w:p>
    <w:sdt>
      <w:sdtPr>
        <w:tag w:val="NEW_STAND_NAME"/>
        <w:id w:val="641864200"/>
        <w:lock w:val="sdtLocked"/>
        <w:placeholder>
          <w:docPart w:val="DCB41B60B3D1412290F3606CDB2C68B4"/>
        </w:placeholder>
      </w:sdtPr>
      <w:sdtContent>
        <w:p>
          <w:pPr>
            <w:pStyle w:val="201"/>
            <w:spacing w:before="3" w:beforeLines="1" w:after="3" w:afterLines="1"/>
          </w:pPr>
          <w:bookmarkStart w:id="21" w:name="NEW_STAND_NAME"/>
        </w:p>
        <w:p>
          <w:pPr>
            <w:spacing w:line="20" w:lineRule="exact"/>
            <w:jc w:val="center"/>
            <w:rPr>
              <w:rFonts w:ascii="黑体" w:hAnsi="黑体" w:eastAsia="黑体"/>
              <w:sz w:val="32"/>
              <w:szCs w:val="32"/>
            </w:rPr>
          </w:pPr>
          <w:bookmarkStart w:id="22" w:name="_Hlk127173369"/>
        </w:p>
        <w:sdt>
          <w:sdtPr>
            <w:tag w:val="NEW_STAND_NAME"/>
            <w:id w:val="595910757"/>
            <w:lock w:val="sdtLocked"/>
            <w:placeholder>
              <w:docPart w:val="{0b3eb670-f944-4205-8737-48712f44a86d}"/>
            </w:placeholder>
          </w:sdtPr>
          <w:sdtContent>
            <w:p>
              <w:pPr>
                <w:pStyle w:val="201"/>
                <w:spacing w:before="3" w:beforeLines="1" w:after="686" w:afterLines="220"/>
              </w:pPr>
              <w:r>
                <w:rPr>
                  <w:rFonts w:hint="eastAsia"/>
                </w:rPr>
                <w:t>建筑物抗爆能力提升改造技术规范</w:t>
              </w:r>
            </w:p>
          </w:sdtContent>
        </w:sdt>
      </w:sdtContent>
    </w:sdt>
    <w:bookmarkEnd w:id="20"/>
    <w:bookmarkEnd w:id="21"/>
    <w:bookmarkEnd w:id="22"/>
    <w:p>
      <w:pPr>
        <w:pStyle w:val="44"/>
        <w:widowControl/>
        <w:numPr>
          <w:ilvl w:val="0"/>
          <w:numId w:val="33"/>
        </w:numPr>
        <w:spacing w:before="312" w:beforeLines="100" w:after="312" w:afterLines="100" w:line="240" w:lineRule="auto"/>
        <w:outlineLvl w:val="1"/>
        <w:rPr>
          <w:rFonts w:ascii="Times New Roman" w:hAnsi="Times New Roman"/>
          <w:color w:val="000000"/>
        </w:rPr>
      </w:pPr>
      <w:bookmarkStart w:id="23" w:name="_Toc380066209"/>
      <w:bookmarkStart w:id="24" w:name="_Toc45528967"/>
      <w:bookmarkStart w:id="25" w:name="_Toc4997"/>
      <w:bookmarkStart w:id="26" w:name="_Toc380064338"/>
      <w:bookmarkStart w:id="27" w:name="_Toc410834001"/>
      <w:bookmarkStart w:id="28" w:name="_Toc1472"/>
      <w:r>
        <w:rPr>
          <w:rFonts w:hint="eastAsia" w:ascii="Times New Roman" w:hAnsi="Times New Roman" w:eastAsia="黑体"/>
          <w:color w:val="000000"/>
          <w:kern w:val="0"/>
          <w:sz w:val="21"/>
          <w:szCs w:val="22"/>
          <w:lang w:bidi="ar"/>
        </w:rPr>
        <w:t>范围</w:t>
      </w:r>
      <w:bookmarkEnd w:id="23"/>
      <w:bookmarkEnd w:id="24"/>
      <w:bookmarkEnd w:id="25"/>
      <w:bookmarkEnd w:id="26"/>
      <w:bookmarkEnd w:id="27"/>
      <w:bookmarkEnd w:id="28"/>
    </w:p>
    <w:p>
      <w:pPr>
        <w:pStyle w:val="80"/>
        <w:ind w:firstLine="420"/>
      </w:pPr>
      <w:bookmarkStart w:id="29" w:name="_Toc380064339"/>
      <w:bookmarkStart w:id="30" w:name="_Toc410834002"/>
      <w:bookmarkStart w:id="31" w:name="_Toc380066210"/>
      <w:bookmarkStart w:id="32" w:name="_Toc32361"/>
      <w:bookmarkStart w:id="33" w:name="_Toc45528968"/>
      <w:r>
        <w:rPr>
          <w:rFonts w:hint="eastAsia"/>
        </w:rPr>
        <w:t>本文件规定了既有建筑物抗爆能力提升的抗爆涂层加固法、抗爆保护罩、抗爆庇护所的术语和定义、及相关技术要求。</w:t>
      </w:r>
    </w:p>
    <w:p>
      <w:pPr>
        <w:pStyle w:val="80"/>
        <w:ind w:firstLine="420"/>
      </w:pPr>
      <w:r>
        <w:rPr>
          <w:rFonts w:hint="eastAsia"/>
        </w:rPr>
        <w:t>本文件适用于规范建筑物抗爆能力提升改造的设计要求。</w:t>
      </w:r>
    </w:p>
    <w:p>
      <w:pPr>
        <w:pStyle w:val="44"/>
        <w:widowControl/>
        <w:numPr>
          <w:ilvl w:val="0"/>
          <w:numId w:val="33"/>
        </w:numPr>
        <w:spacing w:before="312" w:beforeLines="100" w:after="312" w:afterLines="100" w:line="240" w:lineRule="auto"/>
        <w:outlineLvl w:val="1"/>
        <w:rPr>
          <w:rFonts w:ascii="Times New Roman" w:hAnsi="Times New Roman"/>
          <w:color w:val="000000"/>
        </w:rPr>
      </w:pPr>
      <w:bookmarkStart w:id="34" w:name="_Toc192"/>
      <w:r>
        <w:rPr>
          <w:rFonts w:hint="eastAsia" w:ascii="Times New Roman" w:hAnsi="Times New Roman" w:eastAsia="黑体"/>
          <w:color w:val="000000"/>
          <w:kern w:val="0"/>
          <w:sz w:val="21"/>
          <w:szCs w:val="22"/>
          <w:lang w:bidi="ar"/>
        </w:rPr>
        <w:t>规范性引用文件</w:t>
      </w:r>
      <w:bookmarkEnd w:id="29"/>
      <w:bookmarkEnd w:id="30"/>
      <w:bookmarkEnd w:id="31"/>
      <w:bookmarkEnd w:id="32"/>
      <w:bookmarkEnd w:id="33"/>
      <w:bookmarkEnd w:id="34"/>
    </w:p>
    <w:sdt>
      <w:sdtPr>
        <w:rPr>
          <w:rFonts w:hint="eastAsia"/>
        </w:rPr>
        <w:id w:val="715848253"/>
        <w:placeholder>
          <w:docPart w:val="{6faec124-0b3a-4ff7-b6d3-78a811f99a7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80"/>
            <w:ind w:firstLine="420"/>
          </w:pPr>
          <w:bookmarkStart w:id="35" w:name="_Toc32688"/>
          <w:bookmarkStart w:id="36" w:name="_Toc410834003"/>
          <w:bookmarkStart w:id="37" w:name="_Toc45528969"/>
          <w:bookmarkStart w:id="38" w:name="_Toc380066211"/>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80"/>
        <w:ind w:firstLine="420"/>
      </w:pPr>
      <w:r>
        <w:rPr>
          <w:rFonts w:hint="eastAsia"/>
        </w:rPr>
        <w:t>GB/T 50779  石油化工建筑物抗爆设计标准</w:t>
      </w:r>
    </w:p>
    <w:p>
      <w:pPr>
        <w:pStyle w:val="80"/>
        <w:ind w:firstLine="420"/>
      </w:pPr>
      <w:r>
        <w:rPr>
          <w:rFonts w:hint="eastAsia"/>
        </w:rPr>
        <w:t>GB 50016—2018  建筑设计防火规范</w:t>
      </w:r>
    </w:p>
    <w:p>
      <w:pPr>
        <w:pStyle w:val="80"/>
        <w:ind w:firstLine="420"/>
      </w:pPr>
      <w:r>
        <w:rPr>
          <w:rFonts w:hint="eastAsia"/>
        </w:rPr>
        <w:t>GB 50661  钢结构焊接规范</w:t>
      </w:r>
    </w:p>
    <w:p>
      <w:pPr>
        <w:pStyle w:val="80"/>
        <w:ind w:firstLine="420"/>
      </w:pPr>
      <w:r>
        <w:rPr>
          <w:rFonts w:hint="eastAsia"/>
        </w:rPr>
        <w:t>GB 23864  防火封堵材料</w:t>
      </w:r>
    </w:p>
    <w:p>
      <w:pPr>
        <w:pStyle w:val="80"/>
        <w:ind w:firstLine="420"/>
      </w:pPr>
      <w:r>
        <w:rPr>
          <w:rFonts w:hint="eastAsia"/>
        </w:rPr>
        <w:t>GB/T 3836.1  爆炸性环境第1部分：设备通用要求</w:t>
      </w:r>
    </w:p>
    <w:p>
      <w:pPr>
        <w:pStyle w:val="80"/>
        <w:ind w:firstLine="420"/>
      </w:pPr>
      <w:r>
        <w:rPr>
          <w:rFonts w:hint="eastAsia"/>
        </w:rPr>
        <w:t>GB/T 5338  系列1集装箱 技术要求和实验方法</w:t>
      </w:r>
    </w:p>
    <w:p>
      <w:pPr>
        <w:pStyle w:val="80"/>
        <w:ind w:firstLine="420"/>
      </w:pPr>
      <w:r>
        <w:rPr>
          <w:rFonts w:hint="eastAsia"/>
        </w:rPr>
        <w:t>14J938  抗爆、泄爆门窗及屋盖、墙体建筑构造</w:t>
      </w:r>
    </w:p>
    <w:p>
      <w:pPr>
        <w:pStyle w:val="44"/>
        <w:widowControl/>
        <w:numPr>
          <w:ilvl w:val="0"/>
          <w:numId w:val="33"/>
        </w:numPr>
        <w:spacing w:before="312" w:beforeLines="100" w:after="312" w:afterLines="100" w:line="240" w:lineRule="auto"/>
        <w:outlineLvl w:val="1"/>
        <w:rPr>
          <w:rFonts w:ascii="Times New Roman" w:hAnsi="Times New Roman"/>
          <w:color w:val="000000"/>
        </w:rPr>
      </w:pPr>
      <w:bookmarkStart w:id="39" w:name="_Toc10831"/>
      <w:r>
        <w:rPr>
          <w:rFonts w:hint="eastAsia" w:ascii="Times New Roman" w:hAnsi="Times New Roman" w:eastAsia="黑体"/>
          <w:color w:val="000000"/>
          <w:kern w:val="0"/>
          <w:sz w:val="21"/>
          <w:szCs w:val="22"/>
          <w:lang w:bidi="ar"/>
        </w:rPr>
        <w:t>术语和定义</w:t>
      </w:r>
      <w:bookmarkEnd w:id="35"/>
      <w:bookmarkEnd w:id="36"/>
      <w:bookmarkEnd w:id="37"/>
      <w:bookmarkEnd w:id="38"/>
      <w:bookmarkEnd w:id="39"/>
    </w:p>
    <w:p>
      <w:pPr>
        <w:pStyle w:val="80"/>
        <w:ind w:firstLine="420"/>
      </w:pPr>
      <w:r>
        <w:t>下列术语和定义适用于本文件。</w:t>
      </w:r>
    </w:p>
    <w:p>
      <w:pPr>
        <w:pStyle w:val="247"/>
        <w:rPr>
          <w:rFonts w:ascii="黑体" w:hAnsi="黑体" w:eastAsia="黑体"/>
        </w:rPr>
      </w:pPr>
      <w:r>
        <w:rPr>
          <w:rFonts w:hint="eastAsia" w:ascii="黑体" w:hAnsi="黑体" w:eastAsia="黑体"/>
        </w:rPr>
        <w:t>3</w:t>
      </w:r>
      <w:r>
        <w:rPr>
          <w:rFonts w:ascii="黑体" w:hAnsi="黑体" w:eastAsia="黑体"/>
        </w:rPr>
        <w:t xml:space="preserve">.1 </w:t>
      </w:r>
    </w:p>
    <w:p>
      <w:pPr>
        <w:pStyle w:val="247"/>
        <w:ind w:left="420"/>
        <w:rPr>
          <w:rFonts w:ascii="Times New Roman" w:eastAsia="黑体"/>
        </w:rPr>
      </w:pPr>
      <w:r>
        <w:rPr>
          <w:rFonts w:hint="eastAsia" w:ascii="Times New Roman" w:eastAsia="黑体"/>
        </w:rPr>
        <w:t xml:space="preserve">抗爆建筑物  </w:t>
      </w:r>
      <w:r>
        <w:rPr>
          <w:rFonts w:hint="eastAsia" w:ascii="Times New Roman" w:eastAsia="黑体"/>
          <w:b/>
          <w:bCs/>
        </w:rPr>
        <w:t>blast resistant building</w:t>
      </w:r>
    </w:p>
    <w:p>
      <w:pPr>
        <w:pStyle w:val="80"/>
        <w:ind w:firstLine="420"/>
      </w:pPr>
      <w:r>
        <w:rPr>
          <w:rFonts w:hint="eastAsia"/>
        </w:rPr>
        <w:t>为保护建筑物内人员、设施安全，减少外部爆炸事故对生产运行的影响，需根据爆炸安全性评估确定的爆炸冲击波参数进行抗爆设计的建筑物。</w:t>
      </w:r>
    </w:p>
    <w:p>
      <w:pPr>
        <w:pStyle w:val="2"/>
        <w:keepNext w:val="0"/>
        <w:keepLines w:val="0"/>
        <w:widowControl/>
        <w:shd w:val="clear" w:color="auto" w:fill="FFFFFF"/>
        <w:spacing w:before="0" w:after="0" w:line="240" w:lineRule="auto"/>
        <w:ind w:firstLine="420" w:firstLineChars="200"/>
        <w:rPr>
          <w:rFonts w:ascii="宋体" w:hAnsi="Times New Roman"/>
          <w:b w:val="0"/>
          <w:bCs w:val="0"/>
          <w:kern w:val="0"/>
          <w:sz w:val="21"/>
          <w:szCs w:val="20"/>
        </w:rPr>
      </w:pPr>
      <w:bookmarkStart w:id="40" w:name="_Toc1617"/>
      <w:r>
        <w:rPr>
          <w:rFonts w:hint="eastAsia" w:ascii="宋体" w:hAnsi="Times New Roman"/>
          <w:b w:val="0"/>
          <w:bCs w:val="0"/>
          <w:kern w:val="0"/>
          <w:sz w:val="21"/>
          <w:szCs w:val="20"/>
        </w:rPr>
        <w:t>[来源：</w:t>
      </w:r>
      <w:r>
        <w:rPr>
          <w:rFonts w:ascii="宋体" w:hAnsi="Times New Roman"/>
          <w:b w:val="0"/>
          <w:bCs w:val="0"/>
          <w:kern w:val="0"/>
          <w:sz w:val="21"/>
          <w:szCs w:val="20"/>
        </w:rPr>
        <w:t>GB/T 50779-2022</w:t>
      </w:r>
      <w:r>
        <w:rPr>
          <w:rFonts w:hint="eastAsia" w:ascii="宋体" w:hAnsi="Times New Roman"/>
          <w:b w:val="0"/>
          <w:bCs w:val="0"/>
          <w:kern w:val="0"/>
          <w:sz w:val="21"/>
          <w:szCs w:val="20"/>
        </w:rPr>
        <w:t>,2.1.1]</w:t>
      </w:r>
      <w:bookmarkEnd w:id="40"/>
    </w:p>
    <w:p>
      <w:pPr>
        <w:pStyle w:val="247"/>
        <w:rPr>
          <w:rFonts w:ascii="黑体" w:hAnsi="黑体" w:eastAsia="黑体"/>
        </w:rPr>
      </w:pPr>
      <w:r>
        <w:rPr>
          <w:rFonts w:hint="eastAsia" w:ascii="黑体" w:hAnsi="黑体" w:eastAsia="黑体"/>
        </w:rPr>
        <w:t>3</w:t>
      </w:r>
      <w:r>
        <w:rPr>
          <w:rFonts w:ascii="黑体" w:hAnsi="黑体" w:eastAsia="黑体"/>
        </w:rPr>
        <w:t>.2</w:t>
      </w:r>
    </w:p>
    <w:p>
      <w:pPr>
        <w:pStyle w:val="247"/>
        <w:ind w:left="420"/>
        <w:rPr>
          <w:rFonts w:ascii="Times New Roman" w:eastAsia="黑体"/>
        </w:rPr>
      </w:pPr>
      <w:r>
        <w:rPr>
          <w:rFonts w:hint="eastAsia" w:ascii="Times New Roman" w:eastAsia="黑体"/>
        </w:rPr>
        <w:t xml:space="preserve">抗爆庇护所 </w:t>
      </w:r>
      <w:r>
        <w:rPr>
          <w:rFonts w:hint="eastAsia" w:ascii="Times New Roman" w:eastAsia="黑体"/>
          <w:b/>
          <w:bCs/>
        </w:rPr>
        <w:t xml:space="preserve"> blast resistant module</w:t>
      </w:r>
    </w:p>
    <w:p>
      <w:pPr>
        <w:pStyle w:val="80"/>
        <w:ind w:firstLine="420"/>
      </w:pPr>
      <w:r>
        <w:rPr>
          <w:rFonts w:hint="eastAsia"/>
        </w:rPr>
        <w:t>集抗爆钢结构、抗爆墙、抗爆阀、抗爆防护门和抗爆防护窗以及抗爆防火封堵材料于一体的集装箱，为一种无固定尺寸限制的特殊定制特种箱。也可替代面积小、改造难度大的抗爆建筑物。</w:t>
      </w:r>
    </w:p>
    <w:p>
      <w:pPr>
        <w:pStyle w:val="80"/>
        <w:ind w:firstLine="420"/>
      </w:pPr>
      <w:r>
        <w:rPr>
          <w:rFonts w:hint="eastAsia"/>
        </w:rPr>
        <w:t>[来源：</w:t>
      </w:r>
      <w:r>
        <w:t>GB/T 50779-2022</w:t>
      </w:r>
      <w:r>
        <w:rPr>
          <w:rFonts w:hint="eastAsia"/>
        </w:rPr>
        <w:t>,2.1.12]</w:t>
      </w:r>
    </w:p>
    <w:p>
      <w:pPr>
        <w:pStyle w:val="247"/>
        <w:rPr>
          <w:rFonts w:ascii="黑体" w:hAnsi="黑体" w:eastAsia="黑体"/>
        </w:rPr>
      </w:pPr>
      <w:r>
        <w:rPr>
          <w:rFonts w:hint="eastAsia" w:ascii="黑体" w:hAnsi="黑体" w:eastAsia="黑体"/>
        </w:rPr>
        <w:t>3</w:t>
      </w:r>
      <w:r>
        <w:rPr>
          <w:rFonts w:ascii="黑体" w:hAnsi="黑体" w:eastAsia="黑体"/>
        </w:rPr>
        <w:t>.3</w:t>
      </w:r>
    </w:p>
    <w:p>
      <w:pPr>
        <w:pStyle w:val="247"/>
        <w:ind w:left="420"/>
        <w:rPr>
          <w:rFonts w:ascii="Times New Roman" w:eastAsia="黑体"/>
        </w:rPr>
      </w:pPr>
      <w:r>
        <w:rPr>
          <w:rFonts w:hint="eastAsia" w:ascii="Times New Roman" w:eastAsia="黑体"/>
        </w:rPr>
        <w:t xml:space="preserve">抗爆防护门 </w:t>
      </w:r>
      <w:r>
        <w:rPr>
          <w:rFonts w:hint="eastAsia" w:ascii="Times New Roman" w:eastAsia="黑体"/>
          <w:b/>
          <w:bCs/>
        </w:rPr>
        <w:t xml:space="preserve"> blast resistant door</w:t>
      </w:r>
    </w:p>
    <w:p>
      <w:pPr>
        <w:pStyle w:val="80"/>
        <w:ind w:firstLine="420"/>
      </w:pPr>
      <w:r>
        <w:rPr>
          <w:rFonts w:hint="eastAsia"/>
        </w:rPr>
        <w:t>抵抗来自建筑物外部爆炸冲击波的建筑特种门。</w:t>
      </w:r>
    </w:p>
    <w:p>
      <w:pPr>
        <w:pStyle w:val="2"/>
        <w:keepNext w:val="0"/>
        <w:keepLines w:val="0"/>
        <w:widowControl/>
        <w:shd w:val="clear" w:color="auto" w:fill="FFFFFF"/>
        <w:spacing w:before="0" w:after="0" w:line="240" w:lineRule="auto"/>
        <w:ind w:firstLine="420" w:firstLineChars="200"/>
      </w:pPr>
      <w:bookmarkStart w:id="41" w:name="_Toc8940"/>
      <w:r>
        <w:rPr>
          <w:rFonts w:hint="eastAsia" w:ascii="宋体" w:hAnsi="Times New Roman"/>
          <w:b w:val="0"/>
          <w:bCs w:val="0"/>
          <w:kern w:val="0"/>
          <w:sz w:val="21"/>
          <w:szCs w:val="20"/>
        </w:rPr>
        <w:t>[来源：</w:t>
      </w:r>
      <w:r>
        <w:rPr>
          <w:rFonts w:ascii="宋体" w:hAnsi="Times New Roman"/>
          <w:b w:val="0"/>
          <w:bCs w:val="0"/>
          <w:kern w:val="0"/>
          <w:sz w:val="21"/>
          <w:szCs w:val="20"/>
        </w:rPr>
        <w:t>GB/T 50779-2022</w:t>
      </w:r>
      <w:r>
        <w:rPr>
          <w:rFonts w:hint="eastAsia" w:ascii="宋体" w:hAnsi="Times New Roman"/>
          <w:b w:val="0"/>
          <w:bCs w:val="0"/>
          <w:kern w:val="0"/>
          <w:sz w:val="21"/>
          <w:szCs w:val="20"/>
        </w:rPr>
        <w:t>,2.1.12]</w:t>
      </w:r>
      <w:bookmarkEnd w:id="41"/>
    </w:p>
    <w:p>
      <w:pPr>
        <w:pStyle w:val="247"/>
        <w:rPr>
          <w:rFonts w:ascii="黑体" w:hAnsi="黑体" w:eastAsia="黑体"/>
        </w:rPr>
      </w:pPr>
      <w:r>
        <w:rPr>
          <w:rFonts w:hint="eastAsia" w:ascii="黑体" w:hAnsi="黑体" w:eastAsia="黑体"/>
        </w:rPr>
        <w:t>3</w:t>
      </w:r>
      <w:r>
        <w:rPr>
          <w:rFonts w:ascii="黑体" w:hAnsi="黑体" w:eastAsia="黑体"/>
        </w:rPr>
        <w:t>.4</w:t>
      </w:r>
    </w:p>
    <w:p>
      <w:pPr>
        <w:pStyle w:val="247"/>
        <w:ind w:left="420"/>
        <w:rPr>
          <w:rFonts w:ascii="Times New Roman" w:eastAsia="黑体"/>
          <w:b/>
          <w:bCs/>
        </w:rPr>
      </w:pPr>
      <w:r>
        <w:rPr>
          <w:rFonts w:hint="eastAsia" w:ascii="Times New Roman" w:eastAsia="黑体"/>
        </w:rPr>
        <w:t xml:space="preserve">抗爆防护窗  </w:t>
      </w:r>
      <w:r>
        <w:rPr>
          <w:rFonts w:hint="eastAsia" w:ascii="Times New Roman" w:eastAsia="黑体"/>
          <w:b/>
          <w:bCs/>
        </w:rPr>
        <w:t>blast resistant window</w:t>
      </w:r>
    </w:p>
    <w:p>
      <w:pPr>
        <w:pStyle w:val="80"/>
        <w:ind w:firstLine="420"/>
      </w:pPr>
      <w:r>
        <w:rPr>
          <w:rFonts w:hint="eastAsia"/>
        </w:rPr>
        <w:t>抵抗来自建筑物外部爆炸冲击波的建筑用特种固定外窗。</w:t>
      </w:r>
    </w:p>
    <w:p>
      <w:pPr>
        <w:pStyle w:val="2"/>
        <w:keepNext w:val="0"/>
        <w:keepLines w:val="0"/>
        <w:widowControl/>
        <w:shd w:val="clear" w:color="auto" w:fill="FFFFFF"/>
        <w:spacing w:before="0" w:after="0" w:line="240" w:lineRule="auto"/>
        <w:ind w:firstLine="420" w:firstLineChars="200"/>
      </w:pPr>
      <w:bookmarkStart w:id="42" w:name="_Toc19235"/>
      <w:r>
        <w:rPr>
          <w:rFonts w:hint="eastAsia" w:ascii="宋体" w:hAnsi="Times New Roman"/>
          <w:b w:val="0"/>
          <w:bCs w:val="0"/>
          <w:kern w:val="0"/>
          <w:sz w:val="21"/>
          <w:szCs w:val="20"/>
        </w:rPr>
        <w:t>[来源：</w:t>
      </w:r>
      <w:r>
        <w:rPr>
          <w:rFonts w:ascii="宋体" w:hAnsi="Times New Roman"/>
          <w:b w:val="0"/>
          <w:bCs w:val="0"/>
          <w:kern w:val="0"/>
          <w:sz w:val="21"/>
          <w:szCs w:val="20"/>
        </w:rPr>
        <w:t>GB/T 50779-2022</w:t>
      </w:r>
      <w:r>
        <w:rPr>
          <w:rFonts w:hint="eastAsia" w:ascii="宋体" w:hAnsi="Times New Roman"/>
          <w:b w:val="0"/>
          <w:bCs w:val="0"/>
          <w:kern w:val="0"/>
          <w:sz w:val="21"/>
          <w:szCs w:val="20"/>
        </w:rPr>
        <w:t>,2.1.16]</w:t>
      </w:r>
      <w:bookmarkEnd w:id="42"/>
    </w:p>
    <w:p>
      <w:pPr>
        <w:pStyle w:val="247"/>
        <w:rPr>
          <w:rFonts w:ascii="黑体" w:hAnsi="黑体" w:eastAsia="黑体"/>
        </w:rPr>
      </w:pPr>
      <w:r>
        <w:rPr>
          <w:rFonts w:hint="eastAsia" w:ascii="黑体" w:hAnsi="黑体" w:eastAsia="黑体"/>
        </w:rPr>
        <w:t>3</w:t>
      </w:r>
      <w:r>
        <w:rPr>
          <w:rFonts w:ascii="黑体" w:hAnsi="黑体" w:eastAsia="黑体"/>
        </w:rPr>
        <w:t>.5</w:t>
      </w:r>
    </w:p>
    <w:p>
      <w:pPr>
        <w:pStyle w:val="247"/>
        <w:ind w:left="420"/>
        <w:rPr>
          <w:rFonts w:ascii="Times New Roman" w:eastAsia="黑体"/>
        </w:rPr>
      </w:pPr>
      <w:r>
        <w:rPr>
          <w:rFonts w:hint="eastAsia" w:ascii="Times New Roman" w:eastAsia="黑体"/>
        </w:rPr>
        <w:t xml:space="preserve">抗爆阀  </w:t>
      </w:r>
      <w:r>
        <w:rPr>
          <w:rFonts w:hint="eastAsia" w:ascii="Times New Roman" w:eastAsia="黑体"/>
          <w:b/>
          <w:bCs/>
        </w:rPr>
        <w:t>blast resistant valve</w:t>
      </w:r>
    </w:p>
    <w:p>
      <w:pPr>
        <w:pStyle w:val="80"/>
        <w:ind w:firstLine="409" w:firstLineChars="195"/>
      </w:pPr>
      <w:r>
        <w:rPr>
          <w:rFonts w:hint="eastAsia"/>
        </w:rPr>
        <w:t>安装在抗爆建筑物的洞口上，课抵抗来自庇护所外部爆炸冲击波的阀。</w:t>
      </w:r>
    </w:p>
    <w:p>
      <w:pPr>
        <w:pStyle w:val="80"/>
        <w:ind w:firstLine="409" w:firstLineChars="195"/>
      </w:pPr>
      <w:r>
        <w:rPr>
          <w:rFonts w:hint="eastAsia"/>
        </w:rPr>
        <w:t>[来源：</w:t>
      </w:r>
      <w:r>
        <w:t>GB/T 50779-2022</w:t>
      </w:r>
      <w:r>
        <w:rPr>
          <w:rFonts w:hint="eastAsia"/>
        </w:rPr>
        <w:t>,2.1.18]</w:t>
      </w:r>
    </w:p>
    <w:p>
      <w:pPr>
        <w:pStyle w:val="247"/>
        <w:rPr>
          <w:rFonts w:ascii="黑体" w:hAnsi="黑体" w:eastAsia="黑体"/>
        </w:rPr>
      </w:pPr>
      <w:r>
        <w:rPr>
          <w:rFonts w:hint="eastAsia" w:ascii="黑体" w:hAnsi="黑体" w:eastAsia="黑体"/>
        </w:rPr>
        <w:t>3</w:t>
      </w:r>
      <w:r>
        <w:rPr>
          <w:rFonts w:ascii="黑体" w:hAnsi="黑体" w:eastAsia="黑体"/>
        </w:rPr>
        <w:t>.6</w:t>
      </w:r>
    </w:p>
    <w:p>
      <w:pPr>
        <w:pStyle w:val="247"/>
        <w:ind w:left="420"/>
        <w:rPr>
          <w:rFonts w:ascii="Times New Roman" w:eastAsia="黑体"/>
        </w:rPr>
      </w:pPr>
      <w:r>
        <w:rPr>
          <w:rFonts w:hint="eastAsia" w:ascii="Times New Roman" w:eastAsia="黑体"/>
        </w:rPr>
        <w:t xml:space="preserve">主要结构构件 </w:t>
      </w:r>
      <w:r>
        <w:rPr>
          <w:rFonts w:hint="eastAsia" w:ascii="Times New Roman" w:eastAsia="黑体"/>
          <w:b/>
          <w:bCs/>
        </w:rPr>
        <w:t xml:space="preserve"> primary structural member</w:t>
      </w:r>
    </w:p>
    <w:p>
      <w:pPr>
        <w:pStyle w:val="80"/>
        <w:ind w:firstLine="409" w:firstLineChars="195"/>
      </w:pPr>
      <w:r>
        <w:rPr>
          <w:rFonts w:hint="eastAsia"/>
        </w:rPr>
        <w:t>结构承载力极限状态所依赖的结构构件，构件破坏后将影响机构整体稳固性。主要包括上下侧梁、上下端梁、角柱、角件、吊耳、侧墙板加强件、顶板加强件。</w:t>
      </w:r>
    </w:p>
    <w:p>
      <w:pPr>
        <w:pStyle w:val="80"/>
        <w:ind w:firstLine="409" w:firstLineChars="195"/>
      </w:pPr>
      <w:r>
        <w:rPr>
          <w:rFonts w:hint="eastAsia"/>
        </w:rPr>
        <w:t>[来源：</w:t>
      </w:r>
      <w:r>
        <w:t>GB/T 50779-2022</w:t>
      </w:r>
      <w:r>
        <w:rPr>
          <w:rFonts w:hint="eastAsia"/>
        </w:rPr>
        <w:t>,2.1.9，有修改]</w:t>
      </w:r>
    </w:p>
    <w:p>
      <w:pPr>
        <w:pStyle w:val="247"/>
        <w:rPr>
          <w:rFonts w:ascii="黑体" w:hAnsi="黑体" w:eastAsia="黑体"/>
        </w:rPr>
      </w:pPr>
      <w:r>
        <w:rPr>
          <w:rFonts w:hint="eastAsia" w:ascii="黑体" w:hAnsi="黑体" w:eastAsia="黑体"/>
        </w:rPr>
        <w:t>3</w:t>
      </w:r>
      <w:r>
        <w:rPr>
          <w:rFonts w:ascii="黑体" w:hAnsi="黑体" w:eastAsia="黑体"/>
        </w:rPr>
        <w:t>.7</w:t>
      </w:r>
    </w:p>
    <w:p>
      <w:pPr>
        <w:pStyle w:val="247"/>
        <w:ind w:left="420"/>
        <w:rPr>
          <w:rFonts w:ascii="Times New Roman" w:eastAsia="黑体"/>
        </w:rPr>
      </w:pPr>
      <w:r>
        <w:rPr>
          <w:rFonts w:hint="eastAsia" w:ascii="Times New Roman" w:eastAsia="黑体"/>
        </w:rPr>
        <w:t xml:space="preserve">次要结构构件  </w:t>
      </w:r>
      <w:r>
        <w:rPr>
          <w:rFonts w:hint="eastAsia" w:ascii="Times New Roman" w:eastAsia="黑体"/>
          <w:b/>
          <w:bCs/>
        </w:rPr>
        <w:t>secondary structural member</w:t>
      </w:r>
    </w:p>
    <w:p>
      <w:pPr>
        <w:pStyle w:val="247"/>
      </w:pPr>
      <w:r>
        <w:rPr>
          <w:rFonts w:hint="eastAsia"/>
        </w:rPr>
        <w:t>由主要结构构件支撑的承重构件和外部直接承受爆炸冲击波超压作用的非承重构件。主要包括侧墙板、顶板、底板及加强件。</w:t>
      </w:r>
    </w:p>
    <w:p>
      <w:pPr>
        <w:pStyle w:val="80"/>
        <w:ind w:firstLine="409" w:firstLineChars="195"/>
      </w:pPr>
      <w:r>
        <w:rPr>
          <w:rFonts w:hint="eastAsia"/>
        </w:rPr>
        <w:t>[来源：</w:t>
      </w:r>
      <w:r>
        <w:t>GB/T 50779-2022</w:t>
      </w:r>
      <w:r>
        <w:rPr>
          <w:rFonts w:hint="eastAsia"/>
        </w:rPr>
        <w:t>,2.1.10，有修改]</w:t>
      </w:r>
    </w:p>
    <w:p>
      <w:pPr>
        <w:pStyle w:val="247"/>
        <w:rPr>
          <w:rFonts w:ascii="黑体" w:hAnsi="黑体" w:eastAsia="黑体"/>
        </w:rPr>
      </w:pPr>
      <w:r>
        <w:rPr>
          <w:rFonts w:hint="eastAsia" w:ascii="黑体" w:hAnsi="黑体" w:eastAsia="黑体"/>
        </w:rPr>
        <w:t>3</w:t>
      </w:r>
      <w:r>
        <w:rPr>
          <w:rFonts w:ascii="黑体" w:hAnsi="黑体" w:eastAsia="黑体"/>
        </w:rPr>
        <w:t>.8</w:t>
      </w:r>
    </w:p>
    <w:p>
      <w:pPr>
        <w:pStyle w:val="247"/>
        <w:ind w:left="420"/>
        <w:rPr>
          <w:rFonts w:ascii="Times New Roman" w:eastAsia="黑体"/>
          <w:b/>
          <w:bCs/>
        </w:rPr>
      </w:pPr>
      <w:r>
        <w:rPr>
          <w:rFonts w:hint="eastAsia" w:ascii="Times New Roman" w:eastAsia="黑体"/>
        </w:rPr>
        <w:t xml:space="preserve">抗爆涂层  </w:t>
      </w:r>
      <w:r>
        <w:rPr>
          <w:rFonts w:hint="eastAsia" w:ascii="Times New Roman" w:eastAsia="黑体"/>
          <w:b/>
          <w:bCs/>
        </w:rPr>
        <w:t>blast coating</w:t>
      </w:r>
    </w:p>
    <w:p>
      <w:pPr>
        <w:pStyle w:val="80"/>
        <w:ind w:firstLine="420"/>
      </w:pPr>
      <w:r>
        <w:rPr>
          <w:rFonts w:hint="eastAsia"/>
        </w:rPr>
        <w:t>抗爆涂层材料为双组分喷涂聚脲材料，异氰酸酯组分（简称A组分）和氨基化合物组分（简称B组分）经专用设备喷涂反应固化后形成抗爆涂层。其中的A组分可以是单体、聚合物、异氰酸酯的衍生物、预聚物和半预聚物。预聚物和半预聚物是由端氨基或端羟基化合物与异氰酸酯反应制得的。其中的B组分必须是由端氨基聚醚和胺类扩链剂组成的，不得含有任何羟基成分和催化剂。</w:t>
      </w:r>
      <w:r>
        <w:t xml:space="preserve"> </w:t>
      </w:r>
    </w:p>
    <w:p>
      <w:pPr>
        <w:pStyle w:val="247"/>
        <w:rPr>
          <w:rFonts w:ascii="黑体" w:hAnsi="黑体" w:eastAsia="黑体"/>
        </w:rPr>
      </w:pPr>
      <w:r>
        <w:rPr>
          <w:rFonts w:hint="eastAsia" w:ascii="黑体" w:hAnsi="黑体" w:eastAsia="黑体"/>
        </w:rPr>
        <w:t>3</w:t>
      </w:r>
      <w:r>
        <w:rPr>
          <w:rFonts w:ascii="黑体" w:hAnsi="黑体" w:eastAsia="黑体"/>
        </w:rPr>
        <w:t>.9</w:t>
      </w:r>
    </w:p>
    <w:p>
      <w:pPr>
        <w:pStyle w:val="247"/>
        <w:ind w:left="420"/>
        <w:rPr>
          <w:rFonts w:ascii="Times New Roman" w:eastAsia="黑体"/>
        </w:rPr>
      </w:pPr>
      <w:r>
        <w:rPr>
          <w:rFonts w:hint="eastAsia" w:ascii="Times New Roman" w:eastAsia="黑体"/>
        </w:rPr>
        <w:t xml:space="preserve">底漆  </w:t>
      </w:r>
      <w:r>
        <w:rPr>
          <w:rFonts w:hint="eastAsia" w:ascii="Times New Roman" w:eastAsia="黑体"/>
          <w:b/>
          <w:bCs/>
        </w:rPr>
        <w:t>primer</w:t>
      </w:r>
    </w:p>
    <w:p>
      <w:pPr>
        <w:pStyle w:val="80"/>
        <w:ind w:firstLine="420"/>
      </w:pPr>
      <w:r>
        <w:rPr>
          <w:rFonts w:hint="eastAsia"/>
        </w:rPr>
        <w:t>涂覆在基面上用于增强抗爆涂层与基面之间的粘结力和封闭基面水汽的处理材料。</w:t>
      </w:r>
    </w:p>
    <w:p>
      <w:pPr>
        <w:pStyle w:val="44"/>
        <w:widowControl/>
        <w:numPr>
          <w:ilvl w:val="0"/>
          <w:numId w:val="33"/>
        </w:numPr>
        <w:spacing w:before="312" w:beforeLines="100" w:after="312" w:afterLines="100" w:line="240" w:lineRule="auto"/>
        <w:outlineLvl w:val="1"/>
        <w:rPr>
          <w:rFonts w:ascii="Times New Roman" w:hAnsi="Times New Roman"/>
          <w:color w:val="000000"/>
        </w:rPr>
      </w:pPr>
      <w:bookmarkStart w:id="43" w:name="_Toc26778"/>
      <w:r>
        <w:rPr>
          <w:rFonts w:hint="eastAsia" w:ascii="Times New Roman" w:hAnsi="Times New Roman" w:eastAsia="黑体"/>
          <w:color w:val="000000"/>
          <w:kern w:val="0"/>
          <w:sz w:val="21"/>
          <w:szCs w:val="22"/>
          <w:lang w:bidi="ar"/>
        </w:rPr>
        <w:t>一般要求</w:t>
      </w:r>
      <w:bookmarkEnd w:id="43"/>
    </w:p>
    <w:p>
      <w:pPr>
        <w:pStyle w:val="186"/>
      </w:pPr>
      <w:r>
        <w:rPr>
          <w:rFonts w:hint="eastAsia" w:ascii="黑体" w:hAnsi="黑体" w:eastAsia="黑体" w:cs="黑体"/>
        </w:rPr>
        <w:t>4.1  </w:t>
      </w:r>
      <w:r>
        <w:rPr>
          <w:rFonts w:hint="eastAsia"/>
        </w:rPr>
        <w:t>既有建筑物抗爆设计前，应按线性国家标准GB 50068《建筑结构可靠性设计统一标准》、GB 50292《民用建筑可靠性鉴定标准》、GB 50023《建筑抗震鉴定标准》对既有建筑物进行结构检测、可靠性鉴定和抗震能力鉴定。</w:t>
      </w:r>
    </w:p>
    <w:p>
      <w:pPr>
        <w:pStyle w:val="186"/>
        <w:rPr>
          <w:highlight w:val="yellow"/>
        </w:rPr>
      </w:pPr>
      <w:r>
        <w:rPr>
          <w:rFonts w:hint="eastAsia" w:ascii="黑体" w:hAnsi="黑体" w:eastAsia="黑体" w:cs="黑体"/>
        </w:rPr>
        <w:t>4.2  </w:t>
      </w:r>
      <w:r>
        <w:rPr>
          <w:rFonts w:hint="eastAsia"/>
        </w:rPr>
        <w:t>既有建筑物的抗爆设计应符合下列规定：</w:t>
      </w:r>
    </w:p>
    <w:p>
      <w:pPr>
        <w:pStyle w:val="186"/>
        <w:numPr>
          <w:ilvl w:val="0"/>
          <w:numId w:val="34"/>
        </w:numPr>
        <w:ind w:firstLine="420" w:firstLineChars="200"/>
      </w:pPr>
      <w:r>
        <w:rPr>
          <w:rFonts w:hint="eastAsia"/>
        </w:rPr>
        <w:t xml:space="preserve"> 抗爆设计应以施工方便、经济合理、减少对原建筑物室内设施的影响和避免不必要的拆除、更</w:t>
      </w:r>
    </w:p>
    <w:p>
      <w:pPr>
        <w:pStyle w:val="186"/>
        <w:ind w:firstLine="420" w:firstLineChars="200"/>
      </w:pPr>
      <w:r>
        <w:rPr>
          <w:rFonts w:hint="eastAsia"/>
        </w:rPr>
        <w:t>换为原则；</w:t>
      </w:r>
    </w:p>
    <w:p>
      <w:pPr>
        <w:pStyle w:val="186"/>
        <w:ind w:left="420" w:leftChars="200"/>
      </w:pPr>
      <w:r>
        <w:rPr>
          <w:rFonts w:hint="eastAsia"/>
        </w:rPr>
        <w:t>b） 抗爆设计方案应根据既有建筑物的结构形式、检测和鉴定结论、爆炸荷载及加固后建筑物的使用功能和需求，经综合对比后确定。</w:t>
      </w:r>
    </w:p>
    <w:p>
      <w:pPr>
        <w:pStyle w:val="186"/>
      </w:pPr>
      <w:r>
        <w:rPr>
          <w:rFonts w:hint="eastAsia" w:ascii="黑体" w:hAnsi="黑体" w:eastAsia="黑体" w:cs="黑体"/>
        </w:rPr>
        <w:t>4.3  </w:t>
      </w:r>
      <w:r>
        <w:rPr>
          <w:rFonts w:hint="eastAsia"/>
        </w:rPr>
        <w:t>抗爆设计应与实际施工方法紧密结合，保证新增构件和部件与原结构连接可靠，新增截面与原截面粘结牢靠，形成整体工作；并应避免对为加固部分以及相关的结构、构件和地基基础造成不利的影响。</w:t>
      </w:r>
    </w:p>
    <w:p>
      <w:pPr>
        <w:pStyle w:val="186"/>
      </w:pPr>
      <w:r>
        <w:rPr>
          <w:rFonts w:hint="eastAsia" w:ascii="黑体" w:hAnsi="黑体" w:eastAsia="黑体" w:cs="黑体"/>
        </w:rPr>
        <w:t>4.4  </w:t>
      </w:r>
      <w:r>
        <w:rPr>
          <w:rFonts w:hint="eastAsia"/>
        </w:rPr>
        <w:t>高温、高湿、低温、冻融、化学腐蚀、振动、收缩应力、温度应力、地基不均匀沉降等影响因素引起的原结构损坏，应在加固设计中提出防治对策。</w:t>
      </w:r>
    </w:p>
    <w:p>
      <w:pPr>
        <w:pStyle w:val="186"/>
      </w:pPr>
      <w:r>
        <w:rPr>
          <w:rFonts w:hint="eastAsia" w:ascii="黑体" w:hAnsi="黑体" w:eastAsia="黑体" w:cs="黑体"/>
        </w:rPr>
        <w:t>4.5  </w:t>
      </w:r>
      <w:r>
        <w:rPr>
          <w:rFonts w:hint="eastAsia"/>
        </w:rPr>
        <w:t>加固过程中可能出现倾斜、失稳、过大变形或坍塌的结构，应在加固设计文件中提出相应的临时性安全措施。</w:t>
      </w:r>
    </w:p>
    <w:p>
      <w:pPr>
        <w:pStyle w:val="186"/>
      </w:pPr>
      <w:r>
        <w:rPr>
          <w:rFonts w:hint="eastAsia" w:ascii="黑体" w:hAnsi="黑体" w:eastAsia="黑体" w:cs="黑体"/>
        </w:rPr>
        <w:t>4.6  </w:t>
      </w:r>
      <w:r>
        <w:rPr>
          <w:rFonts w:hint="eastAsia"/>
        </w:rPr>
        <w:t>抗爆设计应明确建筑物加固后的用途。在抗爆设计工作年限内，未经技术鉴定或设计许可，不得改变加固后建筑物的用途和使用环境。</w:t>
      </w:r>
    </w:p>
    <w:p>
      <w:pPr>
        <w:pStyle w:val="186"/>
      </w:pPr>
      <w:r>
        <w:rPr>
          <w:rFonts w:hint="eastAsia" w:ascii="黑体" w:hAnsi="黑体" w:eastAsia="黑体" w:cs="黑体"/>
        </w:rPr>
        <w:t>4.7  </w:t>
      </w:r>
      <w:r>
        <w:rPr>
          <w:rFonts w:hint="eastAsia"/>
        </w:rPr>
        <w:t>抗爆加固后构件的耐火极限应符合现行国家标准GB 50016《建筑设计防火规范》的规定。</w:t>
      </w:r>
    </w:p>
    <w:p>
      <w:pPr>
        <w:pStyle w:val="186"/>
      </w:pPr>
      <w:r>
        <w:rPr>
          <w:rFonts w:hint="eastAsia" w:ascii="黑体" w:hAnsi="黑体" w:eastAsia="黑体" w:cs="黑体"/>
        </w:rPr>
        <w:t>4.8  </w:t>
      </w:r>
      <w:r>
        <w:rPr>
          <w:rFonts w:hint="eastAsia"/>
        </w:rPr>
        <w:t>既有建筑物的抗爆设计除应满足本标准的要求外，还应符合国家现行标准GB 50003《砌体结构设计规范》、GB 50010《混凝土结构设计规范》、《钢结构设计标准》GB 50017、GB 50367《混凝土结构加固设计规范》、GB 50702《砌体结构加固设计规范》、JGJ 116《建筑抗震加固技术规程》、JGJ 123《既有建筑地基基础加固技术规范》的规定，既有建筑物的抗爆加固施工应符合现行国家标准GB 50550《建筑结构加固工程施工质量验收规范》的规定。</w:t>
      </w:r>
    </w:p>
    <w:p>
      <w:pPr>
        <w:pStyle w:val="186"/>
      </w:pPr>
      <w:r>
        <w:rPr>
          <w:rFonts w:hint="eastAsia" w:ascii="黑体" w:hAnsi="黑体" w:eastAsia="黑体" w:cs="黑体"/>
        </w:rPr>
        <w:t>4.9  </w:t>
      </w:r>
      <w:r>
        <w:rPr>
          <w:rFonts w:hint="eastAsia"/>
        </w:rPr>
        <w:t>钢筋混凝土板和砌体墙的直接加固可采用抗爆涂层加固法。</w:t>
      </w:r>
    </w:p>
    <w:p>
      <w:pPr>
        <w:pStyle w:val="186"/>
      </w:pPr>
      <w:r>
        <w:rPr>
          <w:rFonts w:hint="eastAsia" w:ascii="黑体" w:hAnsi="黑体" w:eastAsia="黑体" w:cs="黑体"/>
        </w:rPr>
        <w:t>4.10  </w:t>
      </w:r>
      <w:r>
        <w:rPr>
          <w:rFonts w:hint="eastAsia"/>
        </w:rPr>
        <w:t>当既有建筑物采用传统加固方案仍无法满足抗爆要求时，可采用在建筑物外增设独立的钢结构外壳的方法，外壳与既有建筑物间的净距应大于外壳变形，并应满足施工要求。</w:t>
      </w:r>
    </w:p>
    <w:p>
      <w:pPr>
        <w:pStyle w:val="186"/>
      </w:pPr>
      <w:r>
        <w:rPr>
          <w:rFonts w:hint="eastAsia" w:ascii="黑体" w:hAnsi="黑体" w:eastAsia="黑体" w:cs="黑体"/>
        </w:rPr>
        <w:t>4.11  </w:t>
      </w:r>
      <w:r>
        <w:rPr>
          <w:rFonts w:hint="eastAsia"/>
        </w:rPr>
        <w:t>既有建筑无法实现抗爆能力提升或者现场需新设置抗爆房间但由于各方面原因无法或者不便新建抗爆建筑物的场合。</w:t>
      </w:r>
    </w:p>
    <w:p>
      <w:pPr>
        <w:pStyle w:val="44"/>
        <w:widowControl/>
        <w:numPr>
          <w:ilvl w:val="0"/>
          <w:numId w:val="33"/>
        </w:numPr>
        <w:spacing w:before="312" w:beforeLines="100" w:after="312" w:afterLines="100" w:line="240" w:lineRule="auto"/>
        <w:outlineLvl w:val="1"/>
        <w:rPr>
          <w:rFonts w:ascii="Times New Roman" w:hAnsi="Times New Roman" w:eastAsia="黑体"/>
          <w:color w:val="000000"/>
          <w:kern w:val="0"/>
          <w:sz w:val="21"/>
          <w:szCs w:val="22"/>
          <w:lang w:bidi="ar"/>
        </w:rPr>
      </w:pPr>
      <w:bookmarkStart w:id="44" w:name="_Toc23885"/>
      <w:bookmarkStart w:id="45" w:name="_Toc410834011"/>
      <w:bookmarkStart w:id="46" w:name="_Toc410827016"/>
      <w:r>
        <w:rPr>
          <w:rFonts w:hint="eastAsia" w:ascii="Times New Roman" w:hAnsi="Times New Roman" w:eastAsia="黑体"/>
          <w:color w:val="000000"/>
          <w:kern w:val="0"/>
          <w:sz w:val="21"/>
          <w:szCs w:val="22"/>
          <w:lang w:bidi="ar"/>
        </w:rPr>
        <w:t>抗爆涂层加固法技术要求</w:t>
      </w:r>
      <w:bookmarkEnd w:id="44"/>
    </w:p>
    <w:p>
      <w:pPr>
        <w:pStyle w:val="186"/>
      </w:pPr>
      <w:r>
        <w:rPr>
          <w:rFonts w:hint="eastAsia" w:ascii="黑体" w:hAnsi="黑体" w:eastAsia="黑体" w:cs="黑体"/>
        </w:rPr>
        <w:t>5.1  </w:t>
      </w:r>
      <w:r>
        <w:rPr>
          <w:rFonts w:hint="eastAsia"/>
        </w:rPr>
        <w:t>既有砌体墙实测的砌体强度等级不应低于MU 7.5，砂浆强度等级不应低于M5，已开裂、腐蚀、丰化的砖墙不得采用本方法进行加固。</w:t>
      </w:r>
    </w:p>
    <w:p>
      <w:pPr>
        <w:pStyle w:val="186"/>
      </w:pPr>
      <w:r>
        <w:rPr>
          <w:rFonts w:hint="eastAsia" w:ascii="黑体" w:hAnsi="黑体" w:eastAsia="黑体" w:cs="黑体"/>
        </w:rPr>
        <w:t>5.2  </w:t>
      </w:r>
      <w:r>
        <w:rPr>
          <w:rFonts w:hint="eastAsia"/>
        </w:rPr>
        <w:t>既有钢筋混凝土板实测的混凝土强度等级不应低于C15，且混凝土表面的正拉粘结强度不应低于1.5 MPa。</w:t>
      </w:r>
    </w:p>
    <w:p>
      <w:pPr>
        <w:pStyle w:val="186"/>
      </w:pPr>
      <w:r>
        <w:rPr>
          <w:rFonts w:hint="eastAsia" w:ascii="黑体" w:hAnsi="黑体" w:eastAsia="黑体" w:cs="黑体"/>
        </w:rPr>
        <w:t>5.3  </w:t>
      </w:r>
      <w:r>
        <w:rPr>
          <w:rFonts w:hint="eastAsia"/>
        </w:rPr>
        <w:t>采用抗爆涂层加固法的砌体墙、钢筋混凝土板、其长期使用的环境温度不应高于60℃。</w:t>
      </w:r>
    </w:p>
    <w:p>
      <w:pPr>
        <w:pStyle w:val="186"/>
        <w:ind w:left="210" w:hanging="210" w:hangingChars="100"/>
      </w:pPr>
      <w:r>
        <w:rPr>
          <w:rFonts w:hint="eastAsia" w:ascii="黑体" w:hAnsi="黑体" w:eastAsia="黑体" w:cs="黑体"/>
        </w:rPr>
        <w:t>5.4  </w:t>
      </w:r>
      <w:r>
        <w:rPr>
          <w:rFonts w:hint="eastAsia"/>
        </w:rPr>
        <w:t>抗爆涂层加固法的设计应符合现行国家标准GB/T 50779《石油化工建筑物抗爆设计标准》关于结构设计的要求。</w:t>
      </w:r>
    </w:p>
    <w:p>
      <w:pPr>
        <w:pStyle w:val="186"/>
      </w:pPr>
      <w:r>
        <w:rPr>
          <w:rFonts w:hint="eastAsia" w:ascii="黑体" w:hAnsi="黑体" w:eastAsia="黑体" w:cs="黑体"/>
        </w:rPr>
        <w:t>5.5  </w:t>
      </w:r>
      <w:r>
        <w:rPr>
          <w:rFonts w:hint="eastAsia"/>
        </w:rPr>
        <w:t>抗爆涂层成分中不得检出铅、铬、镉、汞、锡、铋、锌、锆等重金属元素。</w:t>
      </w:r>
    </w:p>
    <w:p>
      <w:pPr>
        <w:pStyle w:val="186"/>
      </w:pPr>
      <w:r>
        <w:rPr>
          <w:rFonts w:hint="eastAsia" w:ascii="黑体" w:hAnsi="黑体" w:eastAsia="黑体" w:cs="黑体"/>
        </w:rPr>
        <w:t>5.6  </w:t>
      </w:r>
      <w:r>
        <w:rPr>
          <w:rFonts w:hint="eastAsia"/>
        </w:rPr>
        <w:t>抗爆涂层的性能应符合附表A.1的规定。</w:t>
      </w:r>
    </w:p>
    <w:p>
      <w:pPr>
        <w:pStyle w:val="186"/>
      </w:pPr>
      <w:r>
        <w:rPr>
          <w:rFonts w:hint="eastAsia" w:ascii="黑体" w:hAnsi="黑体" w:eastAsia="黑体" w:cs="黑体"/>
        </w:rPr>
        <w:t>5.7  </w:t>
      </w:r>
      <w:r>
        <w:rPr>
          <w:rFonts w:hint="eastAsia"/>
        </w:rPr>
        <w:t>抗爆外墙的抗爆涂层应设置在背爆面，抗爆内墙的抗爆涂层应双面设置，抗爆涂层的最小厚度不应小于3.0 mm。</w:t>
      </w:r>
    </w:p>
    <w:p>
      <w:pPr>
        <w:pStyle w:val="186"/>
      </w:pPr>
      <w:r>
        <w:rPr>
          <w:rFonts w:hint="eastAsia" w:ascii="黑体" w:hAnsi="黑体" w:eastAsia="黑体" w:cs="黑体"/>
        </w:rPr>
        <w:t>5.8  </w:t>
      </w:r>
      <w:r>
        <w:rPr>
          <w:rFonts w:hint="eastAsia"/>
        </w:rPr>
        <w:t>抗爆涂层采用的材料应具有产品合格证和性能检测报告。</w:t>
      </w:r>
    </w:p>
    <w:p>
      <w:pPr>
        <w:pStyle w:val="186"/>
      </w:pPr>
      <w:r>
        <w:rPr>
          <w:rFonts w:hint="eastAsia" w:ascii="黑体" w:hAnsi="黑体" w:eastAsia="黑体" w:cs="黑体"/>
        </w:rPr>
        <w:t>5.9  </w:t>
      </w:r>
      <w:r>
        <w:rPr>
          <w:rFonts w:hint="eastAsia"/>
        </w:rPr>
        <w:t>抗爆涂层端部与钢筋混凝土梁、柱连接处的抗拉承载力不应低于抗爆涂层最大拉力的1.5倍。</w:t>
      </w:r>
    </w:p>
    <w:p>
      <w:pPr>
        <w:pStyle w:val="186"/>
      </w:pPr>
      <w:r>
        <w:rPr>
          <w:rFonts w:hint="eastAsia" w:ascii="黑体" w:hAnsi="黑体" w:eastAsia="黑体" w:cs="黑体"/>
        </w:rPr>
        <w:t>5.10  </w:t>
      </w:r>
      <w:r>
        <w:rPr>
          <w:rFonts w:hint="eastAsia"/>
        </w:rPr>
        <w:t>抗爆涂层表面应采用不燃材料进行防护。</w:t>
      </w:r>
    </w:p>
    <w:p>
      <w:pPr>
        <w:pStyle w:val="186"/>
      </w:pPr>
      <w:r>
        <w:rPr>
          <w:rFonts w:hint="eastAsia" w:ascii="黑体" w:hAnsi="黑体" w:eastAsia="黑体" w:cs="黑体"/>
        </w:rPr>
        <w:t>5.11  </w:t>
      </w:r>
      <w:r>
        <w:rPr>
          <w:rFonts w:hint="eastAsia"/>
        </w:rPr>
        <w:t>抗爆涂层端部应与钢筋混凝土梁、柱连接，连接长度不应小于100 mm。当连接处为阴角时，抗爆涂层应采用钢板或角钢通过锚栓与主体结构锚固。</w:t>
      </w:r>
    </w:p>
    <w:p>
      <w:pPr>
        <w:pStyle w:val="186"/>
      </w:pPr>
      <w:r>
        <w:rPr>
          <w:rFonts w:hint="eastAsia" w:ascii="黑体" w:hAnsi="黑体" w:eastAsia="黑体" w:cs="黑体"/>
        </w:rPr>
        <w:t>5.12  </w:t>
      </w:r>
      <w:r>
        <w:rPr>
          <w:rFonts w:hint="eastAsia"/>
        </w:rPr>
        <w:t>抗爆涂层与主体结构锚固应符合下列规定：</w:t>
      </w:r>
    </w:p>
    <w:p>
      <w:pPr>
        <w:pStyle w:val="186"/>
        <w:numPr>
          <w:ilvl w:val="0"/>
          <w:numId w:val="35"/>
        </w:numPr>
        <w:ind w:firstLine="420" w:firstLineChars="200"/>
      </w:pPr>
      <w:r>
        <w:rPr>
          <w:rFonts w:hint="eastAsia"/>
        </w:rPr>
        <w:t>锚固用锚栓数量、直径应计算确定，每个锚栓的抗拉承载力不应小于其承载范围内抗爆涂层最</w:t>
      </w:r>
    </w:p>
    <w:p>
      <w:pPr>
        <w:pStyle w:val="186"/>
        <w:ind w:left="840" w:leftChars="200" w:hanging="420" w:hangingChars="200"/>
      </w:pPr>
      <w:r>
        <w:rPr>
          <w:rFonts w:hint="eastAsia"/>
        </w:rPr>
        <w:t xml:space="preserve">    大拉力的2倍；锚栓的计算和构造应符合现行国家标准GB 50367《混凝土结构加固设计规范》  的规定；</w:t>
      </w:r>
    </w:p>
    <w:p>
      <w:pPr>
        <w:pStyle w:val="186"/>
        <w:ind w:firstLine="420" w:firstLineChars="200"/>
      </w:pPr>
      <w:r>
        <w:rPr>
          <w:rFonts w:hint="eastAsia"/>
        </w:rPr>
        <w:t>b） 锚栓的性能等级不应低于4.8级，直径不应小于12 mm，间距宜为500 mm；</w:t>
      </w:r>
    </w:p>
    <w:p>
      <w:pPr>
        <w:pStyle w:val="186"/>
        <w:ind w:firstLine="420" w:firstLineChars="200"/>
      </w:pPr>
      <w:r>
        <w:rPr>
          <w:rFonts w:hint="eastAsia"/>
        </w:rPr>
        <w:t>c） 采用钢板时，钢板厚度不应小于6 mm，宽度不应小于50 mm；</w:t>
      </w:r>
    </w:p>
    <w:p>
      <w:pPr>
        <w:pStyle w:val="186"/>
        <w:ind w:firstLine="420" w:firstLineChars="200"/>
      </w:pPr>
      <w:r>
        <w:rPr>
          <w:rFonts w:hint="eastAsia"/>
        </w:rPr>
        <w:t>d） 采用角钢时，角钢肢厚不应小于5 mm，开孔处肢宽不应小于50 mm；</w:t>
      </w:r>
    </w:p>
    <w:p>
      <w:pPr>
        <w:pStyle w:val="189"/>
        <w:numPr>
          <w:ilvl w:val="0"/>
          <w:numId w:val="0"/>
        </w:numPr>
        <w:ind w:firstLine="420" w:firstLineChars="200"/>
        <w:rPr>
          <w:rFonts w:ascii="Times New Roman" w:eastAsia="黑体"/>
          <w:color w:val="000000"/>
          <w:szCs w:val="22"/>
          <w:lang w:bidi="ar"/>
        </w:rPr>
      </w:pPr>
      <w:r>
        <w:rPr>
          <w:rFonts w:hint="eastAsia"/>
        </w:rPr>
        <w:t>e） 锚栓、钢板或角钢应采取防腐措施，耐久性年限不应低于抗爆涂层的设计工作年限。</w:t>
      </w:r>
    </w:p>
    <w:p>
      <w:pPr>
        <w:pStyle w:val="44"/>
        <w:widowControl/>
        <w:numPr>
          <w:ilvl w:val="0"/>
          <w:numId w:val="33"/>
        </w:numPr>
        <w:spacing w:before="312" w:beforeLines="100" w:after="312" w:afterLines="100" w:line="240" w:lineRule="auto"/>
        <w:outlineLvl w:val="1"/>
        <w:rPr>
          <w:rFonts w:ascii="Times New Roman" w:hAnsi="Times New Roman" w:eastAsia="黑体"/>
          <w:color w:val="000000"/>
          <w:kern w:val="0"/>
          <w:sz w:val="21"/>
          <w:szCs w:val="22"/>
          <w:lang w:bidi="ar"/>
        </w:rPr>
      </w:pPr>
      <w:bookmarkStart w:id="47" w:name="_Toc10650"/>
      <w:r>
        <w:rPr>
          <w:rFonts w:hint="eastAsia" w:ascii="Times New Roman" w:hAnsi="Times New Roman" w:eastAsia="黑体"/>
          <w:color w:val="000000"/>
          <w:kern w:val="0"/>
          <w:sz w:val="21"/>
          <w:szCs w:val="22"/>
          <w:lang w:bidi="ar"/>
        </w:rPr>
        <w:t>抗爆保护罩技术要求</w:t>
      </w:r>
      <w:bookmarkEnd w:id="45"/>
      <w:bookmarkEnd w:id="46"/>
      <w:bookmarkEnd w:id="47"/>
      <w:bookmarkStart w:id="48" w:name="_Toc25281"/>
    </w:p>
    <w:p>
      <w:pPr>
        <w:pStyle w:val="186"/>
      </w:pPr>
      <w:r>
        <w:rPr>
          <w:rFonts w:hint="eastAsia" w:ascii="黑体" w:hAnsi="黑体" w:eastAsia="黑体" w:cs="黑体"/>
        </w:rPr>
        <w:t>6.1  </w:t>
      </w:r>
      <w:r>
        <w:rPr>
          <w:rFonts w:hint="eastAsia"/>
        </w:rPr>
        <w:t>抗爆保护罩由钢龙骨和纤维水泥复合钢板及岩棉组成。</w:t>
      </w:r>
    </w:p>
    <w:p>
      <w:pPr>
        <w:pStyle w:val="186"/>
      </w:pPr>
      <w:r>
        <w:rPr>
          <w:rFonts w:hint="eastAsia" w:ascii="黑体" w:hAnsi="黑体" w:eastAsia="黑体" w:cs="黑体"/>
        </w:rPr>
        <w:t>6.2  </w:t>
      </w:r>
      <w:r>
        <w:rPr>
          <w:rFonts w:hint="eastAsia"/>
        </w:rPr>
        <w:t>抗爆保护罩分为非保温型和保温型两种，保温型为在金属骨架的内外两侧均做纤维水泥复合钢板，并在骨架中间填充岩棉。</w:t>
      </w:r>
    </w:p>
    <w:p>
      <w:pPr>
        <w:pStyle w:val="186"/>
      </w:pPr>
      <w:r>
        <w:rPr>
          <w:rFonts w:hint="eastAsia" w:ascii="黑体" w:hAnsi="黑体" w:eastAsia="黑体" w:cs="黑体"/>
        </w:rPr>
        <w:t>6.3  </w:t>
      </w:r>
      <w:r>
        <w:rPr>
          <w:rFonts w:hint="eastAsia"/>
        </w:rPr>
        <w:t>纤维水泥复合钢板的技术性能指标见下表。</w:t>
      </w:r>
    </w:p>
    <w:p>
      <w:pPr>
        <w:pStyle w:val="186"/>
        <w:rPr>
          <w:bCs/>
        </w:rPr>
      </w:pPr>
    </w:p>
    <w:p>
      <w:pPr>
        <w:pStyle w:val="186"/>
        <w:rPr>
          <w:bCs/>
        </w:rPr>
      </w:pPr>
    </w:p>
    <w:p>
      <w:pPr>
        <w:pStyle w:val="186"/>
        <w:jc w:val="center"/>
        <w:rPr>
          <w:bCs/>
        </w:rPr>
      </w:pPr>
      <w:r>
        <w:rPr>
          <w:rFonts w:hint="eastAsia"/>
          <w:bCs/>
        </w:rPr>
        <w:t>表6.3 纤维水泥复合钢板的技术性能指标要求</w:t>
      </w:r>
    </w:p>
    <w:tbl>
      <w:tblPr>
        <w:tblStyle w:val="57"/>
        <w:tblW w:w="68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341"/>
        <w:gridCol w:w="1236"/>
        <w:gridCol w:w="1236"/>
        <w:gridCol w:w="102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tcPr>
          <w:p>
            <w:pPr>
              <w:pStyle w:val="186"/>
              <w:jc w:val="center"/>
              <w:rPr>
                <w:sz w:val="18"/>
                <w:szCs w:val="18"/>
              </w:rPr>
            </w:pPr>
            <w:r>
              <w:rPr>
                <w:rFonts w:hint="eastAsia"/>
                <w:sz w:val="18"/>
                <w:szCs w:val="18"/>
              </w:rPr>
              <w:t>项目</w:t>
            </w:r>
          </w:p>
        </w:tc>
        <w:tc>
          <w:tcPr>
            <w:tcW w:w="1341" w:type="dxa"/>
          </w:tcPr>
          <w:p>
            <w:pPr>
              <w:pStyle w:val="186"/>
              <w:jc w:val="center"/>
              <w:rPr>
                <w:sz w:val="18"/>
                <w:szCs w:val="18"/>
              </w:rPr>
            </w:pPr>
            <w:r>
              <w:rPr>
                <w:rFonts w:hint="eastAsia"/>
                <w:sz w:val="18"/>
                <w:szCs w:val="18"/>
              </w:rPr>
              <w:t>重量</w:t>
            </w:r>
          </w:p>
          <w:p>
            <w:pPr>
              <w:pStyle w:val="186"/>
              <w:jc w:val="center"/>
              <w:rPr>
                <w:sz w:val="18"/>
                <w:szCs w:val="18"/>
              </w:rPr>
            </w:pPr>
            <w:r>
              <w:rPr>
                <w:rFonts w:hint="eastAsia"/>
                <w:sz w:val="18"/>
                <w:szCs w:val="18"/>
              </w:rPr>
              <w:t>（kg/m</w:t>
            </w:r>
            <w:r>
              <w:rPr>
                <w:rFonts w:hint="eastAsia"/>
                <w:sz w:val="18"/>
                <w:szCs w:val="18"/>
                <w:vertAlign w:val="superscript"/>
              </w:rPr>
              <w:t>2</w:t>
            </w:r>
            <w:r>
              <w:rPr>
                <w:rFonts w:hint="eastAsia"/>
                <w:sz w:val="18"/>
                <w:szCs w:val="18"/>
              </w:rPr>
              <w:t>）</w:t>
            </w:r>
          </w:p>
        </w:tc>
        <w:tc>
          <w:tcPr>
            <w:tcW w:w="1236" w:type="dxa"/>
          </w:tcPr>
          <w:p>
            <w:pPr>
              <w:pStyle w:val="186"/>
              <w:jc w:val="center"/>
              <w:rPr>
                <w:sz w:val="18"/>
                <w:szCs w:val="18"/>
              </w:rPr>
            </w:pPr>
            <w:r>
              <w:rPr>
                <w:rFonts w:hint="eastAsia"/>
                <w:sz w:val="18"/>
                <w:szCs w:val="18"/>
              </w:rPr>
              <w:t>抗弯强度</w:t>
            </w:r>
          </w:p>
          <w:p>
            <w:pPr>
              <w:pStyle w:val="186"/>
              <w:jc w:val="center"/>
              <w:rPr>
                <w:sz w:val="18"/>
                <w:szCs w:val="18"/>
              </w:rPr>
            </w:pPr>
            <w:r>
              <w:rPr>
                <w:rFonts w:hint="eastAsia"/>
                <w:sz w:val="18"/>
                <w:szCs w:val="18"/>
              </w:rPr>
              <w:t>（MPa）</w:t>
            </w:r>
          </w:p>
        </w:tc>
        <w:tc>
          <w:tcPr>
            <w:tcW w:w="1236" w:type="dxa"/>
          </w:tcPr>
          <w:p>
            <w:pPr>
              <w:pStyle w:val="186"/>
              <w:jc w:val="center"/>
              <w:rPr>
                <w:sz w:val="18"/>
                <w:szCs w:val="18"/>
              </w:rPr>
            </w:pPr>
            <w:r>
              <w:rPr>
                <w:rFonts w:hint="eastAsia"/>
                <w:sz w:val="18"/>
                <w:szCs w:val="18"/>
              </w:rPr>
              <w:t>弹性模量</w:t>
            </w:r>
          </w:p>
          <w:p>
            <w:pPr>
              <w:pStyle w:val="186"/>
              <w:jc w:val="center"/>
              <w:rPr>
                <w:sz w:val="18"/>
                <w:szCs w:val="18"/>
              </w:rPr>
            </w:pPr>
            <w:r>
              <w:rPr>
                <w:rFonts w:hint="eastAsia"/>
                <w:sz w:val="18"/>
                <w:szCs w:val="18"/>
              </w:rPr>
              <w:t>（GPa）</w:t>
            </w:r>
          </w:p>
        </w:tc>
        <w:tc>
          <w:tcPr>
            <w:tcW w:w="1026" w:type="dxa"/>
          </w:tcPr>
          <w:p>
            <w:pPr>
              <w:pStyle w:val="186"/>
              <w:jc w:val="center"/>
              <w:rPr>
                <w:sz w:val="18"/>
                <w:szCs w:val="18"/>
              </w:rPr>
            </w:pPr>
            <w:r>
              <w:rPr>
                <w:rFonts w:hint="eastAsia"/>
                <w:sz w:val="18"/>
                <w:szCs w:val="18"/>
              </w:rPr>
              <w:t>含水率</w:t>
            </w:r>
          </w:p>
          <w:p>
            <w:pPr>
              <w:pStyle w:val="186"/>
              <w:jc w:val="center"/>
              <w:rPr>
                <w:sz w:val="18"/>
                <w:szCs w:val="18"/>
              </w:rPr>
            </w:pPr>
            <w:r>
              <w:rPr>
                <w:rFonts w:hint="eastAsia"/>
                <w:sz w:val="18"/>
                <w:szCs w:val="18"/>
              </w:rPr>
              <w:t>（%）</w:t>
            </w:r>
          </w:p>
        </w:tc>
        <w:tc>
          <w:tcPr>
            <w:tcW w:w="1236" w:type="dxa"/>
          </w:tcPr>
          <w:p>
            <w:pPr>
              <w:pStyle w:val="186"/>
              <w:jc w:val="center"/>
              <w:rPr>
                <w:sz w:val="18"/>
                <w:szCs w:val="18"/>
              </w:rPr>
            </w:pPr>
            <w:r>
              <w:rPr>
                <w:rFonts w:hint="eastAsia"/>
                <w:sz w:val="18"/>
                <w:szCs w:val="18"/>
              </w:rPr>
              <w:t>燃烧性能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tcPr>
          <w:p>
            <w:pPr>
              <w:pStyle w:val="186"/>
              <w:jc w:val="center"/>
              <w:rPr>
                <w:sz w:val="18"/>
                <w:szCs w:val="18"/>
              </w:rPr>
            </w:pPr>
            <w:r>
              <w:rPr>
                <w:rFonts w:hint="eastAsia"/>
                <w:sz w:val="18"/>
                <w:szCs w:val="18"/>
              </w:rPr>
              <w:t>指标</w:t>
            </w:r>
          </w:p>
        </w:tc>
        <w:tc>
          <w:tcPr>
            <w:tcW w:w="1341" w:type="dxa"/>
          </w:tcPr>
          <w:p>
            <w:pPr>
              <w:pStyle w:val="186"/>
              <w:jc w:val="center"/>
              <w:rPr>
                <w:sz w:val="18"/>
                <w:szCs w:val="18"/>
              </w:rPr>
            </w:pPr>
            <w:r>
              <w:rPr>
                <w:rFonts w:hint="eastAsia"/>
                <w:sz w:val="18"/>
                <w:szCs w:val="18"/>
              </w:rPr>
              <w:t>≤25</w:t>
            </w:r>
          </w:p>
        </w:tc>
        <w:tc>
          <w:tcPr>
            <w:tcW w:w="1236" w:type="dxa"/>
          </w:tcPr>
          <w:p>
            <w:pPr>
              <w:pStyle w:val="186"/>
              <w:jc w:val="center"/>
              <w:rPr>
                <w:sz w:val="18"/>
                <w:szCs w:val="18"/>
              </w:rPr>
            </w:pPr>
            <w:r>
              <w:rPr>
                <w:rFonts w:hint="eastAsia"/>
                <w:sz w:val="18"/>
                <w:szCs w:val="18"/>
              </w:rPr>
              <w:t>＞185</w:t>
            </w:r>
          </w:p>
        </w:tc>
        <w:tc>
          <w:tcPr>
            <w:tcW w:w="1236" w:type="dxa"/>
          </w:tcPr>
          <w:p>
            <w:pPr>
              <w:pStyle w:val="186"/>
              <w:jc w:val="center"/>
              <w:rPr>
                <w:sz w:val="18"/>
                <w:szCs w:val="18"/>
              </w:rPr>
            </w:pPr>
            <w:r>
              <w:rPr>
                <w:rFonts w:hint="eastAsia"/>
                <w:sz w:val="18"/>
                <w:szCs w:val="18"/>
              </w:rPr>
              <w:t>≥72</w:t>
            </w:r>
          </w:p>
        </w:tc>
        <w:tc>
          <w:tcPr>
            <w:tcW w:w="1026" w:type="dxa"/>
          </w:tcPr>
          <w:p>
            <w:pPr>
              <w:pStyle w:val="186"/>
              <w:jc w:val="center"/>
              <w:rPr>
                <w:sz w:val="18"/>
                <w:szCs w:val="18"/>
              </w:rPr>
            </w:pPr>
            <w:r>
              <w:rPr>
                <w:rFonts w:hint="eastAsia"/>
                <w:sz w:val="18"/>
                <w:szCs w:val="18"/>
              </w:rPr>
              <w:t>≤10</w:t>
            </w:r>
          </w:p>
        </w:tc>
        <w:tc>
          <w:tcPr>
            <w:tcW w:w="1236" w:type="dxa"/>
          </w:tcPr>
          <w:p>
            <w:pPr>
              <w:pStyle w:val="186"/>
              <w:jc w:val="center"/>
              <w:rPr>
                <w:sz w:val="18"/>
                <w:szCs w:val="18"/>
              </w:rPr>
            </w:pPr>
            <w:r>
              <w:rPr>
                <w:rFonts w:hint="eastAsia"/>
                <w:sz w:val="18"/>
                <w:szCs w:val="18"/>
              </w:rPr>
              <w:t>A1级</w:t>
            </w:r>
          </w:p>
        </w:tc>
      </w:tr>
    </w:tbl>
    <w:p>
      <w:pPr>
        <w:pStyle w:val="186"/>
      </w:pPr>
      <w:r>
        <w:rPr>
          <w:rFonts w:hint="eastAsia" w:ascii="黑体" w:hAnsi="黑体" w:eastAsia="黑体" w:cs="黑体"/>
        </w:rPr>
        <w:t>6.4  </w:t>
      </w:r>
      <w:r>
        <w:rPr>
          <w:rFonts w:hint="eastAsia"/>
        </w:rPr>
        <w:t>纤维水泥复合钢板的规格是2400×1200×9.5（2440×1220×9.5）。施工时可以根据实际需要进行切割。</w:t>
      </w:r>
    </w:p>
    <w:p>
      <w:pPr>
        <w:pStyle w:val="186"/>
      </w:pPr>
      <w:r>
        <w:rPr>
          <w:rFonts w:hint="eastAsia" w:ascii="黑体" w:hAnsi="黑体" w:eastAsia="黑体" w:cs="黑体"/>
        </w:rPr>
        <w:t>6.4  </w:t>
      </w:r>
      <w:r>
        <w:rPr>
          <w:rFonts w:hint="eastAsia"/>
        </w:rPr>
        <w:t>抗爆保护罩的钢龙骨采用冷弯等边槽钢，冷弯等边槽钢的尺寸大小根据抗爆压力值的要求和墙体高度经结构计算确定。</w:t>
      </w:r>
    </w:p>
    <w:p>
      <w:pPr>
        <w:pStyle w:val="186"/>
        <w:rPr>
          <w:rFonts w:ascii="Times New Roman" w:eastAsia="黑体"/>
          <w:color w:val="000000"/>
          <w:szCs w:val="22"/>
          <w:lang w:bidi="ar"/>
        </w:rPr>
      </w:pPr>
      <w:r>
        <w:rPr>
          <w:rFonts w:hint="eastAsia" w:ascii="黑体" w:hAnsi="黑体" w:eastAsia="黑体" w:cs="黑体"/>
        </w:rPr>
        <w:t>6.5  </w:t>
      </w:r>
      <w:r>
        <w:rPr>
          <w:rFonts w:hint="eastAsia"/>
        </w:rPr>
        <w:t>抗爆保护罩钢龙骨的布置方式和纤维水泥复合钢板抗爆保护罩的构造应符合国家现行图集14J938《抗爆、泄爆门窗及屋盖、墙体建筑构造》的要求。</w:t>
      </w:r>
    </w:p>
    <w:p>
      <w:pPr>
        <w:pStyle w:val="44"/>
        <w:widowControl/>
        <w:numPr>
          <w:ilvl w:val="0"/>
          <w:numId w:val="33"/>
        </w:numPr>
        <w:spacing w:before="312" w:beforeLines="100" w:after="312" w:afterLines="100" w:line="240" w:lineRule="auto"/>
        <w:outlineLvl w:val="1"/>
        <w:rPr>
          <w:rFonts w:ascii="Times New Roman" w:hAnsi="Times New Roman" w:eastAsia="黑体"/>
          <w:color w:val="000000"/>
          <w:kern w:val="0"/>
          <w:sz w:val="21"/>
          <w:szCs w:val="22"/>
          <w:lang w:bidi="ar"/>
        </w:rPr>
      </w:pPr>
      <w:bookmarkStart w:id="49" w:name="_Toc20594"/>
      <w:r>
        <w:rPr>
          <w:rFonts w:hint="eastAsia" w:ascii="Times New Roman" w:hAnsi="Times New Roman" w:eastAsia="黑体"/>
          <w:color w:val="000000"/>
          <w:kern w:val="0"/>
          <w:sz w:val="21"/>
          <w:szCs w:val="22"/>
          <w:lang w:bidi="ar"/>
        </w:rPr>
        <w:t>抗爆庇护所技术要求</w:t>
      </w:r>
      <w:bookmarkEnd w:id="49"/>
    </w:p>
    <w:bookmarkEnd w:id="48"/>
    <w:p>
      <w:pPr>
        <w:pStyle w:val="129"/>
        <w:spacing w:before="156" w:after="156"/>
        <w:rPr>
          <w:rFonts w:ascii="宋体" w:eastAsia="宋体"/>
        </w:rPr>
      </w:pPr>
      <w:bookmarkStart w:id="50" w:name="_Toc22497"/>
      <w:bookmarkStart w:id="51" w:name="_Toc65770845"/>
      <w:bookmarkStart w:id="52" w:name="_Toc9692"/>
      <w:bookmarkStart w:id="53" w:name="_Toc65668730"/>
      <w:r>
        <w:rPr>
          <w:rFonts w:hint="eastAsia"/>
        </w:rPr>
        <w:t>7.1  抗爆庇护所抗爆技术要求</w:t>
      </w:r>
      <w:bookmarkEnd w:id="50"/>
    </w:p>
    <w:p>
      <w:pPr>
        <w:pStyle w:val="189"/>
        <w:numPr>
          <w:ilvl w:val="3"/>
          <w:numId w:val="0"/>
        </w:numPr>
        <w:tabs>
          <w:tab w:val="clear" w:pos="0"/>
        </w:tabs>
      </w:pPr>
      <w:r>
        <w:rPr>
          <w:rFonts w:hint="eastAsia" w:ascii="黑体" w:hAnsi="黑体" w:eastAsia="黑体" w:cs="黑体"/>
        </w:rPr>
        <w:t>7.1.1  </w:t>
      </w:r>
      <w:r>
        <w:rPr>
          <w:rFonts w:hint="eastAsia"/>
        </w:rPr>
        <w:t>抗爆庇护所的抗爆要求、爆炸冲击波峰值入射超压及正压作用时间应通过爆炸安全性评估确定。</w:t>
      </w:r>
    </w:p>
    <w:p>
      <w:pPr>
        <w:pStyle w:val="189"/>
        <w:numPr>
          <w:ilvl w:val="3"/>
          <w:numId w:val="0"/>
        </w:numPr>
        <w:tabs>
          <w:tab w:val="clear" w:pos="0"/>
        </w:tabs>
      </w:pPr>
      <w:r>
        <w:rPr>
          <w:rFonts w:hint="eastAsia" w:ascii="黑体" w:hAnsi="黑体" w:eastAsia="黑体" w:cs="黑体"/>
        </w:rPr>
        <w:t>7.1.2  </w:t>
      </w:r>
      <w:r>
        <w:rPr>
          <w:rFonts w:hint="eastAsia"/>
        </w:rPr>
        <w:t>抗爆庇护所不宜布置在爆炸冲击波入射超压大于48 kPa的区域。</w:t>
      </w:r>
    </w:p>
    <w:p>
      <w:pPr>
        <w:pStyle w:val="189"/>
        <w:numPr>
          <w:ilvl w:val="3"/>
          <w:numId w:val="0"/>
        </w:numPr>
        <w:tabs>
          <w:tab w:val="clear" w:pos="0"/>
        </w:tabs>
      </w:pPr>
      <w:r>
        <w:rPr>
          <w:rFonts w:hint="eastAsia" w:ascii="黑体" w:hAnsi="黑体" w:eastAsia="黑体" w:cs="黑体"/>
        </w:rPr>
        <w:t>7.1.3</w:t>
      </w:r>
      <w:r>
        <w:rPr>
          <w:rFonts w:hint="eastAsia"/>
        </w:rPr>
        <w:t xml:space="preserve">  抗爆庇护所应符合现行国家标准GB 50160《石油化工企业设计防火标准》和GB 50016《建筑设计防火规范》的有关规定。</w:t>
      </w:r>
    </w:p>
    <w:p>
      <w:pPr>
        <w:pStyle w:val="189"/>
        <w:numPr>
          <w:ilvl w:val="3"/>
          <w:numId w:val="0"/>
        </w:numPr>
        <w:tabs>
          <w:tab w:val="clear" w:pos="0"/>
        </w:tabs>
      </w:pPr>
      <w:r>
        <w:rPr>
          <w:rFonts w:hint="eastAsia" w:ascii="黑体" w:hAnsi="黑体" w:eastAsia="黑体" w:cs="黑体"/>
        </w:rPr>
        <w:t>7.1.4</w:t>
      </w:r>
      <w:r>
        <w:rPr>
          <w:rFonts w:hint="eastAsia"/>
        </w:rPr>
        <w:t xml:space="preserve">  当爆炸冲击波峰值入射超压大于6.9 kPa时，抗爆庇护所的安全出口不应直接面向有爆炸危险性的装置或设备，设置多个出口时，宜在不同的方向设置。</w:t>
      </w:r>
    </w:p>
    <w:p>
      <w:pPr>
        <w:pStyle w:val="189"/>
        <w:numPr>
          <w:ilvl w:val="3"/>
          <w:numId w:val="0"/>
        </w:numPr>
        <w:tabs>
          <w:tab w:val="clear" w:pos="0"/>
        </w:tabs>
      </w:pPr>
      <w:r>
        <w:rPr>
          <w:rFonts w:hint="eastAsia" w:ascii="黑体" w:hAnsi="黑体" w:eastAsia="黑体" w:cs="黑体"/>
        </w:rPr>
        <w:t>7.1.5</w:t>
      </w:r>
      <w:r>
        <w:rPr>
          <w:rFonts w:hint="eastAsia"/>
        </w:rPr>
        <w:t xml:space="preserve">  抗爆庇护所遭受一次设计爆炸荷载作用后，主要结构构件不应产生较严重的损伤，可产生局部构件破坏，但不影响结构的整体稳固性。且进行一般性修理或更换可继续使用。</w:t>
      </w:r>
    </w:p>
    <w:p>
      <w:pPr>
        <w:pStyle w:val="189"/>
        <w:numPr>
          <w:ilvl w:val="3"/>
          <w:numId w:val="0"/>
        </w:numPr>
        <w:tabs>
          <w:tab w:val="clear" w:pos="0"/>
        </w:tabs>
      </w:pPr>
      <w:r>
        <w:rPr>
          <w:rFonts w:hint="eastAsia" w:ascii="黑体" w:hAnsi="黑体" w:eastAsia="黑体" w:cs="黑体"/>
        </w:rPr>
        <w:t>7.1.6</w:t>
      </w:r>
      <w:r>
        <w:rPr>
          <w:rFonts w:hint="eastAsia"/>
        </w:rPr>
        <w:t xml:space="preserve">  抗爆庇护所外形应简单、规则，平面宜为矩形。</w:t>
      </w:r>
    </w:p>
    <w:p>
      <w:pPr>
        <w:pStyle w:val="189"/>
        <w:numPr>
          <w:ilvl w:val="3"/>
          <w:numId w:val="0"/>
        </w:numPr>
        <w:tabs>
          <w:tab w:val="clear" w:pos="0"/>
        </w:tabs>
      </w:pPr>
      <w:r>
        <w:rPr>
          <w:rFonts w:hint="eastAsia" w:ascii="黑体" w:hAnsi="黑体" w:eastAsia="黑体" w:cs="黑体"/>
        </w:rPr>
        <w:t>7.1.7</w:t>
      </w:r>
      <w:r>
        <w:rPr>
          <w:rFonts w:hint="eastAsia"/>
        </w:rPr>
        <w:t xml:space="preserve">  爆炸冲击波峰值入射超压大于6.9 kPa且小于21.0 kPa时，抗爆庇护所的层数不应超过两层。</w:t>
      </w:r>
    </w:p>
    <w:p>
      <w:pPr>
        <w:pStyle w:val="189"/>
        <w:numPr>
          <w:ilvl w:val="3"/>
          <w:numId w:val="0"/>
        </w:numPr>
        <w:tabs>
          <w:tab w:val="clear" w:pos="0"/>
        </w:tabs>
      </w:pPr>
      <w:r>
        <w:rPr>
          <w:rFonts w:hint="eastAsia" w:ascii="黑体" w:hAnsi="黑体" w:eastAsia="黑体" w:cs="黑体"/>
        </w:rPr>
        <w:t>7.1.8</w:t>
      </w:r>
      <w:r>
        <w:rPr>
          <w:rFonts w:hint="eastAsia"/>
        </w:rPr>
        <w:t xml:space="preserve">  抗爆庇护所配置抗爆门窗、抗爆阀时，设计文件中应注明抗爆门窗、抗爆阀的抗爆性能要求。</w:t>
      </w:r>
    </w:p>
    <w:p>
      <w:pPr>
        <w:pStyle w:val="189"/>
        <w:numPr>
          <w:ilvl w:val="3"/>
          <w:numId w:val="0"/>
        </w:numPr>
        <w:tabs>
          <w:tab w:val="clear" w:pos="0"/>
        </w:tabs>
      </w:pPr>
      <w:r>
        <w:rPr>
          <w:rFonts w:hint="eastAsia" w:ascii="黑体" w:hAnsi="黑体" w:eastAsia="黑体" w:cs="黑体"/>
        </w:rPr>
        <w:t>7.1.9</w:t>
      </w:r>
      <w:r>
        <w:rPr>
          <w:rFonts w:hint="eastAsia"/>
        </w:rPr>
        <w:t xml:space="preserve">  人员通道抗爆门的洞口尺寸不宜大于1800 mm（宽）×2400 mm（高），门扇应向外开启并应设置自动闭门器和抗爆观察窗。</w:t>
      </w:r>
    </w:p>
    <w:p>
      <w:pPr>
        <w:pStyle w:val="189"/>
        <w:numPr>
          <w:ilvl w:val="3"/>
          <w:numId w:val="0"/>
        </w:numPr>
        <w:tabs>
          <w:tab w:val="clear" w:pos="0"/>
        </w:tabs>
      </w:pPr>
      <w:r>
        <w:rPr>
          <w:rFonts w:hint="eastAsia" w:ascii="黑体" w:hAnsi="黑体" w:eastAsia="黑体" w:cs="黑体"/>
        </w:rPr>
        <w:t>7.1.10</w:t>
      </w:r>
      <w:r>
        <w:rPr>
          <w:rFonts w:hint="eastAsia"/>
        </w:rPr>
        <w:t xml:space="preserve">  当爆炸冲击波峰值入射超压大于3.0 kPa时，抗爆庇护所的外门应在其明显位置设置“保持关闭”等提示标识。</w:t>
      </w:r>
    </w:p>
    <w:p>
      <w:pPr>
        <w:pStyle w:val="189"/>
        <w:numPr>
          <w:ilvl w:val="3"/>
          <w:numId w:val="0"/>
        </w:numPr>
        <w:tabs>
          <w:tab w:val="clear" w:pos="0"/>
        </w:tabs>
      </w:pPr>
      <w:r>
        <w:rPr>
          <w:rFonts w:hint="eastAsia" w:ascii="黑体" w:hAnsi="黑体" w:eastAsia="黑体" w:cs="黑体"/>
        </w:rPr>
        <w:t>7.1.11</w:t>
      </w:r>
      <w:r>
        <w:rPr>
          <w:rFonts w:hint="eastAsia"/>
        </w:rPr>
        <w:t xml:space="preserve">  抗爆庇护所的吊顶及内墙面装修构造材料的燃烧性能等级不得低于A级，其他部位装修材料的选择应符合现行国家标准GB 50222《建筑内部装修设计防火规范》的规定。</w:t>
      </w:r>
    </w:p>
    <w:p>
      <w:pPr>
        <w:pStyle w:val="189"/>
        <w:numPr>
          <w:ilvl w:val="3"/>
          <w:numId w:val="0"/>
        </w:numPr>
        <w:tabs>
          <w:tab w:val="clear" w:pos="0"/>
        </w:tabs>
      </w:pPr>
      <w:r>
        <w:rPr>
          <w:rFonts w:hint="eastAsia" w:ascii="黑体" w:hAnsi="黑体" w:eastAsia="黑体" w:cs="黑体"/>
        </w:rPr>
        <w:t>7.1.12</w:t>
      </w:r>
      <w:r>
        <w:rPr>
          <w:rFonts w:hint="eastAsia"/>
        </w:rPr>
        <w:t xml:space="preserve">  在爆炸荷载作用下，抗爆庇护所的结构应验算承载力及变形。</w:t>
      </w:r>
    </w:p>
    <w:p>
      <w:pPr>
        <w:pStyle w:val="189"/>
        <w:numPr>
          <w:ilvl w:val="3"/>
          <w:numId w:val="0"/>
        </w:numPr>
        <w:tabs>
          <w:tab w:val="clear" w:pos="0"/>
        </w:tabs>
      </w:pPr>
      <w:r>
        <w:rPr>
          <w:rFonts w:hint="eastAsia" w:ascii="黑体" w:hAnsi="黑体" w:eastAsia="黑体" w:cs="黑体"/>
        </w:rPr>
        <w:t>7.1.13</w:t>
      </w:r>
      <w:r>
        <w:rPr>
          <w:rFonts w:hint="eastAsia"/>
        </w:rPr>
        <w:t xml:space="preserve">  爆炸荷载作用下，抗爆庇护所的基础应进行地基承载力、抗倾覆及抗滑移验算。</w:t>
      </w:r>
    </w:p>
    <w:p>
      <w:pPr>
        <w:pStyle w:val="189"/>
        <w:numPr>
          <w:ilvl w:val="3"/>
          <w:numId w:val="0"/>
        </w:numPr>
        <w:tabs>
          <w:tab w:val="clear" w:pos="0"/>
        </w:tabs>
      </w:pPr>
      <w:r>
        <w:rPr>
          <w:rFonts w:hint="eastAsia" w:ascii="黑体" w:hAnsi="黑体" w:eastAsia="黑体" w:cs="黑体"/>
        </w:rPr>
        <w:t>7.1.14</w:t>
      </w:r>
      <w:r>
        <w:rPr>
          <w:rFonts w:hint="eastAsia"/>
        </w:rPr>
        <w:t xml:space="preserve">  当爆炸冲击波峰值入射超压大于6.9 kPa时，设在抗爆庇护所的进出风口均应加装抗爆阀。</w:t>
      </w:r>
    </w:p>
    <w:p>
      <w:pPr>
        <w:pStyle w:val="129"/>
        <w:spacing w:before="156" w:after="156"/>
      </w:pPr>
      <w:bookmarkStart w:id="54" w:name="_Toc12321"/>
      <w:r>
        <w:rPr>
          <w:rFonts w:hint="eastAsia"/>
        </w:rPr>
        <w:t>7.2  抗爆庇护所结构技术要求</w:t>
      </w:r>
      <w:bookmarkEnd w:id="54"/>
    </w:p>
    <w:p>
      <w:pPr>
        <w:pStyle w:val="189"/>
        <w:numPr>
          <w:ilvl w:val="3"/>
          <w:numId w:val="0"/>
        </w:numPr>
        <w:tabs>
          <w:tab w:val="clear" w:pos="0"/>
        </w:tabs>
      </w:pPr>
      <w:r>
        <w:rPr>
          <w:rFonts w:hint="eastAsia" w:ascii="黑体" w:hAnsi="黑体" w:eastAsia="黑体" w:cs="黑体"/>
        </w:rPr>
        <w:t>7.2.1</w:t>
      </w:r>
      <w:r>
        <w:rPr>
          <w:rFonts w:hint="eastAsia"/>
        </w:rPr>
        <w:t xml:space="preserve">  抗爆庇护所的载体为集装箱结构，抗爆庇护所均应满足下列要求。</w:t>
      </w:r>
    </w:p>
    <w:p>
      <w:pPr>
        <w:pStyle w:val="189"/>
        <w:numPr>
          <w:ilvl w:val="3"/>
          <w:numId w:val="0"/>
        </w:numPr>
        <w:tabs>
          <w:tab w:val="clear" w:pos="0"/>
        </w:tabs>
      </w:pPr>
      <w:r>
        <w:rPr>
          <w:rFonts w:hint="eastAsia" w:ascii="黑体" w:hAnsi="黑体" w:eastAsia="黑体" w:cs="黑体"/>
        </w:rPr>
        <w:t>7.2.2</w:t>
      </w:r>
      <w:r>
        <w:rPr>
          <w:rFonts w:hint="eastAsia"/>
        </w:rPr>
        <w:t xml:space="preserve">  抗爆庇护所的强度要求应符合GB/T 5338-2022《系列1集装箱 技术要求和实验方法》中附录A.1的规定。</w:t>
      </w:r>
    </w:p>
    <w:p>
      <w:pPr>
        <w:pStyle w:val="189"/>
        <w:numPr>
          <w:ilvl w:val="3"/>
          <w:numId w:val="0"/>
        </w:numPr>
        <w:tabs>
          <w:tab w:val="clear" w:pos="0"/>
        </w:tabs>
      </w:pPr>
      <w:r>
        <w:rPr>
          <w:rFonts w:hint="eastAsia" w:ascii="黑体" w:hAnsi="黑体" w:eastAsia="黑体" w:cs="黑体"/>
        </w:rPr>
        <w:t>7.2.3</w:t>
      </w:r>
      <w:r>
        <w:rPr>
          <w:rFonts w:hint="eastAsia"/>
        </w:rPr>
        <w:t xml:space="preserve">  抗爆庇护所若配有顶角件和底角件，对角件的要求及其所在的位置应符合GB/T 1835的规定，顶角件的顶面应至少高出箱顶6 mm。</w:t>
      </w:r>
    </w:p>
    <w:p>
      <w:pPr>
        <w:pStyle w:val="189"/>
        <w:numPr>
          <w:ilvl w:val="3"/>
          <w:numId w:val="0"/>
        </w:numPr>
        <w:tabs>
          <w:tab w:val="clear" w:pos="0"/>
        </w:tabs>
      </w:pPr>
      <w:r>
        <w:rPr>
          <w:rFonts w:hint="eastAsia" w:ascii="黑体" w:hAnsi="黑体" w:eastAsia="黑体" w:cs="黑体"/>
        </w:rPr>
        <w:t>7.2.4</w:t>
      </w:r>
      <w:r>
        <w:rPr>
          <w:rFonts w:hint="eastAsia"/>
        </w:rPr>
        <w:t xml:space="preserve">  抗爆庇护所在动态或相应静态情况下，并均布施加于底板上时，抗爆庇护所底部任何部位的变形均不应低于地平面以下6 mm。</w:t>
      </w:r>
    </w:p>
    <w:p>
      <w:pPr>
        <w:pStyle w:val="189"/>
        <w:numPr>
          <w:ilvl w:val="3"/>
          <w:numId w:val="0"/>
        </w:numPr>
        <w:tabs>
          <w:tab w:val="clear" w:pos="0"/>
        </w:tabs>
      </w:pPr>
      <w:r>
        <w:rPr>
          <w:rFonts w:hint="eastAsia" w:ascii="黑体" w:hAnsi="黑体" w:eastAsia="黑体" w:cs="黑体"/>
        </w:rPr>
        <w:t>7.2.5</w:t>
      </w:r>
      <w:r>
        <w:rPr>
          <w:rFonts w:hint="eastAsia"/>
        </w:rPr>
        <w:t xml:space="preserve">  抗爆庇护所的底部结构设计应考虑能承受箱内所有设备或货物在运输过程中所产生的各种作用力。</w:t>
      </w:r>
    </w:p>
    <w:p>
      <w:pPr>
        <w:pStyle w:val="189"/>
        <w:numPr>
          <w:ilvl w:val="3"/>
          <w:numId w:val="0"/>
        </w:numPr>
        <w:tabs>
          <w:tab w:val="clear" w:pos="0"/>
        </w:tabs>
      </w:pPr>
      <w:r>
        <w:rPr>
          <w:rFonts w:hint="eastAsia" w:ascii="黑体" w:hAnsi="黑体" w:eastAsia="黑体" w:cs="黑体"/>
        </w:rPr>
        <w:t>7.2.6</w:t>
      </w:r>
      <w:r>
        <w:rPr>
          <w:rFonts w:hint="eastAsia"/>
        </w:rPr>
        <w:t xml:space="preserve">  抗爆庇护所板材厚度允许负偏差应满足设计选用的材料标准的要求，未列明时应符合下表的要求，板材的厚度应在距边缘至少10 mm处侧梁。</w:t>
      </w:r>
    </w:p>
    <w:p>
      <w:pPr>
        <w:pStyle w:val="189"/>
        <w:numPr>
          <w:ilvl w:val="0"/>
          <w:numId w:val="0"/>
        </w:numPr>
        <w:jc w:val="center"/>
        <w:rPr>
          <w:bCs/>
        </w:rPr>
      </w:pPr>
      <w:r>
        <w:rPr>
          <w:rFonts w:hint="eastAsia"/>
          <w:bCs/>
        </w:rPr>
        <w:t>表7.2.6 抗爆庇护所板材厚度要求</w:t>
      </w:r>
    </w:p>
    <w:tbl>
      <w:tblPr>
        <w:tblStyle w:val="5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tcBorders>
              <w:top w:val="single" w:color="auto" w:sz="4" w:space="0"/>
              <w:left w:val="single" w:color="auto" w:sz="4" w:space="0"/>
              <w:bottom w:val="single" w:color="auto" w:sz="4" w:space="0"/>
              <w:right w:val="single" w:color="auto" w:sz="4" w:space="0"/>
            </w:tcBorders>
            <w:vAlign w:val="center"/>
          </w:tcPr>
          <w:p>
            <w:pPr>
              <w:pStyle w:val="186"/>
              <w:jc w:val="center"/>
              <w:rPr>
                <w:sz w:val="18"/>
                <w:szCs w:val="18"/>
              </w:rPr>
            </w:pPr>
            <w:r>
              <w:rPr>
                <w:rFonts w:hint="eastAsia"/>
                <w:sz w:val="18"/>
                <w:szCs w:val="18"/>
              </w:rPr>
              <w:t>公称厚度</w:t>
            </w:r>
          </w:p>
        </w:tc>
        <w:tc>
          <w:tcPr>
            <w:tcW w:w="1217" w:type="dxa"/>
            <w:tcBorders>
              <w:top w:val="single" w:color="auto" w:sz="4" w:space="0"/>
              <w:left w:val="single" w:color="auto" w:sz="4" w:space="0"/>
              <w:bottom w:val="single" w:color="auto" w:sz="4" w:space="0"/>
              <w:right w:val="single" w:color="auto" w:sz="4" w:space="0"/>
            </w:tcBorders>
            <w:vAlign w:val="center"/>
          </w:tcPr>
          <w:p>
            <w:pPr>
              <w:pStyle w:val="186"/>
              <w:jc w:val="center"/>
              <w:rPr>
                <w:sz w:val="18"/>
                <w:szCs w:val="18"/>
              </w:rPr>
            </w:pPr>
            <w:r>
              <w:rPr>
                <w:rFonts w:hint="eastAsia"/>
                <w:sz w:val="18"/>
                <w:szCs w:val="18"/>
              </w:rPr>
              <w:t>1.6≤t＜3</w:t>
            </w:r>
          </w:p>
        </w:tc>
        <w:tc>
          <w:tcPr>
            <w:tcW w:w="1217" w:type="dxa"/>
            <w:tcBorders>
              <w:top w:val="single" w:color="auto" w:sz="4" w:space="0"/>
              <w:left w:val="single" w:color="auto" w:sz="4" w:space="0"/>
              <w:bottom w:val="single" w:color="auto" w:sz="4" w:space="0"/>
              <w:right w:val="single" w:color="auto" w:sz="4" w:space="0"/>
            </w:tcBorders>
            <w:vAlign w:val="center"/>
          </w:tcPr>
          <w:p>
            <w:pPr>
              <w:pStyle w:val="186"/>
              <w:jc w:val="center"/>
              <w:rPr>
                <w:sz w:val="18"/>
                <w:szCs w:val="18"/>
              </w:rPr>
            </w:pPr>
            <w:r>
              <w:rPr>
                <w:rFonts w:hint="eastAsia"/>
                <w:sz w:val="18"/>
                <w:szCs w:val="18"/>
              </w:rPr>
              <w:t>13≤t＜4</w:t>
            </w:r>
          </w:p>
        </w:tc>
        <w:tc>
          <w:tcPr>
            <w:tcW w:w="1217" w:type="dxa"/>
            <w:tcBorders>
              <w:top w:val="single" w:color="auto" w:sz="4" w:space="0"/>
              <w:left w:val="single" w:color="auto" w:sz="4" w:space="0"/>
              <w:bottom w:val="single" w:color="auto" w:sz="4" w:space="0"/>
              <w:right w:val="single" w:color="auto" w:sz="4" w:space="0"/>
            </w:tcBorders>
            <w:vAlign w:val="center"/>
          </w:tcPr>
          <w:p>
            <w:pPr>
              <w:pStyle w:val="186"/>
              <w:jc w:val="center"/>
              <w:rPr>
                <w:sz w:val="18"/>
                <w:szCs w:val="18"/>
              </w:rPr>
            </w:pPr>
            <w:r>
              <w:rPr>
                <w:rFonts w:hint="eastAsia"/>
                <w:sz w:val="18"/>
                <w:szCs w:val="18"/>
              </w:rPr>
              <w:t>4≤t＜5</w:t>
            </w:r>
          </w:p>
        </w:tc>
        <w:tc>
          <w:tcPr>
            <w:tcW w:w="1218" w:type="dxa"/>
            <w:tcBorders>
              <w:top w:val="single" w:color="auto" w:sz="4" w:space="0"/>
              <w:left w:val="single" w:color="auto" w:sz="4" w:space="0"/>
              <w:bottom w:val="single" w:color="auto" w:sz="4" w:space="0"/>
              <w:right w:val="single" w:color="auto" w:sz="4" w:space="0"/>
            </w:tcBorders>
            <w:vAlign w:val="center"/>
          </w:tcPr>
          <w:p>
            <w:pPr>
              <w:pStyle w:val="186"/>
              <w:jc w:val="center"/>
              <w:rPr>
                <w:sz w:val="18"/>
                <w:szCs w:val="18"/>
              </w:rPr>
            </w:pPr>
            <w:r>
              <w:rPr>
                <w:rFonts w:hint="eastAsia"/>
                <w:sz w:val="18"/>
                <w:szCs w:val="18"/>
              </w:rPr>
              <w:t>5≤t＜6</w:t>
            </w:r>
          </w:p>
        </w:tc>
        <w:tc>
          <w:tcPr>
            <w:tcW w:w="1218" w:type="dxa"/>
            <w:tcBorders>
              <w:top w:val="single" w:color="auto" w:sz="4" w:space="0"/>
              <w:left w:val="single" w:color="auto" w:sz="4" w:space="0"/>
              <w:bottom w:val="single" w:color="auto" w:sz="4" w:space="0"/>
              <w:right w:val="single" w:color="auto" w:sz="4" w:space="0"/>
            </w:tcBorders>
            <w:vAlign w:val="center"/>
          </w:tcPr>
          <w:p>
            <w:pPr>
              <w:pStyle w:val="186"/>
              <w:jc w:val="center"/>
              <w:rPr>
                <w:sz w:val="18"/>
                <w:szCs w:val="18"/>
              </w:rPr>
            </w:pPr>
            <w:r>
              <w:rPr>
                <w:rFonts w:hint="eastAsia"/>
                <w:sz w:val="18"/>
                <w:szCs w:val="18"/>
              </w:rPr>
              <w:t>6≤t＜8</w:t>
            </w:r>
          </w:p>
        </w:tc>
        <w:tc>
          <w:tcPr>
            <w:tcW w:w="1218" w:type="dxa"/>
            <w:tcBorders>
              <w:top w:val="single" w:color="auto" w:sz="4" w:space="0"/>
              <w:left w:val="single" w:color="auto" w:sz="4" w:space="0"/>
              <w:bottom w:val="single" w:color="auto" w:sz="4" w:space="0"/>
              <w:right w:val="single" w:color="auto" w:sz="4" w:space="0"/>
            </w:tcBorders>
            <w:vAlign w:val="center"/>
          </w:tcPr>
          <w:p>
            <w:pPr>
              <w:pStyle w:val="186"/>
              <w:jc w:val="center"/>
              <w:rPr>
                <w:sz w:val="18"/>
                <w:szCs w:val="18"/>
              </w:rPr>
            </w:pPr>
            <w:r>
              <w:rPr>
                <w:rFonts w:hint="eastAsia"/>
                <w:sz w:val="18"/>
                <w:szCs w:val="18"/>
              </w:rPr>
              <w:t>8≤t＜10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tcBorders>
              <w:top w:val="single" w:color="auto" w:sz="4" w:space="0"/>
              <w:left w:val="single" w:color="auto" w:sz="4" w:space="0"/>
              <w:bottom w:val="single" w:color="auto" w:sz="4" w:space="0"/>
              <w:right w:val="single" w:color="auto" w:sz="4" w:space="0"/>
            </w:tcBorders>
            <w:vAlign w:val="center"/>
          </w:tcPr>
          <w:p>
            <w:pPr>
              <w:pStyle w:val="186"/>
              <w:jc w:val="center"/>
              <w:rPr>
                <w:sz w:val="18"/>
                <w:szCs w:val="18"/>
              </w:rPr>
            </w:pPr>
            <w:r>
              <w:rPr>
                <w:rFonts w:hint="eastAsia"/>
                <w:sz w:val="18"/>
                <w:szCs w:val="18"/>
              </w:rPr>
              <w:t>允许</w:t>
            </w:r>
          </w:p>
          <w:p>
            <w:pPr>
              <w:pStyle w:val="186"/>
              <w:jc w:val="center"/>
              <w:rPr>
                <w:sz w:val="18"/>
                <w:szCs w:val="18"/>
              </w:rPr>
            </w:pPr>
            <w:r>
              <w:rPr>
                <w:rFonts w:hint="eastAsia"/>
                <w:sz w:val="18"/>
                <w:szCs w:val="18"/>
              </w:rPr>
              <w:t>负偏差</w:t>
            </w:r>
          </w:p>
        </w:tc>
        <w:tc>
          <w:tcPr>
            <w:tcW w:w="1217" w:type="dxa"/>
            <w:tcBorders>
              <w:top w:val="single" w:color="auto" w:sz="4" w:space="0"/>
              <w:left w:val="single" w:color="auto" w:sz="4" w:space="0"/>
              <w:bottom w:val="single" w:color="auto" w:sz="4" w:space="0"/>
              <w:right w:val="single" w:color="auto" w:sz="4" w:space="0"/>
            </w:tcBorders>
            <w:vAlign w:val="center"/>
          </w:tcPr>
          <w:p>
            <w:pPr>
              <w:pStyle w:val="186"/>
              <w:jc w:val="center"/>
              <w:rPr>
                <w:sz w:val="18"/>
                <w:szCs w:val="18"/>
              </w:rPr>
            </w:pPr>
            <w:r>
              <w:rPr>
                <w:rFonts w:hint="eastAsia"/>
                <w:sz w:val="18"/>
                <w:szCs w:val="18"/>
              </w:rPr>
              <w:t>-0.22</w:t>
            </w:r>
          </w:p>
        </w:tc>
        <w:tc>
          <w:tcPr>
            <w:tcW w:w="1217" w:type="dxa"/>
            <w:tcBorders>
              <w:top w:val="single" w:color="auto" w:sz="4" w:space="0"/>
              <w:left w:val="single" w:color="auto" w:sz="4" w:space="0"/>
              <w:bottom w:val="single" w:color="auto" w:sz="4" w:space="0"/>
              <w:right w:val="single" w:color="auto" w:sz="4" w:space="0"/>
            </w:tcBorders>
            <w:vAlign w:val="center"/>
          </w:tcPr>
          <w:p>
            <w:pPr>
              <w:pStyle w:val="186"/>
              <w:jc w:val="center"/>
              <w:rPr>
                <w:sz w:val="18"/>
                <w:szCs w:val="18"/>
              </w:rPr>
            </w:pPr>
            <w:r>
              <w:rPr>
                <w:rFonts w:hint="eastAsia"/>
                <w:sz w:val="18"/>
                <w:szCs w:val="18"/>
              </w:rPr>
              <w:t>-0.24</w:t>
            </w:r>
          </w:p>
        </w:tc>
        <w:tc>
          <w:tcPr>
            <w:tcW w:w="1217" w:type="dxa"/>
            <w:tcBorders>
              <w:top w:val="single" w:color="auto" w:sz="4" w:space="0"/>
              <w:left w:val="single" w:color="auto" w:sz="4" w:space="0"/>
              <w:bottom w:val="single" w:color="auto" w:sz="4" w:space="0"/>
              <w:right w:val="single" w:color="auto" w:sz="4" w:space="0"/>
            </w:tcBorders>
            <w:vAlign w:val="center"/>
          </w:tcPr>
          <w:p>
            <w:pPr>
              <w:pStyle w:val="186"/>
              <w:jc w:val="center"/>
              <w:rPr>
                <w:sz w:val="18"/>
                <w:szCs w:val="18"/>
              </w:rPr>
            </w:pPr>
            <w:r>
              <w:rPr>
                <w:rFonts w:hint="eastAsia"/>
                <w:sz w:val="18"/>
                <w:szCs w:val="18"/>
              </w:rPr>
              <w:t>-0.26</w:t>
            </w:r>
          </w:p>
        </w:tc>
        <w:tc>
          <w:tcPr>
            <w:tcW w:w="1218" w:type="dxa"/>
            <w:tcBorders>
              <w:top w:val="single" w:color="auto" w:sz="4" w:space="0"/>
              <w:left w:val="single" w:color="auto" w:sz="4" w:space="0"/>
              <w:bottom w:val="single" w:color="auto" w:sz="4" w:space="0"/>
              <w:right w:val="single" w:color="auto" w:sz="4" w:space="0"/>
            </w:tcBorders>
            <w:vAlign w:val="center"/>
          </w:tcPr>
          <w:p>
            <w:pPr>
              <w:pStyle w:val="186"/>
              <w:jc w:val="center"/>
              <w:rPr>
                <w:sz w:val="18"/>
                <w:szCs w:val="18"/>
              </w:rPr>
            </w:pPr>
            <w:r>
              <w:rPr>
                <w:rFonts w:hint="eastAsia"/>
                <w:sz w:val="18"/>
                <w:szCs w:val="18"/>
              </w:rPr>
              <w:t>-0.28</w:t>
            </w:r>
          </w:p>
        </w:tc>
        <w:tc>
          <w:tcPr>
            <w:tcW w:w="1218" w:type="dxa"/>
            <w:tcBorders>
              <w:top w:val="single" w:color="auto" w:sz="4" w:space="0"/>
              <w:left w:val="single" w:color="auto" w:sz="4" w:space="0"/>
              <w:bottom w:val="single" w:color="auto" w:sz="4" w:space="0"/>
              <w:right w:val="single" w:color="auto" w:sz="4" w:space="0"/>
            </w:tcBorders>
            <w:vAlign w:val="center"/>
          </w:tcPr>
          <w:p>
            <w:pPr>
              <w:pStyle w:val="186"/>
              <w:jc w:val="center"/>
              <w:rPr>
                <w:sz w:val="18"/>
                <w:szCs w:val="18"/>
              </w:rPr>
            </w:pPr>
            <w:r>
              <w:rPr>
                <w:rFonts w:hint="eastAsia"/>
                <w:sz w:val="18"/>
                <w:szCs w:val="18"/>
              </w:rPr>
              <w:t>-0.3</w:t>
            </w:r>
          </w:p>
        </w:tc>
        <w:tc>
          <w:tcPr>
            <w:tcW w:w="1218" w:type="dxa"/>
            <w:tcBorders>
              <w:top w:val="single" w:color="auto" w:sz="4" w:space="0"/>
              <w:left w:val="single" w:color="auto" w:sz="4" w:space="0"/>
              <w:bottom w:val="single" w:color="auto" w:sz="4" w:space="0"/>
              <w:right w:val="single" w:color="auto" w:sz="4" w:space="0"/>
            </w:tcBorders>
            <w:vAlign w:val="center"/>
          </w:tcPr>
          <w:p>
            <w:pPr>
              <w:pStyle w:val="186"/>
              <w:jc w:val="center"/>
              <w:rPr>
                <w:sz w:val="18"/>
                <w:szCs w:val="18"/>
              </w:rPr>
            </w:pPr>
            <w:r>
              <w:rPr>
                <w:rFonts w:hint="eastAsia"/>
                <w:sz w:val="18"/>
                <w:szCs w:val="18"/>
              </w:rPr>
              <w:t>-0.33</w:t>
            </w:r>
          </w:p>
        </w:tc>
      </w:tr>
    </w:tbl>
    <w:p>
      <w:pPr>
        <w:pStyle w:val="89"/>
        <w:numPr>
          <w:ilvl w:val="3"/>
          <w:numId w:val="0"/>
        </w:numPr>
        <w:tabs>
          <w:tab w:val="clear" w:pos="0"/>
        </w:tabs>
        <w:spacing w:before="0" w:beforeLines="0" w:after="0" w:afterLines="0"/>
        <w:outlineLvl w:val="9"/>
        <w:rPr>
          <w:rFonts w:ascii="宋体" w:eastAsia="宋体"/>
        </w:rPr>
      </w:pPr>
      <w:bookmarkStart w:id="55" w:name="_Toc22741"/>
      <w:bookmarkStart w:id="56" w:name="_Toc29799"/>
      <w:r>
        <w:rPr>
          <w:rFonts w:hint="eastAsia" w:hAnsi="黑体" w:cs="黑体"/>
        </w:rPr>
        <w:t>7.2.7</w:t>
      </w:r>
      <w:r>
        <w:rPr>
          <w:rFonts w:hint="eastAsia"/>
        </w:rPr>
        <w:t xml:space="preserve">  </w:t>
      </w:r>
      <w:r>
        <w:rPr>
          <w:rFonts w:hint="eastAsia" w:ascii="宋体" w:eastAsia="宋体"/>
        </w:rPr>
        <w:t>抗爆庇护所型材一般为板材冷加工焊接成型或无缝钢管加工成型。</w:t>
      </w:r>
      <w:bookmarkEnd w:id="55"/>
      <w:bookmarkEnd w:id="56"/>
    </w:p>
    <w:p>
      <w:pPr>
        <w:pStyle w:val="89"/>
        <w:numPr>
          <w:ilvl w:val="3"/>
          <w:numId w:val="0"/>
        </w:numPr>
        <w:tabs>
          <w:tab w:val="clear" w:pos="0"/>
        </w:tabs>
        <w:spacing w:before="0" w:beforeLines="0" w:after="0" w:afterLines="0"/>
        <w:outlineLvl w:val="9"/>
        <w:rPr>
          <w:rFonts w:ascii="宋体" w:eastAsia="宋体"/>
        </w:rPr>
      </w:pPr>
      <w:bookmarkStart w:id="57" w:name="_Toc28968"/>
      <w:bookmarkStart w:id="58" w:name="_Toc13943"/>
      <w:r>
        <w:rPr>
          <w:rFonts w:hint="eastAsia" w:hAnsi="黑体" w:cs="黑体"/>
        </w:rPr>
        <w:t>7.2.8</w:t>
      </w:r>
      <w:r>
        <w:rPr>
          <w:rFonts w:hint="eastAsia"/>
        </w:rPr>
        <w:t xml:space="preserve">  </w:t>
      </w:r>
      <w:r>
        <w:rPr>
          <w:rFonts w:hint="eastAsia" w:ascii="宋体" w:eastAsia="宋体"/>
        </w:rPr>
        <w:t>角件应具有良好的焊接性。</w:t>
      </w:r>
      <w:bookmarkEnd w:id="57"/>
      <w:bookmarkEnd w:id="58"/>
    </w:p>
    <w:p>
      <w:pPr>
        <w:pStyle w:val="89"/>
        <w:numPr>
          <w:ilvl w:val="3"/>
          <w:numId w:val="0"/>
        </w:numPr>
        <w:tabs>
          <w:tab w:val="clear" w:pos="0"/>
        </w:tabs>
        <w:spacing w:before="0" w:beforeLines="0" w:after="0" w:afterLines="0"/>
        <w:outlineLvl w:val="9"/>
        <w:rPr>
          <w:rFonts w:ascii="宋体" w:eastAsia="宋体"/>
        </w:rPr>
      </w:pPr>
      <w:bookmarkStart w:id="59" w:name="_Toc10027"/>
      <w:bookmarkStart w:id="60" w:name="_Toc8657"/>
      <w:r>
        <w:rPr>
          <w:rFonts w:hint="eastAsia" w:hAnsi="黑体" w:cs="黑体"/>
        </w:rPr>
        <w:t>7.2.9</w:t>
      </w:r>
      <w:r>
        <w:rPr>
          <w:rFonts w:hint="eastAsia"/>
        </w:rPr>
        <w:t xml:space="preserve">  </w:t>
      </w:r>
      <w:r>
        <w:rPr>
          <w:rFonts w:hint="eastAsia" w:ascii="宋体" w:eastAsia="宋体"/>
        </w:rPr>
        <w:t>基本主结构构件应采用全熔透焊。</w:t>
      </w:r>
      <w:bookmarkEnd w:id="59"/>
      <w:bookmarkEnd w:id="60"/>
    </w:p>
    <w:p>
      <w:pPr>
        <w:pStyle w:val="89"/>
        <w:numPr>
          <w:ilvl w:val="3"/>
          <w:numId w:val="0"/>
        </w:numPr>
        <w:tabs>
          <w:tab w:val="clear" w:pos="0"/>
        </w:tabs>
        <w:spacing w:before="0" w:beforeLines="0" w:after="0" w:afterLines="0"/>
        <w:outlineLvl w:val="9"/>
        <w:rPr>
          <w:rFonts w:ascii="宋体" w:eastAsia="宋体"/>
        </w:rPr>
      </w:pPr>
      <w:bookmarkStart w:id="61" w:name="_Toc28820"/>
      <w:bookmarkStart w:id="62" w:name="_Toc30752"/>
      <w:r>
        <w:rPr>
          <w:rFonts w:hint="eastAsia" w:hAnsi="黑体" w:cs="黑体"/>
        </w:rPr>
        <w:t>7.2.10</w:t>
      </w:r>
      <w:r>
        <w:rPr>
          <w:rFonts w:hint="eastAsia"/>
        </w:rPr>
        <w:t xml:space="preserve">  </w:t>
      </w:r>
      <w:r>
        <w:rPr>
          <w:rFonts w:hint="eastAsia" w:ascii="宋体" w:eastAsia="宋体"/>
        </w:rPr>
        <w:t>抗爆庇护所内外表面应有良好的图层，在涂刷图层前，必须做好金属表面的预处理。</w:t>
      </w:r>
      <w:bookmarkEnd w:id="61"/>
      <w:bookmarkEnd w:id="62"/>
    </w:p>
    <w:p>
      <w:pPr>
        <w:pStyle w:val="129"/>
        <w:spacing w:before="156" w:after="156"/>
      </w:pPr>
      <w:bookmarkStart w:id="63" w:name="_Toc8586"/>
      <w:r>
        <w:rPr>
          <w:rFonts w:hint="eastAsia"/>
        </w:rPr>
        <w:t>7.3  抗爆庇护所防火技术要求</w:t>
      </w:r>
      <w:bookmarkEnd w:id="63"/>
    </w:p>
    <w:p>
      <w:pPr>
        <w:pStyle w:val="189"/>
        <w:numPr>
          <w:ilvl w:val="3"/>
          <w:numId w:val="0"/>
        </w:numPr>
        <w:tabs>
          <w:tab w:val="clear" w:pos="0"/>
        </w:tabs>
      </w:pPr>
      <w:r>
        <w:rPr>
          <w:rFonts w:hint="eastAsia" w:ascii="黑体" w:hAnsi="黑体" w:eastAsia="黑体" w:cs="黑体"/>
        </w:rPr>
        <w:t>7.3.1</w:t>
      </w:r>
      <w:r>
        <w:rPr>
          <w:rFonts w:hint="eastAsia"/>
        </w:rPr>
        <w:t xml:space="preserve">  所有连续钢结构，所有的开孔应该可以从模块外部可以关闭而且所有穿过和密封应该可以抵抗火焰或烟气60 min以上。</w:t>
      </w:r>
    </w:p>
    <w:p>
      <w:pPr>
        <w:pStyle w:val="189"/>
        <w:numPr>
          <w:ilvl w:val="3"/>
          <w:numId w:val="0"/>
        </w:numPr>
        <w:tabs>
          <w:tab w:val="clear" w:pos="0"/>
        </w:tabs>
      </w:pPr>
      <w:r>
        <w:rPr>
          <w:rFonts w:hint="eastAsia" w:ascii="黑体" w:hAnsi="黑体" w:eastAsia="黑体" w:cs="黑体"/>
        </w:rPr>
        <w:t>7.3.2</w:t>
      </w:r>
      <w:r>
        <w:rPr>
          <w:rFonts w:hint="eastAsia"/>
        </w:rPr>
        <w:t xml:space="preserve">  安装的穿线板、穿线模块可以抵抗烟或火60 min。</w:t>
      </w:r>
    </w:p>
    <w:p>
      <w:pPr>
        <w:pStyle w:val="189"/>
        <w:numPr>
          <w:ilvl w:val="3"/>
          <w:numId w:val="0"/>
        </w:numPr>
        <w:tabs>
          <w:tab w:val="clear" w:pos="0"/>
        </w:tabs>
      </w:pPr>
      <w:r>
        <w:rPr>
          <w:rFonts w:hint="eastAsia" w:ascii="黑体" w:hAnsi="黑体" w:eastAsia="黑体" w:cs="黑体"/>
        </w:rPr>
        <w:t>7.3.3</w:t>
      </w:r>
      <w:r>
        <w:rPr>
          <w:rFonts w:hint="eastAsia"/>
        </w:rPr>
        <w:t xml:space="preserve">  所有的空气入口应该安装紧防火阀。</w:t>
      </w:r>
    </w:p>
    <w:p>
      <w:pPr>
        <w:pStyle w:val="189"/>
        <w:numPr>
          <w:ilvl w:val="3"/>
          <w:numId w:val="0"/>
        </w:numPr>
        <w:tabs>
          <w:tab w:val="clear" w:pos="0"/>
        </w:tabs>
      </w:pPr>
      <w:r>
        <w:rPr>
          <w:rFonts w:hint="eastAsia" w:ascii="黑体" w:hAnsi="黑体" w:eastAsia="黑体" w:cs="黑体"/>
        </w:rPr>
        <w:t>7.3.4</w:t>
      </w:r>
      <w:r>
        <w:rPr>
          <w:rFonts w:hint="eastAsia"/>
        </w:rPr>
        <w:t xml:space="preserve">  用于被动火灾保护的材料需要提供相应的证书。</w:t>
      </w:r>
    </w:p>
    <w:p>
      <w:pPr>
        <w:pStyle w:val="189"/>
        <w:numPr>
          <w:ilvl w:val="3"/>
          <w:numId w:val="0"/>
        </w:numPr>
        <w:tabs>
          <w:tab w:val="clear" w:pos="0"/>
        </w:tabs>
      </w:pPr>
      <w:r>
        <w:rPr>
          <w:rFonts w:hint="eastAsia" w:ascii="黑体" w:hAnsi="黑体" w:eastAsia="黑体" w:cs="黑体"/>
        </w:rPr>
        <w:t>7.3.5</w:t>
      </w:r>
      <w:r>
        <w:rPr>
          <w:rFonts w:hint="eastAsia"/>
        </w:rPr>
        <w:t xml:space="preserve">  获得关于穿过有防火等级隔墙的导通和电缆/管线。</w:t>
      </w:r>
    </w:p>
    <w:p>
      <w:pPr>
        <w:pStyle w:val="189"/>
        <w:numPr>
          <w:ilvl w:val="3"/>
          <w:numId w:val="0"/>
        </w:numPr>
        <w:tabs>
          <w:tab w:val="clear" w:pos="0"/>
        </w:tabs>
      </w:pPr>
      <w:r>
        <w:rPr>
          <w:rFonts w:hint="eastAsia" w:ascii="黑体" w:hAnsi="黑体" w:eastAsia="黑体" w:cs="黑体"/>
        </w:rPr>
        <w:t>7.3.6</w:t>
      </w:r>
      <w:r>
        <w:rPr>
          <w:rFonts w:hint="eastAsia"/>
        </w:rPr>
        <w:t xml:space="preserve">  任何热桥应该隔热成相同的耐火等级这样保温层的距离不少于900 mm，典型是每边450 mm，在防火等级的板上开孔或者是过线需要合理布置以保证维持其防火等级。过线装置需要是已批准的形式符合其安装隔断的防火等级。</w:t>
      </w:r>
    </w:p>
    <w:p>
      <w:pPr>
        <w:pStyle w:val="189"/>
        <w:numPr>
          <w:ilvl w:val="3"/>
          <w:numId w:val="0"/>
        </w:numPr>
        <w:tabs>
          <w:tab w:val="clear" w:pos="0"/>
        </w:tabs>
      </w:pPr>
      <w:r>
        <w:rPr>
          <w:rFonts w:hint="eastAsia" w:ascii="黑体" w:hAnsi="黑体" w:eastAsia="黑体" w:cs="黑体"/>
        </w:rPr>
        <w:t>7.3.7</w:t>
      </w:r>
      <w:r>
        <w:rPr>
          <w:rFonts w:hint="eastAsia"/>
        </w:rPr>
        <w:t xml:space="preserve">  在箱内至少要放一个以上的便携式灭火器，并且放在容易取到的位置。对于集装箱模块要求有多种逃生手段，在靠近每个出口处需要配备一个便携式灭火器（通常在紧急出口处不设要求）。</w:t>
      </w:r>
    </w:p>
    <w:p>
      <w:pPr>
        <w:pStyle w:val="189"/>
        <w:numPr>
          <w:ilvl w:val="3"/>
          <w:numId w:val="0"/>
        </w:numPr>
        <w:tabs>
          <w:tab w:val="clear" w:pos="0"/>
        </w:tabs>
      </w:pPr>
      <w:r>
        <w:rPr>
          <w:rFonts w:hint="eastAsia" w:ascii="黑体" w:hAnsi="黑体" w:eastAsia="黑体" w:cs="黑体"/>
        </w:rPr>
        <w:t>7.3.8</w:t>
      </w:r>
      <w:r>
        <w:rPr>
          <w:rFonts w:hint="eastAsia"/>
        </w:rPr>
        <w:t xml:space="preserve">  服务空间及控制间的暴露表面需要有文件证明为不可燃材料。</w:t>
      </w:r>
      <w:bookmarkEnd w:id="51"/>
      <w:bookmarkEnd w:id="52"/>
      <w:bookmarkEnd w:id="53"/>
    </w:p>
    <w:p>
      <w:pPr>
        <w:pStyle w:val="189"/>
        <w:numPr>
          <w:ilvl w:val="3"/>
          <w:numId w:val="0"/>
        </w:numPr>
        <w:tabs>
          <w:tab w:val="clear" w:pos="0"/>
        </w:tabs>
      </w:pPr>
      <w:r>
        <w:rPr>
          <w:rFonts w:hint="eastAsia"/>
        </w:rPr>
        <w:br w:type="page"/>
      </w:r>
    </w:p>
    <w:p>
      <w:pPr>
        <w:widowControl/>
        <w:adjustRightInd/>
        <w:spacing w:line="240" w:lineRule="auto"/>
        <w:jc w:val="center"/>
        <w:outlineLvl w:val="0"/>
        <w:rPr>
          <w:rFonts w:ascii="宋体" w:hAnsi="宋体" w:cs="宋体"/>
          <w:kern w:val="0"/>
          <w:sz w:val="24"/>
          <w:szCs w:val="24"/>
        </w:rPr>
      </w:pPr>
      <w:bookmarkStart w:id="64" w:name="_Toc14149"/>
      <w:bookmarkStart w:id="65" w:name="_Toc2008"/>
      <w:r>
        <w:rPr>
          <w:rFonts w:hint="eastAsia" w:ascii="黑体" w:hAnsi="黑体" w:eastAsia="黑体" w:cs="宋体"/>
          <w:color w:val="000000"/>
          <w:kern w:val="0"/>
        </w:rPr>
        <w:t>附 录 A</w:t>
      </w:r>
      <w:bookmarkEnd w:id="64"/>
      <w:bookmarkEnd w:id="65"/>
    </w:p>
    <w:p>
      <w:pPr>
        <w:widowControl/>
        <w:adjustRightInd/>
        <w:spacing w:line="240" w:lineRule="auto"/>
        <w:jc w:val="center"/>
        <w:outlineLvl w:val="0"/>
        <w:rPr>
          <w:rFonts w:ascii="宋体" w:hAnsi="宋体" w:cs="宋体"/>
          <w:kern w:val="0"/>
          <w:sz w:val="24"/>
          <w:szCs w:val="24"/>
        </w:rPr>
      </w:pPr>
      <w:bookmarkStart w:id="66" w:name="_Toc13963"/>
      <w:r>
        <w:rPr>
          <w:rFonts w:hint="eastAsia" w:ascii="黑体" w:hAnsi="黑体" w:eastAsia="黑体" w:cs="宋体"/>
          <w:color w:val="000000"/>
          <w:kern w:val="0"/>
        </w:rPr>
        <w:t>（规范性）</w:t>
      </w:r>
      <w:bookmarkEnd w:id="66"/>
    </w:p>
    <w:p>
      <w:pPr>
        <w:pStyle w:val="186"/>
        <w:jc w:val="center"/>
        <w:rPr>
          <w:b/>
        </w:rPr>
      </w:pPr>
      <w:r>
        <w:rPr>
          <w:rFonts w:hint="eastAsia" w:ascii="黑体" w:hAnsi="黑体" w:eastAsia="黑体" w:cs="宋体"/>
          <w:color w:val="000000"/>
        </w:rPr>
        <w:t xml:space="preserve">表A.1 </w:t>
      </w:r>
      <w:r>
        <w:rPr>
          <w:rFonts w:hint="eastAsia" w:ascii="黑体" w:hAnsi="黑体" w:eastAsia="黑体" w:cs="宋体"/>
          <w:color w:val="000000"/>
          <w:szCs w:val="21"/>
        </w:rPr>
        <w:t>爆涂层性能表</w:t>
      </w:r>
    </w:p>
    <w:tbl>
      <w:tblPr>
        <w:tblStyle w:val="57"/>
        <w:tblW w:w="67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987"/>
        <w:gridCol w:w="1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序号</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项目</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性能指标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密度（kg/m</w:t>
            </w:r>
            <w:r>
              <w:rPr>
                <w:rFonts w:hint="eastAsia" w:ascii="宋体" w:hAnsi="宋体" w:cs="宋体"/>
                <w:sz w:val="18"/>
                <w:szCs w:val="18"/>
                <w:vertAlign w:val="superscript"/>
              </w:rPr>
              <w:t>3</w:t>
            </w:r>
            <w:r>
              <w:rPr>
                <w:rFonts w:hint="eastAsia" w:ascii="宋体" w:hAnsi="宋体" w:cs="宋体"/>
                <w:sz w:val="18"/>
                <w:szCs w:val="18"/>
              </w:rPr>
              <w:t>）</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2</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固体含量（%）</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3</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凝胶时间（s，25℃）</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4</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表干时间（s，25℃）</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5</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硬度（邵D）</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40~60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6</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受拉弹性模量（MPa）</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7</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塑性模量（MPa）</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8</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拉伸强度（MPa）</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9</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屈服强度（MPa）</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10</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热处理、酸处理、碱处理、盐处理、人工气候老化后 拉伸强度（MPa）</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11</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断裂伸长率（%）</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12</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热处理、酸处理、碱处理、盐处理、人工气候老化后断裂伸长率（%）</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13</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撕裂强度（N/mm）</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14</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耐冲击性（kg·m）</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15</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燃烧性能</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不低于B2级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16</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吸水性（%）</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17</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与砌体的附着力（MPa）</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18</w:t>
            </w:r>
          </w:p>
        </w:tc>
        <w:tc>
          <w:tcPr>
            <w:tcW w:w="3987"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与混凝土附着力（MPa）</w:t>
            </w:r>
          </w:p>
        </w:tc>
        <w:tc>
          <w:tcPr>
            <w:tcW w:w="1964" w:type="dxa"/>
            <w:shd w:val="clear" w:color="auto" w:fill="auto"/>
          </w:tcPr>
          <w:p>
            <w:pPr>
              <w:pStyle w:val="254"/>
              <w:ind w:firstLine="0" w:firstLineChars="0"/>
              <w:jc w:val="center"/>
              <w:rPr>
                <w:rFonts w:ascii="宋体" w:hAnsi="宋体" w:cs="宋体"/>
                <w:sz w:val="18"/>
                <w:szCs w:val="18"/>
              </w:rPr>
            </w:pPr>
            <w:r>
              <w:rPr>
                <w:rFonts w:hint="eastAsia" w:ascii="宋体" w:hAnsi="宋体" w:cs="宋体"/>
                <w:sz w:val="18"/>
                <w:szCs w:val="18"/>
              </w:rPr>
              <w:t>≥2.0</w:t>
            </w:r>
          </w:p>
        </w:tc>
      </w:tr>
    </w:tbl>
    <w:p>
      <w:pPr>
        <w:pStyle w:val="186"/>
        <w:jc w:val="center"/>
        <w:rPr>
          <w:rFonts w:asciiTheme="minorEastAsia" w:hAnsiTheme="minorEastAsia"/>
        </w:rPr>
      </w:pPr>
      <w:r>
        <w:rPr>
          <w:rFonts w:hint="eastAsia" w:asciiTheme="minorEastAsia" w:hAnsiTheme="minorEastAsia"/>
        </w:rPr>
        <w:tab/>
      </w:r>
    </w:p>
    <w:p>
      <w:pPr>
        <w:pStyle w:val="186"/>
        <w:rPr>
          <w:bCs/>
        </w:rPr>
      </w:pPr>
    </w:p>
    <w:p>
      <w:pPr>
        <w:pStyle w:val="186"/>
      </w:pPr>
    </w:p>
    <w:p>
      <w:pPr>
        <w:pStyle w:val="186"/>
      </w:pPr>
    </w:p>
    <w:p>
      <w:pPr>
        <w:pStyle w:val="186"/>
      </w:pPr>
    </w:p>
    <w:p>
      <w:pPr>
        <w:pStyle w:val="189"/>
        <w:numPr>
          <w:ilvl w:val="3"/>
          <w:numId w:val="0"/>
        </w:numPr>
        <w:tabs>
          <w:tab w:val="clear" w:pos="0"/>
        </w:tabs>
      </w:pPr>
    </w:p>
    <w:p>
      <w:pPr>
        <w:pStyle w:val="189"/>
        <w:numPr>
          <w:ilvl w:val="3"/>
          <w:numId w:val="0"/>
        </w:numPr>
        <w:tabs>
          <w:tab w:val="clear" w:pos="0"/>
        </w:tabs>
      </w:pPr>
      <w:r>
        <w:rPr>
          <w:rFonts w:hint="eastAsia"/>
        </w:rPr>
        <w:br w:type="page"/>
      </w:r>
    </w:p>
    <w:p>
      <w:pPr>
        <w:pStyle w:val="87"/>
        <w:spacing w:before="124" w:after="156"/>
      </w:pPr>
      <w:bookmarkStart w:id="67" w:name="_Toc155713650"/>
      <w:bookmarkStart w:id="68" w:name="_Toc155713496"/>
      <w:bookmarkStart w:id="69" w:name="_Toc24081"/>
      <w:r>
        <w:rPr>
          <w:rFonts w:hint="eastAsia"/>
          <w:spacing w:val="105"/>
        </w:rPr>
        <w:t>参考文</w:t>
      </w:r>
      <w:r>
        <w:rPr>
          <w:rFonts w:hint="eastAsia"/>
        </w:rPr>
        <w:t>献</w:t>
      </w:r>
      <w:bookmarkEnd w:id="67"/>
      <w:bookmarkEnd w:id="68"/>
      <w:bookmarkEnd w:id="69"/>
    </w:p>
    <w:p>
      <w:pPr>
        <w:pStyle w:val="80"/>
        <w:ind w:firstLine="420"/>
      </w:pPr>
      <w:r>
        <w:rPr>
          <w:rFonts w:hint="eastAsia"/>
        </w:rPr>
        <w:t>[</w:t>
      </w:r>
      <w:r>
        <w:t xml:space="preserve">1]  </w:t>
      </w:r>
      <w:r>
        <w:rPr>
          <w:rFonts w:hint="eastAsia"/>
        </w:rPr>
        <w:t>GB 50068  建筑结构可靠性设计统一标准</w:t>
      </w:r>
    </w:p>
    <w:p>
      <w:pPr>
        <w:pStyle w:val="80"/>
        <w:ind w:firstLine="409" w:firstLineChars="195"/>
      </w:pPr>
      <w:r>
        <w:rPr>
          <w:rFonts w:hint="eastAsia"/>
        </w:rPr>
        <w:t>[2]</w:t>
      </w:r>
      <w:r>
        <w:t xml:space="preserve">  </w:t>
      </w:r>
      <w:r>
        <w:rPr>
          <w:rFonts w:hint="eastAsia"/>
        </w:rPr>
        <w:t>GB 50292  民用建筑可靠性鉴定标准</w:t>
      </w:r>
    </w:p>
    <w:p>
      <w:pPr>
        <w:pStyle w:val="80"/>
        <w:ind w:firstLine="420"/>
      </w:pPr>
      <w:r>
        <w:rPr>
          <w:rFonts w:hint="eastAsia"/>
        </w:rPr>
        <w:t>[</w:t>
      </w:r>
      <w:r>
        <w:t>3</w:t>
      </w:r>
      <w:r>
        <w:rPr>
          <w:rFonts w:hint="eastAsia"/>
        </w:rPr>
        <w:t>]  GB 50023</w:t>
      </w:r>
      <w:r>
        <w:t xml:space="preserve">  </w:t>
      </w:r>
      <w:r>
        <w:rPr>
          <w:rFonts w:hint="eastAsia"/>
        </w:rPr>
        <w:t>建筑抗震鉴定标准</w:t>
      </w:r>
    </w:p>
    <w:p>
      <w:pPr>
        <w:pStyle w:val="80"/>
        <w:ind w:firstLine="420"/>
      </w:pPr>
      <w:r>
        <w:rPr>
          <w:rFonts w:hint="eastAsia"/>
        </w:rPr>
        <w:t>[</w:t>
      </w:r>
      <w:r>
        <w:t>4</w:t>
      </w:r>
      <w:r>
        <w:rPr>
          <w:rFonts w:hint="eastAsia"/>
        </w:rPr>
        <w:t>]  GB 50016  建筑设计防火规范</w:t>
      </w:r>
    </w:p>
    <w:p>
      <w:pPr>
        <w:pStyle w:val="80"/>
        <w:ind w:firstLine="420"/>
      </w:pPr>
      <w:r>
        <w:rPr>
          <w:rFonts w:hint="eastAsia"/>
        </w:rPr>
        <w:t>[</w:t>
      </w:r>
      <w:r>
        <w:t>5</w:t>
      </w:r>
      <w:r>
        <w:rPr>
          <w:rFonts w:hint="eastAsia"/>
        </w:rPr>
        <w:t xml:space="preserve">] </w:t>
      </w:r>
      <w:r>
        <w:t xml:space="preserve"> </w:t>
      </w:r>
      <w:r>
        <w:rPr>
          <w:rFonts w:hint="eastAsia"/>
        </w:rPr>
        <w:t>GB 50016  砌体结构设计规范</w:t>
      </w:r>
    </w:p>
    <w:p>
      <w:pPr>
        <w:pStyle w:val="80"/>
        <w:ind w:firstLine="420"/>
      </w:pPr>
      <w:r>
        <w:rPr>
          <w:rFonts w:hint="eastAsia"/>
        </w:rPr>
        <w:t>[</w:t>
      </w:r>
      <w:r>
        <w:t>6</w:t>
      </w:r>
      <w:r>
        <w:rPr>
          <w:rFonts w:hint="eastAsia"/>
        </w:rPr>
        <w:t>]  GB 50010  混凝土结构设计规范</w:t>
      </w:r>
    </w:p>
    <w:p>
      <w:pPr>
        <w:pStyle w:val="80"/>
        <w:ind w:firstLine="420"/>
      </w:pPr>
      <w:r>
        <w:rPr>
          <w:rFonts w:hint="eastAsia"/>
        </w:rPr>
        <w:t>[</w:t>
      </w:r>
      <w:r>
        <w:t>7</w:t>
      </w:r>
      <w:r>
        <w:rPr>
          <w:rFonts w:hint="eastAsia"/>
        </w:rPr>
        <w:t>]  GB 50017  钢结构设计标准</w:t>
      </w:r>
    </w:p>
    <w:p>
      <w:pPr>
        <w:pStyle w:val="80"/>
        <w:ind w:firstLine="420"/>
      </w:pPr>
      <w:r>
        <w:rPr>
          <w:rFonts w:hint="eastAsia"/>
        </w:rPr>
        <w:t>[</w:t>
      </w:r>
      <w:r>
        <w:t>8</w:t>
      </w:r>
      <w:r>
        <w:rPr>
          <w:rFonts w:hint="eastAsia"/>
        </w:rPr>
        <w:t>]  GB 50367  混凝土结构加固设计规范</w:t>
      </w:r>
    </w:p>
    <w:p>
      <w:pPr>
        <w:pStyle w:val="80"/>
        <w:ind w:firstLine="420"/>
      </w:pPr>
      <w:r>
        <w:rPr>
          <w:rFonts w:hint="eastAsia"/>
        </w:rPr>
        <w:t>[9]  GB 50550  建筑结构加固工程施工质量验收规范</w:t>
      </w:r>
    </w:p>
    <w:p>
      <w:pPr>
        <w:pStyle w:val="80"/>
        <w:ind w:firstLine="420"/>
      </w:pPr>
      <w:r>
        <w:rPr>
          <w:rFonts w:hint="eastAsia"/>
        </w:rPr>
        <w:t>[10] GB 50702  砌体结构加固设计规范</w:t>
      </w:r>
    </w:p>
    <w:p>
      <w:pPr>
        <w:pStyle w:val="80"/>
        <w:ind w:firstLine="420"/>
      </w:pPr>
      <w:r>
        <w:rPr>
          <w:rFonts w:hint="eastAsia"/>
        </w:rPr>
        <w:t>[11] GB 50160  石油化工企业设计防火标准</w:t>
      </w:r>
    </w:p>
    <w:p>
      <w:pPr>
        <w:pStyle w:val="80"/>
        <w:ind w:firstLine="420"/>
      </w:pPr>
      <w:r>
        <w:rPr>
          <w:rFonts w:hint="eastAsia"/>
        </w:rPr>
        <w:t>[12] GB 50222  建筑内部装修设计防火规范</w:t>
      </w:r>
    </w:p>
    <w:p>
      <w:pPr>
        <w:pStyle w:val="80"/>
        <w:ind w:firstLine="420"/>
      </w:pPr>
      <w:r>
        <w:rPr>
          <w:rFonts w:hint="eastAsia"/>
        </w:rPr>
        <w:t>[13] GB/T 50779  石油化工建筑物抗爆设计标准</w:t>
      </w:r>
    </w:p>
    <w:p>
      <w:pPr>
        <w:pStyle w:val="80"/>
        <w:ind w:firstLine="420"/>
      </w:pPr>
      <w:r>
        <w:rPr>
          <w:rFonts w:hint="eastAsia"/>
        </w:rPr>
        <w:t xml:space="preserve">[14] GB/T 5338  系列1集装箱 技术要求和实验方法 </w:t>
      </w:r>
    </w:p>
    <w:p>
      <w:pPr>
        <w:pStyle w:val="80"/>
        <w:ind w:firstLine="420"/>
      </w:pPr>
      <w:r>
        <w:rPr>
          <w:rFonts w:hint="eastAsia"/>
        </w:rPr>
        <w:t>[15] JGJ 116  建筑抗震加固技术规程</w:t>
      </w:r>
    </w:p>
    <w:p>
      <w:pPr>
        <w:pStyle w:val="80"/>
        <w:ind w:firstLine="420"/>
      </w:pPr>
      <w:r>
        <w:rPr>
          <w:rFonts w:hint="eastAsia"/>
        </w:rPr>
        <w:t>[16] JGJ 123  既有建筑地基基础加固技术规范</w:t>
      </w:r>
    </w:p>
    <w:p>
      <w:pPr>
        <w:pStyle w:val="80"/>
        <w:ind w:firstLine="420"/>
      </w:pPr>
      <w:r>
        <w:rPr>
          <w:rFonts w:hint="eastAsia"/>
        </w:rPr>
        <w:t>[17] 14J938  抗爆、泄爆门窗及屋盖、墙体建筑构造</w:t>
      </w:r>
    </w:p>
    <w:p>
      <w:pPr>
        <w:pStyle w:val="80"/>
        <w:ind w:firstLine="0" w:firstLineChars="0"/>
        <w:jc w:val="center"/>
      </w:pPr>
      <w:bookmarkStart w:id="70" w:name="BookMark8"/>
      <w:r>
        <w:rPr>
          <w:rFonts w:hint="eastAsia"/>
        </w:rPr>
        <w:drawing>
          <wp:inline distT="0" distB="0" distL="0" distR="0">
            <wp:extent cx="1485900" cy="317500"/>
            <wp:effectExtent l="0" t="0" r="0" b="6350"/>
            <wp:docPr id="1197892434" name="图片 1"/>
            <wp:cNvGraphicFramePr/>
            <a:graphic xmlns:a="http://schemas.openxmlformats.org/drawingml/2006/main">
              <a:graphicData uri="http://schemas.openxmlformats.org/drawingml/2006/picture">
                <pic:pic xmlns:pic="http://schemas.openxmlformats.org/drawingml/2006/picture">
                  <pic:nvPicPr>
                    <pic:cNvPr id="1197892434"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0"/>
    </w:p>
    <w:p>
      <w:pPr>
        <w:pStyle w:val="189"/>
        <w:numPr>
          <w:ilvl w:val="3"/>
          <w:numId w:val="0"/>
        </w:numPr>
        <w:tabs>
          <w:tab w:val="clear" w:pos="0"/>
        </w:tabs>
      </w:pPr>
    </w:p>
    <w:p/>
    <w:p/>
    <w:p/>
    <w:p/>
    <w:p/>
    <w:p/>
    <w:p/>
    <w:p/>
    <w:p/>
    <w:p/>
    <w:p/>
    <w:p/>
    <w:p/>
    <w:p/>
    <w:p/>
    <w:p>
      <w:pPr>
        <w:tabs>
          <w:tab w:val="left" w:pos="8072"/>
        </w:tabs>
        <w:jc w:val="left"/>
      </w:pPr>
      <w:r>
        <w:rPr>
          <w:rFonts w:hint="eastAsia"/>
        </w:rPr>
        <w:tab/>
      </w:r>
    </w:p>
    <w:sectPr>
      <w:headerReference r:id="rId14" w:type="first"/>
      <w:footerReference r:id="rId17" w:type="first"/>
      <w:headerReference r:id="rId13" w:type="default"/>
      <w:footerReference r:id="rId15" w:type="default"/>
      <w:footerReference r:id="rId16" w:type="even"/>
      <w:pgSz w:w="11906" w:h="16838"/>
      <w:pgMar w:top="567" w:right="1134" w:bottom="1134" w:left="1134" w:header="1020" w:footer="1134" w:gutter="283"/>
      <w:cols w:space="0" w:num="1"/>
      <w:formProt w:val="0"/>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Microsoft YaHei UI">
    <w:altName w:val="宋体"/>
    <w:panose1 w:val="00000000000000000000"/>
    <w:charset w:val="86"/>
    <w:family w:val="roman"/>
    <w:pitch w:val="default"/>
    <w:sig w:usb0="00000000" w:usb1="00000000" w:usb2="00000016" w:usb3="00000000" w:csb0="0004001F" w:csb1="00000000"/>
  </w:font>
  <w:font w:name="Adobe 黑体 Std R">
    <w:altName w:val="微软雅黑"/>
    <w:panose1 w:val="00000000000000000000"/>
    <w:charset w:val="86"/>
    <w:family w:val="roman"/>
    <w:pitch w:val="default"/>
    <w:sig w:usb0="00000000" w:usb1="00000000" w:usb2="00000016" w:usb3="00000000" w:csb0="00060007"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fldChar w:fldCharType="begin"/>
    </w:r>
    <w:r>
      <w:instrText xml:space="preserve"> </w:instrText>
    </w:r>
    <w:r>
      <w:rPr>
        <w:rFonts w:hint="eastAsia"/>
      </w:rPr>
      <w:instrText xml:space="preserve">= 1 \* ROMAN</w:instrText>
    </w:r>
    <w:r>
      <w:instrText xml:space="preserve"> </w:instrText>
    </w:r>
    <w:r>
      <w:fldChar w:fldCharType="separate"/>
    </w:r>
    <w:r>
      <w:t>I</w:t>
    </w:r>
    <w:r>
      <w:fldChar w:fldCharType="end"/>
    </w:r>
    <w:r>
      <w:fldChar w:fldCharType="begin"/>
    </w:r>
    <w:r>
      <w:instrText xml:space="preserve"> </w:instrText>
    </w:r>
    <w:r>
      <w:rPr>
        <w:rFonts w:hint="eastAsia"/>
      </w:rPr>
      <w:instrText xml:space="preserve">= 2 \* ROMAN</w:instrText>
    </w:r>
    <w:r>
      <w:instrText xml:space="preserve">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-125730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996841603"/>
                          </w:sdtPr>
                          <w:sdtContent>
                            <w:p>
                              <w:pPr>
                                <w:pStyle w:val="30"/>
                              </w:pPr>
                              <w:r>
                                <w:fldChar w:fldCharType="begin"/>
                              </w:r>
                              <w:r>
                                <w:instrText xml:space="preserve">PAGE   \* MERGEFORMAT</w:instrText>
                              </w:r>
                              <w:r>
                                <w:fldChar w:fldCharType="separate"/>
                              </w:r>
                              <w:r>
                                <w:rPr>
                                  <w:lang w:val="zh-CN"/>
                                </w:rPr>
                                <w:t>2</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9.9pt;height:144pt;width:144pt;mso-position-horizontal:left;mso-position-horizontal-relative:margin;mso-wrap-style:none;z-index:251665408;mso-width-relative:page;mso-height-relative:page;" filled="f" stroked="f" coordsize="21600,21600" o:gfxdata="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yh5MDVAAAACAEAAA8AAAAAAAAAAQAgAAAA&#10;IgAAAGRycy9kb3ducmV2LnhtbFBLAQIUABQAAAAIAIdO4kD6TuaaDgIAAAcEAAAOAAAAAAAAAAEA&#10;IAAAACQBAABkcnMvZTJvRG9jLnhtbFBLBQYAAAAABgAGAFkBAACkBQAAAAA=&#10;">
              <v:fill on="f" focussize="0,0"/>
              <v:stroke on="f" weight="0.5pt"/>
              <v:imagedata o:title=""/>
              <o:lock v:ext="edit" aspectratio="f"/>
              <v:textbox inset="0mm,0mm,0mm,0mm" style="mso-fit-shape-to-text:t;">
                <w:txbxContent>
                  <w:sdt>
                    <w:sdtPr>
                      <w:id w:val="996841603"/>
                    </w:sdtPr>
                    <w:sdtContent>
                      <w:p>
                        <w:pPr>
                          <w:pStyle w:val="30"/>
                        </w:pPr>
                        <w:r>
                          <w:fldChar w:fldCharType="begin"/>
                        </w:r>
                        <w:r>
                          <w:instrText xml:space="preserve">PAGE   \* MERGEFORMAT</w:instrText>
                        </w:r>
                        <w:r>
                          <w:fldChar w:fldCharType="separate"/>
                        </w:r>
                        <w:r>
                          <w:rPr>
                            <w:lang w:val="zh-CN"/>
                          </w:rPr>
                          <w:t>2</w:t>
                        </w:r>
                        <w:r>
                          <w:fldChar w:fldCharType="end"/>
                        </w:r>
                      </w:p>
                    </w:sdtContent>
                  </w:sdt>
                  <w:p/>
                </w:txbxContent>
              </v:textbox>
            </v:shape>
          </w:pict>
        </mc:Fallback>
      </mc:AlternateContent>
    </w:r>
  </w:p>
  <w:p>
    <w:pPr>
      <w:pStyle w:val="30"/>
      <w:tabs>
        <w:tab w:val="left" w:pos="180"/>
        <w:tab w:val="right" w:pos="9354"/>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-125730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9.9pt;height:144pt;width:144pt;mso-position-horizontal:left;mso-position-horizontal-relative:margin;mso-wrap-style:none;z-index:251663360;mso-width-relative:page;mso-height-relative:page;" filled="f" stroked="f" coordsize="21600,21600" o:gfxdata="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KHkwNUAAAAIAQAADwAAAAAAAAABACAA&#10;AAAiAAAAZHJzL2Rvd25yZXYueG1sUEsBAhQAFAAAAAgAh07iQCXvf1cQAgAACQQAAA4AAAAAAAAA&#10;AQAgAAAAJAEAAGRycy9lMm9Eb2MueG1sUEsFBgAAAAAGAAYAWQEAAKY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left"/>
    </w:pPr>
    <w:r>
      <mc:AlternateContent>
        <mc:Choice Requires="wps">
          <w:drawing>
            <wp:anchor distT="0" distB="0" distL="114300" distR="114300" simplePos="0" relativeHeight="251666432" behindDoc="0" locked="0" layoutInCell="1" allowOverlap="1">
              <wp:simplePos x="0" y="0"/>
              <wp:positionH relativeFrom="margin">
                <wp:align>left</wp:align>
              </wp:positionH>
              <wp:positionV relativeFrom="paragraph">
                <wp:posOffset>-125730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95030406"/>
                          </w:sdtPr>
                          <w:sdtContent>
                            <w:p>
                              <w:pPr>
                                <w:pStyle w:val="30"/>
                                <w:jc w:val="left"/>
                              </w:pPr>
                              <w:r>
                                <w:fldChar w:fldCharType="begin"/>
                              </w:r>
                              <w:r>
                                <w:instrText xml:space="preserve">PAGE   \* MERGEFORMAT</w:instrText>
                              </w:r>
                              <w:r>
                                <w:fldChar w:fldCharType="separate"/>
                              </w:r>
                              <w:r>
                                <w:rPr>
                                  <w:lang w:val="zh-CN"/>
                                </w:rPr>
                                <w:t>2</w:t>
                              </w:r>
                              <w: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9.9pt;height:144pt;width:144pt;mso-position-horizontal:left;mso-position-horizontal-relative:margin;mso-wrap-style:none;z-index:251666432;mso-width-relative:page;mso-height-relative:page;" filled="f" stroked="f" coordsize="21600,21600" o:gfxdata="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coeTA1QAAAAgBAAAPAAAAAAAAAAEAIAAA&#10;ACIAAABkcnMvZG93bnJldi54bWxQSwECFAAUAAAACACHTuJAc/hk2Q8CAAAHBAAADgAAAAAAAAAB&#10;ACAAAAAkAQAAZHJzL2Uyb0RvYy54bWxQSwUGAAAAAAYABgBZAQAApQUAAAAA&#10;">
              <v:fill on="f" focussize="0,0"/>
              <v:stroke on="f" weight="0.5pt"/>
              <v:imagedata o:title=""/>
              <o:lock v:ext="edit" aspectratio="f"/>
              <v:textbox inset="0mm,0mm,0mm,0mm" style="mso-fit-shape-to-text:t;">
                <w:txbxContent>
                  <w:sdt>
                    <w:sdtPr>
                      <w:id w:val="-1495030406"/>
                    </w:sdtPr>
                    <w:sdtContent>
                      <w:p>
                        <w:pPr>
                          <w:pStyle w:val="30"/>
                          <w:jc w:val="left"/>
                        </w:pPr>
                        <w:r>
                          <w:fldChar w:fldCharType="begin"/>
                        </w:r>
                        <w:r>
                          <w:instrText xml:space="preserve">PAGE   \* MERGEFORMAT</w:instrText>
                        </w:r>
                        <w:r>
                          <w:fldChar w:fldCharType="separate"/>
                        </w:r>
                        <w:r>
                          <w:rPr>
                            <w:lang w:val="zh-CN"/>
                          </w:rPr>
                          <w:t>2</w:t>
                        </w:r>
                        <w:r>
                          <w:fldChar w:fldCharType="end"/>
                        </w:r>
                      </w:p>
                    </w:sdtContent>
                  </w:sdt>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-125730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9.9pt;height:144pt;width:144pt;mso-position-horizontal:left;mso-position-horizontal-relative:margin;mso-wrap-style:none;z-index:251664384;mso-width-relative:page;mso-height-relative:page;" filled="f" stroked="f" coordsize="21600,21600" o:gfxdata="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yh5MDVAAAACAEAAA8AAAAAAAAAAQAg&#10;AAAAIgAAAGRycy9kb3ducmV2LnhtbFBLAQIUABQAAAAIAIdO4kA8CbZNEQIAAAkEAAAOAAAAAAAA&#10;AAEAIAAAACQBAABkcnMvZTJvRG9jLnhtbFBLBQYAAAAABgAGAFkBAACn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mc:AlternateContent>
        <mc:Choice Requires="wps">
          <w:drawing>
            <wp:anchor distT="0" distB="0" distL="114300" distR="114300" simplePos="0" relativeHeight="251661312" behindDoc="0" locked="0" layoutInCell="1" allowOverlap="1">
              <wp:simplePos x="0" y="0"/>
              <wp:positionH relativeFrom="margin">
                <wp:posOffset>5813425</wp:posOffset>
              </wp:positionH>
              <wp:positionV relativeFrom="paragraph">
                <wp:posOffset>-146685</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4855788"/>
                          </w:sdtPr>
                          <w:sdtContent>
                            <w:p>
                              <w:pPr>
                                <w:pStyle w:val="30"/>
                              </w:pPr>
                              <w:r>
                                <w:fldChar w:fldCharType="begin"/>
                              </w:r>
                              <w:r>
                                <w:instrText xml:space="preserve">PAGE   \* MERGEFORMAT</w:instrText>
                              </w:r>
                              <w:r>
                                <w:fldChar w:fldCharType="separate"/>
                              </w:r>
                              <w:r>
                                <w:rPr>
                                  <w:lang w:val="zh-CN"/>
                                </w:rPr>
                                <w:t>9</w:t>
                              </w:r>
                              <w: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57.75pt;margin-top:-11.55pt;height:144pt;width:144pt;mso-position-horizontal-relative:margin;mso-wrap-style:none;z-index:251661312;mso-width-relative:page;mso-height-relative:page;" filled="f" stroked="f" coordsize="21600,21600" o:gfxdata="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RGPA7ZAAAADAEAAA8AAAAAAAAA&#10;AQAgAAAAIgAAAGRycy9kb3ducmV2LnhtbFBLAQIUABQAAAAIAIdO4kDdOYqXEAIAAAkEAAAOAAAA&#10;AAAAAAEAIAAAACgBAABkcnMvZTJvRG9jLnhtbFBLBQYAAAAABgAGAFkBAACqBQAAAAA=&#10;">
              <v:fill on="f" focussize="0,0"/>
              <v:stroke on="f" weight="0.5pt"/>
              <v:imagedata o:title=""/>
              <o:lock v:ext="edit" aspectratio="f"/>
              <v:textbox inset="0mm,0mm,0mm,0mm" style="mso-fit-shape-to-text:t;">
                <w:txbxContent>
                  <w:sdt>
                    <w:sdtPr>
                      <w:id w:val="-194855788"/>
                    </w:sdtPr>
                    <w:sdtContent>
                      <w:p>
                        <w:pPr>
                          <w:pStyle w:val="30"/>
                        </w:pPr>
                        <w:r>
                          <w:fldChar w:fldCharType="begin"/>
                        </w:r>
                        <w:r>
                          <w:instrText xml:space="preserve">PAGE   \* MERGEFORMAT</w:instrText>
                        </w:r>
                        <w:r>
                          <w:fldChar w:fldCharType="separate"/>
                        </w:r>
                        <w:r>
                          <w:rPr>
                            <w:lang w:val="zh-CN"/>
                          </w:rPr>
                          <w:t>9</w:t>
                        </w:r>
                        <w:r>
                          <w:fldChar w:fldCharType="end"/>
                        </w:r>
                      </w:p>
                    </w:sdtContent>
                  </w:sdt>
                </w:txbxContent>
              </v:textbox>
            </v:shape>
          </w:pict>
        </mc:Fallback>
      </mc:AlternateContent>
    </w:r>
  </w:p>
  <w:p>
    <w:pPr>
      <w:pStyle w:val="76"/>
      <w:jc w:val="lef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left"/>
    </w:pPr>
    <w:r>
      <mc:AlternateContent>
        <mc:Choice Requires="wps">
          <w:drawing>
            <wp:anchor distT="0" distB="0" distL="114300" distR="114300" simplePos="0" relativeHeight="251667456" behindDoc="0" locked="0" layoutInCell="1" allowOverlap="1">
              <wp:simplePos x="0" y="0"/>
              <wp:positionH relativeFrom="margin">
                <wp:posOffset>0</wp:posOffset>
              </wp:positionH>
              <wp:positionV relativeFrom="paragraph">
                <wp:posOffset>-16510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74542970"/>
                          </w:sdtPr>
                          <w:sdtContent>
                            <w:p>
                              <w:pPr>
                                <w:pStyle w:val="30"/>
                                <w:jc w:val="left"/>
                              </w:pPr>
                              <w:r>
                                <w:fldChar w:fldCharType="begin"/>
                              </w:r>
                              <w:r>
                                <w:instrText xml:space="preserve">PAGE   \* MERGEFORMAT</w:instrText>
                              </w:r>
                              <w:r>
                                <w:fldChar w:fldCharType="separate"/>
                              </w:r>
                              <w:r>
                                <w:rPr>
                                  <w:lang w:val="zh-CN"/>
                                </w:rPr>
                                <w:t>8</w:t>
                              </w:r>
                              <w: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1.3pt;height:144pt;width:144pt;mso-position-horizontal-relative:margin;mso-wrap-style:none;z-index:251667456;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0DSR9UAAAAHAQAADwAAAAAAAAABACAA&#10;AAAiAAAAZHJzL2Rvd25yZXYueG1sUEsBAhQAFAAAAAgAh07iQGGVYV4QAgAABwQAAA4AAAAAAAAA&#10;AQAgAAAAJAEAAGRycy9lMm9Eb2MueG1sUEsFBgAAAAAGAAYAWQEAAKYFAAAAAA==&#10;">
              <v:fill on="f" focussize="0,0"/>
              <v:stroke on="f" weight="0.5pt"/>
              <v:imagedata o:title=""/>
              <o:lock v:ext="edit" aspectratio="f"/>
              <v:textbox inset="0mm,0mm,0mm,0mm" style="mso-fit-shape-to-text:t;">
                <w:txbxContent>
                  <w:sdt>
                    <w:sdtPr>
                      <w:id w:val="174542970"/>
                    </w:sdtPr>
                    <w:sdtContent>
                      <w:p>
                        <w:pPr>
                          <w:pStyle w:val="30"/>
                          <w:jc w:val="left"/>
                        </w:pPr>
                        <w:r>
                          <w:fldChar w:fldCharType="begin"/>
                        </w:r>
                        <w:r>
                          <w:instrText xml:space="preserve">PAGE   \* MERGEFORMAT</w:instrText>
                        </w:r>
                        <w:r>
                          <w:fldChar w:fldCharType="separate"/>
                        </w:r>
                        <w:r>
                          <w:rPr>
                            <w:lang w:val="zh-CN"/>
                          </w:rPr>
                          <w:t>8</w:t>
                        </w:r>
                        <w:r>
                          <w:fldChar w:fldCharType="end"/>
                        </w:r>
                      </w:p>
                    </w:sdtContent>
                  </w:sdt>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sz w:val="2"/>
        <w:szCs w:val="2"/>
      </w:rPr>
    </w:pPr>
    <w:r>
      <w:rPr>
        <w:sz w:val="2"/>
      </w:rP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-125730</wp:posOffset>
              </wp:positionV>
              <wp:extent cx="76200" cy="14795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76200" cy="1479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9.9pt;height:11.65pt;width:6pt;mso-position-horizontal:left;mso-position-horizontal-relative:margin;z-index:251662336;mso-width-relative:page;mso-height-relative:page;" filled="f" stroked="f" coordsize="21600,21600" o:gfxdata="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aFf3TUAAAABQEAAA8AAAAAAAAA&#10;AQAgAAAAIgAAAGRycy9kb3ducmV2LnhtbFBLAQIUABQAAAAIAIdO4kD8VH/NFQIAAAgEAAAOAAAA&#10;AAAAAAEAIAAAACMBAABkcnMvZTJvRG9jLnhtbFBLBQYAAAAABgAGAFkBAACqBQAAAAA=&#10;">
              <v:fill on="f" focussize="0,0"/>
              <v:stroke on="f" weight="0.5pt"/>
              <v:imagedata o:title=""/>
              <o:lock v:ext="edit" aspectratio="f"/>
              <v:textbox inset="0mm,0mm,0mm,0mm">
                <w:txbxContent>
                  <w:p>
                    <w:pPr>
                      <w:pStyle w:val="30"/>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sz w:val="2"/>
        <w:szCs w:val="2"/>
      </w:rPr>
      <w:t>77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right"/>
      <w:rPr>
        <w:rFonts w:eastAsia="黑体"/>
        <w:sz w:val="21"/>
        <w:szCs w:val="21"/>
      </w:rPr>
    </w:pPr>
    <w:r>
      <w:rPr>
        <w:rFonts w:ascii="黑体" w:hAnsi="黑体" w:eastAsia="黑体"/>
        <w:sz w:val="21"/>
        <w:szCs w:val="21"/>
      </w:rPr>
      <w:t>DB 65/T XXXX—202</w:t>
    </w:r>
    <w:r>
      <w:rPr>
        <w:rFonts w:hint="eastAsia" w:ascii="黑体" w:hAnsi="黑体" w:eastAsia="黑体"/>
        <w:sz w:val="21"/>
        <w:szCs w:val="21"/>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right"/>
      <w:rPr>
        <w:rFonts w:ascii="黑体" w:hAnsi="黑体" w:eastAsia="黑体"/>
        <w:sz w:val="21"/>
        <w:szCs w:val="21"/>
      </w:rPr>
    </w:pPr>
    <w:r>
      <w:rPr>
        <w:rFonts w:ascii="黑体" w:hAnsi="黑体" w:eastAsia="黑体"/>
        <w:sz w:val="21"/>
        <w:szCs w:val="21"/>
      </w:rPr>
      <w:t>DB 65/T XXXX—2021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left" w:pos="7698"/>
        <w:tab w:val="clear" w:pos="4153"/>
        <w:tab w:val="clear" w:pos="8306"/>
      </w:tabs>
      <w:jc w:val="right"/>
      <w:rPr>
        <w:rFonts w:ascii="黑体" w:hAnsi="黑体" w:eastAsia="黑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left"/>
      <w:rPr>
        <w:rFonts w:ascii="黑体" w:hAnsi="黑体" w:eastAsia="黑体"/>
        <w:sz w:val="21"/>
        <w:szCs w:val="21"/>
      </w:rPr>
    </w:pPr>
    <w:r>
      <w:rPr>
        <w:rFonts w:ascii="黑体" w:hAnsi="黑体" w:eastAsia="黑体"/>
        <w:sz w:val="21"/>
        <w:szCs w:val="21"/>
      </w:rPr>
      <w:t>DB 65/T XXXX—202</w:t>
    </w:r>
    <w:r>
      <w:rPr>
        <w:rFonts w:hint="eastAsia" w:ascii="黑体" w:hAnsi="黑体" w:eastAsia="黑体"/>
        <w:sz w:val="21"/>
        <w:szCs w:val="21"/>
      </w:rPr>
      <w:t>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right"/>
      <w:rPr>
        <w:rFonts w:eastAsia="黑体"/>
        <w:sz w:val="21"/>
        <w:szCs w:val="21"/>
      </w:rPr>
    </w:pPr>
    <w:r>
      <w:rPr>
        <w:rFonts w:ascii="黑体" w:hAnsi="黑体" w:eastAsia="黑体"/>
        <w:sz w:val="21"/>
        <w:szCs w:val="21"/>
      </w:rPr>
      <w:t>DB 65/T XXXX—202</w:t>
    </w:r>
    <w:r>
      <w:rPr>
        <w:rFonts w:hint="eastAsia" w:ascii="黑体" w:hAnsi="黑体" w:eastAsia="黑体"/>
        <w:sz w:val="21"/>
        <w:szCs w:val="21"/>
      </w:rPr>
      <w:t>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right"/>
      <w:rPr>
        <w:rFonts w:ascii="黑体" w:hAnsi="黑体" w:eastAsia="黑体"/>
        <w:sz w:val="21"/>
        <w:szCs w:val="21"/>
      </w:rPr>
    </w:pPr>
    <w:r>
      <w:rPr>
        <w:rFonts w:ascii="黑体" w:hAnsi="黑体" w:eastAsia="黑体"/>
        <w:sz w:val="21"/>
        <w:szCs w:val="21"/>
      </w:rPr>
      <w:t>DB 65/T XXXX—202</w:t>
    </w:r>
    <w:r>
      <w:rPr>
        <w:rFonts w:hint="eastAsia" w:ascii="黑体" w:hAnsi="黑体" w:eastAsia="黑体"/>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73C821"/>
    <w:multiLevelType w:val="multilevel"/>
    <w:tmpl w:val="A773C821"/>
    <w:lvl w:ilvl="0" w:tentative="0">
      <w:start w:val="1"/>
      <w:numFmt w:val="decimal"/>
      <w:suff w:val="nothing"/>
      <w:lvlText w:val="%1　"/>
      <w:lvlJc w:val="left"/>
      <w:pPr>
        <w:ind w:left="0" w:firstLine="0"/>
      </w:pPr>
      <w:rPr>
        <w:rFonts w:hint="eastAsia" w:ascii="黑体" w:hAnsi="Times New Roman" w:eastAsia="黑体" w:cs="黑体"/>
        <w:b w:val="0"/>
        <w:i w:val="0"/>
        <w:sz w:val="21"/>
        <w:szCs w:val="21"/>
      </w:rPr>
    </w:lvl>
    <w:lvl w:ilvl="1" w:tentative="0">
      <w:start w:val="1"/>
      <w:numFmt w:val="decimal"/>
      <w:suff w:val="nothing"/>
      <w:lvlText w:val="%1.%2　"/>
      <w:lvlJc w:val="left"/>
      <w:pPr>
        <w:ind w:left="142" w:firstLine="0"/>
        <w:textAlignment w:val="baseline"/>
      </w:pPr>
      <w:rPr>
        <w:rFonts w:hint="eastAsia" w:ascii="黑体" w:hAnsi="Times New Roman" w:eastAsia="黑体" w:cs="Times New Roman"/>
        <w:b w:val="0"/>
        <w:bCs w:val="0"/>
        <w:i w:val="0"/>
        <w:iCs w:val="0"/>
        <w:caps w:val="0"/>
        <w:strike w:val="0"/>
        <w:dstrike w:val="0"/>
        <w:vanish w:val="0"/>
        <w:spacing w:val="0"/>
        <w:kern w:val="0"/>
        <w:position w:val="0"/>
        <w:sz w:val="21"/>
        <w:szCs w:val="21"/>
        <w:u w:val="none"/>
      </w:rPr>
    </w:lvl>
    <w:lvl w:ilvl="2" w:tentative="0">
      <w:start w:val="1"/>
      <w:numFmt w:val="decimal"/>
      <w:suff w:val="nothing"/>
      <w:lvlText w:val="%1.%2.%3　"/>
      <w:lvlJc w:val="left"/>
      <w:pPr>
        <w:ind w:left="6241"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1277"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
    <w:nsid w:val="02837933"/>
    <w:multiLevelType w:val="multilevel"/>
    <w:tmpl w:val="02837933"/>
    <w:lvl w:ilvl="0" w:tentative="0">
      <w:start w:val="1"/>
      <w:numFmt w:val="decimal"/>
      <w:pStyle w:val="8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83"/>
      <w:suff w:val="nothing"/>
      <w:lvlText w:val="%1%2.%3　"/>
      <w:lvlJc w:val="left"/>
      <w:pPr>
        <w:ind w:left="0" w:firstLine="0"/>
      </w:pPr>
    </w:lvl>
    <w:lvl w:ilvl="3" w:tentative="0">
      <w:start w:val="1"/>
      <w:numFmt w:val="decimal"/>
      <w:pStyle w:val="142"/>
      <w:suff w:val="nothing"/>
      <w:lvlText w:val="%1%2.%3.%4　"/>
      <w:lvlJc w:val="left"/>
      <w:pPr>
        <w:ind w:left="0" w:firstLine="0"/>
      </w:pPr>
    </w:lvl>
    <w:lvl w:ilvl="4" w:tentative="0">
      <w:start w:val="1"/>
      <w:numFmt w:val="decimal"/>
      <w:pStyle w:val="177"/>
      <w:suff w:val="nothing"/>
      <w:lvlText w:val="%1%2.%3.%4.%5　"/>
      <w:lvlJc w:val="left"/>
      <w:pPr>
        <w:ind w:left="0" w:firstLine="0"/>
      </w:pPr>
    </w:lvl>
    <w:lvl w:ilvl="5" w:tentative="0">
      <w:start w:val="1"/>
      <w:numFmt w:val="decimal"/>
      <w:pStyle w:val="179"/>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20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113"/>
      <w:lvlText w:val="%1"/>
      <w:lvlJc w:val="left"/>
      <w:pPr>
        <w:ind w:left="425" w:hanging="425"/>
      </w:pPr>
      <w:rPr>
        <w:rFonts w:hint="eastAsia"/>
      </w:rPr>
    </w:lvl>
    <w:lvl w:ilvl="1" w:tentative="0">
      <w:start w:val="1"/>
      <w:numFmt w:val="decimal"/>
      <w:pStyle w:val="224"/>
      <w:suff w:val="nothing"/>
      <w:lvlText w:val="%10.%2 "/>
      <w:lvlJc w:val="left"/>
      <w:pPr>
        <w:ind w:left="0" w:firstLine="0"/>
      </w:pPr>
      <w:rPr>
        <w:rFonts w:hint="eastAsia" w:ascii="黑体" w:eastAsia="黑体" w:hAnsiTheme="minorHAnsi"/>
        <w:b w:val="0"/>
        <w:i w:val="0"/>
        <w:sz w:val="21"/>
      </w:rPr>
    </w:lvl>
    <w:lvl w:ilvl="2" w:tentative="0">
      <w:start w:val="1"/>
      <w:numFmt w:val="decimal"/>
      <w:pStyle w:val="225"/>
      <w:suff w:val="nothing"/>
      <w:lvlText w:val="%10.%2.%3 "/>
      <w:lvlJc w:val="left"/>
      <w:pPr>
        <w:ind w:left="0" w:firstLine="0"/>
      </w:pPr>
      <w:rPr>
        <w:rFonts w:hint="eastAsia" w:ascii="黑体" w:eastAsia="黑体" w:hAnsiTheme="minorHAnsi"/>
        <w:b w:val="0"/>
        <w:i w:val="0"/>
        <w:sz w:val="21"/>
      </w:rPr>
    </w:lvl>
    <w:lvl w:ilvl="3" w:tentative="0">
      <w:start w:val="1"/>
      <w:numFmt w:val="decimal"/>
      <w:pStyle w:val="226"/>
      <w:suff w:val="nothing"/>
      <w:lvlText w:val="%10.%2.%3.%4 "/>
      <w:lvlJc w:val="left"/>
      <w:pPr>
        <w:ind w:left="0" w:firstLine="0"/>
      </w:pPr>
      <w:rPr>
        <w:rFonts w:hint="eastAsia" w:ascii="黑体" w:eastAsia="黑体" w:hAnsiTheme="minorHAnsi"/>
        <w:b w:val="0"/>
        <w:i w:val="0"/>
        <w:sz w:val="21"/>
      </w:rPr>
    </w:lvl>
    <w:lvl w:ilvl="4" w:tentative="0">
      <w:start w:val="1"/>
      <w:numFmt w:val="decimal"/>
      <w:pStyle w:val="227"/>
      <w:suff w:val="nothing"/>
      <w:lvlText w:val="%10.%2.%3.%4.%5 "/>
      <w:lvlJc w:val="left"/>
      <w:pPr>
        <w:ind w:left="0" w:firstLine="0"/>
      </w:pPr>
      <w:rPr>
        <w:rFonts w:hint="eastAsia" w:ascii="黑体" w:eastAsia="黑体" w:hAnsiTheme="minorHAnsi"/>
        <w:b w:val="0"/>
        <w:i w:val="0"/>
        <w:sz w:val="21"/>
      </w:rPr>
    </w:lvl>
    <w:lvl w:ilvl="5" w:tentative="0">
      <w:start w:val="1"/>
      <w:numFmt w:val="decimal"/>
      <w:pStyle w:val="22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20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9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9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3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109"/>
      <w:suff w:val="nothing"/>
      <w:lvlText w:val="附 录(Annex) %1"/>
      <w:lvlJc w:val="left"/>
      <w:pPr>
        <w:ind w:left="0" w:firstLine="0"/>
      </w:pPr>
    </w:lvl>
    <w:lvl w:ilvl="1" w:tentative="0">
      <w:start w:val="1"/>
      <w:numFmt w:val="decimal"/>
      <w:pStyle w:val="407"/>
      <w:suff w:val="nothing"/>
      <w:lvlText w:val="%1.%2　"/>
      <w:lvlJc w:val="left"/>
      <w:pPr>
        <w:ind w:left="0" w:firstLine="0"/>
      </w:pPr>
    </w:lvl>
    <w:lvl w:ilvl="2" w:tentative="0">
      <w:start w:val="1"/>
      <w:numFmt w:val="decimal"/>
      <w:pStyle w:val="346"/>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11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pStyle w:val="362"/>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5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58"/>
      <w:suff w:val="nothing"/>
      <w:lvlText w:val="%1.%2　"/>
      <w:lvlJc w:val="left"/>
      <w:pPr>
        <w:ind w:left="141"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623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1277"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tentative="0">
      <w:start w:val="1"/>
      <w:numFmt w:val="none"/>
      <w:pStyle w:val="15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11"/>
      <w:lvlText w:val=""/>
      <w:lvlJc w:val="left"/>
      <w:pPr>
        <w:ind w:left="851" w:hanging="431"/>
      </w:pPr>
      <w:rPr>
        <w:rFonts w:hint="default" w:ascii="Symbol" w:hAnsi="Symbol"/>
        <w:sz w:val="21"/>
      </w:rPr>
    </w:lvl>
    <w:lvl w:ilvl="2" w:tentative="0">
      <w:start w:val="1"/>
      <w:numFmt w:val="bullet"/>
      <w:pStyle w:val="19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2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pStyle w:val="393"/>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259"/>
      <w:lvlText w:val="%1)"/>
      <w:lvlJc w:val="left"/>
      <w:pPr>
        <w:tabs>
          <w:tab w:val="left" w:pos="851"/>
        </w:tabs>
        <w:ind w:left="851" w:hanging="426"/>
      </w:pPr>
      <w:rPr>
        <w:rFonts w:hint="eastAsia" w:ascii="宋体" w:hAnsi="Times New Roman" w:eastAsia="宋体"/>
        <w:sz w:val="21"/>
      </w:rPr>
    </w:lvl>
    <w:lvl w:ilvl="1" w:tentative="0">
      <w:start w:val="1"/>
      <w:numFmt w:val="decimal"/>
      <w:pStyle w:val="133"/>
      <w:lvlText w:val="%2)"/>
      <w:lvlJc w:val="left"/>
      <w:pPr>
        <w:tabs>
          <w:tab w:val="left" w:pos="1276"/>
        </w:tabs>
        <w:ind w:left="1276" w:hanging="425"/>
      </w:pPr>
      <w:rPr>
        <w:rFonts w:hint="eastAsia" w:ascii="宋体" w:hAnsi="Times New Roman" w:eastAsia="宋体"/>
        <w:sz w:val="21"/>
      </w:rPr>
    </w:lvl>
    <w:lvl w:ilvl="2" w:tentative="0">
      <w:start w:val="1"/>
      <w:numFmt w:val="decimal"/>
      <w:pStyle w:val="14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22"/>
      <w:lvlText w:val="%1"/>
      <w:lvlJc w:val="left"/>
      <w:pPr>
        <w:ind w:left="420" w:hanging="420"/>
      </w:pPr>
      <w:rPr>
        <w:rFonts w:hint="eastAsia"/>
      </w:rPr>
    </w:lvl>
    <w:lvl w:ilvl="1" w:tentative="0">
      <w:start w:val="1"/>
      <w:numFmt w:val="decimal"/>
      <w:pStyle w:val="10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20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4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117"/>
      <w:suff w:val="nothing"/>
      <w:lvlText w:val="——"/>
      <w:lvlJc w:val="left"/>
      <w:pPr>
        <w:ind w:left="1588" w:firstLine="0"/>
      </w:pPr>
    </w:lvl>
    <w:lvl w:ilvl="1" w:tentative="0">
      <w:start w:val="1"/>
      <w:numFmt w:val="decimal"/>
      <w:pStyle w:val="377"/>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3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23"/>
      <w:suff w:val="space"/>
      <w:lvlText w:val="%1"/>
      <w:lvlJc w:val="left"/>
      <w:pPr>
        <w:ind w:left="425" w:hanging="425"/>
      </w:pPr>
      <w:rPr>
        <w:rFonts w:hint="eastAsia"/>
      </w:rPr>
    </w:lvl>
    <w:lvl w:ilvl="1" w:tentative="0">
      <w:start w:val="1"/>
      <w:numFmt w:val="decimal"/>
      <w:pStyle w:val="10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3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9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3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21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pStyle w:val="106"/>
      <w:suff w:val="nothing"/>
      <w:lvlText w:val="%1.%2.%3.%4.%5　"/>
      <w:lvlJc w:val="left"/>
      <w:pPr>
        <w:ind w:left="0" w:firstLine="0"/>
      </w:pPr>
      <w:rPr>
        <w:rFonts w:hint="eastAsia" w:ascii="黑体" w:eastAsia="黑体"/>
        <w:b w:val="0"/>
        <w:i w:val="0"/>
        <w:sz w:val="21"/>
      </w:rPr>
    </w:lvl>
    <w:lvl w:ilvl="5" w:tentative="0">
      <w:start w:val="1"/>
      <w:numFmt w:val="decimal"/>
      <w:pStyle w:val="10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5B1FB3D"/>
    <w:multiLevelType w:val="multilevel"/>
    <w:tmpl w:val="65B1FB3D"/>
    <w:lvl w:ilvl="0" w:tentative="0">
      <w:start w:val="1"/>
      <w:numFmt w:val="none"/>
      <w:pStyle w:val="176"/>
      <w:suff w:val="nothing"/>
      <w:lvlText w:val="%1"/>
      <w:lvlJc w:val="left"/>
      <w:pPr>
        <w:ind w:left="0" w:firstLine="0"/>
      </w:pPr>
      <w:rPr>
        <w:rFonts w:hint="eastAsia"/>
      </w:rPr>
    </w:lvl>
    <w:lvl w:ilvl="1" w:tentative="0">
      <w:start w:val="7"/>
      <w:numFmt w:val="decimal"/>
      <w:suff w:val="nothing"/>
      <w:lvlText w:val="%1%2　"/>
      <w:lvlJc w:val="left"/>
      <w:pPr>
        <w:ind w:left="0" w:firstLine="0"/>
      </w:pPr>
      <w:rPr>
        <w:rFonts w:hint="default" w:ascii="宋体" w:hAnsi="宋体" w:eastAsia="宋体" w:cs="宋体"/>
        <w:b w:val="0"/>
        <w:i w:val="0"/>
        <w:sz w:val="21"/>
      </w:rPr>
    </w:lvl>
    <w:lvl w:ilvl="2" w:tentative="0">
      <w:start w:val="2"/>
      <w:numFmt w:val="decimal"/>
      <w:suff w:val="nothing"/>
      <w:lvlText w:val="%1%2.%3　"/>
      <w:lvlJc w:val="left"/>
      <w:pPr>
        <w:ind w:left="284" w:firstLine="0"/>
      </w:pPr>
      <w:rPr>
        <w:rFonts w:hint="default" w:ascii="宋体" w:hAnsi="宋体" w:eastAsia="宋体" w:cs="宋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89"/>
      <w:suff w:val="nothing"/>
      <w:lvlText w:val="%1%2.%3.%4　"/>
      <w:lvlJc w:val="left"/>
      <w:pPr>
        <w:tabs>
          <w:tab w:val="left" w:pos="0"/>
        </w:tabs>
        <w:ind w:left="0" w:firstLine="0"/>
      </w:pPr>
      <w:rPr>
        <w:rFonts w:hint="default" w:ascii="黑体" w:eastAsia="宋体"/>
        <w:b w:val="0"/>
        <w:i w:val="0"/>
        <w:sz w:val="21"/>
      </w:rPr>
    </w:lvl>
    <w:lvl w:ilvl="4" w:tentative="0">
      <w:start w:val="1"/>
      <w:numFmt w:val="decimal"/>
      <w:pStyle w:val="118"/>
      <w:suff w:val="nothing"/>
      <w:lvlText w:val="%1%2.%3.%4.%5　"/>
      <w:lvlJc w:val="left"/>
      <w:pPr>
        <w:ind w:left="0" w:firstLine="0"/>
      </w:pPr>
      <w:rPr>
        <w:rFonts w:hint="eastAsia" w:ascii="黑体" w:eastAsia="黑体"/>
        <w:b w:val="0"/>
        <w:i w:val="0"/>
        <w:sz w:val="21"/>
      </w:rPr>
    </w:lvl>
    <w:lvl w:ilvl="5" w:tentative="0">
      <w:start w:val="1"/>
      <w:numFmt w:val="decimal"/>
      <w:pStyle w:val="122"/>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65BCC3E6"/>
    <w:multiLevelType w:val="singleLevel"/>
    <w:tmpl w:val="65BCC3E6"/>
    <w:lvl w:ilvl="0" w:tentative="0">
      <w:start w:val="1"/>
      <w:numFmt w:val="lowerLetter"/>
      <w:suff w:val="nothing"/>
      <w:lvlText w:val="%1）"/>
      <w:lvlJc w:val="left"/>
    </w:lvl>
  </w:abstractNum>
  <w:abstractNum w:abstractNumId="28">
    <w:nsid w:val="65BCD06F"/>
    <w:multiLevelType w:val="singleLevel"/>
    <w:tmpl w:val="65BCD06F"/>
    <w:lvl w:ilvl="0" w:tentative="0">
      <w:start w:val="1"/>
      <w:numFmt w:val="lowerLetter"/>
      <w:suff w:val="space"/>
      <w:lvlText w:val="%1）"/>
      <w:lvlJc w:val="left"/>
    </w:lvl>
  </w:abstractNum>
  <w:abstractNum w:abstractNumId="29">
    <w:nsid w:val="69506ABF"/>
    <w:multiLevelType w:val="multilevel"/>
    <w:tmpl w:val="69506ABF"/>
    <w:lvl w:ilvl="0" w:tentative="0">
      <w:start w:val="1"/>
      <w:numFmt w:val="bullet"/>
      <w:pStyle w:val="21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0">
    <w:nsid w:val="6CA41985"/>
    <w:multiLevelType w:val="multilevel"/>
    <w:tmpl w:val="6CA41985"/>
    <w:lvl w:ilvl="0" w:tentative="0">
      <w:start w:val="1"/>
      <w:numFmt w:val="decimal"/>
      <w:pStyle w:val="12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pStyle w:val="388"/>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CE42AC1"/>
    <w:multiLevelType w:val="multilevel"/>
    <w:tmpl w:val="6CE42AC1"/>
    <w:lvl w:ilvl="0" w:tentative="0">
      <w:start w:val="1"/>
      <w:numFmt w:val="lowerLetter"/>
      <w:pStyle w:val="19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DBF04F4"/>
    <w:multiLevelType w:val="multilevel"/>
    <w:tmpl w:val="6DBF04F4"/>
    <w:lvl w:ilvl="0" w:tentative="0">
      <w:start w:val="1"/>
      <w:numFmt w:val="none"/>
      <w:pStyle w:val="20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tentative="0">
      <w:start w:val="1"/>
      <w:numFmt w:val="decimal"/>
      <w:pStyle w:val="13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76933334"/>
    <w:multiLevelType w:val="multilevel"/>
    <w:tmpl w:val="76933334"/>
    <w:lvl w:ilvl="0" w:tentative="0">
      <w:start w:val="1"/>
      <w:numFmt w:val="none"/>
      <w:pStyle w:val="16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6"/>
  </w:num>
  <w:num w:numId="3">
    <w:abstractNumId w:val="6"/>
  </w:num>
  <w:num w:numId="4">
    <w:abstractNumId w:val="20"/>
  </w:num>
  <w:num w:numId="5">
    <w:abstractNumId w:val="25"/>
  </w:num>
  <w:num w:numId="6">
    <w:abstractNumId w:val="15"/>
  </w:num>
  <w:num w:numId="7">
    <w:abstractNumId w:val="9"/>
  </w:num>
  <w:num w:numId="8">
    <w:abstractNumId w:val="4"/>
  </w:num>
  <w:num w:numId="9">
    <w:abstractNumId w:val="10"/>
  </w:num>
  <w:num w:numId="10">
    <w:abstractNumId w:val="18"/>
  </w:num>
  <w:num w:numId="11">
    <w:abstractNumId w:val="30"/>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3"/>
  </w:num>
  <w:num w:numId="19">
    <w:abstractNumId w:val="17"/>
  </w:num>
  <w:num w:numId="20">
    <w:abstractNumId w:val="2"/>
  </w:num>
  <w:num w:numId="21">
    <w:abstractNumId w:val="12"/>
  </w:num>
  <w:num w:numId="22">
    <w:abstractNumId w:val="34"/>
  </w:num>
  <w:num w:numId="23">
    <w:abstractNumId w:val="22"/>
  </w:num>
  <w:num w:numId="24">
    <w:abstractNumId w:val="7"/>
  </w:num>
  <w:num w:numId="25">
    <w:abstractNumId w:val="31"/>
  </w:num>
  <w:num w:numId="26">
    <w:abstractNumId w:val="32"/>
  </w:num>
  <w:num w:numId="27">
    <w:abstractNumId w:val="3"/>
  </w:num>
  <w:num w:numId="28">
    <w:abstractNumId w:val="5"/>
  </w:num>
  <w:num w:numId="29">
    <w:abstractNumId w:val="16"/>
  </w:num>
  <w:num w:numId="30">
    <w:abstractNumId w:val="29"/>
  </w:num>
  <w:num w:numId="31">
    <w:abstractNumId w:val="24"/>
  </w:num>
  <w:num w:numId="32">
    <w:abstractNumId w:val="11"/>
  </w:num>
  <w:num w:numId="33">
    <w:abstractNumId w:val="0"/>
  </w:num>
  <w:num w:numId="34">
    <w:abstractNumId w:val="27"/>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cumentProtection w:edit="forms" w:enforcement="0"/>
  <w:defaultTabStop w:val="420"/>
  <w:evenAndOddHeaders w:val="1"/>
  <w:drawingGridHorizontalSpacing w:val="210"/>
  <w:drawingGridVerticalSpacing w:val="156"/>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0ZjVjMGY1OWVjODYyZGYwM2EyZGVlYjZkYjk3ZjAifQ=="/>
  </w:docVars>
  <w:rsids>
    <w:rsidRoot w:val="009E0FB3"/>
    <w:rsid w:val="0000040A"/>
    <w:rsid w:val="00000A94"/>
    <w:rsid w:val="00001972"/>
    <w:rsid w:val="00001A6D"/>
    <w:rsid w:val="00001D9A"/>
    <w:rsid w:val="00007B3A"/>
    <w:rsid w:val="000107E0"/>
    <w:rsid w:val="00011FDE"/>
    <w:rsid w:val="00012FFD"/>
    <w:rsid w:val="00014162"/>
    <w:rsid w:val="00014340"/>
    <w:rsid w:val="00014686"/>
    <w:rsid w:val="0001578D"/>
    <w:rsid w:val="00016A9C"/>
    <w:rsid w:val="00020403"/>
    <w:rsid w:val="00022184"/>
    <w:rsid w:val="00022762"/>
    <w:rsid w:val="000238E0"/>
    <w:rsid w:val="000249DB"/>
    <w:rsid w:val="0002595E"/>
    <w:rsid w:val="000303C3"/>
    <w:rsid w:val="000323E9"/>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3EE"/>
    <w:rsid w:val="00067F1E"/>
    <w:rsid w:val="00071CC0"/>
    <w:rsid w:val="00073C8C"/>
    <w:rsid w:val="00077B64"/>
    <w:rsid w:val="00080A1C"/>
    <w:rsid w:val="00082317"/>
    <w:rsid w:val="00083D2C"/>
    <w:rsid w:val="00086AA1"/>
    <w:rsid w:val="00087A77"/>
    <w:rsid w:val="00090CA6"/>
    <w:rsid w:val="00092B8A"/>
    <w:rsid w:val="00092FB0"/>
    <w:rsid w:val="000934C5"/>
    <w:rsid w:val="00093ADA"/>
    <w:rsid w:val="00093D25"/>
    <w:rsid w:val="00093DAB"/>
    <w:rsid w:val="000942B7"/>
    <w:rsid w:val="00094D73"/>
    <w:rsid w:val="00096D63"/>
    <w:rsid w:val="000976F1"/>
    <w:rsid w:val="000A0B60"/>
    <w:rsid w:val="000A0EB8"/>
    <w:rsid w:val="000A19FC"/>
    <w:rsid w:val="000A296B"/>
    <w:rsid w:val="000A7311"/>
    <w:rsid w:val="000B060F"/>
    <w:rsid w:val="000B1592"/>
    <w:rsid w:val="000B1FF2"/>
    <w:rsid w:val="000B3CDA"/>
    <w:rsid w:val="000B504D"/>
    <w:rsid w:val="000B6A0B"/>
    <w:rsid w:val="000C0187"/>
    <w:rsid w:val="000C0F6C"/>
    <w:rsid w:val="000C11DB"/>
    <w:rsid w:val="000C1492"/>
    <w:rsid w:val="000C2FBD"/>
    <w:rsid w:val="000C4B41"/>
    <w:rsid w:val="000C57D6"/>
    <w:rsid w:val="000C6362"/>
    <w:rsid w:val="000C7666"/>
    <w:rsid w:val="000D0077"/>
    <w:rsid w:val="000D0A9C"/>
    <w:rsid w:val="000D1795"/>
    <w:rsid w:val="000D196A"/>
    <w:rsid w:val="000D329A"/>
    <w:rsid w:val="000D4B9C"/>
    <w:rsid w:val="000D4EB6"/>
    <w:rsid w:val="000D5741"/>
    <w:rsid w:val="000D753B"/>
    <w:rsid w:val="000E4C9E"/>
    <w:rsid w:val="000E57E9"/>
    <w:rsid w:val="000E6FD7"/>
    <w:rsid w:val="000F06E1"/>
    <w:rsid w:val="000F0E3C"/>
    <w:rsid w:val="000F19D5"/>
    <w:rsid w:val="000F4AEA"/>
    <w:rsid w:val="000F633F"/>
    <w:rsid w:val="000F67E9"/>
    <w:rsid w:val="00101D01"/>
    <w:rsid w:val="001034A5"/>
    <w:rsid w:val="00104926"/>
    <w:rsid w:val="00105C7F"/>
    <w:rsid w:val="00111761"/>
    <w:rsid w:val="00113B1E"/>
    <w:rsid w:val="00116FFD"/>
    <w:rsid w:val="0011711C"/>
    <w:rsid w:val="0012059C"/>
    <w:rsid w:val="0012205E"/>
    <w:rsid w:val="00124E4F"/>
    <w:rsid w:val="001260B7"/>
    <w:rsid w:val="001265CB"/>
    <w:rsid w:val="001266A3"/>
    <w:rsid w:val="00127AC3"/>
    <w:rsid w:val="001321C6"/>
    <w:rsid w:val="001325C4"/>
    <w:rsid w:val="00133010"/>
    <w:rsid w:val="001338EE"/>
    <w:rsid w:val="00133AAE"/>
    <w:rsid w:val="00135323"/>
    <w:rsid w:val="001356C4"/>
    <w:rsid w:val="00140E83"/>
    <w:rsid w:val="00141114"/>
    <w:rsid w:val="00142969"/>
    <w:rsid w:val="001446C2"/>
    <w:rsid w:val="001457E7"/>
    <w:rsid w:val="00145D9D"/>
    <w:rsid w:val="00146388"/>
    <w:rsid w:val="001529E5"/>
    <w:rsid w:val="00153C7E"/>
    <w:rsid w:val="00156B25"/>
    <w:rsid w:val="00156CD3"/>
    <w:rsid w:val="00156E1A"/>
    <w:rsid w:val="00157894"/>
    <w:rsid w:val="00157B55"/>
    <w:rsid w:val="00161025"/>
    <w:rsid w:val="001642FA"/>
    <w:rsid w:val="001649EB"/>
    <w:rsid w:val="00164BAF"/>
    <w:rsid w:val="00164FA8"/>
    <w:rsid w:val="00165065"/>
    <w:rsid w:val="00165434"/>
    <w:rsid w:val="0016580B"/>
    <w:rsid w:val="00165F49"/>
    <w:rsid w:val="00166B88"/>
    <w:rsid w:val="0016770A"/>
    <w:rsid w:val="00167EB8"/>
    <w:rsid w:val="00170804"/>
    <w:rsid w:val="001708E9"/>
    <w:rsid w:val="0017340B"/>
    <w:rsid w:val="00173F3C"/>
    <w:rsid w:val="00173FB1"/>
    <w:rsid w:val="00176C93"/>
    <w:rsid w:val="00176DFD"/>
    <w:rsid w:val="00183237"/>
    <w:rsid w:val="001852C9"/>
    <w:rsid w:val="00190087"/>
    <w:rsid w:val="001913C4"/>
    <w:rsid w:val="00192B51"/>
    <w:rsid w:val="0019348F"/>
    <w:rsid w:val="00193719"/>
    <w:rsid w:val="00193A07"/>
    <w:rsid w:val="00193BB7"/>
    <w:rsid w:val="00194C95"/>
    <w:rsid w:val="00195C34"/>
    <w:rsid w:val="00196EF5"/>
    <w:rsid w:val="001977E3"/>
    <w:rsid w:val="001A0D70"/>
    <w:rsid w:val="001A1A53"/>
    <w:rsid w:val="001A234A"/>
    <w:rsid w:val="001A4CF3"/>
    <w:rsid w:val="001B06E8"/>
    <w:rsid w:val="001B5641"/>
    <w:rsid w:val="001B66F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593"/>
    <w:rsid w:val="001E4882"/>
    <w:rsid w:val="001E73AB"/>
    <w:rsid w:val="001F092D"/>
    <w:rsid w:val="001F143A"/>
    <w:rsid w:val="001F1605"/>
    <w:rsid w:val="001F2508"/>
    <w:rsid w:val="001F4816"/>
    <w:rsid w:val="001F4EE9"/>
    <w:rsid w:val="001F69B4"/>
    <w:rsid w:val="001F759A"/>
    <w:rsid w:val="001F77C7"/>
    <w:rsid w:val="00200183"/>
    <w:rsid w:val="00200333"/>
    <w:rsid w:val="0020107D"/>
    <w:rsid w:val="00202AA4"/>
    <w:rsid w:val="002031F7"/>
    <w:rsid w:val="002040E6"/>
    <w:rsid w:val="0020527B"/>
    <w:rsid w:val="00205F2C"/>
    <w:rsid w:val="00210B15"/>
    <w:rsid w:val="002142EA"/>
    <w:rsid w:val="00214643"/>
    <w:rsid w:val="00217C8D"/>
    <w:rsid w:val="002204BB"/>
    <w:rsid w:val="00221B79"/>
    <w:rsid w:val="00221C6B"/>
    <w:rsid w:val="002253A1"/>
    <w:rsid w:val="00225CF8"/>
    <w:rsid w:val="00226366"/>
    <w:rsid w:val="00227154"/>
    <w:rsid w:val="0022794E"/>
    <w:rsid w:val="002315FC"/>
    <w:rsid w:val="00233D64"/>
    <w:rsid w:val="0023482A"/>
    <w:rsid w:val="00234A76"/>
    <w:rsid w:val="002359CB"/>
    <w:rsid w:val="00235D2F"/>
    <w:rsid w:val="00240772"/>
    <w:rsid w:val="0024283C"/>
    <w:rsid w:val="00243540"/>
    <w:rsid w:val="0024497B"/>
    <w:rsid w:val="0024515B"/>
    <w:rsid w:val="00246021"/>
    <w:rsid w:val="0024666E"/>
    <w:rsid w:val="00247F52"/>
    <w:rsid w:val="00250B25"/>
    <w:rsid w:val="00250BBE"/>
    <w:rsid w:val="002515C2"/>
    <w:rsid w:val="00251730"/>
    <w:rsid w:val="0025194F"/>
    <w:rsid w:val="00251D62"/>
    <w:rsid w:val="0026148A"/>
    <w:rsid w:val="00262696"/>
    <w:rsid w:val="002636E1"/>
    <w:rsid w:val="00263D25"/>
    <w:rsid w:val="00263FB6"/>
    <w:rsid w:val="002643C3"/>
    <w:rsid w:val="00264A0C"/>
    <w:rsid w:val="00265E52"/>
    <w:rsid w:val="00266EEB"/>
    <w:rsid w:val="00267EF4"/>
    <w:rsid w:val="00270CB8"/>
    <w:rsid w:val="00272B08"/>
    <w:rsid w:val="00281BB8"/>
    <w:rsid w:val="00281E9E"/>
    <w:rsid w:val="00282405"/>
    <w:rsid w:val="00285170"/>
    <w:rsid w:val="00285361"/>
    <w:rsid w:val="00292D60"/>
    <w:rsid w:val="00293B30"/>
    <w:rsid w:val="00294D34"/>
    <w:rsid w:val="00294E3B"/>
    <w:rsid w:val="00295C8E"/>
    <w:rsid w:val="00296193"/>
    <w:rsid w:val="002963CC"/>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529"/>
    <w:rsid w:val="002B5779"/>
    <w:rsid w:val="002B7332"/>
    <w:rsid w:val="002B7F51"/>
    <w:rsid w:val="002C09E7"/>
    <w:rsid w:val="002C1E06"/>
    <w:rsid w:val="002C1E1C"/>
    <w:rsid w:val="002C2300"/>
    <w:rsid w:val="002C3F07"/>
    <w:rsid w:val="002C5278"/>
    <w:rsid w:val="002C7EBB"/>
    <w:rsid w:val="002D06C1"/>
    <w:rsid w:val="002D42B5"/>
    <w:rsid w:val="002D4F1A"/>
    <w:rsid w:val="002D6EC6"/>
    <w:rsid w:val="002D79AC"/>
    <w:rsid w:val="002E039D"/>
    <w:rsid w:val="002E4D5A"/>
    <w:rsid w:val="002E62CF"/>
    <w:rsid w:val="002E6326"/>
    <w:rsid w:val="002E76B3"/>
    <w:rsid w:val="002F30E0"/>
    <w:rsid w:val="002F35E4"/>
    <w:rsid w:val="002F3730"/>
    <w:rsid w:val="002F38E1"/>
    <w:rsid w:val="002F7AF6"/>
    <w:rsid w:val="002F7C39"/>
    <w:rsid w:val="00300E63"/>
    <w:rsid w:val="0030200C"/>
    <w:rsid w:val="00302F5F"/>
    <w:rsid w:val="0030441D"/>
    <w:rsid w:val="00306063"/>
    <w:rsid w:val="00306E83"/>
    <w:rsid w:val="00313B85"/>
    <w:rsid w:val="00313EAB"/>
    <w:rsid w:val="00317270"/>
    <w:rsid w:val="00317988"/>
    <w:rsid w:val="003221B4"/>
    <w:rsid w:val="0032258D"/>
    <w:rsid w:val="00322E62"/>
    <w:rsid w:val="00324D13"/>
    <w:rsid w:val="00324D2A"/>
    <w:rsid w:val="00324EDD"/>
    <w:rsid w:val="00326851"/>
    <w:rsid w:val="00326DE6"/>
    <w:rsid w:val="003323C1"/>
    <w:rsid w:val="0033302D"/>
    <w:rsid w:val="003331E4"/>
    <w:rsid w:val="00336C64"/>
    <w:rsid w:val="00337162"/>
    <w:rsid w:val="0034194F"/>
    <w:rsid w:val="00343A23"/>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1470"/>
    <w:rsid w:val="0037154F"/>
    <w:rsid w:val="00376713"/>
    <w:rsid w:val="00381815"/>
    <w:rsid w:val="003819AF"/>
    <w:rsid w:val="003820E9"/>
    <w:rsid w:val="00382DE7"/>
    <w:rsid w:val="00384FFC"/>
    <w:rsid w:val="00386C8E"/>
    <w:rsid w:val="003872FC"/>
    <w:rsid w:val="00387ADC"/>
    <w:rsid w:val="00390020"/>
    <w:rsid w:val="003903D6"/>
    <w:rsid w:val="00390EE6"/>
    <w:rsid w:val="0039118F"/>
    <w:rsid w:val="00392AD7"/>
    <w:rsid w:val="003938D9"/>
    <w:rsid w:val="00394376"/>
    <w:rsid w:val="003943FF"/>
    <w:rsid w:val="0039485D"/>
    <w:rsid w:val="00395700"/>
    <w:rsid w:val="003974EB"/>
    <w:rsid w:val="00397CC5"/>
    <w:rsid w:val="003A1582"/>
    <w:rsid w:val="003A1FDC"/>
    <w:rsid w:val="003A4077"/>
    <w:rsid w:val="003B09AD"/>
    <w:rsid w:val="003B11F6"/>
    <w:rsid w:val="003B1F18"/>
    <w:rsid w:val="003B31FF"/>
    <w:rsid w:val="003B5BF0"/>
    <w:rsid w:val="003B60BF"/>
    <w:rsid w:val="003B6BE3"/>
    <w:rsid w:val="003C010C"/>
    <w:rsid w:val="003C0A6C"/>
    <w:rsid w:val="003C14F8"/>
    <w:rsid w:val="003C5A43"/>
    <w:rsid w:val="003C6CA4"/>
    <w:rsid w:val="003D0519"/>
    <w:rsid w:val="003D0FF6"/>
    <w:rsid w:val="003D262C"/>
    <w:rsid w:val="003D6D61"/>
    <w:rsid w:val="003E091D"/>
    <w:rsid w:val="003E1C53"/>
    <w:rsid w:val="003E2A69"/>
    <w:rsid w:val="003E2D49"/>
    <w:rsid w:val="003E2FD4"/>
    <w:rsid w:val="003E49F6"/>
    <w:rsid w:val="003E5951"/>
    <w:rsid w:val="003E660F"/>
    <w:rsid w:val="003E66A9"/>
    <w:rsid w:val="003F0841"/>
    <w:rsid w:val="003F23D3"/>
    <w:rsid w:val="003F3F08"/>
    <w:rsid w:val="003F49F1"/>
    <w:rsid w:val="003F5CD1"/>
    <w:rsid w:val="003F6272"/>
    <w:rsid w:val="00400E72"/>
    <w:rsid w:val="00400FAF"/>
    <w:rsid w:val="00401400"/>
    <w:rsid w:val="00404869"/>
    <w:rsid w:val="00405884"/>
    <w:rsid w:val="00407D39"/>
    <w:rsid w:val="00413E47"/>
    <w:rsid w:val="0041477A"/>
    <w:rsid w:val="004167A3"/>
    <w:rsid w:val="004177DB"/>
    <w:rsid w:val="0042166F"/>
    <w:rsid w:val="00423AF0"/>
    <w:rsid w:val="004254AB"/>
    <w:rsid w:val="00432DAA"/>
    <w:rsid w:val="00434305"/>
    <w:rsid w:val="00435DF7"/>
    <w:rsid w:val="004365D5"/>
    <w:rsid w:val="0044083F"/>
    <w:rsid w:val="00441AE7"/>
    <w:rsid w:val="00441BD3"/>
    <w:rsid w:val="00445574"/>
    <w:rsid w:val="00446329"/>
    <w:rsid w:val="004467FB"/>
    <w:rsid w:val="00452D6B"/>
    <w:rsid w:val="00454484"/>
    <w:rsid w:val="0045517B"/>
    <w:rsid w:val="00455ACA"/>
    <w:rsid w:val="0046003A"/>
    <w:rsid w:val="00460DB6"/>
    <w:rsid w:val="00460FE5"/>
    <w:rsid w:val="00463B77"/>
    <w:rsid w:val="00463C7B"/>
    <w:rsid w:val="004644A6"/>
    <w:rsid w:val="004659BD"/>
    <w:rsid w:val="00470775"/>
    <w:rsid w:val="004746B1"/>
    <w:rsid w:val="0047583F"/>
    <w:rsid w:val="00475DE8"/>
    <w:rsid w:val="00481C44"/>
    <w:rsid w:val="00484936"/>
    <w:rsid w:val="00485C89"/>
    <w:rsid w:val="00485DAA"/>
    <w:rsid w:val="00486BE3"/>
    <w:rsid w:val="00487C21"/>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90F"/>
    <w:rsid w:val="004B4DB1"/>
    <w:rsid w:val="004B6278"/>
    <w:rsid w:val="004C1FBC"/>
    <w:rsid w:val="004C3F1D"/>
    <w:rsid w:val="004C458D"/>
    <w:rsid w:val="004C7556"/>
    <w:rsid w:val="004C764E"/>
    <w:rsid w:val="004C7E8B"/>
    <w:rsid w:val="004C7E9D"/>
    <w:rsid w:val="004C7F67"/>
    <w:rsid w:val="004D076D"/>
    <w:rsid w:val="004D0EF1"/>
    <w:rsid w:val="004D2253"/>
    <w:rsid w:val="004D4406"/>
    <w:rsid w:val="004D7C42"/>
    <w:rsid w:val="004E0465"/>
    <w:rsid w:val="004E127B"/>
    <w:rsid w:val="004E13A1"/>
    <w:rsid w:val="004E1C0A"/>
    <w:rsid w:val="004E2B06"/>
    <w:rsid w:val="004E30C5"/>
    <w:rsid w:val="004E4AA5"/>
    <w:rsid w:val="004E4AEE"/>
    <w:rsid w:val="004E59E3"/>
    <w:rsid w:val="004E67C0"/>
    <w:rsid w:val="004E6E4B"/>
    <w:rsid w:val="004F391A"/>
    <w:rsid w:val="004F3CFB"/>
    <w:rsid w:val="004F6456"/>
    <w:rsid w:val="004F675E"/>
    <w:rsid w:val="004F696E"/>
    <w:rsid w:val="004F6C71"/>
    <w:rsid w:val="004F70C8"/>
    <w:rsid w:val="00501139"/>
    <w:rsid w:val="0050363E"/>
    <w:rsid w:val="005039BC"/>
    <w:rsid w:val="005043BB"/>
    <w:rsid w:val="00504A3D"/>
    <w:rsid w:val="0050560F"/>
    <w:rsid w:val="00505767"/>
    <w:rsid w:val="005073F0"/>
    <w:rsid w:val="00510A7B"/>
    <w:rsid w:val="00512EFF"/>
    <w:rsid w:val="00512F6E"/>
    <w:rsid w:val="00513038"/>
    <w:rsid w:val="00514174"/>
    <w:rsid w:val="005156C8"/>
    <w:rsid w:val="00516088"/>
    <w:rsid w:val="00516B0B"/>
    <w:rsid w:val="005220EC"/>
    <w:rsid w:val="00523F95"/>
    <w:rsid w:val="00524D65"/>
    <w:rsid w:val="00525B16"/>
    <w:rsid w:val="0053225D"/>
    <w:rsid w:val="00533D04"/>
    <w:rsid w:val="00534804"/>
    <w:rsid w:val="00534BDF"/>
    <w:rsid w:val="005354EA"/>
    <w:rsid w:val="0053585F"/>
    <w:rsid w:val="00535EC4"/>
    <w:rsid w:val="00535ED9"/>
    <w:rsid w:val="0053692B"/>
    <w:rsid w:val="00541853"/>
    <w:rsid w:val="00543BDA"/>
    <w:rsid w:val="005441CC"/>
    <w:rsid w:val="005472A6"/>
    <w:rsid w:val="005479DA"/>
    <w:rsid w:val="00547BCC"/>
    <w:rsid w:val="0055013B"/>
    <w:rsid w:val="00551F6F"/>
    <w:rsid w:val="00555044"/>
    <w:rsid w:val="00561475"/>
    <w:rsid w:val="0056487B"/>
    <w:rsid w:val="00564FB9"/>
    <w:rsid w:val="00570CCA"/>
    <w:rsid w:val="005710DA"/>
    <w:rsid w:val="00571928"/>
    <w:rsid w:val="00573D9E"/>
    <w:rsid w:val="005801E3"/>
    <w:rsid w:val="005804AD"/>
    <w:rsid w:val="00581802"/>
    <w:rsid w:val="005836A8"/>
    <w:rsid w:val="0058409C"/>
    <w:rsid w:val="00584262"/>
    <w:rsid w:val="00586630"/>
    <w:rsid w:val="00587ADD"/>
    <w:rsid w:val="00591E27"/>
    <w:rsid w:val="00596160"/>
    <w:rsid w:val="005966E2"/>
    <w:rsid w:val="00597007"/>
    <w:rsid w:val="005A0966"/>
    <w:rsid w:val="005A11B7"/>
    <w:rsid w:val="005A260B"/>
    <w:rsid w:val="005A2FDB"/>
    <w:rsid w:val="005A4A1B"/>
    <w:rsid w:val="005A7092"/>
    <w:rsid w:val="005A7830"/>
    <w:rsid w:val="005A7FCE"/>
    <w:rsid w:val="005B0130"/>
    <w:rsid w:val="005B0F3F"/>
    <w:rsid w:val="005B4903"/>
    <w:rsid w:val="005B51CE"/>
    <w:rsid w:val="005B5885"/>
    <w:rsid w:val="005B5CD7"/>
    <w:rsid w:val="005B6CF6"/>
    <w:rsid w:val="005B7422"/>
    <w:rsid w:val="005C29B8"/>
    <w:rsid w:val="005C4E4F"/>
    <w:rsid w:val="005C5F21"/>
    <w:rsid w:val="005C7156"/>
    <w:rsid w:val="005D0C75"/>
    <w:rsid w:val="005D2089"/>
    <w:rsid w:val="005D4171"/>
    <w:rsid w:val="005D6A95"/>
    <w:rsid w:val="005D6B2C"/>
    <w:rsid w:val="005D6D9C"/>
    <w:rsid w:val="005E2335"/>
    <w:rsid w:val="005E34CA"/>
    <w:rsid w:val="005E3C18"/>
    <w:rsid w:val="005E5210"/>
    <w:rsid w:val="005E6812"/>
    <w:rsid w:val="005E7881"/>
    <w:rsid w:val="005E78E0"/>
    <w:rsid w:val="005F01AC"/>
    <w:rsid w:val="005F0D9C"/>
    <w:rsid w:val="005F284E"/>
    <w:rsid w:val="005F4712"/>
    <w:rsid w:val="005F7698"/>
    <w:rsid w:val="005F7982"/>
    <w:rsid w:val="006015CE"/>
    <w:rsid w:val="00604784"/>
    <w:rsid w:val="00606419"/>
    <w:rsid w:val="0060686C"/>
    <w:rsid w:val="00607D29"/>
    <w:rsid w:val="00612677"/>
    <w:rsid w:val="00612952"/>
    <w:rsid w:val="00614CC1"/>
    <w:rsid w:val="00615A9D"/>
    <w:rsid w:val="00617387"/>
    <w:rsid w:val="00617AEA"/>
    <w:rsid w:val="006205D6"/>
    <w:rsid w:val="006252D8"/>
    <w:rsid w:val="006259BC"/>
    <w:rsid w:val="0062636B"/>
    <w:rsid w:val="00627E9C"/>
    <w:rsid w:val="00632182"/>
    <w:rsid w:val="00632AE0"/>
    <w:rsid w:val="00633C17"/>
    <w:rsid w:val="00634D9E"/>
    <w:rsid w:val="00636E3E"/>
    <w:rsid w:val="006370A5"/>
    <w:rsid w:val="006379F7"/>
    <w:rsid w:val="00637E4D"/>
    <w:rsid w:val="00640620"/>
    <w:rsid w:val="00641A1F"/>
    <w:rsid w:val="00644DA9"/>
    <w:rsid w:val="00645904"/>
    <w:rsid w:val="00651ACB"/>
    <w:rsid w:val="00651C47"/>
    <w:rsid w:val="00652AB2"/>
    <w:rsid w:val="0065325E"/>
    <w:rsid w:val="00653FED"/>
    <w:rsid w:val="00654EC0"/>
    <w:rsid w:val="0065525B"/>
    <w:rsid w:val="00655D4F"/>
    <w:rsid w:val="00656D29"/>
    <w:rsid w:val="0066329C"/>
    <w:rsid w:val="006640E5"/>
    <w:rsid w:val="006646F1"/>
    <w:rsid w:val="00664929"/>
    <w:rsid w:val="00664F62"/>
    <w:rsid w:val="006655E1"/>
    <w:rsid w:val="00672060"/>
    <w:rsid w:val="00672BFD"/>
    <w:rsid w:val="00674E13"/>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0282"/>
    <w:rsid w:val="006C15CB"/>
    <w:rsid w:val="006C1BBA"/>
    <w:rsid w:val="006C2079"/>
    <w:rsid w:val="006C5A62"/>
    <w:rsid w:val="006C5D68"/>
    <w:rsid w:val="006C6976"/>
    <w:rsid w:val="006C6DD0"/>
    <w:rsid w:val="006D04EA"/>
    <w:rsid w:val="006D16C4"/>
    <w:rsid w:val="006D30E0"/>
    <w:rsid w:val="006D3E96"/>
    <w:rsid w:val="006D4515"/>
    <w:rsid w:val="006D4BB1"/>
    <w:rsid w:val="006D60F5"/>
    <w:rsid w:val="006D6593"/>
    <w:rsid w:val="006E23EA"/>
    <w:rsid w:val="006F03A8"/>
    <w:rsid w:val="006F1FCE"/>
    <w:rsid w:val="006F25B9"/>
    <w:rsid w:val="006F2ACA"/>
    <w:rsid w:val="006F2ADC"/>
    <w:rsid w:val="006F2BFE"/>
    <w:rsid w:val="006F31E9"/>
    <w:rsid w:val="006F32CB"/>
    <w:rsid w:val="006F6284"/>
    <w:rsid w:val="007002C5"/>
    <w:rsid w:val="007009CE"/>
    <w:rsid w:val="0070138A"/>
    <w:rsid w:val="00704387"/>
    <w:rsid w:val="007058BE"/>
    <w:rsid w:val="00707669"/>
    <w:rsid w:val="00711CBA"/>
    <w:rsid w:val="00711FB5"/>
    <w:rsid w:val="00712A01"/>
    <w:rsid w:val="00714F58"/>
    <w:rsid w:val="00722FBF"/>
    <w:rsid w:val="00722FC2"/>
    <w:rsid w:val="00724879"/>
    <w:rsid w:val="00724BE8"/>
    <w:rsid w:val="00724E1B"/>
    <w:rsid w:val="00725949"/>
    <w:rsid w:val="00727A53"/>
    <w:rsid w:val="00727FA2"/>
    <w:rsid w:val="007322D9"/>
    <w:rsid w:val="00732BC0"/>
    <w:rsid w:val="007364F7"/>
    <w:rsid w:val="0073720F"/>
    <w:rsid w:val="00737796"/>
    <w:rsid w:val="00740BE5"/>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F85"/>
    <w:rsid w:val="00773C1F"/>
    <w:rsid w:val="00774DA4"/>
    <w:rsid w:val="00775F29"/>
    <w:rsid w:val="00776599"/>
    <w:rsid w:val="0078114B"/>
    <w:rsid w:val="00781AEB"/>
    <w:rsid w:val="00781DD2"/>
    <w:rsid w:val="007827FF"/>
    <w:rsid w:val="00783ECF"/>
    <w:rsid w:val="0078413A"/>
    <w:rsid w:val="00784D29"/>
    <w:rsid w:val="00785C49"/>
    <w:rsid w:val="007959E8"/>
    <w:rsid w:val="00795E9C"/>
    <w:rsid w:val="00796F38"/>
    <w:rsid w:val="007A0521"/>
    <w:rsid w:val="007A2E12"/>
    <w:rsid w:val="007A3475"/>
    <w:rsid w:val="007A41C8"/>
    <w:rsid w:val="007A54CE"/>
    <w:rsid w:val="007A6592"/>
    <w:rsid w:val="007A6FD9"/>
    <w:rsid w:val="007A7FFA"/>
    <w:rsid w:val="007B04EB"/>
    <w:rsid w:val="007B0D4F"/>
    <w:rsid w:val="007B22EC"/>
    <w:rsid w:val="007B59F2"/>
    <w:rsid w:val="007B5A3D"/>
    <w:rsid w:val="007B5B95"/>
    <w:rsid w:val="007B68EA"/>
    <w:rsid w:val="007B7453"/>
    <w:rsid w:val="007C1E8B"/>
    <w:rsid w:val="007C2D89"/>
    <w:rsid w:val="007C4593"/>
    <w:rsid w:val="007C5309"/>
    <w:rsid w:val="007C6069"/>
    <w:rsid w:val="007D06C4"/>
    <w:rsid w:val="007D1352"/>
    <w:rsid w:val="007D2508"/>
    <w:rsid w:val="007D346A"/>
    <w:rsid w:val="007D3D0F"/>
    <w:rsid w:val="007D6518"/>
    <w:rsid w:val="007D76BD"/>
    <w:rsid w:val="007E0BF1"/>
    <w:rsid w:val="007E3685"/>
    <w:rsid w:val="007F0ED8"/>
    <w:rsid w:val="007F0F63"/>
    <w:rsid w:val="007F3DE8"/>
    <w:rsid w:val="007F5F25"/>
    <w:rsid w:val="007F75CE"/>
    <w:rsid w:val="008013A4"/>
    <w:rsid w:val="008027CE"/>
    <w:rsid w:val="00802F42"/>
    <w:rsid w:val="00803097"/>
    <w:rsid w:val="00804383"/>
    <w:rsid w:val="00804BB7"/>
    <w:rsid w:val="00804D41"/>
    <w:rsid w:val="00806797"/>
    <w:rsid w:val="00806BE6"/>
    <w:rsid w:val="00807EA8"/>
    <w:rsid w:val="00810257"/>
    <w:rsid w:val="008104F5"/>
    <w:rsid w:val="00811072"/>
    <w:rsid w:val="00811369"/>
    <w:rsid w:val="00811E52"/>
    <w:rsid w:val="00813CD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F76"/>
    <w:rsid w:val="0085173A"/>
    <w:rsid w:val="00856316"/>
    <w:rsid w:val="008603CE"/>
    <w:rsid w:val="0086075D"/>
    <w:rsid w:val="008620FC"/>
    <w:rsid w:val="0086220F"/>
    <w:rsid w:val="008627A5"/>
    <w:rsid w:val="00863E05"/>
    <w:rsid w:val="00865ACA"/>
    <w:rsid w:val="00865D28"/>
    <w:rsid w:val="00865F85"/>
    <w:rsid w:val="00866D67"/>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2B8"/>
    <w:rsid w:val="00896DFF"/>
    <w:rsid w:val="0089762C"/>
    <w:rsid w:val="008A000B"/>
    <w:rsid w:val="008A0DBC"/>
    <w:rsid w:val="008A1893"/>
    <w:rsid w:val="008A3215"/>
    <w:rsid w:val="008A57E6"/>
    <w:rsid w:val="008A6F81"/>
    <w:rsid w:val="008A7012"/>
    <w:rsid w:val="008A769A"/>
    <w:rsid w:val="008B0C9C"/>
    <w:rsid w:val="008B166D"/>
    <w:rsid w:val="008B17F4"/>
    <w:rsid w:val="008B3615"/>
    <w:rsid w:val="008B3EA2"/>
    <w:rsid w:val="008B4AC4"/>
    <w:rsid w:val="008B50C8"/>
    <w:rsid w:val="008B5281"/>
    <w:rsid w:val="008B7E05"/>
    <w:rsid w:val="008C1797"/>
    <w:rsid w:val="008C219C"/>
    <w:rsid w:val="008C2A6B"/>
    <w:rsid w:val="008C31A1"/>
    <w:rsid w:val="008C475E"/>
    <w:rsid w:val="008C619A"/>
    <w:rsid w:val="008D0CE8"/>
    <w:rsid w:val="008D2B8A"/>
    <w:rsid w:val="008D2D1D"/>
    <w:rsid w:val="008D453D"/>
    <w:rsid w:val="008D53AD"/>
    <w:rsid w:val="008D562B"/>
    <w:rsid w:val="008D5733"/>
    <w:rsid w:val="008D622B"/>
    <w:rsid w:val="008D666C"/>
    <w:rsid w:val="008D7B54"/>
    <w:rsid w:val="008D7BB5"/>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39B"/>
    <w:rsid w:val="009062E6"/>
    <w:rsid w:val="00910B31"/>
    <w:rsid w:val="00911BE5"/>
    <w:rsid w:val="00913CA9"/>
    <w:rsid w:val="009145AE"/>
    <w:rsid w:val="009146CE"/>
    <w:rsid w:val="00914CA7"/>
    <w:rsid w:val="00915C3E"/>
    <w:rsid w:val="009161A8"/>
    <w:rsid w:val="009210E6"/>
    <w:rsid w:val="009245F5"/>
    <w:rsid w:val="009249EC"/>
    <w:rsid w:val="009273B3"/>
    <w:rsid w:val="009305B5"/>
    <w:rsid w:val="0093392D"/>
    <w:rsid w:val="00934F26"/>
    <w:rsid w:val="00935CBE"/>
    <w:rsid w:val="00937E3B"/>
    <w:rsid w:val="009429D5"/>
    <w:rsid w:val="00942BF1"/>
    <w:rsid w:val="009448A9"/>
    <w:rsid w:val="00945180"/>
    <w:rsid w:val="00945428"/>
    <w:rsid w:val="0094607B"/>
    <w:rsid w:val="009464BE"/>
    <w:rsid w:val="00953604"/>
    <w:rsid w:val="0095496B"/>
    <w:rsid w:val="009571E9"/>
    <w:rsid w:val="00957202"/>
    <w:rsid w:val="009610DC"/>
    <w:rsid w:val="00961490"/>
    <w:rsid w:val="009626B0"/>
    <w:rsid w:val="0096381A"/>
    <w:rsid w:val="00965E04"/>
    <w:rsid w:val="00966192"/>
    <w:rsid w:val="009668B6"/>
    <w:rsid w:val="009671D8"/>
    <w:rsid w:val="009674AD"/>
    <w:rsid w:val="00967EA5"/>
    <w:rsid w:val="00970CDC"/>
    <w:rsid w:val="00971D72"/>
    <w:rsid w:val="009720D3"/>
    <w:rsid w:val="00977010"/>
    <w:rsid w:val="00977D02"/>
    <w:rsid w:val="009809BB"/>
    <w:rsid w:val="00981F1E"/>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0E5E"/>
    <w:rsid w:val="009B1247"/>
    <w:rsid w:val="009B6029"/>
    <w:rsid w:val="009B6971"/>
    <w:rsid w:val="009B7768"/>
    <w:rsid w:val="009C27F1"/>
    <w:rsid w:val="009C3152"/>
    <w:rsid w:val="009C426B"/>
    <w:rsid w:val="009C4CFA"/>
    <w:rsid w:val="009C5070"/>
    <w:rsid w:val="009C658B"/>
    <w:rsid w:val="009D112C"/>
    <w:rsid w:val="009D2337"/>
    <w:rsid w:val="009D2C75"/>
    <w:rsid w:val="009D47FA"/>
    <w:rsid w:val="009D49C5"/>
    <w:rsid w:val="009D4C5B"/>
    <w:rsid w:val="009D50D2"/>
    <w:rsid w:val="009D6BCA"/>
    <w:rsid w:val="009E0F62"/>
    <w:rsid w:val="009E0FB3"/>
    <w:rsid w:val="009E4A58"/>
    <w:rsid w:val="009E5A2D"/>
    <w:rsid w:val="009E5AB2"/>
    <w:rsid w:val="009E6219"/>
    <w:rsid w:val="009E6917"/>
    <w:rsid w:val="009F03B3"/>
    <w:rsid w:val="009F4BEE"/>
    <w:rsid w:val="009F5C1F"/>
    <w:rsid w:val="009F7185"/>
    <w:rsid w:val="00A0096C"/>
    <w:rsid w:val="00A01757"/>
    <w:rsid w:val="00A018BA"/>
    <w:rsid w:val="00A028C0"/>
    <w:rsid w:val="00A02BAE"/>
    <w:rsid w:val="00A06A6B"/>
    <w:rsid w:val="00A07E47"/>
    <w:rsid w:val="00A129D0"/>
    <w:rsid w:val="00A12C33"/>
    <w:rsid w:val="00A138BA"/>
    <w:rsid w:val="00A14C8E"/>
    <w:rsid w:val="00A153D9"/>
    <w:rsid w:val="00A157C3"/>
    <w:rsid w:val="00A15D2E"/>
    <w:rsid w:val="00A15F09"/>
    <w:rsid w:val="00A169B6"/>
    <w:rsid w:val="00A22647"/>
    <w:rsid w:val="00A2271D"/>
    <w:rsid w:val="00A235EB"/>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B03"/>
    <w:rsid w:val="00A44E69"/>
    <w:rsid w:val="00A4661E"/>
    <w:rsid w:val="00A5508C"/>
    <w:rsid w:val="00A55BD6"/>
    <w:rsid w:val="00A55D50"/>
    <w:rsid w:val="00A56A34"/>
    <w:rsid w:val="00A57142"/>
    <w:rsid w:val="00A61570"/>
    <w:rsid w:val="00A648CD"/>
    <w:rsid w:val="00A6537A"/>
    <w:rsid w:val="00A67866"/>
    <w:rsid w:val="00A70B07"/>
    <w:rsid w:val="00A723F8"/>
    <w:rsid w:val="00A77CCB"/>
    <w:rsid w:val="00A8282F"/>
    <w:rsid w:val="00A83D8D"/>
    <w:rsid w:val="00A8408F"/>
    <w:rsid w:val="00A8446B"/>
    <w:rsid w:val="00A8473F"/>
    <w:rsid w:val="00A859AC"/>
    <w:rsid w:val="00A862D6"/>
    <w:rsid w:val="00A8715E"/>
    <w:rsid w:val="00A90C9D"/>
    <w:rsid w:val="00A924C3"/>
    <w:rsid w:val="00A9295B"/>
    <w:rsid w:val="00A93050"/>
    <w:rsid w:val="00A93B09"/>
    <w:rsid w:val="00A94247"/>
    <w:rsid w:val="00A94F07"/>
    <w:rsid w:val="00A952D7"/>
    <w:rsid w:val="00A963F7"/>
    <w:rsid w:val="00A96AD8"/>
    <w:rsid w:val="00AA052C"/>
    <w:rsid w:val="00AA1E45"/>
    <w:rsid w:val="00AA4286"/>
    <w:rsid w:val="00AA456B"/>
    <w:rsid w:val="00AA5587"/>
    <w:rsid w:val="00AA57F5"/>
    <w:rsid w:val="00AA649E"/>
    <w:rsid w:val="00AA672E"/>
    <w:rsid w:val="00AA6EC9"/>
    <w:rsid w:val="00AB41D5"/>
    <w:rsid w:val="00AB5D75"/>
    <w:rsid w:val="00AB6309"/>
    <w:rsid w:val="00AB6C5F"/>
    <w:rsid w:val="00AB7129"/>
    <w:rsid w:val="00AC27A6"/>
    <w:rsid w:val="00AC2DF9"/>
    <w:rsid w:val="00AC30F7"/>
    <w:rsid w:val="00AC3A5A"/>
    <w:rsid w:val="00AC4D95"/>
    <w:rsid w:val="00AC5DF4"/>
    <w:rsid w:val="00AC6682"/>
    <w:rsid w:val="00AD0AEF"/>
    <w:rsid w:val="00AD11B7"/>
    <w:rsid w:val="00AD1A94"/>
    <w:rsid w:val="00AD1C05"/>
    <w:rsid w:val="00AD31F6"/>
    <w:rsid w:val="00AD4126"/>
    <w:rsid w:val="00AD421C"/>
    <w:rsid w:val="00AD44FA"/>
    <w:rsid w:val="00AD5241"/>
    <w:rsid w:val="00AE070A"/>
    <w:rsid w:val="00AE101C"/>
    <w:rsid w:val="00AE37E5"/>
    <w:rsid w:val="00AE5EB4"/>
    <w:rsid w:val="00AF0C18"/>
    <w:rsid w:val="00AF47C5"/>
    <w:rsid w:val="00AF5398"/>
    <w:rsid w:val="00B049AF"/>
    <w:rsid w:val="00B07242"/>
    <w:rsid w:val="00B10534"/>
    <w:rsid w:val="00B113DB"/>
    <w:rsid w:val="00B11896"/>
    <w:rsid w:val="00B11D8A"/>
    <w:rsid w:val="00B12981"/>
    <w:rsid w:val="00B147DD"/>
    <w:rsid w:val="00B156FD"/>
    <w:rsid w:val="00B21F61"/>
    <w:rsid w:val="00B261F1"/>
    <w:rsid w:val="00B265BC"/>
    <w:rsid w:val="00B26FCE"/>
    <w:rsid w:val="00B31FB1"/>
    <w:rsid w:val="00B33952"/>
    <w:rsid w:val="00B33C5E"/>
    <w:rsid w:val="00B342F4"/>
    <w:rsid w:val="00B34369"/>
    <w:rsid w:val="00B34DC2"/>
    <w:rsid w:val="00B378E5"/>
    <w:rsid w:val="00B41B7A"/>
    <w:rsid w:val="00B4346D"/>
    <w:rsid w:val="00B440F4"/>
    <w:rsid w:val="00B447A5"/>
    <w:rsid w:val="00B4654C"/>
    <w:rsid w:val="00B47293"/>
    <w:rsid w:val="00B50089"/>
    <w:rsid w:val="00B50E50"/>
    <w:rsid w:val="00B52120"/>
    <w:rsid w:val="00B54ABC"/>
    <w:rsid w:val="00B54DDE"/>
    <w:rsid w:val="00B56FBE"/>
    <w:rsid w:val="00B60ACF"/>
    <w:rsid w:val="00B62B58"/>
    <w:rsid w:val="00B6411C"/>
    <w:rsid w:val="00B65149"/>
    <w:rsid w:val="00B657F2"/>
    <w:rsid w:val="00B66567"/>
    <w:rsid w:val="00B66F52"/>
    <w:rsid w:val="00B66FE5"/>
    <w:rsid w:val="00B72880"/>
    <w:rsid w:val="00B758BF"/>
    <w:rsid w:val="00B76C13"/>
    <w:rsid w:val="00B77EC8"/>
    <w:rsid w:val="00B827A6"/>
    <w:rsid w:val="00B831CE"/>
    <w:rsid w:val="00B86677"/>
    <w:rsid w:val="00B87131"/>
    <w:rsid w:val="00B9164C"/>
    <w:rsid w:val="00B939B1"/>
    <w:rsid w:val="00B94B6D"/>
    <w:rsid w:val="00B96D40"/>
    <w:rsid w:val="00B97386"/>
    <w:rsid w:val="00BA263B"/>
    <w:rsid w:val="00BA42B2"/>
    <w:rsid w:val="00BA58D4"/>
    <w:rsid w:val="00BA5B9E"/>
    <w:rsid w:val="00BA7C9A"/>
    <w:rsid w:val="00BB4636"/>
    <w:rsid w:val="00BB5F8F"/>
    <w:rsid w:val="00BB657A"/>
    <w:rsid w:val="00BC1A4E"/>
    <w:rsid w:val="00BC5DC7"/>
    <w:rsid w:val="00BC6B8B"/>
    <w:rsid w:val="00BC73D8"/>
    <w:rsid w:val="00BD52D7"/>
    <w:rsid w:val="00BD5AD2"/>
    <w:rsid w:val="00BE22F3"/>
    <w:rsid w:val="00BE5B52"/>
    <w:rsid w:val="00BE7387"/>
    <w:rsid w:val="00BE7B8D"/>
    <w:rsid w:val="00BF0993"/>
    <w:rsid w:val="00BF10A9"/>
    <w:rsid w:val="00BF1703"/>
    <w:rsid w:val="00BF217A"/>
    <w:rsid w:val="00BF231C"/>
    <w:rsid w:val="00BF51E5"/>
    <w:rsid w:val="00BF5CC9"/>
    <w:rsid w:val="00BF67FE"/>
    <w:rsid w:val="00BF74A6"/>
    <w:rsid w:val="00C013AD"/>
    <w:rsid w:val="00C02C98"/>
    <w:rsid w:val="00C03B65"/>
    <w:rsid w:val="00C04904"/>
    <w:rsid w:val="00C056B3"/>
    <w:rsid w:val="00C103E5"/>
    <w:rsid w:val="00C13319"/>
    <w:rsid w:val="00C13EE9"/>
    <w:rsid w:val="00C14DFB"/>
    <w:rsid w:val="00C2065E"/>
    <w:rsid w:val="00C21540"/>
    <w:rsid w:val="00C21906"/>
    <w:rsid w:val="00C21BFA"/>
    <w:rsid w:val="00C22148"/>
    <w:rsid w:val="00C23EB5"/>
    <w:rsid w:val="00C24C8D"/>
    <w:rsid w:val="00C25FE2"/>
    <w:rsid w:val="00C26B53"/>
    <w:rsid w:val="00C279B2"/>
    <w:rsid w:val="00C33E50"/>
    <w:rsid w:val="00C34C20"/>
    <w:rsid w:val="00C35A3E"/>
    <w:rsid w:val="00C42130"/>
    <w:rsid w:val="00C423A4"/>
    <w:rsid w:val="00C429AB"/>
    <w:rsid w:val="00C44BF5"/>
    <w:rsid w:val="00C46BA4"/>
    <w:rsid w:val="00C521D6"/>
    <w:rsid w:val="00C55232"/>
    <w:rsid w:val="00C553A4"/>
    <w:rsid w:val="00C55A06"/>
    <w:rsid w:val="00C55D03"/>
    <w:rsid w:val="00C57EB5"/>
    <w:rsid w:val="00C601BC"/>
    <w:rsid w:val="00C6329F"/>
    <w:rsid w:val="00C63340"/>
    <w:rsid w:val="00C643F9"/>
    <w:rsid w:val="00C64E95"/>
    <w:rsid w:val="00C71372"/>
    <w:rsid w:val="00C71433"/>
    <w:rsid w:val="00C72410"/>
    <w:rsid w:val="00C7287F"/>
    <w:rsid w:val="00C733E2"/>
    <w:rsid w:val="00C808E7"/>
    <w:rsid w:val="00C80CB8"/>
    <w:rsid w:val="00C819F8"/>
    <w:rsid w:val="00C8248C"/>
    <w:rsid w:val="00C84E33"/>
    <w:rsid w:val="00C86D6F"/>
    <w:rsid w:val="00C905FC"/>
    <w:rsid w:val="00C92D03"/>
    <w:rsid w:val="00C9319C"/>
    <w:rsid w:val="00C9435D"/>
    <w:rsid w:val="00C94DF2"/>
    <w:rsid w:val="00C96741"/>
    <w:rsid w:val="00CA02D5"/>
    <w:rsid w:val="00CA2D1B"/>
    <w:rsid w:val="00CA375D"/>
    <w:rsid w:val="00CA473A"/>
    <w:rsid w:val="00CA662A"/>
    <w:rsid w:val="00CA7AFD"/>
    <w:rsid w:val="00CA7C3C"/>
    <w:rsid w:val="00CB0189"/>
    <w:rsid w:val="00CB0BA2"/>
    <w:rsid w:val="00CB1A42"/>
    <w:rsid w:val="00CB1B0C"/>
    <w:rsid w:val="00CB2C0B"/>
    <w:rsid w:val="00CB3FE1"/>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5BE"/>
    <w:rsid w:val="00CD4A20"/>
    <w:rsid w:val="00CD50A1"/>
    <w:rsid w:val="00CD519E"/>
    <w:rsid w:val="00CD6277"/>
    <w:rsid w:val="00CE007C"/>
    <w:rsid w:val="00CE0C4F"/>
    <w:rsid w:val="00CE30EA"/>
    <w:rsid w:val="00CF044C"/>
    <w:rsid w:val="00CF048A"/>
    <w:rsid w:val="00CF155A"/>
    <w:rsid w:val="00CF2947"/>
    <w:rsid w:val="00CF31A3"/>
    <w:rsid w:val="00CF372C"/>
    <w:rsid w:val="00CF3818"/>
    <w:rsid w:val="00CF686F"/>
    <w:rsid w:val="00CF6E60"/>
    <w:rsid w:val="00CF72C4"/>
    <w:rsid w:val="00CF7BCA"/>
    <w:rsid w:val="00D000F2"/>
    <w:rsid w:val="00D008FD"/>
    <w:rsid w:val="00D0321C"/>
    <w:rsid w:val="00D035EC"/>
    <w:rsid w:val="00D06AB1"/>
    <w:rsid w:val="00D06EAE"/>
    <w:rsid w:val="00D072ED"/>
    <w:rsid w:val="00D07A16"/>
    <w:rsid w:val="00D1067E"/>
    <w:rsid w:val="00D10C41"/>
    <w:rsid w:val="00D10F50"/>
    <w:rsid w:val="00D11272"/>
    <w:rsid w:val="00D126F5"/>
    <w:rsid w:val="00D1489E"/>
    <w:rsid w:val="00D17C17"/>
    <w:rsid w:val="00D20737"/>
    <w:rsid w:val="00D21E81"/>
    <w:rsid w:val="00D223DE"/>
    <w:rsid w:val="00D23024"/>
    <w:rsid w:val="00D25E37"/>
    <w:rsid w:val="00D2661A"/>
    <w:rsid w:val="00D27582"/>
    <w:rsid w:val="00D27EC4"/>
    <w:rsid w:val="00D30309"/>
    <w:rsid w:val="00D320B5"/>
    <w:rsid w:val="00D32719"/>
    <w:rsid w:val="00D33333"/>
    <w:rsid w:val="00D33457"/>
    <w:rsid w:val="00D352A2"/>
    <w:rsid w:val="00D4162B"/>
    <w:rsid w:val="00D4514F"/>
    <w:rsid w:val="00D451E2"/>
    <w:rsid w:val="00D45E89"/>
    <w:rsid w:val="00D45E8D"/>
    <w:rsid w:val="00D466AE"/>
    <w:rsid w:val="00D4734F"/>
    <w:rsid w:val="00D51BF3"/>
    <w:rsid w:val="00D53296"/>
    <w:rsid w:val="00D60986"/>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7EE"/>
    <w:rsid w:val="00DA1E08"/>
    <w:rsid w:val="00DA24F8"/>
    <w:rsid w:val="00DA28E8"/>
    <w:rsid w:val="00DA38D3"/>
    <w:rsid w:val="00DA3932"/>
    <w:rsid w:val="00DA3AFC"/>
    <w:rsid w:val="00DA64F8"/>
    <w:rsid w:val="00DA6C15"/>
    <w:rsid w:val="00DB0258"/>
    <w:rsid w:val="00DB234C"/>
    <w:rsid w:val="00DB38EE"/>
    <w:rsid w:val="00DB498B"/>
    <w:rsid w:val="00DB66CA"/>
    <w:rsid w:val="00DB6BCA"/>
    <w:rsid w:val="00DB73F7"/>
    <w:rsid w:val="00DC0321"/>
    <w:rsid w:val="00DC3067"/>
    <w:rsid w:val="00DC370B"/>
    <w:rsid w:val="00DC37E2"/>
    <w:rsid w:val="00DC5B90"/>
    <w:rsid w:val="00DD00FF"/>
    <w:rsid w:val="00DD0619"/>
    <w:rsid w:val="00DD07FB"/>
    <w:rsid w:val="00DD25C6"/>
    <w:rsid w:val="00DD4FE5"/>
    <w:rsid w:val="00DD54B0"/>
    <w:rsid w:val="00DD57EE"/>
    <w:rsid w:val="00DD6BCC"/>
    <w:rsid w:val="00DD785C"/>
    <w:rsid w:val="00DE0A4B"/>
    <w:rsid w:val="00DE1EB4"/>
    <w:rsid w:val="00DE2410"/>
    <w:rsid w:val="00DE2939"/>
    <w:rsid w:val="00DE2ADF"/>
    <w:rsid w:val="00DE6E81"/>
    <w:rsid w:val="00DE703F"/>
    <w:rsid w:val="00DE7595"/>
    <w:rsid w:val="00DF1961"/>
    <w:rsid w:val="00DF2A38"/>
    <w:rsid w:val="00DF44DE"/>
    <w:rsid w:val="00DF5F11"/>
    <w:rsid w:val="00DF7F98"/>
    <w:rsid w:val="00E00B85"/>
    <w:rsid w:val="00E01138"/>
    <w:rsid w:val="00E02CA7"/>
    <w:rsid w:val="00E02DFB"/>
    <w:rsid w:val="00E030F9"/>
    <w:rsid w:val="00E0311A"/>
    <w:rsid w:val="00E03138"/>
    <w:rsid w:val="00E06404"/>
    <w:rsid w:val="00E077D2"/>
    <w:rsid w:val="00E11A85"/>
    <w:rsid w:val="00E12495"/>
    <w:rsid w:val="00E15CCD"/>
    <w:rsid w:val="00E160A6"/>
    <w:rsid w:val="00E202EF"/>
    <w:rsid w:val="00E210B5"/>
    <w:rsid w:val="00E23D99"/>
    <w:rsid w:val="00E2552F"/>
    <w:rsid w:val="00E30D1C"/>
    <w:rsid w:val="00E3137A"/>
    <w:rsid w:val="00E32CCF"/>
    <w:rsid w:val="00E34A98"/>
    <w:rsid w:val="00E35D1E"/>
    <w:rsid w:val="00E364F9"/>
    <w:rsid w:val="00E365FA"/>
    <w:rsid w:val="00E36789"/>
    <w:rsid w:val="00E44A83"/>
    <w:rsid w:val="00E46C82"/>
    <w:rsid w:val="00E502C1"/>
    <w:rsid w:val="00E502DD"/>
    <w:rsid w:val="00E50D3A"/>
    <w:rsid w:val="00E51387"/>
    <w:rsid w:val="00E51E68"/>
    <w:rsid w:val="00E52E86"/>
    <w:rsid w:val="00E52EFD"/>
    <w:rsid w:val="00E5408A"/>
    <w:rsid w:val="00E56800"/>
    <w:rsid w:val="00E60C63"/>
    <w:rsid w:val="00E62FF9"/>
    <w:rsid w:val="00E635D6"/>
    <w:rsid w:val="00E639BC"/>
    <w:rsid w:val="00E64A5F"/>
    <w:rsid w:val="00E64B69"/>
    <w:rsid w:val="00E664CC"/>
    <w:rsid w:val="00E70388"/>
    <w:rsid w:val="00E70F92"/>
    <w:rsid w:val="00E74C54"/>
    <w:rsid w:val="00E77A03"/>
    <w:rsid w:val="00E822E8"/>
    <w:rsid w:val="00E82554"/>
    <w:rsid w:val="00E82606"/>
    <w:rsid w:val="00E846C8"/>
    <w:rsid w:val="00E84957"/>
    <w:rsid w:val="00E84A55"/>
    <w:rsid w:val="00E85BFF"/>
    <w:rsid w:val="00E90371"/>
    <w:rsid w:val="00E90391"/>
    <w:rsid w:val="00E906C2"/>
    <w:rsid w:val="00E9311F"/>
    <w:rsid w:val="00E934D1"/>
    <w:rsid w:val="00E94AF0"/>
    <w:rsid w:val="00E95D13"/>
    <w:rsid w:val="00E95DD3"/>
    <w:rsid w:val="00E969D5"/>
    <w:rsid w:val="00EA06D4"/>
    <w:rsid w:val="00EA58D1"/>
    <w:rsid w:val="00EA61BC"/>
    <w:rsid w:val="00EA681A"/>
    <w:rsid w:val="00EA735B"/>
    <w:rsid w:val="00EB17DE"/>
    <w:rsid w:val="00EB1E69"/>
    <w:rsid w:val="00EB2086"/>
    <w:rsid w:val="00EB3FC0"/>
    <w:rsid w:val="00EB5EDF"/>
    <w:rsid w:val="00EB60FE"/>
    <w:rsid w:val="00EB74DB"/>
    <w:rsid w:val="00EC44E4"/>
    <w:rsid w:val="00EC5359"/>
    <w:rsid w:val="00EC562A"/>
    <w:rsid w:val="00ED067A"/>
    <w:rsid w:val="00ED2437"/>
    <w:rsid w:val="00ED2B50"/>
    <w:rsid w:val="00ED3899"/>
    <w:rsid w:val="00ED4D01"/>
    <w:rsid w:val="00EE0350"/>
    <w:rsid w:val="00EE0719"/>
    <w:rsid w:val="00EE0E80"/>
    <w:rsid w:val="00EE160B"/>
    <w:rsid w:val="00EE54A6"/>
    <w:rsid w:val="00EE613F"/>
    <w:rsid w:val="00EE7295"/>
    <w:rsid w:val="00EE7869"/>
    <w:rsid w:val="00EF0212"/>
    <w:rsid w:val="00EF054A"/>
    <w:rsid w:val="00EF26FA"/>
    <w:rsid w:val="00EF3235"/>
    <w:rsid w:val="00EF7E72"/>
    <w:rsid w:val="00F031FD"/>
    <w:rsid w:val="00F06D37"/>
    <w:rsid w:val="00F07736"/>
    <w:rsid w:val="00F07B9D"/>
    <w:rsid w:val="00F11586"/>
    <w:rsid w:val="00F1183B"/>
    <w:rsid w:val="00F11C9F"/>
    <w:rsid w:val="00F12263"/>
    <w:rsid w:val="00F1409D"/>
    <w:rsid w:val="00F14214"/>
    <w:rsid w:val="00F157A9"/>
    <w:rsid w:val="00F25BB6"/>
    <w:rsid w:val="00F26B7E"/>
    <w:rsid w:val="00F27A3B"/>
    <w:rsid w:val="00F30234"/>
    <w:rsid w:val="00F33817"/>
    <w:rsid w:val="00F420D5"/>
    <w:rsid w:val="00F451EA"/>
    <w:rsid w:val="00F4533E"/>
    <w:rsid w:val="00F45447"/>
    <w:rsid w:val="00F456C6"/>
    <w:rsid w:val="00F4577B"/>
    <w:rsid w:val="00F4604C"/>
    <w:rsid w:val="00F46496"/>
    <w:rsid w:val="00F474D0"/>
    <w:rsid w:val="00F50179"/>
    <w:rsid w:val="00F501DB"/>
    <w:rsid w:val="00F515EE"/>
    <w:rsid w:val="00F56511"/>
    <w:rsid w:val="00F6194E"/>
    <w:rsid w:val="00F623AC"/>
    <w:rsid w:val="00F6412A"/>
    <w:rsid w:val="00F648B7"/>
    <w:rsid w:val="00F65893"/>
    <w:rsid w:val="00F66791"/>
    <w:rsid w:val="00F66A4A"/>
    <w:rsid w:val="00F7027B"/>
    <w:rsid w:val="00F71DBB"/>
    <w:rsid w:val="00F71E22"/>
    <w:rsid w:val="00F72142"/>
    <w:rsid w:val="00F72AE7"/>
    <w:rsid w:val="00F75847"/>
    <w:rsid w:val="00F81141"/>
    <w:rsid w:val="00F833BA"/>
    <w:rsid w:val="00F84FD0"/>
    <w:rsid w:val="00F859A8"/>
    <w:rsid w:val="00F86D87"/>
    <w:rsid w:val="00F9108B"/>
    <w:rsid w:val="00F91349"/>
    <w:rsid w:val="00F93A8A"/>
    <w:rsid w:val="00F95248"/>
    <w:rsid w:val="00F956A9"/>
    <w:rsid w:val="00F963ED"/>
    <w:rsid w:val="00F9663A"/>
    <w:rsid w:val="00F966CF"/>
    <w:rsid w:val="00F96CAE"/>
    <w:rsid w:val="00F97C99"/>
    <w:rsid w:val="00FA0EE2"/>
    <w:rsid w:val="00FA4DAC"/>
    <w:rsid w:val="00FA662D"/>
    <w:rsid w:val="00FA73B1"/>
    <w:rsid w:val="00FB0CB9"/>
    <w:rsid w:val="00FB231D"/>
    <w:rsid w:val="00FB45F1"/>
    <w:rsid w:val="00FB4A72"/>
    <w:rsid w:val="00FB54E8"/>
    <w:rsid w:val="00FB7054"/>
    <w:rsid w:val="00FC0179"/>
    <w:rsid w:val="00FC17B7"/>
    <w:rsid w:val="00FC2CB7"/>
    <w:rsid w:val="00FC4090"/>
    <w:rsid w:val="00FC55B4"/>
    <w:rsid w:val="00FC7ED1"/>
    <w:rsid w:val="00FD00E6"/>
    <w:rsid w:val="00FD09A1"/>
    <w:rsid w:val="00FD2A7C"/>
    <w:rsid w:val="00FD59EB"/>
    <w:rsid w:val="00FD7299"/>
    <w:rsid w:val="00FD7606"/>
    <w:rsid w:val="00FE1FBE"/>
    <w:rsid w:val="00FE3901"/>
    <w:rsid w:val="00FE39D3"/>
    <w:rsid w:val="00FE4BCE"/>
    <w:rsid w:val="00FE51C7"/>
    <w:rsid w:val="00FE54AE"/>
    <w:rsid w:val="00FE576A"/>
    <w:rsid w:val="00FE7E79"/>
    <w:rsid w:val="00FF1CCB"/>
    <w:rsid w:val="00FF39A2"/>
    <w:rsid w:val="00FF3E7D"/>
    <w:rsid w:val="00FF5B99"/>
    <w:rsid w:val="00FF730C"/>
    <w:rsid w:val="00FF73F4"/>
    <w:rsid w:val="00FF7CE4"/>
    <w:rsid w:val="00FF7E39"/>
    <w:rsid w:val="014940A9"/>
    <w:rsid w:val="017815E6"/>
    <w:rsid w:val="01C16D6E"/>
    <w:rsid w:val="02697479"/>
    <w:rsid w:val="02CD2C9B"/>
    <w:rsid w:val="031A67DB"/>
    <w:rsid w:val="03806F86"/>
    <w:rsid w:val="03D270B5"/>
    <w:rsid w:val="046F2851"/>
    <w:rsid w:val="04893ACA"/>
    <w:rsid w:val="04C2712A"/>
    <w:rsid w:val="05E360D9"/>
    <w:rsid w:val="06CC603E"/>
    <w:rsid w:val="07061550"/>
    <w:rsid w:val="08295055"/>
    <w:rsid w:val="0873206B"/>
    <w:rsid w:val="08D544C6"/>
    <w:rsid w:val="09154A99"/>
    <w:rsid w:val="09296B5B"/>
    <w:rsid w:val="09381902"/>
    <w:rsid w:val="09A13015"/>
    <w:rsid w:val="0A261F09"/>
    <w:rsid w:val="0A615EE2"/>
    <w:rsid w:val="0ACA1294"/>
    <w:rsid w:val="0C09094D"/>
    <w:rsid w:val="0D4B5661"/>
    <w:rsid w:val="0FB13B6D"/>
    <w:rsid w:val="0FBC30F4"/>
    <w:rsid w:val="0FE812B5"/>
    <w:rsid w:val="103E1D5B"/>
    <w:rsid w:val="109D16D1"/>
    <w:rsid w:val="1182036D"/>
    <w:rsid w:val="1182211B"/>
    <w:rsid w:val="12463C8B"/>
    <w:rsid w:val="12C33AC5"/>
    <w:rsid w:val="132200C7"/>
    <w:rsid w:val="135F0966"/>
    <w:rsid w:val="13783950"/>
    <w:rsid w:val="13901C58"/>
    <w:rsid w:val="139C2FCC"/>
    <w:rsid w:val="13D34EB0"/>
    <w:rsid w:val="14824A63"/>
    <w:rsid w:val="15601DCD"/>
    <w:rsid w:val="15C50828"/>
    <w:rsid w:val="16414AC9"/>
    <w:rsid w:val="16BB694C"/>
    <w:rsid w:val="173E0892"/>
    <w:rsid w:val="17B9260F"/>
    <w:rsid w:val="18404032"/>
    <w:rsid w:val="187D188E"/>
    <w:rsid w:val="19B144CC"/>
    <w:rsid w:val="1A0F29BA"/>
    <w:rsid w:val="1B632FBD"/>
    <w:rsid w:val="1D1D0FA8"/>
    <w:rsid w:val="1DCF03F4"/>
    <w:rsid w:val="1E3B1E2D"/>
    <w:rsid w:val="1FE1428B"/>
    <w:rsid w:val="20942964"/>
    <w:rsid w:val="21CB366A"/>
    <w:rsid w:val="22834F2F"/>
    <w:rsid w:val="231921B3"/>
    <w:rsid w:val="25054896"/>
    <w:rsid w:val="253B0B07"/>
    <w:rsid w:val="25830579"/>
    <w:rsid w:val="258D2929"/>
    <w:rsid w:val="25965D3D"/>
    <w:rsid w:val="2660064E"/>
    <w:rsid w:val="27FF5E1C"/>
    <w:rsid w:val="285F2D5E"/>
    <w:rsid w:val="286B1A5C"/>
    <w:rsid w:val="2879797C"/>
    <w:rsid w:val="28C01D28"/>
    <w:rsid w:val="298A635B"/>
    <w:rsid w:val="29A1636A"/>
    <w:rsid w:val="2C5F757A"/>
    <w:rsid w:val="2C697D08"/>
    <w:rsid w:val="2C7843EE"/>
    <w:rsid w:val="2C7C5C8D"/>
    <w:rsid w:val="2CCB6B0E"/>
    <w:rsid w:val="2DEF06E0"/>
    <w:rsid w:val="2F397E65"/>
    <w:rsid w:val="2FE442C0"/>
    <w:rsid w:val="31097D0B"/>
    <w:rsid w:val="313A7EC4"/>
    <w:rsid w:val="31E267E6"/>
    <w:rsid w:val="330A6264"/>
    <w:rsid w:val="34D643A8"/>
    <w:rsid w:val="353D7F83"/>
    <w:rsid w:val="35B845ED"/>
    <w:rsid w:val="372F04E9"/>
    <w:rsid w:val="379D2F5B"/>
    <w:rsid w:val="37DC7264"/>
    <w:rsid w:val="38CA4224"/>
    <w:rsid w:val="397C33F1"/>
    <w:rsid w:val="39953A8F"/>
    <w:rsid w:val="39D1036D"/>
    <w:rsid w:val="3A8A77C7"/>
    <w:rsid w:val="3AAD7959"/>
    <w:rsid w:val="3AD0140D"/>
    <w:rsid w:val="3B88345B"/>
    <w:rsid w:val="3BDE7E39"/>
    <w:rsid w:val="3C041233"/>
    <w:rsid w:val="3C240331"/>
    <w:rsid w:val="3C355E58"/>
    <w:rsid w:val="3D540560"/>
    <w:rsid w:val="3DC448E2"/>
    <w:rsid w:val="3E402FCC"/>
    <w:rsid w:val="3F6C7DE3"/>
    <w:rsid w:val="3F7D4F2E"/>
    <w:rsid w:val="3F8007EC"/>
    <w:rsid w:val="3F8C3FE1"/>
    <w:rsid w:val="3FDD6F27"/>
    <w:rsid w:val="402836B0"/>
    <w:rsid w:val="413B7A6D"/>
    <w:rsid w:val="41AB1B94"/>
    <w:rsid w:val="41F67955"/>
    <w:rsid w:val="443469F5"/>
    <w:rsid w:val="451C7473"/>
    <w:rsid w:val="46826C09"/>
    <w:rsid w:val="46933EA7"/>
    <w:rsid w:val="46F118FC"/>
    <w:rsid w:val="47BA5463"/>
    <w:rsid w:val="47C63E08"/>
    <w:rsid w:val="4A7465C4"/>
    <w:rsid w:val="4AA45F01"/>
    <w:rsid w:val="4B477C90"/>
    <w:rsid w:val="4B9F73C8"/>
    <w:rsid w:val="4C473F96"/>
    <w:rsid w:val="4C714C8A"/>
    <w:rsid w:val="4D330192"/>
    <w:rsid w:val="4E1C7EB6"/>
    <w:rsid w:val="4E2F2DF8"/>
    <w:rsid w:val="4EAD13BA"/>
    <w:rsid w:val="504243FE"/>
    <w:rsid w:val="50F73284"/>
    <w:rsid w:val="51384450"/>
    <w:rsid w:val="51987CEC"/>
    <w:rsid w:val="52004BA2"/>
    <w:rsid w:val="522E717A"/>
    <w:rsid w:val="523C29F9"/>
    <w:rsid w:val="52DF3B64"/>
    <w:rsid w:val="532319B6"/>
    <w:rsid w:val="538057B3"/>
    <w:rsid w:val="54D85D17"/>
    <w:rsid w:val="54F46D90"/>
    <w:rsid w:val="552C5BF2"/>
    <w:rsid w:val="553C3366"/>
    <w:rsid w:val="55A41C2D"/>
    <w:rsid w:val="572F19CA"/>
    <w:rsid w:val="57CC0FC7"/>
    <w:rsid w:val="58F52598"/>
    <w:rsid w:val="594A55D4"/>
    <w:rsid w:val="59C83A10"/>
    <w:rsid w:val="59F341F4"/>
    <w:rsid w:val="5AB32454"/>
    <w:rsid w:val="5B751975"/>
    <w:rsid w:val="5CA07747"/>
    <w:rsid w:val="5CDD1FF5"/>
    <w:rsid w:val="5CFE0F55"/>
    <w:rsid w:val="5DDD390F"/>
    <w:rsid w:val="5E8C14B0"/>
    <w:rsid w:val="603D6F06"/>
    <w:rsid w:val="604F46D7"/>
    <w:rsid w:val="609127A3"/>
    <w:rsid w:val="611F660B"/>
    <w:rsid w:val="617150E9"/>
    <w:rsid w:val="621E68C3"/>
    <w:rsid w:val="625E3163"/>
    <w:rsid w:val="63051831"/>
    <w:rsid w:val="645F0A48"/>
    <w:rsid w:val="64CC2881"/>
    <w:rsid w:val="68133177"/>
    <w:rsid w:val="69721DBE"/>
    <w:rsid w:val="69CB37D4"/>
    <w:rsid w:val="69D03604"/>
    <w:rsid w:val="6B35052E"/>
    <w:rsid w:val="6B76151E"/>
    <w:rsid w:val="6BC56001"/>
    <w:rsid w:val="6C377D3B"/>
    <w:rsid w:val="6C4A61B1"/>
    <w:rsid w:val="6C705F6D"/>
    <w:rsid w:val="6C92305C"/>
    <w:rsid w:val="6CBB719C"/>
    <w:rsid w:val="6CC62031"/>
    <w:rsid w:val="6CCE28A2"/>
    <w:rsid w:val="6CF3094C"/>
    <w:rsid w:val="6D5E2269"/>
    <w:rsid w:val="6DEF2A6B"/>
    <w:rsid w:val="6E930D4C"/>
    <w:rsid w:val="6EAD34A8"/>
    <w:rsid w:val="6EFC1D3A"/>
    <w:rsid w:val="6F993A2D"/>
    <w:rsid w:val="6FF90D43"/>
    <w:rsid w:val="70A67126"/>
    <w:rsid w:val="718C22A0"/>
    <w:rsid w:val="72AA7CFF"/>
    <w:rsid w:val="741F7660"/>
    <w:rsid w:val="743401C8"/>
    <w:rsid w:val="743B1556"/>
    <w:rsid w:val="747D15AF"/>
    <w:rsid w:val="74B62489"/>
    <w:rsid w:val="74C55474"/>
    <w:rsid w:val="75250343"/>
    <w:rsid w:val="753179E2"/>
    <w:rsid w:val="75A650F5"/>
    <w:rsid w:val="75BA200F"/>
    <w:rsid w:val="76320737"/>
    <w:rsid w:val="769B452E"/>
    <w:rsid w:val="78FD502C"/>
    <w:rsid w:val="797E5812"/>
    <w:rsid w:val="79A14858"/>
    <w:rsid w:val="7A0016B7"/>
    <w:rsid w:val="7B6A44CF"/>
    <w:rsid w:val="7BE2675B"/>
    <w:rsid w:val="7C224DAA"/>
    <w:rsid w:val="7C240B22"/>
    <w:rsid w:val="7DF80F37"/>
    <w:rsid w:val="7E374B3D"/>
    <w:rsid w:val="7E9462D1"/>
    <w:rsid w:val="7FA77AA0"/>
    <w:rsid w:val="7FA9446A"/>
    <w:rsid w:val="7FE44850"/>
    <w:rsid w:val="7FF62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0" w:semiHidden="0" w:name="toc 8"/>
    <w:lsdException w:qFormat="1" w:uiPriority="0" w:semiHidden="0" w:name="toc 9"/>
    <w:lsdException w:qFormat="1" w:unhideWhenUsed="0" w:uiPriority="0" w:semiHidden="0" w:name="Normal Indent"/>
    <w:lsdException w:qFormat="1" w:unhideWhenUsed="0"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5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0"/>
    <w:qFormat/>
    <w:uiPriority w:val="0"/>
    <w:pPr>
      <w:keepNext/>
      <w:keepLines/>
      <w:spacing w:before="260" w:after="260" w:line="416" w:lineRule="auto"/>
      <w:outlineLvl w:val="2"/>
    </w:pPr>
    <w:rPr>
      <w:b/>
      <w:bCs/>
      <w:sz w:val="32"/>
      <w:szCs w:val="32"/>
    </w:rPr>
  </w:style>
  <w:style w:type="paragraph" w:styleId="5">
    <w:name w:val="heading 4"/>
    <w:basedOn w:val="1"/>
    <w:next w:val="1"/>
    <w:link w:val="6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6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6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6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66"/>
    <w:qFormat/>
    <w:uiPriority w:val="0"/>
    <w:pPr>
      <w:keepNext/>
      <w:keepLines/>
      <w:adjustRightInd/>
      <w:spacing w:before="240" w:after="64" w:line="320" w:lineRule="auto"/>
      <w:outlineLvl w:val="8"/>
    </w:pPr>
    <w:rPr>
      <w:rFonts w:ascii="Arial" w:hAnsi="Arial" w:eastAsia="黑体"/>
    </w:rPr>
  </w:style>
  <w:style w:type="character" w:default="1" w:styleId="47">
    <w:name w:val="Default Paragraph Font"/>
    <w:unhideWhenUsed/>
    <w:uiPriority w:val="1"/>
  </w:style>
  <w:style w:type="table" w:default="1" w:styleId="56">
    <w:name w:val="Normal Table"/>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303"/>
    <w:unhideWhenUsed/>
    <w:qFormat/>
    <w:uiPriority w:val="99"/>
    <w:pPr>
      <w:adjustRightInd/>
      <w:spacing w:line="360" w:lineRule="exact"/>
    </w:pPr>
    <w:rPr>
      <w:b/>
      <w:bCs/>
      <w:szCs w:val="24"/>
    </w:rPr>
  </w:style>
  <w:style w:type="paragraph" w:styleId="12">
    <w:name w:val="annotation text"/>
    <w:basedOn w:val="1"/>
    <w:link w:val="301"/>
    <w:unhideWhenUsed/>
    <w:qFormat/>
    <w:uiPriority w:val="99"/>
    <w:pPr>
      <w:jc w:val="left"/>
    </w:pPr>
    <w:rPr>
      <w:rFonts w:cs="Arial"/>
    </w:rPr>
  </w:style>
  <w:style w:type="paragraph" w:styleId="13">
    <w:name w:val="toc 7"/>
    <w:basedOn w:val="1"/>
    <w:next w:val="1"/>
    <w:unhideWhenUsed/>
    <w:qFormat/>
    <w:uiPriority w:val="39"/>
    <w:pPr>
      <w:ind w:left="2520" w:leftChars="1200"/>
    </w:pPr>
  </w:style>
  <w:style w:type="paragraph" w:styleId="14">
    <w:name w:val="index 8"/>
    <w:basedOn w:val="1"/>
    <w:next w:val="1"/>
    <w:qFormat/>
    <w:uiPriority w:val="99"/>
    <w:pPr>
      <w:adjustRightInd/>
      <w:spacing w:line="360" w:lineRule="exact"/>
      <w:ind w:left="1680" w:hanging="210"/>
      <w:jc w:val="left"/>
    </w:pPr>
    <w:rPr>
      <w:sz w:val="20"/>
      <w:szCs w:val="20"/>
    </w:rPr>
  </w:style>
  <w:style w:type="paragraph" w:styleId="15">
    <w:name w:val="Normal Indent"/>
    <w:basedOn w:val="1"/>
    <w:qFormat/>
    <w:uiPriority w:val="0"/>
    <w:pPr>
      <w:ind w:firstLine="420"/>
    </w:pPr>
  </w:style>
  <w:style w:type="paragraph" w:styleId="16">
    <w:name w:val="caption"/>
    <w:basedOn w:val="1"/>
    <w:next w:val="1"/>
    <w:qFormat/>
    <w:uiPriority w:val="99"/>
    <w:pPr>
      <w:adjustRightInd/>
      <w:spacing w:before="152" w:after="160" w:line="360" w:lineRule="exact"/>
    </w:pPr>
    <w:rPr>
      <w:rFonts w:ascii="Arial" w:hAnsi="Arial" w:eastAsia="黑体" w:cs="Arial"/>
      <w:sz w:val="20"/>
      <w:szCs w:val="20"/>
    </w:rPr>
  </w:style>
  <w:style w:type="paragraph" w:styleId="17">
    <w:name w:val="index 5"/>
    <w:basedOn w:val="1"/>
    <w:next w:val="1"/>
    <w:qFormat/>
    <w:uiPriority w:val="99"/>
    <w:pPr>
      <w:adjustRightInd/>
      <w:spacing w:line="360" w:lineRule="exact"/>
      <w:ind w:left="1050" w:hanging="210"/>
      <w:jc w:val="left"/>
    </w:pPr>
    <w:rPr>
      <w:sz w:val="20"/>
      <w:szCs w:val="20"/>
    </w:rPr>
  </w:style>
  <w:style w:type="paragraph" w:styleId="18">
    <w:name w:val="Document Map"/>
    <w:basedOn w:val="1"/>
    <w:link w:val="326"/>
    <w:semiHidden/>
    <w:qFormat/>
    <w:uiPriority w:val="99"/>
    <w:pPr>
      <w:shd w:val="clear" w:color="auto" w:fill="000080"/>
      <w:adjustRightInd/>
      <w:spacing w:line="360" w:lineRule="exact"/>
    </w:pPr>
    <w:rPr>
      <w:rFonts w:cs="Arial"/>
      <w:szCs w:val="24"/>
    </w:rPr>
  </w:style>
  <w:style w:type="paragraph" w:styleId="19">
    <w:name w:val="index 6"/>
    <w:basedOn w:val="1"/>
    <w:next w:val="1"/>
    <w:qFormat/>
    <w:uiPriority w:val="99"/>
    <w:pPr>
      <w:adjustRightInd/>
      <w:spacing w:line="360" w:lineRule="exact"/>
      <w:ind w:left="1260" w:hanging="210"/>
      <w:jc w:val="left"/>
    </w:pPr>
    <w:rPr>
      <w:sz w:val="20"/>
      <w:szCs w:val="20"/>
    </w:rPr>
  </w:style>
  <w:style w:type="paragraph" w:styleId="20">
    <w:name w:val="Body Text"/>
    <w:basedOn w:val="1"/>
    <w:link w:val="110"/>
    <w:qFormat/>
    <w:uiPriority w:val="99"/>
    <w:pPr>
      <w:spacing w:after="120"/>
    </w:pPr>
  </w:style>
  <w:style w:type="paragraph" w:styleId="21">
    <w:name w:val="Body Text Indent"/>
    <w:basedOn w:val="1"/>
    <w:link w:val="300"/>
    <w:unhideWhenUsed/>
    <w:qFormat/>
    <w:uiPriority w:val="99"/>
    <w:pPr>
      <w:adjustRightInd/>
      <w:spacing w:line="320" w:lineRule="atLeast"/>
      <w:ind w:firstLine="210"/>
    </w:pPr>
    <w:rPr>
      <w:rFonts w:cs="Arial"/>
      <w:szCs w:val="20"/>
    </w:rPr>
  </w:style>
  <w:style w:type="paragraph" w:styleId="22">
    <w:name w:val="index 4"/>
    <w:basedOn w:val="1"/>
    <w:next w:val="1"/>
    <w:qFormat/>
    <w:uiPriority w:val="99"/>
    <w:pPr>
      <w:adjustRightInd/>
      <w:spacing w:line="360" w:lineRule="exact"/>
      <w:ind w:left="840" w:hanging="210"/>
      <w:jc w:val="left"/>
    </w:pPr>
    <w:rPr>
      <w:sz w:val="20"/>
      <w:szCs w:val="20"/>
    </w:rPr>
  </w:style>
  <w:style w:type="paragraph" w:styleId="23">
    <w:name w:val="toc 5"/>
    <w:basedOn w:val="1"/>
    <w:next w:val="1"/>
    <w:unhideWhenUsed/>
    <w:qFormat/>
    <w:uiPriority w:val="39"/>
    <w:pPr>
      <w:ind w:left="1680" w:leftChars="800"/>
    </w:pPr>
  </w:style>
  <w:style w:type="paragraph" w:styleId="24">
    <w:name w:val="toc 3"/>
    <w:basedOn w:val="1"/>
    <w:next w:val="1"/>
    <w:unhideWhenUsed/>
    <w:qFormat/>
    <w:uiPriority w:val="39"/>
    <w:pPr>
      <w:ind w:left="840" w:leftChars="400"/>
    </w:pPr>
  </w:style>
  <w:style w:type="paragraph" w:styleId="25">
    <w:name w:val="toc 8"/>
    <w:basedOn w:val="1"/>
    <w:next w:val="1"/>
    <w:unhideWhenUsed/>
    <w:qFormat/>
    <w:uiPriority w:val="0"/>
    <w:pPr>
      <w:ind w:left="2940" w:leftChars="1400"/>
    </w:pPr>
  </w:style>
  <w:style w:type="paragraph" w:styleId="26">
    <w:name w:val="index 3"/>
    <w:basedOn w:val="1"/>
    <w:next w:val="1"/>
    <w:qFormat/>
    <w:uiPriority w:val="99"/>
    <w:pPr>
      <w:adjustRightInd/>
      <w:spacing w:line="360" w:lineRule="exact"/>
      <w:ind w:left="630" w:hanging="210"/>
      <w:jc w:val="left"/>
    </w:pPr>
    <w:rPr>
      <w:sz w:val="20"/>
      <w:szCs w:val="20"/>
    </w:rPr>
  </w:style>
  <w:style w:type="paragraph" w:styleId="27">
    <w:name w:val="Date"/>
    <w:basedOn w:val="1"/>
    <w:next w:val="1"/>
    <w:link w:val="317"/>
    <w:semiHidden/>
    <w:qFormat/>
    <w:uiPriority w:val="0"/>
    <w:pPr>
      <w:adjustRightInd/>
      <w:ind w:left="100" w:leftChars="2500"/>
    </w:pPr>
    <w:rPr>
      <w:rFonts w:cs="Arial"/>
      <w:szCs w:val="20"/>
    </w:rPr>
  </w:style>
  <w:style w:type="paragraph" w:styleId="28">
    <w:name w:val="endnote text"/>
    <w:basedOn w:val="1"/>
    <w:link w:val="299"/>
    <w:semiHidden/>
    <w:qFormat/>
    <w:uiPriority w:val="99"/>
    <w:pPr>
      <w:adjustRightInd/>
      <w:snapToGrid w:val="0"/>
      <w:spacing w:line="360" w:lineRule="exact"/>
      <w:jc w:val="left"/>
    </w:pPr>
    <w:rPr>
      <w:rFonts w:cs="Arial"/>
      <w:szCs w:val="24"/>
    </w:rPr>
  </w:style>
  <w:style w:type="paragraph" w:styleId="29">
    <w:name w:val="Balloon Text"/>
    <w:basedOn w:val="1"/>
    <w:link w:val="69"/>
    <w:unhideWhenUsed/>
    <w:qFormat/>
    <w:uiPriority w:val="99"/>
    <w:rPr>
      <w:sz w:val="18"/>
      <w:szCs w:val="18"/>
    </w:rPr>
  </w:style>
  <w:style w:type="paragraph" w:styleId="30">
    <w:name w:val="footer"/>
    <w:basedOn w:val="1"/>
    <w:link w:val="68"/>
    <w:qFormat/>
    <w:uiPriority w:val="99"/>
    <w:pPr>
      <w:tabs>
        <w:tab w:val="center" w:pos="4153"/>
        <w:tab w:val="right" w:pos="8306"/>
      </w:tabs>
      <w:adjustRightInd/>
      <w:snapToGrid w:val="0"/>
      <w:spacing w:line="240" w:lineRule="auto"/>
      <w:jc w:val="right"/>
    </w:pPr>
    <w:rPr>
      <w:rFonts w:ascii="宋体"/>
      <w:sz w:val="18"/>
      <w:szCs w:val="18"/>
    </w:rPr>
  </w:style>
  <w:style w:type="paragraph" w:styleId="31">
    <w:name w:val="Body Text First Indent 2"/>
    <w:basedOn w:val="21"/>
    <w:link w:val="298"/>
    <w:unhideWhenUsed/>
    <w:qFormat/>
    <w:uiPriority w:val="0"/>
    <w:pPr>
      <w:adjustRightInd w:val="0"/>
      <w:spacing w:after="120" w:line="400" w:lineRule="exact"/>
      <w:ind w:left="420" w:leftChars="200" w:firstLine="420" w:firstLineChars="200"/>
    </w:pPr>
    <w:rPr>
      <w:szCs w:val="24"/>
    </w:rPr>
  </w:style>
  <w:style w:type="paragraph" w:styleId="32">
    <w:name w:val="header"/>
    <w:basedOn w:val="1"/>
    <w:link w:val="67"/>
    <w:qFormat/>
    <w:uiPriority w:val="99"/>
    <w:pPr>
      <w:tabs>
        <w:tab w:val="center" w:pos="4153"/>
        <w:tab w:val="right" w:pos="8306"/>
      </w:tabs>
      <w:adjustRightInd/>
      <w:snapToGrid w:val="0"/>
      <w:jc w:val="center"/>
    </w:pPr>
    <w:rPr>
      <w:sz w:val="18"/>
      <w:szCs w:val="18"/>
    </w:rPr>
  </w:style>
  <w:style w:type="paragraph" w:styleId="33">
    <w:name w:val="toc 1"/>
    <w:basedOn w:val="1"/>
    <w:next w:val="1"/>
    <w:unhideWhenUsed/>
    <w:qFormat/>
    <w:uiPriority w:val="39"/>
  </w:style>
  <w:style w:type="paragraph" w:styleId="34">
    <w:name w:val="toc 4"/>
    <w:basedOn w:val="1"/>
    <w:next w:val="1"/>
    <w:unhideWhenUsed/>
    <w:qFormat/>
    <w:uiPriority w:val="39"/>
    <w:pPr>
      <w:ind w:left="1260" w:leftChars="600"/>
    </w:pPr>
  </w:style>
  <w:style w:type="paragraph" w:styleId="35">
    <w:name w:val="index heading"/>
    <w:basedOn w:val="1"/>
    <w:next w:val="36"/>
    <w:qFormat/>
    <w:uiPriority w:val="99"/>
    <w:pPr>
      <w:adjustRightInd/>
      <w:spacing w:before="120" w:after="120" w:line="360" w:lineRule="exact"/>
      <w:jc w:val="center"/>
    </w:pPr>
    <w:rPr>
      <w:b/>
      <w:bCs/>
      <w:iCs/>
      <w:szCs w:val="20"/>
    </w:rPr>
  </w:style>
  <w:style w:type="paragraph" w:styleId="36">
    <w:name w:val="index 1"/>
    <w:basedOn w:val="1"/>
    <w:next w:val="1"/>
    <w:unhideWhenUsed/>
    <w:qFormat/>
    <w:uiPriority w:val="99"/>
  </w:style>
  <w:style w:type="paragraph" w:styleId="37">
    <w:name w:val="footnote text"/>
    <w:basedOn w:val="1"/>
    <w:next w:val="1"/>
    <w:link w:val="123"/>
    <w:qFormat/>
    <w:uiPriority w:val="99"/>
    <w:pPr>
      <w:adjustRightInd/>
      <w:snapToGrid w:val="0"/>
      <w:spacing w:line="300" w:lineRule="exact"/>
      <w:ind w:left="400" w:leftChars="200" w:hanging="200" w:hangingChars="200"/>
      <w:jc w:val="left"/>
    </w:pPr>
    <w:rPr>
      <w:rFonts w:ascii="宋体"/>
      <w:sz w:val="18"/>
      <w:szCs w:val="18"/>
    </w:rPr>
  </w:style>
  <w:style w:type="paragraph" w:styleId="38">
    <w:name w:val="toc 6"/>
    <w:basedOn w:val="1"/>
    <w:next w:val="1"/>
    <w:unhideWhenUsed/>
    <w:qFormat/>
    <w:uiPriority w:val="39"/>
    <w:pPr>
      <w:ind w:left="2100" w:leftChars="1000"/>
    </w:pPr>
  </w:style>
  <w:style w:type="paragraph" w:styleId="39">
    <w:name w:val="index 7"/>
    <w:basedOn w:val="1"/>
    <w:next w:val="1"/>
    <w:qFormat/>
    <w:uiPriority w:val="99"/>
    <w:pPr>
      <w:adjustRightInd/>
      <w:spacing w:line="360" w:lineRule="exact"/>
      <w:ind w:left="1470" w:hanging="210"/>
      <w:jc w:val="left"/>
    </w:pPr>
    <w:rPr>
      <w:sz w:val="20"/>
      <w:szCs w:val="20"/>
    </w:rPr>
  </w:style>
  <w:style w:type="paragraph" w:styleId="40">
    <w:name w:val="index 9"/>
    <w:basedOn w:val="1"/>
    <w:next w:val="1"/>
    <w:qFormat/>
    <w:uiPriority w:val="99"/>
    <w:pPr>
      <w:adjustRightInd/>
      <w:spacing w:line="360" w:lineRule="exact"/>
      <w:ind w:left="1890" w:hanging="210"/>
      <w:jc w:val="left"/>
    </w:pPr>
    <w:rPr>
      <w:sz w:val="20"/>
      <w:szCs w:val="20"/>
    </w:rPr>
  </w:style>
  <w:style w:type="paragraph" w:styleId="41">
    <w:name w:val="table of figures"/>
    <w:basedOn w:val="1"/>
    <w:next w:val="1"/>
    <w:semiHidden/>
    <w:qFormat/>
    <w:uiPriority w:val="0"/>
    <w:pPr>
      <w:adjustRightInd/>
      <w:spacing w:line="240" w:lineRule="auto"/>
      <w:jc w:val="left"/>
    </w:pPr>
    <w:rPr>
      <w:szCs w:val="24"/>
    </w:rPr>
  </w:style>
  <w:style w:type="paragraph" w:styleId="42">
    <w:name w:val="toc 2"/>
    <w:basedOn w:val="1"/>
    <w:next w:val="1"/>
    <w:unhideWhenUsed/>
    <w:qFormat/>
    <w:uiPriority w:val="39"/>
    <w:pPr>
      <w:ind w:left="420" w:leftChars="200"/>
    </w:pPr>
  </w:style>
  <w:style w:type="paragraph" w:styleId="43">
    <w:name w:val="toc 9"/>
    <w:basedOn w:val="1"/>
    <w:next w:val="1"/>
    <w:unhideWhenUsed/>
    <w:qFormat/>
    <w:uiPriority w:val="0"/>
    <w:pPr>
      <w:ind w:left="3360" w:leftChars="1600"/>
    </w:pPr>
  </w:style>
  <w:style w:type="paragraph" w:styleId="44">
    <w:name w:val="Normal (Web)"/>
    <w:basedOn w:val="1"/>
    <w:unhideWhenUsed/>
    <w:qFormat/>
    <w:uiPriority w:val="99"/>
    <w:rPr>
      <w:sz w:val="24"/>
    </w:rPr>
  </w:style>
  <w:style w:type="paragraph" w:styleId="45">
    <w:name w:val="index 2"/>
    <w:basedOn w:val="1"/>
    <w:next w:val="1"/>
    <w:qFormat/>
    <w:uiPriority w:val="99"/>
    <w:pPr>
      <w:adjustRightInd/>
      <w:spacing w:line="360" w:lineRule="exact"/>
      <w:ind w:left="420" w:hanging="210"/>
      <w:jc w:val="left"/>
    </w:pPr>
    <w:rPr>
      <w:sz w:val="20"/>
      <w:szCs w:val="20"/>
    </w:rPr>
  </w:style>
  <w:style w:type="paragraph" w:styleId="46">
    <w:name w:val="Title"/>
    <w:basedOn w:val="1"/>
    <w:link w:val="72"/>
    <w:qFormat/>
    <w:uiPriority w:val="0"/>
    <w:pPr>
      <w:spacing w:before="240" w:after="60"/>
      <w:jc w:val="center"/>
      <w:outlineLvl w:val="0"/>
    </w:pPr>
    <w:rPr>
      <w:rFonts w:ascii="Arial" w:hAnsi="Arial" w:cs="Arial"/>
      <w:b/>
      <w:bCs/>
      <w:sz w:val="32"/>
      <w:szCs w:val="32"/>
    </w:rPr>
  </w:style>
  <w:style w:type="character" w:styleId="48">
    <w:name w:val="Strong"/>
    <w:qFormat/>
    <w:uiPriority w:val="22"/>
    <w:rPr>
      <w:b/>
      <w:bCs/>
    </w:rPr>
  </w:style>
  <w:style w:type="character" w:styleId="49">
    <w:name w:val="endnote reference"/>
    <w:semiHidden/>
    <w:qFormat/>
    <w:uiPriority w:val="99"/>
    <w:rPr>
      <w:vertAlign w:val="superscript"/>
    </w:rPr>
  </w:style>
  <w:style w:type="character" w:styleId="50">
    <w:name w:val="page number"/>
    <w:qFormat/>
    <w:uiPriority w:val="0"/>
    <w:rPr>
      <w:rFonts w:ascii="宋体" w:hAnsi="Times New Roman" w:eastAsia="宋体"/>
      <w:sz w:val="18"/>
    </w:rPr>
  </w:style>
  <w:style w:type="character" w:styleId="51">
    <w:name w:val="FollowedHyperlink"/>
    <w:unhideWhenUsed/>
    <w:qFormat/>
    <w:uiPriority w:val="99"/>
    <w:rPr>
      <w:color w:val="954F72"/>
      <w:u w:val="single"/>
    </w:rPr>
  </w:style>
  <w:style w:type="character" w:styleId="52">
    <w:name w:val="Emphasis"/>
    <w:qFormat/>
    <w:uiPriority w:val="20"/>
    <w:rPr>
      <w:i/>
      <w:iCs/>
    </w:rPr>
  </w:style>
  <w:style w:type="character" w:styleId="53">
    <w:name w:val="Hyperlink"/>
    <w:qFormat/>
    <w:uiPriority w:val="99"/>
    <w:rPr>
      <w:rFonts w:ascii="宋体" w:hAnsi="Times New Roman" w:eastAsia="宋体"/>
      <w:color w:val="auto"/>
      <w:spacing w:val="0"/>
      <w:w w:val="100"/>
      <w:position w:val="0"/>
      <w:sz w:val="21"/>
      <w:u w:val="none"/>
      <w:vertAlign w:val="baseline"/>
    </w:rPr>
  </w:style>
  <w:style w:type="character" w:styleId="54">
    <w:name w:val="annotation reference"/>
    <w:qFormat/>
    <w:uiPriority w:val="99"/>
    <w:rPr>
      <w:sz w:val="21"/>
      <w:szCs w:val="21"/>
    </w:rPr>
  </w:style>
  <w:style w:type="character" w:styleId="55">
    <w:name w:val="footnote reference"/>
    <w:semiHidden/>
    <w:qFormat/>
    <w:uiPriority w:val="99"/>
    <w:rPr>
      <w:rFonts w:ascii="宋体" w:hAnsi="宋体" w:eastAsia="宋体" w:cs="Times New Roman"/>
      <w:spacing w:val="0"/>
      <w:sz w:val="18"/>
      <w:vertAlign w:val="superscript"/>
    </w:rPr>
  </w:style>
  <w:style w:type="table" w:styleId="57">
    <w:name w:val="Table Grid"/>
    <w:basedOn w:val="5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8">
    <w:name w:val="标题 1 Char1"/>
    <w:link w:val="2"/>
    <w:qFormat/>
    <w:uiPriority w:val="99"/>
    <w:rPr>
      <w:rFonts w:ascii="Times New Roman" w:hAnsi="Times New Roman" w:eastAsia="宋体" w:cs="Times New Roman"/>
      <w:b/>
      <w:bCs/>
      <w:kern w:val="44"/>
      <w:sz w:val="44"/>
      <w:szCs w:val="44"/>
    </w:rPr>
  </w:style>
  <w:style w:type="character" w:customStyle="1" w:styleId="59">
    <w:name w:val="标题 2 Char1"/>
    <w:link w:val="3"/>
    <w:qFormat/>
    <w:uiPriority w:val="0"/>
    <w:rPr>
      <w:rFonts w:ascii="Arial" w:hAnsi="Arial" w:eastAsia="黑体" w:cs="Times New Roman"/>
      <w:b/>
      <w:bCs/>
      <w:sz w:val="32"/>
      <w:szCs w:val="32"/>
    </w:rPr>
  </w:style>
  <w:style w:type="character" w:customStyle="1" w:styleId="60">
    <w:name w:val="标题 3 Char1"/>
    <w:link w:val="4"/>
    <w:qFormat/>
    <w:uiPriority w:val="0"/>
    <w:rPr>
      <w:rFonts w:ascii="Times New Roman" w:hAnsi="Times New Roman" w:eastAsia="宋体" w:cs="Times New Roman"/>
      <w:b/>
      <w:bCs/>
      <w:sz w:val="32"/>
      <w:szCs w:val="32"/>
    </w:rPr>
  </w:style>
  <w:style w:type="character" w:customStyle="1" w:styleId="61">
    <w:name w:val="标题 4 Char"/>
    <w:link w:val="5"/>
    <w:qFormat/>
    <w:uiPriority w:val="0"/>
    <w:rPr>
      <w:rFonts w:ascii="Arial" w:hAnsi="Arial" w:eastAsia="黑体" w:cs="Times New Roman"/>
      <w:b/>
      <w:bCs/>
      <w:sz w:val="28"/>
      <w:szCs w:val="28"/>
    </w:rPr>
  </w:style>
  <w:style w:type="character" w:customStyle="1" w:styleId="62">
    <w:name w:val="标题 5 Char"/>
    <w:link w:val="6"/>
    <w:qFormat/>
    <w:uiPriority w:val="0"/>
    <w:rPr>
      <w:rFonts w:ascii="Times New Roman" w:hAnsi="Times New Roman" w:eastAsia="宋体" w:cs="Times New Roman"/>
      <w:b/>
      <w:bCs/>
      <w:sz w:val="28"/>
      <w:szCs w:val="28"/>
    </w:rPr>
  </w:style>
  <w:style w:type="character" w:customStyle="1" w:styleId="63">
    <w:name w:val="标题 6 Char"/>
    <w:link w:val="7"/>
    <w:qFormat/>
    <w:uiPriority w:val="0"/>
    <w:rPr>
      <w:rFonts w:ascii="Arial" w:hAnsi="Arial" w:eastAsia="黑体" w:cs="Times New Roman"/>
      <w:b/>
      <w:bCs/>
      <w:sz w:val="24"/>
      <w:szCs w:val="24"/>
    </w:rPr>
  </w:style>
  <w:style w:type="character" w:customStyle="1" w:styleId="64">
    <w:name w:val="标题 7 Char"/>
    <w:link w:val="8"/>
    <w:qFormat/>
    <w:uiPriority w:val="0"/>
    <w:rPr>
      <w:rFonts w:ascii="Times New Roman" w:hAnsi="Times New Roman" w:eastAsia="宋体" w:cs="Times New Roman"/>
      <w:b/>
      <w:bCs/>
      <w:sz w:val="24"/>
      <w:szCs w:val="24"/>
    </w:rPr>
  </w:style>
  <w:style w:type="character" w:customStyle="1" w:styleId="65">
    <w:name w:val="标题 8 Char"/>
    <w:link w:val="9"/>
    <w:qFormat/>
    <w:uiPriority w:val="0"/>
    <w:rPr>
      <w:rFonts w:ascii="Arial" w:hAnsi="Arial" w:eastAsia="黑体" w:cs="Times New Roman"/>
      <w:sz w:val="24"/>
      <w:szCs w:val="24"/>
    </w:rPr>
  </w:style>
  <w:style w:type="character" w:customStyle="1" w:styleId="66">
    <w:name w:val="标题 9 Char"/>
    <w:link w:val="10"/>
    <w:qFormat/>
    <w:uiPriority w:val="0"/>
    <w:rPr>
      <w:rFonts w:ascii="Arial" w:hAnsi="Arial" w:eastAsia="黑体" w:cs="Times New Roman"/>
      <w:szCs w:val="21"/>
    </w:rPr>
  </w:style>
  <w:style w:type="character" w:customStyle="1" w:styleId="67">
    <w:name w:val="页眉 Char1"/>
    <w:link w:val="32"/>
    <w:qFormat/>
    <w:uiPriority w:val="99"/>
    <w:rPr>
      <w:rFonts w:ascii="Times New Roman" w:hAnsi="Times New Roman" w:eastAsia="宋体" w:cs="Times New Roman"/>
      <w:sz w:val="18"/>
      <w:szCs w:val="18"/>
    </w:rPr>
  </w:style>
  <w:style w:type="character" w:customStyle="1" w:styleId="68">
    <w:name w:val="页脚 Char1"/>
    <w:link w:val="30"/>
    <w:qFormat/>
    <w:uiPriority w:val="99"/>
    <w:rPr>
      <w:rFonts w:ascii="宋体" w:hAnsi="Times New Roman" w:eastAsia="宋体" w:cs="Times New Roman"/>
      <w:sz w:val="18"/>
      <w:szCs w:val="18"/>
    </w:rPr>
  </w:style>
  <w:style w:type="character" w:customStyle="1" w:styleId="69">
    <w:name w:val="批注框文本 Char1"/>
    <w:link w:val="29"/>
    <w:semiHidden/>
    <w:qFormat/>
    <w:uiPriority w:val="99"/>
    <w:rPr>
      <w:sz w:val="18"/>
      <w:szCs w:val="18"/>
    </w:rPr>
  </w:style>
  <w:style w:type="paragraph" w:customStyle="1" w:styleId="70">
    <w:name w:val="引用1"/>
    <w:basedOn w:val="1"/>
    <w:next w:val="1"/>
    <w:link w:val="71"/>
    <w:qFormat/>
    <w:uiPriority w:val="29"/>
    <w:rPr>
      <w:i/>
      <w:iCs/>
      <w:color w:val="000000"/>
    </w:rPr>
  </w:style>
  <w:style w:type="character" w:customStyle="1" w:styleId="71">
    <w:name w:val="引用 字符"/>
    <w:link w:val="70"/>
    <w:qFormat/>
    <w:uiPriority w:val="29"/>
    <w:rPr>
      <w:i/>
      <w:iCs/>
      <w:color w:val="000000"/>
    </w:rPr>
  </w:style>
  <w:style w:type="character" w:customStyle="1" w:styleId="72">
    <w:name w:val="标题 Char"/>
    <w:link w:val="46"/>
    <w:qFormat/>
    <w:uiPriority w:val="0"/>
    <w:rPr>
      <w:rFonts w:ascii="Arial" w:hAnsi="Arial" w:eastAsia="宋体" w:cs="Arial"/>
      <w:b/>
      <w:bCs/>
      <w:sz w:val="32"/>
      <w:szCs w:val="32"/>
    </w:rPr>
  </w:style>
  <w:style w:type="paragraph" w:customStyle="1" w:styleId="73">
    <w:name w:val="标准标志"/>
    <w:next w:val="1"/>
    <w:qFormat/>
    <w:uiPriority w:val="99"/>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4">
    <w:name w:val="标准称谓"/>
    <w:next w:val="1"/>
    <w:qFormat/>
    <w:uiPriority w:val="9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7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7">
    <w:name w:val="标准书眉一"/>
    <w:qFormat/>
    <w:uiPriority w:val="99"/>
    <w:pPr>
      <w:jc w:val="both"/>
    </w:pPr>
    <w:rPr>
      <w:rFonts w:ascii="Times New Roman" w:hAnsi="Times New Roman" w:eastAsia="宋体" w:cs="Times New Roman"/>
      <w:lang w:val="en-US" w:eastAsia="zh-CN" w:bidi="ar-SA"/>
    </w:rPr>
  </w:style>
  <w:style w:type="paragraph" w:customStyle="1" w:styleId="78">
    <w:name w:val="标准文件_ICS"/>
    <w:basedOn w:val="1"/>
    <w:qFormat/>
    <w:uiPriority w:val="0"/>
    <w:pPr>
      <w:spacing w:line="0" w:lineRule="atLeast"/>
    </w:pPr>
    <w:rPr>
      <w:rFonts w:ascii="黑体" w:hAnsi="宋体" w:eastAsia="黑体"/>
    </w:rPr>
  </w:style>
  <w:style w:type="paragraph" w:customStyle="1" w:styleId="79">
    <w:name w:val="标准文件_标准正文"/>
    <w:basedOn w:val="1"/>
    <w:next w:val="80"/>
    <w:qFormat/>
    <w:uiPriority w:val="0"/>
    <w:pPr>
      <w:snapToGrid w:val="0"/>
      <w:ind w:firstLine="200" w:firstLineChars="200"/>
    </w:pPr>
    <w:rPr>
      <w:kern w:val="0"/>
    </w:rPr>
  </w:style>
  <w:style w:type="paragraph" w:customStyle="1" w:styleId="80">
    <w:name w:val="标准文件_段"/>
    <w:link w:val="20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1">
    <w:name w:val="标准文件_版本"/>
    <w:basedOn w:val="79"/>
    <w:qFormat/>
    <w:uiPriority w:val="0"/>
    <w:pPr>
      <w:adjustRightInd/>
      <w:snapToGrid/>
      <w:ind w:firstLine="0" w:firstLineChars="0"/>
    </w:pPr>
    <w:rPr>
      <w:rFonts w:ascii="宋体" w:hAnsi="宋体"/>
      <w:kern w:val="2"/>
    </w:rPr>
  </w:style>
  <w:style w:type="paragraph" w:customStyle="1" w:styleId="82">
    <w:name w:val="标准文件_标准部门"/>
    <w:basedOn w:val="1"/>
    <w:qFormat/>
    <w:uiPriority w:val="0"/>
    <w:pPr>
      <w:jc w:val="center"/>
    </w:pPr>
    <w:rPr>
      <w:rFonts w:ascii="黑体" w:eastAsia="黑体"/>
      <w:kern w:val="0"/>
      <w:sz w:val="44"/>
    </w:rPr>
  </w:style>
  <w:style w:type="paragraph" w:customStyle="1" w:styleId="83">
    <w:name w:val="标准文件_标准代替"/>
    <w:basedOn w:val="1"/>
    <w:next w:val="1"/>
    <w:qFormat/>
    <w:uiPriority w:val="0"/>
    <w:pPr>
      <w:spacing w:line="310" w:lineRule="exact"/>
      <w:jc w:val="right"/>
    </w:pPr>
    <w:rPr>
      <w:rFonts w:ascii="宋体" w:hAnsi="宋体"/>
      <w:kern w:val="0"/>
    </w:rPr>
  </w:style>
  <w:style w:type="paragraph" w:customStyle="1" w:styleId="8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8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6">
    <w:name w:val="标准文件_页眉偶数页"/>
    <w:basedOn w:val="85"/>
    <w:next w:val="1"/>
    <w:qFormat/>
    <w:uiPriority w:val="0"/>
    <w:pPr>
      <w:jc w:val="left"/>
    </w:pPr>
  </w:style>
  <w:style w:type="paragraph" w:customStyle="1" w:styleId="87">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8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89">
    <w:name w:val="标准文件_二级条标题"/>
    <w:next w:val="8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90">
    <w:name w:val="标准文件_发布"/>
    <w:qFormat/>
    <w:uiPriority w:val="0"/>
    <w:rPr>
      <w:rFonts w:ascii="黑体" w:eastAsia="黑体"/>
      <w:spacing w:val="0"/>
      <w:w w:val="100"/>
      <w:position w:val="3"/>
      <w:sz w:val="28"/>
    </w:rPr>
  </w:style>
  <w:style w:type="paragraph" w:customStyle="1" w:styleId="91">
    <w:name w:val="标准文件_方框数字列项"/>
    <w:basedOn w:val="80"/>
    <w:qFormat/>
    <w:uiPriority w:val="0"/>
    <w:pPr>
      <w:numPr>
        <w:ilvl w:val="0"/>
        <w:numId w:val="3"/>
      </w:numPr>
      <w:ind w:firstLine="0" w:firstLineChars="0"/>
    </w:pPr>
  </w:style>
  <w:style w:type="paragraph" w:customStyle="1" w:styleId="92">
    <w:name w:val="标准文件_封面标准编号"/>
    <w:basedOn w:val="1"/>
    <w:next w:val="83"/>
    <w:qFormat/>
    <w:uiPriority w:val="0"/>
    <w:pPr>
      <w:spacing w:line="310" w:lineRule="exact"/>
      <w:jc w:val="right"/>
    </w:pPr>
    <w:rPr>
      <w:rFonts w:ascii="黑体" w:eastAsia="黑体"/>
      <w:kern w:val="0"/>
      <w:sz w:val="28"/>
    </w:rPr>
  </w:style>
  <w:style w:type="paragraph" w:customStyle="1" w:styleId="93">
    <w:name w:val="标准文件_封面标准分类号"/>
    <w:basedOn w:val="1"/>
    <w:qFormat/>
    <w:uiPriority w:val="0"/>
    <w:rPr>
      <w:rFonts w:ascii="黑体" w:eastAsia="黑体"/>
      <w:b/>
      <w:kern w:val="0"/>
      <w:sz w:val="28"/>
    </w:rPr>
  </w:style>
  <w:style w:type="paragraph" w:customStyle="1" w:styleId="94">
    <w:name w:val="标准文件_封面标准名称"/>
    <w:basedOn w:val="1"/>
    <w:qFormat/>
    <w:uiPriority w:val="0"/>
    <w:pPr>
      <w:spacing w:line="240" w:lineRule="auto"/>
      <w:jc w:val="center"/>
    </w:pPr>
    <w:rPr>
      <w:rFonts w:ascii="黑体" w:eastAsia="黑体"/>
      <w:kern w:val="0"/>
      <w:sz w:val="52"/>
    </w:rPr>
  </w:style>
  <w:style w:type="paragraph" w:customStyle="1" w:styleId="95">
    <w:name w:val="标准文件_封面标准英文名称"/>
    <w:basedOn w:val="1"/>
    <w:qFormat/>
    <w:uiPriority w:val="0"/>
    <w:pPr>
      <w:spacing w:line="240" w:lineRule="auto"/>
      <w:jc w:val="center"/>
    </w:pPr>
    <w:rPr>
      <w:rFonts w:ascii="黑体" w:eastAsia="黑体"/>
      <w:b/>
      <w:sz w:val="28"/>
    </w:rPr>
  </w:style>
  <w:style w:type="paragraph" w:customStyle="1" w:styleId="96">
    <w:name w:val="标准文件_封面发布日期"/>
    <w:basedOn w:val="1"/>
    <w:qFormat/>
    <w:uiPriority w:val="0"/>
    <w:pPr>
      <w:spacing w:line="310" w:lineRule="exact"/>
    </w:pPr>
    <w:rPr>
      <w:rFonts w:ascii="黑体" w:eastAsia="黑体"/>
      <w:kern w:val="0"/>
      <w:sz w:val="28"/>
    </w:rPr>
  </w:style>
  <w:style w:type="paragraph" w:customStyle="1" w:styleId="97">
    <w:name w:val="标准文件_封面密级"/>
    <w:basedOn w:val="1"/>
    <w:qFormat/>
    <w:uiPriority w:val="0"/>
    <w:rPr>
      <w:rFonts w:eastAsia="黑体"/>
      <w:sz w:val="32"/>
    </w:rPr>
  </w:style>
  <w:style w:type="paragraph" w:customStyle="1" w:styleId="98">
    <w:name w:val="标准文件_封面实施日期"/>
    <w:basedOn w:val="1"/>
    <w:qFormat/>
    <w:uiPriority w:val="0"/>
    <w:pPr>
      <w:spacing w:line="310" w:lineRule="exact"/>
      <w:jc w:val="right"/>
    </w:pPr>
    <w:rPr>
      <w:rFonts w:ascii="黑体" w:eastAsia="黑体"/>
      <w:sz w:val="28"/>
    </w:rPr>
  </w:style>
  <w:style w:type="paragraph" w:customStyle="1" w:styleId="99">
    <w:name w:val="标准文件_封面抬头"/>
    <w:basedOn w:val="80"/>
    <w:qFormat/>
    <w:uiPriority w:val="0"/>
    <w:pPr>
      <w:adjustRightInd w:val="0"/>
      <w:spacing w:line="800" w:lineRule="exact"/>
      <w:ind w:firstLine="0" w:firstLineChars="0"/>
      <w:jc w:val="distribute"/>
    </w:pPr>
    <w:rPr>
      <w:rFonts w:ascii="黑体" w:eastAsia="黑体"/>
      <w:b/>
      <w:sz w:val="64"/>
    </w:rPr>
  </w:style>
  <w:style w:type="paragraph" w:customStyle="1" w:styleId="100">
    <w:name w:val="标准文件_附录标识"/>
    <w:next w:val="80"/>
    <w:qFormat/>
    <w:uiPriority w:val="0"/>
    <w:p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01">
    <w:name w:val="标准文件_附录表标题"/>
    <w:next w:val="80"/>
    <w:qFormat/>
    <w:uiPriority w:val="0"/>
    <w:pPr>
      <w:numPr>
        <w:ilvl w:val="1"/>
        <w:numId w:val="4"/>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02">
    <w:name w:val="标准文件_附录一级条标题"/>
    <w:next w:val="80"/>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03">
    <w:name w:val="标准文件_附录二级条标题"/>
    <w:basedOn w:val="102"/>
    <w:next w:val="80"/>
    <w:qFormat/>
    <w:uiPriority w:val="0"/>
    <w:pPr>
      <w:widowControl/>
      <w:wordWrap w:val="0"/>
      <w:overflowPunct w:val="0"/>
      <w:autoSpaceDE w:val="0"/>
      <w:autoSpaceDN w:val="0"/>
      <w:textAlignment w:val="baseline"/>
      <w:outlineLvl w:val="3"/>
    </w:pPr>
  </w:style>
  <w:style w:type="paragraph" w:customStyle="1" w:styleId="104">
    <w:name w:val="标准文件_附录公式"/>
    <w:basedOn w:val="79"/>
    <w:next w:val="7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05">
    <w:name w:val="标准文件_附录三级条标题"/>
    <w:next w:val="80"/>
    <w:qFormat/>
    <w:uiPriority w:val="0"/>
    <w:pPr>
      <w:widowControl w:val="0"/>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06">
    <w:name w:val="标准文件_附录四级条标题"/>
    <w:next w:val="80"/>
    <w:qFormat/>
    <w:uiPriority w:val="0"/>
    <w:pPr>
      <w:widowControl w:val="0"/>
      <w:numPr>
        <w:ilvl w:val="4"/>
        <w:numId w:val="5"/>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07">
    <w:name w:val="标准文件_附录图标题"/>
    <w:next w:val="80"/>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108">
    <w:name w:val="标准文件_附录五级条标题"/>
    <w:next w:val="80"/>
    <w:qFormat/>
    <w:uiPriority w:val="0"/>
    <w:pPr>
      <w:widowControl w:val="0"/>
      <w:numPr>
        <w:ilvl w:val="5"/>
        <w:numId w:val="5"/>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09">
    <w:name w:val="标准文件_附录英文标识"/>
    <w:next w:val="20"/>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10">
    <w:name w:val="正文文本 Char1"/>
    <w:link w:val="20"/>
    <w:qFormat/>
    <w:uiPriority w:val="0"/>
    <w:rPr>
      <w:rFonts w:ascii="Times New Roman" w:hAnsi="Times New Roman" w:eastAsia="宋体" w:cs="Times New Roman"/>
      <w:szCs w:val="20"/>
    </w:rPr>
  </w:style>
  <w:style w:type="paragraph" w:customStyle="1" w:styleId="111">
    <w:name w:val="标准文件_附录章标题"/>
    <w:next w:val="8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12">
    <w:name w:val="标准文件_公式后的破折号"/>
    <w:basedOn w:val="80"/>
    <w:next w:val="80"/>
    <w:qFormat/>
    <w:uiPriority w:val="0"/>
    <w:pPr>
      <w:ind w:left="488" w:leftChars="200" w:hanging="289" w:hangingChars="290"/>
    </w:pPr>
  </w:style>
  <w:style w:type="paragraph" w:customStyle="1" w:styleId="113">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114">
    <w:name w:val="标准文件_目次、标准名称标题"/>
    <w:basedOn w:val="113"/>
    <w:next w:val="80"/>
    <w:qFormat/>
    <w:uiPriority w:val="0"/>
    <w:pPr>
      <w:spacing w:line="460" w:lineRule="exact"/>
    </w:pPr>
  </w:style>
  <w:style w:type="paragraph" w:customStyle="1" w:styleId="115">
    <w:name w:val="标准文件_目录标题"/>
    <w:basedOn w:val="1"/>
    <w:qFormat/>
    <w:uiPriority w:val="0"/>
    <w:pPr>
      <w:spacing w:after="150" w:afterLines="150" w:line="240" w:lineRule="auto"/>
      <w:jc w:val="center"/>
    </w:pPr>
    <w:rPr>
      <w:rFonts w:ascii="黑体" w:eastAsia="黑体"/>
      <w:sz w:val="32"/>
    </w:rPr>
  </w:style>
  <w:style w:type="paragraph" w:customStyle="1" w:styleId="116">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17">
    <w:name w:val="标准文件_破折号列项（二级）"/>
    <w:basedOn w:val="116"/>
    <w:qFormat/>
    <w:uiPriority w:val="0"/>
    <w:pPr>
      <w:numPr>
        <w:numId w:val="10"/>
      </w:numPr>
      <w:ind w:left="0" w:firstLine="200"/>
    </w:pPr>
  </w:style>
  <w:style w:type="paragraph" w:customStyle="1" w:styleId="118">
    <w:name w:val="标准文件_三级条标题"/>
    <w:basedOn w:val="89"/>
    <w:next w:val="80"/>
    <w:qFormat/>
    <w:uiPriority w:val="0"/>
    <w:pPr>
      <w:widowControl/>
      <w:numPr>
        <w:ilvl w:val="4"/>
      </w:numPr>
      <w:outlineLvl w:val="3"/>
    </w:pPr>
  </w:style>
  <w:style w:type="character" w:customStyle="1" w:styleId="119">
    <w:name w:val="不明显参考1"/>
    <w:qFormat/>
    <w:uiPriority w:val="31"/>
    <w:rPr>
      <w:smallCaps/>
      <w:color w:val="C0504D"/>
      <w:u w:val="single"/>
    </w:rPr>
  </w:style>
  <w:style w:type="paragraph" w:customStyle="1" w:styleId="120">
    <w:name w:val="标准文件_示例后续"/>
    <w:basedOn w:val="1"/>
    <w:qFormat/>
    <w:uiPriority w:val="0"/>
    <w:pPr>
      <w:adjustRightInd/>
      <w:spacing w:line="240" w:lineRule="auto"/>
      <w:ind w:firstLine="200" w:firstLineChars="200"/>
    </w:pPr>
    <w:rPr>
      <w:sz w:val="18"/>
      <w:szCs w:val="24"/>
    </w:rPr>
  </w:style>
  <w:style w:type="paragraph" w:customStyle="1" w:styleId="12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22">
    <w:name w:val="标准文件_四级条标题"/>
    <w:next w:val="8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23">
    <w:name w:val="脚注文本 Char1"/>
    <w:link w:val="37"/>
    <w:semiHidden/>
    <w:qFormat/>
    <w:uiPriority w:val="0"/>
    <w:rPr>
      <w:rFonts w:ascii="宋体" w:hAnsi="Times New Roman" w:eastAsia="宋体" w:cs="Times New Roman"/>
      <w:sz w:val="18"/>
      <w:szCs w:val="18"/>
    </w:rPr>
  </w:style>
  <w:style w:type="paragraph" w:customStyle="1" w:styleId="124">
    <w:name w:val="标准文件_条文脚注"/>
    <w:basedOn w:val="37"/>
    <w:qFormat/>
    <w:uiPriority w:val="0"/>
    <w:pPr>
      <w:adjustRightInd w:val="0"/>
      <w:spacing w:line="240" w:lineRule="auto"/>
      <w:ind w:left="0" w:leftChars="0" w:firstLine="200" w:firstLineChars="200"/>
      <w:jc w:val="both"/>
    </w:pPr>
    <w:rPr>
      <w:rFonts w:hAnsi="宋体"/>
    </w:rPr>
  </w:style>
  <w:style w:type="paragraph" w:customStyle="1" w:styleId="125">
    <w:name w:val="标准文件_图表脚注"/>
    <w:basedOn w:val="1"/>
    <w:next w:val="80"/>
    <w:qFormat/>
    <w:uiPriority w:val="0"/>
    <w:pPr>
      <w:numPr>
        <w:ilvl w:val="0"/>
        <w:numId w:val="12"/>
      </w:numPr>
      <w:spacing w:line="240" w:lineRule="auto"/>
      <w:jc w:val="left"/>
    </w:pPr>
    <w:rPr>
      <w:rFonts w:ascii="宋体" w:hAnsi="宋体"/>
      <w:sz w:val="18"/>
    </w:rPr>
  </w:style>
  <w:style w:type="character" w:customStyle="1" w:styleId="126">
    <w:name w:val="标准文件_图表脚注内容"/>
    <w:qFormat/>
    <w:uiPriority w:val="0"/>
    <w:rPr>
      <w:rFonts w:ascii="宋体" w:hAnsi="宋体" w:eastAsia="宋体" w:cs="Times New Roman"/>
      <w:spacing w:val="0"/>
      <w:sz w:val="18"/>
      <w:vertAlign w:val="superscript"/>
    </w:rPr>
  </w:style>
  <w:style w:type="paragraph" w:customStyle="1" w:styleId="127">
    <w:name w:val="标准文件_五级条标题"/>
    <w:next w:val="80"/>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28">
    <w:name w:val="标准文件_章标题"/>
    <w:next w:val="80"/>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29">
    <w:name w:val="标准文件_一级条标题"/>
    <w:basedOn w:val="128"/>
    <w:next w:val="80"/>
    <w:qFormat/>
    <w:uiPriority w:val="0"/>
    <w:pPr>
      <w:spacing w:before="50" w:beforeLines="50" w:after="50" w:afterLines="50"/>
      <w:outlineLvl w:val="1"/>
    </w:pPr>
  </w:style>
  <w:style w:type="paragraph" w:customStyle="1" w:styleId="130">
    <w:name w:val="标准文件_一致程度"/>
    <w:basedOn w:val="1"/>
    <w:qFormat/>
    <w:uiPriority w:val="0"/>
    <w:pPr>
      <w:spacing w:line="440" w:lineRule="exact"/>
      <w:jc w:val="center"/>
    </w:pPr>
    <w:rPr>
      <w:sz w:val="28"/>
    </w:rPr>
  </w:style>
  <w:style w:type="paragraph" w:customStyle="1" w:styleId="13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32">
    <w:name w:val="标准文件_英文图表脚注"/>
    <w:basedOn w:val="79"/>
    <w:qFormat/>
    <w:uiPriority w:val="0"/>
    <w:pPr>
      <w:widowControl/>
      <w:adjustRightInd/>
      <w:snapToGrid/>
      <w:spacing w:line="240" w:lineRule="auto"/>
      <w:ind w:left="79" w:hanging="79" w:hangingChars="80"/>
    </w:pPr>
    <w:rPr>
      <w:rFonts w:ascii="宋体" w:hAnsi="宋体"/>
    </w:rPr>
  </w:style>
  <w:style w:type="paragraph" w:customStyle="1" w:styleId="13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34">
    <w:name w:val="标准文件_英文注："/>
    <w:basedOn w:val="1"/>
    <w:next w:val="8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3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36">
    <w:name w:val="标准文件_正文表标题"/>
    <w:next w:val="8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37">
    <w:name w:val="标准文件_正文公式"/>
    <w:basedOn w:val="1"/>
    <w:next w:val="79"/>
    <w:qFormat/>
    <w:uiPriority w:val="0"/>
    <w:pPr>
      <w:tabs>
        <w:tab w:val="center" w:pos="4678"/>
        <w:tab w:val="right" w:leader="middleDot" w:pos="9356"/>
      </w:tabs>
      <w:spacing w:line="240" w:lineRule="auto"/>
    </w:pPr>
    <w:rPr>
      <w:rFonts w:ascii="宋体" w:hAnsi="宋体"/>
    </w:rPr>
  </w:style>
  <w:style w:type="paragraph" w:customStyle="1" w:styleId="138">
    <w:name w:val="标准文件_正文图标题"/>
    <w:next w:val="8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39">
    <w:name w:val="标准文件_正文英文表标题"/>
    <w:next w:val="8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40">
    <w:name w:val="标准文件_正文英文图标题"/>
    <w:next w:val="8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4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4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43">
    <w:name w:val="发布部门"/>
    <w:next w:val="80"/>
    <w:qFormat/>
    <w:uiPriority w:val="99"/>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44">
    <w:name w:val="发布日期"/>
    <w:qFormat/>
    <w:uiPriority w:val="99"/>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45">
    <w:name w:val="封面标准代替信息"/>
    <w:basedOn w:val="1"/>
    <w:qFormat/>
    <w:uiPriority w:val="99"/>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46">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7">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148">
    <w:name w:val="封面标准文稿类别"/>
    <w:qFormat/>
    <w:uiPriority w:val="99"/>
    <w:pPr>
      <w:spacing w:before="440" w:line="400" w:lineRule="exact"/>
      <w:jc w:val="center"/>
    </w:pPr>
    <w:rPr>
      <w:rFonts w:ascii="宋体" w:hAnsi="Times New Roman" w:eastAsia="宋体" w:cs="Times New Roman"/>
      <w:sz w:val="24"/>
      <w:lang w:val="en-US" w:eastAsia="zh-CN" w:bidi="ar-SA"/>
    </w:rPr>
  </w:style>
  <w:style w:type="paragraph" w:customStyle="1" w:styleId="149">
    <w:name w:val="封面标准英文名称"/>
    <w:qFormat/>
    <w:uiPriority w:val="99"/>
    <w:pPr>
      <w:widowControl w:val="0"/>
      <w:spacing w:line="360" w:lineRule="exact"/>
      <w:jc w:val="center"/>
    </w:pPr>
    <w:rPr>
      <w:rFonts w:ascii="Times New Roman" w:hAnsi="Times New Roman" w:eastAsia="宋体" w:cs="Times New Roman"/>
      <w:sz w:val="28"/>
      <w:lang w:val="en-US" w:eastAsia="zh-CN" w:bidi="ar-SA"/>
    </w:rPr>
  </w:style>
  <w:style w:type="paragraph" w:customStyle="1" w:styleId="150">
    <w:name w:val="封面一致性程度标识"/>
    <w:qFormat/>
    <w:uiPriority w:val="99"/>
    <w:pPr>
      <w:spacing w:before="440" w:line="440" w:lineRule="exact"/>
      <w:jc w:val="center"/>
    </w:pPr>
    <w:rPr>
      <w:rFonts w:ascii="Times New Roman" w:hAnsi="Times New Roman" w:eastAsia="宋体" w:cs="Times New Roman"/>
      <w:sz w:val="28"/>
      <w:lang w:val="en-US" w:eastAsia="zh-CN" w:bidi="ar-SA"/>
    </w:rPr>
  </w:style>
  <w:style w:type="paragraph" w:customStyle="1" w:styleId="151">
    <w:name w:val="封面正文"/>
    <w:qFormat/>
    <w:uiPriority w:val="99"/>
    <w:pPr>
      <w:jc w:val="both"/>
    </w:pPr>
    <w:rPr>
      <w:rFonts w:ascii="Times New Roman" w:hAnsi="Times New Roman" w:eastAsia="宋体" w:cs="Times New Roman"/>
      <w:lang w:val="en-US" w:eastAsia="zh-CN" w:bidi="ar-SA"/>
    </w:rPr>
  </w:style>
  <w:style w:type="paragraph" w:customStyle="1" w:styleId="152">
    <w:name w:val="附录二级无标题条"/>
    <w:basedOn w:val="1"/>
    <w:next w:val="8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53">
    <w:name w:val="附录三级无标题条"/>
    <w:basedOn w:val="152"/>
    <w:next w:val="80"/>
    <w:qFormat/>
    <w:uiPriority w:val="0"/>
    <w:pPr>
      <w:outlineLvl w:val="4"/>
    </w:pPr>
  </w:style>
  <w:style w:type="paragraph" w:customStyle="1" w:styleId="154">
    <w:name w:val="附录四级无标题条"/>
    <w:basedOn w:val="153"/>
    <w:next w:val="80"/>
    <w:qFormat/>
    <w:uiPriority w:val="0"/>
    <w:pPr>
      <w:outlineLvl w:val="5"/>
    </w:pPr>
  </w:style>
  <w:style w:type="paragraph" w:customStyle="1" w:styleId="155">
    <w:name w:val="附录图"/>
    <w:next w:val="8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5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57">
    <w:name w:val="附录五级无标题条"/>
    <w:basedOn w:val="154"/>
    <w:next w:val="80"/>
    <w:qFormat/>
    <w:uiPriority w:val="0"/>
    <w:pPr>
      <w:outlineLvl w:val="6"/>
    </w:pPr>
  </w:style>
  <w:style w:type="paragraph" w:customStyle="1" w:styleId="158">
    <w:name w:val="附录性质"/>
    <w:basedOn w:val="1"/>
    <w:qFormat/>
    <w:uiPriority w:val="0"/>
    <w:pPr>
      <w:widowControl/>
      <w:adjustRightInd/>
      <w:jc w:val="center"/>
    </w:pPr>
    <w:rPr>
      <w:rFonts w:ascii="黑体" w:eastAsia="黑体"/>
    </w:rPr>
  </w:style>
  <w:style w:type="paragraph" w:customStyle="1" w:styleId="159">
    <w:name w:val="附录一级无标题条"/>
    <w:basedOn w:val="111"/>
    <w:next w:val="80"/>
    <w:qFormat/>
    <w:uiPriority w:val="0"/>
    <w:pPr>
      <w:autoSpaceDN w:val="0"/>
      <w:outlineLvl w:val="2"/>
    </w:pPr>
    <w:rPr>
      <w:rFonts w:ascii="宋体" w:hAnsi="宋体" w:eastAsia="宋体"/>
    </w:rPr>
  </w:style>
  <w:style w:type="character" w:customStyle="1" w:styleId="160">
    <w:name w:val="个人答复风格"/>
    <w:qFormat/>
    <w:uiPriority w:val="0"/>
    <w:rPr>
      <w:rFonts w:ascii="Arial" w:hAnsi="Arial" w:eastAsia="宋体" w:cs="Arial"/>
      <w:color w:val="auto"/>
      <w:spacing w:val="0"/>
      <w:sz w:val="20"/>
    </w:rPr>
  </w:style>
  <w:style w:type="character" w:customStyle="1" w:styleId="161">
    <w:name w:val="个人撰写风格"/>
    <w:qFormat/>
    <w:uiPriority w:val="0"/>
    <w:rPr>
      <w:rFonts w:ascii="Arial" w:hAnsi="Arial" w:eastAsia="宋体" w:cs="Arial"/>
      <w:color w:val="auto"/>
      <w:spacing w:val="0"/>
      <w:sz w:val="20"/>
    </w:rPr>
  </w:style>
  <w:style w:type="paragraph" w:customStyle="1" w:styleId="16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6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64">
    <w:name w:val="列项·"/>
    <w:basedOn w:val="80"/>
    <w:qFormat/>
    <w:uiPriority w:val="0"/>
    <w:pPr>
      <w:tabs>
        <w:tab w:val="left" w:pos="840"/>
      </w:tabs>
    </w:pPr>
  </w:style>
  <w:style w:type="paragraph" w:customStyle="1" w:styleId="165">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66">
    <w:name w:val="目录 21"/>
    <w:basedOn w:val="1"/>
    <w:next w:val="1"/>
    <w:semiHidden/>
    <w:qFormat/>
    <w:uiPriority w:val="0"/>
    <w:pPr>
      <w:adjustRightInd/>
      <w:spacing w:line="240" w:lineRule="auto"/>
      <w:jc w:val="left"/>
    </w:pPr>
    <w:rPr>
      <w:bCs/>
      <w:iCs/>
    </w:rPr>
  </w:style>
  <w:style w:type="paragraph" w:customStyle="1" w:styleId="167">
    <w:name w:val="目录 31"/>
    <w:basedOn w:val="1"/>
    <w:next w:val="1"/>
    <w:semiHidden/>
    <w:qFormat/>
    <w:uiPriority w:val="0"/>
    <w:pPr>
      <w:spacing w:line="240" w:lineRule="auto"/>
    </w:pPr>
    <w:rPr>
      <w:rFonts w:ascii="宋体" w:hAnsi="宋体"/>
      <w:iCs/>
    </w:rPr>
  </w:style>
  <w:style w:type="paragraph" w:customStyle="1" w:styleId="168">
    <w:name w:val="目录 41"/>
    <w:basedOn w:val="1"/>
    <w:next w:val="1"/>
    <w:semiHidden/>
    <w:qFormat/>
    <w:uiPriority w:val="0"/>
    <w:pPr>
      <w:adjustRightInd/>
      <w:spacing w:line="240" w:lineRule="auto"/>
      <w:jc w:val="left"/>
    </w:pPr>
  </w:style>
  <w:style w:type="paragraph" w:customStyle="1" w:styleId="169">
    <w:name w:val="目录 51"/>
    <w:basedOn w:val="1"/>
    <w:next w:val="1"/>
    <w:semiHidden/>
    <w:qFormat/>
    <w:uiPriority w:val="0"/>
    <w:pPr>
      <w:spacing w:line="240" w:lineRule="auto"/>
    </w:pPr>
    <w:rPr>
      <w:rFonts w:ascii="宋体" w:hAnsi="宋体"/>
    </w:rPr>
  </w:style>
  <w:style w:type="paragraph" w:customStyle="1" w:styleId="170">
    <w:name w:val="目录 61"/>
    <w:basedOn w:val="1"/>
    <w:next w:val="1"/>
    <w:semiHidden/>
    <w:qFormat/>
    <w:uiPriority w:val="0"/>
    <w:pPr>
      <w:adjustRightInd/>
      <w:spacing w:line="240" w:lineRule="auto"/>
      <w:jc w:val="left"/>
    </w:pPr>
  </w:style>
  <w:style w:type="paragraph" w:customStyle="1" w:styleId="171">
    <w:name w:val="目录 71"/>
    <w:basedOn w:val="170"/>
    <w:semiHidden/>
    <w:qFormat/>
    <w:uiPriority w:val="0"/>
    <w:pPr>
      <w:ind w:left="1260"/>
    </w:pPr>
  </w:style>
  <w:style w:type="paragraph" w:customStyle="1" w:styleId="172">
    <w:name w:val="目录 81"/>
    <w:basedOn w:val="171"/>
    <w:semiHidden/>
    <w:qFormat/>
    <w:uiPriority w:val="0"/>
    <w:pPr>
      <w:ind w:left="1470"/>
    </w:pPr>
  </w:style>
  <w:style w:type="paragraph" w:customStyle="1" w:styleId="173">
    <w:name w:val="目录 91"/>
    <w:basedOn w:val="172"/>
    <w:semiHidden/>
    <w:qFormat/>
    <w:uiPriority w:val="0"/>
    <w:pPr>
      <w:ind w:left="1680"/>
    </w:pPr>
  </w:style>
  <w:style w:type="paragraph" w:customStyle="1" w:styleId="174">
    <w:name w:val="其他标准称谓"/>
    <w:qFormat/>
    <w:uiPriority w:val="99"/>
    <w:pPr>
      <w:spacing w:line="0" w:lineRule="atLeast"/>
      <w:jc w:val="distribute"/>
    </w:pPr>
    <w:rPr>
      <w:rFonts w:ascii="黑体" w:hAnsi="宋体" w:eastAsia="黑体" w:cs="Times New Roman"/>
      <w:sz w:val="52"/>
      <w:lang w:val="en-US" w:eastAsia="zh-CN" w:bidi="ar-SA"/>
    </w:rPr>
  </w:style>
  <w:style w:type="paragraph" w:customStyle="1" w:styleId="175">
    <w:name w:val="其他发布部门"/>
    <w:basedOn w:val="143"/>
    <w:qFormat/>
    <w:uiPriority w:val="99"/>
    <w:pPr>
      <w:framePr/>
      <w:spacing w:line="0" w:lineRule="atLeast"/>
    </w:pPr>
    <w:rPr>
      <w:rFonts w:ascii="黑体" w:eastAsia="黑体"/>
      <w:b w:val="0"/>
    </w:rPr>
  </w:style>
  <w:style w:type="paragraph" w:customStyle="1" w:styleId="17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7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78">
    <w:name w:val="实施日期"/>
    <w:basedOn w:val="144"/>
    <w:qFormat/>
    <w:uiPriority w:val="99"/>
    <w:pPr>
      <w:framePr w:hSpace="0" w:xAlign="right"/>
      <w:jc w:val="right"/>
    </w:pPr>
  </w:style>
  <w:style w:type="paragraph" w:customStyle="1" w:styleId="17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80">
    <w:name w:val="文献分类号"/>
    <w:qFormat/>
    <w:uiPriority w:val="99"/>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81">
    <w:name w:val="无标题条"/>
    <w:next w:val="80"/>
    <w:qFormat/>
    <w:uiPriority w:val="0"/>
    <w:pPr>
      <w:jc w:val="both"/>
    </w:pPr>
    <w:rPr>
      <w:rFonts w:ascii="宋体" w:hAnsi="宋体" w:eastAsia="宋体" w:cs="Times New Roman"/>
      <w:sz w:val="21"/>
      <w:lang w:val="en-US" w:eastAsia="zh-CN" w:bidi="ar-SA"/>
    </w:rPr>
  </w:style>
  <w:style w:type="paragraph" w:customStyle="1" w:styleId="182">
    <w:name w:val="五级无标题条"/>
    <w:basedOn w:val="1"/>
    <w:qFormat/>
    <w:uiPriority w:val="0"/>
    <w:pPr>
      <w:adjustRightInd/>
    </w:pPr>
    <w:rPr>
      <w:szCs w:val="24"/>
    </w:rPr>
  </w:style>
  <w:style w:type="paragraph" w:customStyle="1" w:styleId="18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8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85">
    <w:name w:val="注×:后续"/>
    <w:basedOn w:val="184"/>
    <w:qFormat/>
    <w:uiPriority w:val="0"/>
    <w:pPr>
      <w:ind w:left="1406" w:leftChars="0" w:hanging="499" w:firstLineChars="0"/>
    </w:pPr>
  </w:style>
  <w:style w:type="paragraph" w:customStyle="1" w:styleId="186">
    <w:name w:val="标准文件_一级无标题"/>
    <w:basedOn w:val="129"/>
    <w:qFormat/>
    <w:uiPriority w:val="0"/>
    <w:pPr>
      <w:spacing w:before="0" w:beforeLines="0" w:after="0" w:afterLines="0"/>
      <w:outlineLvl w:val="9"/>
    </w:pPr>
    <w:rPr>
      <w:rFonts w:ascii="宋体" w:eastAsia="宋体"/>
    </w:rPr>
  </w:style>
  <w:style w:type="paragraph" w:customStyle="1" w:styleId="187">
    <w:name w:val="标准文件_五级无标题"/>
    <w:basedOn w:val="127"/>
    <w:qFormat/>
    <w:uiPriority w:val="0"/>
    <w:pPr>
      <w:spacing w:before="0" w:beforeLines="0" w:after="0" w:afterLines="0"/>
      <w:outlineLvl w:val="9"/>
    </w:pPr>
    <w:rPr>
      <w:rFonts w:ascii="宋体" w:eastAsia="宋体"/>
    </w:rPr>
  </w:style>
  <w:style w:type="paragraph" w:customStyle="1" w:styleId="188">
    <w:name w:val="标准文件_三级无标题"/>
    <w:basedOn w:val="118"/>
    <w:qFormat/>
    <w:uiPriority w:val="0"/>
    <w:pPr>
      <w:spacing w:before="0" w:beforeLines="0" w:after="0" w:afterLines="0"/>
      <w:outlineLvl w:val="9"/>
    </w:pPr>
    <w:rPr>
      <w:rFonts w:ascii="宋体" w:eastAsia="宋体"/>
    </w:rPr>
  </w:style>
  <w:style w:type="paragraph" w:customStyle="1" w:styleId="189">
    <w:name w:val="标准文件_二级无标题"/>
    <w:basedOn w:val="89"/>
    <w:qFormat/>
    <w:uiPriority w:val="0"/>
    <w:pPr>
      <w:spacing w:before="0" w:beforeLines="0" w:after="0" w:afterLines="0"/>
      <w:outlineLvl w:val="9"/>
    </w:pPr>
    <w:rPr>
      <w:rFonts w:ascii="宋体" w:eastAsia="宋体"/>
    </w:rPr>
  </w:style>
  <w:style w:type="paragraph" w:customStyle="1" w:styleId="190">
    <w:name w:val="标准_四级无标题"/>
    <w:basedOn w:val="122"/>
    <w:next w:val="80"/>
    <w:qFormat/>
    <w:uiPriority w:val="0"/>
    <w:rPr>
      <w:rFonts w:eastAsia="宋体"/>
    </w:rPr>
  </w:style>
  <w:style w:type="paragraph" w:customStyle="1" w:styleId="191">
    <w:name w:val="标准文件_四级无标题"/>
    <w:basedOn w:val="122"/>
    <w:qFormat/>
    <w:uiPriority w:val="0"/>
    <w:pPr>
      <w:spacing w:before="0" w:beforeLines="0" w:after="0" w:afterLines="0"/>
      <w:outlineLvl w:val="9"/>
    </w:pPr>
    <w:rPr>
      <w:rFonts w:ascii="宋体" w:hAnsi="黑体" w:eastAsia="宋体"/>
      <w:szCs w:val="52"/>
    </w:rPr>
  </w:style>
  <w:style w:type="paragraph" w:customStyle="1" w:styleId="192">
    <w:name w:val="标准文件_大写罗马数字编号列项"/>
    <w:basedOn w:val="80"/>
    <w:qFormat/>
    <w:uiPriority w:val="0"/>
    <w:pPr>
      <w:numPr>
        <w:ilvl w:val="0"/>
        <w:numId w:val="23"/>
      </w:numPr>
      <w:ind w:firstLine="0" w:firstLineChars="0"/>
    </w:pPr>
    <w:rPr>
      <w:rFonts w:ascii="Times New Roman" w:cs="Arial"/>
      <w:szCs w:val="28"/>
    </w:rPr>
  </w:style>
  <w:style w:type="paragraph" w:customStyle="1" w:styleId="193">
    <w:name w:val="标准文件_小写罗马数字编号列项"/>
    <w:basedOn w:val="80"/>
    <w:qFormat/>
    <w:uiPriority w:val="0"/>
    <w:pPr>
      <w:numPr>
        <w:ilvl w:val="0"/>
        <w:numId w:val="24"/>
      </w:numPr>
      <w:ind w:firstLine="0" w:firstLineChars="0"/>
    </w:pPr>
    <w:rPr>
      <w:rFonts w:cs="Arial"/>
      <w:szCs w:val="28"/>
    </w:rPr>
  </w:style>
  <w:style w:type="paragraph" w:customStyle="1" w:styleId="194">
    <w:name w:val="标准文件_附录标题"/>
    <w:basedOn w:val="100"/>
    <w:qFormat/>
    <w:uiPriority w:val="0"/>
    <w:pPr>
      <w:spacing w:after="280"/>
      <w:outlineLvl w:val="9"/>
    </w:pPr>
  </w:style>
  <w:style w:type="paragraph" w:customStyle="1" w:styleId="195">
    <w:name w:val="标准文件_二级项"/>
    <w:qFormat/>
    <w:uiPriority w:val="0"/>
    <w:rPr>
      <w:rFonts w:ascii="宋体" w:hAnsi="Times New Roman" w:eastAsia="宋体" w:cs="Times New Roman"/>
      <w:sz w:val="21"/>
      <w:lang w:val="en-US" w:eastAsia="zh-CN" w:bidi="ar-SA"/>
    </w:rPr>
  </w:style>
  <w:style w:type="paragraph" w:customStyle="1" w:styleId="196">
    <w:name w:val="标准文件_三级项"/>
    <w:basedOn w:val="1"/>
    <w:qFormat/>
    <w:uiPriority w:val="0"/>
    <w:pPr>
      <w:numPr>
        <w:ilvl w:val="2"/>
        <w:numId w:val="21"/>
      </w:numPr>
      <w:spacing w:line="536870612" w:lineRule="auto"/>
    </w:pPr>
    <w:rPr>
      <w:rFonts w:ascii="Times New Roman" w:hAnsi="Times New Roman"/>
    </w:rPr>
  </w:style>
  <w:style w:type="paragraph" w:customStyle="1" w:styleId="197">
    <w:name w:val="图表脚注说明"/>
    <w:basedOn w:val="1"/>
    <w:next w:val="80"/>
    <w:qFormat/>
    <w:uiPriority w:val="99"/>
    <w:pPr>
      <w:numPr>
        <w:ilvl w:val="0"/>
        <w:numId w:val="25"/>
      </w:numPr>
      <w:adjustRightInd/>
      <w:spacing w:line="240" w:lineRule="auto"/>
      <w:ind w:left="783"/>
    </w:pPr>
    <w:rPr>
      <w:rFonts w:ascii="宋体" w:hAnsi="Times New Roman"/>
      <w:sz w:val="18"/>
      <w:szCs w:val="18"/>
    </w:rPr>
  </w:style>
  <w:style w:type="paragraph" w:customStyle="1" w:styleId="198">
    <w:name w:val="标准文件_字母编号列项（一级）"/>
    <w:qFormat/>
    <w:uiPriority w:val="0"/>
    <w:pPr>
      <w:tabs>
        <w:tab w:val="left" w:pos="851"/>
      </w:tabs>
      <w:ind w:left="851" w:hanging="426"/>
      <w:jc w:val="both"/>
    </w:pPr>
    <w:rPr>
      <w:rFonts w:ascii="宋体" w:hAnsi="Times New Roman" w:eastAsia="宋体" w:cs="Times New Roman"/>
      <w:sz w:val="21"/>
      <w:lang w:val="en-US" w:eastAsia="zh-CN" w:bidi="ar-SA"/>
    </w:rPr>
  </w:style>
  <w:style w:type="paragraph" w:customStyle="1" w:styleId="199">
    <w:name w:val="标准文件_索引字母"/>
    <w:next w:val="80"/>
    <w:qFormat/>
    <w:uiPriority w:val="0"/>
    <w:pPr>
      <w:jc w:val="center"/>
    </w:pPr>
    <w:rPr>
      <w:rFonts w:ascii="宋体" w:hAnsi="宋体" w:eastAsia="Times New Roman" w:cs="Times New Roman"/>
      <w:b/>
      <w:kern w:val="2"/>
      <w:sz w:val="21"/>
      <w:lang w:val="en-US" w:eastAsia="zh-CN" w:bidi="ar-SA"/>
    </w:rPr>
  </w:style>
  <w:style w:type="paragraph" w:customStyle="1" w:styleId="200">
    <w:name w:val="标准文件_附录前"/>
    <w:next w:val="8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01">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202">
    <w:name w:val="标准文件_表格"/>
    <w:basedOn w:val="80"/>
    <w:qFormat/>
    <w:uiPriority w:val="0"/>
    <w:pPr>
      <w:ind w:firstLine="0" w:firstLineChars="0"/>
      <w:jc w:val="center"/>
    </w:pPr>
    <w:rPr>
      <w:sz w:val="18"/>
    </w:rPr>
  </w:style>
  <w:style w:type="paragraph" w:customStyle="1" w:styleId="203">
    <w:name w:val="标准文件_注："/>
    <w:next w:val="8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20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205">
    <w:name w:val="标准文件_示例："/>
    <w:next w:val="20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206">
    <w:name w:val="标准文件_示例内容"/>
    <w:basedOn w:val="80"/>
    <w:qFormat/>
    <w:uiPriority w:val="0"/>
    <w:pPr>
      <w:ind w:firstLine="420"/>
    </w:pPr>
    <w:rPr>
      <w:sz w:val="18"/>
    </w:rPr>
  </w:style>
  <w:style w:type="paragraph" w:customStyle="1" w:styleId="207">
    <w:name w:val="标准文件_示例×："/>
    <w:basedOn w:val="1"/>
    <w:next w:val="20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208">
    <w:name w:val="标准文件_段 Char"/>
    <w:link w:val="80"/>
    <w:qFormat/>
    <w:uiPriority w:val="0"/>
    <w:rPr>
      <w:rFonts w:ascii="宋体" w:hAnsi="Times New Roman"/>
      <w:sz w:val="21"/>
    </w:rPr>
  </w:style>
  <w:style w:type="paragraph" w:customStyle="1" w:styleId="209">
    <w:name w:val="标准文件_表格续"/>
    <w:basedOn w:val="80"/>
    <w:next w:val="80"/>
    <w:qFormat/>
    <w:uiPriority w:val="0"/>
    <w:pPr>
      <w:jc w:val="center"/>
    </w:pPr>
    <w:rPr>
      <w:rFonts w:ascii="黑体" w:hAnsi="黑体" w:eastAsia="黑体"/>
    </w:rPr>
  </w:style>
  <w:style w:type="character" w:customStyle="1" w:styleId="210">
    <w:name w:val="占位符文本1"/>
    <w:basedOn w:val="47"/>
    <w:qFormat/>
    <w:uiPriority w:val="99"/>
    <w:rPr>
      <w:color w:val="808080"/>
    </w:rPr>
  </w:style>
  <w:style w:type="paragraph" w:customStyle="1" w:styleId="211">
    <w:name w:val="标准文件_二级项2"/>
    <w:basedOn w:val="80"/>
    <w:qFormat/>
    <w:uiPriority w:val="0"/>
    <w:pPr>
      <w:numPr>
        <w:ilvl w:val="1"/>
        <w:numId w:val="21"/>
      </w:numPr>
      <w:ind w:left="1271" w:hanging="420" w:firstLineChars="0"/>
    </w:pPr>
  </w:style>
  <w:style w:type="paragraph" w:customStyle="1" w:styleId="212">
    <w:name w:val="标准文件_三级项2"/>
    <w:basedOn w:val="80"/>
    <w:qFormat/>
    <w:uiPriority w:val="0"/>
    <w:pPr>
      <w:numPr>
        <w:ilvl w:val="0"/>
        <w:numId w:val="30"/>
      </w:numPr>
      <w:spacing w:line="300" w:lineRule="exact"/>
      <w:ind w:left="1276" w:hanging="425" w:firstLineChars="0"/>
    </w:pPr>
    <w:rPr>
      <w:rFonts w:ascii="Times New Roman"/>
    </w:rPr>
  </w:style>
  <w:style w:type="paragraph" w:customStyle="1" w:styleId="213">
    <w:name w:val="标准文件_一级项2"/>
    <w:basedOn w:val="80"/>
    <w:qFormat/>
    <w:uiPriority w:val="0"/>
    <w:pPr>
      <w:numPr>
        <w:ilvl w:val="0"/>
        <w:numId w:val="31"/>
      </w:numPr>
      <w:spacing w:line="300" w:lineRule="exact"/>
      <w:ind w:left="1271" w:hanging="420" w:firstLineChars="0"/>
    </w:pPr>
    <w:rPr>
      <w:rFonts w:ascii="Times New Roman"/>
    </w:rPr>
  </w:style>
  <w:style w:type="paragraph" w:customStyle="1" w:styleId="214">
    <w:name w:val="标准文件_提示"/>
    <w:basedOn w:val="80"/>
    <w:next w:val="80"/>
    <w:qFormat/>
    <w:uiPriority w:val="0"/>
    <w:pPr>
      <w:ind w:firstLine="420"/>
    </w:pPr>
    <w:rPr>
      <w:rFonts w:ascii="黑体" w:eastAsia="黑体"/>
    </w:rPr>
  </w:style>
  <w:style w:type="character" w:customStyle="1" w:styleId="215">
    <w:name w:val="标准文件_来源"/>
    <w:basedOn w:val="47"/>
    <w:qFormat/>
    <w:uiPriority w:val="1"/>
    <w:rPr>
      <w:rFonts w:eastAsia="宋体"/>
      <w:sz w:val="21"/>
    </w:rPr>
  </w:style>
  <w:style w:type="paragraph" w:customStyle="1" w:styleId="21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17">
    <w:name w:val="其他发布日期"/>
    <w:basedOn w:val="144"/>
    <w:qFormat/>
    <w:uiPriority w:val="99"/>
    <w:pPr>
      <w:framePr w:w="3997" w:h="471" w:hRule="exact" w:hSpace="0" w:vSpace="181" w:vAnchor="page" w:hAnchor="page" w:x="1419" w:y="14097"/>
    </w:pPr>
  </w:style>
  <w:style w:type="paragraph" w:customStyle="1" w:styleId="218">
    <w:name w:val="其他实施日期"/>
    <w:basedOn w:val="178"/>
    <w:qFormat/>
    <w:uiPriority w:val="99"/>
    <w:pPr>
      <w:framePr w:w="3997" w:h="471" w:hRule="exact" w:vSpace="181" w:vAnchor="page" w:hAnchor="page" w:x="7089" w:y="14097"/>
    </w:pPr>
  </w:style>
  <w:style w:type="paragraph" w:customStyle="1" w:styleId="219">
    <w:name w:val="标准文件_文件编号"/>
    <w:basedOn w:val="80"/>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20">
    <w:name w:val="标准文件_替换文件编号"/>
    <w:basedOn w:val="219"/>
    <w:qFormat/>
    <w:uiPriority w:val="0"/>
    <w:pPr>
      <w:framePr/>
      <w:spacing w:before="57"/>
    </w:pPr>
    <w:rPr>
      <w:sz w:val="21"/>
    </w:rPr>
  </w:style>
  <w:style w:type="paragraph" w:customStyle="1" w:styleId="221">
    <w:name w:val="标准文件_文件名称"/>
    <w:basedOn w:val="80"/>
    <w:next w:val="80"/>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22">
    <w:name w:val="标准文件_附录图标号"/>
    <w:basedOn w:val="80"/>
    <w:next w:val="8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23">
    <w:name w:val="标准文件_附录表标号"/>
    <w:basedOn w:val="80"/>
    <w:next w:val="80"/>
    <w:qFormat/>
    <w:uiPriority w:val="0"/>
    <w:pPr>
      <w:numPr>
        <w:ilvl w:val="0"/>
        <w:numId w:val="4"/>
      </w:numPr>
      <w:spacing w:line="14" w:lineRule="exact"/>
      <w:ind w:firstLine="0" w:firstLineChars="0"/>
      <w:jc w:val="center"/>
    </w:pPr>
    <w:rPr>
      <w:rFonts w:eastAsia="黑体"/>
      <w:vanish/>
      <w:sz w:val="2"/>
    </w:rPr>
  </w:style>
  <w:style w:type="paragraph" w:customStyle="1" w:styleId="224">
    <w:name w:val="标准文件_引言一级条标题"/>
    <w:basedOn w:val="80"/>
    <w:next w:val="80"/>
    <w:qFormat/>
    <w:uiPriority w:val="0"/>
    <w:pPr>
      <w:numPr>
        <w:ilvl w:val="1"/>
        <w:numId w:val="8"/>
      </w:numPr>
      <w:spacing w:before="50" w:beforeLines="50" w:after="50" w:afterLines="50"/>
      <w:ind w:firstLineChars="0"/>
    </w:pPr>
    <w:rPr>
      <w:rFonts w:ascii="黑体" w:eastAsia="黑体"/>
    </w:rPr>
  </w:style>
  <w:style w:type="paragraph" w:customStyle="1" w:styleId="225">
    <w:name w:val="标准文件_引言二级条标题"/>
    <w:basedOn w:val="80"/>
    <w:next w:val="80"/>
    <w:qFormat/>
    <w:uiPriority w:val="0"/>
    <w:pPr>
      <w:numPr>
        <w:ilvl w:val="2"/>
        <w:numId w:val="8"/>
      </w:numPr>
      <w:spacing w:before="50" w:beforeLines="50" w:after="50" w:afterLines="50"/>
      <w:ind w:firstLineChars="0"/>
    </w:pPr>
    <w:rPr>
      <w:rFonts w:ascii="黑体" w:eastAsia="黑体"/>
    </w:rPr>
  </w:style>
  <w:style w:type="paragraph" w:customStyle="1" w:styleId="226">
    <w:name w:val="标准文件_引言三级条标题"/>
    <w:basedOn w:val="80"/>
    <w:next w:val="80"/>
    <w:qFormat/>
    <w:uiPriority w:val="0"/>
    <w:pPr>
      <w:numPr>
        <w:ilvl w:val="3"/>
        <w:numId w:val="8"/>
      </w:numPr>
      <w:spacing w:before="50" w:beforeLines="50" w:after="50" w:afterLines="50"/>
      <w:ind w:firstLineChars="0"/>
    </w:pPr>
    <w:rPr>
      <w:rFonts w:ascii="黑体" w:eastAsia="黑体"/>
    </w:rPr>
  </w:style>
  <w:style w:type="paragraph" w:customStyle="1" w:styleId="227">
    <w:name w:val="标准文件_引言四级条标题"/>
    <w:basedOn w:val="80"/>
    <w:next w:val="80"/>
    <w:qFormat/>
    <w:uiPriority w:val="0"/>
    <w:pPr>
      <w:numPr>
        <w:ilvl w:val="4"/>
        <w:numId w:val="8"/>
      </w:numPr>
      <w:spacing w:before="50" w:beforeLines="50" w:after="50" w:afterLines="50"/>
      <w:ind w:firstLineChars="0"/>
    </w:pPr>
    <w:rPr>
      <w:rFonts w:ascii="黑体" w:eastAsia="黑体"/>
    </w:rPr>
  </w:style>
  <w:style w:type="paragraph" w:customStyle="1" w:styleId="228">
    <w:name w:val="标准文件_引言五级条标题"/>
    <w:basedOn w:val="80"/>
    <w:next w:val="80"/>
    <w:qFormat/>
    <w:uiPriority w:val="0"/>
    <w:pPr>
      <w:numPr>
        <w:ilvl w:val="5"/>
        <w:numId w:val="8"/>
      </w:numPr>
      <w:spacing w:before="50" w:beforeLines="50" w:after="50" w:afterLines="50"/>
      <w:ind w:firstLineChars="0"/>
    </w:pPr>
    <w:rPr>
      <w:rFonts w:ascii="黑体" w:eastAsia="黑体"/>
    </w:rPr>
  </w:style>
  <w:style w:type="paragraph" w:customStyle="1" w:styleId="229">
    <w:name w:val="标准文件_注后"/>
    <w:basedOn w:val="80"/>
    <w:qFormat/>
    <w:uiPriority w:val="0"/>
    <w:pPr>
      <w:ind w:left="811" w:firstLine="0" w:firstLineChars="0"/>
    </w:pPr>
    <w:rPr>
      <w:sz w:val="18"/>
    </w:rPr>
  </w:style>
  <w:style w:type="paragraph" w:customStyle="1" w:styleId="230">
    <w:name w:val="标准文件_注X后"/>
    <w:basedOn w:val="80"/>
    <w:qFormat/>
    <w:uiPriority w:val="0"/>
    <w:pPr>
      <w:ind w:left="811" w:firstLine="0" w:firstLineChars="0"/>
    </w:pPr>
    <w:rPr>
      <w:sz w:val="18"/>
    </w:rPr>
  </w:style>
  <w:style w:type="paragraph" w:customStyle="1" w:styleId="231">
    <w:name w:val="标准文件_示例后"/>
    <w:basedOn w:val="80"/>
    <w:qFormat/>
    <w:uiPriority w:val="0"/>
    <w:pPr>
      <w:ind w:left="964" w:firstLine="0" w:firstLineChars="0"/>
    </w:pPr>
    <w:rPr>
      <w:sz w:val="18"/>
    </w:rPr>
  </w:style>
  <w:style w:type="paragraph" w:customStyle="1" w:styleId="232">
    <w:name w:val="标准文件_示例X后"/>
    <w:basedOn w:val="80"/>
    <w:link w:val="233"/>
    <w:qFormat/>
    <w:uiPriority w:val="0"/>
    <w:pPr>
      <w:ind w:left="1049" w:firstLine="0" w:firstLineChars="0"/>
    </w:pPr>
    <w:rPr>
      <w:sz w:val="18"/>
    </w:rPr>
  </w:style>
  <w:style w:type="character" w:customStyle="1" w:styleId="233">
    <w:name w:val="标准文件_示例X后 字符"/>
    <w:basedOn w:val="208"/>
    <w:link w:val="232"/>
    <w:qFormat/>
    <w:uiPriority w:val="0"/>
    <w:rPr>
      <w:rFonts w:ascii="宋体" w:hAnsi="Times New Roman"/>
      <w:sz w:val="18"/>
    </w:rPr>
  </w:style>
  <w:style w:type="paragraph" w:customStyle="1" w:styleId="234">
    <w:name w:val="标准文件_索引项"/>
    <w:basedOn w:val="80"/>
    <w:next w:val="80"/>
    <w:qFormat/>
    <w:uiPriority w:val="0"/>
    <w:pPr>
      <w:tabs>
        <w:tab w:val="right" w:leader="dot" w:pos="9356"/>
      </w:tabs>
      <w:ind w:left="210" w:hanging="210" w:firstLineChars="0"/>
      <w:jc w:val="left"/>
    </w:pPr>
  </w:style>
  <w:style w:type="paragraph" w:customStyle="1" w:styleId="235">
    <w:name w:val="标准文件_附录一级无标题"/>
    <w:basedOn w:val="102"/>
    <w:qFormat/>
    <w:uiPriority w:val="0"/>
    <w:pPr>
      <w:spacing w:before="0" w:beforeLines="0" w:after="0" w:afterLines="0" w:line="276" w:lineRule="auto"/>
      <w:outlineLvl w:val="9"/>
    </w:pPr>
    <w:rPr>
      <w:rFonts w:ascii="宋体" w:eastAsia="宋体"/>
    </w:rPr>
  </w:style>
  <w:style w:type="paragraph" w:customStyle="1" w:styleId="236">
    <w:name w:val="标准文件_附录二级无标题"/>
    <w:basedOn w:val="103"/>
    <w:qFormat/>
    <w:uiPriority w:val="0"/>
    <w:pPr>
      <w:spacing w:before="0" w:beforeLines="0" w:after="0" w:afterLines="0" w:line="276" w:lineRule="auto"/>
      <w:outlineLvl w:val="9"/>
    </w:pPr>
    <w:rPr>
      <w:rFonts w:ascii="宋体" w:eastAsia="宋体"/>
    </w:rPr>
  </w:style>
  <w:style w:type="paragraph" w:customStyle="1" w:styleId="237">
    <w:name w:val="标准文件_附录三级无标题"/>
    <w:basedOn w:val="105"/>
    <w:qFormat/>
    <w:uiPriority w:val="0"/>
    <w:pPr>
      <w:spacing w:before="0" w:beforeLines="0" w:after="0" w:afterLines="0" w:line="276" w:lineRule="auto"/>
      <w:outlineLvl w:val="9"/>
    </w:pPr>
    <w:rPr>
      <w:rFonts w:ascii="宋体" w:eastAsia="宋体"/>
    </w:rPr>
  </w:style>
  <w:style w:type="paragraph" w:customStyle="1" w:styleId="238">
    <w:name w:val="标准文件_附录四级无标题"/>
    <w:basedOn w:val="106"/>
    <w:qFormat/>
    <w:uiPriority w:val="0"/>
    <w:pPr>
      <w:spacing w:before="0" w:beforeLines="0" w:after="0" w:afterLines="0" w:line="276" w:lineRule="auto"/>
      <w:outlineLvl w:val="9"/>
    </w:pPr>
    <w:rPr>
      <w:rFonts w:ascii="宋体" w:eastAsia="宋体"/>
    </w:rPr>
  </w:style>
  <w:style w:type="paragraph" w:customStyle="1" w:styleId="239">
    <w:name w:val="标准文件_附录五级无标题"/>
    <w:basedOn w:val="108"/>
    <w:qFormat/>
    <w:uiPriority w:val="0"/>
    <w:pPr>
      <w:spacing w:before="0" w:beforeLines="0" w:after="0" w:afterLines="0" w:line="276" w:lineRule="auto"/>
      <w:outlineLvl w:val="9"/>
    </w:pPr>
    <w:rPr>
      <w:rFonts w:ascii="宋体" w:eastAsia="宋体"/>
    </w:rPr>
  </w:style>
  <w:style w:type="paragraph" w:customStyle="1" w:styleId="240">
    <w:name w:val="标准文件_引言一级无标题"/>
    <w:basedOn w:val="224"/>
    <w:next w:val="80"/>
    <w:qFormat/>
    <w:uiPriority w:val="0"/>
    <w:pPr>
      <w:spacing w:before="0" w:beforeLines="0" w:after="0" w:afterLines="0" w:line="276" w:lineRule="auto"/>
    </w:pPr>
    <w:rPr>
      <w:rFonts w:ascii="宋体" w:eastAsia="宋体"/>
    </w:rPr>
  </w:style>
  <w:style w:type="paragraph" w:customStyle="1" w:styleId="241">
    <w:name w:val="标准文件_引言二级无标题"/>
    <w:basedOn w:val="225"/>
    <w:next w:val="80"/>
    <w:qFormat/>
    <w:uiPriority w:val="0"/>
    <w:pPr>
      <w:spacing w:before="0" w:beforeLines="0" w:after="0" w:afterLines="0" w:line="276" w:lineRule="auto"/>
    </w:pPr>
    <w:rPr>
      <w:rFonts w:ascii="宋体" w:eastAsia="宋体"/>
    </w:rPr>
  </w:style>
  <w:style w:type="paragraph" w:customStyle="1" w:styleId="242">
    <w:name w:val="标准文件_引言三级无标题"/>
    <w:basedOn w:val="226"/>
    <w:next w:val="80"/>
    <w:qFormat/>
    <w:uiPriority w:val="0"/>
    <w:pPr>
      <w:spacing w:before="0" w:beforeLines="0" w:after="0" w:afterLines="0" w:line="276" w:lineRule="auto"/>
    </w:pPr>
    <w:rPr>
      <w:rFonts w:ascii="宋体" w:eastAsia="宋体"/>
    </w:rPr>
  </w:style>
  <w:style w:type="paragraph" w:customStyle="1" w:styleId="243">
    <w:name w:val="标准文件_引言四级无标题"/>
    <w:basedOn w:val="227"/>
    <w:next w:val="80"/>
    <w:qFormat/>
    <w:uiPriority w:val="0"/>
    <w:pPr>
      <w:spacing w:before="0" w:beforeLines="0" w:after="0" w:afterLines="0" w:line="276" w:lineRule="auto"/>
    </w:pPr>
    <w:rPr>
      <w:rFonts w:ascii="宋体" w:eastAsia="宋体"/>
    </w:rPr>
  </w:style>
  <w:style w:type="paragraph" w:customStyle="1" w:styleId="244">
    <w:name w:val="标准文件_引言五级无标题"/>
    <w:basedOn w:val="228"/>
    <w:next w:val="80"/>
    <w:qFormat/>
    <w:uiPriority w:val="0"/>
    <w:pPr>
      <w:spacing w:before="0" w:beforeLines="0" w:after="0" w:afterLines="0" w:line="276" w:lineRule="auto"/>
    </w:pPr>
    <w:rPr>
      <w:rFonts w:ascii="宋体" w:eastAsia="宋体"/>
    </w:rPr>
  </w:style>
  <w:style w:type="paragraph" w:customStyle="1" w:styleId="245">
    <w:name w:val="标准文件_索引标题"/>
    <w:basedOn w:val="87"/>
    <w:next w:val="80"/>
    <w:qFormat/>
    <w:uiPriority w:val="0"/>
    <w:rPr>
      <w:rFonts w:hAnsi="黑体"/>
    </w:rPr>
  </w:style>
  <w:style w:type="paragraph" w:customStyle="1" w:styleId="246">
    <w:name w:val="标准文件_脚注内容"/>
    <w:basedOn w:val="80"/>
    <w:qFormat/>
    <w:uiPriority w:val="0"/>
    <w:pPr>
      <w:ind w:left="400" w:leftChars="200" w:hanging="200" w:hangingChars="200"/>
    </w:pPr>
    <w:rPr>
      <w:sz w:val="15"/>
    </w:rPr>
  </w:style>
  <w:style w:type="paragraph" w:customStyle="1" w:styleId="247">
    <w:name w:val="标准文件_术语条一"/>
    <w:basedOn w:val="186"/>
    <w:next w:val="80"/>
    <w:qFormat/>
    <w:uiPriority w:val="0"/>
  </w:style>
  <w:style w:type="paragraph" w:customStyle="1" w:styleId="248">
    <w:name w:val="标准文件_术语条二"/>
    <w:basedOn w:val="189"/>
    <w:next w:val="80"/>
    <w:qFormat/>
    <w:uiPriority w:val="0"/>
  </w:style>
  <w:style w:type="paragraph" w:customStyle="1" w:styleId="249">
    <w:name w:val="标准文件_术语条三"/>
    <w:basedOn w:val="188"/>
    <w:next w:val="80"/>
    <w:qFormat/>
    <w:uiPriority w:val="0"/>
  </w:style>
  <w:style w:type="paragraph" w:customStyle="1" w:styleId="250">
    <w:name w:val="标准文件_术语条四"/>
    <w:basedOn w:val="191"/>
    <w:next w:val="80"/>
    <w:qFormat/>
    <w:uiPriority w:val="0"/>
  </w:style>
  <w:style w:type="paragraph" w:customStyle="1" w:styleId="251">
    <w:name w:val="标准文件_术语条五"/>
    <w:basedOn w:val="187"/>
    <w:next w:val="80"/>
    <w:qFormat/>
    <w:uiPriority w:val="0"/>
  </w:style>
  <w:style w:type="paragraph" w:customStyle="1" w:styleId="25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53">
    <w:name w:val="发布"/>
    <w:basedOn w:val="47"/>
    <w:qFormat/>
    <w:uiPriority w:val="99"/>
    <w:rPr>
      <w:rFonts w:ascii="黑体" w:eastAsia="黑体"/>
      <w:spacing w:val="85"/>
      <w:w w:val="100"/>
      <w:position w:val="3"/>
      <w:sz w:val="28"/>
      <w:szCs w:val="28"/>
    </w:rPr>
  </w:style>
  <w:style w:type="paragraph" w:customStyle="1" w:styleId="254">
    <w:name w:val="列出段落1"/>
    <w:basedOn w:val="1"/>
    <w:qFormat/>
    <w:uiPriority w:val="34"/>
    <w:pPr>
      <w:ind w:firstLine="420" w:firstLineChars="200"/>
    </w:pPr>
  </w:style>
  <w:style w:type="paragraph" w:customStyle="1" w:styleId="255">
    <w:name w:val="1"/>
    <w:basedOn w:val="1"/>
    <w:qFormat/>
    <w:uiPriority w:val="0"/>
    <w:pPr>
      <w:widowControl/>
      <w:adjustRightInd/>
      <w:spacing w:after="160" w:line="240" w:lineRule="exact"/>
      <w:jc w:val="left"/>
    </w:pPr>
    <w:rPr>
      <w:rFonts w:ascii="宋体" w:hAnsi="宋体"/>
      <w:lang w:eastAsia="en-US"/>
    </w:rPr>
  </w:style>
  <w:style w:type="paragraph" w:customStyle="1" w:styleId="256">
    <w:name w:val="章标题"/>
    <w:next w:val="257"/>
    <w:qFormat/>
    <w:uiPriority w:val="0"/>
    <w:pPr>
      <w:numPr>
        <w:ilvl w:val="0"/>
        <w:numId w:val="32"/>
      </w:numPr>
      <w:spacing w:beforeLines="100" w:afterLines="100"/>
      <w:jc w:val="both"/>
      <w:outlineLvl w:val="1"/>
    </w:pPr>
    <w:rPr>
      <w:rFonts w:ascii="黑体" w:hAnsi="Times New Roman" w:eastAsia="黑体" w:cs="Times New Roman"/>
      <w:sz w:val="21"/>
      <w:szCs w:val="22"/>
      <w:lang w:val="en-US" w:eastAsia="zh-CN" w:bidi="ar-SA"/>
    </w:rPr>
  </w:style>
  <w:style w:type="paragraph" w:customStyle="1" w:styleId="257">
    <w:name w:val="段"/>
    <w:link w:val="31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258">
    <w:name w:val="一级条标题"/>
    <w:next w:val="257"/>
    <w:link w:val="314"/>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59">
    <w:name w:val="字母编号列项（一级）"/>
    <w:qFormat/>
    <w:uiPriority w:val="99"/>
    <w:pPr>
      <w:numPr>
        <w:ilvl w:val="0"/>
        <w:numId w:val="13"/>
      </w:numPr>
      <w:jc w:val="both"/>
    </w:pPr>
    <w:rPr>
      <w:rFonts w:ascii="宋体" w:hAnsi="Times New Roman" w:eastAsia="宋体" w:cs="Times New Roman"/>
      <w:sz w:val="21"/>
      <w:szCs w:val="22"/>
      <w:lang w:val="en-US" w:eastAsia="zh-CN" w:bidi="ar-SA"/>
    </w:rPr>
  </w:style>
  <w:style w:type="paragraph" w:customStyle="1" w:styleId="260">
    <w:name w:val="TOC 标题1"/>
    <w:basedOn w:val="2"/>
    <w:next w:val="1"/>
    <w:unhideWhenUsed/>
    <w:qFormat/>
    <w:uiPriority w:val="39"/>
    <w:pPr>
      <w:widowControl/>
      <w:adjustRightInd/>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61">
    <w:name w:val="文档结构图 Char"/>
    <w:semiHidden/>
    <w:qFormat/>
    <w:locked/>
    <w:uiPriority w:val="99"/>
    <w:rPr>
      <w:kern w:val="2"/>
      <w:sz w:val="21"/>
      <w:szCs w:val="24"/>
      <w:shd w:val="clear" w:color="auto" w:fill="000080"/>
    </w:rPr>
  </w:style>
  <w:style w:type="character" w:customStyle="1" w:styleId="262">
    <w:name w:val="尾注文本 Char"/>
    <w:semiHidden/>
    <w:qFormat/>
    <w:locked/>
    <w:uiPriority w:val="99"/>
    <w:rPr>
      <w:kern w:val="2"/>
      <w:sz w:val="21"/>
      <w:szCs w:val="24"/>
    </w:rPr>
  </w:style>
  <w:style w:type="character" w:customStyle="1" w:styleId="263">
    <w:name w:val="正文文本缩进 Char"/>
    <w:qFormat/>
    <w:uiPriority w:val="99"/>
    <w:rPr>
      <w:kern w:val="2"/>
      <w:sz w:val="21"/>
    </w:rPr>
  </w:style>
  <w:style w:type="character" w:customStyle="1" w:styleId="264">
    <w:name w:val="批注主题 Char"/>
    <w:qFormat/>
    <w:uiPriority w:val="99"/>
    <w:rPr>
      <w:b/>
      <w:bCs/>
      <w:kern w:val="2"/>
      <w:sz w:val="21"/>
      <w:szCs w:val="24"/>
    </w:rPr>
  </w:style>
  <w:style w:type="character" w:customStyle="1" w:styleId="265">
    <w:name w:val="正文首行缩进 2 Char"/>
    <w:link w:val="266"/>
    <w:qFormat/>
    <w:uiPriority w:val="0"/>
    <w:rPr>
      <w:kern w:val="2"/>
      <w:sz w:val="21"/>
      <w:szCs w:val="24"/>
    </w:rPr>
  </w:style>
  <w:style w:type="paragraph" w:customStyle="1" w:styleId="266">
    <w:name w:val="_Style 399"/>
    <w:basedOn w:val="1"/>
    <w:next w:val="254"/>
    <w:link w:val="265"/>
    <w:qFormat/>
    <w:uiPriority w:val="0"/>
    <w:pPr>
      <w:adjustRightInd/>
      <w:spacing w:line="360" w:lineRule="exact"/>
      <w:ind w:firstLine="420" w:firstLineChars="200"/>
    </w:pPr>
    <w:rPr>
      <w:rFonts w:cs="Arial"/>
      <w:szCs w:val="24"/>
    </w:rPr>
  </w:style>
  <w:style w:type="character" w:customStyle="1" w:styleId="267">
    <w:name w:val="日期 Char"/>
    <w:semiHidden/>
    <w:qFormat/>
    <w:locked/>
    <w:uiPriority w:val="0"/>
    <w:rPr>
      <w:rFonts w:eastAsia="宋体"/>
      <w:kern w:val="2"/>
      <w:sz w:val="21"/>
      <w:lang w:val="en-US" w:eastAsia="zh-CN" w:bidi="ar-SA"/>
    </w:rPr>
  </w:style>
  <w:style w:type="character" w:customStyle="1" w:styleId="268">
    <w:name w:val="正文文本首行缩进 2 字符"/>
    <w:semiHidden/>
    <w:qFormat/>
    <w:uiPriority w:val="99"/>
    <w:rPr>
      <w:kern w:val="2"/>
      <w:sz w:val="21"/>
      <w:szCs w:val="21"/>
    </w:rPr>
  </w:style>
  <w:style w:type="character" w:customStyle="1" w:styleId="269">
    <w:name w:val="尾注文本 字符"/>
    <w:semiHidden/>
    <w:qFormat/>
    <w:uiPriority w:val="99"/>
    <w:rPr>
      <w:kern w:val="2"/>
      <w:sz w:val="21"/>
      <w:szCs w:val="21"/>
    </w:rPr>
  </w:style>
  <w:style w:type="character" w:customStyle="1" w:styleId="270">
    <w:name w:val="文档结构图 字符"/>
    <w:semiHidden/>
    <w:qFormat/>
    <w:uiPriority w:val="99"/>
    <w:rPr>
      <w:rFonts w:ascii="Microsoft YaHei UI" w:eastAsia="Microsoft YaHei UI"/>
      <w:kern w:val="2"/>
      <w:sz w:val="18"/>
      <w:szCs w:val="18"/>
    </w:rPr>
  </w:style>
  <w:style w:type="character" w:customStyle="1" w:styleId="271">
    <w:name w:val="批注主题 字符"/>
    <w:semiHidden/>
    <w:qFormat/>
    <w:uiPriority w:val="99"/>
    <w:rPr>
      <w:b/>
      <w:bCs/>
      <w:kern w:val="2"/>
      <w:sz w:val="21"/>
      <w:szCs w:val="21"/>
    </w:rPr>
  </w:style>
  <w:style w:type="character" w:customStyle="1" w:styleId="272">
    <w:name w:val="附录公式 Char"/>
    <w:link w:val="273"/>
    <w:qFormat/>
    <w:uiPriority w:val="99"/>
    <w:rPr>
      <w:rFonts w:ascii="宋体" w:hAnsi="宋体"/>
      <w:sz w:val="21"/>
    </w:rPr>
  </w:style>
  <w:style w:type="paragraph" w:customStyle="1" w:styleId="273">
    <w:name w:val="附录公式"/>
    <w:basedOn w:val="257"/>
    <w:next w:val="257"/>
    <w:link w:val="272"/>
    <w:qFormat/>
    <w:uiPriority w:val="99"/>
    <w:pPr>
      <w:ind w:firstLine="0" w:firstLineChars="0"/>
    </w:pPr>
    <w:rPr>
      <w:rFonts w:hAnsi="宋体" w:cs="Arial"/>
      <w:szCs w:val="20"/>
    </w:rPr>
  </w:style>
  <w:style w:type="character" w:customStyle="1" w:styleId="274">
    <w:name w:val="15"/>
    <w:qFormat/>
    <w:uiPriority w:val="0"/>
    <w:rPr>
      <w:rFonts w:hint="default" w:ascii="Times New Roman" w:hAnsi="Times New Roman" w:cs="Times New Roman"/>
      <w:color w:val="0000FF"/>
      <w:spacing w:val="0"/>
      <w:u w:val="single"/>
    </w:rPr>
  </w:style>
  <w:style w:type="character" w:customStyle="1" w:styleId="275">
    <w:name w:val="标题 1 字符1"/>
    <w:qFormat/>
    <w:locked/>
    <w:uiPriority w:val="99"/>
    <w:rPr>
      <w:rFonts w:ascii="Times New Roman" w:hAnsi="Times New Roman" w:eastAsia="宋体" w:cs="Times New Roman"/>
      <w:b/>
      <w:bCs/>
      <w:kern w:val="44"/>
      <w:sz w:val="44"/>
      <w:szCs w:val="44"/>
    </w:rPr>
  </w:style>
  <w:style w:type="character" w:customStyle="1" w:styleId="276">
    <w:name w:val="附录 Char"/>
    <w:link w:val="277"/>
    <w:qFormat/>
    <w:locked/>
    <w:uiPriority w:val="99"/>
    <w:rPr>
      <w:rFonts w:ascii="黑体" w:hAnsi="黑体" w:eastAsia="黑体"/>
      <w:b/>
      <w:bCs/>
      <w:kern w:val="44"/>
      <w:sz w:val="21"/>
      <w:szCs w:val="44"/>
    </w:rPr>
  </w:style>
  <w:style w:type="paragraph" w:customStyle="1" w:styleId="277">
    <w:name w:val="附录"/>
    <w:basedOn w:val="278"/>
    <w:link w:val="276"/>
    <w:qFormat/>
    <w:uiPriority w:val="99"/>
    <w:pPr>
      <w:spacing w:before="0" w:after="0" w:line="360" w:lineRule="exact"/>
      <w:jc w:val="center"/>
    </w:pPr>
    <w:rPr>
      <w:rFonts w:ascii="黑体" w:hAnsi="黑体"/>
    </w:rPr>
  </w:style>
  <w:style w:type="paragraph" w:customStyle="1" w:styleId="278">
    <w:name w:val="标题1"/>
    <w:basedOn w:val="2"/>
    <w:link w:val="316"/>
    <w:qFormat/>
    <w:uiPriority w:val="99"/>
    <w:pPr>
      <w:adjustRightInd/>
      <w:spacing w:beforeLines="100" w:afterLines="100" w:line="400" w:lineRule="exact"/>
      <w:jc w:val="left"/>
    </w:pPr>
    <w:rPr>
      <w:rFonts w:ascii="Adobe 黑体 Std R" w:hAnsi="Adobe 黑体 Std R" w:eastAsia="黑体" w:cs="Arial"/>
      <w:sz w:val="21"/>
    </w:rPr>
  </w:style>
  <w:style w:type="character" w:customStyle="1" w:styleId="279">
    <w:name w:val="批注框文本 字符1"/>
    <w:semiHidden/>
    <w:qFormat/>
    <w:uiPriority w:val="99"/>
    <w:rPr>
      <w:rFonts w:ascii="Times New Roman" w:hAnsi="Times New Roman" w:eastAsia="宋体"/>
      <w:sz w:val="16"/>
      <w:szCs w:val="0"/>
    </w:rPr>
  </w:style>
  <w:style w:type="character" w:customStyle="1" w:styleId="280">
    <w:name w:val="Body Text Indent Char"/>
    <w:qFormat/>
    <w:locked/>
    <w:uiPriority w:val="99"/>
  </w:style>
  <w:style w:type="character" w:customStyle="1" w:styleId="281">
    <w:name w:val="标题 1 字符2"/>
    <w:qFormat/>
    <w:locked/>
    <w:uiPriority w:val="0"/>
    <w:rPr>
      <w:rFonts w:eastAsia="宋体"/>
      <w:b/>
      <w:bCs/>
      <w:kern w:val="44"/>
      <w:sz w:val="44"/>
      <w:szCs w:val="44"/>
      <w:lang w:val="en-US" w:eastAsia="zh-CN" w:bidi="ar-SA"/>
    </w:rPr>
  </w:style>
  <w:style w:type="character" w:customStyle="1" w:styleId="282">
    <w:name w:val="脚注文本 Char"/>
    <w:qFormat/>
    <w:locked/>
    <w:uiPriority w:val="99"/>
    <w:rPr>
      <w:rFonts w:ascii="宋体"/>
      <w:kern w:val="2"/>
      <w:sz w:val="18"/>
      <w:szCs w:val="18"/>
      <w:lang w:val="zh-CN" w:eastAsia="zh-CN"/>
    </w:rPr>
  </w:style>
  <w:style w:type="character" w:customStyle="1" w:styleId="283">
    <w:name w:val="标题2 Char"/>
    <w:link w:val="284"/>
    <w:qFormat/>
    <w:locked/>
    <w:uiPriority w:val="99"/>
    <w:rPr>
      <w:rFonts w:ascii="Adobe 黑体 Std R" w:hAnsi="Adobe 黑体 Std R" w:eastAsia="黑体"/>
      <w:bCs/>
      <w:kern w:val="2"/>
      <w:sz w:val="21"/>
      <w:szCs w:val="32"/>
    </w:rPr>
  </w:style>
  <w:style w:type="paragraph" w:customStyle="1" w:styleId="284">
    <w:name w:val="标题2"/>
    <w:basedOn w:val="3"/>
    <w:link w:val="283"/>
    <w:qFormat/>
    <w:uiPriority w:val="99"/>
    <w:pPr>
      <w:adjustRightInd/>
      <w:spacing w:before="0" w:after="0" w:line="400" w:lineRule="exact"/>
      <w:jc w:val="left"/>
    </w:pPr>
    <w:rPr>
      <w:rFonts w:ascii="Adobe 黑体 Std R" w:hAnsi="Adobe 黑体 Std R" w:cs="Arial"/>
      <w:b w:val="0"/>
      <w:sz w:val="21"/>
    </w:rPr>
  </w:style>
  <w:style w:type="character" w:customStyle="1" w:styleId="285">
    <w:name w:val="页脚 字符2"/>
    <w:qFormat/>
    <w:locked/>
    <w:uiPriority w:val="99"/>
    <w:rPr>
      <w:rFonts w:eastAsia="宋体"/>
      <w:kern w:val="2"/>
      <w:sz w:val="18"/>
      <w:szCs w:val="18"/>
      <w:lang w:val="en-US" w:eastAsia="zh-CN" w:bidi="ar-SA"/>
    </w:rPr>
  </w:style>
  <w:style w:type="character" w:customStyle="1" w:styleId="286">
    <w:name w:val="Balloon Text Char"/>
    <w:qFormat/>
    <w:locked/>
    <w:uiPriority w:val="99"/>
    <w:rPr>
      <w:sz w:val="18"/>
      <w:szCs w:val="18"/>
    </w:rPr>
  </w:style>
  <w:style w:type="character" w:customStyle="1" w:styleId="287">
    <w:name w:val="short_text"/>
    <w:qFormat/>
    <w:uiPriority w:val="99"/>
    <w:rPr>
      <w:rFonts w:cs="Times New Roman"/>
    </w:rPr>
  </w:style>
  <w:style w:type="character" w:customStyle="1" w:styleId="288">
    <w:name w:val="标题 3 字符1"/>
    <w:qFormat/>
    <w:locked/>
    <w:uiPriority w:val="99"/>
    <w:rPr>
      <w:rFonts w:ascii="Times New Roman" w:hAnsi="Times New Roman" w:eastAsia="宋体" w:cs="Times New Roman"/>
      <w:b/>
      <w:bCs/>
      <w:sz w:val="32"/>
      <w:szCs w:val="32"/>
    </w:rPr>
  </w:style>
  <w:style w:type="character" w:customStyle="1" w:styleId="289">
    <w:name w:val="批注框文本 字符2"/>
    <w:qFormat/>
    <w:uiPriority w:val="99"/>
    <w:rPr>
      <w:kern w:val="2"/>
      <w:sz w:val="18"/>
      <w:szCs w:val="18"/>
    </w:rPr>
  </w:style>
  <w:style w:type="character" w:customStyle="1" w:styleId="290">
    <w:name w:val="标题3 Char"/>
    <w:link w:val="291"/>
    <w:qFormat/>
    <w:locked/>
    <w:uiPriority w:val="99"/>
    <w:rPr>
      <w:rFonts w:ascii="Adobe 黑体 Std R" w:hAnsi="Adobe 黑体 Std R" w:eastAsia="黑体"/>
      <w:bCs/>
      <w:kern w:val="2"/>
      <w:sz w:val="21"/>
      <w:szCs w:val="32"/>
    </w:rPr>
  </w:style>
  <w:style w:type="paragraph" w:customStyle="1" w:styleId="291">
    <w:name w:val="标题3"/>
    <w:basedOn w:val="3"/>
    <w:link w:val="290"/>
    <w:qFormat/>
    <w:uiPriority w:val="99"/>
    <w:pPr>
      <w:adjustRightInd/>
      <w:spacing w:before="0" w:after="0" w:line="400" w:lineRule="exact"/>
      <w:jc w:val="left"/>
      <w:outlineLvl w:val="2"/>
    </w:pPr>
    <w:rPr>
      <w:rFonts w:ascii="Adobe 黑体 Std R" w:hAnsi="Adobe 黑体 Std R" w:cs="Arial"/>
      <w:b w:val="0"/>
      <w:sz w:val="21"/>
    </w:rPr>
  </w:style>
  <w:style w:type="character" w:customStyle="1" w:styleId="292">
    <w:name w:val="正文文本缩进 字符2"/>
    <w:qFormat/>
    <w:uiPriority w:val="0"/>
    <w:rPr>
      <w:kern w:val="2"/>
      <w:sz w:val="21"/>
    </w:rPr>
  </w:style>
  <w:style w:type="character" w:customStyle="1" w:styleId="293">
    <w:name w:val="layui-this"/>
    <w:qFormat/>
    <w:uiPriority w:val="0"/>
    <w:rPr>
      <w:bdr w:val="single" w:color="EEEEEE" w:sz="4" w:space="0"/>
      <w:shd w:val="clear" w:color="auto" w:fill="FFFFFF"/>
    </w:rPr>
  </w:style>
  <w:style w:type="character" w:customStyle="1" w:styleId="294">
    <w:name w:val="批注框文本 Char"/>
    <w:qFormat/>
    <w:uiPriority w:val="99"/>
    <w:rPr>
      <w:kern w:val="2"/>
      <w:sz w:val="18"/>
      <w:szCs w:val="18"/>
    </w:rPr>
  </w:style>
  <w:style w:type="character" w:customStyle="1" w:styleId="295">
    <w:name w:val="标题 2 字符1"/>
    <w:qFormat/>
    <w:locked/>
    <w:uiPriority w:val="99"/>
    <w:rPr>
      <w:rFonts w:ascii="Arial" w:hAnsi="Arial" w:eastAsia="黑体" w:cs="Arial"/>
      <w:b/>
      <w:bCs/>
      <w:sz w:val="32"/>
      <w:szCs w:val="32"/>
    </w:rPr>
  </w:style>
  <w:style w:type="character" w:customStyle="1" w:styleId="296">
    <w:name w:val="正文文本 Char"/>
    <w:qFormat/>
    <w:uiPriority w:val="99"/>
    <w:rPr>
      <w:rFonts w:ascii="Calibri" w:hAnsi="Calibri"/>
      <w:kern w:val="2"/>
      <w:sz w:val="21"/>
      <w:szCs w:val="24"/>
    </w:rPr>
  </w:style>
  <w:style w:type="character" w:customStyle="1" w:styleId="297">
    <w:name w:val="Comment Subject Char"/>
    <w:qFormat/>
    <w:locked/>
    <w:uiPriority w:val="99"/>
    <w:rPr>
      <w:b/>
      <w:bCs/>
      <w:sz w:val="24"/>
      <w:szCs w:val="24"/>
    </w:rPr>
  </w:style>
  <w:style w:type="character" w:customStyle="1" w:styleId="298">
    <w:name w:val="正文首行缩进 2 Char1"/>
    <w:link w:val="31"/>
    <w:qFormat/>
    <w:uiPriority w:val="0"/>
    <w:rPr>
      <w:kern w:val="2"/>
      <w:sz w:val="21"/>
      <w:szCs w:val="24"/>
    </w:rPr>
  </w:style>
  <w:style w:type="character" w:customStyle="1" w:styleId="299">
    <w:name w:val="尾注文本 Char1"/>
    <w:link w:val="28"/>
    <w:semiHidden/>
    <w:qFormat/>
    <w:locked/>
    <w:uiPriority w:val="99"/>
    <w:rPr>
      <w:kern w:val="2"/>
      <w:sz w:val="21"/>
      <w:szCs w:val="24"/>
    </w:rPr>
  </w:style>
  <w:style w:type="character" w:customStyle="1" w:styleId="300">
    <w:name w:val="正文文本缩进 Char1"/>
    <w:link w:val="21"/>
    <w:qFormat/>
    <w:uiPriority w:val="99"/>
    <w:rPr>
      <w:kern w:val="2"/>
      <w:sz w:val="21"/>
    </w:rPr>
  </w:style>
  <w:style w:type="character" w:customStyle="1" w:styleId="301">
    <w:name w:val="批注文字 Char1"/>
    <w:link w:val="12"/>
    <w:qFormat/>
    <w:uiPriority w:val="99"/>
    <w:rPr>
      <w:kern w:val="2"/>
      <w:sz w:val="21"/>
      <w:szCs w:val="21"/>
    </w:rPr>
  </w:style>
  <w:style w:type="character" w:customStyle="1" w:styleId="302">
    <w:name w:val="已访问的超链接1"/>
    <w:qFormat/>
    <w:uiPriority w:val="99"/>
    <w:rPr>
      <w:color w:val="800080"/>
      <w:u w:val="single"/>
    </w:rPr>
  </w:style>
  <w:style w:type="character" w:customStyle="1" w:styleId="303">
    <w:name w:val="批注主题 Char1"/>
    <w:link w:val="11"/>
    <w:qFormat/>
    <w:uiPriority w:val="99"/>
    <w:rPr>
      <w:b/>
      <w:bCs/>
      <w:kern w:val="2"/>
      <w:sz w:val="21"/>
      <w:szCs w:val="24"/>
    </w:rPr>
  </w:style>
  <w:style w:type="character" w:customStyle="1" w:styleId="304">
    <w:name w:val="hps"/>
    <w:qFormat/>
    <w:uiPriority w:val="99"/>
    <w:rPr>
      <w:rFonts w:cs="Times New Roman"/>
    </w:rPr>
  </w:style>
  <w:style w:type="character" w:customStyle="1" w:styleId="305">
    <w:name w:val="页眉 Char"/>
    <w:qFormat/>
    <w:locked/>
    <w:uiPriority w:val="99"/>
    <w:rPr>
      <w:rFonts w:eastAsia="宋体"/>
      <w:kern w:val="2"/>
      <w:sz w:val="18"/>
      <w:szCs w:val="18"/>
      <w:lang w:val="en-US" w:eastAsia="zh-CN" w:bidi="ar-SA"/>
    </w:rPr>
  </w:style>
  <w:style w:type="character" w:customStyle="1" w:styleId="306">
    <w:name w:val="正文文本 字符2"/>
    <w:qFormat/>
    <w:uiPriority w:val="0"/>
  </w:style>
  <w:style w:type="character" w:customStyle="1" w:styleId="307">
    <w:name w:val="first-child"/>
    <w:basedOn w:val="47"/>
    <w:qFormat/>
    <w:uiPriority w:val="0"/>
  </w:style>
  <w:style w:type="character" w:customStyle="1" w:styleId="308">
    <w:name w:val="标题 3 Char"/>
    <w:semiHidden/>
    <w:qFormat/>
    <w:uiPriority w:val="0"/>
    <w:rPr>
      <w:b/>
      <w:bCs/>
      <w:kern w:val="2"/>
      <w:sz w:val="32"/>
      <w:szCs w:val="32"/>
    </w:rPr>
  </w:style>
  <w:style w:type="character" w:customStyle="1" w:styleId="309">
    <w:name w:val="正文文本缩进 字符"/>
    <w:semiHidden/>
    <w:qFormat/>
    <w:uiPriority w:val="99"/>
    <w:rPr>
      <w:kern w:val="2"/>
      <w:sz w:val="21"/>
      <w:szCs w:val="21"/>
    </w:rPr>
  </w:style>
  <w:style w:type="character" w:customStyle="1" w:styleId="310">
    <w:name w:val="font21"/>
    <w:qFormat/>
    <w:uiPriority w:val="0"/>
    <w:rPr>
      <w:rFonts w:hint="eastAsia" w:ascii="宋体" w:hAnsi="宋体" w:eastAsia="宋体" w:cs="宋体"/>
      <w:b/>
      <w:color w:val="000000"/>
      <w:sz w:val="24"/>
      <w:szCs w:val="24"/>
      <w:u w:val="none"/>
    </w:rPr>
  </w:style>
  <w:style w:type="character" w:customStyle="1" w:styleId="311">
    <w:name w:val="段 Char"/>
    <w:link w:val="257"/>
    <w:qFormat/>
    <w:uiPriority w:val="0"/>
    <w:rPr>
      <w:rFonts w:ascii="宋体" w:hAnsi="Times New Roman" w:cs="Times New Roman"/>
      <w:sz w:val="21"/>
      <w:szCs w:val="22"/>
    </w:rPr>
  </w:style>
  <w:style w:type="character" w:customStyle="1" w:styleId="312">
    <w:name w:val="Footer Char"/>
    <w:qFormat/>
    <w:locked/>
    <w:uiPriority w:val="99"/>
    <w:rPr>
      <w:rFonts w:eastAsia="宋体"/>
      <w:sz w:val="18"/>
      <w:szCs w:val="18"/>
    </w:rPr>
  </w:style>
  <w:style w:type="character" w:customStyle="1" w:styleId="313">
    <w:name w:val="批注文字 字符1"/>
    <w:qFormat/>
    <w:uiPriority w:val="99"/>
    <w:rPr>
      <w:kern w:val="2"/>
      <w:sz w:val="21"/>
      <w:szCs w:val="24"/>
    </w:rPr>
  </w:style>
  <w:style w:type="character" w:customStyle="1" w:styleId="314">
    <w:name w:val="一级条标题 字符"/>
    <w:link w:val="258"/>
    <w:qFormat/>
    <w:uiPriority w:val="0"/>
    <w:rPr>
      <w:rFonts w:ascii="黑体" w:hAnsi="Times New Roman" w:eastAsia="黑体" w:cs="Times New Roman"/>
      <w:sz w:val="21"/>
      <w:szCs w:val="21"/>
    </w:rPr>
  </w:style>
  <w:style w:type="character" w:customStyle="1" w:styleId="315">
    <w:name w:val="标题 2 Char"/>
    <w:semiHidden/>
    <w:qFormat/>
    <w:locked/>
    <w:uiPriority w:val="0"/>
    <w:rPr>
      <w:rFonts w:ascii="Arial" w:hAnsi="Arial" w:eastAsia="黑体"/>
      <w:b/>
      <w:bCs/>
      <w:kern w:val="2"/>
      <w:sz w:val="32"/>
      <w:szCs w:val="32"/>
      <w:lang w:val="en-US" w:eastAsia="zh-CN" w:bidi="ar-SA"/>
    </w:rPr>
  </w:style>
  <w:style w:type="character" w:customStyle="1" w:styleId="316">
    <w:name w:val="标题1 Char"/>
    <w:link w:val="278"/>
    <w:qFormat/>
    <w:locked/>
    <w:uiPriority w:val="99"/>
    <w:rPr>
      <w:rFonts w:ascii="Adobe 黑体 Std R" w:hAnsi="Adobe 黑体 Std R" w:eastAsia="黑体"/>
      <w:b/>
      <w:bCs/>
      <w:kern w:val="44"/>
      <w:sz w:val="21"/>
      <w:szCs w:val="44"/>
    </w:rPr>
  </w:style>
  <w:style w:type="character" w:customStyle="1" w:styleId="317">
    <w:name w:val="日期 Char1"/>
    <w:link w:val="27"/>
    <w:semiHidden/>
    <w:qFormat/>
    <w:locked/>
    <w:uiPriority w:val="0"/>
    <w:rPr>
      <w:kern w:val="2"/>
      <w:sz w:val="21"/>
    </w:rPr>
  </w:style>
  <w:style w:type="character" w:customStyle="1" w:styleId="318">
    <w:name w:val="首示例 Char"/>
    <w:link w:val="319"/>
    <w:qFormat/>
    <w:uiPriority w:val="99"/>
    <w:rPr>
      <w:rFonts w:ascii="宋体" w:hAnsi="宋体"/>
      <w:kern w:val="2"/>
      <w:sz w:val="18"/>
      <w:szCs w:val="18"/>
    </w:rPr>
  </w:style>
  <w:style w:type="paragraph" w:customStyle="1" w:styleId="319">
    <w:name w:val="首示例"/>
    <w:next w:val="257"/>
    <w:link w:val="318"/>
    <w:qFormat/>
    <w:uiPriority w:val="99"/>
    <w:pPr>
      <w:tabs>
        <w:tab w:val="left" w:pos="360"/>
      </w:tabs>
      <w:ind w:left="794"/>
    </w:pPr>
    <w:rPr>
      <w:rFonts w:ascii="宋体" w:hAnsi="宋体" w:eastAsia="宋体" w:cs="Arial"/>
      <w:kern w:val="2"/>
      <w:sz w:val="18"/>
      <w:szCs w:val="18"/>
      <w:lang w:val="en-US" w:eastAsia="zh-CN" w:bidi="ar-SA"/>
    </w:rPr>
  </w:style>
  <w:style w:type="character" w:customStyle="1" w:styleId="320">
    <w:name w:val="批注主题 字符2"/>
    <w:qFormat/>
    <w:uiPriority w:val="99"/>
    <w:rPr>
      <w:b/>
      <w:bCs/>
      <w:kern w:val="2"/>
      <w:sz w:val="21"/>
      <w:szCs w:val="24"/>
    </w:rPr>
  </w:style>
  <w:style w:type="character" w:customStyle="1" w:styleId="321">
    <w:name w:val="Body Text Char"/>
    <w:qFormat/>
    <w:locked/>
    <w:uiPriority w:val="99"/>
    <w:rPr>
      <w:rFonts w:ascii="Calibri" w:hAnsi="Calibri" w:cs="Calibri"/>
      <w:sz w:val="24"/>
      <w:szCs w:val="24"/>
    </w:rPr>
  </w:style>
  <w:style w:type="character" w:customStyle="1" w:styleId="322">
    <w:name w:val="Header Char"/>
    <w:qFormat/>
    <w:locked/>
    <w:uiPriority w:val="99"/>
    <w:rPr>
      <w:rFonts w:eastAsia="宋体"/>
      <w:sz w:val="18"/>
      <w:szCs w:val="18"/>
    </w:rPr>
  </w:style>
  <w:style w:type="character" w:customStyle="1" w:styleId="323">
    <w:name w:val="font11"/>
    <w:qFormat/>
    <w:uiPriority w:val="0"/>
    <w:rPr>
      <w:rFonts w:hint="eastAsia" w:ascii="宋体" w:hAnsi="宋体" w:eastAsia="宋体" w:cs="宋体"/>
      <w:color w:val="000000"/>
      <w:sz w:val="24"/>
      <w:szCs w:val="24"/>
      <w:u w:val="none"/>
    </w:rPr>
  </w:style>
  <w:style w:type="character" w:customStyle="1" w:styleId="324">
    <w:name w:val="font31"/>
    <w:qFormat/>
    <w:uiPriority w:val="0"/>
    <w:rPr>
      <w:rFonts w:hint="eastAsia" w:ascii="宋体" w:hAnsi="宋体" w:eastAsia="宋体" w:cs="宋体"/>
      <w:b/>
      <w:color w:val="FF0000"/>
      <w:sz w:val="24"/>
      <w:szCs w:val="24"/>
      <w:u w:val="none"/>
    </w:rPr>
  </w:style>
  <w:style w:type="character" w:customStyle="1" w:styleId="325">
    <w:name w:val="日期 字符"/>
    <w:semiHidden/>
    <w:qFormat/>
    <w:uiPriority w:val="99"/>
    <w:rPr>
      <w:kern w:val="2"/>
      <w:sz w:val="21"/>
      <w:szCs w:val="21"/>
    </w:rPr>
  </w:style>
  <w:style w:type="character" w:customStyle="1" w:styleId="326">
    <w:name w:val="文档结构图 Char1"/>
    <w:link w:val="18"/>
    <w:semiHidden/>
    <w:qFormat/>
    <w:locked/>
    <w:uiPriority w:val="99"/>
    <w:rPr>
      <w:kern w:val="2"/>
      <w:sz w:val="21"/>
      <w:szCs w:val="24"/>
      <w:shd w:val="clear" w:color="auto" w:fill="000080"/>
    </w:rPr>
  </w:style>
  <w:style w:type="character" w:customStyle="1" w:styleId="327">
    <w:name w:val="批注文字 Char"/>
    <w:qFormat/>
    <w:uiPriority w:val="99"/>
    <w:rPr>
      <w:kern w:val="2"/>
      <w:sz w:val="21"/>
      <w:szCs w:val="24"/>
    </w:rPr>
  </w:style>
  <w:style w:type="character" w:customStyle="1" w:styleId="328">
    <w:name w:val="标题 1 Char"/>
    <w:qFormat/>
    <w:locked/>
    <w:uiPriority w:val="0"/>
    <w:rPr>
      <w:rFonts w:eastAsia="宋体"/>
      <w:b/>
      <w:bCs/>
      <w:kern w:val="44"/>
      <w:sz w:val="44"/>
      <w:szCs w:val="44"/>
      <w:lang w:val="en-US" w:eastAsia="zh-CN" w:bidi="ar-SA"/>
    </w:rPr>
  </w:style>
  <w:style w:type="character" w:customStyle="1" w:styleId="329">
    <w:name w:val="未处理的提及1"/>
    <w:unhideWhenUsed/>
    <w:qFormat/>
    <w:uiPriority w:val="99"/>
    <w:rPr>
      <w:color w:val="605E5C"/>
      <w:shd w:val="clear" w:color="auto" w:fill="E1DFDD"/>
    </w:rPr>
  </w:style>
  <w:style w:type="character" w:customStyle="1" w:styleId="330">
    <w:name w:val="页脚 Char"/>
    <w:qFormat/>
    <w:locked/>
    <w:uiPriority w:val="99"/>
    <w:rPr>
      <w:rFonts w:eastAsia="宋体"/>
      <w:kern w:val="2"/>
      <w:sz w:val="18"/>
      <w:szCs w:val="18"/>
      <w:lang w:val="en-US" w:eastAsia="zh-CN" w:bidi="ar-SA"/>
    </w:rPr>
  </w:style>
  <w:style w:type="character" w:customStyle="1" w:styleId="331">
    <w:name w:val="不明显参考11"/>
    <w:qFormat/>
    <w:uiPriority w:val="31"/>
    <w:rPr>
      <w:smallCaps/>
      <w:color w:val="5A5A5A"/>
    </w:rPr>
  </w:style>
  <w:style w:type="character" w:customStyle="1" w:styleId="332">
    <w:name w:val="页眉 字符2"/>
    <w:qFormat/>
    <w:locked/>
    <w:uiPriority w:val="0"/>
    <w:rPr>
      <w:rFonts w:eastAsia="宋体"/>
      <w:kern w:val="2"/>
      <w:sz w:val="18"/>
      <w:szCs w:val="18"/>
      <w:lang w:val="en-US" w:eastAsia="zh-CN" w:bidi="ar-SA"/>
    </w:rPr>
  </w:style>
  <w:style w:type="paragraph" w:customStyle="1" w:styleId="333">
    <w:name w:val="附录图标题"/>
    <w:basedOn w:val="1"/>
    <w:next w:val="257"/>
    <w:qFormat/>
    <w:uiPriority w:val="99"/>
    <w:pPr>
      <w:tabs>
        <w:tab w:val="left" w:pos="363"/>
      </w:tabs>
      <w:adjustRightInd/>
      <w:spacing w:before="50" w:beforeLines="50" w:after="50" w:afterLines="50" w:line="360" w:lineRule="exact"/>
      <w:jc w:val="center"/>
    </w:pPr>
    <w:rPr>
      <w:rFonts w:ascii="黑体" w:eastAsia="黑体"/>
    </w:rPr>
  </w:style>
  <w:style w:type="character" w:customStyle="1" w:styleId="334">
    <w:name w:val="日期 字符2"/>
    <w:basedOn w:val="47"/>
    <w:semiHidden/>
    <w:qFormat/>
    <w:uiPriority w:val="99"/>
    <w:rPr>
      <w:rFonts w:cs="Times New Roman"/>
      <w:kern w:val="2"/>
      <w:sz w:val="21"/>
      <w:szCs w:val="21"/>
    </w:rPr>
  </w:style>
  <w:style w:type="paragraph" w:customStyle="1" w:styleId="335">
    <w:name w:val="目次、标准名称标题"/>
    <w:basedOn w:val="1"/>
    <w:next w:val="257"/>
    <w:qFormat/>
    <w:uiPriority w:val="99"/>
    <w:pPr>
      <w:keepNext/>
      <w:pageBreakBefore/>
      <w:widowControl/>
      <w:shd w:val="clear" w:color="FFFFFF" w:fill="FFFFFF"/>
      <w:adjustRightInd/>
      <w:spacing w:before="640" w:after="560" w:line="460" w:lineRule="exact"/>
      <w:jc w:val="center"/>
      <w:outlineLvl w:val="0"/>
    </w:pPr>
    <w:rPr>
      <w:rFonts w:ascii="黑体" w:eastAsia="黑体"/>
      <w:kern w:val="0"/>
      <w:sz w:val="32"/>
      <w:szCs w:val="20"/>
    </w:rPr>
  </w:style>
  <w:style w:type="paragraph" w:customStyle="1" w:styleId="336">
    <w:name w:val="附录标题"/>
    <w:basedOn w:val="257"/>
    <w:next w:val="257"/>
    <w:qFormat/>
    <w:uiPriority w:val="99"/>
    <w:pPr>
      <w:ind w:firstLine="0" w:firstLineChars="0"/>
      <w:jc w:val="center"/>
    </w:pPr>
    <w:rPr>
      <w:rFonts w:ascii="黑体" w:hAnsi="宋体" w:eastAsia="黑体"/>
      <w:szCs w:val="20"/>
    </w:rPr>
  </w:style>
  <w:style w:type="paragraph" w:customStyle="1" w:styleId="337">
    <w:name w:val="二级无"/>
    <w:basedOn w:val="338"/>
    <w:qFormat/>
    <w:uiPriority w:val="0"/>
    <w:pPr>
      <w:spacing w:before="0" w:beforeLines="0" w:after="0" w:afterLines="0"/>
    </w:pPr>
    <w:rPr>
      <w:rFonts w:ascii="宋体" w:hAnsi="宋体" w:eastAsia="宋体"/>
    </w:rPr>
  </w:style>
  <w:style w:type="paragraph" w:customStyle="1" w:styleId="338">
    <w:name w:val="二级条标题"/>
    <w:basedOn w:val="258"/>
    <w:next w:val="257"/>
    <w:qFormat/>
    <w:uiPriority w:val="0"/>
    <w:pPr>
      <w:numPr>
        <w:ilvl w:val="0"/>
        <w:numId w:val="0"/>
      </w:numPr>
      <w:spacing w:before="50" w:after="50" w:line="360" w:lineRule="exact"/>
      <w:outlineLvl w:val="3"/>
    </w:pPr>
    <w:rPr>
      <w:rFonts w:hAnsi="Calibri"/>
    </w:rPr>
  </w:style>
  <w:style w:type="paragraph" w:customStyle="1" w:styleId="339">
    <w:name w:val="Char11"/>
    <w:basedOn w:val="1"/>
    <w:qFormat/>
    <w:uiPriority w:val="0"/>
    <w:pPr>
      <w:widowControl/>
      <w:adjustRightInd/>
      <w:spacing w:after="160" w:line="240" w:lineRule="exact"/>
      <w:jc w:val="left"/>
    </w:pPr>
    <w:rPr>
      <w:rFonts w:ascii="Verdana" w:hAnsi="Verdana" w:eastAsia="仿宋_GB2312"/>
      <w:kern w:val="0"/>
      <w:sz w:val="24"/>
      <w:szCs w:val="32"/>
      <w:lang w:eastAsia="en-US"/>
    </w:rPr>
  </w:style>
  <w:style w:type="paragraph" w:customStyle="1" w:styleId="340">
    <w:name w:val="Char1"/>
    <w:basedOn w:val="1"/>
    <w:qFormat/>
    <w:uiPriority w:val="0"/>
    <w:pPr>
      <w:widowControl/>
      <w:adjustRightInd/>
      <w:spacing w:after="160" w:line="240" w:lineRule="exact"/>
      <w:jc w:val="left"/>
    </w:pPr>
    <w:rPr>
      <w:rFonts w:ascii="Verdana" w:hAnsi="Verdana" w:eastAsia="仿宋_GB2312"/>
      <w:kern w:val="0"/>
      <w:sz w:val="24"/>
      <w:szCs w:val="32"/>
      <w:lang w:eastAsia="en-US"/>
    </w:rPr>
  </w:style>
  <w:style w:type="paragraph" w:customStyle="1" w:styleId="341">
    <w:name w:val="封面标准英文名称2"/>
    <w:basedOn w:val="149"/>
    <w:qFormat/>
    <w:uiPriority w:val="99"/>
    <w:pPr>
      <w:framePr w:w="9639" w:h="6917" w:hRule="exact" w:wrap="around" w:vAnchor="page" w:hAnchor="page" w:xAlign="center" w:y="4469" w:anchorLock="1"/>
      <w:spacing w:before="370" w:line="400" w:lineRule="exact"/>
      <w:textAlignment w:val="center"/>
    </w:pPr>
    <w:rPr>
      <w:rFonts w:hAnsi="Calibri" w:eastAsia="黑体"/>
      <w:szCs w:val="28"/>
    </w:rPr>
  </w:style>
  <w:style w:type="paragraph" w:customStyle="1" w:styleId="342">
    <w:name w:val="注×：（正文）"/>
    <w:qFormat/>
    <w:uiPriority w:val="99"/>
    <w:pPr>
      <w:ind w:left="420" w:hanging="420"/>
      <w:jc w:val="both"/>
    </w:pPr>
    <w:rPr>
      <w:rFonts w:ascii="宋体" w:hAnsi="Calibri" w:eastAsia="宋体" w:cs="Times New Roman"/>
      <w:sz w:val="18"/>
      <w:szCs w:val="18"/>
      <w:lang w:val="en-US" w:eastAsia="zh-CN" w:bidi="ar-SA"/>
    </w:rPr>
  </w:style>
  <w:style w:type="character" w:customStyle="1" w:styleId="343">
    <w:name w:val="批注文字 字符2"/>
    <w:basedOn w:val="47"/>
    <w:semiHidden/>
    <w:qFormat/>
    <w:uiPriority w:val="99"/>
    <w:rPr>
      <w:rFonts w:cs="Times New Roman"/>
      <w:kern w:val="2"/>
      <w:sz w:val="21"/>
      <w:szCs w:val="21"/>
    </w:rPr>
  </w:style>
  <w:style w:type="paragraph" w:customStyle="1" w:styleId="344">
    <w:name w:val="列项●（二级）"/>
    <w:qFormat/>
    <w:uiPriority w:val="0"/>
    <w:pPr>
      <w:tabs>
        <w:tab w:val="left" w:pos="840"/>
      </w:tabs>
      <w:jc w:val="both"/>
    </w:pPr>
    <w:rPr>
      <w:rFonts w:ascii="宋体" w:hAnsi="Calibri" w:eastAsia="宋体" w:cs="Times New Roman"/>
      <w:sz w:val="21"/>
      <w:lang w:val="en-US" w:eastAsia="zh-CN" w:bidi="ar-SA"/>
    </w:rPr>
  </w:style>
  <w:style w:type="paragraph" w:customStyle="1" w:styleId="345">
    <w:name w:val="正文缩进2"/>
    <w:basedOn w:val="1"/>
    <w:qFormat/>
    <w:uiPriority w:val="0"/>
    <w:pPr>
      <w:adjustRightInd/>
      <w:spacing w:line="360" w:lineRule="exact"/>
      <w:ind w:firstLine="420" w:firstLineChars="200"/>
    </w:pPr>
    <w:rPr>
      <w:szCs w:val="24"/>
    </w:rPr>
  </w:style>
  <w:style w:type="paragraph" w:customStyle="1" w:styleId="346">
    <w:name w:val="编号列项（三级）"/>
    <w:qFormat/>
    <w:uiPriority w:val="99"/>
    <w:pPr>
      <w:numPr>
        <w:ilvl w:val="2"/>
        <w:numId w:val="7"/>
      </w:numPr>
      <w:tabs>
        <w:tab w:val="left" w:pos="0"/>
      </w:tabs>
    </w:pPr>
    <w:rPr>
      <w:rFonts w:ascii="宋体" w:hAnsi="Calibri" w:eastAsia="宋体" w:cs="Times New Roman"/>
      <w:sz w:val="21"/>
      <w:lang w:val="en-US" w:eastAsia="zh-CN" w:bidi="ar-SA"/>
    </w:rPr>
  </w:style>
  <w:style w:type="paragraph" w:customStyle="1" w:styleId="347">
    <w:name w:val="四级无"/>
    <w:basedOn w:val="348"/>
    <w:qFormat/>
    <w:uiPriority w:val="99"/>
    <w:pPr>
      <w:spacing w:before="0" w:beforeLines="0" w:after="0" w:afterLines="0"/>
    </w:pPr>
    <w:rPr>
      <w:rFonts w:ascii="宋体" w:eastAsia="宋体"/>
    </w:rPr>
  </w:style>
  <w:style w:type="paragraph" w:customStyle="1" w:styleId="348">
    <w:name w:val="四级条标题"/>
    <w:basedOn w:val="349"/>
    <w:next w:val="257"/>
    <w:qFormat/>
    <w:uiPriority w:val="99"/>
    <w:pPr>
      <w:numPr>
        <w:ilvl w:val="4"/>
      </w:numPr>
      <w:outlineLvl w:val="5"/>
    </w:pPr>
  </w:style>
  <w:style w:type="paragraph" w:customStyle="1" w:styleId="349">
    <w:name w:val="三级条标题"/>
    <w:basedOn w:val="338"/>
    <w:next w:val="257"/>
    <w:qFormat/>
    <w:uiPriority w:val="99"/>
    <w:pPr>
      <w:outlineLvl w:val="4"/>
    </w:pPr>
  </w:style>
  <w:style w:type="paragraph" w:customStyle="1" w:styleId="350">
    <w:name w:val="附录公式编号制表符"/>
    <w:basedOn w:val="1"/>
    <w:next w:val="257"/>
    <w:qFormat/>
    <w:uiPriority w:val="99"/>
    <w:pPr>
      <w:widowControl/>
      <w:tabs>
        <w:tab w:val="center" w:pos="4201"/>
        <w:tab w:val="right" w:leader="dot" w:pos="9298"/>
      </w:tabs>
      <w:autoSpaceDE w:val="0"/>
      <w:autoSpaceDN w:val="0"/>
      <w:adjustRightInd/>
      <w:spacing w:line="360" w:lineRule="exact"/>
    </w:pPr>
    <w:rPr>
      <w:rFonts w:ascii="宋体"/>
      <w:kern w:val="0"/>
      <w:szCs w:val="20"/>
    </w:rPr>
  </w:style>
  <w:style w:type="paragraph" w:customStyle="1" w:styleId="351">
    <w:name w:val="附录数字编号列项（二级）"/>
    <w:qFormat/>
    <w:uiPriority w:val="99"/>
    <w:pPr>
      <w:tabs>
        <w:tab w:val="left" w:pos="840"/>
        <w:tab w:val="left" w:pos="992"/>
      </w:tabs>
    </w:pPr>
    <w:rPr>
      <w:rFonts w:ascii="宋体" w:hAnsi="Calibri" w:eastAsia="宋体" w:cs="Times New Roman"/>
      <w:sz w:val="21"/>
      <w:lang w:val="en-US" w:eastAsia="zh-CN" w:bidi="ar-SA"/>
    </w:rPr>
  </w:style>
  <w:style w:type="paragraph" w:customStyle="1" w:styleId="352">
    <w:name w:val="三级无"/>
    <w:basedOn w:val="349"/>
    <w:qFormat/>
    <w:uiPriority w:val="0"/>
    <w:pPr>
      <w:spacing w:before="0" w:beforeLines="0" w:after="0" w:afterLines="0"/>
    </w:pPr>
    <w:rPr>
      <w:rFonts w:ascii="宋体" w:eastAsia="宋体"/>
    </w:rPr>
  </w:style>
  <w:style w:type="paragraph" w:customStyle="1" w:styleId="353">
    <w:name w:val="示例"/>
    <w:next w:val="354"/>
    <w:qFormat/>
    <w:uiPriority w:val="0"/>
    <w:pPr>
      <w:widowControl w:val="0"/>
      <w:jc w:val="both"/>
    </w:pPr>
    <w:rPr>
      <w:rFonts w:ascii="宋体" w:hAnsi="Calibri" w:eastAsia="宋体" w:cs="Times New Roman"/>
      <w:sz w:val="18"/>
      <w:szCs w:val="18"/>
      <w:lang w:val="en-US" w:eastAsia="zh-CN" w:bidi="ar-SA"/>
    </w:rPr>
  </w:style>
  <w:style w:type="paragraph" w:customStyle="1" w:styleId="354">
    <w:name w:val="示例内容"/>
    <w:qFormat/>
    <w:uiPriority w:val="0"/>
    <w:rPr>
      <w:rFonts w:ascii="宋体" w:hAnsi="Calibri" w:eastAsia="宋体" w:cs="Times New Roman"/>
      <w:sz w:val="18"/>
      <w:szCs w:val="18"/>
      <w:lang w:val="en-US" w:eastAsia="zh-CN" w:bidi="ar-SA"/>
    </w:rPr>
  </w:style>
  <w:style w:type="paragraph" w:customStyle="1" w:styleId="355">
    <w:name w:val="一级无"/>
    <w:basedOn w:val="258"/>
    <w:qFormat/>
    <w:uiPriority w:val="0"/>
    <w:pPr>
      <w:numPr>
        <w:ilvl w:val="0"/>
        <w:numId w:val="0"/>
      </w:numPr>
      <w:spacing w:beforeLines="0" w:afterLines="0" w:line="360" w:lineRule="exact"/>
    </w:pPr>
    <w:rPr>
      <w:rFonts w:ascii="宋体" w:hAnsi="Calibri" w:eastAsia="宋体"/>
    </w:rPr>
  </w:style>
  <w:style w:type="paragraph" w:customStyle="1" w:styleId="356">
    <w:name w:val="封面标准号2"/>
    <w:qFormat/>
    <w:uiPriority w:val="99"/>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57">
    <w:name w:val="附录二级无"/>
    <w:basedOn w:val="358"/>
    <w:qFormat/>
    <w:uiPriority w:val="99"/>
    <w:pPr>
      <w:tabs>
        <w:tab w:val="left" w:pos="360"/>
        <w:tab w:val="left" w:pos="1680"/>
      </w:tabs>
      <w:spacing w:before="0" w:beforeLines="0" w:after="0" w:afterLines="0"/>
    </w:pPr>
    <w:rPr>
      <w:rFonts w:ascii="宋体" w:eastAsia="宋体"/>
      <w:szCs w:val="21"/>
    </w:rPr>
  </w:style>
  <w:style w:type="paragraph" w:customStyle="1" w:styleId="358">
    <w:name w:val="附录二级条标题"/>
    <w:basedOn w:val="1"/>
    <w:next w:val="257"/>
    <w:qFormat/>
    <w:uiPriority w:val="99"/>
    <w:pPr>
      <w:widowControl/>
      <w:tabs>
        <w:tab w:val="left" w:pos="360"/>
        <w:tab w:val="left" w:pos="1680"/>
      </w:tabs>
      <w:wordWrap w:val="0"/>
      <w:overflowPunct w:val="0"/>
      <w:autoSpaceDE w:val="0"/>
      <w:autoSpaceDN w:val="0"/>
      <w:adjustRightInd/>
      <w:spacing w:before="50" w:beforeLines="50" w:after="50" w:afterLines="50" w:line="360" w:lineRule="exact"/>
      <w:ind w:left="1588"/>
      <w:textAlignment w:val="baseline"/>
      <w:outlineLvl w:val="3"/>
    </w:pPr>
    <w:rPr>
      <w:rFonts w:ascii="黑体" w:eastAsia="黑体"/>
      <w:kern w:val="21"/>
      <w:szCs w:val="20"/>
    </w:rPr>
  </w:style>
  <w:style w:type="paragraph" w:customStyle="1" w:styleId="359">
    <w:name w:val="列项说明数字编号"/>
    <w:qFormat/>
    <w:uiPriority w:val="99"/>
    <w:pPr>
      <w:ind w:left="600" w:leftChars="400" w:hanging="200" w:hangingChars="200"/>
    </w:pPr>
    <w:rPr>
      <w:rFonts w:ascii="宋体" w:hAnsi="Calibri" w:eastAsia="宋体" w:cs="Times New Roman"/>
      <w:sz w:val="21"/>
      <w:lang w:val="en-US" w:eastAsia="zh-CN" w:bidi="ar-SA"/>
    </w:rPr>
  </w:style>
  <w:style w:type="paragraph" w:customStyle="1" w:styleId="360">
    <w:name w:val="五级无"/>
    <w:basedOn w:val="361"/>
    <w:qFormat/>
    <w:uiPriority w:val="0"/>
    <w:pPr>
      <w:spacing w:before="0" w:beforeLines="0" w:after="0" w:afterLines="0"/>
    </w:pPr>
    <w:rPr>
      <w:rFonts w:ascii="宋体" w:eastAsia="宋体"/>
    </w:rPr>
  </w:style>
  <w:style w:type="paragraph" w:customStyle="1" w:styleId="361">
    <w:name w:val="五级条标题"/>
    <w:basedOn w:val="348"/>
    <w:next w:val="257"/>
    <w:qFormat/>
    <w:uiPriority w:val="99"/>
    <w:pPr>
      <w:numPr>
        <w:ilvl w:val="5"/>
      </w:numPr>
      <w:outlineLvl w:val="6"/>
    </w:pPr>
  </w:style>
  <w:style w:type="paragraph" w:customStyle="1" w:styleId="362">
    <w:name w:val="列项◆（三级）"/>
    <w:basedOn w:val="1"/>
    <w:qFormat/>
    <w:uiPriority w:val="99"/>
    <w:pPr>
      <w:numPr>
        <w:ilvl w:val="2"/>
        <w:numId w:val="9"/>
      </w:numPr>
      <w:tabs>
        <w:tab w:val="left" w:pos="1678"/>
      </w:tabs>
      <w:adjustRightInd/>
      <w:spacing w:line="360" w:lineRule="exact"/>
    </w:pPr>
    <w:rPr>
      <w:rFonts w:ascii="宋体"/>
    </w:rPr>
  </w:style>
  <w:style w:type="paragraph" w:customStyle="1" w:styleId="363">
    <w:name w:val="封面一致性程度标识2"/>
    <w:basedOn w:val="150"/>
    <w:qFormat/>
    <w:uiPriority w:val="99"/>
    <w:pPr>
      <w:framePr w:w="9639" w:h="6917" w:hRule="exact" w:wrap="around" w:vAnchor="page" w:hAnchor="page" w:xAlign="center" w:y="4469" w:anchorLock="1"/>
      <w:widowControl w:val="0"/>
      <w:spacing w:line="400" w:lineRule="exact"/>
      <w:textAlignment w:val="center"/>
    </w:pPr>
    <w:rPr>
      <w:rFonts w:ascii="宋体" w:hAnsi="Calibri"/>
      <w:szCs w:val="28"/>
    </w:rPr>
  </w:style>
  <w:style w:type="paragraph" w:customStyle="1" w:styleId="364">
    <w:name w:val="标准书眉_奇数页"/>
    <w:next w:val="1"/>
    <w:qFormat/>
    <w:uiPriority w:val="99"/>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365">
    <w:name w:val="附录四级无"/>
    <w:basedOn w:val="366"/>
    <w:qFormat/>
    <w:uiPriority w:val="99"/>
    <w:pPr>
      <w:tabs>
        <w:tab w:val="left" w:pos="360"/>
        <w:tab w:val="left" w:pos="1680"/>
        <w:tab w:val="left" w:pos="2520"/>
      </w:tabs>
      <w:spacing w:before="0" w:beforeLines="0" w:after="0" w:afterLines="0"/>
    </w:pPr>
    <w:rPr>
      <w:rFonts w:ascii="宋体" w:eastAsia="宋体"/>
      <w:szCs w:val="21"/>
    </w:rPr>
  </w:style>
  <w:style w:type="paragraph" w:customStyle="1" w:styleId="366">
    <w:name w:val="附录四级条标题"/>
    <w:basedOn w:val="367"/>
    <w:next w:val="257"/>
    <w:qFormat/>
    <w:uiPriority w:val="99"/>
    <w:pPr>
      <w:tabs>
        <w:tab w:val="left" w:pos="360"/>
        <w:tab w:val="left" w:pos="1680"/>
        <w:tab w:val="left" w:pos="2520"/>
      </w:tabs>
      <w:ind w:left="2520" w:hanging="420"/>
      <w:outlineLvl w:val="5"/>
    </w:pPr>
  </w:style>
  <w:style w:type="paragraph" w:customStyle="1" w:styleId="367">
    <w:name w:val="附录三级条标题"/>
    <w:basedOn w:val="358"/>
    <w:next w:val="257"/>
    <w:qFormat/>
    <w:uiPriority w:val="99"/>
    <w:pPr>
      <w:outlineLvl w:val="4"/>
    </w:pPr>
  </w:style>
  <w:style w:type="paragraph" w:customStyle="1" w:styleId="368">
    <w:name w:val="附录表标号"/>
    <w:basedOn w:val="1"/>
    <w:next w:val="257"/>
    <w:qFormat/>
    <w:uiPriority w:val="99"/>
    <w:pPr>
      <w:tabs>
        <w:tab w:val="left" w:pos="760"/>
      </w:tabs>
      <w:adjustRightInd/>
      <w:spacing w:line="14" w:lineRule="exact"/>
      <w:ind w:left="811" w:hanging="448"/>
      <w:jc w:val="center"/>
      <w:outlineLvl w:val="0"/>
    </w:pPr>
    <w:rPr>
      <w:color w:val="FFFFFF"/>
      <w:szCs w:val="24"/>
    </w:rPr>
  </w:style>
  <w:style w:type="paragraph" w:customStyle="1" w:styleId="369">
    <w:name w:val="附录五级条标题"/>
    <w:basedOn w:val="366"/>
    <w:next w:val="257"/>
    <w:qFormat/>
    <w:uiPriority w:val="99"/>
    <w:pPr>
      <w:outlineLvl w:val="6"/>
    </w:pPr>
  </w:style>
  <w:style w:type="paragraph" w:customStyle="1" w:styleId="370">
    <w:name w:val="修订1"/>
    <w:unhideWhenUsed/>
    <w:qFormat/>
    <w:uiPriority w:val="99"/>
    <w:rPr>
      <w:rFonts w:ascii="Calibri" w:hAnsi="Calibri" w:eastAsia="宋体" w:cs="Times New Roman"/>
      <w:kern w:val="2"/>
      <w:sz w:val="21"/>
      <w:szCs w:val="24"/>
      <w:lang w:val="en-US" w:eastAsia="zh-CN" w:bidi="ar-SA"/>
    </w:rPr>
  </w:style>
  <w:style w:type="paragraph" w:customStyle="1" w:styleId="371">
    <w:name w:val="TOC 标题11"/>
    <w:basedOn w:val="2"/>
    <w:next w:val="1"/>
    <w:qFormat/>
    <w:uiPriority w:val="99"/>
    <w:pPr>
      <w:widowControl/>
      <w:adjustRightInd/>
      <w:spacing w:before="240" w:after="0" w:line="259" w:lineRule="auto"/>
      <w:jc w:val="left"/>
      <w:outlineLvl w:val="9"/>
    </w:pPr>
    <w:rPr>
      <w:rFonts w:ascii="等线 Light" w:hAnsi="等线 Light" w:eastAsia="等线 Light"/>
      <w:b w:val="0"/>
      <w:bCs w:val="0"/>
      <w:color w:val="2E74B5"/>
      <w:kern w:val="0"/>
      <w:sz w:val="32"/>
      <w:szCs w:val="32"/>
    </w:rPr>
  </w:style>
  <w:style w:type="paragraph" w:customStyle="1" w:styleId="372">
    <w:name w:val="Char Char Char Char"/>
    <w:basedOn w:val="1"/>
    <w:qFormat/>
    <w:uiPriority w:val="99"/>
    <w:pPr>
      <w:widowControl/>
      <w:spacing w:after="160" w:line="240" w:lineRule="exact"/>
      <w:jc w:val="left"/>
    </w:pPr>
    <w:rPr>
      <w:rFonts w:ascii="Arial" w:hAnsi="Arial" w:eastAsia="Times New Roman" w:cs="Verdana"/>
      <w:b/>
      <w:kern w:val="0"/>
      <w:sz w:val="24"/>
      <w:szCs w:val="24"/>
      <w:lang w:eastAsia="en-US"/>
    </w:rPr>
  </w:style>
  <w:style w:type="paragraph" w:customStyle="1" w:styleId="373">
    <w:name w:val="附录三级无"/>
    <w:basedOn w:val="367"/>
    <w:qFormat/>
    <w:uiPriority w:val="99"/>
    <w:pPr>
      <w:tabs>
        <w:tab w:val="clear" w:pos="360"/>
      </w:tabs>
      <w:spacing w:before="0" w:beforeLines="0" w:after="0" w:afterLines="0"/>
    </w:pPr>
    <w:rPr>
      <w:rFonts w:ascii="宋体" w:eastAsia="宋体"/>
      <w:szCs w:val="21"/>
    </w:rPr>
  </w:style>
  <w:style w:type="paragraph" w:customStyle="1" w:styleId="374">
    <w:name w:val="附录图标号"/>
    <w:basedOn w:val="1"/>
    <w:qFormat/>
    <w:uiPriority w:val="99"/>
    <w:pPr>
      <w:keepNext/>
      <w:pageBreakBefore/>
      <w:widowControl/>
      <w:adjustRightInd/>
      <w:spacing w:line="14" w:lineRule="exact"/>
      <w:ind w:firstLine="363"/>
      <w:jc w:val="center"/>
      <w:outlineLvl w:val="0"/>
    </w:pPr>
    <w:rPr>
      <w:color w:val="FFFFFF"/>
      <w:szCs w:val="24"/>
    </w:rPr>
  </w:style>
  <w:style w:type="paragraph" w:customStyle="1" w:styleId="375">
    <w:name w:val="前言、引言标题"/>
    <w:next w:val="257"/>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376">
    <w:name w:val="其他标准标志"/>
    <w:basedOn w:val="73"/>
    <w:qFormat/>
    <w:uiPriority w:val="99"/>
    <w:pPr>
      <w:framePr w:w="6101" w:h="1389" w:hRule="exact" w:hSpace="181" w:vSpace="181" w:vAnchor="page" w:hAnchor="page" w:x="4673" w:y="942"/>
    </w:pPr>
    <w:rPr>
      <w:rFonts w:ascii="Calibri" w:hAnsi="Calibri"/>
      <w:szCs w:val="96"/>
    </w:rPr>
  </w:style>
  <w:style w:type="paragraph" w:customStyle="1" w:styleId="377">
    <w:name w:val="附录章标题"/>
    <w:next w:val="257"/>
    <w:qFormat/>
    <w:uiPriority w:val="99"/>
    <w:pPr>
      <w:numPr>
        <w:ilvl w:val="1"/>
        <w:numId w:val="10"/>
      </w:numPr>
      <w:tabs>
        <w:tab w:val="left" w:pos="360"/>
        <w:tab w:val="left" w:pos="840"/>
      </w:tabs>
      <w:wordWrap w:val="0"/>
      <w:overflowPunct w:val="0"/>
      <w:autoSpaceDE w:val="0"/>
      <w:spacing w:before="100" w:beforeLines="100" w:after="100" w:afterLines="100"/>
      <w:jc w:val="both"/>
      <w:textAlignment w:val="baseline"/>
      <w:outlineLvl w:val="1"/>
    </w:pPr>
    <w:rPr>
      <w:rFonts w:ascii="黑体" w:hAnsi="Calibri" w:eastAsia="黑体" w:cs="Times New Roman"/>
      <w:kern w:val="21"/>
      <w:sz w:val="21"/>
      <w:lang w:val="en-US" w:eastAsia="zh-CN" w:bidi="ar-SA"/>
    </w:rPr>
  </w:style>
  <w:style w:type="paragraph" w:customStyle="1" w:styleId="378">
    <w:name w:val="附录标识"/>
    <w:basedOn w:val="1"/>
    <w:next w:val="257"/>
    <w:qFormat/>
    <w:uiPriority w:val="0"/>
    <w:pPr>
      <w:keepNext/>
      <w:widowControl/>
      <w:shd w:val="clear" w:color="FFFFFF" w:fill="FFFFFF"/>
      <w:tabs>
        <w:tab w:val="left" w:pos="360"/>
        <w:tab w:val="left" w:pos="6405"/>
      </w:tabs>
      <w:adjustRightInd/>
      <w:spacing w:before="640" w:after="280" w:line="360" w:lineRule="exact"/>
      <w:jc w:val="center"/>
      <w:outlineLvl w:val="0"/>
    </w:pPr>
    <w:rPr>
      <w:rFonts w:ascii="黑体" w:eastAsia="黑体"/>
      <w:kern w:val="0"/>
      <w:szCs w:val="20"/>
    </w:rPr>
  </w:style>
  <w:style w:type="paragraph" w:customStyle="1" w:styleId="379">
    <w:name w:val="附录一级条标题"/>
    <w:basedOn w:val="377"/>
    <w:next w:val="257"/>
    <w:qFormat/>
    <w:uiPriority w:val="99"/>
    <w:pPr>
      <w:numPr>
        <w:ilvl w:val="0"/>
        <w:numId w:val="0"/>
      </w:numPr>
      <w:tabs>
        <w:tab w:val="left" w:pos="1260"/>
      </w:tabs>
      <w:autoSpaceDN w:val="0"/>
      <w:spacing w:before="50" w:beforeLines="50" w:after="50" w:afterLines="50"/>
      <w:ind w:left="1260" w:hanging="420"/>
      <w:outlineLvl w:val="2"/>
    </w:pPr>
  </w:style>
  <w:style w:type="paragraph" w:customStyle="1" w:styleId="380">
    <w:name w:val="注："/>
    <w:next w:val="257"/>
    <w:qFormat/>
    <w:uiPriority w:val="99"/>
    <w:pPr>
      <w:widowControl w:val="0"/>
      <w:autoSpaceDE w:val="0"/>
      <w:autoSpaceDN w:val="0"/>
      <w:ind w:left="3260"/>
      <w:jc w:val="both"/>
    </w:pPr>
    <w:rPr>
      <w:rFonts w:ascii="宋体" w:hAnsi="Calibri" w:eastAsia="宋体" w:cs="Times New Roman"/>
      <w:sz w:val="18"/>
      <w:szCs w:val="18"/>
      <w:lang w:val="en-US" w:eastAsia="zh-CN" w:bidi="ar-SA"/>
    </w:rPr>
  </w:style>
  <w:style w:type="paragraph" w:customStyle="1" w:styleId="381">
    <w:name w:val="注：（正文）"/>
    <w:basedOn w:val="380"/>
    <w:next w:val="257"/>
    <w:qFormat/>
    <w:uiPriority w:val="99"/>
  </w:style>
  <w:style w:type="paragraph" w:customStyle="1" w:styleId="382">
    <w:name w:val="_Style 150"/>
    <w:basedOn w:val="1"/>
    <w:next w:val="254"/>
    <w:qFormat/>
    <w:uiPriority w:val="0"/>
    <w:pPr>
      <w:adjustRightInd/>
      <w:spacing w:line="360" w:lineRule="exact"/>
      <w:ind w:firstLine="420" w:firstLineChars="200"/>
    </w:pPr>
  </w:style>
  <w:style w:type="paragraph" w:customStyle="1" w:styleId="383">
    <w:name w:val="图标脚注说明"/>
    <w:basedOn w:val="257"/>
    <w:qFormat/>
    <w:uiPriority w:val="99"/>
    <w:pPr>
      <w:ind w:left="840" w:hanging="420" w:firstLineChars="0"/>
    </w:pPr>
    <w:rPr>
      <w:rFonts w:hAnsi="宋体"/>
      <w:sz w:val="18"/>
      <w:szCs w:val="18"/>
    </w:rPr>
  </w:style>
  <w:style w:type="paragraph" w:customStyle="1" w:styleId="384">
    <w:name w:val="示例后文字"/>
    <w:basedOn w:val="257"/>
    <w:next w:val="257"/>
    <w:qFormat/>
    <w:uiPriority w:val="99"/>
    <w:pPr>
      <w:ind w:firstLine="360" w:firstLineChars="0"/>
    </w:pPr>
    <w:rPr>
      <w:rFonts w:hAnsi="宋体"/>
      <w:sz w:val="18"/>
      <w:szCs w:val="20"/>
    </w:rPr>
  </w:style>
  <w:style w:type="paragraph" w:customStyle="1" w:styleId="385">
    <w:name w:val="标准书脚_奇数页"/>
    <w:qFormat/>
    <w:uiPriority w:val="0"/>
    <w:pPr>
      <w:spacing w:before="120"/>
      <w:ind w:right="198"/>
      <w:jc w:val="right"/>
    </w:pPr>
    <w:rPr>
      <w:rFonts w:ascii="宋体" w:hAnsi="Calibri" w:eastAsia="宋体" w:cs="Times New Roman"/>
      <w:sz w:val="18"/>
      <w:szCs w:val="18"/>
      <w:lang w:val="en-US" w:eastAsia="zh-CN" w:bidi="ar-SA"/>
    </w:rPr>
  </w:style>
  <w:style w:type="paragraph" w:customStyle="1" w:styleId="386">
    <w:name w:val="图的脚注"/>
    <w:next w:val="257"/>
    <w:qFormat/>
    <w:uiPriority w:val="99"/>
    <w:pPr>
      <w:widowControl w:val="0"/>
      <w:ind w:left="840" w:leftChars="200" w:hanging="420" w:hangingChars="200"/>
      <w:jc w:val="both"/>
    </w:pPr>
    <w:rPr>
      <w:rFonts w:ascii="宋体" w:hAnsi="Calibri" w:eastAsia="宋体" w:cs="Times New Roman"/>
      <w:sz w:val="18"/>
      <w:lang w:val="en-US" w:eastAsia="zh-CN" w:bidi="ar-SA"/>
    </w:rPr>
  </w:style>
  <w:style w:type="paragraph" w:customStyle="1" w:styleId="387">
    <w:name w:val="_Style 235"/>
    <w:basedOn w:val="1"/>
    <w:next w:val="254"/>
    <w:qFormat/>
    <w:uiPriority w:val="34"/>
    <w:pPr>
      <w:adjustRightInd/>
      <w:spacing w:line="360" w:lineRule="exact"/>
      <w:ind w:firstLine="420" w:firstLineChars="200"/>
    </w:pPr>
    <w:rPr>
      <w:szCs w:val="24"/>
    </w:rPr>
  </w:style>
  <w:style w:type="paragraph" w:customStyle="1" w:styleId="388">
    <w:name w:val="四级标题"/>
    <w:basedOn w:val="1"/>
    <w:qFormat/>
    <w:uiPriority w:val="0"/>
    <w:pPr>
      <w:numPr>
        <w:ilvl w:val="2"/>
        <w:numId w:val="11"/>
      </w:numPr>
      <w:adjustRightInd/>
      <w:spacing w:before="50" w:beforeLines="50" w:after="50" w:afterLines="50" w:line="360" w:lineRule="exact"/>
      <w:outlineLvl w:val="3"/>
    </w:pPr>
    <w:rPr>
      <w:rFonts w:eastAsia="黑体"/>
      <w:szCs w:val="24"/>
    </w:rPr>
  </w:style>
  <w:style w:type="paragraph" w:customStyle="1" w:styleId="389">
    <w:name w:val="封面标准文稿类别2"/>
    <w:basedOn w:val="148"/>
    <w:qFormat/>
    <w:uiPriority w:val="99"/>
    <w:pPr>
      <w:framePr w:w="9639" w:h="6917" w:hRule="exact" w:wrap="around" w:vAnchor="page" w:hAnchor="page" w:xAlign="center" w:y="4469" w:anchorLock="1"/>
      <w:widowControl w:val="0"/>
      <w:spacing w:after="160" w:line="240" w:lineRule="auto"/>
      <w:textAlignment w:val="center"/>
    </w:pPr>
    <w:rPr>
      <w:rFonts w:hAnsi="Calibri"/>
      <w:szCs w:val="28"/>
    </w:rPr>
  </w:style>
  <w:style w:type="paragraph" w:customStyle="1" w:styleId="390">
    <w:name w:val="TOC 标题12"/>
    <w:basedOn w:val="2"/>
    <w:next w:val="1"/>
    <w:qFormat/>
    <w:uiPriority w:val="39"/>
    <w:pPr>
      <w:widowControl/>
      <w:adjustRightInd/>
      <w:spacing w:before="240" w:after="0" w:line="259" w:lineRule="auto"/>
      <w:jc w:val="left"/>
      <w:outlineLvl w:val="9"/>
    </w:pPr>
    <w:rPr>
      <w:rFonts w:ascii="等线 Light" w:hAnsi="等线 Light" w:eastAsia="等线 Light"/>
      <w:b w:val="0"/>
      <w:bCs w:val="0"/>
      <w:color w:val="2E74B5"/>
      <w:kern w:val="0"/>
      <w:sz w:val="32"/>
      <w:szCs w:val="32"/>
    </w:rPr>
  </w:style>
  <w:style w:type="paragraph" w:customStyle="1" w:styleId="391">
    <w:name w:val="附录五级无"/>
    <w:basedOn w:val="369"/>
    <w:qFormat/>
    <w:uiPriority w:val="0"/>
    <w:pPr>
      <w:tabs>
        <w:tab w:val="clear" w:pos="360"/>
      </w:tabs>
      <w:spacing w:before="0" w:beforeLines="0" w:after="0" w:afterLines="0"/>
    </w:pPr>
    <w:rPr>
      <w:rFonts w:ascii="宋体" w:eastAsia="宋体"/>
      <w:szCs w:val="21"/>
    </w:rPr>
  </w:style>
  <w:style w:type="paragraph" w:customStyle="1" w:styleId="392">
    <w:name w:val="封面标准名称2"/>
    <w:basedOn w:val="146"/>
    <w:qFormat/>
    <w:uiPriority w:val="99"/>
    <w:pPr>
      <w:framePr w:w="9639" w:vAnchor="page" w:hAnchor="page" w:y="4469"/>
      <w:spacing w:before="630" w:beforeLines="630"/>
    </w:pPr>
    <w:rPr>
      <w:rFonts w:hAnsi="Calibri"/>
    </w:rPr>
  </w:style>
  <w:style w:type="paragraph" w:customStyle="1" w:styleId="393">
    <w:name w:val="附录表标题"/>
    <w:basedOn w:val="1"/>
    <w:next w:val="257"/>
    <w:qFormat/>
    <w:uiPriority w:val="99"/>
    <w:pPr>
      <w:numPr>
        <w:ilvl w:val="1"/>
        <w:numId w:val="12"/>
      </w:numPr>
      <w:tabs>
        <w:tab w:val="left" w:pos="180"/>
        <w:tab w:val="left" w:pos="840"/>
      </w:tabs>
      <w:adjustRightInd/>
      <w:spacing w:before="50" w:beforeLines="50" w:after="50" w:afterLines="50" w:line="360" w:lineRule="exact"/>
      <w:ind w:left="0" w:firstLine="0"/>
      <w:jc w:val="center"/>
    </w:pPr>
    <w:rPr>
      <w:rFonts w:ascii="黑体" w:eastAsia="黑体"/>
    </w:rPr>
  </w:style>
  <w:style w:type="paragraph" w:customStyle="1" w:styleId="394">
    <w:name w:val="样式"/>
    <w:basedOn w:val="1"/>
    <w:next w:val="1"/>
    <w:qFormat/>
    <w:uiPriority w:val="99"/>
    <w:pPr>
      <w:tabs>
        <w:tab w:val="right" w:leader="dot" w:pos="9241"/>
      </w:tabs>
      <w:adjustRightInd/>
      <w:spacing w:line="360" w:lineRule="exact"/>
    </w:pPr>
    <w:rPr>
      <w:rFonts w:ascii="宋体" w:cs="宋体"/>
    </w:rPr>
  </w:style>
  <w:style w:type="paragraph" w:customStyle="1" w:styleId="395">
    <w:name w:val="封面标准号1"/>
    <w:qFormat/>
    <w:uiPriority w:val="99"/>
    <w:pPr>
      <w:widowControl w:val="0"/>
      <w:kinsoku w:val="0"/>
      <w:overflowPunct w:val="0"/>
      <w:autoSpaceDE w:val="0"/>
      <w:autoSpaceDN w:val="0"/>
      <w:spacing w:before="308"/>
      <w:jc w:val="right"/>
      <w:textAlignment w:val="center"/>
    </w:pPr>
    <w:rPr>
      <w:rFonts w:ascii="Calibri" w:hAnsi="Calibri" w:eastAsia="宋体" w:cs="Times New Roman"/>
      <w:sz w:val="28"/>
      <w:lang w:val="en-US" w:eastAsia="zh-CN" w:bidi="ar-SA"/>
    </w:rPr>
  </w:style>
  <w:style w:type="character" w:customStyle="1" w:styleId="396">
    <w:name w:val="尾注文本 字符2"/>
    <w:basedOn w:val="47"/>
    <w:semiHidden/>
    <w:qFormat/>
    <w:uiPriority w:val="99"/>
    <w:rPr>
      <w:rFonts w:cs="Times New Roman"/>
      <w:kern w:val="2"/>
      <w:sz w:val="21"/>
      <w:szCs w:val="21"/>
    </w:rPr>
  </w:style>
  <w:style w:type="paragraph" w:customStyle="1" w:styleId="397">
    <w:name w:val="终结线"/>
    <w:basedOn w:val="1"/>
    <w:qFormat/>
    <w:uiPriority w:val="99"/>
    <w:pPr>
      <w:framePr w:hSpace="181" w:vSpace="181" w:wrap="around" w:vAnchor="text" w:hAnchor="margin" w:xAlign="center" w:y="285"/>
      <w:adjustRightInd/>
      <w:spacing w:line="360" w:lineRule="exact"/>
    </w:pPr>
    <w:rPr>
      <w:szCs w:val="24"/>
    </w:rPr>
  </w:style>
  <w:style w:type="paragraph" w:customStyle="1" w:styleId="398">
    <w:name w:val="参考文献"/>
    <w:basedOn w:val="1"/>
    <w:next w:val="257"/>
    <w:qFormat/>
    <w:uiPriority w:val="99"/>
    <w:pPr>
      <w:keepNext/>
      <w:pageBreakBefore/>
      <w:widowControl/>
      <w:shd w:val="clear" w:color="FFFFFF" w:fill="FFFFFF"/>
      <w:adjustRightInd/>
      <w:spacing w:before="640" w:after="200" w:line="360" w:lineRule="exact"/>
      <w:jc w:val="center"/>
      <w:outlineLvl w:val="0"/>
    </w:pPr>
    <w:rPr>
      <w:rFonts w:ascii="黑体" w:eastAsia="黑体"/>
      <w:kern w:val="0"/>
      <w:szCs w:val="20"/>
    </w:rPr>
  </w:style>
  <w:style w:type="paragraph" w:customStyle="1" w:styleId="399">
    <w:name w:val="附录一级无"/>
    <w:basedOn w:val="379"/>
    <w:qFormat/>
    <w:uiPriority w:val="99"/>
    <w:pPr>
      <w:spacing w:before="0" w:beforeLines="0" w:after="0" w:afterLines="0"/>
    </w:pPr>
    <w:rPr>
      <w:rFonts w:ascii="宋体" w:eastAsia="宋体"/>
      <w:szCs w:val="21"/>
    </w:rPr>
  </w:style>
  <w:style w:type="paragraph" w:customStyle="1" w:styleId="400">
    <w:name w:val="正文图标题"/>
    <w:next w:val="257"/>
    <w:qFormat/>
    <w:uiPriority w:val="99"/>
    <w:pPr>
      <w:tabs>
        <w:tab w:val="left" w:pos="360"/>
      </w:tabs>
      <w:spacing w:before="156" w:beforeLines="50" w:after="156" w:afterLines="50"/>
      <w:ind w:left="1588"/>
      <w:jc w:val="center"/>
    </w:pPr>
    <w:rPr>
      <w:rFonts w:ascii="黑体" w:hAnsi="Calibri" w:eastAsia="黑体" w:cs="Times New Roman"/>
      <w:sz w:val="21"/>
      <w:lang w:val="en-US" w:eastAsia="zh-CN" w:bidi="ar-SA"/>
    </w:rPr>
  </w:style>
  <w:style w:type="paragraph" w:customStyle="1" w:styleId="401">
    <w:name w:val="封面标准文稿编辑信息2"/>
    <w:basedOn w:val="147"/>
    <w:qFormat/>
    <w:uiPriority w:val="99"/>
    <w:pPr>
      <w:framePr w:w="9639" w:h="6917" w:hRule="exact" w:wrap="around" w:vAnchor="page" w:hAnchor="page" w:xAlign="center" w:y="4469" w:anchorLock="1"/>
      <w:widowControl w:val="0"/>
      <w:spacing w:after="160"/>
      <w:textAlignment w:val="center"/>
    </w:pPr>
    <w:rPr>
      <w:rFonts w:hAnsi="Calibri"/>
      <w:szCs w:val="28"/>
    </w:rPr>
  </w:style>
  <w:style w:type="paragraph" w:customStyle="1" w:styleId="402">
    <w:name w:val="列项——（一级）"/>
    <w:qFormat/>
    <w:uiPriority w:val="99"/>
    <w:pPr>
      <w:widowControl w:val="0"/>
      <w:jc w:val="both"/>
    </w:pPr>
    <w:rPr>
      <w:rFonts w:ascii="宋体" w:hAnsi="Calibri" w:eastAsia="宋体" w:cs="Times New Roman"/>
      <w:sz w:val="21"/>
      <w:lang w:val="en-US" w:eastAsia="zh-CN" w:bidi="ar-SA"/>
    </w:rPr>
  </w:style>
  <w:style w:type="paragraph" w:customStyle="1" w:styleId="403">
    <w:name w:val="正文公式编号制表符"/>
    <w:basedOn w:val="257"/>
    <w:next w:val="257"/>
    <w:qFormat/>
    <w:uiPriority w:val="99"/>
    <w:pPr>
      <w:ind w:firstLine="0" w:firstLineChars="0"/>
    </w:pPr>
    <w:rPr>
      <w:rFonts w:hAnsi="宋体"/>
      <w:szCs w:val="20"/>
    </w:rPr>
  </w:style>
  <w:style w:type="character" w:customStyle="1" w:styleId="404">
    <w:name w:val="批注主题 字符3"/>
    <w:basedOn w:val="343"/>
    <w:semiHidden/>
    <w:qFormat/>
    <w:uiPriority w:val="99"/>
    <w:rPr>
      <w:rFonts w:cs="Times New Roman"/>
      <w:b/>
      <w:bCs/>
      <w:kern w:val="2"/>
      <w:sz w:val="21"/>
      <w:szCs w:val="21"/>
    </w:rPr>
  </w:style>
  <w:style w:type="paragraph" w:customStyle="1" w:styleId="405">
    <w:name w:val="条文脚注"/>
    <w:basedOn w:val="37"/>
    <w:qFormat/>
    <w:uiPriority w:val="99"/>
    <w:pPr>
      <w:tabs>
        <w:tab w:val="left" w:pos="0"/>
      </w:tabs>
      <w:spacing w:line="360" w:lineRule="exact"/>
      <w:ind w:left="0" w:leftChars="0" w:firstLine="0" w:firstLineChars="0"/>
      <w:jc w:val="both"/>
    </w:pPr>
    <w:rPr>
      <w:lang w:val="zh-CN"/>
    </w:rPr>
  </w:style>
  <w:style w:type="paragraph" w:customStyle="1" w:styleId="406">
    <w:name w:val="列项说明"/>
    <w:basedOn w:val="1"/>
    <w:qFormat/>
    <w:uiPriority w:val="99"/>
    <w:pPr>
      <w:spacing w:line="320" w:lineRule="exact"/>
      <w:ind w:left="400" w:leftChars="200" w:hanging="200" w:hangingChars="200"/>
      <w:jc w:val="left"/>
      <w:textAlignment w:val="baseline"/>
    </w:pPr>
    <w:rPr>
      <w:rFonts w:ascii="宋体"/>
      <w:kern w:val="0"/>
      <w:szCs w:val="20"/>
    </w:rPr>
  </w:style>
  <w:style w:type="paragraph" w:customStyle="1" w:styleId="407">
    <w:name w:val="数字编号列项（二级）"/>
    <w:qFormat/>
    <w:uiPriority w:val="99"/>
    <w:pPr>
      <w:numPr>
        <w:ilvl w:val="1"/>
        <w:numId w:val="7"/>
      </w:numPr>
      <w:tabs>
        <w:tab w:val="left" w:pos="1260"/>
      </w:tabs>
      <w:jc w:val="both"/>
    </w:pPr>
    <w:rPr>
      <w:rFonts w:ascii="宋体" w:hAnsi="Calibri" w:eastAsia="宋体" w:cs="Times New Roman"/>
      <w:sz w:val="21"/>
      <w:lang w:val="en-US" w:eastAsia="zh-CN" w:bidi="ar-SA"/>
    </w:rPr>
  </w:style>
  <w:style w:type="character" w:customStyle="1" w:styleId="408">
    <w:name w:val="文档结构图 字符2"/>
    <w:basedOn w:val="47"/>
    <w:semiHidden/>
    <w:qFormat/>
    <w:uiPriority w:val="99"/>
    <w:rPr>
      <w:rFonts w:ascii="Microsoft YaHei UI" w:eastAsia="Microsoft YaHei UI" w:cs="Times New Roman"/>
      <w:kern w:val="2"/>
      <w:sz w:val="18"/>
      <w:szCs w:val="18"/>
    </w:rPr>
  </w:style>
  <w:style w:type="paragraph" w:customStyle="1" w:styleId="409">
    <w:name w:val="标准书脚_偶数页"/>
    <w:qFormat/>
    <w:uiPriority w:val="99"/>
    <w:pPr>
      <w:spacing w:before="120"/>
      <w:ind w:left="221"/>
    </w:pPr>
    <w:rPr>
      <w:rFonts w:ascii="宋体" w:hAnsi="Calibri" w:eastAsia="宋体" w:cs="Times New Roman"/>
      <w:sz w:val="18"/>
      <w:szCs w:val="18"/>
      <w:lang w:val="en-US" w:eastAsia="zh-CN" w:bidi="ar-SA"/>
    </w:rPr>
  </w:style>
  <w:style w:type="paragraph" w:customStyle="1" w:styleId="410">
    <w:name w:val="示例×："/>
    <w:basedOn w:val="256"/>
    <w:qFormat/>
    <w:uiPriority w:val="99"/>
    <w:pPr>
      <w:numPr>
        <w:numId w:val="0"/>
      </w:numPr>
      <w:tabs>
        <w:tab w:val="left" w:pos="330"/>
      </w:tabs>
      <w:spacing w:beforeLines="0" w:afterLines="0" w:line="360" w:lineRule="exact"/>
      <w:ind w:left="948" w:hanging="420"/>
      <w:jc w:val="left"/>
      <w:outlineLvl w:val="9"/>
    </w:pPr>
    <w:rPr>
      <w:rFonts w:ascii="宋体" w:hAnsi="Calibri" w:eastAsia="宋体"/>
      <w:sz w:val="18"/>
      <w:szCs w:val="18"/>
    </w:rPr>
  </w:style>
  <w:style w:type="character" w:customStyle="1" w:styleId="411">
    <w:name w:val="正文文本缩进 字符3"/>
    <w:basedOn w:val="47"/>
    <w:semiHidden/>
    <w:qFormat/>
    <w:uiPriority w:val="99"/>
    <w:rPr>
      <w:rFonts w:cs="Times New Roman"/>
      <w:kern w:val="2"/>
      <w:sz w:val="21"/>
      <w:szCs w:val="21"/>
    </w:rPr>
  </w:style>
  <w:style w:type="character" w:customStyle="1" w:styleId="412">
    <w:name w:val="正文文本首行缩进 2 字符2"/>
    <w:basedOn w:val="411"/>
    <w:semiHidden/>
    <w:qFormat/>
    <w:uiPriority w:val="99"/>
    <w:rPr>
      <w:rFonts w:cs="Times New Roman"/>
      <w:kern w:val="2"/>
      <w:sz w:val="21"/>
      <w:szCs w:val="21"/>
    </w:rPr>
  </w:style>
  <w:style w:type="paragraph" w:customStyle="1" w:styleId="413">
    <w:name w:val="参考文献、索引标题"/>
    <w:basedOn w:val="1"/>
    <w:next w:val="257"/>
    <w:qFormat/>
    <w:uiPriority w:val="99"/>
    <w:pPr>
      <w:keepNext/>
      <w:pageBreakBefore/>
      <w:widowControl/>
      <w:shd w:val="clear" w:color="FFFFFF" w:fill="FFFFFF"/>
      <w:adjustRightInd/>
      <w:spacing w:before="640" w:after="200" w:line="360" w:lineRule="exact"/>
      <w:jc w:val="center"/>
      <w:outlineLvl w:val="0"/>
    </w:pPr>
    <w:rPr>
      <w:rFonts w:ascii="黑体" w:eastAsia="黑体"/>
      <w:kern w:val="0"/>
      <w:szCs w:val="20"/>
    </w:rPr>
  </w:style>
  <w:style w:type="paragraph" w:customStyle="1" w:styleId="414">
    <w:name w:val="附录字母编号列项（一级）"/>
    <w:qFormat/>
    <w:uiPriority w:val="99"/>
    <w:pPr>
      <w:tabs>
        <w:tab w:val="left" w:pos="839"/>
      </w:tabs>
    </w:pPr>
    <w:rPr>
      <w:rFonts w:ascii="宋体" w:hAnsi="Calibri" w:eastAsia="宋体" w:cs="Times New Roman"/>
      <w:sz w:val="21"/>
      <w:lang w:val="en-US" w:eastAsia="zh-CN" w:bidi="ar-SA"/>
    </w:rPr>
  </w:style>
  <w:style w:type="paragraph" w:customStyle="1" w:styleId="415">
    <w:name w:val="正文表标题"/>
    <w:next w:val="257"/>
    <w:qFormat/>
    <w:uiPriority w:val="99"/>
    <w:pPr>
      <w:tabs>
        <w:tab w:val="left" w:pos="360"/>
        <w:tab w:val="left" w:pos="851"/>
      </w:tabs>
      <w:spacing w:before="156" w:beforeLines="50" w:after="156" w:afterLines="50"/>
      <w:ind w:left="851" w:hanging="426"/>
      <w:jc w:val="center"/>
    </w:pPr>
    <w:rPr>
      <w:rFonts w:ascii="黑体" w:hAnsi="Calibri" w:eastAsia="黑体" w:cs="Times New Roman"/>
      <w:sz w:val="21"/>
      <w:lang w:val="en-US" w:eastAsia="zh-CN" w:bidi="ar-SA"/>
    </w:rPr>
  </w:style>
  <w:style w:type="paragraph" w:customStyle="1" w:styleId="416">
    <w:name w:val="注×："/>
    <w:qFormat/>
    <w:uiPriority w:val="99"/>
    <w:pPr>
      <w:widowControl w:val="0"/>
      <w:tabs>
        <w:tab w:val="left" w:pos="845"/>
      </w:tabs>
      <w:autoSpaceDE w:val="0"/>
      <w:autoSpaceDN w:val="0"/>
      <w:ind w:left="-102" w:firstLine="419"/>
      <w:jc w:val="both"/>
    </w:pPr>
    <w:rPr>
      <w:rFonts w:ascii="宋体" w:hAnsi="Calibri" w:eastAsia="宋体" w:cs="Times New Roman"/>
      <w:sz w:val="18"/>
      <w:szCs w:val="18"/>
      <w:lang w:val="en-US" w:eastAsia="zh-CN" w:bidi="ar-SA"/>
    </w:rPr>
  </w:style>
  <w:style w:type="paragraph" w:customStyle="1" w:styleId="417">
    <w:name w:val="标准书眉_偶数页"/>
    <w:basedOn w:val="364"/>
    <w:next w:val="1"/>
    <w:qFormat/>
    <w:uiPriority w:val="99"/>
    <w:pPr>
      <w:jc w:val="left"/>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image" Target="media/image1.tiff"/><Relationship Id="rId18" Type="http://schemas.openxmlformats.org/officeDocument/2006/relationships/theme" Target="theme/theme1.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CB41B60B3D1412290F3606CDB2C68B4"/>
        <w:style w:val=""/>
        <w:category>
          <w:name w:val="常规"/>
          <w:gallery w:val="placeholder"/>
        </w:category>
        <w:types>
          <w:type w:val="bbPlcHdr"/>
        </w:types>
        <w:behaviors>
          <w:behavior w:val="content"/>
        </w:behaviors>
        <w:description w:val=""/>
        <w:guid w:val="{F5E62512-0032-4B7C-8F30-91C759FF6EF7}"/>
      </w:docPartPr>
      <w:docPartBody>
        <w:p>
          <w:pPr>
            <w:pStyle w:val="5"/>
          </w:pPr>
          <w:r>
            <w:rPr>
              <w:rStyle w:val="4"/>
              <w:rFonts w:hint="eastAsia"/>
            </w:rPr>
            <w:t>单击或点击此处输入文字。</w:t>
          </w:r>
        </w:p>
      </w:docPartBody>
    </w:docPart>
    <w:docPart>
      <w:docPartPr>
        <w:name w:val="{0b3eb670-f944-4205-8737-48712f44a86d}"/>
        <w:style w:val=""/>
        <w:category>
          <w:name w:val="常规"/>
          <w:gallery w:val="placeholder"/>
        </w:category>
        <w:types>
          <w:type w:val="bbPlcHdr"/>
        </w:types>
        <w:behaviors>
          <w:behavior w:val="content"/>
        </w:behaviors>
        <w:description w:val=""/>
        <w:guid w:val="{0B3EB670-F944-4205-8737-48712F44A86D}"/>
      </w:docPartPr>
      <w:docPartBody>
        <w:p>
          <w:r>
            <w:rPr>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Light">
    <w:altName w:val="宋体"/>
    <w:panose1 w:val="00000000000000000000"/>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Microsoft YaHei UI">
    <w:altName w:val="宋体"/>
    <w:panose1 w:val="00000000000000000000"/>
    <w:charset w:val="86"/>
    <w:family w:val="roman"/>
    <w:pitch w:val="default"/>
    <w:sig w:usb0="00000000" w:usb1="00000000" w:usb2="00000016" w:usb3="00000000" w:csb0="0004001F" w:csb1="00000000"/>
  </w:font>
  <w:font w:name="Adobe 黑体 Std R">
    <w:altName w:val="微软雅黑"/>
    <w:panose1 w:val="00000000000000000000"/>
    <w:charset w:val="86"/>
    <w:family w:val="roman"/>
    <w:pitch w:val="default"/>
    <w:sig w:usb0="00000000" w:usb1="00000000" w:usb2="00000016" w:usb3="00000000" w:csb0="00060007"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D5E"/>
    <w:rsid w:val="000006C7"/>
    <w:rsid w:val="00097BA4"/>
    <w:rsid w:val="001A4238"/>
    <w:rsid w:val="001C573B"/>
    <w:rsid w:val="002E44B5"/>
    <w:rsid w:val="002F3C02"/>
    <w:rsid w:val="00327AB4"/>
    <w:rsid w:val="0037197B"/>
    <w:rsid w:val="0042277B"/>
    <w:rsid w:val="00477ADB"/>
    <w:rsid w:val="00517D56"/>
    <w:rsid w:val="00545BD6"/>
    <w:rsid w:val="005B0301"/>
    <w:rsid w:val="005C5288"/>
    <w:rsid w:val="005F6D5E"/>
    <w:rsid w:val="00633851"/>
    <w:rsid w:val="007E6092"/>
    <w:rsid w:val="00805E7F"/>
    <w:rsid w:val="00856157"/>
    <w:rsid w:val="009606B4"/>
    <w:rsid w:val="00962E5B"/>
    <w:rsid w:val="009D5CAD"/>
    <w:rsid w:val="00A1117C"/>
    <w:rsid w:val="00A172F8"/>
    <w:rsid w:val="00AB0821"/>
    <w:rsid w:val="00AB5488"/>
    <w:rsid w:val="00B12BA8"/>
    <w:rsid w:val="00B73149"/>
    <w:rsid w:val="00B91CA3"/>
    <w:rsid w:val="00BB7C6C"/>
    <w:rsid w:val="00C117E9"/>
    <w:rsid w:val="00C5238B"/>
    <w:rsid w:val="00C96090"/>
    <w:rsid w:val="00CA7024"/>
    <w:rsid w:val="00D35A7C"/>
    <w:rsid w:val="00D50B18"/>
    <w:rsid w:val="00D87D79"/>
    <w:rsid w:val="00E77F10"/>
    <w:rsid w:val="00EF6FB1"/>
    <w:rsid w:val="00FB08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DCB41B60B3D1412290F3606CDB2C68B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11C2C5-1476-45C9-8824-A6BD51AD4797}">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11</Pages>
  <Words>1227</Words>
  <Characters>6994</Characters>
  <Lines>58</Lines>
  <Paragraphs>16</Paragraphs>
  <TotalTime>0</TotalTime>
  <ScaleCrop>false</ScaleCrop>
  <LinksUpToDate>false</LinksUpToDate>
  <CharactersWithSpaces>8205</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2023-05-16T09:16:00Z</dcterms:created>
  <dc:creator>Administrator</dc:creator>
  <dc:description>&lt;config cover="true" show_menu="true" version="1.0.0" doctype="SDKXY"&gt;_x000d_
&lt;/config&gt;</dc:description>
  <cp:lastModifiedBy>Administrator</cp:lastModifiedBy>
  <cp:lastPrinted>2023-02-15T03:02:00Z</cp:lastPrinted>
  <dcterms:modified xsi:type="dcterms:W3CDTF">2024-11-05T08:22:31Z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2052-10.8.0.6253</vt:lpwstr>
  </property>
  <property fmtid="{D5CDD505-2E9C-101B-9397-08002B2CF9AE}" pid="15" name="ICV">
    <vt:lpwstr>EB70D13C78AA46A1B6774E7FBBDC6CE9_13</vt:lpwstr>
  </property>
</Properties>
</file>