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50795">
      <w:pPr>
        <w:widowControl/>
        <w:jc w:val="left"/>
        <w:rPr>
          <w:rFonts w:ascii="方正小标宋简体" w:hAnsi="黑体" w:eastAsia="方正小标宋简体"/>
          <w:sz w:val="44"/>
          <w:szCs w:val="44"/>
        </w:rPr>
      </w:pPr>
      <w:bookmarkStart w:id="42" w:name="_GoBack"/>
      <w:bookmarkEnd w:id="42"/>
    </w:p>
    <w:p w14:paraId="6C71BE3B">
      <w:pPr>
        <w:widowControl/>
        <w:jc w:val="left"/>
        <w:rPr>
          <w:rFonts w:ascii="方正小标宋简体" w:hAnsi="黑体" w:eastAsia="方正小标宋简体"/>
          <w:sz w:val="44"/>
          <w:szCs w:val="44"/>
        </w:rPr>
      </w:pPr>
    </w:p>
    <w:p w14:paraId="502BF216">
      <w:pPr>
        <w:widowControl/>
        <w:jc w:val="left"/>
        <w:rPr>
          <w:rFonts w:ascii="方正小标宋简体" w:hAnsi="黑体" w:eastAsia="方正小标宋简体"/>
          <w:sz w:val="44"/>
          <w:szCs w:val="44"/>
        </w:rPr>
      </w:pPr>
    </w:p>
    <w:p w14:paraId="58CD9A3E">
      <w:pPr>
        <w:widowControl/>
        <w:adjustRightInd w:val="0"/>
        <w:snapToGrid w:val="0"/>
        <w:jc w:val="center"/>
        <w:rPr>
          <w:rFonts w:hint="eastAsia" w:ascii="方正小标宋简体" w:hAnsi="黑体" w:eastAsia="方正小标宋简体"/>
          <w:sz w:val="52"/>
          <w:szCs w:val="44"/>
        </w:rPr>
      </w:pPr>
      <w:r>
        <w:rPr>
          <w:rFonts w:hint="eastAsia" w:ascii="方正小标宋简体" w:hAnsi="黑体" w:eastAsia="方正小标宋简体"/>
          <w:sz w:val="52"/>
          <w:szCs w:val="44"/>
        </w:rPr>
        <w:t>《</w:t>
      </w:r>
      <w:r>
        <w:rPr>
          <w:rFonts w:hint="eastAsia" w:ascii="方正小标宋简体" w:hAnsi="黑体" w:eastAsia="方正小标宋简体"/>
          <w:sz w:val="52"/>
          <w:szCs w:val="44"/>
          <w:lang w:eastAsia="zh-CN"/>
        </w:rPr>
        <w:t>社区食堂服务管理规范</w:t>
      </w:r>
      <w:r>
        <w:rPr>
          <w:rFonts w:hint="eastAsia" w:ascii="方正小标宋简体" w:hAnsi="黑体" w:eastAsia="方正小标宋简体"/>
          <w:sz w:val="52"/>
          <w:szCs w:val="44"/>
        </w:rPr>
        <w:t>》</w:t>
      </w:r>
    </w:p>
    <w:p w14:paraId="4290BDEA">
      <w:pPr>
        <w:widowControl/>
        <w:adjustRightInd w:val="0"/>
        <w:snapToGrid w:val="0"/>
        <w:jc w:val="center"/>
        <w:rPr>
          <w:rFonts w:hint="eastAsia" w:ascii="方正小标宋简体" w:hAnsi="黑体" w:eastAsia="方正小标宋简体"/>
          <w:sz w:val="52"/>
          <w:szCs w:val="44"/>
        </w:rPr>
      </w:pPr>
      <w:r>
        <w:rPr>
          <w:rFonts w:hint="eastAsia" w:ascii="方正小标宋简体" w:hAnsi="黑体" w:eastAsia="方正小标宋简体"/>
          <w:sz w:val="52"/>
          <w:szCs w:val="44"/>
        </w:rPr>
        <w:t>编 制 说 明</w:t>
      </w:r>
    </w:p>
    <w:p w14:paraId="54ACC9E0">
      <w:pPr>
        <w:widowControl/>
        <w:jc w:val="center"/>
        <w:rPr>
          <w:rFonts w:ascii="宋体" w:hAnsi="宋体" w:eastAsia="宋体"/>
          <w:sz w:val="32"/>
          <w:szCs w:val="32"/>
        </w:rPr>
      </w:pPr>
      <w:r>
        <w:rPr>
          <w:rFonts w:hint="eastAsia" w:ascii="宋体" w:hAnsi="宋体" w:eastAsia="宋体"/>
          <w:sz w:val="32"/>
          <w:szCs w:val="32"/>
        </w:rPr>
        <w:t>（征求意见稿）</w:t>
      </w:r>
    </w:p>
    <w:p w14:paraId="016EC1E2">
      <w:pPr>
        <w:widowControl/>
        <w:jc w:val="center"/>
        <w:rPr>
          <w:rFonts w:ascii="宋体" w:hAnsi="宋体" w:eastAsia="宋体"/>
          <w:sz w:val="32"/>
          <w:szCs w:val="32"/>
        </w:rPr>
      </w:pPr>
    </w:p>
    <w:p w14:paraId="284375D9">
      <w:pPr>
        <w:widowControl/>
        <w:jc w:val="center"/>
        <w:rPr>
          <w:rFonts w:ascii="宋体" w:hAnsi="宋体" w:eastAsia="宋体"/>
          <w:sz w:val="32"/>
          <w:szCs w:val="32"/>
        </w:rPr>
      </w:pPr>
    </w:p>
    <w:p w14:paraId="270E0B71">
      <w:pPr>
        <w:widowControl/>
        <w:jc w:val="center"/>
        <w:rPr>
          <w:rFonts w:ascii="方正小标宋简体" w:hAnsi="黑体" w:eastAsia="方正小标宋简体"/>
          <w:sz w:val="52"/>
          <w:szCs w:val="44"/>
        </w:rPr>
      </w:pPr>
    </w:p>
    <w:p w14:paraId="2103872E">
      <w:pPr>
        <w:widowControl/>
        <w:jc w:val="center"/>
        <w:rPr>
          <w:rFonts w:ascii="方正小标宋简体" w:hAnsi="黑体" w:eastAsia="方正小标宋简体"/>
          <w:sz w:val="44"/>
          <w:szCs w:val="44"/>
        </w:rPr>
      </w:pPr>
    </w:p>
    <w:p w14:paraId="195D4238">
      <w:pPr>
        <w:widowControl/>
        <w:jc w:val="center"/>
        <w:rPr>
          <w:rFonts w:ascii="方正小标宋简体" w:hAnsi="黑体" w:eastAsia="方正小标宋简体"/>
          <w:sz w:val="44"/>
          <w:szCs w:val="44"/>
        </w:rPr>
      </w:pPr>
    </w:p>
    <w:p w14:paraId="7FFA324B">
      <w:pPr>
        <w:widowControl/>
        <w:jc w:val="center"/>
        <w:rPr>
          <w:rFonts w:ascii="方正小标宋简体" w:hAnsi="黑体" w:eastAsia="方正小标宋简体"/>
          <w:sz w:val="44"/>
          <w:szCs w:val="44"/>
        </w:rPr>
      </w:pPr>
    </w:p>
    <w:p w14:paraId="1C4D2EC3">
      <w:pPr>
        <w:widowControl/>
        <w:jc w:val="center"/>
        <w:rPr>
          <w:rFonts w:ascii="黑体" w:hAnsi="黑体" w:eastAsia="黑体"/>
          <w:sz w:val="44"/>
          <w:szCs w:val="44"/>
        </w:rPr>
      </w:pPr>
    </w:p>
    <w:p w14:paraId="0AC9F1A3">
      <w:pPr>
        <w:widowControl/>
        <w:jc w:val="center"/>
        <w:rPr>
          <w:rFonts w:ascii="黑体" w:hAnsi="黑体" w:eastAsia="黑体"/>
          <w:sz w:val="44"/>
          <w:szCs w:val="44"/>
        </w:rPr>
      </w:pPr>
    </w:p>
    <w:p w14:paraId="7ABFFAA8">
      <w:pPr>
        <w:widowControl/>
        <w:jc w:val="center"/>
        <w:rPr>
          <w:rFonts w:ascii="黑体" w:hAnsi="黑体" w:eastAsia="黑体"/>
          <w:sz w:val="44"/>
          <w:szCs w:val="44"/>
        </w:rPr>
      </w:pPr>
    </w:p>
    <w:p w14:paraId="49E6295C">
      <w:pPr>
        <w:widowControl/>
        <w:spacing w:before="156" w:beforeLines="50"/>
        <w:jc w:val="center"/>
        <w:rPr>
          <w:rFonts w:ascii="黑体" w:hAnsi="黑体" w:eastAsia="黑体"/>
          <w:sz w:val="44"/>
          <w:szCs w:val="44"/>
        </w:rPr>
      </w:pPr>
    </w:p>
    <w:p w14:paraId="469F0461">
      <w:pPr>
        <w:widowControl/>
        <w:spacing w:before="156" w:beforeLines="50"/>
        <w:jc w:val="center"/>
        <w:rPr>
          <w:rFonts w:ascii="黑体" w:hAnsi="黑体" w:eastAsia="黑体"/>
          <w:sz w:val="44"/>
          <w:szCs w:val="44"/>
        </w:rPr>
      </w:pPr>
      <w:r>
        <w:rPr>
          <w:rFonts w:ascii="黑体" w:hAnsi="黑体" w:eastAsia="黑体"/>
          <w:sz w:val="44"/>
          <w:szCs w:val="44"/>
        </w:rPr>
        <w:t>202</w:t>
      </w:r>
      <w:r>
        <w:rPr>
          <w:rFonts w:hint="eastAsia" w:ascii="黑体" w:hAnsi="黑体" w:eastAsia="黑体"/>
          <w:sz w:val="44"/>
          <w:szCs w:val="44"/>
          <w:lang w:val="en-US" w:eastAsia="zh-CN"/>
        </w:rPr>
        <w:t>4</w:t>
      </w:r>
      <w:r>
        <w:rPr>
          <w:rFonts w:hint="eastAsia" w:ascii="黑体" w:hAnsi="黑体" w:eastAsia="黑体"/>
          <w:sz w:val="44"/>
          <w:szCs w:val="44"/>
        </w:rPr>
        <w:t>年</w:t>
      </w:r>
      <w:r>
        <w:rPr>
          <w:rFonts w:hint="eastAsia" w:ascii="黑体" w:hAnsi="黑体" w:eastAsia="黑体"/>
          <w:sz w:val="44"/>
          <w:szCs w:val="44"/>
          <w:lang w:val="en-US" w:eastAsia="zh-CN"/>
        </w:rPr>
        <w:t>8</w:t>
      </w:r>
      <w:r>
        <w:rPr>
          <w:rFonts w:ascii="黑体" w:hAnsi="黑体" w:eastAsia="黑体"/>
          <w:sz w:val="44"/>
          <w:szCs w:val="44"/>
        </w:rPr>
        <w:t>月</w:t>
      </w:r>
    </w:p>
    <w:p w14:paraId="6D5D4433">
      <w:pPr>
        <w:sectPr>
          <w:footerReference r:id="rId3" w:type="default"/>
          <w:pgSz w:w="11906" w:h="16838"/>
          <w:pgMar w:top="1440" w:right="1800" w:bottom="1440" w:left="1800" w:header="851" w:footer="992" w:gutter="0"/>
          <w:pgNumType w:fmt="decimal"/>
          <w:cols w:space="425" w:num="1"/>
          <w:docGrid w:type="lines" w:linePitch="312" w:charSpace="0"/>
        </w:sectPr>
      </w:pPr>
    </w:p>
    <w:p w14:paraId="5BF0BD58">
      <w:pPr>
        <w:jc w:val="center"/>
        <w:rPr>
          <w:rFonts w:asciiTheme="minorHAnsi" w:hAnsiTheme="minorHAnsi" w:eastAsiaTheme="minorEastAsia" w:cstheme="minorBidi"/>
          <w:color w:val="0000FF"/>
          <w:kern w:val="2"/>
          <w:sz w:val="21"/>
          <w:szCs w:val="22"/>
          <w:lang w:val="en-US" w:eastAsia="zh-CN" w:bidi="ar-SA"/>
        </w:rPr>
      </w:pPr>
      <w:bookmarkStart w:id="0" w:name="_Toc122720585"/>
      <w:bookmarkStart w:id="1" w:name="_Toc122720411"/>
      <w:r>
        <w:rPr>
          <w:rFonts w:hint="eastAsia"/>
          <w:b/>
          <w:bCs/>
          <w:color w:val="auto"/>
          <w:sz w:val="32"/>
          <w:szCs w:val="32"/>
        </w:rPr>
        <w:t>目 录</w:t>
      </w:r>
      <w:bookmarkEnd w:id="0"/>
      <w:bookmarkEnd w:id="1"/>
      <w:r>
        <w:rPr>
          <w:color w:val="0000FF"/>
        </w:rPr>
        <w:fldChar w:fldCharType="begin"/>
      </w:r>
      <w:r>
        <w:rPr>
          <w:color w:val="0000FF"/>
        </w:rPr>
        <w:instrText xml:space="preserve"> TOC \o "1-2" \h \z \u </w:instrText>
      </w:r>
      <w:r>
        <w:rPr>
          <w:color w:val="0000FF"/>
        </w:rPr>
        <w:fldChar w:fldCharType="separate"/>
      </w:r>
    </w:p>
    <w:p w14:paraId="799155C4">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_Toc6464 </w:instrText>
      </w:r>
      <w:r>
        <w:rPr>
          <w:sz w:val="28"/>
          <w:szCs w:val="32"/>
        </w:rPr>
        <w:fldChar w:fldCharType="separate"/>
      </w:r>
      <w:r>
        <w:rPr>
          <w:rFonts w:hint="default" w:ascii="Times New Roman" w:hAnsi="Times New Roman" w:eastAsia="黑体" w:cs="Times New Roman"/>
          <w:sz w:val="28"/>
          <w:szCs w:val="32"/>
        </w:rPr>
        <w:t>一、工作简况</w:t>
      </w:r>
      <w:r>
        <w:rPr>
          <w:sz w:val="28"/>
          <w:szCs w:val="32"/>
        </w:rPr>
        <w:tab/>
      </w:r>
      <w:r>
        <w:rPr>
          <w:sz w:val="28"/>
          <w:szCs w:val="32"/>
        </w:rPr>
        <w:fldChar w:fldCharType="begin"/>
      </w:r>
      <w:r>
        <w:rPr>
          <w:sz w:val="28"/>
          <w:szCs w:val="32"/>
        </w:rPr>
        <w:instrText xml:space="preserve"> PAGEREF _Toc6464 \h </w:instrText>
      </w:r>
      <w:r>
        <w:rPr>
          <w:sz w:val="28"/>
          <w:szCs w:val="32"/>
        </w:rPr>
        <w:fldChar w:fldCharType="separate"/>
      </w:r>
      <w:r>
        <w:rPr>
          <w:sz w:val="28"/>
          <w:szCs w:val="32"/>
        </w:rPr>
        <w:t>1</w:t>
      </w:r>
      <w:r>
        <w:rPr>
          <w:sz w:val="28"/>
          <w:szCs w:val="32"/>
        </w:rPr>
        <w:fldChar w:fldCharType="end"/>
      </w:r>
      <w:r>
        <w:rPr>
          <w:color w:val="0000FF"/>
          <w:sz w:val="28"/>
          <w:szCs w:val="32"/>
        </w:rPr>
        <w:fldChar w:fldCharType="end"/>
      </w:r>
    </w:p>
    <w:p w14:paraId="64CF035C">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_Toc18763 </w:instrText>
      </w:r>
      <w:r>
        <w:rPr>
          <w:sz w:val="28"/>
          <w:szCs w:val="32"/>
        </w:rPr>
        <w:fldChar w:fldCharType="separate"/>
      </w:r>
      <w:r>
        <w:rPr>
          <w:rFonts w:hint="default" w:ascii="Times New Roman" w:hAnsi="Times New Roman" w:eastAsia="黑体" w:cs="Times New Roman"/>
          <w:sz w:val="28"/>
          <w:szCs w:val="32"/>
        </w:rPr>
        <w:t>二、编制背景和意义</w:t>
      </w:r>
      <w:r>
        <w:rPr>
          <w:sz w:val="28"/>
          <w:szCs w:val="32"/>
        </w:rPr>
        <w:tab/>
      </w:r>
      <w:r>
        <w:rPr>
          <w:sz w:val="28"/>
          <w:szCs w:val="32"/>
        </w:rPr>
        <w:fldChar w:fldCharType="begin"/>
      </w:r>
      <w:r>
        <w:rPr>
          <w:sz w:val="28"/>
          <w:szCs w:val="32"/>
        </w:rPr>
        <w:instrText xml:space="preserve"> PAGEREF _Toc18763 \h </w:instrText>
      </w:r>
      <w:r>
        <w:rPr>
          <w:sz w:val="28"/>
          <w:szCs w:val="32"/>
        </w:rPr>
        <w:fldChar w:fldCharType="separate"/>
      </w:r>
      <w:r>
        <w:rPr>
          <w:sz w:val="28"/>
          <w:szCs w:val="32"/>
        </w:rPr>
        <w:t>5</w:t>
      </w:r>
      <w:r>
        <w:rPr>
          <w:sz w:val="28"/>
          <w:szCs w:val="32"/>
        </w:rPr>
        <w:fldChar w:fldCharType="end"/>
      </w:r>
      <w:r>
        <w:rPr>
          <w:color w:val="0000FF"/>
          <w:sz w:val="28"/>
          <w:szCs w:val="32"/>
        </w:rPr>
        <w:fldChar w:fldCharType="end"/>
      </w:r>
    </w:p>
    <w:p w14:paraId="170D8371">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_Toc20829 </w:instrText>
      </w:r>
      <w:r>
        <w:rPr>
          <w:sz w:val="28"/>
          <w:szCs w:val="32"/>
        </w:rPr>
        <w:fldChar w:fldCharType="separate"/>
      </w:r>
      <w:r>
        <w:rPr>
          <w:rFonts w:hint="default" w:ascii="Times New Roman" w:hAnsi="Times New Roman" w:eastAsia="楷体_GB2312" w:cs="Times New Roman"/>
          <w:bCs/>
          <w:sz w:val="28"/>
          <w:szCs w:val="44"/>
        </w:rPr>
        <w:t>（一）编制背景</w:t>
      </w:r>
      <w:r>
        <w:rPr>
          <w:sz w:val="28"/>
          <w:szCs w:val="32"/>
        </w:rPr>
        <w:tab/>
      </w:r>
      <w:r>
        <w:rPr>
          <w:sz w:val="28"/>
          <w:szCs w:val="32"/>
        </w:rPr>
        <w:fldChar w:fldCharType="begin"/>
      </w:r>
      <w:r>
        <w:rPr>
          <w:sz w:val="28"/>
          <w:szCs w:val="32"/>
        </w:rPr>
        <w:instrText xml:space="preserve"> PAGEREF _Toc20829 \h </w:instrText>
      </w:r>
      <w:r>
        <w:rPr>
          <w:sz w:val="28"/>
          <w:szCs w:val="32"/>
        </w:rPr>
        <w:fldChar w:fldCharType="separate"/>
      </w:r>
      <w:r>
        <w:rPr>
          <w:sz w:val="28"/>
          <w:szCs w:val="32"/>
        </w:rPr>
        <w:t>5</w:t>
      </w:r>
      <w:r>
        <w:rPr>
          <w:sz w:val="28"/>
          <w:szCs w:val="32"/>
        </w:rPr>
        <w:fldChar w:fldCharType="end"/>
      </w:r>
      <w:r>
        <w:rPr>
          <w:color w:val="0000FF"/>
          <w:sz w:val="28"/>
          <w:szCs w:val="32"/>
        </w:rPr>
        <w:fldChar w:fldCharType="end"/>
      </w:r>
    </w:p>
    <w:p w14:paraId="1F121FF5">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_Toc14229 </w:instrText>
      </w:r>
      <w:r>
        <w:rPr>
          <w:sz w:val="28"/>
          <w:szCs w:val="32"/>
        </w:rPr>
        <w:fldChar w:fldCharType="separate"/>
      </w:r>
      <w:r>
        <w:rPr>
          <w:rFonts w:hint="default" w:ascii="Times New Roman" w:hAnsi="Times New Roman" w:eastAsia="楷体_GB2312" w:cs="Times New Roman"/>
          <w:bCs/>
          <w:sz w:val="28"/>
          <w:szCs w:val="44"/>
        </w:rPr>
        <w:t>（二）必要性及意义</w:t>
      </w:r>
      <w:r>
        <w:rPr>
          <w:sz w:val="28"/>
          <w:szCs w:val="32"/>
        </w:rPr>
        <w:tab/>
      </w:r>
      <w:r>
        <w:rPr>
          <w:sz w:val="28"/>
          <w:szCs w:val="32"/>
        </w:rPr>
        <w:fldChar w:fldCharType="begin"/>
      </w:r>
      <w:r>
        <w:rPr>
          <w:sz w:val="28"/>
          <w:szCs w:val="32"/>
        </w:rPr>
        <w:instrText xml:space="preserve"> PAGEREF _Toc14229 \h </w:instrText>
      </w:r>
      <w:r>
        <w:rPr>
          <w:sz w:val="28"/>
          <w:szCs w:val="32"/>
        </w:rPr>
        <w:fldChar w:fldCharType="separate"/>
      </w:r>
      <w:r>
        <w:rPr>
          <w:sz w:val="28"/>
          <w:szCs w:val="32"/>
        </w:rPr>
        <w:t>6</w:t>
      </w:r>
      <w:r>
        <w:rPr>
          <w:sz w:val="28"/>
          <w:szCs w:val="32"/>
        </w:rPr>
        <w:fldChar w:fldCharType="end"/>
      </w:r>
      <w:r>
        <w:rPr>
          <w:color w:val="0000FF"/>
          <w:sz w:val="28"/>
          <w:szCs w:val="32"/>
        </w:rPr>
        <w:fldChar w:fldCharType="end"/>
      </w:r>
    </w:p>
    <w:p w14:paraId="3A41AB36">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_Toc15884 </w:instrText>
      </w:r>
      <w:r>
        <w:rPr>
          <w:sz w:val="28"/>
          <w:szCs w:val="32"/>
        </w:rPr>
        <w:fldChar w:fldCharType="separate"/>
      </w:r>
      <w:r>
        <w:rPr>
          <w:rFonts w:hint="eastAsia" w:ascii="Times New Roman" w:hAnsi="Times New Roman" w:eastAsia="黑体" w:cs="Times New Roman"/>
          <w:sz w:val="28"/>
          <w:szCs w:val="32"/>
          <w:lang w:val="en-US" w:eastAsia="zh-CN"/>
        </w:rPr>
        <w:t>三、</w:t>
      </w:r>
      <w:r>
        <w:rPr>
          <w:rFonts w:hint="default" w:ascii="Times New Roman" w:hAnsi="Times New Roman" w:eastAsia="黑体" w:cs="Times New Roman"/>
          <w:sz w:val="28"/>
          <w:szCs w:val="32"/>
        </w:rPr>
        <w:t>编制原则</w:t>
      </w:r>
      <w:r>
        <w:rPr>
          <w:sz w:val="28"/>
          <w:szCs w:val="32"/>
        </w:rPr>
        <w:tab/>
      </w:r>
      <w:r>
        <w:rPr>
          <w:sz w:val="28"/>
          <w:szCs w:val="32"/>
        </w:rPr>
        <w:fldChar w:fldCharType="begin"/>
      </w:r>
      <w:r>
        <w:rPr>
          <w:sz w:val="28"/>
          <w:szCs w:val="32"/>
        </w:rPr>
        <w:instrText xml:space="preserve"> PAGEREF _Toc15884 \h </w:instrText>
      </w:r>
      <w:r>
        <w:rPr>
          <w:sz w:val="28"/>
          <w:szCs w:val="32"/>
        </w:rPr>
        <w:fldChar w:fldCharType="separate"/>
      </w:r>
      <w:r>
        <w:rPr>
          <w:sz w:val="28"/>
          <w:szCs w:val="32"/>
        </w:rPr>
        <w:t>7</w:t>
      </w:r>
      <w:r>
        <w:rPr>
          <w:sz w:val="28"/>
          <w:szCs w:val="32"/>
        </w:rPr>
        <w:fldChar w:fldCharType="end"/>
      </w:r>
      <w:r>
        <w:rPr>
          <w:color w:val="0000FF"/>
          <w:sz w:val="28"/>
          <w:szCs w:val="32"/>
        </w:rPr>
        <w:fldChar w:fldCharType="end"/>
      </w:r>
    </w:p>
    <w:p w14:paraId="554EAFD3">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_Toc10857 </w:instrText>
      </w:r>
      <w:r>
        <w:rPr>
          <w:sz w:val="28"/>
          <w:szCs w:val="32"/>
        </w:rPr>
        <w:fldChar w:fldCharType="separate"/>
      </w:r>
      <w:r>
        <w:rPr>
          <w:rFonts w:hint="eastAsia" w:ascii="Times New Roman" w:hAnsi="Times New Roman" w:eastAsia="黑体" w:cs="Times New Roman"/>
          <w:sz w:val="28"/>
          <w:szCs w:val="32"/>
          <w:lang w:val="en-US" w:eastAsia="zh-CN"/>
        </w:rPr>
        <w:t>四</w:t>
      </w:r>
      <w:r>
        <w:rPr>
          <w:rFonts w:hint="default" w:ascii="Times New Roman" w:hAnsi="Times New Roman" w:eastAsia="黑体" w:cs="Times New Roman"/>
          <w:sz w:val="28"/>
          <w:szCs w:val="32"/>
        </w:rPr>
        <w:t>、标准主要技术内容和依据</w:t>
      </w:r>
      <w:r>
        <w:rPr>
          <w:sz w:val="28"/>
          <w:szCs w:val="32"/>
        </w:rPr>
        <w:tab/>
      </w:r>
      <w:r>
        <w:rPr>
          <w:sz w:val="28"/>
          <w:szCs w:val="32"/>
        </w:rPr>
        <w:fldChar w:fldCharType="begin"/>
      </w:r>
      <w:r>
        <w:rPr>
          <w:sz w:val="28"/>
          <w:szCs w:val="32"/>
        </w:rPr>
        <w:instrText xml:space="preserve"> PAGEREF _Toc10857 \h </w:instrText>
      </w:r>
      <w:r>
        <w:rPr>
          <w:sz w:val="28"/>
          <w:szCs w:val="32"/>
        </w:rPr>
        <w:fldChar w:fldCharType="separate"/>
      </w:r>
      <w:r>
        <w:rPr>
          <w:sz w:val="28"/>
          <w:szCs w:val="32"/>
        </w:rPr>
        <w:t>9</w:t>
      </w:r>
      <w:r>
        <w:rPr>
          <w:sz w:val="28"/>
          <w:szCs w:val="32"/>
        </w:rPr>
        <w:fldChar w:fldCharType="end"/>
      </w:r>
      <w:r>
        <w:rPr>
          <w:color w:val="0000FF"/>
          <w:sz w:val="28"/>
          <w:szCs w:val="32"/>
        </w:rPr>
        <w:fldChar w:fldCharType="end"/>
      </w:r>
    </w:p>
    <w:p w14:paraId="46C6D2CF">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_Toc3116 </w:instrText>
      </w:r>
      <w:r>
        <w:rPr>
          <w:sz w:val="28"/>
          <w:szCs w:val="32"/>
        </w:rPr>
        <w:fldChar w:fldCharType="separate"/>
      </w:r>
      <w:r>
        <w:rPr>
          <w:rFonts w:hint="default" w:ascii="Times New Roman" w:hAnsi="Times New Roman" w:eastAsia="楷体_GB2312" w:cs="Times New Roman"/>
          <w:bCs/>
          <w:sz w:val="28"/>
          <w:szCs w:val="44"/>
        </w:rPr>
        <w:t>（一）标准框架</w:t>
      </w:r>
      <w:r>
        <w:rPr>
          <w:sz w:val="28"/>
          <w:szCs w:val="32"/>
        </w:rPr>
        <w:tab/>
      </w:r>
      <w:r>
        <w:rPr>
          <w:sz w:val="28"/>
          <w:szCs w:val="32"/>
        </w:rPr>
        <w:fldChar w:fldCharType="begin"/>
      </w:r>
      <w:r>
        <w:rPr>
          <w:sz w:val="28"/>
          <w:szCs w:val="32"/>
        </w:rPr>
        <w:instrText xml:space="preserve"> PAGEREF _Toc3116 \h </w:instrText>
      </w:r>
      <w:r>
        <w:rPr>
          <w:sz w:val="28"/>
          <w:szCs w:val="32"/>
        </w:rPr>
        <w:fldChar w:fldCharType="separate"/>
      </w:r>
      <w:r>
        <w:rPr>
          <w:sz w:val="28"/>
          <w:szCs w:val="32"/>
        </w:rPr>
        <w:t>9</w:t>
      </w:r>
      <w:r>
        <w:rPr>
          <w:sz w:val="28"/>
          <w:szCs w:val="32"/>
        </w:rPr>
        <w:fldChar w:fldCharType="end"/>
      </w:r>
      <w:r>
        <w:rPr>
          <w:color w:val="0000FF"/>
          <w:sz w:val="28"/>
          <w:szCs w:val="32"/>
        </w:rPr>
        <w:fldChar w:fldCharType="end"/>
      </w:r>
    </w:p>
    <w:p w14:paraId="6652D362">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_Toc604 </w:instrText>
      </w:r>
      <w:r>
        <w:rPr>
          <w:sz w:val="28"/>
          <w:szCs w:val="32"/>
        </w:rPr>
        <w:fldChar w:fldCharType="separate"/>
      </w:r>
      <w:r>
        <w:rPr>
          <w:rFonts w:hint="default" w:ascii="Times New Roman" w:hAnsi="Times New Roman" w:eastAsia="楷体_GB2312" w:cs="Times New Roman"/>
          <w:bCs/>
          <w:sz w:val="28"/>
          <w:szCs w:val="44"/>
        </w:rPr>
        <w:t>（二）标准内容</w:t>
      </w:r>
      <w:r>
        <w:rPr>
          <w:sz w:val="28"/>
          <w:szCs w:val="32"/>
        </w:rPr>
        <w:tab/>
      </w:r>
      <w:r>
        <w:rPr>
          <w:sz w:val="28"/>
          <w:szCs w:val="32"/>
        </w:rPr>
        <w:fldChar w:fldCharType="begin"/>
      </w:r>
      <w:r>
        <w:rPr>
          <w:sz w:val="28"/>
          <w:szCs w:val="32"/>
        </w:rPr>
        <w:instrText xml:space="preserve"> PAGEREF _Toc604 \h </w:instrText>
      </w:r>
      <w:r>
        <w:rPr>
          <w:sz w:val="28"/>
          <w:szCs w:val="32"/>
        </w:rPr>
        <w:fldChar w:fldCharType="separate"/>
      </w:r>
      <w:r>
        <w:rPr>
          <w:sz w:val="28"/>
          <w:szCs w:val="32"/>
        </w:rPr>
        <w:t>9</w:t>
      </w:r>
      <w:r>
        <w:rPr>
          <w:sz w:val="28"/>
          <w:szCs w:val="32"/>
        </w:rPr>
        <w:fldChar w:fldCharType="end"/>
      </w:r>
      <w:r>
        <w:rPr>
          <w:color w:val="0000FF"/>
          <w:sz w:val="28"/>
          <w:szCs w:val="32"/>
        </w:rPr>
        <w:fldChar w:fldCharType="end"/>
      </w:r>
    </w:p>
    <w:p w14:paraId="0622CBCD">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_Toc20309 </w:instrText>
      </w:r>
      <w:r>
        <w:rPr>
          <w:sz w:val="28"/>
          <w:szCs w:val="32"/>
        </w:rPr>
        <w:fldChar w:fldCharType="separate"/>
      </w:r>
      <w:r>
        <w:rPr>
          <w:rFonts w:hint="eastAsia" w:ascii="Times New Roman" w:hAnsi="Times New Roman" w:eastAsia="黑体" w:cs="Times New Roman"/>
          <w:sz w:val="28"/>
          <w:szCs w:val="32"/>
          <w:lang w:val="en-US" w:eastAsia="zh-CN"/>
        </w:rPr>
        <w:t>五</w:t>
      </w:r>
      <w:r>
        <w:rPr>
          <w:rFonts w:hint="default" w:ascii="Times New Roman" w:hAnsi="Times New Roman" w:eastAsia="黑体" w:cs="Times New Roman"/>
          <w:sz w:val="28"/>
          <w:szCs w:val="32"/>
        </w:rPr>
        <w:t>、与现行法律、法规、政策及相关标准的协调性</w:t>
      </w:r>
      <w:r>
        <w:rPr>
          <w:sz w:val="28"/>
          <w:szCs w:val="32"/>
        </w:rPr>
        <w:tab/>
      </w:r>
      <w:r>
        <w:rPr>
          <w:sz w:val="28"/>
          <w:szCs w:val="32"/>
        </w:rPr>
        <w:fldChar w:fldCharType="begin"/>
      </w:r>
      <w:r>
        <w:rPr>
          <w:sz w:val="28"/>
          <w:szCs w:val="32"/>
        </w:rPr>
        <w:instrText xml:space="preserve"> PAGEREF _Toc20309 \h </w:instrText>
      </w:r>
      <w:r>
        <w:rPr>
          <w:sz w:val="28"/>
          <w:szCs w:val="32"/>
        </w:rPr>
        <w:fldChar w:fldCharType="separate"/>
      </w:r>
      <w:r>
        <w:rPr>
          <w:sz w:val="28"/>
          <w:szCs w:val="32"/>
        </w:rPr>
        <w:t>15</w:t>
      </w:r>
      <w:r>
        <w:rPr>
          <w:sz w:val="28"/>
          <w:szCs w:val="32"/>
        </w:rPr>
        <w:fldChar w:fldCharType="end"/>
      </w:r>
      <w:r>
        <w:rPr>
          <w:color w:val="0000FF"/>
          <w:sz w:val="28"/>
          <w:szCs w:val="32"/>
        </w:rPr>
        <w:fldChar w:fldCharType="end"/>
      </w:r>
    </w:p>
    <w:p w14:paraId="4E192F51">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_Toc5119 </w:instrText>
      </w:r>
      <w:r>
        <w:rPr>
          <w:sz w:val="28"/>
          <w:szCs w:val="32"/>
        </w:rPr>
        <w:fldChar w:fldCharType="separate"/>
      </w:r>
      <w:r>
        <w:rPr>
          <w:rFonts w:hint="eastAsia" w:ascii="Times New Roman" w:hAnsi="Times New Roman" w:eastAsia="黑体" w:cs="Times New Roman"/>
          <w:sz w:val="28"/>
          <w:szCs w:val="32"/>
          <w:lang w:val="en-US" w:eastAsia="zh-CN"/>
        </w:rPr>
        <w:t>六</w:t>
      </w:r>
      <w:r>
        <w:rPr>
          <w:rFonts w:hint="default" w:ascii="Times New Roman" w:hAnsi="Times New Roman" w:eastAsia="黑体" w:cs="Times New Roman"/>
          <w:sz w:val="28"/>
          <w:szCs w:val="32"/>
        </w:rPr>
        <w:t>、重大分歧意见的处理经过和依据</w:t>
      </w:r>
      <w:r>
        <w:rPr>
          <w:sz w:val="28"/>
          <w:szCs w:val="32"/>
        </w:rPr>
        <w:tab/>
      </w:r>
      <w:r>
        <w:rPr>
          <w:sz w:val="28"/>
          <w:szCs w:val="32"/>
        </w:rPr>
        <w:fldChar w:fldCharType="begin"/>
      </w:r>
      <w:r>
        <w:rPr>
          <w:sz w:val="28"/>
          <w:szCs w:val="32"/>
        </w:rPr>
        <w:instrText xml:space="preserve"> PAGEREF _Toc5119 \h </w:instrText>
      </w:r>
      <w:r>
        <w:rPr>
          <w:sz w:val="28"/>
          <w:szCs w:val="32"/>
        </w:rPr>
        <w:fldChar w:fldCharType="separate"/>
      </w:r>
      <w:r>
        <w:rPr>
          <w:sz w:val="28"/>
          <w:szCs w:val="32"/>
        </w:rPr>
        <w:t>16</w:t>
      </w:r>
      <w:r>
        <w:rPr>
          <w:sz w:val="28"/>
          <w:szCs w:val="32"/>
        </w:rPr>
        <w:fldChar w:fldCharType="end"/>
      </w:r>
      <w:r>
        <w:rPr>
          <w:color w:val="0000FF"/>
          <w:sz w:val="28"/>
          <w:szCs w:val="32"/>
        </w:rPr>
        <w:fldChar w:fldCharType="end"/>
      </w:r>
    </w:p>
    <w:p w14:paraId="734B5333">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sz w:val="28"/>
          <w:szCs w:val="32"/>
        </w:rPr>
      </w:pPr>
      <w:r>
        <w:rPr>
          <w:color w:val="0000FF"/>
          <w:sz w:val="28"/>
          <w:szCs w:val="32"/>
        </w:rPr>
        <w:fldChar w:fldCharType="begin"/>
      </w:r>
      <w:r>
        <w:rPr>
          <w:sz w:val="28"/>
          <w:szCs w:val="32"/>
        </w:rPr>
        <w:instrText xml:space="preserve"> HYPERLINK \l _Toc21681 </w:instrText>
      </w:r>
      <w:r>
        <w:rPr>
          <w:sz w:val="28"/>
          <w:szCs w:val="32"/>
        </w:rPr>
        <w:fldChar w:fldCharType="separate"/>
      </w:r>
      <w:r>
        <w:rPr>
          <w:rFonts w:hint="eastAsia" w:ascii="Times New Roman" w:hAnsi="Times New Roman" w:eastAsia="黑体" w:cs="Times New Roman"/>
          <w:sz w:val="28"/>
          <w:szCs w:val="32"/>
          <w:lang w:val="en-US" w:eastAsia="zh-CN"/>
        </w:rPr>
        <w:t>七</w:t>
      </w:r>
      <w:r>
        <w:rPr>
          <w:rFonts w:hint="default" w:ascii="Times New Roman" w:hAnsi="Times New Roman" w:eastAsia="黑体" w:cs="Times New Roman"/>
          <w:sz w:val="28"/>
          <w:szCs w:val="32"/>
        </w:rPr>
        <w:t>、作为推荐性或者强制性标准的建议及其理由</w:t>
      </w:r>
      <w:r>
        <w:rPr>
          <w:sz w:val="28"/>
          <w:szCs w:val="32"/>
        </w:rPr>
        <w:tab/>
      </w:r>
      <w:r>
        <w:rPr>
          <w:sz w:val="28"/>
          <w:szCs w:val="32"/>
        </w:rPr>
        <w:fldChar w:fldCharType="begin"/>
      </w:r>
      <w:r>
        <w:rPr>
          <w:sz w:val="28"/>
          <w:szCs w:val="32"/>
        </w:rPr>
        <w:instrText xml:space="preserve"> PAGEREF _Toc21681 \h </w:instrText>
      </w:r>
      <w:r>
        <w:rPr>
          <w:sz w:val="28"/>
          <w:szCs w:val="32"/>
        </w:rPr>
        <w:fldChar w:fldCharType="separate"/>
      </w:r>
      <w:r>
        <w:rPr>
          <w:sz w:val="28"/>
          <w:szCs w:val="32"/>
        </w:rPr>
        <w:t>16</w:t>
      </w:r>
      <w:r>
        <w:rPr>
          <w:sz w:val="28"/>
          <w:szCs w:val="32"/>
        </w:rPr>
        <w:fldChar w:fldCharType="end"/>
      </w:r>
      <w:r>
        <w:rPr>
          <w:color w:val="0000FF"/>
          <w:sz w:val="28"/>
          <w:szCs w:val="32"/>
        </w:rPr>
        <w:fldChar w:fldCharType="end"/>
      </w:r>
    </w:p>
    <w:p w14:paraId="1DAB2D05">
      <w:pPr>
        <w:pStyle w:val="6"/>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color w:val="0000FF"/>
          <w:sz w:val="28"/>
          <w:szCs w:val="32"/>
        </w:rPr>
        <w:fldChar w:fldCharType="begin"/>
      </w:r>
      <w:r>
        <w:rPr>
          <w:sz w:val="28"/>
          <w:szCs w:val="32"/>
        </w:rPr>
        <w:instrText xml:space="preserve"> HYPERLINK \l _Toc29245 </w:instrText>
      </w:r>
      <w:r>
        <w:rPr>
          <w:sz w:val="28"/>
          <w:szCs w:val="32"/>
        </w:rPr>
        <w:fldChar w:fldCharType="separate"/>
      </w:r>
      <w:r>
        <w:rPr>
          <w:rFonts w:hint="eastAsia" w:ascii="Times New Roman" w:hAnsi="Times New Roman" w:eastAsia="黑体" w:cs="Times New Roman"/>
          <w:sz w:val="28"/>
          <w:szCs w:val="32"/>
          <w:lang w:val="en-US" w:eastAsia="zh-CN"/>
        </w:rPr>
        <w:t>八</w:t>
      </w:r>
      <w:r>
        <w:rPr>
          <w:rFonts w:hint="default" w:ascii="Times New Roman" w:hAnsi="Times New Roman" w:eastAsia="黑体" w:cs="Times New Roman"/>
          <w:sz w:val="28"/>
          <w:szCs w:val="32"/>
        </w:rPr>
        <w:t>、贯彻标准的要求和措施建议</w:t>
      </w:r>
      <w:r>
        <w:rPr>
          <w:sz w:val="28"/>
          <w:szCs w:val="32"/>
        </w:rPr>
        <w:tab/>
      </w:r>
      <w:r>
        <w:rPr>
          <w:sz w:val="28"/>
          <w:szCs w:val="32"/>
        </w:rPr>
        <w:fldChar w:fldCharType="begin"/>
      </w:r>
      <w:r>
        <w:rPr>
          <w:sz w:val="28"/>
          <w:szCs w:val="32"/>
        </w:rPr>
        <w:instrText xml:space="preserve"> PAGEREF _Toc29245 \h </w:instrText>
      </w:r>
      <w:r>
        <w:rPr>
          <w:sz w:val="28"/>
          <w:szCs w:val="32"/>
        </w:rPr>
        <w:fldChar w:fldCharType="separate"/>
      </w:r>
      <w:r>
        <w:rPr>
          <w:sz w:val="28"/>
          <w:szCs w:val="32"/>
        </w:rPr>
        <w:t>16</w:t>
      </w:r>
      <w:r>
        <w:rPr>
          <w:sz w:val="28"/>
          <w:szCs w:val="32"/>
        </w:rPr>
        <w:fldChar w:fldCharType="end"/>
      </w:r>
      <w:r>
        <w:rPr>
          <w:color w:val="0000FF"/>
          <w:sz w:val="28"/>
          <w:szCs w:val="32"/>
        </w:rPr>
        <w:fldChar w:fldCharType="end"/>
      </w:r>
    </w:p>
    <w:p w14:paraId="555BA6D7">
      <w:pPr>
        <w:pStyle w:val="7"/>
      </w:pPr>
      <w:r>
        <w:rPr>
          <w:color w:val="0000FF"/>
        </w:rPr>
        <w:fldChar w:fldCharType="end"/>
      </w:r>
    </w:p>
    <w:p w14:paraId="58B32E70">
      <w:pPr>
        <w:sectPr>
          <w:pgSz w:w="11906" w:h="16838"/>
          <w:pgMar w:top="1440" w:right="1800" w:bottom="1440" w:left="1800" w:header="851" w:footer="992" w:gutter="0"/>
          <w:pgNumType w:fmt="decimal"/>
          <w:cols w:space="425" w:num="1"/>
          <w:docGrid w:type="lines" w:linePitch="312" w:charSpace="0"/>
        </w:sectPr>
      </w:pPr>
    </w:p>
    <w:p w14:paraId="5E9D5F7D">
      <w:pPr>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w:t>
      </w:r>
      <w:r>
        <w:rPr>
          <w:rFonts w:hint="eastAsia" w:ascii="Times New Roman" w:hAnsi="Times New Roman" w:eastAsia="方正小标宋简体" w:cs="Times New Roman"/>
          <w:sz w:val="44"/>
          <w:szCs w:val="44"/>
          <w:lang w:eastAsia="zh-CN"/>
        </w:rPr>
        <w:t>社区食堂服务管理规范</w:t>
      </w:r>
      <w:r>
        <w:rPr>
          <w:rFonts w:hint="default" w:ascii="Times New Roman" w:hAnsi="Times New Roman" w:eastAsia="方正小标宋简体" w:cs="Times New Roman"/>
          <w:sz w:val="44"/>
          <w:szCs w:val="44"/>
        </w:rPr>
        <w:t>》编制说明</w:t>
      </w:r>
    </w:p>
    <w:p w14:paraId="0F7169E0">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rPr>
      </w:pPr>
    </w:p>
    <w:p w14:paraId="27FBDE96">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sz w:val="32"/>
        </w:rPr>
      </w:pPr>
      <w:bookmarkStart w:id="2" w:name="_Toc6464"/>
      <w:r>
        <w:rPr>
          <w:rFonts w:hint="default" w:ascii="Times New Roman" w:hAnsi="Times New Roman" w:eastAsia="黑体" w:cs="Times New Roman"/>
          <w:b w:val="0"/>
          <w:sz w:val="32"/>
        </w:rPr>
        <w:t>一、工作简况</w:t>
      </w:r>
      <w:bookmarkEnd w:id="2"/>
    </w:p>
    <w:p w14:paraId="0432E8D3">
      <w:pPr>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（一）任务来源</w:t>
      </w:r>
    </w:p>
    <w:p w14:paraId="214EDD10">
      <w:pPr>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根据宁夏回族自治区市场监督管理厅2024年5月8日印发的</w:t>
      </w:r>
      <w:r>
        <w:rPr>
          <w:rFonts w:hint="default" w:ascii="Times New Roman" w:hAnsi="Times New Roman" w:eastAsia="仿宋_GB2312" w:cs="Times New Roman"/>
          <w:sz w:val="32"/>
          <w:szCs w:val="32"/>
        </w:rPr>
        <w:t>《自治区市场监管厅关于下达2024年地方标准制（修）订计划（第一批）的通知》（〔2024〕560 号），</w:t>
      </w:r>
      <w:r>
        <w:rPr>
          <w:rFonts w:hint="eastAsia" w:ascii="Times New Roman" w:hAnsi="Times New Roman" w:eastAsia="仿宋_GB2312" w:cs="Times New Roman"/>
          <w:sz w:val="32"/>
          <w:szCs w:val="32"/>
          <w:lang w:val="en-US" w:eastAsia="zh-CN"/>
        </w:rPr>
        <w:t>决定将</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社区食堂服务管理规范</w:t>
      </w:r>
      <w:r>
        <w:rPr>
          <w:rFonts w:hint="default" w:ascii="Times New Roman" w:hAnsi="Times New Roman" w:eastAsia="仿宋_GB2312" w:cs="Times New Roman"/>
          <w:sz w:val="32"/>
          <w:szCs w:val="32"/>
        </w:rPr>
        <w:t>》列入2024年（第一批）地方标准制订计划。</w:t>
      </w:r>
    </w:p>
    <w:p w14:paraId="7FEAFD81">
      <w:pPr>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本文件由宁夏回族自治区民政厅提出、归口并组织实施。</w:t>
      </w:r>
    </w:p>
    <w:p w14:paraId="1092122A">
      <w:pPr>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（二）起草单位、主要起草人</w:t>
      </w:r>
    </w:p>
    <w:p w14:paraId="13AA417C">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1.主要起草单位</w:t>
      </w:r>
    </w:p>
    <w:p w14:paraId="0C009B0C">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银川市健康养老产业发展协会</w:t>
      </w:r>
      <w:r>
        <w:rPr>
          <w:rFonts w:hint="eastAsia" w:ascii="仿宋_GB2312" w:hAnsi="仿宋_GB2312" w:eastAsia="仿宋_GB2312" w:cs="仿宋_GB2312"/>
          <w:kern w:val="0"/>
          <w:sz w:val="32"/>
          <w:szCs w:val="32"/>
        </w:rPr>
        <w:t>、银川市民政局、北方民族大学。</w:t>
      </w:r>
    </w:p>
    <w:p w14:paraId="2841DFF6">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2.主要起草人</w:t>
      </w:r>
    </w:p>
    <w:p w14:paraId="7608DDE6">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李明辉、</w:t>
      </w:r>
      <w:r>
        <w:rPr>
          <w:rFonts w:hint="eastAsia" w:ascii="仿宋_GB2312" w:hAnsi="仿宋_GB2312" w:eastAsia="仿宋_GB2312" w:cs="仿宋_GB2312"/>
          <w:kern w:val="0"/>
          <w:sz w:val="32"/>
          <w:szCs w:val="32"/>
          <w:lang w:val="en-US" w:eastAsia="zh-CN"/>
        </w:rPr>
        <w:t>刘红梅、</w:t>
      </w:r>
      <w:r>
        <w:rPr>
          <w:rFonts w:hint="eastAsia" w:ascii="仿宋_GB2312" w:hAnsi="仿宋_GB2312" w:eastAsia="仿宋_GB2312" w:cs="仿宋_GB2312"/>
          <w:kern w:val="0"/>
          <w:sz w:val="32"/>
          <w:szCs w:val="32"/>
        </w:rPr>
        <w:t>井胜、陈伟龙、程巍、李静、李艳军、杭英、黎苗苗、潘珺瑶。</w:t>
      </w:r>
    </w:p>
    <w:p w14:paraId="4977A98E">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3.任务分工</w:t>
      </w:r>
    </w:p>
    <w:p w14:paraId="7CCF384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李明辉</w:t>
      </w:r>
      <w:r>
        <w:rPr>
          <w:rFonts w:hint="eastAsia" w:ascii="仿宋_GB2312" w:hAnsi="仿宋_GB2312" w:eastAsia="仿宋_GB2312" w:cs="仿宋_GB2312"/>
          <w:kern w:val="0"/>
          <w:sz w:val="32"/>
          <w:szCs w:val="32"/>
        </w:rPr>
        <w:t>：标准起草负责人，组织标准起草工作，把握标准制定相关的标准内容范围和技术方向，组织协调标准制定所需资源。</w:t>
      </w:r>
    </w:p>
    <w:p w14:paraId="6F05E1FE">
      <w:pPr>
        <w:spacing w:line="60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刘红梅、井胜、陈伟龙、程巍</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标准政策法规</w:t>
      </w:r>
      <w:r>
        <w:rPr>
          <w:rFonts w:hint="eastAsia" w:ascii="仿宋_GB2312" w:hAnsi="仿宋_GB2312" w:eastAsia="仿宋_GB2312" w:cs="仿宋_GB2312"/>
          <w:kern w:val="0"/>
          <w:sz w:val="32"/>
          <w:szCs w:val="32"/>
        </w:rPr>
        <w:t>负责人，把握标准制定相关的</w:t>
      </w:r>
      <w:r>
        <w:rPr>
          <w:rFonts w:hint="eastAsia" w:ascii="仿宋_GB2312" w:hAnsi="仿宋_GB2312" w:eastAsia="仿宋_GB2312" w:cs="仿宋_GB2312"/>
          <w:kern w:val="0"/>
          <w:sz w:val="32"/>
          <w:szCs w:val="32"/>
          <w:lang w:val="en-US" w:eastAsia="zh-CN"/>
        </w:rPr>
        <w:t>国家政策方针及地方政策法规，确保标准符合相关政策法律法规的要求。</w:t>
      </w:r>
    </w:p>
    <w:p w14:paraId="6C41C4BE">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李静、李艳军</w:t>
      </w:r>
      <w:r>
        <w:rPr>
          <w:rFonts w:hint="eastAsia" w:ascii="仿宋_GB2312" w:hAnsi="仿宋_GB2312" w:eastAsia="仿宋_GB2312" w:cs="仿宋_GB2312"/>
          <w:kern w:val="0"/>
          <w:sz w:val="32"/>
          <w:szCs w:val="32"/>
        </w:rPr>
        <w:t>：标准技术负责人，组织确定标准制定方案，组织推进标准制定程序和进度，组织讨论并确定标准框架、编写思路，组织并参加调研，组织标准审查、报批等工作。</w:t>
      </w:r>
    </w:p>
    <w:p w14:paraId="72B59A30">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杭英、黎苗苗、潘珺瑶：实地调研、收集标准所需资料和素材，编写标准，整理编写标准制定过程所需的技术文档，办理召开标准研讨会、征求意见、标准送审等具体事务。</w:t>
      </w:r>
    </w:p>
    <w:p w14:paraId="2968B0A6">
      <w:pPr>
        <w:spacing w:line="600" w:lineRule="exact"/>
        <w:ind w:firstLine="640" w:firstLineChars="200"/>
        <w:outlineLvl w:val="1"/>
        <w:rPr>
          <w:rFonts w:hint="eastAsia" w:ascii="楷体_GB2312" w:eastAsia="楷体_GB2312"/>
          <w:sz w:val="32"/>
          <w:szCs w:val="32"/>
        </w:rPr>
      </w:pPr>
      <w:bookmarkStart w:id="3" w:name="_Toc27530"/>
      <w:bookmarkStart w:id="4" w:name="_Toc96415388"/>
      <w:r>
        <w:rPr>
          <w:rFonts w:hint="eastAsia" w:ascii="楷体_GB2312" w:eastAsia="楷体_GB2312"/>
          <w:sz w:val="32"/>
          <w:szCs w:val="32"/>
        </w:rPr>
        <w:t>（三）起草过程</w:t>
      </w:r>
      <w:bookmarkEnd w:id="3"/>
      <w:bookmarkEnd w:id="4"/>
    </w:p>
    <w:p w14:paraId="6C62245F">
      <w:pPr>
        <w:spacing w:line="600" w:lineRule="exact"/>
        <w:ind w:firstLine="640" w:firstLineChars="200"/>
        <w:outlineLvl w:val="2"/>
        <w:rPr>
          <w:rFonts w:hint="eastAsia" w:ascii="仿宋_GB2312" w:hAnsi="仿宋_GB2312" w:eastAsia="仿宋_GB2312"/>
          <w:color w:val="000000"/>
          <w:sz w:val="32"/>
          <w:szCs w:val="32"/>
        </w:rPr>
      </w:pPr>
      <w:bookmarkStart w:id="5" w:name="_Toc96415389"/>
      <w:r>
        <w:rPr>
          <w:rFonts w:hint="eastAsia" w:ascii="仿宋_GB2312" w:hAnsi="仿宋_GB2312" w:eastAsia="仿宋_GB2312"/>
          <w:color w:val="000000"/>
          <w:sz w:val="32"/>
          <w:szCs w:val="32"/>
        </w:rPr>
        <w:t>1.前期准备</w:t>
      </w:r>
      <w:bookmarkEnd w:id="5"/>
    </w:p>
    <w:p w14:paraId="46C8AB2C">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2023年11月22日，自治区市场监管厅印发《自治区市场监管厅关于征集 2024 年宁夏地方标准立项计划的通知》（〔2023〕1374 号）文件，</w:t>
      </w:r>
      <w:r>
        <w:rPr>
          <w:rFonts w:hint="eastAsia" w:ascii="仿宋_GB2312" w:hAnsi="仿宋_GB2312" w:eastAsia="仿宋_GB2312" w:cs="仿宋_GB2312"/>
          <w:kern w:val="0"/>
          <w:sz w:val="32"/>
          <w:szCs w:val="32"/>
        </w:rPr>
        <w:t>决定对 2024年度地方标准制（修）订项目开展征集工作，在</w:t>
      </w:r>
      <w:r>
        <w:rPr>
          <w:rFonts w:hint="eastAsia" w:ascii="仿宋_GB2312" w:hAnsi="仿宋_GB2312" w:eastAsia="仿宋_GB2312" w:cs="仿宋_GB2312"/>
          <w:kern w:val="0"/>
          <w:sz w:val="32"/>
          <w:szCs w:val="32"/>
          <w:lang w:val="en-US" w:eastAsia="zh-CN"/>
        </w:rPr>
        <w:t>宁夏回族自治区</w:t>
      </w:r>
      <w:r>
        <w:rPr>
          <w:rFonts w:hint="eastAsia" w:ascii="仿宋_GB2312" w:hAnsi="仿宋_GB2312" w:eastAsia="仿宋_GB2312" w:cs="仿宋_GB2312"/>
          <w:kern w:val="0"/>
          <w:sz w:val="32"/>
          <w:szCs w:val="32"/>
        </w:rPr>
        <w:t>民政厅的领导和指导下，银川市健康养老产业发展协会于202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年1</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月初</w:t>
      </w:r>
      <w:r>
        <w:rPr>
          <w:rFonts w:hint="eastAsia" w:ascii="仿宋_GB2312" w:hAnsi="仿宋_GB2312" w:eastAsia="仿宋_GB2312" w:cs="仿宋_GB2312"/>
          <w:kern w:val="0"/>
          <w:sz w:val="32"/>
          <w:szCs w:val="32"/>
          <w:lang w:val="en-US" w:eastAsia="zh-CN"/>
        </w:rPr>
        <w:t>联合</w:t>
      </w:r>
      <w:r>
        <w:rPr>
          <w:rFonts w:hint="eastAsia" w:ascii="仿宋_GB2312" w:hAnsi="仿宋_GB2312" w:eastAsia="仿宋_GB2312" w:cs="仿宋_GB2312"/>
          <w:kern w:val="0"/>
          <w:sz w:val="32"/>
          <w:szCs w:val="32"/>
        </w:rPr>
        <w:t>银川市民政局、北方民族大学等单位成立了标准起草组，起草组讨论确定了工作进度安排、任务分工及标准的初步思路，正式启动标准制定工作。</w:t>
      </w:r>
    </w:p>
    <w:p w14:paraId="11A8C91D">
      <w:pPr>
        <w:spacing w:line="600" w:lineRule="exact"/>
        <w:ind w:firstLine="640" w:firstLineChars="200"/>
        <w:outlineLvl w:val="2"/>
        <w:rPr>
          <w:rFonts w:hint="eastAsia" w:ascii="仿宋_GB2312" w:hAnsi="仿宋_GB2312" w:eastAsia="仿宋_GB2312"/>
          <w:color w:val="000000"/>
          <w:sz w:val="32"/>
          <w:szCs w:val="32"/>
        </w:rPr>
      </w:pPr>
      <w:bookmarkStart w:id="6" w:name="_Toc96415390"/>
      <w:r>
        <w:rPr>
          <w:rFonts w:hint="eastAsia" w:ascii="仿宋_GB2312" w:hAnsi="仿宋_GB2312" w:eastAsia="仿宋_GB2312"/>
          <w:color w:val="000000"/>
          <w:sz w:val="32"/>
          <w:szCs w:val="32"/>
        </w:rPr>
        <w:t>2.现状调研</w:t>
      </w:r>
      <w:bookmarkEnd w:id="6"/>
    </w:p>
    <w:p w14:paraId="0DDC5EED">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w:t>
      </w:r>
      <w:r>
        <w:rPr>
          <w:rFonts w:hint="eastAsia" w:ascii="仿宋_GB2312" w:hAnsi="仿宋_GB2312" w:eastAsia="仿宋_GB2312" w:cs="仿宋_GB2312"/>
          <w:kern w:val="0"/>
          <w:sz w:val="32"/>
          <w:szCs w:val="32"/>
          <w:lang w:val="en-US" w:eastAsia="zh-CN"/>
        </w:rPr>
        <w:t>23</w:t>
      </w:r>
      <w:r>
        <w:rPr>
          <w:rFonts w:hint="eastAsia" w:ascii="仿宋_GB2312" w:hAnsi="仿宋_GB2312" w:eastAsia="仿宋_GB2312" w:cs="仿宋_GB2312"/>
          <w:kern w:val="0"/>
          <w:sz w:val="32"/>
          <w:szCs w:val="32"/>
        </w:rPr>
        <w:t>年1</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月，起草组进行了资料调研，查阅搜集了国家、</w:t>
      </w:r>
      <w:r>
        <w:rPr>
          <w:rFonts w:hint="eastAsia" w:ascii="仿宋_GB2312" w:hAnsi="仿宋_GB2312" w:eastAsia="仿宋_GB2312" w:cs="仿宋_GB2312"/>
          <w:kern w:val="0"/>
          <w:sz w:val="32"/>
          <w:szCs w:val="32"/>
          <w:lang w:val="en-US" w:eastAsia="zh-CN"/>
        </w:rPr>
        <w:t>自治区</w:t>
      </w:r>
      <w:r>
        <w:rPr>
          <w:rFonts w:hint="eastAsia" w:ascii="仿宋_GB2312" w:hAnsi="仿宋_GB2312" w:eastAsia="仿宋_GB2312" w:cs="仿宋_GB2312"/>
          <w:kern w:val="0"/>
          <w:sz w:val="32"/>
          <w:szCs w:val="32"/>
        </w:rPr>
        <w:t>及各市社区食堂相关的法律法规和政策文件，并对</w:t>
      </w:r>
      <w:r>
        <w:rPr>
          <w:rFonts w:hint="eastAsia" w:ascii="仿宋_GB2312" w:hAnsi="仿宋_GB2312" w:eastAsia="仿宋_GB2312" w:cs="仿宋_GB2312"/>
          <w:kern w:val="0"/>
          <w:sz w:val="32"/>
          <w:szCs w:val="32"/>
          <w:lang w:val="en-US" w:eastAsia="zh-CN"/>
        </w:rPr>
        <w:t>区</w:t>
      </w:r>
      <w:r>
        <w:rPr>
          <w:rFonts w:hint="eastAsia" w:ascii="仿宋_GB2312" w:hAnsi="仿宋_GB2312" w:eastAsia="仿宋_GB2312" w:cs="仿宋_GB2312"/>
          <w:kern w:val="0"/>
          <w:sz w:val="32"/>
          <w:szCs w:val="32"/>
        </w:rPr>
        <w:t>内各市，包括</w:t>
      </w:r>
      <w:r>
        <w:rPr>
          <w:rFonts w:hint="eastAsia" w:ascii="仿宋_GB2312" w:hAnsi="仿宋_GB2312" w:eastAsia="仿宋_GB2312" w:cs="仿宋_GB2312"/>
          <w:kern w:val="0"/>
          <w:sz w:val="32"/>
          <w:szCs w:val="32"/>
          <w:lang w:val="en-US" w:eastAsia="zh-CN"/>
        </w:rPr>
        <w:t>银川市、吴忠市、中卫市、石嘴山市、固原市</w:t>
      </w:r>
      <w:r>
        <w:rPr>
          <w:rFonts w:hint="eastAsia" w:ascii="仿宋_GB2312" w:hAnsi="仿宋_GB2312" w:eastAsia="仿宋_GB2312" w:cs="仿宋_GB2312"/>
          <w:kern w:val="0"/>
          <w:sz w:val="32"/>
          <w:szCs w:val="32"/>
        </w:rPr>
        <w:t>等的政策文件进行了梳理汇总分析，整理了</w:t>
      </w:r>
      <w:r>
        <w:rPr>
          <w:rFonts w:hint="eastAsia" w:ascii="仿宋_GB2312" w:hAnsi="仿宋_GB2312" w:eastAsia="仿宋_GB2312" w:cs="仿宋_GB2312"/>
          <w:kern w:val="0"/>
          <w:sz w:val="32"/>
          <w:szCs w:val="32"/>
          <w:lang w:val="en-US" w:eastAsia="zh-CN"/>
        </w:rPr>
        <w:t>区</w:t>
      </w:r>
      <w:r>
        <w:rPr>
          <w:rFonts w:hint="eastAsia" w:ascii="仿宋_GB2312" w:hAnsi="仿宋_GB2312" w:eastAsia="仿宋_GB2312" w:cs="仿宋_GB2312"/>
          <w:kern w:val="0"/>
          <w:sz w:val="32"/>
          <w:szCs w:val="32"/>
        </w:rPr>
        <w:t>内</w:t>
      </w:r>
      <w:r>
        <w:rPr>
          <w:rFonts w:hint="eastAsia" w:ascii="仿宋_GB2312" w:hAnsi="仿宋_GB2312" w:eastAsia="仿宋_GB2312" w:cs="仿宋_GB2312"/>
          <w:kern w:val="0"/>
          <w:sz w:val="32"/>
          <w:szCs w:val="32"/>
          <w:lang w:val="en-US" w:eastAsia="zh-CN"/>
        </w:rPr>
        <w:t>社区</w:t>
      </w:r>
      <w:r>
        <w:rPr>
          <w:rFonts w:hint="eastAsia" w:ascii="仿宋_GB2312" w:hAnsi="仿宋_GB2312" w:eastAsia="仿宋_GB2312" w:cs="仿宋_GB2312"/>
          <w:kern w:val="0"/>
          <w:sz w:val="32"/>
          <w:szCs w:val="32"/>
        </w:rPr>
        <w:t>食堂建设与服务的具体实践做法，特别是</w:t>
      </w:r>
      <w:r>
        <w:rPr>
          <w:rFonts w:hint="eastAsia" w:ascii="仿宋_GB2312" w:hAnsi="仿宋_GB2312" w:eastAsia="仿宋_GB2312" w:cs="仿宋_GB2312"/>
          <w:kern w:val="0"/>
          <w:sz w:val="32"/>
          <w:szCs w:val="32"/>
          <w:lang w:val="en-US" w:eastAsia="zh-CN"/>
        </w:rPr>
        <w:t>银川市</w:t>
      </w:r>
      <w:r>
        <w:rPr>
          <w:rFonts w:hint="eastAsia" w:ascii="仿宋_GB2312" w:hAnsi="仿宋_GB2312" w:eastAsia="仿宋_GB2312" w:cs="仿宋_GB2312"/>
          <w:kern w:val="0"/>
          <w:sz w:val="32"/>
          <w:szCs w:val="32"/>
        </w:rPr>
        <w:t>市民政局提供了社区食堂建设与服务方面的工作思路和实践经验分享，起草组对我</w:t>
      </w:r>
      <w:r>
        <w:rPr>
          <w:rFonts w:hint="eastAsia" w:ascii="仿宋_GB2312" w:hAnsi="仿宋_GB2312" w:eastAsia="仿宋_GB2312" w:cs="仿宋_GB2312"/>
          <w:kern w:val="0"/>
          <w:sz w:val="32"/>
          <w:szCs w:val="32"/>
          <w:lang w:val="en-US" w:eastAsia="zh-CN"/>
        </w:rPr>
        <w:t>区社区</w:t>
      </w:r>
      <w:r>
        <w:rPr>
          <w:rFonts w:hint="eastAsia" w:ascii="仿宋_GB2312" w:hAnsi="仿宋_GB2312" w:eastAsia="仿宋_GB2312" w:cs="仿宋_GB2312"/>
          <w:kern w:val="0"/>
          <w:sz w:val="32"/>
          <w:szCs w:val="32"/>
        </w:rPr>
        <w:t>食堂建设与运营有了比较全面的认识。</w:t>
      </w:r>
    </w:p>
    <w:p w14:paraId="570DBE5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2024年1月</w:t>
      </w:r>
      <w:r>
        <w:rPr>
          <w:rFonts w:hint="eastAsia" w:ascii="仿宋_GB2312" w:hAnsi="仿宋_GB2312" w:eastAsia="仿宋_GB2312" w:cs="仿宋_GB2312"/>
          <w:kern w:val="0"/>
          <w:sz w:val="32"/>
          <w:szCs w:val="32"/>
        </w:rPr>
        <w:t>，起草组就近选择有代表性的</w:t>
      </w:r>
      <w:r>
        <w:rPr>
          <w:rFonts w:hint="eastAsia" w:ascii="仿宋_GB2312" w:hAnsi="仿宋_GB2312" w:eastAsia="仿宋_GB2312" w:cs="仿宋_GB2312"/>
          <w:kern w:val="0"/>
          <w:sz w:val="32"/>
          <w:szCs w:val="32"/>
          <w:lang w:val="en-US" w:eastAsia="zh-CN"/>
        </w:rPr>
        <w:t>清水湾</w:t>
      </w:r>
      <w:r>
        <w:rPr>
          <w:rFonts w:hint="eastAsia" w:ascii="仿宋_GB2312" w:hAnsi="仿宋_GB2312" w:eastAsia="仿宋_GB2312" w:cs="仿宋_GB2312"/>
          <w:kern w:val="0"/>
          <w:sz w:val="32"/>
          <w:szCs w:val="32"/>
        </w:rPr>
        <w:t>社区、</w:t>
      </w:r>
      <w:r>
        <w:rPr>
          <w:rFonts w:hint="eastAsia" w:ascii="仿宋_GB2312" w:hAnsi="仿宋_GB2312" w:eastAsia="仿宋_GB2312" w:cs="仿宋_GB2312"/>
          <w:kern w:val="0"/>
          <w:sz w:val="32"/>
          <w:szCs w:val="32"/>
          <w:lang w:val="en-US" w:eastAsia="zh-CN"/>
        </w:rPr>
        <w:t>崇安</w:t>
      </w:r>
      <w:r>
        <w:rPr>
          <w:rFonts w:hint="eastAsia" w:ascii="仿宋_GB2312" w:hAnsi="仿宋_GB2312" w:eastAsia="仿宋_GB2312" w:cs="仿宋_GB2312"/>
          <w:kern w:val="0"/>
          <w:sz w:val="32"/>
          <w:szCs w:val="32"/>
        </w:rPr>
        <w:t>社区、</w:t>
      </w:r>
      <w:r>
        <w:rPr>
          <w:rFonts w:hint="eastAsia" w:ascii="仿宋_GB2312" w:hAnsi="仿宋_GB2312" w:eastAsia="仿宋_GB2312" w:cs="仿宋_GB2312"/>
          <w:kern w:val="0"/>
          <w:sz w:val="32"/>
          <w:szCs w:val="32"/>
          <w:lang w:val="en-US" w:eastAsia="zh-CN"/>
        </w:rPr>
        <w:t>南华社区、长城花园社区</w:t>
      </w:r>
      <w:r>
        <w:rPr>
          <w:rFonts w:hint="eastAsia" w:ascii="仿宋_GB2312" w:hAnsi="仿宋_GB2312" w:eastAsia="仿宋_GB2312" w:cs="仿宋_GB2312"/>
          <w:kern w:val="0"/>
          <w:sz w:val="32"/>
          <w:szCs w:val="32"/>
        </w:rPr>
        <w:t>等的</w:t>
      </w:r>
      <w:r>
        <w:rPr>
          <w:rFonts w:hint="eastAsia" w:ascii="仿宋_GB2312" w:hAnsi="仿宋_GB2312" w:eastAsia="仿宋_GB2312" w:cs="仿宋_GB2312"/>
          <w:kern w:val="0"/>
          <w:sz w:val="32"/>
          <w:szCs w:val="32"/>
          <w:lang w:val="en-US" w:eastAsia="zh-CN"/>
        </w:rPr>
        <w:t>社区</w:t>
      </w:r>
      <w:r>
        <w:rPr>
          <w:rFonts w:hint="eastAsia" w:ascii="仿宋_GB2312" w:hAnsi="仿宋_GB2312" w:eastAsia="仿宋_GB2312" w:cs="仿宋_GB2312"/>
          <w:kern w:val="0"/>
          <w:sz w:val="32"/>
          <w:szCs w:val="32"/>
        </w:rPr>
        <w:t>食堂进行实地调研，实地考察了不同经营模式的社区老年人食堂，对食堂的建设和运营有了比较深入的认识。</w:t>
      </w:r>
    </w:p>
    <w:p w14:paraId="2BC9DFD2">
      <w:pPr>
        <w:spacing w:line="600" w:lineRule="exact"/>
        <w:ind w:firstLine="640" w:firstLineChars="200"/>
        <w:outlineLvl w:val="2"/>
        <w:rPr>
          <w:rFonts w:hint="eastAsia" w:ascii="仿宋_GB2312" w:hAnsi="仿宋_GB2312" w:eastAsia="仿宋_GB2312"/>
          <w:color w:val="000000"/>
          <w:sz w:val="32"/>
          <w:szCs w:val="32"/>
        </w:rPr>
      </w:pPr>
      <w:bookmarkStart w:id="7" w:name="_Toc96415391"/>
      <w:r>
        <w:rPr>
          <w:rFonts w:hint="eastAsia" w:ascii="仿宋_GB2312" w:hAnsi="仿宋_GB2312" w:eastAsia="仿宋_GB2312"/>
          <w:color w:val="000000"/>
          <w:sz w:val="32"/>
          <w:szCs w:val="32"/>
        </w:rPr>
        <w:t>3.</w:t>
      </w:r>
      <w:bookmarkEnd w:id="7"/>
      <w:r>
        <w:rPr>
          <w:rFonts w:hint="eastAsia" w:ascii="仿宋_GB2312" w:hAnsi="仿宋_GB2312" w:eastAsia="仿宋_GB2312"/>
          <w:color w:val="000000"/>
          <w:sz w:val="32"/>
          <w:szCs w:val="32"/>
        </w:rPr>
        <w:t>立项申报</w:t>
      </w:r>
    </w:p>
    <w:p w14:paraId="111BCE1A">
      <w:pPr>
        <w:spacing w:line="60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1年1月起，起草组基于我</w:t>
      </w:r>
      <w:r>
        <w:rPr>
          <w:rFonts w:hint="eastAsia" w:ascii="仿宋_GB2312" w:hAnsi="仿宋_GB2312" w:eastAsia="仿宋_GB2312" w:cs="仿宋_GB2312"/>
          <w:kern w:val="0"/>
          <w:sz w:val="32"/>
          <w:szCs w:val="32"/>
          <w:lang w:val="en-US" w:eastAsia="zh-CN"/>
        </w:rPr>
        <w:t>区</w:t>
      </w:r>
      <w:r>
        <w:rPr>
          <w:rFonts w:hint="eastAsia" w:ascii="仿宋_GB2312" w:hAnsi="仿宋_GB2312" w:eastAsia="仿宋_GB2312" w:cs="仿宋_GB2312"/>
          <w:kern w:val="0"/>
          <w:sz w:val="32"/>
          <w:szCs w:val="32"/>
        </w:rPr>
        <w:t>社区食堂建设和运营的实际工作和标准化需求，吸纳和总结了</w:t>
      </w:r>
      <w:r>
        <w:rPr>
          <w:rFonts w:hint="eastAsia" w:ascii="仿宋_GB2312" w:hAnsi="仿宋_GB2312" w:eastAsia="仿宋_GB2312" w:cs="仿宋_GB2312"/>
          <w:kern w:val="0"/>
          <w:sz w:val="32"/>
          <w:szCs w:val="32"/>
          <w:lang w:val="en-US" w:eastAsia="zh-CN"/>
        </w:rPr>
        <w:t>区</w:t>
      </w:r>
      <w:r>
        <w:rPr>
          <w:rFonts w:hint="eastAsia" w:ascii="仿宋_GB2312" w:hAnsi="仿宋_GB2312" w:eastAsia="仿宋_GB2312" w:cs="仿宋_GB2312"/>
          <w:kern w:val="0"/>
          <w:sz w:val="32"/>
          <w:szCs w:val="32"/>
        </w:rPr>
        <w:t>内各市开展社区食堂建设和服务的做法和经验，编写了标准初稿。</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初</w:t>
      </w:r>
      <w:r>
        <w:rPr>
          <w:rFonts w:hint="eastAsia" w:ascii="仿宋_GB2312" w:hAnsi="仿宋_GB2312" w:eastAsia="仿宋_GB2312" w:cs="仿宋_GB2312"/>
          <w:kern w:val="0"/>
          <w:sz w:val="32"/>
          <w:szCs w:val="32"/>
        </w:rPr>
        <w:t>，起草组进行了内部讨论，对社区食堂建设和服务的特点进行了讨论和界定，并对标准进行了修改完善，形成了初步的征求意见稿。</w:t>
      </w:r>
      <w:r>
        <w:rPr>
          <w:rFonts w:hint="eastAsia" w:ascii="仿宋_GB2312" w:hAnsi="仿宋_GB2312" w:eastAsia="仿宋_GB2312" w:cs="仿宋_GB2312"/>
          <w:kern w:val="0"/>
          <w:sz w:val="32"/>
          <w:szCs w:val="32"/>
          <w:lang w:val="en-US" w:eastAsia="zh-CN"/>
        </w:rPr>
        <w:t>2024年2月，向自治区民政厅提交了立项申请，</w:t>
      </w:r>
      <w:r>
        <w:rPr>
          <w:rFonts w:hint="eastAsia" w:ascii="Times New Roman" w:hAnsi="Times New Roman" w:eastAsia="仿宋_GB2312" w:cs="Times New Roman"/>
          <w:color w:val="auto"/>
          <w:sz w:val="32"/>
          <w:szCs w:val="32"/>
          <w:lang w:val="en-US" w:eastAsia="zh-CN"/>
        </w:rPr>
        <w:t>标准名称为《银川市社区食堂（老年助餐点）建设管理规范》</w:t>
      </w:r>
      <w:r>
        <w:rPr>
          <w:rFonts w:hint="eastAsia" w:ascii="仿宋_GB2312" w:hAnsi="仿宋_GB2312" w:eastAsia="仿宋_GB2312" w:cs="仿宋_GB2312"/>
          <w:kern w:val="0"/>
          <w:sz w:val="32"/>
          <w:szCs w:val="32"/>
          <w:lang w:val="en-US" w:eastAsia="zh-CN"/>
        </w:rPr>
        <w:t>。</w:t>
      </w:r>
    </w:p>
    <w:p w14:paraId="252C3A07">
      <w:pPr>
        <w:spacing w:line="600" w:lineRule="exact"/>
        <w:ind w:firstLine="640" w:firstLineChars="200"/>
        <w:outlineLvl w:val="2"/>
        <w:rPr>
          <w:rFonts w:hint="eastAsia" w:ascii="仿宋_GB2312" w:hAnsi="仿宋_GB2312" w:eastAsia="仿宋_GB2312"/>
          <w:color w:val="000000"/>
          <w:sz w:val="32"/>
          <w:szCs w:val="32"/>
        </w:rPr>
      </w:pPr>
      <w:bookmarkStart w:id="8" w:name="_Toc96415392"/>
      <w:r>
        <w:rPr>
          <w:rFonts w:hint="eastAsia" w:ascii="仿宋_GB2312" w:hAnsi="仿宋_GB2312" w:eastAsia="仿宋_GB2312"/>
          <w:color w:val="000000"/>
          <w:sz w:val="32"/>
          <w:szCs w:val="32"/>
        </w:rPr>
        <w:t>4.标准专家研讨</w:t>
      </w:r>
      <w:bookmarkEnd w:id="8"/>
    </w:p>
    <w:p w14:paraId="47C75853">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自治区市场监管厅组织了地方标准可行性论证会，邀请了各行各业标准专家召开了研讨会，</w:t>
      </w:r>
      <w:r>
        <w:rPr>
          <w:rFonts w:hint="eastAsia" w:ascii="仿宋_GB2312" w:hAnsi="仿宋_GB2312" w:eastAsia="仿宋_GB2312" w:cs="仿宋_GB2312"/>
          <w:kern w:val="0"/>
          <w:sz w:val="32"/>
          <w:szCs w:val="32"/>
        </w:rPr>
        <w:t>参会专家听取了标准主要编制单位所作的标准编制思路和编制过程汇报，对标准编制的思路和标准内容进行了充分讨论，围绕现有标准框架提出专业性的意见和建议。</w:t>
      </w:r>
    </w:p>
    <w:p w14:paraId="0FC108AA">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专家还针对社区建设与服务标准制定需要突出特点和侧重点、区分社区食堂和老年助餐服务点两类不同的主体等问题进行了深入的讨论和确定</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强调</w:t>
      </w:r>
      <w:r>
        <w:rPr>
          <w:rFonts w:hint="eastAsia" w:ascii="仿宋_GB2312" w:hAnsi="仿宋_GB2312" w:eastAsia="仿宋_GB2312" w:cs="仿宋_GB2312"/>
          <w:kern w:val="0"/>
          <w:sz w:val="32"/>
          <w:szCs w:val="32"/>
        </w:rPr>
        <w:t>要充分考虑到五市不平衡的发展水平，标准适当放低让五个市都能适用。起草组根据专家的意见和建议，对标准进行了进一步的修改和完善，形成正式的征求意见稿</w:t>
      </w:r>
      <w:r>
        <w:rPr>
          <w:rFonts w:hint="eastAsia" w:ascii="仿宋_GB2312" w:hAnsi="仿宋_GB2312" w:eastAsia="仿宋_GB2312" w:cs="仿宋_GB2312"/>
          <w:kern w:val="0"/>
          <w:sz w:val="32"/>
          <w:szCs w:val="32"/>
          <w:lang w:eastAsia="zh-CN"/>
        </w:rPr>
        <w:t>，</w:t>
      </w:r>
      <w:r>
        <w:rPr>
          <w:rFonts w:hint="eastAsia" w:ascii="Times New Roman" w:hAnsi="Times New Roman" w:eastAsia="仿宋_GB2312" w:cs="Times New Roman"/>
          <w:color w:val="auto"/>
          <w:sz w:val="32"/>
          <w:szCs w:val="32"/>
          <w:lang w:val="en-US" w:eastAsia="zh-CN"/>
        </w:rPr>
        <w:t>根据自治区市场监管厅的报批审查意见，将标准名称修改为《社区食堂服务管理规范》</w:t>
      </w:r>
      <w:r>
        <w:rPr>
          <w:rFonts w:hint="eastAsia" w:ascii="仿宋_GB2312" w:hAnsi="仿宋_GB2312" w:eastAsia="仿宋_GB2312" w:cs="仿宋_GB2312"/>
          <w:kern w:val="0"/>
          <w:sz w:val="32"/>
          <w:szCs w:val="32"/>
        </w:rPr>
        <w:t>。</w:t>
      </w:r>
    </w:p>
    <w:p w14:paraId="090F5FB7">
      <w:pPr>
        <w:spacing w:line="600" w:lineRule="exact"/>
        <w:ind w:firstLine="640" w:firstLineChars="200"/>
        <w:outlineLvl w:val="2"/>
        <w:rPr>
          <w:rFonts w:hint="default" w:ascii="仿宋_GB2312" w:hAnsi="仿宋_GB2312" w:eastAsia="仿宋_GB2312"/>
          <w:color w:val="000000"/>
          <w:sz w:val="32"/>
          <w:szCs w:val="32"/>
          <w:lang w:val="en-US" w:eastAsia="zh-CN"/>
        </w:rPr>
      </w:pPr>
      <w:bookmarkStart w:id="9" w:name="_Toc96415393"/>
      <w:r>
        <w:rPr>
          <w:rFonts w:hint="eastAsia" w:ascii="仿宋_GB2312" w:hAnsi="仿宋_GB2312" w:eastAsia="仿宋_GB2312"/>
          <w:color w:val="000000"/>
          <w:sz w:val="32"/>
          <w:szCs w:val="32"/>
          <w:lang w:val="en-US" w:eastAsia="zh-CN"/>
        </w:rPr>
        <w:t>5</w:t>
      </w:r>
      <w:r>
        <w:rPr>
          <w:rFonts w:hint="eastAsia" w:ascii="仿宋_GB2312" w:hAnsi="仿宋_GB2312" w:eastAsia="仿宋_GB2312"/>
          <w:color w:val="000000"/>
          <w:sz w:val="32"/>
          <w:szCs w:val="32"/>
        </w:rPr>
        <w:t>.</w:t>
      </w:r>
      <w:r>
        <w:rPr>
          <w:rFonts w:hint="eastAsia" w:ascii="仿宋_GB2312" w:hAnsi="仿宋_GB2312" w:eastAsia="仿宋_GB2312"/>
          <w:color w:val="000000"/>
          <w:sz w:val="32"/>
          <w:szCs w:val="32"/>
          <w:lang w:val="en-US" w:eastAsia="zh-CN"/>
        </w:rPr>
        <w:t>正式立项</w:t>
      </w:r>
    </w:p>
    <w:p w14:paraId="1DDAF2E1">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2024年5月8日，</w:t>
      </w:r>
      <w:r>
        <w:rPr>
          <w:rFonts w:hint="eastAsia" w:ascii="仿宋_GB2312" w:hAnsi="仿宋_GB2312" w:eastAsia="仿宋_GB2312" w:cs="仿宋_GB2312"/>
          <w:kern w:val="0"/>
          <w:sz w:val="32"/>
          <w:szCs w:val="32"/>
        </w:rPr>
        <w:t>根据宁夏回族自治区市场监督管理厅印发的《自治区市场监管厅关于下达2024年地方标准制（修）订计划（第一批）的通知》（〔2024〕560 号），决定将《社区食堂服务管理规范》列入2024年（第一批）地方标准制订计划。</w:t>
      </w:r>
    </w:p>
    <w:p w14:paraId="1592650C">
      <w:pPr>
        <w:spacing w:line="600" w:lineRule="exact"/>
        <w:ind w:firstLine="640" w:firstLineChars="200"/>
        <w:outlineLvl w:val="2"/>
        <w:rPr>
          <w:rFonts w:hint="eastAsia" w:ascii="仿宋_GB2312" w:hAnsi="仿宋_GB2312" w:eastAsia="仿宋_GB2312"/>
          <w:color w:val="000000"/>
          <w:sz w:val="32"/>
          <w:szCs w:val="32"/>
        </w:rPr>
      </w:pPr>
      <w:r>
        <w:rPr>
          <w:rFonts w:hint="eastAsia" w:ascii="仿宋_GB2312" w:hAnsi="仿宋_GB2312" w:eastAsia="仿宋_GB2312"/>
          <w:color w:val="000000"/>
          <w:sz w:val="32"/>
          <w:szCs w:val="32"/>
          <w:lang w:val="en-US" w:eastAsia="zh-CN"/>
        </w:rPr>
        <w:t>6</w:t>
      </w:r>
      <w:r>
        <w:rPr>
          <w:rFonts w:hint="eastAsia" w:ascii="仿宋_GB2312" w:hAnsi="仿宋_GB2312" w:eastAsia="仿宋_GB2312"/>
          <w:color w:val="000000"/>
          <w:sz w:val="32"/>
          <w:szCs w:val="32"/>
        </w:rPr>
        <w:t>.会议形式征求</w:t>
      </w:r>
      <w:r>
        <w:rPr>
          <w:rFonts w:hint="eastAsia" w:ascii="仿宋_GB2312" w:hAnsi="仿宋_GB2312" w:eastAsia="仿宋_GB2312"/>
          <w:color w:val="000000"/>
          <w:sz w:val="32"/>
          <w:szCs w:val="32"/>
          <w:lang w:val="en-US" w:eastAsia="zh-CN"/>
        </w:rPr>
        <w:t>各方</w:t>
      </w:r>
      <w:r>
        <w:rPr>
          <w:rFonts w:hint="eastAsia" w:ascii="仿宋_GB2312" w:hAnsi="仿宋_GB2312" w:eastAsia="仿宋_GB2312"/>
          <w:color w:val="000000"/>
          <w:sz w:val="32"/>
          <w:szCs w:val="32"/>
        </w:rPr>
        <w:t>意见</w:t>
      </w:r>
      <w:bookmarkEnd w:id="9"/>
    </w:p>
    <w:p w14:paraId="3F8256C9">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val="en-US" w:eastAsia="zh-CN"/>
        </w:rPr>
        <w:t>银川市民政局组织邀请部分各县（市）区民政局、养老服务指导中心、社区居民委员会、养老机构、社区食堂运营单位等单位召开标准征求意见研讨会，</w:t>
      </w:r>
      <w:r>
        <w:rPr>
          <w:rFonts w:hint="eastAsia" w:ascii="仿宋_GB2312" w:hAnsi="仿宋_GB2312" w:eastAsia="仿宋_GB2312" w:cs="仿宋_GB2312"/>
          <w:kern w:val="0"/>
          <w:sz w:val="32"/>
          <w:szCs w:val="32"/>
        </w:rPr>
        <w:t>来自</w:t>
      </w:r>
      <w:r>
        <w:rPr>
          <w:rFonts w:hint="eastAsia" w:ascii="仿宋_GB2312" w:hAnsi="仿宋_GB2312" w:eastAsia="仿宋_GB2312" w:cs="仿宋_GB2312"/>
          <w:kern w:val="0"/>
          <w:sz w:val="32"/>
          <w:szCs w:val="32"/>
          <w:lang w:val="en-US" w:eastAsia="zh-CN"/>
        </w:rPr>
        <w:t>银川市金凤区</w:t>
      </w:r>
      <w:r>
        <w:rPr>
          <w:rFonts w:hint="eastAsia" w:ascii="仿宋_GB2312" w:hAnsi="仿宋_GB2312" w:eastAsia="仿宋_GB2312" w:cs="仿宋_GB2312"/>
          <w:kern w:val="0"/>
          <w:sz w:val="32"/>
          <w:szCs w:val="32"/>
        </w:rPr>
        <w:t>民政局、</w:t>
      </w:r>
      <w:r>
        <w:rPr>
          <w:rFonts w:hint="eastAsia" w:ascii="仿宋_GB2312" w:hAnsi="仿宋_GB2312" w:eastAsia="仿宋_GB2312" w:cs="仿宋_GB2312"/>
          <w:kern w:val="0"/>
          <w:sz w:val="32"/>
          <w:szCs w:val="32"/>
          <w:lang w:val="en-US" w:eastAsia="zh-CN"/>
        </w:rPr>
        <w:t>银川市兴庆区</w:t>
      </w:r>
      <w:r>
        <w:rPr>
          <w:rFonts w:hint="eastAsia" w:ascii="仿宋_GB2312" w:hAnsi="仿宋_GB2312" w:eastAsia="仿宋_GB2312" w:cs="仿宋_GB2312"/>
          <w:kern w:val="0"/>
          <w:sz w:val="32"/>
          <w:szCs w:val="32"/>
        </w:rPr>
        <w:t>民政局、</w:t>
      </w:r>
      <w:r>
        <w:rPr>
          <w:rFonts w:hint="eastAsia" w:ascii="仿宋_GB2312" w:hAnsi="仿宋_GB2312" w:eastAsia="仿宋_GB2312" w:cs="仿宋_GB2312"/>
          <w:kern w:val="0"/>
          <w:sz w:val="32"/>
          <w:szCs w:val="32"/>
          <w:lang w:val="en-US" w:eastAsia="zh-CN"/>
        </w:rPr>
        <w:t>银川市西夏区</w:t>
      </w:r>
      <w:r>
        <w:rPr>
          <w:rFonts w:hint="eastAsia" w:ascii="仿宋_GB2312" w:hAnsi="仿宋_GB2312" w:eastAsia="仿宋_GB2312" w:cs="仿宋_GB2312"/>
          <w:kern w:val="0"/>
          <w:sz w:val="32"/>
          <w:szCs w:val="32"/>
        </w:rPr>
        <w:t>民政局、</w:t>
      </w:r>
      <w:r>
        <w:rPr>
          <w:rFonts w:hint="eastAsia" w:ascii="仿宋_GB2312" w:hAnsi="仿宋_GB2312" w:eastAsia="仿宋_GB2312" w:cs="仿宋_GB2312"/>
          <w:kern w:val="0"/>
          <w:sz w:val="32"/>
          <w:szCs w:val="32"/>
          <w:lang w:val="en-US" w:eastAsia="zh-CN"/>
        </w:rPr>
        <w:t>银川</w:t>
      </w:r>
      <w:r>
        <w:rPr>
          <w:rFonts w:hint="eastAsia" w:ascii="仿宋_GB2312" w:hAnsi="仿宋_GB2312" w:eastAsia="仿宋_GB2312" w:cs="仿宋_GB2312"/>
          <w:kern w:val="0"/>
          <w:sz w:val="32"/>
          <w:szCs w:val="32"/>
        </w:rPr>
        <w:t>市养老</w:t>
      </w:r>
      <w:r>
        <w:rPr>
          <w:rFonts w:hint="eastAsia" w:ascii="仿宋_GB2312" w:hAnsi="仿宋_GB2312" w:eastAsia="仿宋_GB2312" w:cs="仿宋_GB2312"/>
          <w:kern w:val="0"/>
          <w:sz w:val="32"/>
          <w:szCs w:val="32"/>
          <w:lang w:val="en-US" w:eastAsia="zh-CN"/>
        </w:rPr>
        <w:t>指导服务</w:t>
      </w:r>
      <w:r>
        <w:rPr>
          <w:rFonts w:hint="eastAsia" w:ascii="仿宋_GB2312" w:hAnsi="仿宋_GB2312" w:eastAsia="仿宋_GB2312" w:cs="仿宋_GB2312"/>
          <w:kern w:val="0"/>
          <w:sz w:val="32"/>
          <w:szCs w:val="32"/>
        </w:rPr>
        <w:t>中心、</w:t>
      </w:r>
      <w:r>
        <w:rPr>
          <w:rFonts w:hint="eastAsia" w:ascii="仿宋_GB2312" w:hAnsi="仿宋_GB2312" w:eastAsia="仿宋_GB2312" w:cs="仿宋_GB2312"/>
          <w:kern w:val="0"/>
          <w:sz w:val="32"/>
          <w:szCs w:val="32"/>
          <w:lang w:val="en-US" w:eastAsia="zh-CN"/>
        </w:rPr>
        <w:t>金凤区上海西路街道清水湾社区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西夏区贺兰山西路街道盈北社区、银川市西夏区贺兰山西路街道芦花苑社区、宁夏中康阅海养老服务有限公司、兴庆区宁红社会福利院、宁夏九如养老助餐有限公司、宁夏智柏健康科技有限公司等,</w:t>
      </w:r>
      <w:r>
        <w:rPr>
          <w:rFonts w:hint="eastAsia" w:ascii="仿宋_GB2312" w:hAnsi="仿宋_GB2312" w:eastAsia="仿宋_GB2312" w:cs="仿宋_GB2312"/>
          <w:kern w:val="0"/>
          <w:sz w:val="32"/>
          <w:szCs w:val="32"/>
        </w:rPr>
        <w:t>单位的1</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位专家参加了研讨会</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专家针对标准草案进行了逐条讨论，提出了具体的意见和建议，本次意见更多侧重于标准内容的细节问题。</w:t>
      </w:r>
    </w:p>
    <w:p w14:paraId="46CF6C13">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标准起草组根据专家的意见进行了进一步的修改完善，形成标准送审稿初稿，报省民政厅养老服务处审核，养老服务处针对性“社区老年人食堂”术语等提出了审核修改意见，经再次修改后形成标准送审稿。</w:t>
      </w:r>
    </w:p>
    <w:p w14:paraId="32A7BB22">
      <w:p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7.送审审核</w:t>
      </w:r>
    </w:p>
    <w:p w14:paraId="1DBC527C">
      <w:pPr>
        <w:spacing w:line="600" w:lineRule="exact"/>
        <w:ind w:firstLine="640" w:firstLineChars="200"/>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2024年8月，标准起草组按照宁夏回族自治区地方标准管理要求，整理了标准送审相关材料，提报至自治区民政厅法规处进行送审审核，起草组将按照反馈的意见和建议对标准进行了持续修改完善。</w:t>
      </w:r>
    </w:p>
    <w:p w14:paraId="2D2C5AAF">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color w:val="auto"/>
          <w:sz w:val="32"/>
        </w:rPr>
      </w:pPr>
      <w:bookmarkStart w:id="10" w:name="_Toc18763"/>
      <w:bookmarkStart w:id="11" w:name="_Toc66711975"/>
      <w:bookmarkStart w:id="12" w:name="_Toc98756567"/>
      <w:r>
        <w:rPr>
          <w:rFonts w:hint="default" w:ascii="Times New Roman" w:hAnsi="Times New Roman" w:eastAsia="黑体" w:cs="Times New Roman"/>
          <w:b w:val="0"/>
          <w:color w:val="auto"/>
          <w:sz w:val="32"/>
        </w:rPr>
        <w:t>二、编制背景和意义</w:t>
      </w:r>
      <w:bookmarkEnd w:id="10"/>
      <w:bookmarkEnd w:id="11"/>
      <w:bookmarkEnd w:id="12"/>
    </w:p>
    <w:p w14:paraId="4AAE51EA">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截至2022年底，全国60岁及以上老年人口达2.8亿，占总人口的19.8%。预计“十四五”时期，60岁及以上老年人口总量将突破3亿，占比将超过20%，我国将进入中度老龄化社会。</w:t>
      </w:r>
      <w:r>
        <w:rPr>
          <w:rFonts w:hint="eastAsia" w:ascii="仿宋_GB2312" w:hAnsi="仿宋_GB2312" w:eastAsia="仿宋_GB2312" w:cs="仿宋_GB2312"/>
          <w:sz w:val="32"/>
          <w:szCs w:val="32"/>
          <w:lang w:val="en-US" w:eastAsia="zh-CN"/>
        </w:rPr>
        <w:t>其中宁夏全区60岁以上常住老年人口达到104万，老龄化率超过14%，作为全区老龄化程度最高、进程最快的城市，银川市60岁及以上老年人口36.94万人，占全市总人口的16.82%，占全区老年人口的33%。调查研究发现，在老年人最需要的为老服务中，解决“吃饭难”排在首位，有超过40%的老年人表示需要助餐服务特别是高龄、失能和空巢老年人的需求更为显著。如何有效满足老年人日益增长的助餐配餐服务需求，成为政府和社会面临的共同课题。</w:t>
      </w:r>
    </w:p>
    <w:p w14:paraId="5BDE9D53">
      <w:pPr>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党的十八大以来，以习近平同志为核心的党中央做出了加快养老服务业发展，建立中国特色养老服务体系的重大决策部署，习近平总书记多次对养老服务工作做出重要指示批示，</w:t>
      </w:r>
      <w:r>
        <w:rPr>
          <w:rFonts w:hint="eastAsia" w:ascii="仿宋_GB2312" w:hAnsi="仿宋_GB2312" w:eastAsia="仿宋_GB2312" w:cs="仿宋_GB2312"/>
          <w:sz w:val="32"/>
          <w:szCs w:val="32"/>
        </w:rPr>
        <w:t>2022年印发《“十四五”城乡社区服务体系建设规划》(国办发(2021)56号)，2023年印发《关于印发〈积极发展老年助餐服务行动方案〉的通知》（民发〔2023〕58号）都对居家和社区养老助餐服务体系建设提出了要求。</w:t>
      </w:r>
      <w:r>
        <w:rPr>
          <w:rFonts w:hint="eastAsia" w:ascii="仿宋_GB2312" w:hAnsi="仿宋_GB2312" w:eastAsia="仿宋_GB2312" w:cs="仿宋_GB2312"/>
          <w:sz w:val="32"/>
          <w:szCs w:val="32"/>
          <w:lang w:val="en-US" w:eastAsia="zh-CN"/>
        </w:rPr>
        <w:t>在党中央、国务院的亲切关怀，国家民政部、发改委等部门的倾力支持和自治区党委、政府领导下，</w:t>
      </w:r>
      <w:r>
        <w:rPr>
          <w:rFonts w:hint="eastAsia" w:ascii="仿宋_GB2312" w:hAnsi="仿宋_GB2312" w:eastAsia="仿宋_GB2312" w:cs="仿宋_GB2312"/>
          <w:sz w:val="32"/>
          <w:szCs w:val="32"/>
        </w:rPr>
        <w:t>宁夏民政系统已将老年助餐服务纳入宁夏“十四五”养老服务体系规划和《基本养老服务清单》；同时强化制度保障，出台《新建住宅小区配建养老服务设施建设移交与管理办法》，明确新建居住小区要按每百户不少于30平方米的标准配套建设社区养老服务设施。</w:t>
      </w:r>
    </w:p>
    <w:p w14:paraId="7D057073">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13" w:name="_Toc32735"/>
      <w:r>
        <w:rPr>
          <w:rFonts w:hint="eastAsia" w:ascii="仿宋_GB2312" w:hAnsi="仿宋_GB2312" w:eastAsia="仿宋_GB2312" w:cs="仿宋_GB2312"/>
          <w:b w:val="0"/>
          <w:bCs w:val="0"/>
          <w:sz w:val="32"/>
          <w:szCs w:val="32"/>
        </w:rPr>
        <w:t>近年来，我区坚持以群众需求为导向，在老年人助餐服务领域，通过设立社区食堂、老年人助餐点及老年餐桌等社区老年人助餐机构，在一定程度上缓解了高龄、失能和空巢老年人的“吃饭难”问题。但是在实际运作过程中，依然存在社区食堂（老年人助餐点）设置数量不足、服务机构资质欠缺、机构运行管理不规范、服务质量参差不齐、对服务机构缺乏有效的监管等问题，无法满足老年人专业化、个性化的助餐配餐服务需求，制约着社区居家养老服务的可持续发展。</w:t>
      </w:r>
      <w:bookmarkEnd w:id="13"/>
    </w:p>
    <w:p w14:paraId="1C0C11F0">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14" w:name="_Toc27681"/>
      <w:r>
        <w:rPr>
          <w:rFonts w:hint="eastAsia" w:ascii="仿宋_GB2312" w:hAnsi="仿宋_GB2312" w:eastAsia="仿宋_GB2312" w:cs="仿宋_GB2312"/>
          <w:b w:val="0"/>
          <w:bCs w:val="0"/>
          <w:sz w:val="32"/>
          <w:szCs w:val="32"/>
        </w:rPr>
        <w:t>行业标准和市场规范是推进养老服务工作的重要基石，是更好地提供为老服务、加强行业管理的准则和依据，是养老服务体系建设不可或缺的一项重要内容。在此背景下，为充分贯彻落实国家和民政部关于社区助餐配餐相关政策，有必要总结、归纳、推广各地在社区食堂建设和运营方面的优秀实践，制定《社区食堂（老年人助餐点）建设与服务要求》地方标准对社区老年人助餐机构的基本要求、场地管理、运营管理、设施设备配备、人员配备和管理、安全与管理、服务监管与评价等方面提出具体要求，为我区社区食堂（老年助餐点）的管理运行和服务开展提供有力的技术支撑，加强标准化管理，为社区食堂考核评测提供依据，不断提高老年助餐服务质量和水平。</w:t>
      </w:r>
      <w:bookmarkEnd w:id="14"/>
    </w:p>
    <w:p w14:paraId="0F936051">
      <w:pPr>
        <w:pStyle w:val="2"/>
        <w:pageBreakBefore w:val="0"/>
        <w:widowControl w:val="0"/>
        <w:numPr>
          <w:ilvl w:val="0"/>
          <w:numId w:val="0"/>
        </w:numPr>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rPr>
      </w:pPr>
      <w:bookmarkStart w:id="15" w:name="_Toc15884"/>
      <w:r>
        <w:rPr>
          <w:rFonts w:hint="eastAsia" w:ascii="Times New Roman" w:hAnsi="Times New Roman" w:eastAsia="黑体" w:cs="Times New Roman"/>
          <w:b w:val="0"/>
          <w:sz w:val="32"/>
          <w:lang w:val="en-US" w:eastAsia="zh-CN"/>
        </w:rPr>
        <w:t>三、</w:t>
      </w:r>
      <w:r>
        <w:rPr>
          <w:rFonts w:hint="default" w:ascii="Times New Roman" w:hAnsi="Times New Roman" w:eastAsia="黑体" w:cs="Times New Roman"/>
          <w:b w:val="0"/>
          <w:sz w:val="32"/>
        </w:rPr>
        <w:t>编制原则</w:t>
      </w:r>
      <w:bookmarkEnd w:id="15"/>
    </w:p>
    <w:p w14:paraId="64ABBAA2">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16" w:name="_Toc21482"/>
      <w:bookmarkStart w:id="17" w:name="_Toc98756576"/>
      <w:r>
        <w:rPr>
          <w:rFonts w:hint="eastAsia" w:ascii="仿宋_GB2312" w:hAnsi="仿宋_GB2312" w:eastAsia="仿宋_GB2312" w:cs="仿宋_GB2312"/>
          <w:b w:val="0"/>
          <w:bCs w:val="0"/>
          <w:sz w:val="32"/>
          <w:szCs w:val="32"/>
        </w:rPr>
        <w:t>本标准的编制是在国家、我</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及各市居家社区老年人助餐服务相关政策文件要求的基础上，结合各市社区老年人食堂和助餐点建设和服务的实际开展情况和潜在需求，以实用性、适用性、可操作性、规范性等为原则，充分听取各方意见的基础上形成的。</w:t>
      </w:r>
      <w:bookmarkEnd w:id="16"/>
    </w:p>
    <w:p w14:paraId="63C6276A">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18" w:name="_Toc16481"/>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实用性原则</w:t>
      </w:r>
      <w:bookmarkEnd w:id="18"/>
    </w:p>
    <w:p w14:paraId="51DE1982">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19" w:name="_Toc15865"/>
      <w:r>
        <w:rPr>
          <w:rFonts w:hint="eastAsia" w:ascii="仿宋_GB2312" w:hAnsi="仿宋_GB2312" w:eastAsia="仿宋_GB2312" w:cs="仿宋_GB2312"/>
          <w:b w:val="0"/>
          <w:bCs w:val="0"/>
          <w:sz w:val="32"/>
          <w:szCs w:val="32"/>
        </w:rPr>
        <w:t>在实用性方面，社区食堂是为社区老年人提供餐饮服务的机构，其经营和服务首先要符合国家及我</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食品安全管理的要求，接受食品安全监管部门的日常监管，食品安全管理要求以直接引用或参照国家标准为主。标准重点突出</w:t>
      </w:r>
      <w:r>
        <w:rPr>
          <w:rFonts w:hint="eastAsia" w:ascii="仿宋_GB2312" w:hAnsi="仿宋_GB2312" w:eastAsia="仿宋_GB2312" w:cs="仿宋_GB2312"/>
          <w:b w:val="0"/>
          <w:bCs w:val="0"/>
          <w:sz w:val="32"/>
          <w:szCs w:val="32"/>
          <w:lang w:val="en-US" w:eastAsia="zh-CN"/>
        </w:rPr>
        <w:t>为“</w:t>
      </w:r>
      <w:r>
        <w:rPr>
          <w:rFonts w:hint="eastAsia" w:ascii="仿宋_GB2312" w:hAnsi="仿宋_GB2312" w:eastAsia="仿宋_GB2312" w:cs="仿宋_GB2312"/>
          <w:b w:val="0"/>
          <w:bCs w:val="0"/>
          <w:sz w:val="32"/>
          <w:szCs w:val="32"/>
        </w:rPr>
        <w:t>社区</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“老年人”两个关键特点，制定满足社区老年人食堂服务需求的标准。</w:t>
      </w:r>
      <w:bookmarkEnd w:id="19"/>
    </w:p>
    <w:p w14:paraId="690A27B7">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0" w:name="_Toc21678"/>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适用性原则</w:t>
      </w:r>
      <w:bookmarkEnd w:id="20"/>
    </w:p>
    <w:p w14:paraId="110DA0CA">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21" w:name="_Toc6339"/>
      <w:r>
        <w:rPr>
          <w:rFonts w:hint="eastAsia" w:ascii="仿宋_GB2312" w:hAnsi="仿宋_GB2312" w:eastAsia="仿宋_GB2312" w:cs="仿宋_GB2312"/>
          <w:b w:val="0"/>
          <w:bCs w:val="0"/>
          <w:sz w:val="32"/>
          <w:szCs w:val="32"/>
        </w:rPr>
        <w:t>在适用性方面，本标准的制定是以更好地保障社区老年人就餐需求为导向，综合考虑目前我</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各市的具体做法、实践经验和现实需求，以社区老年人就餐便利化服务作为标准的核心和重点，提出了社区老年人食堂建设和服务的要求，旨在解决社区老年人就餐问题，增强老年人群体的幸福感和获得感。</w:t>
      </w:r>
      <w:bookmarkEnd w:id="21"/>
    </w:p>
    <w:p w14:paraId="06E9613F">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2" w:name="_Toc20434"/>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可操作性原则</w:t>
      </w:r>
      <w:bookmarkEnd w:id="22"/>
    </w:p>
    <w:p w14:paraId="41A2B2A1">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sz w:val="32"/>
          <w:szCs w:val="32"/>
        </w:rPr>
      </w:pPr>
      <w:bookmarkStart w:id="23" w:name="_Toc3311"/>
      <w:r>
        <w:rPr>
          <w:rFonts w:hint="eastAsia" w:ascii="仿宋_GB2312" w:hAnsi="仿宋_GB2312" w:eastAsia="仿宋_GB2312" w:cs="仿宋_GB2312"/>
          <w:b w:val="0"/>
          <w:bCs w:val="0"/>
          <w:sz w:val="32"/>
          <w:szCs w:val="32"/>
        </w:rPr>
        <w:t>在可操作性方面，标准重点围绕“社区食堂”中的“社区”和“老年人”的特点，提出了场所建设、设施设备配置、食谱制定、 加工制作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就餐、送餐</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安全与应急管理</w:t>
      </w:r>
      <w:r>
        <w:rPr>
          <w:rFonts w:hint="eastAsia" w:ascii="仿宋_GB2312" w:hAnsi="仿宋_GB2312" w:eastAsia="仿宋_GB2312" w:cs="仿宋_GB2312"/>
          <w:b w:val="0"/>
          <w:bCs w:val="0"/>
          <w:sz w:val="32"/>
          <w:szCs w:val="32"/>
        </w:rPr>
        <w:t>等关键技术要求，可以为社区老年人食堂提供具体的建设和服务技术指导。</w:t>
      </w:r>
      <w:bookmarkEnd w:id="23"/>
    </w:p>
    <w:p w14:paraId="24FD23E6">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eastAsia" w:ascii="楷体_GB2312" w:hAnsi="楷体_GB2312" w:eastAsia="楷体_GB2312" w:cs="楷体_GB2312"/>
          <w:b/>
          <w:bCs/>
          <w:sz w:val="32"/>
          <w:szCs w:val="32"/>
          <w:lang w:val="en-US" w:eastAsia="zh-CN"/>
        </w:rPr>
      </w:pPr>
      <w:bookmarkStart w:id="24" w:name="_Toc10799"/>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规范性原则</w:t>
      </w:r>
      <w:bookmarkEnd w:id="24"/>
    </w:p>
    <w:p w14:paraId="4C384702">
      <w:pPr>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1"/>
        <w:rPr>
          <w:rFonts w:hint="eastAsia" w:ascii="仿宋_GB2312" w:hAnsi="仿宋_GB2312" w:eastAsia="仿宋_GB2312" w:cs="仿宋_GB2312"/>
          <w:b w:val="0"/>
          <w:bCs w:val="0"/>
          <w:color w:val="auto"/>
          <w:sz w:val="32"/>
          <w:szCs w:val="32"/>
        </w:rPr>
      </w:pPr>
      <w:bookmarkStart w:id="25" w:name="_Toc8791"/>
      <w:r>
        <w:rPr>
          <w:rFonts w:hint="eastAsia" w:ascii="仿宋_GB2312" w:hAnsi="仿宋_GB2312" w:eastAsia="仿宋_GB2312" w:cs="仿宋_GB2312"/>
          <w:b w:val="0"/>
          <w:bCs w:val="0"/>
          <w:sz w:val="32"/>
          <w:szCs w:val="32"/>
        </w:rPr>
        <w:t>在规范性方面，本文件按照GB/T 1.1—2020《标准化工作导则  第1部分：标准化文件的结构和起草规则》的规定起草,符合标准化文件的结构、起草原则和表述规则、编排</w:t>
      </w:r>
      <w:r>
        <w:rPr>
          <w:rFonts w:hint="eastAsia" w:ascii="仿宋_GB2312" w:hAnsi="仿宋_GB2312" w:eastAsia="仿宋_GB2312" w:cs="仿宋_GB2312"/>
          <w:b w:val="0"/>
          <w:bCs w:val="0"/>
          <w:color w:val="auto"/>
          <w:sz w:val="32"/>
          <w:szCs w:val="32"/>
        </w:rPr>
        <w:t>格式。</w:t>
      </w:r>
      <w:bookmarkEnd w:id="25"/>
    </w:p>
    <w:p w14:paraId="22F73193">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default" w:ascii="Times New Roman" w:hAnsi="Times New Roman" w:eastAsia="楷体_GB2312" w:cs="Times New Roman"/>
          <w:b/>
          <w:bCs/>
          <w:color w:val="auto"/>
          <w:sz w:val="32"/>
          <w:szCs w:val="32"/>
        </w:rPr>
      </w:pPr>
      <w:bookmarkStart w:id="26" w:name="_Toc8470"/>
      <w:r>
        <w:rPr>
          <w:rFonts w:hint="default" w:ascii="Times New Roman" w:hAnsi="Times New Roman" w:eastAsia="楷体_GB2312" w:cs="Times New Roman"/>
          <w:b/>
          <w:bCs/>
          <w:color w:val="auto"/>
          <w:sz w:val="32"/>
          <w:szCs w:val="32"/>
        </w:rPr>
        <w:t>（</w:t>
      </w:r>
      <w:r>
        <w:rPr>
          <w:rFonts w:hint="eastAsia" w:ascii="Times New Roman" w:hAnsi="Times New Roman" w:eastAsia="楷体_GB2312" w:cs="Times New Roman"/>
          <w:b/>
          <w:bCs/>
          <w:color w:val="auto"/>
          <w:sz w:val="32"/>
          <w:szCs w:val="32"/>
          <w:lang w:val="en-US" w:eastAsia="zh-CN"/>
        </w:rPr>
        <w:t>五</w:t>
      </w:r>
      <w:r>
        <w:rPr>
          <w:rFonts w:hint="default" w:ascii="Times New Roman" w:hAnsi="Times New Roman" w:eastAsia="楷体_GB2312" w:cs="Times New Roman"/>
          <w:b/>
          <w:bCs/>
          <w:color w:val="auto"/>
          <w:sz w:val="32"/>
          <w:szCs w:val="32"/>
        </w:rPr>
        <w:t>）前瞻性原则</w:t>
      </w:r>
      <w:bookmarkEnd w:id="17"/>
      <w:bookmarkEnd w:id="26"/>
    </w:p>
    <w:p w14:paraId="6DD8C8DB">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本标准的编制全面结合了在国家、我区及各市居家社区老年人助餐服务相关政策文件要求的基础上，结合各市社区食堂和助餐点建设和服务的实际开展情况</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同时还着重体现了本标准的前瞻性和引导性特点，充分考虑到</w:t>
      </w:r>
      <w:r>
        <w:rPr>
          <w:rFonts w:hint="eastAsia" w:ascii="Times New Roman" w:hAnsi="Times New Roman" w:eastAsia="仿宋_GB2312" w:cs="Times New Roman"/>
          <w:color w:val="auto"/>
          <w:sz w:val="32"/>
          <w:szCs w:val="32"/>
          <w:lang w:val="en-US" w:eastAsia="zh-CN"/>
        </w:rPr>
        <w:t>老年人助餐服务的</w:t>
      </w:r>
      <w:r>
        <w:rPr>
          <w:rFonts w:hint="default" w:ascii="Times New Roman" w:hAnsi="Times New Roman" w:eastAsia="仿宋_GB2312" w:cs="Times New Roman"/>
          <w:color w:val="auto"/>
          <w:sz w:val="32"/>
          <w:szCs w:val="32"/>
        </w:rPr>
        <w:t>潜在需求</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未来</w:t>
      </w:r>
      <w:r>
        <w:rPr>
          <w:rFonts w:hint="eastAsia" w:ascii="Times New Roman" w:hAnsi="Times New Roman" w:eastAsia="仿宋_GB2312" w:cs="Times New Roman"/>
          <w:color w:val="auto"/>
          <w:sz w:val="32"/>
          <w:szCs w:val="32"/>
          <w:lang w:val="en-US" w:eastAsia="zh-CN"/>
        </w:rPr>
        <w:t>我区助餐服务</w:t>
      </w:r>
      <w:r>
        <w:rPr>
          <w:rFonts w:hint="default" w:ascii="Times New Roman" w:hAnsi="Times New Roman" w:eastAsia="仿宋_GB2312" w:cs="Times New Roman"/>
          <w:color w:val="auto"/>
          <w:sz w:val="32"/>
          <w:szCs w:val="32"/>
        </w:rPr>
        <w:t>在全面推进铺开的发展趋势和规范化需求，在标准技术内容的确定上立足现实经验的吸收借鉴，更加注重体现前瞻性原则，以此促进我</w:t>
      </w:r>
      <w:r>
        <w:rPr>
          <w:rFonts w:hint="eastAsia" w:ascii="Times New Roman" w:hAnsi="Times New Roman" w:eastAsia="仿宋_GB2312" w:cs="Times New Roman"/>
          <w:color w:val="auto"/>
          <w:sz w:val="32"/>
          <w:szCs w:val="32"/>
          <w:lang w:val="en-US" w:eastAsia="zh-CN"/>
        </w:rPr>
        <w:t>区社区食堂的服务管理水平</w:t>
      </w:r>
      <w:r>
        <w:rPr>
          <w:rFonts w:hint="default" w:ascii="Times New Roman" w:hAnsi="Times New Roman" w:eastAsia="仿宋_GB2312" w:cs="Times New Roman"/>
          <w:color w:val="auto"/>
          <w:sz w:val="32"/>
          <w:szCs w:val="32"/>
        </w:rPr>
        <w:t>及其标准化工作在更大范围持续有效开展。</w:t>
      </w:r>
    </w:p>
    <w:p w14:paraId="4199F41A">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color w:val="auto"/>
          <w:sz w:val="32"/>
        </w:rPr>
      </w:pPr>
      <w:bookmarkStart w:id="27" w:name="_Toc10857"/>
      <w:r>
        <w:rPr>
          <w:rFonts w:hint="eastAsia" w:ascii="Times New Roman" w:hAnsi="Times New Roman" w:eastAsia="黑体" w:cs="Times New Roman"/>
          <w:b w:val="0"/>
          <w:color w:val="auto"/>
          <w:sz w:val="32"/>
          <w:lang w:val="en-US" w:eastAsia="zh-CN"/>
        </w:rPr>
        <w:t>四</w:t>
      </w:r>
      <w:r>
        <w:rPr>
          <w:rFonts w:hint="default" w:ascii="Times New Roman" w:hAnsi="Times New Roman" w:eastAsia="黑体" w:cs="Times New Roman"/>
          <w:b w:val="0"/>
          <w:color w:val="auto"/>
          <w:sz w:val="32"/>
        </w:rPr>
        <w:t>、标准主要技术内容和依据</w:t>
      </w:r>
      <w:bookmarkEnd w:id="27"/>
    </w:p>
    <w:p w14:paraId="118976EA">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default" w:ascii="Times New Roman" w:hAnsi="Times New Roman" w:eastAsia="楷体_GB2312" w:cs="Times New Roman"/>
          <w:b/>
          <w:bCs/>
          <w:color w:val="auto"/>
          <w:sz w:val="32"/>
          <w:szCs w:val="32"/>
        </w:rPr>
      </w:pPr>
      <w:bookmarkStart w:id="28" w:name="_Toc3116"/>
      <w:bookmarkStart w:id="29" w:name="_Toc98756578"/>
      <w:r>
        <w:rPr>
          <w:rFonts w:hint="default" w:ascii="Times New Roman" w:hAnsi="Times New Roman" w:eastAsia="楷体_GB2312" w:cs="Times New Roman"/>
          <w:b/>
          <w:bCs/>
          <w:color w:val="auto"/>
          <w:sz w:val="32"/>
          <w:szCs w:val="32"/>
        </w:rPr>
        <w:t>（一）标准框架</w:t>
      </w:r>
      <w:bookmarkEnd w:id="28"/>
      <w:bookmarkEnd w:id="29"/>
    </w:p>
    <w:p w14:paraId="4BE73C99">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本标准的框架设计为：范围、规范性引用文件、术语和定义、基本特性、基本要求、服务机构资质、服务管理</w:t>
      </w:r>
      <w:r>
        <w:rPr>
          <w:rFonts w:hint="eastAsia" w:ascii="Times New Roman" w:hAnsi="Times New Roman" w:eastAsia="仿宋_GB2312" w:cs="Times New Roman"/>
          <w:color w:val="auto"/>
          <w:sz w:val="32"/>
          <w:szCs w:val="32"/>
          <w:lang w:eastAsia="zh-CN"/>
        </w:rPr>
        <w:t>、服务管理、设施设备配置、运营管理、人员配备与管理、安全和应急管理</w:t>
      </w:r>
      <w:r>
        <w:rPr>
          <w:rFonts w:hint="eastAsia" w:ascii="Times New Roman" w:hAnsi="Times New Roman" w:eastAsia="仿宋_GB2312" w:cs="Times New Roman"/>
          <w:color w:val="auto"/>
          <w:sz w:val="32"/>
          <w:szCs w:val="32"/>
          <w:lang w:val="en-US" w:eastAsia="zh-CN"/>
        </w:rPr>
        <w:t>及监督与评价共13</w:t>
      </w:r>
      <w:r>
        <w:rPr>
          <w:rFonts w:hint="default" w:ascii="Times New Roman" w:hAnsi="Times New Roman" w:eastAsia="仿宋_GB2312" w:cs="Times New Roman"/>
          <w:color w:val="auto"/>
          <w:sz w:val="32"/>
          <w:szCs w:val="32"/>
        </w:rPr>
        <w:t>章。</w:t>
      </w:r>
    </w:p>
    <w:p w14:paraId="5DFDA982">
      <w:pPr>
        <w:pageBreakBefore w:val="0"/>
        <w:widowControl w:val="0"/>
        <w:kinsoku/>
        <w:wordWrap/>
        <w:overflowPunct/>
        <w:topLinePunct w:val="0"/>
        <w:autoSpaceDE/>
        <w:autoSpaceDN/>
        <w:bidi w:val="0"/>
        <w:adjustRightInd/>
        <w:snapToGrid w:val="0"/>
        <w:spacing w:line="560" w:lineRule="exact"/>
        <w:ind w:firstLine="643" w:firstLineChars="200"/>
        <w:textAlignment w:val="auto"/>
        <w:outlineLvl w:val="1"/>
        <w:rPr>
          <w:rFonts w:hint="default" w:ascii="Times New Roman" w:hAnsi="Times New Roman" w:eastAsia="楷体_GB2312" w:cs="Times New Roman"/>
          <w:b/>
          <w:bCs/>
          <w:color w:val="auto"/>
          <w:sz w:val="32"/>
          <w:szCs w:val="32"/>
        </w:rPr>
      </w:pPr>
      <w:bookmarkStart w:id="30" w:name="_Toc98756579"/>
      <w:bookmarkStart w:id="31" w:name="_Toc604"/>
      <w:r>
        <w:rPr>
          <w:rFonts w:hint="default" w:ascii="Times New Roman" w:hAnsi="Times New Roman" w:eastAsia="楷体_GB2312" w:cs="Times New Roman"/>
          <w:b/>
          <w:bCs/>
          <w:color w:val="auto"/>
          <w:sz w:val="32"/>
          <w:szCs w:val="32"/>
        </w:rPr>
        <w:t>（二）标准内容</w:t>
      </w:r>
      <w:bookmarkEnd w:id="30"/>
      <w:bookmarkEnd w:id="31"/>
    </w:p>
    <w:p w14:paraId="706E2D78">
      <w:pPr>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1.范围</w:t>
      </w:r>
      <w:r>
        <w:rPr>
          <w:rFonts w:hint="default" w:ascii="Times New Roman" w:hAnsi="Times New Roman" w:eastAsia="仿宋_GB2312" w:cs="Times New Roman"/>
          <w:color w:val="auto"/>
          <w:sz w:val="32"/>
          <w:szCs w:val="32"/>
        </w:rPr>
        <w:t>：范围部分给出了本标准适用的业务领域，即给出了社区食堂服务管理规范，主要包括社区食堂的术语和定义、基本特性、基本要求、服务机构资质、服务管理、设施设备配备、运营管理、人员配备和管理、安全和应急管理、监管与评价等方面具体要求。本文件适用于宁夏回族自治区内社区食堂的服务管理规范，老年助餐点及农村老饭桌可参照执行。</w:t>
      </w:r>
    </w:p>
    <w:p w14:paraId="008655FA">
      <w:pPr>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2.术语和定义</w:t>
      </w:r>
      <w:r>
        <w:rPr>
          <w:rFonts w:hint="default" w:ascii="Times New Roman" w:hAnsi="Times New Roman" w:eastAsia="仿宋_GB2312" w:cs="Times New Roman"/>
          <w:color w:val="auto"/>
          <w:sz w:val="32"/>
          <w:szCs w:val="32"/>
        </w:rPr>
        <w:t>：明确的术语和定义是标准理解和实施的基本前提，本标准首先规定了“社区食堂”的定义。关于“社区食堂”术语，目前区内名称不一，有“幸福社区食堂”“社区老食堂”“社区老饭桌”“幸福助餐食堂”等，但是表达了对食堂功能的期许，涵盖了“公益属性”“首先满足老年人就餐需求”“单独建设或依托养老服务设施建设”“以社区老年人为主提供集中就餐、送餐等助餐服务”等关键要素。基于规范性原则，经过综合分析讨论，选用了表述客观、规范的“社区食堂”;表述为“具有一定公益属性，以满足社区老年人餐饮需求为主要目的，单独或依托养老服务设施及社区公共服务设施建设，为社区老年人提供制餐、分餐、集中就餐、送餐等服务的餐饮服务提供者”。</w:t>
      </w:r>
    </w:p>
    <w:p w14:paraId="53D74BCB">
      <w:pPr>
        <w:keepNext w:val="0"/>
        <w:keepLines w:val="0"/>
        <w:pageBreakBefore w:val="0"/>
        <w:wordWrap/>
        <w:overflowPunct/>
        <w:topLinePunct w:val="0"/>
        <w:bidi w:val="0"/>
        <w:spacing w:before="138" w:line="560" w:lineRule="exact"/>
        <w:ind w:firstLine="643"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color w:val="auto"/>
          <w:sz w:val="32"/>
          <w:szCs w:val="32"/>
          <w:lang w:val="en-US" w:eastAsia="zh-CN"/>
        </w:rPr>
        <w:t>3</w:t>
      </w:r>
      <w:r>
        <w:rPr>
          <w:rFonts w:hint="default" w:ascii="Times New Roman" w:hAnsi="Times New Roman" w:eastAsia="仿宋_GB2312" w:cs="Times New Roman"/>
          <w:b/>
          <w:color w:val="auto"/>
          <w:sz w:val="32"/>
          <w:szCs w:val="32"/>
        </w:rPr>
        <w:t>.基本特征：</w:t>
      </w:r>
      <w:r>
        <w:rPr>
          <w:rFonts w:hint="eastAsia" w:ascii="Times New Roman" w:hAnsi="Times New Roman" w:eastAsia="仿宋_GB2312" w:cs="Times New Roman"/>
          <w:color w:val="auto"/>
          <w:sz w:val="32"/>
          <w:szCs w:val="32"/>
          <w:lang w:val="en-US" w:eastAsia="zh-CN"/>
        </w:rPr>
        <w:t>本标准</w:t>
      </w:r>
      <w:r>
        <w:rPr>
          <w:rFonts w:hint="default" w:ascii="Times New Roman" w:hAnsi="Times New Roman" w:eastAsia="仿宋_GB2312" w:cs="Times New Roman"/>
          <w:color w:val="auto"/>
          <w:sz w:val="32"/>
          <w:szCs w:val="32"/>
          <w:lang w:eastAsia="zh-CN"/>
        </w:rPr>
        <w:t>阐述了</w:t>
      </w:r>
      <w:r>
        <w:rPr>
          <w:rFonts w:hint="eastAsia" w:ascii="Times New Roman" w:hAnsi="Times New Roman" w:eastAsia="仿宋_GB2312" w:cs="Times New Roman"/>
          <w:color w:val="auto"/>
          <w:sz w:val="32"/>
          <w:szCs w:val="32"/>
          <w:lang w:val="en-US" w:eastAsia="zh-CN"/>
        </w:rPr>
        <w:t>社区食堂的</w:t>
      </w:r>
      <w:r>
        <w:rPr>
          <w:rFonts w:hint="default" w:ascii="Times New Roman" w:hAnsi="Times New Roman" w:eastAsia="仿宋_GB2312" w:cs="Times New Roman"/>
          <w:color w:val="auto"/>
          <w:sz w:val="32"/>
          <w:szCs w:val="32"/>
          <w:lang w:eastAsia="zh-CN"/>
        </w:rPr>
        <w:t>基本特征，公益性与普惠性相结合</w:t>
      </w:r>
      <w:r>
        <w:rPr>
          <w:rFonts w:hint="eastAsia" w:ascii="Times New Roman" w:hAnsi="Times New Roman" w:eastAsia="仿宋_GB2312" w:cs="Times New Roman"/>
          <w:color w:val="auto"/>
          <w:sz w:val="32"/>
          <w:szCs w:val="32"/>
          <w:lang w:eastAsia="zh-CN"/>
        </w:rPr>
        <w:t>、准公共服务产品</w:t>
      </w:r>
      <w:r>
        <w:rPr>
          <w:rFonts w:hint="eastAsia" w:ascii="Times New Roman" w:hAnsi="Times New Roman" w:eastAsia="仿宋_GB2312" w:cs="Times New Roman"/>
          <w:color w:val="auto"/>
          <w:sz w:val="32"/>
          <w:szCs w:val="32"/>
          <w:lang w:val="en-US" w:eastAsia="zh-CN"/>
        </w:rPr>
        <w:t>，即在保证满足社区特殊困难老年人（指最低生活保障对象、特困人员、最低生活保障边缘家庭成员等低收入人口中的老年人，以及独居、空巢、留守、失能、残疾、高龄、计划生育特殊家庭等老年人）老年人就餐、配餐及送餐需求的基础上，为社区60周岁及以上老年人及周边人员提供个性化、多样化的餐饮服务，同时要求社区食堂助餐配餐服务由政府、社会共同参与，在政府主导的同时，又有市场化的运作。</w:t>
      </w:r>
    </w:p>
    <w:p w14:paraId="51F65373">
      <w:pPr>
        <w:keepNext w:val="0"/>
        <w:keepLines w:val="0"/>
        <w:pageBreakBefore w:val="0"/>
        <w:wordWrap/>
        <w:overflowPunct/>
        <w:topLinePunct w:val="0"/>
        <w:bidi w:val="0"/>
        <w:spacing w:before="138" w:line="560" w:lineRule="exact"/>
        <w:ind w:firstLine="643"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color w:val="auto"/>
          <w:sz w:val="32"/>
          <w:szCs w:val="32"/>
          <w:lang w:val="en-US" w:eastAsia="zh-CN"/>
        </w:rPr>
        <w:t>4</w:t>
      </w:r>
      <w:r>
        <w:rPr>
          <w:rFonts w:hint="default" w:ascii="Times New Roman" w:hAnsi="Times New Roman" w:eastAsia="仿宋_GB2312" w:cs="Times New Roman"/>
          <w:b/>
          <w:color w:val="auto"/>
          <w:sz w:val="32"/>
          <w:szCs w:val="32"/>
        </w:rPr>
        <w:t>.基本要求：</w:t>
      </w:r>
      <w:r>
        <w:rPr>
          <w:rFonts w:hint="eastAsia" w:ascii="Times New Roman" w:hAnsi="Times New Roman" w:eastAsia="仿宋_GB2312" w:cs="Times New Roman"/>
          <w:color w:val="auto"/>
          <w:sz w:val="32"/>
          <w:szCs w:val="32"/>
          <w:lang w:val="en-US" w:eastAsia="zh-CN"/>
        </w:rPr>
        <w:t>本标准从社区食堂的多维需求角度出发，给出了建设社区食堂的基本要求，主要包含食堂选址、环境布局、标志三方面。</w:t>
      </w:r>
    </w:p>
    <w:p w14:paraId="59E45D1C">
      <w:pPr>
        <w:keepNext w:val="0"/>
        <w:keepLines w:val="0"/>
        <w:pageBreakBefore w:val="0"/>
        <w:wordWrap/>
        <w:overflowPunct/>
        <w:topLinePunct w:val="0"/>
        <w:bidi w:val="0"/>
        <w:spacing w:before="138"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（1）食堂选址</w:t>
      </w:r>
    </w:p>
    <w:p w14:paraId="53D06AE3">
      <w:pPr>
        <w:keepNext w:val="0"/>
        <w:keepLines w:val="0"/>
        <w:pageBreakBefore w:val="0"/>
        <w:wordWrap/>
        <w:overflowPunct/>
        <w:topLinePunct w:val="0"/>
        <w:bidi w:val="0"/>
        <w:spacing w:before="138"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应当按照“15分钟养老服务圈”和“15分钟便民生活圈”的原则，综合考虑本辖区老年人口状况、用餐服务需求、服务资源、服务半径等因素，合理布局；食堂应当设置在建筑的一层、二层，二层及以上的应设置无障碍电梯，不得安排在建筑的地下层、半地下层和夹层。</w:t>
      </w:r>
    </w:p>
    <w:p w14:paraId="62A0A3C2">
      <w:pPr>
        <w:keepNext w:val="0"/>
        <w:keepLines w:val="0"/>
        <w:pageBreakBefore w:val="0"/>
        <w:numPr>
          <w:ilvl w:val="0"/>
          <w:numId w:val="1"/>
        </w:numPr>
        <w:wordWrap/>
        <w:overflowPunct/>
        <w:topLinePunct w:val="0"/>
        <w:bidi w:val="0"/>
        <w:spacing w:before="138"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环境布局</w:t>
      </w:r>
    </w:p>
    <w:p w14:paraId="4E043587">
      <w:pPr>
        <w:keepNext w:val="0"/>
        <w:keepLines w:val="0"/>
        <w:pageBreakBefore w:val="0"/>
        <w:numPr>
          <w:ilvl w:val="0"/>
          <w:numId w:val="0"/>
        </w:numPr>
        <w:wordWrap/>
        <w:overflowPunct/>
        <w:topLinePunct w:val="0"/>
        <w:bidi w:val="0"/>
        <w:spacing w:before="138"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社区食堂建设时，现场制餐模式建设面积应不小于 100㎡，集中配送模式建设面积应不小于 50 ㎡。应当按照JGJ450-2018、GB50016、GB50763-2012、GB 55037-2022和GB 50222-2017 等标准规范设计和装修；给水排水设计应符合GB 55026的规定，供应的生活用水水质应符合GB 5749的规定。应做好地面防滑、防碰撞等老年人安全预防措施。</w:t>
      </w:r>
    </w:p>
    <w:p w14:paraId="1A07BDFA">
      <w:pPr>
        <w:keepNext w:val="0"/>
        <w:keepLines w:val="0"/>
        <w:pageBreakBefore w:val="0"/>
        <w:numPr>
          <w:ilvl w:val="0"/>
          <w:numId w:val="1"/>
        </w:numPr>
        <w:wordWrap/>
        <w:overflowPunct/>
        <w:topLinePunct w:val="0"/>
        <w:bidi w:val="0"/>
        <w:spacing w:before="138"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标志</w:t>
      </w:r>
    </w:p>
    <w:p w14:paraId="69283D63">
      <w:pPr>
        <w:keepNext w:val="0"/>
        <w:keepLines w:val="0"/>
        <w:pageBreakBefore w:val="0"/>
        <w:wordWrap/>
        <w:overflowPunct/>
        <w:topLinePunct w:val="0"/>
        <w:bidi w:val="0"/>
        <w:spacing w:before="138"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食堂</w:t>
      </w:r>
      <w:r>
        <w:rPr>
          <w:rFonts w:hint="eastAsia" w:ascii="Times New Roman" w:hAnsi="Times New Roman" w:eastAsia="仿宋_GB2312" w:cs="Times New Roman"/>
          <w:color w:val="auto"/>
          <w:sz w:val="32"/>
          <w:szCs w:val="32"/>
          <w:lang w:val="en-US" w:eastAsia="zh-CN"/>
        </w:rPr>
        <w:t>外使用</w:t>
      </w:r>
      <w:r>
        <w:rPr>
          <w:rFonts w:hint="default" w:ascii="Times New Roman" w:hAnsi="Times New Roman" w:eastAsia="仿宋_GB2312" w:cs="Times New Roman"/>
          <w:color w:val="auto"/>
          <w:sz w:val="32"/>
          <w:szCs w:val="32"/>
          <w:lang w:val="en-US" w:eastAsia="zh-CN"/>
        </w:rPr>
        <w:t>市级以上主管部门统一设计的标志，统一命名为“社区食堂”，以县（市）区为单位进行编号管理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显著位置悬挂</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食堂内外应设置服务导向标志，在可能存在安全隐患的位置（如台阶、洗手台、操作区等）按照 GB 2894的规定设置安全标志，明显位置张贴逃生路线图。全面禁烟，在明显位置张贴禁烟标志</w:t>
      </w:r>
      <w:r>
        <w:rPr>
          <w:rFonts w:hint="eastAsia" w:ascii="Times New Roman" w:hAnsi="Times New Roman" w:eastAsia="仿宋_GB2312" w:cs="Times New Roman"/>
          <w:color w:val="auto"/>
          <w:sz w:val="32"/>
          <w:szCs w:val="32"/>
          <w:lang w:val="en-US" w:eastAsia="zh-CN"/>
        </w:rPr>
        <w:t>。</w:t>
      </w:r>
    </w:p>
    <w:p w14:paraId="74C3E455">
      <w:pPr>
        <w:pageBreakBefore w:val="0"/>
        <w:widowControl w:val="0"/>
        <w:kinsoku/>
        <w:wordWrap/>
        <w:overflowPunct/>
        <w:topLinePunct w:val="0"/>
        <w:autoSpaceDE/>
        <w:autoSpaceDN/>
        <w:bidi w:val="0"/>
        <w:adjustRightInd/>
        <w:snapToGrid w:val="0"/>
        <w:spacing w:line="560" w:lineRule="exact"/>
        <w:ind w:left="120" w:leftChars="57" w:firstLine="482" w:firstLineChars="15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b/>
          <w:color w:val="auto"/>
          <w:sz w:val="32"/>
          <w:szCs w:val="32"/>
          <w:lang w:val="en-US" w:eastAsia="zh-CN"/>
        </w:rPr>
        <w:t>5</w:t>
      </w:r>
      <w:r>
        <w:rPr>
          <w:rFonts w:hint="default" w:ascii="Times New Roman" w:hAnsi="Times New Roman" w:eastAsia="仿宋_GB2312" w:cs="Times New Roman"/>
          <w:b/>
          <w:color w:val="auto"/>
          <w:sz w:val="32"/>
          <w:szCs w:val="32"/>
        </w:rPr>
        <w:t>.服务机构资质：</w:t>
      </w:r>
      <w:r>
        <w:rPr>
          <w:rFonts w:hint="default" w:ascii="Times New Roman" w:hAnsi="Times New Roman" w:eastAsia="仿宋_GB2312" w:cs="Times New Roman"/>
          <w:color w:val="auto"/>
          <w:sz w:val="32"/>
          <w:szCs w:val="32"/>
        </w:rPr>
        <w:t>本标准结合现有工作实际，社区人食堂</w:t>
      </w:r>
      <w:r>
        <w:rPr>
          <w:rFonts w:hint="eastAsia" w:ascii="Times New Roman" w:hAnsi="Times New Roman" w:eastAsia="仿宋_GB2312" w:cs="Times New Roman"/>
          <w:color w:val="auto"/>
          <w:sz w:val="32"/>
          <w:szCs w:val="32"/>
          <w:lang w:val="en-US" w:eastAsia="zh-CN"/>
        </w:rPr>
        <w:t>作</w:t>
      </w:r>
      <w:r>
        <w:rPr>
          <w:rFonts w:hint="default" w:ascii="Times New Roman" w:hAnsi="Times New Roman" w:eastAsia="仿宋_GB2312" w:cs="Times New Roman"/>
          <w:color w:val="auto"/>
          <w:sz w:val="32"/>
          <w:szCs w:val="32"/>
        </w:rPr>
        <w:t>为社区老年人提供餐饮服务的机构，首先应符合食品安全监管要求，这是社区老年人食堂建设的基准线和经营的前提条件</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该运营单位应当为依法成立，取得企业营业执照、社会组织登记证书或事业单位法人证书，具有与开展助餐配餐服务相适应的食品经营许可证及卫生许可证、设施设备及工作人员，并且该单位近3年内未发生过食品安全事故，无负面舆情，没有重大违法违规记录且未被列入严重失信主体名单。</w:t>
      </w:r>
    </w:p>
    <w:p w14:paraId="69D48372">
      <w:pPr>
        <w:pageBreakBefore w:val="0"/>
        <w:widowControl w:val="0"/>
        <w:kinsoku/>
        <w:wordWrap/>
        <w:overflowPunct/>
        <w:topLinePunct w:val="0"/>
        <w:autoSpaceDE/>
        <w:autoSpaceDN/>
        <w:bidi w:val="0"/>
        <w:adjustRightInd/>
        <w:snapToGrid w:val="0"/>
        <w:spacing w:line="560" w:lineRule="exact"/>
        <w:ind w:left="120" w:leftChars="57" w:firstLine="482" w:firstLineChars="15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b/>
          <w:color w:val="auto"/>
          <w:sz w:val="32"/>
          <w:szCs w:val="32"/>
          <w:lang w:val="en-US" w:eastAsia="zh-CN"/>
        </w:rPr>
        <w:t>6</w:t>
      </w:r>
      <w:r>
        <w:rPr>
          <w:rFonts w:hint="default" w:ascii="Times New Roman" w:hAnsi="Times New Roman" w:eastAsia="仿宋_GB2312" w:cs="Times New Roman"/>
          <w:b/>
          <w:color w:val="auto"/>
          <w:sz w:val="32"/>
          <w:szCs w:val="32"/>
        </w:rPr>
        <w:t>.服务管理：</w:t>
      </w:r>
      <w:r>
        <w:rPr>
          <w:rFonts w:hint="default" w:ascii="Times New Roman" w:hAnsi="Times New Roman" w:eastAsia="仿宋_GB2312" w:cs="Times New Roman"/>
          <w:color w:val="auto"/>
          <w:sz w:val="32"/>
          <w:szCs w:val="32"/>
        </w:rPr>
        <w:t>本标准结合现有工作实际，</w:t>
      </w:r>
      <w:r>
        <w:rPr>
          <w:rFonts w:hint="eastAsia" w:ascii="Times New Roman" w:hAnsi="Times New Roman" w:eastAsia="仿宋_GB2312" w:cs="Times New Roman"/>
          <w:color w:val="auto"/>
          <w:sz w:val="32"/>
          <w:szCs w:val="32"/>
          <w:lang w:val="en-US" w:eastAsia="zh-CN"/>
        </w:rPr>
        <w:t>对社区食堂的运营单位提供服务过程中</w:t>
      </w:r>
      <w:r>
        <w:rPr>
          <w:rFonts w:hint="default"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服务方式、服务场所</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服务内容。</w:t>
      </w:r>
    </w:p>
    <w:p w14:paraId="63E22F00">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服务方式</w:t>
      </w:r>
    </w:p>
    <w:p w14:paraId="564E7441">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社区食堂是为服务保障社区老年人就餐需求，实现社区老年人助餐服务。从目前各市具体实践和做法来看，一般采用两种服务方式，一是在食堂现场制餐就餐，二是集中配送、食堂就餐。因此标准中提出了“现场制餐模式</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，同时具备厨房和就餐场所，为老年人提供制餐和就餐服务</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“集中配送模式”</w:t>
      </w:r>
      <w:r>
        <w:rPr>
          <w:rFonts w:hint="eastAsia" w:ascii="Times New Roman" w:hAnsi="Times New Roman" w:eastAsia="仿宋_GB2312" w:cs="Times New Roman"/>
          <w:color w:val="auto"/>
          <w:sz w:val="32"/>
          <w:szCs w:val="32"/>
          <w:lang w:val="en-US" w:eastAsia="zh-CN"/>
        </w:rPr>
        <w:t>则</w:t>
      </w:r>
      <w:r>
        <w:rPr>
          <w:rFonts w:hint="default" w:ascii="Times New Roman" w:hAnsi="Times New Roman" w:eastAsia="仿宋_GB2312" w:cs="Times New Roman"/>
          <w:color w:val="auto"/>
          <w:sz w:val="32"/>
          <w:szCs w:val="32"/>
        </w:rPr>
        <w:t>仅有就餐场所，集中配餐，为老年人提供就餐服务。</w:t>
      </w:r>
    </w:p>
    <w:p w14:paraId="3E79DD07">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服务场所</w:t>
      </w:r>
    </w:p>
    <w:p w14:paraId="3EB8792E">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根据社区食堂的建设现状，在遵循GB31654基本要求的基础上，提出了总体布局、食品处理区、就餐区、辅助区的布局要求</w:t>
      </w:r>
      <w:r>
        <w:rPr>
          <w:rFonts w:hint="eastAsia" w:ascii="Times New Roman" w:hAnsi="Times New Roman" w:eastAsia="仿宋_GB2312" w:cs="Times New Roman"/>
          <w:color w:val="auto"/>
          <w:sz w:val="32"/>
          <w:szCs w:val="32"/>
          <w:lang w:eastAsia="zh-CN"/>
        </w:rPr>
        <w:t>。</w:t>
      </w:r>
    </w:p>
    <w:p w14:paraId="70D7BB4F">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因社区老年人食堂多数是直接利用现有养老服务设施或存量房屋进行改造，因此标准提出了设置更衣间、卫生间等辅助区域，且可以与其他社区设施共享使用的建议。</w:t>
      </w:r>
    </w:p>
    <w:p w14:paraId="75E1FF49">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服务内容</w:t>
      </w:r>
    </w:p>
    <w:p w14:paraId="79593ABC">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食堂作为一种典型的餐饮服务机构，其经营和服务活动</w:t>
      </w:r>
      <w:r>
        <w:rPr>
          <w:rFonts w:hint="eastAsia" w:ascii="Times New Roman" w:hAnsi="Times New Roman" w:eastAsia="仿宋_GB2312" w:cs="Times New Roman"/>
          <w:color w:val="auto"/>
          <w:sz w:val="32"/>
          <w:szCs w:val="32"/>
          <w:lang w:val="en-US" w:eastAsia="zh-CN"/>
        </w:rPr>
        <w:t>须</w:t>
      </w:r>
      <w:r>
        <w:rPr>
          <w:rFonts w:hint="default" w:ascii="Times New Roman" w:hAnsi="Times New Roman" w:eastAsia="仿宋_GB2312" w:cs="Times New Roman"/>
          <w:color w:val="auto"/>
          <w:sz w:val="32"/>
          <w:szCs w:val="32"/>
        </w:rPr>
        <w:t>符合我国和我</w:t>
      </w:r>
      <w:r>
        <w:rPr>
          <w:rFonts w:hint="eastAsia"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rPr>
        <w:t>餐饮服务机构食品安全管理的要求，也接受食品安全监管部门的监管GB</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31654-2021《食品安全国家标准餐饮服务通用卫生规范》</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本标准</w:t>
      </w:r>
      <w:r>
        <w:rPr>
          <w:rFonts w:hint="default" w:ascii="Times New Roman" w:hAnsi="Times New Roman" w:eastAsia="仿宋_GB2312" w:cs="Times New Roman"/>
          <w:color w:val="auto"/>
          <w:sz w:val="32"/>
          <w:szCs w:val="32"/>
        </w:rPr>
        <w:t>全面规定了餐饮服务活动中食品采购</w:t>
      </w:r>
      <w:r>
        <w:rPr>
          <w:rFonts w:hint="eastAsia"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贮存、</w:t>
      </w:r>
      <w:r>
        <w:rPr>
          <w:rFonts w:hint="eastAsia" w:ascii="Times New Roman" w:hAnsi="Times New Roman" w:eastAsia="仿宋_GB2312" w:cs="Times New Roman"/>
          <w:color w:val="auto"/>
          <w:sz w:val="32"/>
          <w:szCs w:val="32"/>
          <w:lang w:val="en-US" w:eastAsia="zh-CN"/>
        </w:rPr>
        <w:t>食谱制定、</w:t>
      </w:r>
      <w:r>
        <w:rPr>
          <w:rFonts w:hint="default" w:ascii="Times New Roman" w:hAnsi="Times New Roman" w:eastAsia="仿宋_GB2312" w:cs="Times New Roman"/>
          <w:color w:val="auto"/>
          <w:sz w:val="32"/>
          <w:szCs w:val="32"/>
        </w:rPr>
        <w:t>加工</w:t>
      </w:r>
      <w:r>
        <w:rPr>
          <w:rFonts w:hint="eastAsia" w:ascii="Times New Roman" w:hAnsi="Times New Roman" w:eastAsia="仿宋_GB2312" w:cs="Times New Roman"/>
          <w:color w:val="auto"/>
          <w:sz w:val="32"/>
          <w:szCs w:val="32"/>
          <w:lang w:val="en-US" w:eastAsia="zh-CN"/>
        </w:rPr>
        <w:t>制作</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留样</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集中就餐</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送餐</w:t>
      </w:r>
      <w:r>
        <w:rPr>
          <w:rFonts w:hint="default" w:ascii="Times New Roman" w:hAnsi="Times New Roman" w:eastAsia="仿宋_GB2312" w:cs="Times New Roman"/>
          <w:color w:val="auto"/>
          <w:sz w:val="32"/>
          <w:szCs w:val="32"/>
        </w:rPr>
        <w:t>和</w:t>
      </w:r>
      <w:r>
        <w:rPr>
          <w:rFonts w:hint="eastAsia" w:ascii="Times New Roman" w:hAnsi="Times New Roman" w:eastAsia="仿宋_GB2312" w:cs="Times New Roman"/>
          <w:color w:val="auto"/>
          <w:sz w:val="32"/>
          <w:szCs w:val="32"/>
          <w:lang w:val="en-US" w:eastAsia="zh-CN"/>
        </w:rPr>
        <w:t>餐后处理等一系列活动。</w:t>
      </w:r>
      <w:r>
        <w:rPr>
          <w:rFonts w:hint="default" w:ascii="Times New Roman" w:hAnsi="Times New Roman" w:eastAsia="仿宋_GB2312" w:cs="Times New Roman"/>
          <w:color w:val="auto"/>
          <w:sz w:val="32"/>
          <w:szCs w:val="32"/>
        </w:rPr>
        <w:t>GB</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31654-2021</w:t>
      </w:r>
      <w:r>
        <w:rPr>
          <w:rFonts w:hint="eastAsia" w:ascii="Times New Roman" w:hAnsi="Times New Roman" w:eastAsia="仿宋_GB2312" w:cs="Times New Roman"/>
          <w:color w:val="auto"/>
          <w:sz w:val="32"/>
          <w:szCs w:val="32"/>
          <w:lang w:val="en-US" w:eastAsia="zh-CN"/>
        </w:rPr>
        <w:t>作为强制国家标准，</w:t>
      </w:r>
      <w:r>
        <w:rPr>
          <w:rFonts w:hint="default" w:ascii="Times New Roman" w:hAnsi="Times New Roman" w:eastAsia="仿宋_GB2312" w:cs="Times New Roman"/>
          <w:color w:val="auto"/>
          <w:sz w:val="32"/>
          <w:szCs w:val="32"/>
        </w:rPr>
        <w:t>适用于餐饮服务经营者和集中用餐单位的食堂从事的各类餐饮服务活动</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内容全面丰富具体，因此标准直接引用了GB</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31654</w:t>
      </w:r>
      <w:r>
        <w:rPr>
          <w:rFonts w:hint="eastAsia" w:ascii="Times New Roman" w:hAnsi="Times New Roman" w:eastAsia="仿宋_GB2312" w:cs="Times New Roman"/>
          <w:color w:val="auto"/>
          <w:sz w:val="32"/>
          <w:szCs w:val="32"/>
          <w:lang w:eastAsia="zh-CN"/>
        </w:rPr>
        <w:t>。</w:t>
      </w:r>
    </w:p>
    <w:p w14:paraId="07AF39A8">
      <w:pPr>
        <w:pageBreakBefore w:val="0"/>
        <w:widowControl w:val="0"/>
        <w:kinsoku/>
        <w:wordWrap/>
        <w:overflowPunct/>
        <w:topLinePunct w:val="0"/>
        <w:autoSpaceDE/>
        <w:autoSpaceDN/>
        <w:bidi w:val="0"/>
        <w:adjustRightInd/>
        <w:snapToGrid w:val="0"/>
        <w:spacing w:line="560" w:lineRule="exact"/>
        <w:ind w:left="120" w:leftChars="57" w:firstLine="482" w:firstLineChars="15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color w:val="auto"/>
          <w:sz w:val="32"/>
          <w:szCs w:val="32"/>
          <w:lang w:val="en-US" w:eastAsia="zh-CN"/>
        </w:rPr>
        <w:t>7</w:t>
      </w:r>
      <w:r>
        <w:rPr>
          <w:rFonts w:hint="default" w:ascii="Times New Roman" w:hAnsi="Times New Roman" w:eastAsia="仿宋_GB2312" w:cs="Times New Roman"/>
          <w:b/>
          <w:color w:val="auto"/>
          <w:sz w:val="32"/>
          <w:szCs w:val="32"/>
        </w:rPr>
        <w:t>.设施设备配置：</w:t>
      </w:r>
      <w:r>
        <w:rPr>
          <w:rFonts w:hint="default" w:ascii="Times New Roman" w:hAnsi="Times New Roman" w:eastAsia="仿宋_GB2312" w:cs="Times New Roman"/>
          <w:color w:val="auto"/>
          <w:sz w:val="32"/>
          <w:szCs w:val="32"/>
        </w:rPr>
        <w:t>本标准结合现有工作实际，</w:t>
      </w:r>
      <w:r>
        <w:rPr>
          <w:rFonts w:hint="eastAsia" w:ascii="Times New Roman" w:hAnsi="Times New Roman" w:eastAsia="仿宋_GB2312" w:cs="Times New Roman"/>
          <w:color w:val="auto"/>
          <w:sz w:val="32"/>
          <w:szCs w:val="32"/>
          <w:lang w:val="en-US" w:eastAsia="zh-CN"/>
        </w:rPr>
        <w:t>对社区食堂的运营单位提供服务过程中</w:t>
      </w:r>
      <w:r>
        <w:rPr>
          <w:rFonts w:hint="default" w:ascii="Times New Roman" w:hAnsi="Times New Roman" w:eastAsia="仿宋_GB2312" w:cs="Times New Roman"/>
          <w:color w:val="auto"/>
          <w:sz w:val="32"/>
          <w:szCs w:val="32"/>
          <w:lang w:eastAsia="zh-CN"/>
        </w:rPr>
        <w:t>的</w:t>
      </w:r>
      <w:r>
        <w:rPr>
          <w:rFonts w:hint="eastAsia" w:ascii="Times New Roman" w:hAnsi="Times New Roman" w:eastAsia="仿宋_GB2312" w:cs="Times New Roman"/>
          <w:color w:val="auto"/>
          <w:sz w:val="32"/>
          <w:szCs w:val="32"/>
          <w:lang w:val="en-US" w:eastAsia="zh-CN"/>
        </w:rPr>
        <w:t>需配备的设施设备类型和需要符合的标准要求</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首先，食堂作为提供制餐服务的餐饮服务机构，使用可燃气体作为燃料时，应采用管道供气，原则上不允许使用罐装、瓶装液化气。</w:t>
      </w:r>
    </w:p>
    <w:p w14:paraId="76C2630C">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社区食堂应当采用“明厨亮灶”的管理模式，并建立满足食堂使用需要的追溯体系，设置监控系统，在处理区关键区域安装监控摄像头，并张贴监控标志。引入智慧化信息平台，统一配备智能刷卡设备。应按照消防安全要求设置应急疏散通道和消防设施、器材，并保持畅通，严禁在安全出口和疏散通道等安装栅栏等影响疏散的障碍物。</w:t>
      </w:r>
    </w:p>
    <w:p w14:paraId="7F952E54">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消防设施和器材的配备和设置，应符合国家、行业和地方标准规范的要求，并定期组织检验，维修和更换，确保完好有效。</w:t>
      </w:r>
    </w:p>
    <w:p w14:paraId="2AB11E0E">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配置适合老年人使用的桌椅、用具的要求，及各种辅助餐具。配置必要的取暖、降温设备。针对食堂的集中配送服务模式，为保证食品安全，按照GB 31654-2021的要求，集体用餐配送单位应配置相应的配送工具、保持餐品温度的温控设备或装置、餐用具等。对于提供送餐服务的食堂，应配置送餐工具、保温容器餐用具等。配备应急使用的轮椅、拐杖、急救箱，卫生间及老年人活动区域设置紧急呼叫装置。</w:t>
      </w:r>
    </w:p>
    <w:p w14:paraId="3CCD00FC">
      <w:pPr>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b w:val="0"/>
          <w:bCs/>
          <w:color w:val="auto"/>
          <w:sz w:val="32"/>
          <w:szCs w:val="32"/>
        </w:rPr>
      </w:pPr>
      <w:r>
        <w:rPr>
          <w:rFonts w:hint="eastAsia" w:ascii="Times New Roman" w:hAnsi="Times New Roman" w:eastAsia="仿宋_GB2312" w:cs="Times New Roman"/>
          <w:b/>
          <w:color w:val="auto"/>
          <w:sz w:val="32"/>
          <w:szCs w:val="32"/>
          <w:lang w:val="en-US" w:eastAsia="zh-CN"/>
        </w:rPr>
        <w:t>8.</w:t>
      </w:r>
      <w:r>
        <w:rPr>
          <w:rFonts w:hint="default" w:ascii="Times New Roman" w:hAnsi="Times New Roman" w:eastAsia="仿宋_GB2312" w:cs="Times New Roman"/>
          <w:b/>
          <w:color w:val="auto"/>
          <w:sz w:val="32"/>
          <w:szCs w:val="32"/>
        </w:rPr>
        <w:t>运营管理</w:t>
      </w:r>
      <w:r>
        <w:rPr>
          <w:rFonts w:hint="default" w:ascii="Times New Roman" w:hAnsi="Times New Roman" w:eastAsia="仿宋_GB2312" w:cs="Times New Roman"/>
          <w:b/>
          <w:color w:val="0000FF"/>
          <w:sz w:val="32"/>
          <w:szCs w:val="32"/>
        </w:rPr>
        <w:t>：</w:t>
      </w:r>
      <w:r>
        <w:rPr>
          <w:rFonts w:hint="default" w:ascii="Times New Roman" w:hAnsi="Times New Roman" w:eastAsia="仿宋_GB2312" w:cs="Times New Roman"/>
          <w:b w:val="0"/>
          <w:bCs/>
          <w:color w:val="auto"/>
          <w:sz w:val="32"/>
          <w:szCs w:val="32"/>
        </w:rPr>
        <w:t>社区食堂运营机构应当建立健全人员、财务、培训、信息、安全、质量控制等管理制度，在运营管理和服务开展中遵守国家、省、市食品生产经营、食品安全、养老服务的有关规定和服务标准。做好各类基础台账，包括：经营情况、出入库台账、餐具消毒台账、留样记录、销售记录等，随时备查。制定完善的老年人服务防护制度，包含噎食、烫伤、跌倒等事件的防护制度，制定各类安全事故应急预案。社区食堂（老年人助餐点）优先提供午餐服务，有条件的提供早、晚餐服务，并保证助餐服务的连续性、稳定性。</w:t>
      </w:r>
    </w:p>
    <w:p w14:paraId="68FED464">
      <w:pPr>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color w:val="auto"/>
          <w:sz w:val="32"/>
          <w:szCs w:val="32"/>
        </w:rPr>
        <w:t>应为行动不便的老年人提供电话、现场或上门下单服务，为有需要的老年人提供上门送餐服务。有条件的社区食堂（老年人助餐点）在非就餐时间可为老年人提供医养康养、生活照料、心理慰藉、文体娱乐等服务。</w:t>
      </w:r>
    </w:p>
    <w:p w14:paraId="087930B5">
      <w:pPr>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 w:val="0"/>
          <w:bCs/>
          <w:color w:val="0000FF"/>
          <w:sz w:val="32"/>
          <w:szCs w:val="32"/>
        </w:rPr>
      </w:pPr>
      <w:r>
        <w:rPr>
          <w:rFonts w:hint="default" w:ascii="Times New Roman" w:hAnsi="Times New Roman" w:eastAsia="仿宋_GB2312" w:cs="Times New Roman"/>
          <w:b w:val="0"/>
          <w:bCs/>
          <w:color w:val="auto"/>
          <w:sz w:val="32"/>
          <w:szCs w:val="32"/>
        </w:rPr>
        <w:t>社区食堂在提供助餐服务过程中要遵循食品安全国家标准GB</w:t>
      </w:r>
      <w:r>
        <w:rPr>
          <w:rFonts w:hint="eastAsia" w:ascii="Times New Roman" w:hAnsi="Times New Roman" w:eastAsia="仿宋_GB2312" w:cs="Times New Roman"/>
          <w:b w:val="0"/>
          <w:bCs/>
          <w:color w:val="auto"/>
          <w:sz w:val="32"/>
          <w:szCs w:val="32"/>
          <w:lang w:val="en-US" w:eastAsia="zh-CN"/>
        </w:rPr>
        <w:t xml:space="preserve"> </w:t>
      </w:r>
      <w:r>
        <w:rPr>
          <w:rFonts w:hint="default" w:ascii="Times New Roman" w:hAnsi="Times New Roman" w:eastAsia="仿宋_GB2312" w:cs="Times New Roman"/>
          <w:b w:val="0"/>
          <w:bCs/>
          <w:color w:val="auto"/>
          <w:sz w:val="32"/>
          <w:szCs w:val="32"/>
        </w:rPr>
        <w:t>31654之外，还需要遵循食品安全管理和服务信息公开公示的要求，即应在就餐场所醒目位置公示</w:t>
      </w:r>
      <w:r>
        <w:rPr>
          <w:rFonts w:hint="default" w:ascii="Times New Roman" w:hAnsi="Times New Roman" w:eastAsia="仿宋_GB2312" w:cs="Times New Roman"/>
          <w:color w:val="auto"/>
          <w:sz w:val="32"/>
          <w:szCs w:val="32"/>
        </w:rPr>
        <w:t>《营业执照》《食品经营许可许可证》《健康证》等证件，以及食品安全管理制度、服务方式和范围、服务对象、开放时间、食品价格、服务（投诉）电话等</w:t>
      </w:r>
      <w:r>
        <w:rPr>
          <w:rFonts w:hint="default" w:ascii="Times New Roman" w:hAnsi="Times New Roman" w:eastAsia="仿宋_GB2312" w:cs="Times New Roman"/>
          <w:b w:val="0"/>
          <w:bCs/>
          <w:color w:val="0000FF"/>
          <w:sz w:val="32"/>
          <w:szCs w:val="32"/>
        </w:rPr>
        <w:t>。</w:t>
      </w:r>
    </w:p>
    <w:p w14:paraId="1365843E">
      <w:pPr>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b/>
          <w:color w:val="auto"/>
          <w:sz w:val="32"/>
          <w:szCs w:val="32"/>
          <w:lang w:val="en-US" w:eastAsia="zh-CN"/>
        </w:rPr>
        <w:t>9.</w:t>
      </w:r>
      <w:r>
        <w:rPr>
          <w:rFonts w:hint="default" w:ascii="Times New Roman" w:hAnsi="Times New Roman" w:eastAsia="仿宋_GB2312" w:cs="Times New Roman"/>
          <w:b/>
          <w:color w:val="auto"/>
          <w:sz w:val="32"/>
          <w:szCs w:val="32"/>
        </w:rPr>
        <w:t>人员配备与管理：</w:t>
      </w:r>
      <w:r>
        <w:rPr>
          <w:rFonts w:hint="default" w:ascii="Times New Roman" w:hAnsi="Times New Roman" w:eastAsia="仿宋_GB2312" w:cs="Times New Roman"/>
          <w:color w:val="auto"/>
          <w:sz w:val="32"/>
          <w:szCs w:val="32"/>
        </w:rPr>
        <w:t>食堂提供餐饮服务需要配备人员，包括括管理人员、厨师、分餐员、送餐员和其他工作人员，从事接触直接入口食品工作的食品生产经营人员应持有效的健康证明。社区食堂向街道备案从业人员基本信息和健康证，如有人员变更及时更新。</w:t>
      </w:r>
    </w:p>
    <w:p w14:paraId="0C5B6AC6">
      <w:pPr>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b/>
          <w:color w:val="auto"/>
          <w:sz w:val="32"/>
          <w:szCs w:val="32"/>
          <w:lang w:val="en-US" w:eastAsia="zh-CN"/>
        </w:rPr>
        <w:t>10</w:t>
      </w:r>
      <w:r>
        <w:rPr>
          <w:rFonts w:hint="default" w:ascii="Times New Roman" w:hAnsi="Times New Roman" w:eastAsia="仿宋_GB2312" w:cs="Times New Roman"/>
          <w:b/>
          <w:color w:val="auto"/>
          <w:sz w:val="32"/>
          <w:szCs w:val="32"/>
        </w:rPr>
        <w:t>.安全和应急管理：</w:t>
      </w:r>
      <w:r>
        <w:rPr>
          <w:rFonts w:hint="default" w:ascii="Times New Roman" w:hAnsi="Times New Roman" w:eastAsia="仿宋_GB2312" w:cs="Times New Roman"/>
          <w:color w:val="auto"/>
          <w:sz w:val="32"/>
          <w:szCs w:val="32"/>
        </w:rPr>
        <w:t>老年人作为特殊群体，其安全保障和突发事件的应急处置尤为重要，社区食堂应投保场地险，配置急救药箱。</w:t>
      </w:r>
    </w:p>
    <w:p w14:paraId="4240DF85">
      <w:pPr>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color w:val="auto"/>
          <w:sz w:val="32"/>
          <w:szCs w:val="32"/>
        </w:rPr>
        <w:t>应制定突发事件应急预案，工作人员应定期进行培训，掌握老年人常见急性病的急救知识和技能以及应对老年人</w:t>
      </w:r>
      <w:r>
        <w:rPr>
          <w:rFonts w:hint="default" w:ascii="Times New Roman" w:hAnsi="Times New Roman" w:eastAsia="仿宋_GB2312" w:cs="Times New Roman"/>
          <w:b w:val="0"/>
          <w:bCs w:val="0"/>
          <w:color w:val="auto"/>
          <w:sz w:val="32"/>
          <w:szCs w:val="32"/>
        </w:rPr>
        <w:t>特殊情况如噎食、呛咳、中毒、低血糖、烫伤等突发事件的技能。</w:t>
      </w:r>
    </w:p>
    <w:p w14:paraId="17D0742A">
      <w:pPr>
        <w:pageBreakBefore w:val="0"/>
        <w:widowControl w:val="0"/>
        <w:kinsoku/>
        <w:wordWrap/>
        <w:overflowPunct/>
        <w:topLinePunct w:val="0"/>
        <w:autoSpaceDE/>
        <w:autoSpaceDN/>
        <w:bidi w:val="0"/>
        <w:adjustRightInd/>
        <w:snapToGrid w:val="0"/>
        <w:spacing w:line="560" w:lineRule="exact"/>
        <w:ind w:left="120" w:leftChars="57" w:firstLine="482" w:firstLineChars="150"/>
        <w:textAlignment w:val="auto"/>
        <w:rPr>
          <w:rFonts w:hint="default" w:ascii="Times New Roman" w:hAnsi="Times New Roman" w:eastAsia="仿宋_GB2312" w:cs="Times New Roman"/>
          <w:b w:val="0"/>
          <w:bCs w:val="0"/>
          <w:color w:val="auto"/>
          <w:sz w:val="32"/>
          <w:szCs w:val="32"/>
        </w:rPr>
      </w:pPr>
      <w:r>
        <w:rPr>
          <w:rFonts w:hint="eastAsia" w:ascii="Times New Roman" w:hAnsi="Times New Roman" w:eastAsia="仿宋_GB2312" w:cs="Times New Roman"/>
          <w:b/>
          <w:bCs/>
          <w:color w:val="auto"/>
          <w:sz w:val="32"/>
          <w:szCs w:val="32"/>
          <w:lang w:val="en-US" w:eastAsia="zh-CN"/>
        </w:rPr>
        <w:t>11</w:t>
      </w:r>
      <w:r>
        <w:rPr>
          <w:rFonts w:hint="default" w:ascii="Times New Roman" w:hAnsi="Times New Roman" w:eastAsia="仿宋_GB2312" w:cs="Times New Roman"/>
          <w:b/>
          <w:bCs/>
          <w:color w:val="auto"/>
          <w:sz w:val="32"/>
          <w:szCs w:val="32"/>
        </w:rPr>
        <w:t>.监督与评价：</w:t>
      </w:r>
      <w:r>
        <w:rPr>
          <w:rFonts w:hint="default" w:ascii="Times New Roman" w:hAnsi="Times New Roman" w:eastAsia="仿宋_GB2312" w:cs="Times New Roman"/>
          <w:b w:val="0"/>
          <w:bCs w:val="0"/>
          <w:color w:val="auto"/>
          <w:sz w:val="32"/>
          <w:szCs w:val="32"/>
        </w:rPr>
        <w:t>应采取日常检查、定期检查、不定期抽查、专项检查等方式进行内部评价。 应建立意见反馈制度，公开食堂意见收集渠道，设置意见箱或意见簿</w:t>
      </w:r>
      <w:r>
        <w:rPr>
          <w:rFonts w:hint="eastAsia"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制定投诉管理制度，明确投诉处理流程，投诉处理应按照 GB/T 17242 的有关规定处理。</w:t>
      </w:r>
    </w:p>
    <w:p w14:paraId="222C2160">
      <w:pPr>
        <w:pageBreakBefore w:val="0"/>
        <w:widowControl w:val="0"/>
        <w:kinsoku/>
        <w:wordWrap/>
        <w:overflowPunct/>
        <w:topLinePunct w:val="0"/>
        <w:autoSpaceDE/>
        <w:autoSpaceDN/>
        <w:bidi w:val="0"/>
        <w:adjustRightInd/>
        <w:snapToGrid w:val="0"/>
        <w:spacing w:line="560" w:lineRule="exact"/>
        <w:ind w:left="120" w:leftChars="57" w:firstLine="480" w:firstLineChars="150"/>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应开展食堂服务满意度调查，对服务质量、数量、价格、卫生、服务态度等方面进行评价。应对内部评价、反馈意见、投诉意见、满意度调查结果等进行汇总分析，制定并实施改进计划，持续改进食堂餐饮服务质量。</w:t>
      </w:r>
    </w:p>
    <w:p w14:paraId="794D5E6D">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sz w:val="32"/>
        </w:rPr>
      </w:pPr>
      <w:bookmarkStart w:id="32" w:name="_Toc66711979"/>
      <w:bookmarkStart w:id="33" w:name="_Toc98756580"/>
      <w:bookmarkStart w:id="34" w:name="_Toc20309"/>
      <w:r>
        <w:rPr>
          <w:rFonts w:hint="eastAsia" w:ascii="Times New Roman" w:hAnsi="Times New Roman" w:eastAsia="黑体" w:cs="Times New Roman"/>
          <w:b w:val="0"/>
          <w:sz w:val="32"/>
          <w:lang w:val="en-US" w:eastAsia="zh-CN"/>
        </w:rPr>
        <w:t>五</w:t>
      </w:r>
      <w:r>
        <w:rPr>
          <w:rFonts w:hint="default" w:ascii="Times New Roman" w:hAnsi="Times New Roman" w:eastAsia="黑体" w:cs="Times New Roman"/>
          <w:b w:val="0"/>
          <w:sz w:val="32"/>
        </w:rPr>
        <w:t>、与现行法律、法规、政策及相关标准的协调性</w:t>
      </w:r>
      <w:bookmarkEnd w:id="32"/>
      <w:bookmarkEnd w:id="33"/>
      <w:bookmarkEnd w:id="34"/>
    </w:p>
    <w:p w14:paraId="304FB6F8">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本标准与现行法律、法规、政策及相关标准不冲突，并协调一致。</w:t>
      </w:r>
    </w:p>
    <w:p w14:paraId="3BC90353">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sz w:val="32"/>
        </w:rPr>
      </w:pPr>
      <w:bookmarkStart w:id="35" w:name="_Toc98756581"/>
      <w:bookmarkStart w:id="36" w:name="_Toc5119"/>
      <w:bookmarkStart w:id="37" w:name="_Toc66711980"/>
      <w:r>
        <w:rPr>
          <w:rFonts w:hint="eastAsia" w:ascii="Times New Roman" w:hAnsi="Times New Roman" w:eastAsia="黑体" w:cs="Times New Roman"/>
          <w:b w:val="0"/>
          <w:sz w:val="32"/>
          <w:lang w:val="en-US" w:eastAsia="zh-CN"/>
        </w:rPr>
        <w:t>六</w:t>
      </w:r>
      <w:r>
        <w:rPr>
          <w:rFonts w:hint="default" w:ascii="Times New Roman" w:hAnsi="Times New Roman" w:eastAsia="黑体" w:cs="Times New Roman"/>
          <w:b w:val="0"/>
          <w:sz w:val="32"/>
        </w:rPr>
        <w:t>、重大分歧意见的处理经过和依据</w:t>
      </w:r>
      <w:bookmarkEnd w:id="35"/>
      <w:bookmarkEnd w:id="36"/>
      <w:bookmarkEnd w:id="37"/>
    </w:p>
    <w:p w14:paraId="32AC1174">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由于本标准目前还处于内部讨论稿阶段，尚未公开征求其他方面的意见，且编制工作组内部对编写的理解是一致的，故暂不存在重要分歧意见</w:t>
      </w:r>
      <w:r>
        <w:rPr>
          <w:rFonts w:hint="eastAsia" w:ascii="Times New Roman" w:hAnsi="Times New Roman" w:eastAsia="仿宋_GB2312" w:cs="Times New Roman"/>
          <w:sz w:val="32"/>
          <w:szCs w:val="32"/>
          <w:lang w:eastAsia="zh-CN"/>
        </w:rPr>
        <w:t>，根据后续征求意见情况补充。</w:t>
      </w:r>
    </w:p>
    <w:p w14:paraId="63942AF8">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sz w:val="32"/>
        </w:rPr>
      </w:pPr>
      <w:bookmarkStart w:id="38" w:name="_Toc66711981"/>
      <w:bookmarkStart w:id="39" w:name="_Toc21681"/>
      <w:bookmarkStart w:id="40" w:name="_Toc98756582"/>
      <w:r>
        <w:rPr>
          <w:rFonts w:hint="eastAsia" w:ascii="Times New Roman" w:hAnsi="Times New Roman" w:eastAsia="黑体" w:cs="Times New Roman"/>
          <w:b w:val="0"/>
          <w:sz w:val="32"/>
          <w:lang w:val="en-US" w:eastAsia="zh-CN"/>
        </w:rPr>
        <w:t>七</w:t>
      </w:r>
      <w:r>
        <w:rPr>
          <w:rFonts w:hint="default" w:ascii="Times New Roman" w:hAnsi="Times New Roman" w:eastAsia="黑体" w:cs="Times New Roman"/>
          <w:b w:val="0"/>
          <w:sz w:val="32"/>
        </w:rPr>
        <w:t>、作为推荐性或者强制性标准的建议及其理由</w:t>
      </w:r>
      <w:bookmarkEnd w:id="38"/>
      <w:bookmarkEnd w:id="39"/>
      <w:bookmarkEnd w:id="40"/>
    </w:p>
    <w:p w14:paraId="457AA06F">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根据《中华人民共和国标准化法》等法律法规的规定，建议该标准作为推荐性地方标准发布实施。</w:t>
      </w:r>
    </w:p>
    <w:p w14:paraId="56B7186E">
      <w:pPr>
        <w:pStyle w:val="2"/>
        <w:pageBreakBefore w:val="0"/>
        <w:widowControl w:val="0"/>
        <w:kinsoku/>
        <w:wordWrap/>
        <w:overflowPunct/>
        <w:topLinePunct w:val="0"/>
        <w:autoSpaceDE/>
        <w:autoSpaceDN/>
        <w:bidi w:val="0"/>
        <w:adjustRightInd/>
        <w:snapToGrid w:val="0"/>
        <w:spacing w:before="156" w:beforeLines="50" w:after="156" w:afterLines="50" w:line="560" w:lineRule="exact"/>
        <w:ind w:firstLine="640" w:firstLineChars="200"/>
        <w:textAlignment w:val="auto"/>
        <w:rPr>
          <w:rFonts w:hint="default" w:ascii="Times New Roman" w:hAnsi="Times New Roman" w:eastAsia="黑体" w:cs="Times New Roman"/>
          <w:b w:val="0"/>
          <w:sz w:val="32"/>
        </w:rPr>
      </w:pPr>
      <w:bookmarkStart w:id="41" w:name="_Toc29245"/>
      <w:r>
        <w:rPr>
          <w:rFonts w:hint="eastAsia" w:ascii="Times New Roman" w:hAnsi="Times New Roman" w:eastAsia="黑体" w:cs="Times New Roman"/>
          <w:b w:val="0"/>
          <w:sz w:val="32"/>
          <w:lang w:val="en-US" w:eastAsia="zh-CN"/>
        </w:rPr>
        <w:t>八</w:t>
      </w:r>
      <w:r>
        <w:rPr>
          <w:rFonts w:hint="default" w:ascii="Times New Roman" w:hAnsi="Times New Roman" w:eastAsia="黑体" w:cs="Times New Roman"/>
          <w:b w:val="0"/>
          <w:sz w:val="32"/>
        </w:rPr>
        <w:t>、贯彻标准的要求和措施建议</w:t>
      </w:r>
      <w:bookmarkEnd w:id="41"/>
    </w:p>
    <w:p w14:paraId="4C6B50C8">
      <w:pPr>
        <w:pageBreakBefore w:val="0"/>
        <w:widowControl w:val="0"/>
        <w:kinsoku/>
        <w:wordWrap/>
        <w:overflowPunct/>
        <w:topLinePunct w:val="0"/>
        <w:autoSpaceDE/>
        <w:autoSpaceDN/>
        <w:bidi w:val="0"/>
        <w:adjustRightInd/>
        <w:snapToGrid w:val="0"/>
        <w:spacing w:line="560" w:lineRule="exact"/>
        <w:ind w:right="240" w:firstLine="640" w:firstLineChars="20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由</w:t>
      </w:r>
      <w:r>
        <w:rPr>
          <w:rFonts w:hint="eastAsia" w:ascii="Times New Roman" w:hAnsi="Times New Roman" w:eastAsia="仿宋_GB2312" w:cs="Times New Roman"/>
          <w:sz w:val="32"/>
          <w:szCs w:val="32"/>
          <w:lang w:val="en-US" w:eastAsia="zh-CN"/>
        </w:rPr>
        <w:t>自治区民政厅</w:t>
      </w:r>
      <w:r>
        <w:rPr>
          <w:rFonts w:hint="default" w:ascii="Times New Roman" w:hAnsi="Times New Roman" w:eastAsia="仿宋_GB2312" w:cs="Times New Roman"/>
          <w:sz w:val="32"/>
          <w:szCs w:val="32"/>
        </w:rPr>
        <w:t>根据标准内容制定相关政策文件，通过开展培训，组织经验分享，定期督导评估等形式开展标准的宣贯实施工作，提升</w:t>
      </w:r>
      <w:r>
        <w:rPr>
          <w:rFonts w:hint="eastAsia" w:ascii="Times New Roman" w:hAnsi="Times New Roman" w:eastAsia="仿宋_GB2312" w:cs="Times New Roman"/>
          <w:sz w:val="32"/>
          <w:szCs w:val="32"/>
          <w:lang w:val="en-US" w:eastAsia="zh-CN"/>
        </w:rPr>
        <w:t>宁夏回族自治区</w:t>
      </w:r>
      <w:r>
        <w:rPr>
          <w:rFonts w:hint="default" w:ascii="Times New Roman" w:hAnsi="Times New Roman" w:eastAsia="仿宋_GB2312" w:cs="Times New Roman"/>
          <w:sz w:val="32"/>
          <w:szCs w:val="32"/>
        </w:rPr>
        <w:t>老年人助餐配餐服务水平，加快形成覆盖城乡、布局均衡、主体多元、规范安全、方便可及的社区食堂服务网点，全面建立健全功能完善、规模适度、覆盖面广的社区助餐服务体系</w:t>
      </w:r>
      <w:r>
        <w:rPr>
          <w:rFonts w:hint="eastAsia" w:ascii="Times New Roman" w:hAnsi="Times New Roman" w:eastAsia="仿宋_GB2312" w:cs="Times New Roman"/>
          <w:sz w:val="32"/>
          <w:szCs w:val="32"/>
          <w:lang w:eastAsia="zh-CN"/>
        </w:rPr>
        <w:t>。</w:t>
      </w:r>
    </w:p>
    <w:p w14:paraId="5250431D">
      <w:pPr>
        <w:pageBreakBefore w:val="0"/>
        <w:widowControl w:val="0"/>
        <w:kinsoku/>
        <w:wordWrap/>
        <w:overflowPunct/>
        <w:topLinePunct w:val="0"/>
        <w:autoSpaceDE/>
        <w:autoSpaceDN/>
        <w:bidi w:val="0"/>
        <w:adjustRightInd/>
        <w:snapToGrid w:val="0"/>
        <w:spacing w:line="560" w:lineRule="exact"/>
        <w:ind w:right="240" w:firstLine="640" w:firstLineChars="200"/>
        <w:jc w:val="right"/>
        <w:textAlignment w:val="auto"/>
        <w:rPr>
          <w:rFonts w:hint="default" w:ascii="Times New Roman" w:hAnsi="Times New Roman" w:eastAsia="仿宋_GB2312" w:cs="Times New Roman"/>
          <w:sz w:val="32"/>
          <w:szCs w:val="32"/>
        </w:rPr>
      </w:pPr>
    </w:p>
    <w:p w14:paraId="08ECAAE7">
      <w:pPr>
        <w:pageBreakBefore w:val="0"/>
        <w:widowControl w:val="0"/>
        <w:kinsoku/>
        <w:wordWrap/>
        <w:overflowPunct/>
        <w:topLinePunct w:val="0"/>
        <w:autoSpaceDE/>
        <w:autoSpaceDN/>
        <w:bidi w:val="0"/>
        <w:adjustRightInd/>
        <w:snapToGrid w:val="0"/>
        <w:spacing w:line="560" w:lineRule="exact"/>
        <w:ind w:right="240" w:firstLine="640" w:firstLineChars="200"/>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本标准编制工作组</w:t>
      </w:r>
    </w:p>
    <w:p w14:paraId="56BD2785">
      <w:pPr>
        <w:pageBreakBefore w:val="0"/>
        <w:widowControl w:val="0"/>
        <w:kinsoku/>
        <w:wordWrap/>
        <w:overflowPunct/>
        <w:topLinePunct w:val="0"/>
        <w:autoSpaceDE/>
        <w:autoSpaceDN/>
        <w:bidi w:val="0"/>
        <w:adjustRightInd/>
        <w:snapToGrid w:val="0"/>
        <w:spacing w:line="560" w:lineRule="exact"/>
        <w:ind w:right="160" w:firstLine="640" w:firstLineChars="200"/>
        <w:jc w:val="right"/>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22</w:t>
      </w:r>
      <w:r>
        <w:rPr>
          <w:rFonts w:hint="default" w:ascii="Times New Roman" w:hAnsi="Times New Roman" w:eastAsia="仿宋_GB2312" w:cs="Times New Roman"/>
          <w:sz w:val="32"/>
          <w:szCs w:val="32"/>
          <w:highlight w:val="none"/>
        </w:rPr>
        <w:t>日</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2F8B30-D735-45B4-A7EA-07475C6345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1047E8E-E5AD-4538-94C4-EF19CF9C263B}"/>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E0000" w:usb2="00000000" w:usb3="00000000" w:csb0="00040000" w:csb1="00000000"/>
    <w:embedRegular r:id="rId3" w:fontKey="{8E6D07F7-CECE-40AD-8948-83A385A84A22}"/>
  </w:font>
  <w:font w:name="楷体_GB2312">
    <w:panose1 w:val="02010609030101010101"/>
    <w:charset w:val="86"/>
    <w:family w:val="modern"/>
    <w:pitch w:val="default"/>
    <w:sig w:usb0="00000001" w:usb1="080E0000" w:usb2="00000000" w:usb3="00000000" w:csb0="00040000" w:csb1="00000000"/>
    <w:embedRegular r:id="rId4" w:fontKey="{95880F3D-BC74-4D32-8A01-DB5EAF8A1F13}"/>
  </w:font>
  <w:font w:name="仿宋_GB2312">
    <w:panose1 w:val="02010609030101010101"/>
    <w:charset w:val="86"/>
    <w:family w:val="modern"/>
    <w:pitch w:val="default"/>
    <w:sig w:usb0="00000001" w:usb1="080E0000" w:usb2="00000000" w:usb3="00000000" w:csb0="00040000" w:csb1="00000000"/>
    <w:embedRegular r:id="rId5" w:fontKey="{01D510EB-4857-4605-8DA6-4B4E38FB65B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6E65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BDF49">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0BBDF49">
                    <w:pPr>
                      <w:pStyle w:val="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B8196">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82C01">
                          <w:pPr>
                            <w:pStyle w:val="3"/>
                            <w:rPr>
                              <w:sz w:val="28"/>
                              <w:szCs w:val="28"/>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B782C01">
                    <w:pPr>
                      <w:pStyle w:val="3"/>
                      <w:rPr>
                        <w:sz w:val="28"/>
                        <w:szCs w:val="28"/>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5D7D1"/>
    <w:multiLevelType w:val="singleLevel"/>
    <w:tmpl w:val="B4E5D7D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3MmUxYjU1NDJlYjlkYTZiMGZjMTkwNWRmZTIyN2EifQ=="/>
  </w:docVars>
  <w:rsids>
    <w:rsidRoot w:val="008664AC"/>
    <w:rsid w:val="0005171C"/>
    <w:rsid w:val="000A6952"/>
    <w:rsid w:val="000C21F7"/>
    <w:rsid w:val="000F0ED2"/>
    <w:rsid w:val="000F60F6"/>
    <w:rsid w:val="00122ED3"/>
    <w:rsid w:val="001549CD"/>
    <w:rsid w:val="00155D2F"/>
    <w:rsid w:val="001740DB"/>
    <w:rsid w:val="001A46F6"/>
    <w:rsid w:val="002D7E5C"/>
    <w:rsid w:val="002E237C"/>
    <w:rsid w:val="003101AB"/>
    <w:rsid w:val="00316162"/>
    <w:rsid w:val="003534E1"/>
    <w:rsid w:val="003B0D69"/>
    <w:rsid w:val="003E2462"/>
    <w:rsid w:val="00455837"/>
    <w:rsid w:val="00503053"/>
    <w:rsid w:val="005075B6"/>
    <w:rsid w:val="005B2992"/>
    <w:rsid w:val="00604808"/>
    <w:rsid w:val="00616AEF"/>
    <w:rsid w:val="00617287"/>
    <w:rsid w:val="00687DBE"/>
    <w:rsid w:val="006B503E"/>
    <w:rsid w:val="006E3188"/>
    <w:rsid w:val="006E5B4D"/>
    <w:rsid w:val="00760B06"/>
    <w:rsid w:val="00791637"/>
    <w:rsid w:val="007B3071"/>
    <w:rsid w:val="00816377"/>
    <w:rsid w:val="008215E6"/>
    <w:rsid w:val="008664AC"/>
    <w:rsid w:val="0087746C"/>
    <w:rsid w:val="008A28C5"/>
    <w:rsid w:val="008B24F7"/>
    <w:rsid w:val="00923728"/>
    <w:rsid w:val="00962153"/>
    <w:rsid w:val="009743AB"/>
    <w:rsid w:val="009E4C15"/>
    <w:rsid w:val="009F24DB"/>
    <w:rsid w:val="009F66FE"/>
    <w:rsid w:val="00A10E9D"/>
    <w:rsid w:val="00A352FC"/>
    <w:rsid w:val="00A747B2"/>
    <w:rsid w:val="00B6742C"/>
    <w:rsid w:val="00BC71BC"/>
    <w:rsid w:val="00C74004"/>
    <w:rsid w:val="00C972CC"/>
    <w:rsid w:val="00CC5B73"/>
    <w:rsid w:val="00D630FE"/>
    <w:rsid w:val="00DA5727"/>
    <w:rsid w:val="00DF26DF"/>
    <w:rsid w:val="00E543A0"/>
    <w:rsid w:val="00EA20EF"/>
    <w:rsid w:val="00EC7858"/>
    <w:rsid w:val="00EF0C0B"/>
    <w:rsid w:val="00F1629E"/>
    <w:rsid w:val="00F90CEA"/>
    <w:rsid w:val="03C27247"/>
    <w:rsid w:val="05A67484"/>
    <w:rsid w:val="05AC1BC4"/>
    <w:rsid w:val="09480585"/>
    <w:rsid w:val="0B1B651B"/>
    <w:rsid w:val="15543284"/>
    <w:rsid w:val="166177C7"/>
    <w:rsid w:val="18D767C9"/>
    <w:rsid w:val="1C780D06"/>
    <w:rsid w:val="1D682B0D"/>
    <w:rsid w:val="1DA033D2"/>
    <w:rsid w:val="1EEB6FFA"/>
    <w:rsid w:val="1F853AF6"/>
    <w:rsid w:val="20B350DC"/>
    <w:rsid w:val="245113FB"/>
    <w:rsid w:val="279F537D"/>
    <w:rsid w:val="2A900CF5"/>
    <w:rsid w:val="2E946C19"/>
    <w:rsid w:val="34EE0C07"/>
    <w:rsid w:val="36FE3FC5"/>
    <w:rsid w:val="38D037A2"/>
    <w:rsid w:val="3BD20652"/>
    <w:rsid w:val="3F0702FB"/>
    <w:rsid w:val="3F224FDE"/>
    <w:rsid w:val="418D4040"/>
    <w:rsid w:val="466E5B34"/>
    <w:rsid w:val="478607C7"/>
    <w:rsid w:val="4C5A52D9"/>
    <w:rsid w:val="4EC27EA8"/>
    <w:rsid w:val="531B050C"/>
    <w:rsid w:val="55877F62"/>
    <w:rsid w:val="567C05F7"/>
    <w:rsid w:val="57846F6C"/>
    <w:rsid w:val="584274DB"/>
    <w:rsid w:val="584F6C36"/>
    <w:rsid w:val="5C8529D4"/>
    <w:rsid w:val="5D5C2DED"/>
    <w:rsid w:val="5F7023C6"/>
    <w:rsid w:val="621E7CF9"/>
    <w:rsid w:val="630768E0"/>
    <w:rsid w:val="67C47AC1"/>
    <w:rsid w:val="689E58DD"/>
    <w:rsid w:val="68B47F81"/>
    <w:rsid w:val="70422316"/>
    <w:rsid w:val="718E2272"/>
    <w:rsid w:val="72E15DD7"/>
    <w:rsid w:val="75020533"/>
    <w:rsid w:val="787C5244"/>
    <w:rsid w:val="7A923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outlineLvl w:val="1"/>
    </w:pPr>
    <w:rPr>
      <w:rFonts w:asciiTheme="majorHAnsi" w:hAnsiTheme="majorHAnsi" w:eastAsiaTheme="majorEastAsia" w:cstheme="majorBidi"/>
      <w:b/>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autoRedefine/>
    <w:unhideWhenUsed/>
    <w:qFormat/>
    <w:uiPriority w:val="39"/>
  </w:style>
  <w:style w:type="paragraph" w:styleId="6">
    <w:name w:val="toc 2"/>
    <w:basedOn w:val="1"/>
    <w:next w:val="1"/>
    <w:autoRedefine/>
    <w:unhideWhenUsed/>
    <w:qFormat/>
    <w:uiPriority w:val="39"/>
    <w:pPr>
      <w:ind w:left="420" w:leftChars="200"/>
    </w:pPr>
  </w:style>
  <w:style w:type="paragraph" w:styleId="7">
    <w:name w:val="Title"/>
    <w:basedOn w:val="1"/>
    <w:next w:val="1"/>
    <w:link w:val="14"/>
    <w:autoRedefine/>
    <w:qFormat/>
    <w:uiPriority w:val="10"/>
    <w:pPr>
      <w:spacing w:before="240" w:after="60"/>
      <w:jc w:val="center"/>
      <w:outlineLvl w:val="0"/>
    </w:pPr>
    <w:rPr>
      <w:rFonts w:eastAsia="宋体" w:asciiTheme="majorHAnsi" w:hAnsiTheme="majorHAnsi" w:cstheme="majorBidi"/>
      <w:b/>
      <w:bCs/>
      <w:sz w:val="32"/>
      <w:szCs w:val="32"/>
    </w:rPr>
  </w:style>
  <w:style w:type="character" w:styleId="10">
    <w:name w:val="Hyperlink"/>
    <w:basedOn w:val="9"/>
    <w:autoRedefine/>
    <w:unhideWhenUsed/>
    <w:qFormat/>
    <w:uiPriority w:val="99"/>
    <w:rPr>
      <w:color w:val="0000FF" w:themeColor="hyperlink"/>
      <w:u w:val="single"/>
      <w14:textFill>
        <w14:solidFill>
          <w14:schemeClr w14:val="hlink"/>
        </w14:solidFill>
      </w14:textFill>
    </w:rPr>
  </w:style>
  <w:style w:type="character" w:customStyle="1" w:styleId="11">
    <w:name w:val="页眉 Char"/>
    <w:basedOn w:val="9"/>
    <w:link w:val="4"/>
    <w:autoRedefine/>
    <w:qFormat/>
    <w:uiPriority w:val="99"/>
    <w:rPr>
      <w:sz w:val="18"/>
      <w:szCs w:val="18"/>
    </w:rPr>
  </w:style>
  <w:style w:type="character" w:customStyle="1" w:styleId="12">
    <w:name w:val="页脚 Char"/>
    <w:basedOn w:val="9"/>
    <w:link w:val="3"/>
    <w:autoRedefine/>
    <w:qFormat/>
    <w:uiPriority w:val="99"/>
    <w:rPr>
      <w:sz w:val="18"/>
      <w:szCs w:val="18"/>
    </w:rPr>
  </w:style>
  <w:style w:type="character" w:customStyle="1" w:styleId="13">
    <w:name w:val="标题 2 Char"/>
    <w:basedOn w:val="9"/>
    <w:link w:val="2"/>
    <w:autoRedefine/>
    <w:qFormat/>
    <w:uiPriority w:val="9"/>
    <w:rPr>
      <w:rFonts w:asciiTheme="majorHAnsi" w:hAnsiTheme="majorHAnsi" w:eastAsiaTheme="majorEastAsia" w:cstheme="majorBidi"/>
      <w:b/>
      <w:bCs/>
      <w:sz w:val="24"/>
      <w:szCs w:val="32"/>
    </w:rPr>
  </w:style>
  <w:style w:type="character" w:customStyle="1" w:styleId="14">
    <w:name w:val="标题 Char"/>
    <w:basedOn w:val="9"/>
    <w:link w:val="7"/>
    <w:autoRedefine/>
    <w:qFormat/>
    <w:uiPriority w:val="10"/>
    <w:rPr>
      <w:rFonts w:eastAsia="宋体" w:asciiTheme="majorHAnsi" w:hAnsiTheme="majorHAnsi" w:cstheme="majorBidi"/>
      <w:b/>
      <w:bCs/>
      <w:sz w:val="32"/>
      <w:szCs w:val="32"/>
    </w:rPr>
  </w:style>
  <w:style w:type="paragraph" w:customStyle="1" w:styleId="15">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201</Words>
  <Characters>208</Characters>
  <Lines>41</Lines>
  <Paragraphs>11</Paragraphs>
  <TotalTime>17</TotalTime>
  <ScaleCrop>false</ScaleCrop>
  <LinksUpToDate>false</LinksUpToDate>
  <CharactersWithSpaces>227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2022-09-07T21:00:00Z</dcterms:created>
  <dc:creator>方舒</dc:creator>
  <cp:lastModifiedBy>暖暖</cp:lastModifiedBy>
  <dcterms:modified xsi:type="dcterms:W3CDTF">2024-10-21T02:43:31Z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EE5A195153704F188D365CE59D34A658_13</vt:lpwstr>
  </property>
</Properties>
</file>