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20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46</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46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市场监管领域"双随机、一公开"监管工作规范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Specification for market supervision and inspection of  " two random selections and one open informational publicity" in the field of market supervision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海南省市场</w:t>
      </w:r>
      <w:r>
        <w:rPr>
          <w:rFonts w:hAnsi="黑体"/>
          <w:w w:val="100"/>
          <w:sz w:val="28"/>
        </w:rPr>
        <w:t>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pPr>
        <w:pStyle w:val="89"/>
        <w:spacing w:after="468"/>
      </w:pPr>
      <w:bookmarkStart w:id="20" w:name="muci"/>
      <w:bookmarkEnd w:id="20"/>
      <w:bookmarkStart w:id="21" w:name="_Toc106377555"/>
      <w:bookmarkStart w:id="22" w:name="_Toc161306973"/>
      <w:bookmarkStart w:id="23" w:name="BookMark2"/>
      <w:r>
        <w:rPr>
          <w:spacing w:val="320"/>
        </w:rPr>
        <w:t>前</w:t>
      </w:r>
      <w:r>
        <w:t>言</w:t>
      </w:r>
      <w:bookmarkEnd w:id="21"/>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w:t>
      </w:r>
      <w:r>
        <w:rPr>
          <w:rFonts w:hint="eastAsia"/>
          <w:sz w:val="22"/>
          <w:szCs w:val="22"/>
        </w:rPr>
        <w:t>海南省市场监督管理局</w:t>
      </w:r>
      <w:r>
        <w:rPr>
          <w:rFonts w:hint="eastAsia"/>
        </w:rPr>
        <w:t>提出。</w:t>
      </w:r>
    </w:p>
    <w:p>
      <w:pPr>
        <w:pStyle w:val="56"/>
        <w:ind w:firstLine="420"/>
      </w:pPr>
      <w:r>
        <w:rPr>
          <w:rFonts w:hint="eastAsia"/>
        </w:rPr>
        <w:t>本文件由</w:t>
      </w:r>
      <w:r>
        <w:rPr>
          <w:rFonts w:hint="eastAsia"/>
          <w:sz w:val="22"/>
          <w:szCs w:val="22"/>
        </w:rPr>
        <w:t>海南省市场监督管理局</w:t>
      </w:r>
      <w:r>
        <w:rPr>
          <w:rFonts w:hint="eastAsia"/>
        </w:rPr>
        <w:t>归口。</w:t>
      </w:r>
    </w:p>
    <w:p>
      <w:pPr>
        <w:pStyle w:val="56"/>
        <w:ind w:firstLine="420"/>
      </w:pPr>
      <w:r>
        <w:rPr>
          <w:rFonts w:hint="eastAsia"/>
        </w:rPr>
        <w:t>本文件起草单位：</w:t>
      </w:r>
      <w:r>
        <w:rPr>
          <w:rFonts w:hint="eastAsia"/>
          <w:lang w:val="en-US" w:eastAsia="zh-CN"/>
        </w:rPr>
        <w:t>海南省市场监督管理局、</w:t>
      </w:r>
      <w:r>
        <w:rPr>
          <w:rFonts w:hint="eastAsia" w:hAnsi="宋体" w:cs="宋体"/>
          <w:color w:val="000000"/>
          <w:szCs w:val="21"/>
        </w:rPr>
        <w:t>海南省检验检测院质量技术监督标准与信息所、海南省标准化协会</w:t>
      </w:r>
      <w:r>
        <w:rPr>
          <w:rFonts w:hint="eastAsia"/>
          <w:sz w:val="22"/>
          <w:szCs w:val="22"/>
        </w:rPr>
        <w:t>。</w:t>
      </w:r>
    </w:p>
    <w:p>
      <w:pPr>
        <w:pStyle w:val="230"/>
        <w:rPr>
          <w:rFonts w:hint="eastAsia" w:eastAsia="宋体"/>
          <w:lang w:eastAsia="zh-CN"/>
        </w:rPr>
      </w:pPr>
      <w:r>
        <w:rPr>
          <w:rFonts w:hint="eastAsia"/>
        </w:rPr>
        <w:t>本文件主要起草人：</w:t>
      </w:r>
    </w:p>
    <w:p>
      <w:pPr>
        <w:pStyle w:val="56"/>
        <w:ind w:firstLine="420"/>
      </w:pPr>
    </w:p>
    <w:p>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644249DBA0C84FA68F995DDD9E44D1EC"/>
        </w:placeholder>
      </w:sdtPr>
      <w:sdtContent>
        <w:p>
          <w:pPr>
            <w:pStyle w:val="177"/>
            <w:spacing w:before="3" w:beforeLines="1" w:after="686" w:afterLines="220"/>
          </w:pPr>
          <w:bookmarkStart w:id="25" w:name="NEW_STAND_NAME"/>
          <w:r>
            <w:rPr>
              <w:rFonts w:hint="eastAsia"/>
            </w:rPr>
            <w:t>市场监管领域</w:t>
          </w:r>
          <w:r>
            <w:t>"双随机、一公开"监管工作规范</w:t>
          </w:r>
        </w:p>
      </w:sdtContent>
    </w:sdt>
    <w:bookmarkEnd w:id="25"/>
    <w:p>
      <w:pPr>
        <w:pStyle w:val="104"/>
        <w:spacing w:before="312" w:after="312"/>
      </w:pPr>
      <w:bookmarkStart w:id="26" w:name="_Toc17233333"/>
      <w:bookmarkStart w:id="27" w:name="_Toc97191423"/>
      <w:bookmarkStart w:id="28" w:name="_Toc106358525"/>
      <w:bookmarkStart w:id="29" w:name="_Toc106377556"/>
      <w:bookmarkStart w:id="30" w:name="_Toc17233325"/>
      <w:bookmarkStart w:id="31" w:name="_Toc106358492"/>
      <w:bookmarkStart w:id="32" w:name="_Toc161306974"/>
      <w:bookmarkStart w:id="33" w:name="_Toc26986771"/>
      <w:bookmarkStart w:id="34" w:name="_Toc26718930"/>
      <w:bookmarkStart w:id="35" w:name="_Toc26648465"/>
      <w:bookmarkStart w:id="36" w:name="_Toc24884218"/>
      <w:bookmarkStart w:id="37" w:name="_Toc24884211"/>
      <w:bookmarkStart w:id="38" w:name="_Toc26986530"/>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p>
    <w:p>
      <w:pPr>
        <w:pStyle w:val="56"/>
        <w:ind w:firstLine="420"/>
        <w:rPr>
          <w:szCs w:val="21"/>
        </w:rPr>
      </w:pPr>
      <w:bookmarkStart w:id="39" w:name="_Toc17233334"/>
      <w:bookmarkStart w:id="40" w:name="_Toc26648466"/>
      <w:bookmarkStart w:id="41" w:name="_Toc17233326"/>
      <w:bookmarkStart w:id="42" w:name="_Toc24884219"/>
      <w:bookmarkStart w:id="43" w:name="_Toc24884212"/>
      <w:r>
        <w:rPr>
          <w:rFonts w:hint="eastAsia"/>
        </w:rPr>
        <w:t>本文件</w:t>
      </w:r>
      <w:r>
        <w:rPr>
          <w:rFonts w:hint="eastAsia"/>
          <w:szCs w:val="21"/>
        </w:rPr>
        <w:t>规定了</w:t>
      </w:r>
      <w:r>
        <w:rPr>
          <w:rFonts w:hint="eastAsia" w:hAnsi="宋体" w:cs="宋体"/>
          <w:szCs w:val="21"/>
        </w:rPr>
        <w:t>市场监管领域“双随机、一公开”监管工作的术语和定义、基本要求、工作方式、工作基础、监管实施、结果运用和协同联动</w:t>
      </w:r>
      <w:r>
        <w:rPr>
          <w:rFonts w:hint="eastAsia"/>
          <w:szCs w:val="21"/>
        </w:rPr>
        <w:t>等内容。</w:t>
      </w:r>
    </w:p>
    <w:p>
      <w:pPr>
        <w:pStyle w:val="56"/>
        <w:ind w:firstLine="420"/>
      </w:pPr>
      <w:r>
        <w:rPr>
          <w:rFonts w:hint="eastAsia"/>
          <w:szCs w:val="21"/>
        </w:rPr>
        <w:t>本文件适用于</w:t>
      </w:r>
      <w:r>
        <w:rPr>
          <w:rFonts w:hint="eastAsia" w:hAnsi="宋体" w:cs="宋体"/>
          <w:szCs w:val="21"/>
        </w:rPr>
        <w:t>海南省内市场监管领域所涉及的具有行政监督检查职责的各相关部门对检查对象开展“双随机、一公开” 工作</w:t>
      </w:r>
      <w:r>
        <w:rPr>
          <w:rFonts w:hint="eastAsia"/>
          <w:szCs w:val="21"/>
        </w:rPr>
        <w:t>。</w:t>
      </w:r>
    </w:p>
    <w:p>
      <w:pPr>
        <w:pStyle w:val="104"/>
        <w:spacing w:before="312" w:after="312"/>
      </w:pPr>
      <w:bookmarkStart w:id="44" w:name="_Toc106358526"/>
      <w:bookmarkStart w:id="45" w:name="_Toc26986772"/>
      <w:bookmarkStart w:id="46" w:name="_Toc161306975"/>
      <w:bookmarkStart w:id="47" w:name="_Toc106358493"/>
      <w:bookmarkStart w:id="48" w:name="_Toc26986531"/>
      <w:bookmarkStart w:id="49" w:name="_Toc97191424"/>
      <w:bookmarkStart w:id="50" w:name="_Toc106377557"/>
      <w:bookmarkStart w:id="51" w:name="_Toc26718931"/>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532B5988047F462690CBEAA960A444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52" w:name="_Toc97191425"/>
      <w:bookmarkStart w:id="53" w:name="_Toc106358527"/>
      <w:bookmarkStart w:id="54" w:name="_Toc161306976"/>
      <w:bookmarkStart w:id="55" w:name="_Toc106377558"/>
      <w:bookmarkStart w:id="56" w:name="_Toc106358494"/>
      <w:r>
        <w:rPr>
          <w:rFonts w:hint="eastAsia"/>
          <w:szCs w:val="21"/>
        </w:rPr>
        <w:t>术语和定义</w:t>
      </w:r>
      <w:bookmarkEnd w:id="52"/>
      <w:bookmarkEnd w:id="53"/>
      <w:bookmarkEnd w:id="54"/>
      <w:bookmarkEnd w:id="55"/>
      <w:bookmarkEnd w:id="56"/>
    </w:p>
    <w:sdt>
      <w:sdtPr>
        <w:id w:val="-1"/>
        <w:placeholder>
          <w:docPart w:val="E01B1FC4573F4FF8BDBA075D9DA17EF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7" w:name="_Toc26986532"/>
          <w:bookmarkEnd w:id="57"/>
          <w:r>
            <w:t>下列术语和定义适用于本文件。</w:t>
          </w:r>
        </w:p>
      </w:sdtContent>
    </w:sdt>
    <w:p>
      <w:pPr>
        <w:pStyle w:val="223"/>
        <w:ind w:left="420" w:hanging="420" w:hangingChars="200"/>
        <w:rPr>
          <w:rFonts w:hAnsi="黑体"/>
        </w:rPr>
      </w:pPr>
      <w:bookmarkStart w:id="58" w:name="_Toc106377559"/>
      <w:bookmarkStart w:id="59" w:name="_Toc106377644"/>
      <w:r>
        <w:rPr>
          <w:rFonts w:hAnsi="黑体"/>
        </w:rPr>
        <w:br w:type="textWrapping"/>
      </w:r>
      <w:r>
        <w:rPr>
          <w:rFonts w:ascii="黑体" w:hAnsi="黑体" w:eastAsia="黑体"/>
        </w:rPr>
        <w:t>市场监管领域</w:t>
      </w:r>
      <w:r>
        <w:rPr>
          <w:rFonts w:hint="eastAsia" w:ascii="黑体" w:hAnsi="黑体" w:eastAsia="黑体"/>
        </w:rPr>
        <w:t xml:space="preserve"> </w:t>
      </w:r>
      <w:r>
        <w:rPr>
          <w:rFonts w:ascii="黑体" w:hAnsi="黑体" w:eastAsia="黑体"/>
        </w:rPr>
        <w:t>field</w:t>
      </w:r>
      <w:r>
        <w:rPr>
          <w:rFonts w:ascii="Calibri" w:hAnsi="Calibri" w:eastAsia="黑体" w:cs="Calibri"/>
        </w:rPr>
        <w:t> </w:t>
      </w:r>
      <w:r>
        <w:rPr>
          <w:rFonts w:ascii="黑体" w:hAnsi="黑体" w:eastAsia="黑体"/>
        </w:rPr>
        <w:t>of</w:t>
      </w:r>
      <w:r>
        <w:rPr>
          <w:rFonts w:ascii="Calibri" w:hAnsi="Calibri" w:eastAsia="黑体" w:cs="Calibri"/>
        </w:rPr>
        <w:t> </w:t>
      </w:r>
      <w:r>
        <w:rPr>
          <w:rFonts w:ascii="黑体" w:hAnsi="黑体" w:eastAsia="黑体"/>
        </w:rPr>
        <w:t>market</w:t>
      </w:r>
      <w:r>
        <w:rPr>
          <w:rFonts w:ascii="Calibri" w:hAnsi="Calibri" w:eastAsia="黑体" w:cs="Calibri"/>
        </w:rPr>
        <w:t> </w:t>
      </w:r>
      <w:r>
        <w:rPr>
          <w:rFonts w:ascii="黑体" w:hAnsi="黑体" w:eastAsia="黑体"/>
        </w:rPr>
        <w:t>supervision</w:t>
      </w:r>
      <w:r>
        <w:rPr>
          <w:rFonts w:hAnsi="黑体"/>
        </w:rPr>
        <w:t xml:space="preserve"> </w:t>
      </w:r>
    </w:p>
    <w:p>
      <w:pPr>
        <w:pStyle w:val="56"/>
        <w:ind w:firstLine="420"/>
        <w:rPr>
          <w:rFonts w:hAnsi="宋体" w:cs="宋体"/>
          <w:szCs w:val="21"/>
        </w:rPr>
      </w:pPr>
      <w:r>
        <w:t>适用于承担市 场监管职能的部门对市场主体及其行为，行使限制、约束等直接干预行为等行政措力的范围总和</w:t>
      </w:r>
      <w:r>
        <w:rPr>
          <w:rFonts w:hint="eastAsia" w:hAnsi="宋体" w:cs="宋体"/>
          <w:szCs w:val="21"/>
        </w:rPr>
        <w:t>。</w:t>
      </w:r>
    </w:p>
    <w:p>
      <w:pPr>
        <w:pStyle w:val="223"/>
        <w:ind w:left="420" w:hanging="420" w:hangingChars="200"/>
        <w:rPr>
          <w:rFonts w:hAnsi="黑体"/>
        </w:rPr>
      </w:pPr>
      <w:r>
        <w:rPr>
          <w:rFonts w:hAnsi="黑体"/>
        </w:rPr>
        <w:br w:type="textWrapping"/>
      </w:r>
      <w:r>
        <w:rPr>
          <w:rFonts w:ascii="黑体" w:hAnsi="黑体" w:eastAsia="黑体"/>
        </w:rPr>
        <w:t>检查对象inspection</w:t>
      </w:r>
      <w:r>
        <w:rPr>
          <w:rFonts w:ascii="Calibri" w:hAnsi="Calibri" w:eastAsia="黑体" w:cs="Calibri"/>
        </w:rPr>
        <w:t> </w:t>
      </w:r>
      <w:r>
        <w:rPr>
          <w:rFonts w:ascii="黑体" w:hAnsi="黑体" w:eastAsia="黑体"/>
        </w:rPr>
        <w:t>object</w:t>
      </w:r>
      <w:r>
        <w:rPr>
          <w:rFonts w:hAnsi="黑体"/>
        </w:rPr>
        <w:t xml:space="preserve"> </w:t>
      </w:r>
    </w:p>
    <w:p>
      <w:pPr>
        <w:pStyle w:val="56"/>
        <w:ind w:firstLine="420"/>
        <w:rPr>
          <w:rFonts w:hAnsi="宋体" w:cs="宋体"/>
          <w:szCs w:val="21"/>
        </w:rPr>
      </w:pPr>
      <w:r>
        <w:t>企业、个体工商户、农民专业合作社，其他主体、事业单位、社会团体等以及产品、项目、行为等</w:t>
      </w:r>
      <w:r>
        <w:rPr>
          <w:rFonts w:hint="eastAsia" w:hAnsi="宋体" w:cs="宋体"/>
          <w:szCs w:val="21"/>
        </w:rPr>
        <w:t>。</w:t>
      </w:r>
    </w:p>
    <w:bookmarkEnd w:id="58"/>
    <w:bookmarkEnd w:id="59"/>
    <w:p>
      <w:pPr>
        <w:pStyle w:val="223"/>
        <w:ind w:left="420" w:hanging="420" w:hangingChars="200"/>
        <w:rPr>
          <w:rFonts w:hAnsi="黑体"/>
        </w:rPr>
      </w:pPr>
      <w:bookmarkStart w:id="60" w:name="_Toc106377561"/>
      <w:bookmarkStart w:id="61" w:name="_Toc106377646"/>
      <w:r>
        <w:rPr>
          <w:rFonts w:hAnsi="黑体"/>
        </w:rPr>
        <w:br w:type="textWrapping"/>
      </w:r>
      <w:r>
        <w:rPr>
          <w:rFonts w:ascii="黑体" w:hAnsi="黑体" w:eastAsia="黑体"/>
        </w:rPr>
        <w:t>双随机、一公开</w:t>
      </w:r>
      <w:r>
        <w:rPr>
          <w:rFonts w:hint="eastAsia" w:ascii="黑体" w:hAnsi="黑体" w:eastAsia="黑体"/>
        </w:rPr>
        <w:t xml:space="preserve"> </w:t>
      </w:r>
      <w:r>
        <w:rPr>
          <w:rFonts w:ascii="黑体" w:hAnsi="黑体" w:eastAsia="黑体"/>
        </w:rPr>
        <w:t>t</w:t>
      </w:r>
      <w:r>
        <w:rPr>
          <w:rFonts w:hint="eastAsia" w:ascii="黑体" w:hAnsi="黑体" w:eastAsia="黑体"/>
        </w:rPr>
        <w:t>w</w:t>
      </w:r>
      <w:r>
        <w:rPr>
          <w:rFonts w:ascii="黑体" w:hAnsi="黑体" w:eastAsia="黑体"/>
        </w:rPr>
        <w:t>o</w:t>
      </w:r>
      <w:r>
        <w:rPr>
          <w:rFonts w:ascii="Calibri" w:hAnsi="Calibri" w:eastAsia="黑体" w:cs="Calibri"/>
        </w:rPr>
        <w:t> </w:t>
      </w:r>
      <w:r>
        <w:rPr>
          <w:rFonts w:ascii="黑体" w:hAnsi="黑体" w:eastAsia="黑体"/>
        </w:rPr>
        <w:t>random</w:t>
      </w:r>
      <w:r>
        <w:rPr>
          <w:rFonts w:ascii="Calibri" w:hAnsi="Calibri" w:eastAsia="黑体" w:cs="Calibri"/>
        </w:rPr>
        <w:t xml:space="preserve">  </w:t>
      </w:r>
      <w:r>
        <w:rPr>
          <w:rFonts w:ascii="黑体" w:hAnsi="黑体" w:eastAsia="黑体"/>
        </w:rPr>
        <w:t>selections</w:t>
      </w:r>
      <w:r>
        <w:rPr>
          <w:rFonts w:ascii="Calibri" w:hAnsi="Calibri" w:eastAsia="黑体" w:cs="Calibri"/>
        </w:rPr>
        <w:t> </w:t>
      </w:r>
      <w:r>
        <w:rPr>
          <w:rFonts w:ascii="黑体" w:hAnsi="黑体" w:eastAsia="黑体"/>
        </w:rPr>
        <w:t>and</w:t>
      </w:r>
      <w:r>
        <w:rPr>
          <w:rFonts w:ascii="Calibri" w:hAnsi="Calibri" w:eastAsia="黑体" w:cs="Calibri"/>
        </w:rPr>
        <w:t> </w:t>
      </w:r>
      <w:r>
        <w:rPr>
          <w:rFonts w:ascii="黑体" w:hAnsi="黑体" w:eastAsia="黑体"/>
        </w:rPr>
        <w:t>one</w:t>
      </w:r>
      <w:r>
        <w:rPr>
          <w:rFonts w:ascii="Calibri" w:hAnsi="Calibri" w:eastAsia="黑体" w:cs="Calibri"/>
        </w:rPr>
        <w:t> </w:t>
      </w:r>
      <w:r>
        <w:rPr>
          <w:rFonts w:ascii="黑体" w:hAnsi="黑体" w:eastAsia="黑体"/>
        </w:rPr>
        <w:t>informational</w:t>
      </w:r>
      <w:r>
        <w:rPr>
          <w:rFonts w:ascii="Calibri" w:hAnsi="Calibri" w:eastAsia="黑体" w:cs="Calibri"/>
        </w:rPr>
        <w:t> </w:t>
      </w:r>
      <w:r>
        <w:rPr>
          <w:rFonts w:ascii="黑体" w:hAnsi="黑体" w:eastAsia="黑体"/>
        </w:rPr>
        <w:t>publicity</w:t>
      </w:r>
    </w:p>
    <w:bookmarkEnd w:id="60"/>
    <w:bookmarkEnd w:id="61"/>
    <w:p>
      <w:pPr>
        <w:pStyle w:val="56"/>
        <w:ind w:firstLine="420"/>
      </w:pPr>
      <w:r>
        <w:t>市场监管领域各部根据拍查事项清单制定抽查工作计划，随机抽取监管对象，随机抽取执法检查人员，对检查对象进行检查，并及时公开检查结果</w:t>
      </w:r>
      <w:r>
        <w:rPr>
          <w:rFonts w:hint="eastAsia"/>
        </w:rPr>
        <w:t>。</w:t>
      </w:r>
    </w:p>
    <w:p>
      <w:pPr>
        <w:pStyle w:val="223"/>
        <w:ind w:left="420" w:hanging="420" w:hangingChars="200"/>
        <w:rPr>
          <w:rFonts w:hAnsi="黑体"/>
        </w:rPr>
      </w:pPr>
      <w:bookmarkStart w:id="62" w:name="_Toc106377647"/>
      <w:bookmarkStart w:id="63" w:name="_Toc106377562"/>
      <w:r>
        <w:rPr>
          <w:rFonts w:hAnsi="黑体"/>
        </w:rPr>
        <w:br w:type="textWrapping"/>
      </w:r>
      <w:r>
        <w:rPr>
          <w:rFonts w:ascii="黑体" w:hAnsi="黑体" w:eastAsia="黑体"/>
        </w:rPr>
        <w:t>跨部门联合抽查the</w:t>
      </w:r>
      <w:r>
        <w:rPr>
          <w:rFonts w:ascii="Calibri" w:hAnsi="Calibri" w:eastAsia="黑体" w:cs="Calibri"/>
        </w:rPr>
        <w:t> </w:t>
      </w:r>
      <w:r>
        <w:rPr>
          <w:rFonts w:ascii="黑体" w:hAnsi="黑体" w:eastAsia="黑体"/>
        </w:rPr>
        <w:t>joint</w:t>
      </w:r>
      <w:r>
        <w:rPr>
          <w:rFonts w:ascii="Calibri" w:hAnsi="Calibri" w:eastAsia="黑体" w:cs="Calibri"/>
        </w:rPr>
        <w:t> </w:t>
      </w:r>
      <w:r>
        <w:rPr>
          <w:rFonts w:ascii="黑体" w:hAnsi="黑体" w:eastAsia="黑体"/>
        </w:rPr>
        <w:t>supervision</w:t>
      </w:r>
      <w:r>
        <w:rPr>
          <w:rFonts w:ascii="Calibri" w:hAnsi="Calibri" w:eastAsia="黑体" w:cs="Calibri"/>
        </w:rPr>
        <w:t> </w:t>
      </w:r>
      <w:r>
        <w:rPr>
          <w:rFonts w:ascii="黑体" w:hAnsi="黑体" w:eastAsia="黑体"/>
        </w:rPr>
        <w:t>and</w:t>
      </w:r>
      <w:r>
        <w:rPr>
          <w:rFonts w:ascii="Calibri" w:hAnsi="Calibri" w:eastAsia="黑体" w:cs="Calibri"/>
        </w:rPr>
        <w:t> </w:t>
      </w:r>
      <w:r>
        <w:rPr>
          <w:rFonts w:ascii="黑体" w:hAnsi="黑体" w:eastAsia="黑体"/>
        </w:rPr>
        <w:t>inspection</w:t>
      </w:r>
      <w:r>
        <w:rPr>
          <w:rFonts w:ascii="Calibri" w:hAnsi="Calibri" w:eastAsia="黑体" w:cs="Calibri"/>
        </w:rPr>
        <w:t> </w:t>
      </w:r>
      <w:r>
        <w:rPr>
          <w:rFonts w:ascii="黑体" w:hAnsi="黑体" w:eastAsia="黑体"/>
        </w:rPr>
        <w:t>of</w:t>
      </w:r>
      <w:r>
        <w:rPr>
          <w:rFonts w:ascii="Calibri" w:hAnsi="Calibri" w:eastAsia="黑体" w:cs="Calibri"/>
        </w:rPr>
        <w:t> </w:t>
      </w:r>
      <w:r>
        <w:rPr>
          <w:rFonts w:ascii="黑体" w:hAnsi="黑体" w:eastAsia="黑体"/>
        </w:rPr>
        <w:t>cross-</w:t>
      </w:r>
      <w:r>
        <w:rPr>
          <w:rFonts w:ascii="Calibri" w:hAnsi="Calibri" w:eastAsia="黑体" w:cs="Calibri"/>
        </w:rPr>
        <w:t>government </w:t>
      </w:r>
      <w:bookmarkEnd w:id="62"/>
      <w:bookmarkEnd w:id="63"/>
      <w:r>
        <w:rPr>
          <w:rFonts w:hint="eastAsia" w:ascii="Calibri" w:hAnsi="Calibri" w:eastAsia="黑体" w:cs="Calibri"/>
        </w:rPr>
        <w:t xml:space="preserve"> </w:t>
      </w:r>
      <w:r>
        <w:rPr>
          <w:rFonts w:ascii="Calibri" w:hAnsi="Calibri" w:eastAsia="黑体" w:cs="Calibri"/>
        </w:rPr>
        <w:t>agencies</w:t>
      </w:r>
    </w:p>
    <w:p>
      <w:pPr>
        <w:pStyle w:val="56"/>
        <w:ind w:firstLine="420"/>
      </w:pPr>
      <w:r>
        <w:t>由确定的部门牵头，其他相关部门参与，共印开展的“双随机、公开” 监管活动</w:t>
      </w:r>
      <w:r>
        <w:rPr>
          <w:rFonts w:hint="eastAsia"/>
        </w:rPr>
        <w:t>。</w:t>
      </w:r>
    </w:p>
    <w:p>
      <w:pPr>
        <w:pStyle w:val="223"/>
        <w:ind w:left="420" w:hanging="420" w:hangingChars="200"/>
        <w:rPr>
          <w:rFonts w:hAnsi="黑体"/>
        </w:rPr>
      </w:pPr>
      <w:bookmarkStart w:id="64" w:name="_Toc106377563"/>
      <w:bookmarkStart w:id="65" w:name="_Toc106377648"/>
      <w:r>
        <w:rPr>
          <w:rFonts w:hAnsi="黑体"/>
        </w:rPr>
        <w:br w:type="textWrapping"/>
      </w:r>
      <w:r>
        <w:rPr>
          <w:rFonts w:ascii="黑体" w:hAnsi="黑体" w:eastAsia="黑体"/>
        </w:rPr>
        <w:t>抽查比例ratio</w:t>
      </w:r>
      <w:r>
        <w:rPr>
          <w:rFonts w:ascii="Calibri" w:hAnsi="Calibri" w:eastAsia="黑体" w:cs="Calibri"/>
        </w:rPr>
        <w:t> </w:t>
      </w:r>
      <w:r>
        <w:rPr>
          <w:rFonts w:ascii="黑体" w:hAnsi="黑体" w:eastAsia="黑体"/>
        </w:rPr>
        <w:t>of</w:t>
      </w:r>
      <w:r>
        <w:rPr>
          <w:rFonts w:ascii="Calibri" w:hAnsi="Calibri" w:eastAsia="黑体" w:cs="Calibri"/>
        </w:rPr>
        <w:t> </w:t>
      </w:r>
      <w:r>
        <w:rPr>
          <w:rFonts w:ascii="黑体" w:hAnsi="黑体" w:eastAsia="黑体"/>
        </w:rPr>
        <w:t>supervision</w:t>
      </w:r>
      <w:r>
        <w:rPr>
          <w:rFonts w:ascii="Calibri" w:hAnsi="Calibri" w:eastAsia="黑体" w:cs="Calibri"/>
        </w:rPr>
        <w:t> </w:t>
      </w:r>
      <w:r>
        <w:rPr>
          <w:rFonts w:ascii="黑体" w:hAnsi="黑体" w:eastAsia="黑体"/>
        </w:rPr>
        <w:t>and</w:t>
      </w:r>
      <w:r>
        <w:rPr>
          <w:rFonts w:ascii="Calibri" w:hAnsi="Calibri" w:eastAsia="黑体" w:cs="Calibri"/>
        </w:rPr>
        <w:t> </w:t>
      </w:r>
      <w:r>
        <w:rPr>
          <w:rFonts w:ascii="黑体" w:hAnsi="黑体" w:eastAsia="黑体"/>
        </w:rPr>
        <w:t>inspection</w:t>
      </w:r>
      <w:bookmarkEnd w:id="64"/>
      <w:bookmarkEnd w:id="65"/>
    </w:p>
    <w:p>
      <w:pPr>
        <w:pStyle w:val="56"/>
        <w:ind w:firstLine="420"/>
      </w:pPr>
      <w:r>
        <w:t>根据市场监管领域监管工作需要，确定的应监管对象与同类市场监管对象之间的占比</w:t>
      </w:r>
      <w:r>
        <w:rPr>
          <w:rFonts w:hint="eastAsia"/>
        </w:rPr>
        <w:t>。</w:t>
      </w:r>
    </w:p>
    <w:p>
      <w:pPr>
        <w:pStyle w:val="104"/>
        <w:spacing w:before="312" w:after="312"/>
      </w:pPr>
      <w:bookmarkStart w:id="66" w:name="_Toc106377571"/>
      <w:bookmarkStart w:id="67" w:name="_Toc161306977"/>
      <w:r>
        <w:rPr>
          <w:rFonts w:hint="eastAsia"/>
        </w:rPr>
        <w:t>总则</w:t>
      </w:r>
      <w:bookmarkEnd w:id="66"/>
      <w:bookmarkEnd w:id="67"/>
    </w:p>
    <w:p>
      <w:pPr>
        <w:pStyle w:val="105"/>
        <w:spacing w:before="0" w:beforeLines="0" w:after="0" w:afterLines="0"/>
        <w:rPr>
          <w:rFonts w:ascii="宋体" w:hAnsi="宋体" w:eastAsia="宋体"/>
        </w:rPr>
      </w:pPr>
      <w:bookmarkStart w:id="68" w:name="_Toc161306978"/>
      <w:r>
        <w:rPr>
          <w:rFonts w:ascii="宋体" w:hAnsi="宋体" w:eastAsia="宋体"/>
        </w:rPr>
        <w:t>开展“双随机、一公开”监管工作应坚持依法监管、公正高效、公开透明、协同推进的原则。</w:t>
      </w:r>
      <w:bookmarkEnd w:id="68"/>
    </w:p>
    <w:p>
      <w:pPr>
        <w:pStyle w:val="105"/>
        <w:spacing w:before="0" w:beforeLines="0" w:after="0" w:afterLines="0"/>
        <w:rPr>
          <w:rFonts w:ascii="宋体" w:hAnsi="宋体" w:eastAsia="宋体"/>
        </w:rPr>
      </w:pPr>
      <w:bookmarkStart w:id="69" w:name="_Toc161306979"/>
      <w:r>
        <w:rPr>
          <w:rFonts w:ascii="宋体" w:hAnsi="宋体" w:eastAsia="宋体"/>
        </w:rPr>
        <w:t>除下列情形外，法律法规规章规定的市场监管领域监管事项均应通过“双随机、一公开”方式进行，不应随意对检查对象开展监督检查:</w:t>
      </w:r>
      <w:bookmarkEnd w:id="69"/>
    </w:p>
    <w:p>
      <w:pPr>
        <w:pStyle w:val="132"/>
        <w:rPr>
          <w:szCs w:val="21"/>
        </w:rPr>
      </w:pPr>
      <w:r>
        <w:t>法律法规规章 对监督方式有明确规定的</w:t>
      </w:r>
      <w:r>
        <w:rPr>
          <w:rFonts w:hint="eastAsia"/>
        </w:rPr>
        <w:t>；</w:t>
      </w:r>
    </w:p>
    <w:p>
      <w:pPr>
        <w:pStyle w:val="132"/>
        <w:rPr>
          <w:szCs w:val="21"/>
        </w:rPr>
      </w:pPr>
      <w:r>
        <w:t>国务院、 国务院各部委、省人民政府对监督检查有专门要求或重点工作部署的；</w:t>
      </w:r>
    </w:p>
    <w:p>
      <w:pPr>
        <w:pStyle w:val="132"/>
        <w:rPr>
          <w:szCs w:val="21"/>
        </w:rPr>
      </w:pPr>
      <w:r>
        <w:t>直接涉及公共安全和人民群众生命健康等特殊行业、重点领城，依法依规实行全覆盖的重点监管方式的；</w:t>
      </w:r>
    </w:p>
    <w:p>
      <w:pPr>
        <w:pStyle w:val="132"/>
        <w:rPr>
          <w:szCs w:val="21"/>
        </w:rPr>
      </w:pPr>
      <w:r>
        <w:t>食品、药品、特种设备、产品质量等涉及人身健康和生命安全的；</w:t>
      </w:r>
    </w:p>
    <w:p>
      <w:pPr>
        <w:pStyle w:val="132"/>
        <w:rPr>
          <w:szCs w:val="21"/>
        </w:rPr>
      </w:pPr>
      <w:r>
        <w:t>被投诉举报涉 嫌违法违规的；</w:t>
      </w:r>
    </w:p>
    <w:p>
      <w:pPr>
        <w:pStyle w:val="132"/>
        <w:rPr>
          <w:szCs w:val="21"/>
        </w:rPr>
      </w:pPr>
      <w:r>
        <w:t>突发性事件的；</w:t>
      </w:r>
    </w:p>
    <w:p>
      <w:pPr>
        <w:pStyle w:val="132"/>
        <w:rPr>
          <w:szCs w:val="21"/>
        </w:rPr>
      </w:pPr>
      <w:r>
        <w:t>上级交办、督办案件的；</w:t>
      </w:r>
    </w:p>
    <w:p>
      <w:pPr>
        <w:pStyle w:val="132"/>
        <w:rPr>
          <w:szCs w:val="21"/>
        </w:rPr>
      </w:pPr>
      <w:r>
        <w:t> 在履行职责过程中发现监管对象涉嫌违法违规行为的；</w:t>
      </w:r>
    </w:p>
    <w:p>
      <w:pPr>
        <w:pStyle w:val="132"/>
        <w:rPr>
          <w:szCs w:val="21"/>
        </w:rPr>
      </w:pPr>
      <w:r>
        <w:t>其他部门移交案件线索的。</w:t>
      </w:r>
    </w:p>
    <w:p>
      <w:pPr>
        <w:pStyle w:val="105"/>
        <w:spacing w:before="0" w:beforeLines="0" w:after="0" w:afterLines="0"/>
        <w:rPr>
          <w:rFonts w:ascii="宋体" w:hAnsi="宋体" w:eastAsia="宋体"/>
        </w:rPr>
      </w:pPr>
      <w:bookmarkStart w:id="70" w:name="_Toc161306980"/>
      <w:r>
        <w:rPr>
          <w:rFonts w:ascii="宋体" w:hAnsi="宋体" w:eastAsia="宋体"/>
        </w:rPr>
        <w:t>除涉及国家秘密、商业秘密或个人隐私，并经相应程序批准后不子公开的以外，检查情况应向社会公开</w:t>
      </w:r>
      <w:r>
        <w:rPr>
          <w:rFonts w:hint="eastAsia" w:ascii="宋体" w:hAnsi="宋体" w:eastAsia="宋体"/>
        </w:rPr>
        <w:t>。</w:t>
      </w:r>
      <w:bookmarkEnd w:id="70"/>
    </w:p>
    <w:p>
      <w:pPr>
        <w:pStyle w:val="105"/>
        <w:spacing w:before="0" w:beforeLines="0" w:after="0" w:afterLines="0"/>
        <w:rPr>
          <w:rFonts w:ascii="宋体" w:hAnsi="宋体" w:eastAsia="宋体"/>
        </w:rPr>
      </w:pPr>
      <w:bookmarkStart w:id="71" w:name="_Toc161306981"/>
      <w:r>
        <w:rPr>
          <w:rFonts w:ascii="宋体" w:hAnsi="宋体" w:eastAsia="宋体"/>
        </w:rPr>
        <w:t>应坚持行政执法、行政指导和宣传教育相结合，引导检查对象合法经营、诚实守信</w:t>
      </w:r>
      <w:r>
        <w:rPr>
          <w:rFonts w:hint="eastAsia" w:ascii="宋体" w:hAnsi="宋体" w:eastAsia="宋体"/>
        </w:rPr>
        <w:t>。</w:t>
      </w:r>
      <w:bookmarkEnd w:id="71"/>
    </w:p>
    <w:p>
      <w:pPr>
        <w:pStyle w:val="104"/>
        <w:spacing w:before="312" w:after="312"/>
      </w:pPr>
      <w:bookmarkStart w:id="72" w:name="_Toc161306982"/>
      <w:bookmarkStart w:id="73" w:name="_Toc106377576"/>
      <w:r>
        <w:rPr>
          <w:rFonts w:hint="eastAsia"/>
        </w:rPr>
        <w:t>组织方式</w:t>
      </w:r>
      <w:bookmarkEnd w:id="72"/>
      <w:bookmarkEnd w:id="73"/>
    </w:p>
    <w:p>
      <w:pPr>
        <w:pStyle w:val="105"/>
        <w:spacing w:before="0" w:beforeLines="0" w:after="0" w:afterLines="0"/>
        <w:rPr>
          <w:rFonts w:ascii="宋体" w:hAnsi="宋体" w:eastAsia="宋体"/>
        </w:rPr>
      </w:pPr>
      <w:bookmarkStart w:id="74" w:name="_Toc161306983"/>
      <w:r>
        <w:rPr>
          <w:rFonts w:ascii="宋体" w:hAnsi="宋体" w:eastAsia="宋体"/>
        </w:rPr>
        <w:t>市场监管领域“双随机、-公开” 监管组织方式分为:</w:t>
      </w:r>
      <w:bookmarkEnd w:id="74"/>
    </w:p>
    <w:p>
      <w:pPr>
        <w:pStyle w:val="132"/>
        <w:rPr>
          <w:szCs w:val="21"/>
        </w:rPr>
      </w:pPr>
      <w:r>
        <w:t>单一部门随机抽查: 抽查工作全过程由单一部门自行组织和实施</w:t>
      </w:r>
      <w:r>
        <w:rPr>
          <w:rFonts w:hint="eastAsia"/>
        </w:rPr>
        <w:t>；</w:t>
      </w:r>
    </w:p>
    <w:p>
      <w:pPr>
        <w:pStyle w:val="132"/>
        <w:rPr>
          <w:szCs w:val="21"/>
        </w:rPr>
      </w:pPr>
      <w:r>
        <w:t> 跨部门联合抽查：抽查工作全过程由两个或两个以上部门共同实施， 根据综合监管“一 件事”的工作要求，构建高效率的跨部门协同监管机制，实现综合查一次的目标， 跨部门联合抽查又可分</w:t>
      </w:r>
      <w:r>
        <w:rPr>
          <w:rFonts w:hint="eastAsia"/>
        </w:rPr>
        <w:t>：</w:t>
      </w:r>
    </w:p>
    <w:p>
      <w:pPr>
        <w:pStyle w:val="132"/>
        <w:numPr>
          <w:ilvl w:val="0"/>
          <w:numId w:val="0"/>
        </w:numPr>
        <w:ind w:left="851"/>
        <w:rPr>
          <w:szCs w:val="21"/>
        </w:rPr>
      </w:pPr>
      <w:r>
        <w:rPr>
          <w:rFonts w:hint="eastAsia"/>
        </w:rPr>
        <w:t>1）</w:t>
      </w:r>
      <w:r>
        <w:t>综合性跨部门联合抽查: 市场监管、生态环境保护、交通、文化旅游和城市管理等综合执法检查由政府确定的部门牵头，其他相关部门参与；</w:t>
      </w:r>
    </w:p>
    <w:p>
      <w:pPr>
        <w:pStyle w:val="132"/>
        <w:numPr>
          <w:ilvl w:val="0"/>
          <w:numId w:val="0"/>
        </w:numPr>
        <w:ind w:left="851"/>
        <w:rPr>
          <w:szCs w:val="21"/>
        </w:rPr>
      </w:pPr>
      <w:r>
        <w:t>2</w:t>
      </w:r>
      <w:r>
        <w:rPr>
          <w:rFonts w:hint="eastAsia"/>
        </w:rPr>
        <w:t>）</w:t>
      </w:r>
      <w:r>
        <w:t>行业性或专门领域跨部门联合抽查:由行业主管部门或政府确定的部门牵头，其他相关部门参与</w:t>
      </w:r>
      <w:r>
        <w:rPr>
          <w:rFonts w:hint="eastAsia"/>
        </w:rPr>
        <w:t>。</w:t>
      </w:r>
    </w:p>
    <w:p>
      <w:pPr>
        <w:pStyle w:val="105"/>
        <w:spacing w:before="0" w:beforeLines="0" w:after="0" w:afterLines="0"/>
        <w:rPr>
          <w:rFonts w:ascii="宋体" w:hAnsi="宋体" w:eastAsia="宋体"/>
        </w:rPr>
      </w:pPr>
      <w:bookmarkStart w:id="75" w:name="_Toc161306984"/>
      <w:r>
        <w:rPr>
          <w:rFonts w:ascii="宋体" w:hAnsi="宋体" w:eastAsia="宋体"/>
        </w:rPr>
        <w:t>据管辖权限，属于上级部门管辖的检查对象可委托下级部门实施: 上级委托下级部门实施， 下级部门应按属地管理原则落实监管责任</w:t>
      </w:r>
      <w:r>
        <w:rPr>
          <w:rFonts w:hint="eastAsia" w:ascii="宋体" w:hAnsi="宋体" w:eastAsia="宋体"/>
        </w:rPr>
        <w:t>。</w:t>
      </w:r>
      <w:bookmarkEnd w:id="75"/>
    </w:p>
    <w:p>
      <w:pPr>
        <w:pStyle w:val="105"/>
        <w:spacing w:before="0" w:beforeLines="0" w:after="0" w:afterLines="0"/>
        <w:rPr>
          <w:rFonts w:ascii="宋体" w:hAnsi="宋体" w:eastAsia="宋体"/>
        </w:rPr>
      </w:pPr>
      <w:bookmarkStart w:id="76" w:name="_Toc161306985"/>
      <w:r>
        <w:rPr>
          <w:rFonts w:ascii="宋体" w:hAnsi="宋体" w:eastAsia="宋体"/>
        </w:rPr>
        <w:t>对于跨区域成专业性乡强的抽查事项，可由上级部门牵头负责，上下级部门联动联合抽查</w:t>
      </w:r>
      <w:r>
        <w:rPr>
          <w:rFonts w:hint="eastAsia" w:ascii="宋体" w:hAnsi="宋体" w:eastAsia="宋体"/>
        </w:rPr>
        <w:t>。</w:t>
      </w:r>
      <w:bookmarkEnd w:id="76"/>
    </w:p>
    <w:p>
      <w:pPr>
        <w:pStyle w:val="104"/>
        <w:spacing w:before="312" w:after="312"/>
      </w:pPr>
      <w:bookmarkStart w:id="77" w:name="_Toc106377590"/>
      <w:bookmarkStart w:id="78" w:name="_Toc161306986"/>
      <w:r>
        <w:rPr>
          <w:rFonts w:hint="eastAsia"/>
        </w:rPr>
        <w:t>工作基础</w:t>
      </w:r>
      <w:bookmarkEnd w:id="77"/>
      <w:bookmarkEnd w:id="78"/>
    </w:p>
    <w:p>
      <w:pPr>
        <w:pStyle w:val="105"/>
        <w:spacing w:before="156" w:after="156"/>
        <w:rPr>
          <w:rFonts w:hAnsi="黑体" w:cs="黑体"/>
          <w:szCs w:val="21"/>
        </w:rPr>
      </w:pPr>
      <w:bookmarkStart w:id="79" w:name="_Toc106377667"/>
      <w:bookmarkStart w:id="80" w:name="_Toc161306987"/>
      <w:bookmarkStart w:id="81" w:name="_Toc106377591"/>
      <w:r>
        <w:t>制定随机抽查事项清单</w:t>
      </w:r>
      <w:bookmarkEnd w:id="79"/>
      <w:bookmarkEnd w:id="80"/>
      <w:bookmarkEnd w:id="81"/>
    </w:p>
    <w:p>
      <w:pPr>
        <w:pStyle w:val="165"/>
        <w:spacing w:before="156" w:beforeLines="50" w:after="156" w:afterLines="50"/>
        <w:ind w:left="-2" w:leftChars="-1"/>
        <w:rPr>
          <w:rFonts w:ascii="黑体" w:hAnsi="黑体" w:eastAsia="黑体"/>
          <w:szCs w:val="21"/>
        </w:rPr>
      </w:pPr>
      <w:r>
        <w:rPr>
          <w:rFonts w:ascii="黑体" w:hAnsi="黑体" w:eastAsia="黑体"/>
        </w:rPr>
        <w:t>单</w:t>
      </w:r>
      <w:r>
        <w:rPr>
          <w:rFonts w:hint="eastAsia" w:ascii="黑体" w:hAnsi="黑体" w:eastAsia="黑体"/>
        </w:rPr>
        <w:t>一</w:t>
      </w:r>
      <w:r>
        <w:rPr>
          <w:rFonts w:ascii="黑体" w:hAnsi="黑体" w:eastAsia="黑体"/>
        </w:rPr>
        <w:t>部门随机抽查事项清单</w:t>
      </w:r>
    </w:p>
    <w:p>
      <w:pPr>
        <w:pStyle w:val="164"/>
      </w:pPr>
      <w:r>
        <w:rPr>
          <w:rFonts w:hint="eastAsia"/>
        </w:rPr>
        <w:t>省级政府部门应依据法律法规和有关规章的规定，全面梳理本部门的监管事项，确定随机抽查事项清单,并通过国家企业信用信息公示系统或各部门官方监管平台向社会公示；各市、县(市、区)政府部门参照上一级随机抽查事项清单，制定本级随机抽査事项清单，并报送上一级政府部门备案。</w:t>
      </w:r>
    </w:p>
    <w:p>
      <w:pPr>
        <w:pStyle w:val="164"/>
      </w:pPr>
      <w:r>
        <w:rPr>
          <w:rFonts w:hint="eastAsia"/>
        </w:rPr>
        <w:t>随机抽査事项清单包括但不限于抽査项目、检査对象、事项类型、检查方式、检查主体、检查依据、责任部门等要素(参见附录A)。</w:t>
      </w:r>
    </w:p>
    <w:p>
      <w:pPr>
        <w:pStyle w:val="164"/>
      </w:pPr>
      <w:r>
        <w:rPr>
          <w:rFonts w:hint="eastAsia"/>
        </w:rPr>
        <w:t>各部门应当根据法律法规立改废释和工作实际情况对随机抽查事项清单进行动态调整，并及时向社会公开。</w:t>
      </w:r>
    </w:p>
    <w:p>
      <w:pPr>
        <w:pStyle w:val="164"/>
      </w:pPr>
      <w:r>
        <w:rPr>
          <w:rFonts w:hint="eastAsia"/>
        </w:rPr>
        <w:t>各部门应当严格按照本级随机抽查事项清单实施抽查检查。</w:t>
      </w:r>
    </w:p>
    <w:p>
      <w:pPr>
        <w:pStyle w:val="65"/>
        <w:spacing w:before="156" w:after="156"/>
        <w:rPr>
          <w:rFonts w:hint="eastAsia"/>
        </w:rPr>
      </w:pPr>
      <w:r>
        <w:rPr>
          <w:rFonts w:hint="eastAsia"/>
        </w:rPr>
        <w:t>部门联合随机抽查事项清单</w:t>
      </w:r>
    </w:p>
    <w:p>
      <w:pPr>
        <w:pStyle w:val="164"/>
        <w:rPr>
          <w:rFonts w:hint="eastAsia"/>
        </w:rPr>
      </w:pPr>
      <w:r>
        <w:rPr>
          <w:rFonts w:hint="eastAsia"/>
        </w:rPr>
        <w:t>各部门依据法律法规的规定，全面梳理本部门行政检查事项，制定省级政府部门联合抽查事项清单。</w:t>
      </w:r>
    </w:p>
    <w:p>
      <w:pPr>
        <w:pStyle w:val="164"/>
        <w:rPr>
          <w:rFonts w:hint="eastAsia"/>
        </w:rPr>
      </w:pPr>
      <w:r>
        <w:rPr>
          <w:rFonts w:hint="eastAsia"/>
        </w:rPr>
        <w:t>部门联合随机抽査事项清单包括但不限于抽査项目、检查对象、事项类型、检查方式、检查主体、检查依据等要素(参见附录B)。</w:t>
      </w:r>
    </w:p>
    <w:p>
      <w:pPr>
        <w:pStyle w:val="164"/>
        <w:rPr>
          <w:rFonts w:hint="eastAsia"/>
        </w:rPr>
      </w:pPr>
      <w:r>
        <w:rPr>
          <w:rFonts w:hint="eastAsia"/>
        </w:rPr>
        <w:t>部门联合随机抽查事项清单应实行动态调整，并在清单制</w:t>
      </w:r>
      <w:r>
        <w:rPr>
          <w:rFonts w:hint="eastAsia"/>
          <w:color w:val="auto"/>
        </w:rPr>
        <w:t>(修)订生效之日起的</w:t>
      </w:r>
      <w:r>
        <w:rPr>
          <w:color w:val="auto"/>
        </w:rPr>
        <w:t>10</w:t>
      </w:r>
      <w:r>
        <w:rPr>
          <w:rFonts w:hint="eastAsia"/>
          <w:color w:val="auto"/>
        </w:rPr>
        <w:t>个工作日</w:t>
      </w:r>
      <w:r>
        <w:rPr>
          <w:rFonts w:hint="eastAsia"/>
        </w:rPr>
        <w:t>内，由相关部门负责向社会公开。</w:t>
      </w:r>
    </w:p>
    <w:p>
      <w:pPr>
        <w:pStyle w:val="105"/>
        <w:spacing w:before="156" w:after="156"/>
      </w:pPr>
      <w:bookmarkStart w:id="82" w:name="_Toc106377668"/>
      <w:bookmarkStart w:id="83" w:name="_Toc161306988"/>
      <w:bookmarkStart w:id="84" w:name="_Toc106377592"/>
      <w:r>
        <w:rPr>
          <w:rFonts w:hint="eastAsia"/>
        </w:rPr>
        <w:t>建立检查对象名录库</w:t>
      </w:r>
      <w:bookmarkEnd w:id="82"/>
      <w:bookmarkEnd w:id="83"/>
      <w:bookmarkEnd w:id="84"/>
    </w:p>
    <w:p>
      <w:pPr>
        <w:pStyle w:val="165"/>
        <w:ind w:left="0"/>
        <w:rPr>
          <w:rFonts w:hint="eastAsia"/>
        </w:rPr>
      </w:pPr>
      <w:r>
        <w:rPr>
          <w:rFonts w:hint="eastAsia"/>
        </w:rPr>
        <w:t>各部门应按照法定职权和监管领域，分类设置检查对象名录库。</w:t>
      </w:r>
    </w:p>
    <w:p>
      <w:pPr>
        <w:pStyle w:val="165"/>
        <w:ind w:left="0"/>
        <w:rPr>
          <w:rFonts w:hint="eastAsia"/>
        </w:rPr>
      </w:pPr>
      <w:r>
        <w:rPr>
          <w:rFonts w:hint="eastAsia"/>
        </w:rPr>
        <w:t>检查对象名录库数据标准直接导入，包括但不限于以下内容：</w:t>
      </w:r>
    </w:p>
    <w:p>
      <w:pPr>
        <w:pStyle w:val="132"/>
        <w:rPr>
          <w:rFonts w:hint="eastAsia"/>
        </w:rPr>
      </w:pPr>
      <w:r>
        <w:rPr>
          <w:rFonts w:hint="eastAsia"/>
        </w:rPr>
        <w:t>市场主体：名称、统一社会信用代码、住所(经营场所)、法定代表人(负责人)、联系人及联系方式、所属行业、注册资本经营期限；</w:t>
      </w:r>
    </w:p>
    <w:p>
      <w:pPr>
        <w:pStyle w:val="132"/>
        <w:rPr>
          <w:rFonts w:hint="eastAsia"/>
        </w:rPr>
      </w:pPr>
      <w:r>
        <w:rPr>
          <w:rFonts w:hint="eastAsia"/>
        </w:rPr>
        <w:t>非市场主体:名称、统一社会信用代码、住所社(经营场所)、法定代表人(负责人)、联系人及联系方式；</w:t>
      </w:r>
    </w:p>
    <w:p>
      <w:pPr>
        <w:pStyle w:val="132"/>
        <w:rPr>
          <w:rFonts w:hint="eastAsia"/>
        </w:rPr>
      </w:pPr>
      <w:r>
        <w:rPr>
          <w:rFonts w:hint="eastAsia"/>
        </w:rPr>
        <w:t>产品、项目、行为：名称、所属单位信息、联系人及联系方式。</w:t>
      </w:r>
    </w:p>
    <w:p>
      <w:pPr>
        <w:pStyle w:val="165"/>
        <w:ind w:left="0"/>
        <w:rPr>
          <w:rFonts w:hint="eastAsia"/>
        </w:rPr>
      </w:pPr>
      <w:r>
        <w:rPr>
          <w:rFonts w:hint="eastAsia"/>
        </w:rPr>
        <w:t>各部门按照“谁使用、谁维护”的原则，定期对本部门检查对象名录库进行更新和动态维护。</w:t>
      </w:r>
    </w:p>
    <w:p>
      <w:pPr>
        <w:pStyle w:val="105"/>
        <w:spacing w:before="156" w:after="156"/>
      </w:pPr>
      <w:bookmarkStart w:id="85" w:name="_Toc161306989"/>
      <w:r>
        <w:rPr>
          <w:rFonts w:hint="eastAsia"/>
        </w:rPr>
        <w:t>建立执法检查人员名录库</w:t>
      </w:r>
      <w:bookmarkEnd w:id="85"/>
    </w:p>
    <w:p>
      <w:pPr>
        <w:pStyle w:val="105"/>
        <w:spacing w:before="156" w:after="156"/>
      </w:pPr>
      <w:bookmarkStart w:id="86" w:name="_Toc161306990"/>
      <w:r>
        <w:rPr>
          <w:rFonts w:hint="eastAsia"/>
        </w:rPr>
        <w:t>抽查比例</w:t>
      </w:r>
      <w:bookmarkEnd w:id="86"/>
    </w:p>
    <w:p>
      <w:pPr>
        <w:pStyle w:val="165"/>
        <w:numPr>
          <w:ilvl w:val="0"/>
          <w:numId w:val="0"/>
        </w:numPr>
        <w:ind w:firstLine="420" w:firstLineChars="200"/>
        <w:rPr>
          <w:szCs w:val="21"/>
        </w:rPr>
      </w:pPr>
      <w:r>
        <w:rPr>
          <w:rFonts w:hint="eastAsia"/>
          <w:szCs w:val="21"/>
        </w:rPr>
        <w:t>抽查比例可根据随机抽查事项进行设定：</w:t>
      </w:r>
    </w:p>
    <w:p>
      <w:pPr>
        <w:pStyle w:val="132"/>
        <w:rPr>
          <w:szCs w:val="21"/>
        </w:rPr>
      </w:pPr>
      <w:r>
        <w:t>抽查分为重点抽查事项和一般抽查事项</w:t>
      </w:r>
      <w:r>
        <w:rPr>
          <w:rFonts w:hint="eastAsia"/>
        </w:rPr>
        <w:t>；</w:t>
      </w:r>
    </w:p>
    <w:p>
      <w:pPr>
        <w:pStyle w:val="132"/>
        <w:rPr>
          <w:szCs w:val="21"/>
        </w:rPr>
      </w:pPr>
      <w:r>
        <w:t> 重点检查事项抽查比例不设上限，但应严格控制事项数量；</w:t>
      </w:r>
    </w:p>
    <w:p>
      <w:pPr>
        <w:pStyle w:val="132"/>
        <w:rPr>
          <w:szCs w:val="21"/>
        </w:rPr>
      </w:pPr>
      <w:r>
        <w:rPr>
          <w:rFonts w:hint="eastAsia"/>
        </w:rPr>
        <w:t>一</w:t>
      </w:r>
      <w:r>
        <w:t>般检查事项抽查比例应根据监管实际情况严格设置上限</w:t>
      </w:r>
      <w:r>
        <w:rPr>
          <w:rFonts w:hint="eastAsia"/>
        </w:rPr>
        <w:t>。</w:t>
      </w:r>
    </w:p>
    <w:p>
      <w:pPr>
        <w:pStyle w:val="105"/>
        <w:spacing w:before="156" w:after="156"/>
      </w:pPr>
      <w:bookmarkStart w:id="87" w:name="_Toc161306991"/>
      <w:r>
        <w:rPr>
          <w:rFonts w:hint="eastAsia"/>
        </w:rPr>
        <w:t>制定工作细则</w:t>
      </w:r>
      <w:bookmarkEnd w:id="87"/>
    </w:p>
    <w:p>
      <w:pPr>
        <w:pStyle w:val="165"/>
        <w:ind w:left="0"/>
        <w:rPr>
          <w:szCs w:val="21"/>
        </w:rPr>
      </w:pPr>
      <w:r>
        <w:t>应制定和完善本部门的随机抽查事项工作细则或指引，明确抽查主体、抽查程序、抽查方式</w:t>
      </w:r>
      <w:r>
        <w:rPr>
          <w:rFonts w:hint="eastAsia"/>
          <w:szCs w:val="21"/>
        </w:rPr>
        <w:t>、</w:t>
      </w:r>
      <w:r>
        <w:t>抽查内容、处理程序、抽查结果公开、后续监管处置等内容</w:t>
      </w:r>
      <w:r>
        <w:rPr>
          <w:rFonts w:hint="eastAsia"/>
          <w:szCs w:val="21"/>
        </w:rPr>
        <w:t>。</w:t>
      </w:r>
    </w:p>
    <w:p>
      <w:pPr>
        <w:pStyle w:val="165"/>
        <w:ind w:left="-2" w:leftChars="-1"/>
        <w:rPr>
          <w:szCs w:val="21"/>
        </w:rPr>
      </w:pPr>
      <w:r>
        <w:t>对跨部门的联合抽查事项，进一步明确抽查目标、抽查重点、抽查方式和联合抽查、综合监管的具体程序</w:t>
      </w:r>
      <w:r>
        <w:rPr>
          <w:rFonts w:hint="eastAsia"/>
          <w:szCs w:val="21"/>
        </w:rPr>
        <w:t>。</w:t>
      </w:r>
    </w:p>
    <w:p>
      <w:pPr>
        <w:pStyle w:val="165"/>
        <w:ind w:left="-2" w:leftChars="-1"/>
        <w:rPr>
          <w:szCs w:val="21"/>
        </w:rPr>
      </w:pPr>
      <w:r>
        <w:t>对跨区域或专业性较强的联合抽查事项可参照6.5.2实施</w:t>
      </w:r>
      <w:r>
        <w:rPr>
          <w:rFonts w:hint="eastAsia"/>
          <w:szCs w:val="21"/>
        </w:rPr>
        <w:t>。</w:t>
      </w:r>
    </w:p>
    <w:p>
      <w:pPr>
        <w:pStyle w:val="105"/>
        <w:spacing w:before="156" w:after="156"/>
      </w:pPr>
      <w:bookmarkStart w:id="88" w:name="_Toc161306992"/>
      <w:r>
        <w:rPr>
          <w:rFonts w:hint="eastAsia"/>
        </w:rPr>
        <w:t>监管平台</w:t>
      </w:r>
      <w:bookmarkEnd w:id="88"/>
    </w:p>
    <w:p>
      <w:pPr>
        <w:pStyle w:val="56"/>
        <w:ind w:firstLine="420"/>
      </w:pPr>
      <w:r>
        <w:t>各部门应使用或对接省级统一开发的</w:t>
      </w:r>
      <w:r>
        <w:rPr>
          <w:rFonts w:hint="eastAsia"/>
        </w:rPr>
        <w:t>海南</w:t>
      </w:r>
      <w:r>
        <w:t>省“互联网+监管”双随机一公开监管平台，推行市场监管领域“双随机、一公开”监管的全程信息化管理，做到全程留痕，实现部门间执法检查信息共享、违法线索互联、监管标准互通、处理结果互认。</w:t>
      </w:r>
    </w:p>
    <w:p>
      <w:pPr>
        <w:pStyle w:val="104"/>
        <w:spacing w:before="312" w:after="312"/>
      </w:pPr>
      <w:bookmarkStart w:id="89" w:name="_Toc161306993"/>
      <w:bookmarkStart w:id="90" w:name="_Toc106377593"/>
      <w:r>
        <w:rPr>
          <w:rFonts w:hint="eastAsia"/>
        </w:rPr>
        <w:t>监管实施</w:t>
      </w:r>
      <w:bookmarkEnd w:id="89"/>
      <w:bookmarkEnd w:id="90"/>
    </w:p>
    <w:p>
      <w:pPr>
        <w:pStyle w:val="105"/>
        <w:spacing w:before="156" w:after="156"/>
      </w:pPr>
      <w:bookmarkStart w:id="91" w:name="_Toc161306994"/>
      <w:r>
        <w:rPr>
          <w:rFonts w:hint="eastAsia"/>
        </w:rPr>
        <w:t>监管实施流程</w:t>
      </w:r>
      <w:bookmarkEnd w:id="91"/>
    </w:p>
    <w:p>
      <w:pPr>
        <w:pStyle w:val="56"/>
        <w:ind w:firstLine="420"/>
        <w:rPr>
          <w:rFonts w:hint="eastAsia"/>
        </w:rPr>
      </w:pPr>
      <w:r>
        <w:rPr>
          <w:rFonts w:hint="eastAsia"/>
        </w:rPr>
        <w:t>监管实施流程见</w:t>
      </w:r>
      <w:r>
        <w:rPr>
          <w:rFonts w:hint="eastAsia"/>
          <w:color w:val="000000" w:themeColor="text1"/>
          <w14:textFill>
            <w14:solidFill>
              <w14:schemeClr w14:val="tx1"/>
            </w14:solidFill>
          </w14:textFill>
        </w:rPr>
        <w:t>附录</w:t>
      </w:r>
      <w:r>
        <w:rPr>
          <w:rFonts w:hint="eastAsia"/>
          <w:color w:val="000000" w:themeColor="text1"/>
          <w:lang w:val="en-US" w:eastAsia="zh-CN"/>
          <w14:textFill>
            <w14:solidFill>
              <w14:schemeClr w14:val="tx1"/>
            </w14:solidFill>
          </w14:textFill>
        </w:rPr>
        <w:t>C</w:t>
      </w:r>
      <w:r>
        <w:rPr>
          <w:rFonts w:hint="eastAsia"/>
          <w:color w:val="000000" w:themeColor="text1"/>
          <w14:textFill>
            <w14:solidFill>
              <w14:schemeClr w14:val="tx1"/>
            </w14:solidFill>
          </w14:textFill>
        </w:rPr>
        <w:t>。</w:t>
      </w:r>
    </w:p>
    <w:p>
      <w:pPr>
        <w:pStyle w:val="105"/>
        <w:spacing w:before="156" w:after="156"/>
      </w:pPr>
      <w:bookmarkStart w:id="92" w:name="_Toc161306995"/>
      <w:r>
        <w:rPr>
          <w:rFonts w:hint="eastAsia"/>
        </w:rPr>
        <w:t>制定年度工作计划</w:t>
      </w:r>
      <w:bookmarkEnd w:id="92"/>
    </w:p>
    <w:p>
      <w:pPr>
        <w:pStyle w:val="165"/>
        <w:ind w:left="0"/>
      </w:pPr>
      <w:r>
        <w:rPr>
          <w:rFonts w:hint="eastAsia"/>
        </w:rPr>
        <w:t>省级部门每年3月底前完成制定本年度随机抽查工作计划，各市、县(市、区)抽查计划于每年4月底前完成。</w:t>
      </w:r>
    </w:p>
    <w:p>
      <w:pPr>
        <w:pStyle w:val="165"/>
        <w:ind w:left="0"/>
      </w:pPr>
      <w:r>
        <w:rPr>
          <w:rFonts w:hint="eastAsia"/>
        </w:rPr>
        <w:t>部门联合抽查由牵头部门会同配合部门协商制定联合抽查年度工作计划。</w:t>
      </w:r>
    </w:p>
    <w:p>
      <w:pPr>
        <w:pStyle w:val="165"/>
        <w:ind w:left="0"/>
      </w:pPr>
      <w:r>
        <w:rPr>
          <w:rFonts w:hint="eastAsia"/>
        </w:rPr>
        <w:t>年度随机抽查工作计划应包括但不限于以下内容：</w:t>
      </w:r>
    </w:p>
    <w:p>
      <w:pPr>
        <w:pStyle w:val="132"/>
      </w:pPr>
      <w:r>
        <w:rPr>
          <w:rFonts w:hint="eastAsia"/>
        </w:rPr>
        <w:t>制定计划任务部门；</w:t>
      </w:r>
    </w:p>
    <w:p>
      <w:pPr>
        <w:pStyle w:val="132"/>
        <w:rPr>
          <w:rFonts w:hint="eastAsia"/>
        </w:rPr>
      </w:pPr>
      <w:r>
        <w:rPr>
          <w:rFonts w:hint="eastAsia"/>
        </w:rPr>
        <w:t>抽查任务名称；</w:t>
      </w:r>
    </w:p>
    <w:p>
      <w:pPr>
        <w:pStyle w:val="132"/>
        <w:rPr>
          <w:rFonts w:hint="eastAsia"/>
        </w:rPr>
      </w:pPr>
      <w:r>
        <w:rPr>
          <w:rFonts w:hint="eastAsia"/>
        </w:rPr>
        <w:t>抽查类型；</w:t>
      </w:r>
    </w:p>
    <w:p>
      <w:pPr>
        <w:pStyle w:val="132"/>
        <w:rPr>
          <w:rFonts w:hint="eastAsia"/>
        </w:rPr>
      </w:pPr>
      <w:r>
        <w:rPr>
          <w:rFonts w:hint="eastAsia"/>
        </w:rPr>
        <w:t>抽查事项；</w:t>
      </w:r>
    </w:p>
    <w:p>
      <w:pPr>
        <w:pStyle w:val="132"/>
        <w:rPr>
          <w:rFonts w:hint="eastAsia"/>
        </w:rPr>
      </w:pPr>
      <w:r>
        <w:rPr>
          <w:rFonts w:hint="eastAsia"/>
        </w:rPr>
        <w:t>抽查对象范围；</w:t>
      </w:r>
    </w:p>
    <w:p>
      <w:pPr>
        <w:pStyle w:val="132"/>
        <w:rPr>
          <w:rFonts w:hint="eastAsia"/>
        </w:rPr>
      </w:pPr>
      <w:r>
        <w:rPr>
          <w:rFonts w:hint="eastAsia"/>
        </w:rPr>
        <w:t>检查主体；</w:t>
      </w:r>
    </w:p>
    <w:p>
      <w:pPr>
        <w:pStyle w:val="132"/>
        <w:rPr>
          <w:rFonts w:hint="eastAsia"/>
        </w:rPr>
      </w:pPr>
      <w:r>
        <w:rPr>
          <w:rFonts w:hint="eastAsia"/>
        </w:rPr>
        <w:t>抽查比例；</w:t>
      </w:r>
    </w:p>
    <w:p>
      <w:pPr>
        <w:pStyle w:val="132"/>
        <w:rPr>
          <w:rFonts w:hint="eastAsia"/>
        </w:rPr>
      </w:pPr>
      <w:r>
        <w:rPr>
          <w:rFonts w:hint="eastAsia"/>
        </w:rPr>
        <w:t>检查时间。</w:t>
      </w:r>
    </w:p>
    <w:p>
      <w:pPr>
        <w:pStyle w:val="165"/>
        <w:ind w:left="0"/>
        <w:rPr>
          <w:rFonts w:hint="eastAsia"/>
        </w:rPr>
      </w:pPr>
      <w:r>
        <w:rPr>
          <w:rFonts w:hint="eastAsia"/>
        </w:rPr>
        <w:t>年度随机抽查工作计划实行动态调整并及时向社会公示。</w:t>
      </w:r>
    </w:p>
    <w:p>
      <w:pPr>
        <w:pStyle w:val="105"/>
        <w:spacing w:before="156" w:after="156"/>
      </w:pPr>
      <w:bookmarkStart w:id="93" w:name="_Toc161306996"/>
      <w:r>
        <w:rPr>
          <w:rFonts w:hint="eastAsia"/>
        </w:rPr>
        <w:t>明确抽查任务</w:t>
      </w:r>
      <w:bookmarkEnd w:id="93"/>
    </w:p>
    <w:p>
      <w:pPr>
        <w:pStyle w:val="165"/>
        <w:ind w:left="0"/>
        <w:rPr>
          <w:rFonts w:hint="eastAsia"/>
        </w:rPr>
      </w:pPr>
      <w:r>
        <w:rPr>
          <w:rFonts w:hint="eastAsia"/>
        </w:rPr>
        <w:t>各部门根据本年度随机抽查工作计划细化“双随机、一公开”监管抽查任务，明确名称、执行时间、参与检查的具体部门等事宜。</w:t>
      </w:r>
    </w:p>
    <w:p>
      <w:pPr>
        <w:pStyle w:val="165"/>
        <w:ind w:left="0"/>
        <w:rPr>
          <w:rFonts w:hint="eastAsia"/>
        </w:rPr>
      </w:pPr>
      <w:r>
        <w:rPr>
          <w:rFonts w:hint="eastAsia"/>
        </w:rPr>
        <w:t>部门联合抽查的应由牵头部门按照工作计划明确抽查任务，制定抽查方案。</w:t>
      </w:r>
    </w:p>
    <w:p>
      <w:pPr>
        <w:pStyle w:val="105"/>
        <w:spacing w:before="156" w:after="156"/>
      </w:pPr>
      <w:bookmarkStart w:id="94" w:name="_Toc161306997"/>
      <w:r>
        <w:rPr>
          <w:rFonts w:hint="eastAsia"/>
        </w:rPr>
        <w:t>确定抽查比例和频次</w:t>
      </w:r>
      <w:bookmarkEnd w:id="94"/>
    </w:p>
    <w:p>
      <w:pPr>
        <w:pStyle w:val="165"/>
        <w:ind w:left="0"/>
      </w:pPr>
      <w:r>
        <w:rPr>
          <w:rFonts w:hint="eastAsia"/>
        </w:rPr>
        <w:t>各部门应按照法律法规规定和监管领域、执法队伍实际情况，针对不同检查对象采取差异化监管，合理确定、动态调整抽查比例和检查对象被抽查的频次。抽查比例可分为：</w:t>
      </w:r>
    </w:p>
    <w:p>
      <w:pPr>
        <w:pStyle w:val="132"/>
      </w:pPr>
      <w:r>
        <w:rPr>
          <w:rFonts w:hint="eastAsia"/>
        </w:rPr>
        <w:t>重点检查事项：针对涉及安全、质量、公共利益等领域，抽查比例不设上限；抽查比例高的，可以通过随机抽取的方式确定检查批次顺序；</w:t>
      </w:r>
    </w:p>
    <w:p>
      <w:pPr>
        <w:pStyle w:val="132"/>
      </w:pPr>
      <w:r>
        <w:rPr>
          <w:rFonts w:hint="eastAsia"/>
        </w:rPr>
        <w:t>一般检查事项：抽查比例应当根据监管实际情况设置上限。</w:t>
      </w:r>
    </w:p>
    <w:p>
      <w:pPr>
        <w:pStyle w:val="165"/>
        <w:ind w:left="0"/>
        <w:rPr>
          <w:rFonts w:hint="eastAsia"/>
        </w:rPr>
      </w:pPr>
      <w:r>
        <w:rPr>
          <w:rFonts w:hint="eastAsia"/>
        </w:rPr>
        <w:t>每年随机抽查检查对象总体比例原则上不低于 3%。对于执法行政区面积较大、体量较多的行业，具体部门可根据实际情况自行调整抽查比例。</w:t>
      </w:r>
    </w:p>
    <w:p>
      <w:pPr>
        <w:pStyle w:val="165"/>
        <w:ind w:left="0"/>
      </w:pPr>
      <w:r>
        <w:rPr>
          <w:rFonts w:hint="eastAsia"/>
        </w:rPr>
        <w:t>针对不同风险等级、信用水平的检査对象采取差异化分类监管措施，合理确定抽查比例、频次和被抽查概率，保证必要的抽查覆盖面和监管效果，防止检查过多和执法扰民。对日常监管中发现存在问题较多、投诉举报多、被列入经营异常名录、有严重违法违纪行为或列入严重违法失信名单，以及涉及人民群众生命财产安全的重点区域、重点领域、重点行业的监管对象，应适当提高抽查比例。</w:t>
      </w:r>
    </w:p>
    <w:p>
      <w:pPr>
        <w:pStyle w:val="165"/>
        <w:ind w:left="0"/>
        <w:rPr>
          <w:rFonts w:hint="eastAsia"/>
        </w:rPr>
      </w:pPr>
      <w:r>
        <w:rPr>
          <w:rFonts w:hint="eastAsia"/>
        </w:rPr>
        <w:t>部门联合抽查，原则上应按照联合抽査事项清单内容一次性完成对同一检查对象的多个检查项目。特殊情形下可根据实际工作需要分别完成检查。</w:t>
      </w:r>
    </w:p>
    <w:p>
      <w:pPr>
        <w:pStyle w:val="165"/>
        <w:ind w:left="0"/>
      </w:pPr>
      <w:bookmarkStart w:id="95" w:name="_Toc161306998"/>
      <w:bookmarkStart w:id="96" w:name="_Toc106377596"/>
      <w:r>
        <w:rPr>
          <w:rFonts w:hint="eastAsia"/>
        </w:rPr>
        <w:t>确定检查方式</w:t>
      </w:r>
      <w:bookmarkEnd w:id="95"/>
    </w:p>
    <w:p>
      <w:pPr>
        <w:pStyle w:val="105"/>
        <w:spacing w:before="156" w:after="156"/>
      </w:pPr>
      <w:bookmarkStart w:id="97" w:name="_Toc161306999"/>
      <w:r>
        <w:rPr>
          <w:rFonts w:hint="eastAsia"/>
        </w:rPr>
        <w:t>随机抽取检查对象</w:t>
      </w:r>
      <w:bookmarkEnd w:id="97"/>
    </w:p>
    <w:p>
      <w:pPr>
        <w:pStyle w:val="165"/>
        <w:ind w:left="0"/>
        <w:rPr>
          <w:rFonts w:hint="eastAsia"/>
        </w:rPr>
      </w:pPr>
      <w:r>
        <w:rPr>
          <w:rFonts w:hint="eastAsia"/>
        </w:rPr>
        <w:t>各部门应按照抽查计划和实施方案，通过抽查监管工作平台，从检查对象名录库中随机抽取检查对象。</w:t>
      </w:r>
    </w:p>
    <w:p>
      <w:pPr>
        <w:pStyle w:val="165"/>
        <w:ind w:left="0"/>
        <w:rPr>
          <w:rFonts w:hint="eastAsia"/>
        </w:rPr>
      </w:pPr>
      <w:r>
        <w:rPr>
          <w:rFonts w:hint="eastAsia"/>
        </w:rPr>
        <w:t>部门联合抽查应由牵头部门负责随机抽取检查对象。</w:t>
      </w:r>
    </w:p>
    <w:p>
      <w:pPr>
        <w:pStyle w:val="165"/>
        <w:ind w:left="0"/>
        <w:rPr>
          <w:rFonts w:hint="eastAsia"/>
        </w:rPr>
      </w:pPr>
      <w:r>
        <w:rPr>
          <w:rFonts w:hint="eastAsia"/>
        </w:rPr>
        <w:t>检查对象一经抽取，不应随意更改。</w:t>
      </w:r>
    </w:p>
    <w:p>
      <w:pPr>
        <w:pStyle w:val="105"/>
        <w:spacing w:before="156" w:after="156"/>
      </w:pPr>
      <w:bookmarkStart w:id="98" w:name="_Toc161307000"/>
      <w:r>
        <w:rPr>
          <w:rFonts w:hint="eastAsia"/>
        </w:rPr>
        <w:t>随机抽取执法检查人员</w:t>
      </w:r>
      <w:bookmarkEnd w:id="98"/>
    </w:p>
    <w:p>
      <w:pPr>
        <w:pStyle w:val="165"/>
        <w:spacing w:before="156" w:beforeLines="50" w:after="156" w:afterLines="50"/>
        <w:ind w:left="0"/>
        <w:rPr>
          <w:rFonts w:ascii="黑体" w:hAnsi="黑体" w:eastAsia="黑体"/>
        </w:rPr>
      </w:pPr>
      <w:r>
        <w:rPr>
          <w:rFonts w:hint="eastAsia" w:ascii="黑体" w:hAnsi="黑体" w:eastAsia="黑体"/>
        </w:rPr>
        <w:t>单一部门随机抽取</w:t>
      </w:r>
    </w:p>
    <w:p>
      <w:pPr>
        <w:pStyle w:val="165"/>
        <w:ind w:left="0"/>
      </w:pPr>
      <w:r>
        <w:rPr>
          <w:rFonts w:hint="eastAsia"/>
        </w:rPr>
        <w:t>执法检查人员应通过“双随机、一公开”监管工作平台，从执法检查人员名录库中随机抽取。抽取过程应“公开、公正”</w:t>
      </w:r>
    </w:p>
    <w:p>
      <w:pPr>
        <w:pStyle w:val="165"/>
        <w:ind w:left="0"/>
        <w:rPr>
          <w:rFonts w:hint="eastAsia"/>
        </w:rPr>
      </w:pPr>
      <w:r>
        <w:rPr>
          <w:rFonts w:hint="eastAsia"/>
        </w:rPr>
        <w:t>执法检查人员组成检查组，每个检查组应不少于2名执法人，并与检查对象随机匹配。</w:t>
      </w:r>
    </w:p>
    <w:p>
      <w:pPr>
        <w:pStyle w:val="165"/>
        <w:ind w:left="0"/>
      </w:pPr>
      <w:r>
        <w:rPr>
          <w:rFonts w:hint="eastAsia"/>
        </w:rPr>
        <w:t>执法检查人不应随意更改。</w:t>
      </w:r>
    </w:p>
    <w:p>
      <w:pPr>
        <w:pStyle w:val="165"/>
        <w:spacing w:before="156" w:beforeLines="50" w:after="156" w:afterLines="50"/>
        <w:ind w:left="0"/>
        <w:rPr>
          <w:rFonts w:ascii="黑体" w:hAnsi="黑体" w:eastAsia="黑体"/>
        </w:rPr>
      </w:pPr>
      <w:r>
        <w:rPr>
          <w:rFonts w:ascii="黑体" w:hAnsi="黑体" w:eastAsia="黑体"/>
        </w:rPr>
        <w:t>跨部门随机抽取</w:t>
      </w:r>
    </w:p>
    <w:p>
      <w:pPr>
        <w:pStyle w:val="165"/>
        <w:ind w:left="0"/>
      </w:pPr>
      <w:r>
        <w:rPr>
          <w:rFonts w:hint="eastAsia"/>
        </w:rPr>
        <w:t>部门联合抽查的牵头部门根据工作计划划和抽查任务，确定执法人员抽取人数。</w:t>
      </w:r>
    </w:p>
    <w:p>
      <w:pPr>
        <w:pStyle w:val="165"/>
        <w:ind w:left="0"/>
      </w:pPr>
      <w:r>
        <w:rPr>
          <w:rFonts w:hint="eastAsia"/>
        </w:rPr>
        <w:t>应分类设置执法检查椒作量等因素，</w:t>
      </w:r>
    </w:p>
    <w:p>
      <w:pPr>
        <w:pStyle w:val="165"/>
        <w:ind w:left="0"/>
        <w:rPr>
          <w:rFonts w:hint="eastAsia"/>
        </w:rPr>
      </w:pPr>
      <w:r>
        <w:rPr>
          <w:rFonts w:hint="eastAsia"/>
        </w:rPr>
        <w:t>根据抽查项目专业要求、检查工作量等因素，应分类设置执法检查人员名录库，结合检查需要从名录库中抽取与检查对象相匹配的执法检查人员。</w:t>
      </w:r>
    </w:p>
    <w:p>
      <w:pPr>
        <w:pStyle w:val="165"/>
        <w:ind w:left="0"/>
        <w:rPr>
          <w:rFonts w:hint="eastAsia"/>
        </w:rPr>
      </w:pPr>
      <w:r>
        <w:rPr>
          <w:rFonts w:hint="eastAsia"/>
        </w:rPr>
        <w:t>根据检查需要可将执法检查人员分成若干检查小组，每个单位执法检查人员应不少于2人。</w:t>
      </w:r>
    </w:p>
    <w:p>
      <w:pPr>
        <w:pStyle w:val="105"/>
        <w:spacing w:before="156" w:after="156"/>
      </w:pPr>
      <w:bookmarkStart w:id="99" w:name="_Toc161307001"/>
      <w:r>
        <w:rPr>
          <w:rFonts w:hint="eastAsia"/>
        </w:rPr>
        <w:t>实地检查</w:t>
      </w:r>
      <w:bookmarkEnd w:id="99"/>
    </w:p>
    <w:p>
      <w:pPr>
        <w:pStyle w:val="165"/>
        <w:spacing w:before="156" w:beforeLines="50" w:after="156" w:afterLines="50"/>
        <w:ind w:left="0"/>
        <w:rPr>
          <w:rFonts w:ascii="黑体" w:hAnsi="黑体" w:eastAsia="黑体"/>
        </w:rPr>
      </w:pPr>
      <w:r>
        <w:rPr>
          <w:rFonts w:hint="eastAsia" w:ascii="黑体" w:hAnsi="黑体" w:eastAsia="黑体"/>
        </w:rPr>
        <w:t>准备工作</w:t>
      </w:r>
    </w:p>
    <w:p>
      <w:pPr>
        <w:pStyle w:val="56"/>
        <w:ind w:firstLine="420"/>
        <w:rPr>
          <w:rFonts w:hint="eastAsia"/>
        </w:rPr>
      </w:pPr>
      <w:r>
        <w:rPr>
          <w:rFonts w:hint="eastAsia"/>
        </w:rPr>
        <w:t>检查组及检查人员应明确检查项目、重点内容、检查方式、检查对象应提供的材料等；根据检查需要,制作相关配套表式及检査文书;对采取现场检查的,可事前对检查对象下发检查通知，也可直接上门检查；对无法明确的问题，可寻求上级部门的指导。</w:t>
      </w:r>
    </w:p>
    <w:p>
      <w:pPr>
        <w:pStyle w:val="165"/>
        <w:spacing w:before="156" w:beforeLines="50" w:after="156" w:afterLines="50"/>
        <w:ind w:left="0"/>
        <w:rPr>
          <w:rFonts w:ascii="黑体" w:hAnsi="黑体" w:eastAsia="黑体"/>
        </w:rPr>
      </w:pPr>
      <w:r>
        <w:rPr>
          <w:rFonts w:hint="eastAsia" w:ascii="黑体" w:hAnsi="黑体" w:eastAsia="黑体"/>
        </w:rPr>
        <w:t>实施检查</w:t>
      </w:r>
    </w:p>
    <w:p>
      <w:pPr>
        <w:pStyle w:val="164"/>
        <w:rPr>
          <w:rFonts w:hint="eastAsia"/>
        </w:rPr>
      </w:pPr>
      <w:r>
        <w:rPr>
          <w:rFonts w:hint="eastAsia"/>
        </w:rPr>
        <w:t>检查活动或事项需告知被检查对象的,检查小组应在现场检查前以书面或电话、传真等形式，告知被检查对象检查时间及需配合的注意事项,提示准备好相关核查材料。检查活动或检查事项不宜提前告知的,不应向被检查对象透露情况。执法检查人员应核验被检查对象负责人或受委托人等在场人员身份的证明材料。</w:t>
      </w:r>
    </w:p>
    <w:p>
      <w:pPr>
        <w:pStyle w:val="164"/>
        <w:rPr>
          <w:rFonts w:hint="eastAsia"/>
        </w:rPr>
      </w:pPr>
      <w:r>
        <w:rPr>
          <w:rFonts w:hint="eastAsia"/>
        </w:rPr>
        <w:t>执法检查人员应按照明确的检查项目及要求，通过查阅材料、现场检查、询问当事人和知情人等方式进行核查。</w:t>
      </w:r>
    </w:p>
    <w:p>
      <w:pPr>
        <w:pStyle w:val="164"/>
      </w:pPr>
      <w:r>
        <w:rPr>
          <w:rFonts w:hint="eastAsia"/>
        </w:rPr>
        <w:t>实施部门联合抽查的执法检查人员依据本部门的职能依法实施检查。</w:t>
      </w:r>
    </w:p>
    <w:p>
      <w:pPr>
        <w:pStyle w:val="164"/>
        <w:rPr>
          <w:rFonts w:hint="eastAsia"/>
        </w:rPr>
      </w:pPr>
      <w:r>
        <w:rPr>
          <w:rFonts w:hint="eastAsia"/>
        </w:rPr>
        <w:t>执法检查人员在抽查过程中应依法做好调查取证和证据固定工作；无法提取材料原件的，应提取与原件核对无误的复印件。</w:t>
      </w:r>
    </w:p>
    <w:p>
      <w:pPr>
        <w:pStyle w:val="164"/>
      </w:pPr>
      <w:r>
        <w:rPr>
          <w:rFonts w:hint="eastAsia"/>
        </w:rPr>
        <w:t>采取现场检查方式开展检查的，执法检查人员应根据现场检查情况，如实填写《“双随机、一公开”抽查现场检查记录表》，各部门可根据自身职责及需求制定本部门现场检查记录表。检查事项全部完成后，被检查对象应在表内签字或盖章。被检查对象拒绝签字或盖章的，或无法到达现场、无法加盖印章的，应由执法检查人员进行现场记录说明。</w:t>
      </w:r>
    </w:p>
    <w:p>
      <w:pPr>
        <w:pStyle w:val="164"/>
        <w:rPr>
          <w:rFonts w:hint="eastAsia"/>
        </w:rPr>
      </w:pPr>
      <w:r>
        <w:rPr>
          <w:rFonts w:hint="eastAsia"/>
        </w:rPr>
        <w:t>检查过程中，当检查材料确需封存带回核查的，检查组应逐项清点材料，并与检查对象办理交接手续。</w:t>
      </w:r>
    </w:p>
    <w:p>
      <w:pPr>
        <w:pStyle w:val="164"/>
        <w:rPr>
          <w:rFonts w:hint="eastAsia"/>
        </w:rPr>
      </w:pPr>
      <w:r>
        <w:rPr>
          <w:rFonts w:hint="eastAsia"/>
        </w:rPr>
        <w:t>实施检查过程中执法检查人员应对执法检查全过程进行音像记录，或通过拍照等方式记录重要的执法过程。记录资料应拍照上传至监管平台，或按照本单位档案管理要求及时保存归档。</w:t>
      </w:r>
    </w:p>
    <w:p>
      <w:pPr>
        <w:pStyle w:val="105"/>
        <w:spacing w:before="156" w:after="156"/>
      </w:pPr>
      <w:bookmarkStart w:id="100" w:name="_Toc161307002"/>
      <w:r>
        <w:rPr>
          <w:rFonts w:hint="eastAsia"/>
        </w:rPr>
        <w:t>公示检查结果与监督</w:t>
      </w:r>
      <w:bookmarkEnd w:id="100"/>
    </w:p>
    <w:p>
      <w:pPr>
        <w:pStyle w:val="165"/>
        <w:spacing w:before="156" w:beforeLines="50" w:after="156" w:afterLines="50"/>
        <w:ind w:left="0"/>
        <w:rPr>
          <w:rFonts w:ascii="黑体" w:hAnsi="黑体" w:eastAsia="黑体"/>
        </w:rPr>
      </w:pPr>
      <w:r>
        <w:rPr>
          <w:rFonts w:hint="eastAsia" w:ascii="黑体" w:hAnsi="黑体" w:eastAsia="黑体"/>
        </w:rPr>
        <w:t>形成检查结果</w:t>
      </w:r>
    </w:p>
    <w:p>
      <w:pPr>
        <w:pStyle w:val="164"/>
        <w:rPr>
          <w:rFonts w:hint="eastAsia"/>
        </w:rPr>
      </w:pPr>
      <w:r>
        <w:rPr>
          <w:rFonts w:hint="eastAsia"/>
        </w:rPr>
        <w:t>检查组应根据所采用的检查方式，综合分析被检查对象的现场检查、书面检查、网络监测等名方面情况，及时形成检查结果。</w:t>
      </w:r>
    </w:p>
    <w:p>
      <w:pPr>
        <w:pStyle w:val="164"/>
      </w:pPr>
      <w:r>
        <w:rPr>
          <w:rFonts w:hint="eastAsia"/>
        </w:rPr>
        <w:t>检查结果应按规定及时告知被检查对象。</w:t>
      </w:r>
    </w:p>
    <w:p>
      <w:pPr>
        <w:pStyle w:val="165"/>
        <w:spacing w:before="156" w:beforeLines="50" w:after="156" w:afterLines="50"/>
        <w:ind w:left="0"/>
        <w:rPr>
          <w:rFonts w:ascii="黑体" w:hAnsi="黑体" w:eastAsia="黑体"/>
        </w:rPr>
      </w:pPr>
      <w:r>
        <w:rPr>
          <w:rFonts w:hint="eastAsia" w:ascii="黑体" w:hAnsi="黑体" w:eastAsia="黑体"/>
        </w:rPr>
        <w:t>公示检查结果与监督</w:t>
      </w:r>
    </w:p>
    <w:p>
      <w:pPr>
        <w:pStyle w:val="164"/>
        <w:rPr>
          <w:rFonts w:hint="eastAsia"/>
        </w:rPr>
      </w:pPr>
      <w:r>
        <w:rPr>
          <w:rFonts w:hint="eastAsia"/>
        </w:rPr>
        <w:t>检查部门原则上应在每次抽查检查任务完成之日起20个工作日内，按照“谁检查、谁录入、谁公开”的原则，履行审批程序后，将抽查检查结果通过国家企业信用信息公示系统、部门网站进行公示。对特殊检查事项需委托第三方机构评定或需出具检验检测结果报告的，可根据实际情况在取得结果后依照前文条款要求进行公示。依法依规不适合公开的情形除外。检查结果一经公开不应擅自更改。</w:t>
      </w:r>
    </w:p>
    <w:p>
      <w:pPr>
        <w:pStyle w:val="164"/>
        <w:rPr>
          <w:rFonts w:hint="eastAsia"/>
        </w:rPr>
      </w:pPr>
      <w:r>
        <w:rPr>
          <w:rFonts w:hint="eastAsia"/>
        </w:rPr>
        <w:t>已实施检查但未进行公示的，视为未完成抽查检查任务。</w:t>
      </w:r>
    </w:p>
    <w:p>
      <w:pPr>
        <w:pStyle w:val="164"/>
      </w:pPr>
      <w:r>
        <w:rPr>
          <w:rFonts w:hint="eastAsia"/>
        </w:rPr>
        <w:t>抽查检查结果信息包括未发现问题、未按规定公示应当公示的信息、公示信息隐瞒真实情况弄虚作假、通过登记的住所(经营场所)无法联系、发现问题已责令改正、不配合检查情节严重、未发现开展本次抽查涉及的经营活动、发现问题待后续处理。</w:t>
      </w:r>
    </w:p>
    <w:p>
      <w:pPr>
        <w:pStyle w:val="105"/>
        <w:spacing w:before="156" w:after="156"/>
      </w:pPr>
      <w:bookmarkStart w:id="101" w:name="_Toc161307003"/>
      <w:r>
        <w:rPr>
          <w:rFonts w:hint="eastAsia"/>
        </w:rPr>
        <w:t>后续处理</w:t>
      </w:r>
      <w:bookmarkEnd w:id="101"/>
    </w:p>
    <w:p>
      <w:pPr>
        <w:pStyle w:val="56"/>
        <w:ind w:firstLine="420"/>
      </w:pPr>
      <w:r>
        <w:rPr>
          <w:rFonts w:hint="eastAsia"/>
        </w:rPr>
        <w:t>对抽查检查中发现的各类问题，按照“谁管辖、谁负责”的原则，进行后续监管的衔接。</w:t>
      </w:r>
    </w:p>
    <w:p>
      <w:pPr>
        <w:pStyle w:val="105"/>
        <w:spacing w:before="156" w:after="156"/>
        <w:rPr>
          <w:rFonts w:hint="eastAsia"/>
        </w:rPr>
      </w:pPr>
      <w:r>
        <w:rPr>
          <w:rFonts w:hint="eastAsia"/>
        </w:rPr>
        <w:t>立卷归档</w:t>
      </w:r>
    </w:p>
    <w:p>
      <w:pPr>
        <w:pStyle w:val="56"/>
        <w:ind w:firstLine="420"/>
        <w:rPr>
          <w:rFonts w:hint="eastAsia"/>
        </w:rPr>
      </w:pPr>
      <w:r>
        <w:rPr>
          <w:rFonts w:hint="eastAsia"/>
        </w:rPr>
        <w:t>检查人员应及时整理“双随机、一公开”监管文书、资料，立档归卷，依照法律法规妥善保管。 档案应包括但不限于检査情况记录表、检查台账、证据材料等。档案保存期限不少于2年。</w:t>
      </w:r>
    </w:p>
    <w:bookmarkEnd w:id="96"/>
    <w:p>
      <w:pPr>
        <w:pStyle w:val="104"/>
        <w:spacing w:before="312" w:after="312"/>
      </w:pPr>
      <w:bookmarkStart w:id="102" w:name="_Toc161307004"/>
      <w:r>
        <w:rPr>
          <w:rFonts w:hint="eastAsia"/>
        </w:rPr>
        <w:t>结果运用</w:t>
      </w:r>
      <w:bookmarkEnd w:id="102"/>
    </w:p>
    <w:p>
      <w:pPr>
        <w:pStyle w:val="105"/>
        <w:spacing w:before="0" w:beforeLines="0" w:after="0" w:afterLines="0"/>
        <w:rPr>
          <w:rFonts w:ascii="宋体" w:hAnsi="宋体" w:eastAsia="宋体"/>
        </w:rPr>
      </w:pPr>
      <w:bookmarkStart w:id="103" w:name="_Toc161307005"/>
      <w:r>
        <w:rPr>
          <w:rFonts w:ascii="宋体" w:hAnsi="宋体" w:eastAsia="宋体"/>
        </w:rPr>
        <w:t>应根据工作需要，将抽查结果与相关部门共享，作为检查对象信用状况分类的重要考量，实施守信联合激励、失信联合惩戒。</w:t>
      </w:r>
      <w:bookmarkEnd w:id="103"/>
    </w:p>
    <w:p>
      <w:pPr>
        <w:pStyle w:val="105"/>
        <w:spacing w:before="0" w:beforeLines="0" w:after="0" w:afterLines="0"/>
        <w:rPr>
          <w:rFonts w:ascii="宋体" w:hAnsi="宋体" w:eastAsia="宋体"/>
        </w:rPr>
      </w:pPr>
      <w:bookmarkStart w:id="104" w:name="_Toc161307006"/>
      <w:r>
        <w:rPr>
          <w:rFonts w:ascii="宋体" w:hAnsi="宋体" w:eastAsia="宋体"/>
        </w:rPr>
        <w:t>应建立健全经营异常名录制度，实行分类分级动态监管。</w:t>
      </w:r>
      <w:bookmarkEnd w:id="104"/>
    </w:p>
    <w:p>
      <w:pPr>
        <w:pStyle w:val="105"/>
        <w:spacing w:before="0" w:beforeLines="0" w:after="0" w:afterLines="0"/>
        <w:rPr>
          <w:rFonts w:ascii="宋体" w:hAnsi="宋体" w:eastAsia="宋体"/>
        </w:rPr>
      </w:pPr>
      <w:bookmarkStart w:id="105" w:name="_Toc161307007"/>
      <w:r>
        <w:rPr>
          <w:rFonts w:ascii="宋体" w:hAnsi="宋体" w:eastAsia="宋体"/>
        </w:rPr>
        <w:t>应对抽查结果进行汇总和统计整理，并应用大数据分析手段进行数据监测、挖掘和比对，掌握相关领域违法活动特征，进而发现问题和防范化解区域性、行业性及系统性风险</w:t>
      </w:r>
      <w:r>
        <w:rPr>
          <w:rFonts w:hint="eastAsia" w:ascii="宋体" w:hAnsi="宋体" w:eastAsia="宋体"/>
        </w:rPr>
        <w:t>。</w:t>
      </w:r>
      <w:bookmarkEnd w:id="105"/>
    </w:p>
    <w:p>
      <w:pPr>
        <w:pStyle w:val="104"/>
        <w:spacing w:before="312" w:after="312"/>
      </w:pPr>
      <w:bookmarkStart w:id="106" w:name="_Toc161307011"/>
      <w:r>
        <w:rPr>
          <w:rFonts w:hint="eastAsia"/>
        </w:rPr>
        <w:t>协同联动</w:t>
      </w:r>
      <w:bookmarkEnd w:id="106"/>
    </w:p>
    <w:p>
      <w:pPr>
        <w:pStyle w:val="162"/>
        <w:numPr>
          <w:ilvl w:val="0"/>
          <w:numId w:val="0"/>
        </w:numPr>
        <w:ind w:firstLine="420" w:firstLineChars="200"/>
      </w:pPr>
      <w:r>
        <w:t>应充分发挥“双随机、一公开”监管基本手段作用，实现与信用监管、互联网+监管、智能监管和重点监管、综合监管相联动，并与投诉举报、案件线索核查、专项整治和网络监测、相关大数据分析运用等监管方式相互补充、相互衔接</w:t>
      </w:r>
      <w:r>
        <w:rPr>
          <w:rFonts w:hint="eastAsia"/>
        </w:rPr>
        <w:t>。</w:t>
      </w:r>
    </w:p>
    <w:p>
      <w:pPr>
        <w:pStyle w:val="162"/>
        <w:numPr>
          <w:ilvl w:val="0"/>
          <w:numId w:val="0"/>
        </w:numPr>
      </w:pPr>
      <w:r>
        <w:br w:type="textWrapping"/>
      </w:r>
    </w:p>
    <w:p>
      <w:pPr>
        <w:pStyle w:val="162"/>
        <w:numPr>
          <w:ilvl w:val="0"/>
          <w:numId w:val="0"/>
        </w:numPr>
        <w:sectPr>
          <w:pgSz w:w="11906" w:h="16838"/>
          <w:pgMar w:top="1928" w:right="1134" w:bottom="1134" w:left="1134" w:header="1418" w:footer="1134" w:gutter="284"/>
          <w:pgNumType w:start="1"/>
          <w:cols w:space="425" w:num="1"/>
          <w:formProt w:val="0"/>
          <w:docGrid w:type="lines" w:linePitch="312" w:charSpace="0"/>
        </w:sectPr>
      </w:pPr>
    </w:p>
    <w:bookmarkEnd w:id="24"/>
    <w:p>
      <w:pPr>
        <w:pStyle w:val="198"/>
        <w:rPr>
          <w:vanish w:val="0"/>
        </w:rPr>
      </w:pPr>
      <w:bookmarkStart w:id="107" w:name="BookMark5"/>
    </w:p>
    <w:p>
      <w:pPr>
        <w:pStyle w:val="199"/>
        <w:rPr>
          <w:vanish w:val="0"/>
        </w:rPr>
      </w:pPr>
    </w:p>
    <w:p>
      <w:pPr>
        <w:pStyle w:val="76"/>
        <w:spacing w:after="156"/>
      </w:pPr>
      <w:r>
        <w:br w:type="textWrapping"/>
      </w:r>
      <w:bookmarkStart w:id="108" w:name="_Toc106377622"/>
      <w:bookmarkStart w:id="109" w:name="_Toc161307012"/>
      <w:r>
        <w:rPr>
          <w:rFonts w:hint="eastAsia"/>
        </w:rPr>
        <w:t>（资料性）</w:t>
      </w:r>
      <w:r>
        <w:br w:type="textWrapping"/>
      </w:r>
      <w:r>
        <w:rPr>
          <w:rFonts w:hint="eastAsia"/>
        </w:rPr>
        <w:t>单一部门随机抽查事项清</w:t>
      </w:r>
      <w:bookmarkEnd w:id="108"/>
      <w:r>
        <w:rPr>
          <w:rFonts w:hint="eastAsia"/>
        </w:rPr>
        <w:t>单</w:t>
      </w:r>
      <w:bookmarkEnd w:id="109"/>
    </w:p>
    <w:p>
      <w:pPr>
        <w:pStyle w:val="56"/>
        <w:ind w:firstLine="315" w:firstLineChars="150"/>
      </w:pPr>
      <w:r>
        <w:t>表</w:t>
      </w:r>
      <w:r>
        <w:rPr>
          <w:rFonts w:hint="eastAsia"/>
        </w:rPr>
        <w:t>A.1给出了单一部门随机抽查事项清单。</w:t>
      </w:r>
    </w:p>
    <w:p>
      <w:pPr>
        <w:pStyle w:val="77"/>
        <w:spacing w:before="156" w:after="156"/>
        <w:ind w:left="423" w:leftChars="135" w:hanging="140" w:hangingChars="67"/>
        <w:rPr>
          <w:rFonts w:ascii="宋体" w:hAnsi="宋体"/>
        </w:rPr>
      </w:pPr>
      <w:r>
        <w:rPr>
          <w:rFonts w:hint="eastAsia"/>
        </w:rPr>
        <w:t>单一部门随机抽查事项清单</w:t>
      </w:r>
    </w:p>
    <w:tbl>
      <w:tblPr>
        <w:tblStyle w:val="27"/>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418"/>
        <w:gridCol w:w="1416"/>
        <w:gridCol w:w="1168"/>
        <w:gridCol w:w="1385"/>
        <w:gridCol w:w="1417"/>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vAlign w:val="center"/>
          </w:tcPr>
          <w:p>
            <w:pPr>
              <w:pStyle w:val="56"/>
              <w:ind w:firstLine="0" w:firstLineChars="0"/>
              <w:jc w:val="center"/>
              <w:rPr>
                <w:sz w:val="18"/>
                <w:szCs w:val="18"/>
              </w:rPr>
            </w:pPr>
            <w:r>
              <w:rPr>
                <w:sz w:val="18"/>
                <w:szCs w:val="18"/>
              </w:rPr>
              <w:t>序号</w:t>
            </w:r>
          </w:p>
        </w:tc>
        <w:tc>
          <w:tcPr>
            <w:tcW w:w="1134" w:type="dxa"/>
            <w:vAlign w:val="center"/>
          </w:tcPr>
          <w:p>
            <w:pPr>
              <w:pStyle w:val="56"/>
              <w:ind w:firstLine="0" w:firstLineChars="0"/>
              <w:jc w:val="center"/>
              <w:rPr>
                <w:sz w:val="18"/>
                <w:szCs w:val="18"/>
              </w:rPr>
            </w:pPr>
            <w:r>
              <w:rPr>
                <w:sz w:val="18"/>
                <w:szCs w:val="18"/>
              </w:rPr>
              <w:t>抽查项目</w:t>
            </w:r>
          </w:p>
        </w:tc>
        <w:tc>
          <w:tcPr>
            <w:tcW w:w="1418" w:type="dxa"/>
            <w:vAlign w:val="center"/>
          </w:tcPr>
          <w:p>
            <w:pPr>
              <w:pStyle w:val="56"/>
              <w:ind w:firstLine="0" w:firstLineChars="0"/>
              <w:jc w:val="center"/>
              <w:rPr>
                <w:sz w:val="18"/>
                <w:szCs w:val="18"/>
              </w:rPr>
            </w:pPr>
            <w:r>
              <w:rPr>
                <w:sz w:val="18"/>
                <w:szCs w:val="18"/>
              </w:rPr>
              <w:t>检查对象</w:t>
            </w:r>
          </w:p>
        </w:tc>
        <w:tc>
          <w:tcPr>
            <w:tcW w:w="1416" w:type="dxa"/>
            <w:vAlign w:val="center"/>
          </w:tcPr>
          <w:p>
            <w:pPr>
              <w:pStyle w:val="56"/>
              <w:ind w:firstLine="0" w:firstLineChars="0"/>
              <w:jc w:val="center"/>
              <w:rPr>
                <w:sz w:val="18"/>
                <w:szCs w:val="18"/>
              </w:rPr>
            </w:pPr>
            <w:r>
              <w:rPr>
                <w:sz w:val="18"/>
                <w:szCs w:val="18"/>
              </w:rPr>
              <w:t>事项类别</w:t>
            </w:r>
          </w:p>
        </w:tc>
        <w:tc>
          <w:tcPr>
            <w:tcW w:w="1168" w:type="dxa"/>
            <w:vAlign w:val="center"/>
          </w:tcPr>
          <w:p>
            <w:pPr>
              <w:pStyle w:val="56"/>
              <w:ind w:firstLine="0" w:firstLineChars="0"/>
              <w:jc w:val="center"/>
              <w:rPr>
                <w:sz w:val="18"/>
                <w:szCs w:val="18"/>
              </w:rPr>
            </w:pPr>
            <w:r>
              <w:rPr>
                <w:sz w:val="18"/>
                <w:szCs w:val="18"/>
              </w:rPr>
              <w:t>检查方式</w:t>
            </w:r>
          </w:p>
        </w:tc>
        <w:tc>
          <w:tcPr>
            <w:tcW w:w="1385" w:type="dxa"/>
            <w:vAlign w:val="center"/>
          </w:tcPr>
          <w:p>
            <w:pPr>
              <w:pStyle w:val="56"/>
              <w:ind w:firstLine="0" w:firstLineChars="0"/>
              <w:jc w:val="center"/>
              <w:rPr>
                <w:sz w:val="18"/>
                <w:szCs w:val="18"/>
              </w:rPr>
            </w:pPr>
            <w:r>
              <w:rPr>
                <w:sz w:val="18"/>
                <w:szCs w:val="18"/>
              </w:rPr>
              <w:t>检查实施主体</w:t>
            </w:r>
          </w:p>
        </w:tc>
        <w:tc>
          <w:tcPr>
            <w:tcW w:w="1417" w:type="dxa"/>
            <w:vAlign w:val="center"/>
          </w:tcPr>
          <w:p>
            <w:pPr>
              <w:pStyle w:val="56"/>
              <w:ind w:firstLine="0" w:firstLineChars="0"/>
              <w:jc w:val="center"/>
              <w:rPr>
                <w:sz w:val="18"/>
                <w:szCs w:val="18"/>
              </w:rPr>
            </w:pPr>
            <w:r>
              <w:rPr>
                <w:sz w:val="18"/>
                <w:szCs w:val="18"/>
              </w:rPr>
              <w:t>检查依据</w:t>
            </w:r>
          </w:p>
        </w:tc>
        <w:tc>
          <w:tcPr>
            <w:tcW w:w="702" w:type="dxa"/>
            <w:vAlign w:val="center"/>
          </w:tcPr>
          <w:p>
            <w:pPr>
              <w:pStyle w:val="56"/>
              <w:ind w:firstLine="0" w:firstLineChars="0"/>
              <w:jc w:val="center"/>
              <w:rPr>
                <w:sz w:val="18"/>
                <w:szCs w:val="18"/>
              </w:rPr>
            </w:pPr>
            <w:r>
              <w:rPr>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1418" w:type="dxa"/>
          </w:tcPr>
          <w:p>
            <w:pPr>
              <w:pStyle w:val="56"/>
              <w:ind w:firstLine="0" w:firstLineChars="0"/>
            </w:pPr>
          </w:p>
        </w:tc>
        <w:tc>
          <w:tcPr>
            <w:tcW w:w="1416" w:type="dxa"/>
          </w:tcPr>
          <w:p>
            <w:pPr>
              <w:pStyle w:val="56"/>
              <w:ind w:firstLine="0" w:firstLineChars="0"/>
            </w:pPr>
          </w:p>
        </w:tc>
        <w:tc>
          <w:tcPr>
            <w:tcW w:w="1168" w:type="dxa"/>
          </w:tcPr>
          <w:p>
            <w:pPr>
              <w:pStyle w:val="56"/>
              <w:ind w:firstLine="0" w:firstLineChars="0"/>
            </w:pPr>
          </w:p>
        </w:tc>
        <w:tc>
          <w:tcPr>
            <w:tcW w:w="1385" w:type="dxa"/>
          </w:tcPr>
          <w:p>
            <w:pPr>
              <w:pStyle w:val="56"/>
              <w:ind w:firstLine="0" w:firstLineChars="0"/>
            </w:pPr>
          </w:p>
        </w:tc>
        <w:tc>
          <w:tcPr>
            <w:tcW w:w="1417" w:type="dxa"/>
          </w:tcPr>
          <w:p>
            <w:pPr>
              <w:pStyle w:val="56"/>
              <w:ind w:firstLine="0" w:firstLineChars="0"/>
            </w:pPr>
          </w:p>
        </w:tc>
        <w:tc>
          <w:tcPr>
            <w:tcW w:w="702" w:type="dxa"/>
          </w:tcPr>
          <w:p>
            <w:pPr>
              <w:pStyle w:val="56"/>
              <w:ind w:firstLine="0" w:firstLineChars="0"/>
            </w:pPr>
          </w:p>
        </w:tc>
      </w:tr>
    </w:tbl>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110" w:name="_Toc106377636"/>
      <w:bookmarkStart w:id="111" w:name="_Toc161307013"/>
      <w:r>
        <w:rPr>
          <w:rFonts w:hint="eastAsia"/>
        </w:rPr>
        <w:t>（规范性）</w:t>
      </w:r>
      <w:r>
        <w:br w:type="textWrapping"/>
      </w:r>
      <w:r>
        <w:rPr>
          <w:rFonts w:hint="eastAsia"/>
        </w:rPr>
        <w:t>跨部门随机抽查事项清单</w:t>
      </w:r>
      <w:bookmarkEnd w:id="110"/>
      <w:bookmarkEnd w:id="111"/>
    </w:p>
    <w:p>
      <w:pPr>
        <w:pStyle w:val="56"/>
        <w:ind w:firstLine="420"/>
      </w:pPr>
      <w:r>
        <w:rPr>
          <w:rFonts w:hint="eastAsia"/>
        </w:rPr>
        <w:t>表B.1给出了跨部门随机抽查事项清单</w:t>
      </w:r>
      <w:r>
        <w:t>。</w:t>
      </w:r>
    </w:p>
    <w:p>
      <w:pPr>
        <w:pStyle w:val="77"/>
        <w:spacing w:before="156" w:after="156"/>
        <w:ind w:left="423" w:leftChars="135" w:hanging="140" w:hangingChars="67"/>
        <w:rPr>
          <w:rFonts w:ascii="宋体" w:hAnsi="宋体"/>
        </w:rPr>
      </w:pPr>
      <w:r>
        <w:rPr>
          <w:rFonts w:hint="eastAsia"/>
        </w:rPr>
        <w:t>单一部门随机抽查事项清单</w:t>
      </w:r>
    </w:p>
    <w:tbl>
      <w:tblPr>
        <w:tblStyle w:val="2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2126"/>
        <w:gridCol w:w="1418"/>
        <w:gridCol w:w="1701"/>
        <w:gridCol w:w="141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vAlign w:val="center"/>
          </w:tcPr>
          <w:p>
            <w:pPr>
              <w:pStyle w:val="56"/>
              <w:ind w:firstLine="0" w:firstLineChars="0"/>
              <w:jc w:val="center"/>
              <w:rPr>
                <w:sz w:val="18"/>
                <w:szCs w:val="18"/>
              </w:rPr>
            </w:pPr>
            <w:r>
              <w:rPr>
                <w:sz w:val="18"/>
                <w:szCs w:val="18"/>
              </w:rPr>
              <w:t>序号</w:t>
            </w:r>
          </w:p>
        </w:tc>
        <w:tc>
          <w:tcPr>
            <w:tcW w:w="1134" w:type="dxa"/>
            <w:vAlign w:val="center"/>
          </w:tcPr>
          <w:p>
            <w:pPr>
              <w:pStyle w:val="56"/>
              <w:ind w:firstLine="0" w:firstLineChars="0"/>
              <w:jc w:val="center"/>
              <w:rPr>
                <w:sz w:val="18"/>
                <w:szCs w:val="18"/>
              </w:rPr>
            </w:pPr>
            <w:r>
              <w:rPr>
                <w:sz w:val="18"/>
                <w:szCs w:val="18"/>
              </w:rPr>
              <w:t>抽查</w:t>
            </w:r>
            <w:r>
              <w:rPr>
                <w:rFonts w:hint="eastAsia"/>
                <w:sz w:val="18"/>
                <w:szCs w:val="18"/>
              </w:rPr>
              <w:t>领域</w:t>
            </w:r>
          </w:p>
        </w:tc>
        <w:tc>
          <w:tcPr>
            <w:tcW w:w="2126" w:type="dxa"/>
            <w:vAlign w:val="center"/>
          </w:tcPr>
          <w:p>
            <w:pPr>
              <w:pStyle w:val="56"/>
              <w:ind w:firstLine="0" w:firstLineChars="0"/>
              <w:jc w:val="center"/>
              <w:rPr>
                <w:sz w:val="18"/>
                <w:szCs w:val="18"/>
              </w:rPr>
            </w:pPr>
            <w:r>
              <w:rPr>
                <w:sz w:val="18"/>
                <w:szCs w:val="18"/>
              </w:rPr>
              <w:t>抽查事项</w:t>
            </w:r>
          </w:p>
        </w:tc>
        <w:tc>
          <w:tcPr>
            <w:tcW w:w="1418" w:type="dxa"/>
            <w:vAlign w:val="center"/>
          </w:tcPr>
          <w:p>
            <w:pPr>
              <w:pStyle w:val="56"/>
              <w:ind w:firstLine="0" w:firstLineChars="0"/>
              <w:jc w:val="center"/>
              <w:rPr>
                <w:sz w:val="18"/>
                <w:szCs w:val="18"/>
              </w:rPr>
            </w:pPr>
            <w:r>
              <w:rPr>
                <w:sz w:val="18"/>
                <w:szCs w:val="18"/>
              </w:rPr>
              <w:t>检查</w:t>
            </w:r>
            <w:r>
              <w:rPr>
                <w:rFonts w:hint="eastAsia"/>
                <w:sz w:val="18"/>
                <w:szCs w:val="18"/>
              </w:rPr>
              <w:t>对象</w:t>
            </w:r>
          </w:p>
        </w:tc>
        <w:tc>
          <w:tcPr>
            <w:tcW w:w="1701" w:type="dxa"/>
            <w:vAlign w:val="center"/>
          </w:tcPr>
          <w:p>
            <w:pPr>
              <w:pStyle w:val="56"/>
              <w:ind w:firstLine="0" w:firstLineChars="0"/>
              <w:jc w:val="center"/>
              <w:rPr>
                <w:sz w:val="18"/>
                <w:szCs w:val="18"/>
              </w:rPr>
            </w:pPr>
            <w:r>
              <w:rPr>
                <w:rFonts w:hint="eastAsia"/>
                <w:sz w:val="18"/>
                <w:szCs w:val="18"/>
              </w:rPr>
              <w:t>牵头部门</w:t>
            </w:r>
          </w:p>
        </w:tc>
        <w:tc>
          <w:tcPr>
            <w:tcW w:w="1417" w:type="dxa"/>
            <w:vAlign w:val="center"/>
          </w:tcPr>
          <w:p>
            <w:pPr>
              <w:pStyle w:val="56"/>
              <w:ind w:firstLine="0" w:firstLineChars="0"/>
              <w:jc w:val="center"/>
              <w:rPr>
                <w:sz w:val="18"/>
                <w:szCs w:val="18"/>
              </w:rPr>
            </w:pPr>
            <w:r>
              <w:rPr>
                <w:rFonts w:hint="eastAsia"/>
                <w:sz w:val="18"/>
                <w:szCs w:val="18"/>
              </w:rPr>
              <w:t>配合部门</w:t>
            </w:r>
          </w:p>
        </w:tc>
        <w:tc>
          <w:tcPr>
            <w:tcW w:w="851" w:type="dxa"/>
            <w:vAlign w:val="center"/>
          </w:tcPr>
          <w:p>
            <w:pPr>
              <w:pStyle w:val="56"/>
              <w:ind w:firstLine="0" w:firstLineChars="0"/>
              <w:jc w:val="center"/>
              <w:rPr>
                <w:sz w:val="18"/>
                <w:szCs w:val="18"/>
              </w:rPr>
            </w:pPr>
            <w:r>
              <w:rPr>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4" w:type="dxa"/>
          </w:tcPr>
          <w:p>
            <w:pPr>
              <w:pStyle w:val="56"/>
              <w:ind w:firstLine="0" w:firstLineChars="0"/>
            </w:pPr>
          </w:p>
        </w:tc>
        <w:tc>
          <w:tcPr>
            <w:tcW w:w="1134" w:type="dxa"/>
          </w:tcPr>
          <w:p>
            <w:pPr>
              <w:pStyle w:val="56"/>
              <w:ind w:firstLine="0" w:firstLineChars="0"/>
            </w:pPr>
          </w:p>
        </w:tc>
        <w:tc>
          <w:tcPr>
            <w:tcW w:w="2126" w:type="dxa"/>
          </w:tcPr>
          <w:p>
            <w:pPr>
              <w:pStyle w:val="56"/>
              <w:ind w:firstLine="0" w:firstLineChars="0"/>
            </w:pPr>
          </w:p>
        </w:tc>
        <w:tc>
          <w:tcPr>
            <w:tcW w:w="1418" w:type="dxa"/>
          </w:tcPr>
          <w:p>
            <w:pPr>
              <w:pStyle w:val="56"/>
              <w:ind w:firstLine="0" w:firstLineChars="0"/>
            </w:pPr>
          </w:p>
        </w:tc>
        <w:tc>
          <w:tcPr>
            <w:tcW w:w="1701" w:type="dxa"/>
          </w:tcPr>
          <w:p>
            <w:pPr>
              <w:pStyle w:val="56"/>
              <w:ind w:firstLine="0" w:firstLineChars="0"/>
            </w:pPr>
          </w:p>
        </w:tc>
        <w:tc>
          <w:tcPr>
            <w:tcW w:w="1417" w:type="dxa"/>
          </w:tcPr>
          <w:p>
            <w:pPr>
              <w:pStyle w:val="56"/>
              <w:ind w:firstLine="0" w:firstLineChars="0"/>
            </w:pPr>
          </w:p>
        </w:tc>
        <w:tc>
          <w:tcPr>
            <w:tcW w:w="851" w:type="dxa"/>
          </w:tcPr>
          <w:p>
            <w:pPr>
              <w:pStyle w:val="56"/>
              <w:ind w:firstLine="0" w:firstLineChars="0"/>
            </w:pPr>
          </w:p>
        </w:tc>
      </w:tr>
    </w:tbl>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112" w:name="_Toc161307014"/>
      <w:bookmarkStart w:id="113" w:name="_Toc106377637"/>
      <w:r>
        <w:rPr>
          <w:rFonts w:hint="eastAsia"/>
        </w:rPr>
        <w:t>（规范性）</w:t>
      </w:r>
      <w:r>
        <w:br w:type="textWrapping"/>
      </w:r>
      <w:r>
        <w:rPr>
          <w:rFonts w:hint="eastAsia"/>
        </w:rPr>
        <w:t>监管实施流程</w:t>
      </w:r>
      <w:bookmarkEnd w:id="112"/>
      <w:bookmarkEnd w:id="113"/>
    </w:p>
    <w:p>
      <w:pPr>
        <w:pStyle w:val="56"/>
        <w:ind w:firstLine="420"/>
      </w:pPr>
      <w:r>
        <w:rPr>
          <w:rFonts w:hint="eastAsia"/>
        </w:rPr>
        <w:t>表C.1给出了监管实施流程图。</w:t>
      </w:r>
    </w:p>
    <w:p>
      <w:pPr>
        <w:pStyle w:val="56"/>
        <w:ind w:firstLine="0" w:firstLineChars="0"/>
        <w:rPr>
          <w:rFonts w:hint="eastAsia" w:eastAsia="宋体"/>
          <w:sz w:val="18"/>
          <w:szCs w:val="18"/>
          <w:lang w:eastAsia="zh-CN"/>
        </w:rPr>
      </w:pPr>
      <w:r>
        <w:rPr>
          <w:rFonts w:hint="eastAsia" w:eastAsia="宋体"/>
          <w:sz w:val="18"/>
          <w:szCs w:val="18"/>
          <w:lang w:eastAsia="zh-CN"/>
        </w:rPr>
        <w:drawing>
          <wp:inline distT="0" distB="0" distL="114300" distR="114300">
            <wp:extent cx="6119495" cy="4164965"/>
            <wp:effectExtent l="0" t="0" r="14605" b="6985"/>
            <wp:docPr id="2" name="图片 2" descr="172975310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9753103335"/>
                    <pic:cNvPicPr>
                      <a:picLocks noChangeAspect="1"/>
                    </pic:cNvPicPr>
                  </pic:nvPicPr>
                  <pic:blipFill>
                    <a:blip r:embed="rId14"/>
                    <a:stretch>
                      <a:fillRect/>
                    </a:stretch>
                  </pic:blipFill>
                  <pic:spPr>
                    <a:xfrm>
                      <a:off x="0" y="0"/>
                      <a:ext cx="6119495" cy="4164965"/>
                    </a:xfrm>
                    <a:prstGeom prst="rect">
                      <a:avLst/>
                    </a:prstGeom>
                  </pic:spPr>
                </pic:pic>
              </a:graphicData>
            </a:graphic>
          </wp:inline>
        </w:drawing>
      </w:r>
    </w:p>
    <w:p>
      <w:pPr>
        <w:pStyle w:val="83"/>
        <w:spacing w:before="156" w:after="156"/>
        <w:rPr>
          <w:rFonts w:hint="eastAsia"/>
        </w:rPr>
      </w:pPr>
      <w:r>
        <w:rPr>
          <w:rFonts w:hint="eastAsia"/>
        </w:rPr>
        <w:t>监管实施流程图</w:t>
      </w:r>
    </w:p>
    <w:p>
      <w:pPr>
        <w:pStyle w:val="56"/>
        <w:ind w:firstLine="0" w:firstLineChars="0"/>
      </w:pPr>
    </w:p>
    <w:p>
      <w:pPr>
        <w:pStyle w:val="238"/>
        <w:spacing w:after="468"/>
        <w:rPr>
          <w:rFonts w:hAnsi="黑体"/>
        </w:rPr>
      </w:pPr>
      <w:bookmarkStart w:id="114" w:name="_Toc106377639"/>
      <w:bookmarkStart w:id="115" w:name="_Toc161307016"/>
      <w:r>
        <w:rPr>
          <w:rFonts w:hint="eastAsia" w:hAnsi="黑体"/>
        </w:rPr>
        <w:t>参</w:t>
      </w:r>
      <w:r>
        <w:rPr>
          <w:rFonts w:hAnsi="黑体"/>
        </w:rPr>
        <w:t> </w:t>
      </w:r>
      <w:r>
        <w:rPr>
          <w:rFonts w:hint="eastAsia" w:hAnsi="黑体"/>
        </w:rPr>
        <w:t>考</w:t>
      </w:r>
      <w:r>
        <w:rPr>
          <w:rFonts w:hAnsi="黑体"/>
        </w:rPr>
        <w:t> </w:t>
      </w:r>
      <w:r>
        <w:rPr>
          <w:rFonts w:hint="eastAsia" w:hAnsi="黑体"/>
        </w:rPr>
        <w:t>文</w:t>
      </w:r>
      <w:r>
        <w:rPr>
          <w:rFonts w:hAnsi="黑体"/>
        </w:rPr>
        <w:t> </w:t>
      </w:r>
      <w:r>
        <w:rPr>
          <w:rFonts w:hint="eastAsia" w:hAnsi="黑体"/>
        </w:rPr>
        <w:t>献</w:t>
      </w:r>
      <w:bookmarkEnd w:id="114"/>
      <w:bookmarkEnd w:id="115"/>
    </w:p>
    <w:p>
      <w:pPr>
        <w:pStyle w:val="228"/>
        <w:ind w:firstLine="420" w:firstLineChars="200"/>
        <w:rPr>
          <w:rFonts w:hAnsi="宋体"/>
          <w:sz w:val="21"/>
          <w:szCs w:val="21"/>
        </w:rPr>
      </w:pPr>
      <w:r>
        <w:rPr>
          <w:rFonts w:hAnsi="宋体"/>
          <w:sz w:val="21"/>
          <w:szCs w:val="21"/>
        </w:rPr>
        <w:t xml:space="preserve">[1] 国务院办公厅《关于推广随机抽查规范事中事后监管的通知》(国办发[2015]58号)  </w:t>
      </w:r>
    </w:p>
    <w:p>
      <w:pPr>
        <w:pStyle w:val="228"/>
        <w:ind w:firstLine="420" w:firstLineChars="200"/>
        <w:rPr>
          <w:rFonts w:hAnsi="宋体"/>
          <w:sz w:val="21"/>
          <w:szCs w:val="21"/>
        </w:rPr>
      </w:pPr>
      <w:r>
        <w:rPr>
          <w:rFonts w:hAnsi="宋体"/>
          <w:sz w:val="21"/>
          <w:szCs w:val="21"/>
        </w:rPr>
        <w:t xml:space="preserve">[2] </w:t>
      </w:r>
      <w:r>
        <w:rPr>
          <w:rFonts w:hint="eastAsia" w:hAnsi="宋体"/>
          <w:sz w:val="21"/>
          <w:szCs w:val="21"/>
        </w:rPr>
        <w:t>国务院</w:t>
      </w:r>
      <w:r>
        <w:rPr>
          <w:rFonts w:hAnsi="宋体"/>
          <w:sz w:val="21"/>
          <w:szCs w:val="21"/>
        </w:rPr>
        <w:t>《</w:t>
      </w:r>
      <w:r>
        <w:rPr>
          <w:rFonts w:hint="eastAsia" w:hAnsi="宋体"/>
          <w:sz w:val="21"/>
          <w:szCs w:val="21"/>
        </w:rPr>
        <w:t>关于在市场监管领域全面推行部门联合“双随机、一公开”监管的意见</w:t>
      </w:r>
      <w:r>
        <w:rPr>
          <w:rFonts w:hAnsi="宋体"/>
          <w:sz w:val="21"/>
          <w:szCs w:val="21"/>
        </w:rPr>
        <w:t>》(国发[2019]5号)</w:t>
      </w:r>
    </w:p>
    <w:p>
      <w:pPr>
        <w:pStyle w:val="228"/>
        <w:ind w:firstLine="420" w:firstLineChars="200"/>
        <w:rPr>
          <w:rFonts w:hAnsi="宋体"/>
          <w:sz w:val="21"/>
          <w:szCs w:val="21"/>
        </w:rPr>
      </w:pPr>
      <w:r>
        <w:rPr>
          <w:rFonts w:hAnsi="宋体"/>
          <w:sz w:val="21"/>
          <w:szCs w:val="21"/>
        </w:rPr>
        <w:t>[3] 国务院《关于加强和规范事中事后监管的指导意见》(国发[2019]18号)</w:t>
      </w:r>
    </w:p>
    <w:p>
      <w:pPr>
        <w:pStyle w:val="228"/>
        <w:ind w:firstLine="420" w:firstLineChars="200"/>
        <w:rPr>
          <w:rFonts w:hAnsi="宋体"/>
          <w:sz w:val="21"/>
          <w:szCs w:val="21"/>
        </w:rPr>
      </w:pPr>
      <w:r>
        <w:rPr>
          <w:rFonts w:hAnsi="宋体"/>
          <w:sz w:val="21"/>
          <w:szCs w:val="21"/>
        </w:rPr>
        <w:t>[4]</w:t>
      </w:r>
      <w:r>
        <w:rPr>
          <w:rFonts w:hint="eastAsia" w:hAnsi="宋体"/>
          <w:sz w:val="21"/>
          <w:szCs w:val="21"/>
          <w:lang w:val="en-US" w:eastAsia="zh-CN"/>
        </w:rPr>
        <w:t xml:space="preserve"> </w:t>
      </w:r>
      <w:r>
        <w:rPr>
          <w:rFonts w:hAnsi="宋体"/>
          <w:sz w:val="21"/>
          <w:szCs w:val="21"/>
        </w:rPr>
        <w:t>国务院《关于印发“十四五”市场监管现代化规划的通知》（国发〔2021〕30号）</w:t>
      </w:r>
    </w:p>
    <w:p>
      <w:pPr>
        <w:pStyle w:val="228"/>
        <w:ind w:firstLine="420" w:firstLineChars="200"/>
        <w:rPr>
          <w:rFonts w:hAnsi="宋体"/>
          <w:sz w:val="21"/>
          <w:szCs w:val="21"/>
        </w:rPr>
      </w:pPr>
      <w:r>
        <w:rPr>
          <w:rFonts w:hAnsi="宋体"/>
          <w:sz w:val="21"/>
          <w:szCs w:val="21"/>
        </w:rPr>
        <w:t>[5] 市场监管总局《关于全面推进“双随机、</w:t>
      </w:r>
      <w:r>
        <w:rPr>
          <w:rFonts w:hint="eastAsia" w:hAnsi="宋体"/>
          <w:sz w:val="21"/>
          <w:szCs w:val="21"/>
        </w:rPr>
        <w:t>一</w:t>
      </w:r>
      <w:r>
        <w:rPr>
          <w:rFonts w:hAnsi="宋体"/>
          <w:sz w:val="21"/>
          <w:szCs w:val="21"/>
        </w:rPr>
        <w:t xml:space="preserve">公开”监管工作的通知》(国市监信[2019]38号) </w:t>
      </w:r>
    </w:p>
    <w:p>
      <w:pPr>
        <w:pStyle w:val="228"/>
        <w:ind w:firstLine="420" w:firstLineChars="200"/>
        <w:rPr>
          <w:rFonts w:hAnsi="宋体"/>
          <w:sz w:val="21"/>
          <w:szCs w:val="21"/>
        </w:rPr>
      </w:pPr>
      <w:r>
        <w:rPr>
          <w:rFonts w:hAnsi="宋体"/>
          <w:sz w:val="21"/>
          <w:szCs w:val="21"/>
        </w:rPr>
        <w:t>[6] 市场监管总局等16部门关于印发《市场监管领域部门联合</w:t>
      </w:r>
      <w:bookmarkStart w:id="117" w:name="_GoBack"/>
      <w:bookmarkEnd w:id="117"/>
      <w:r>
        <w:rPr>
          <w:rFonts w:hAnsi="宋体"/>
          <w:sz w:val="21"/>
          <w:szCs w:val="21"/>
        </w:rPr>
        <w:t>抽查事项清单(第一版)》的通知(国市监信[2020]111号)</w:t>
      </w:r>
    </w:p>
    <w:bookmarkEnd w:id="107"/>
    <w:p>
      <w:pPr>
        <w:pStyle w:val="56"/>
        <w:ind w:firstLine="0" w:firstLineChars="0"/>
        <w:jc w:val="center"/>
        <w:rPr>
          <w:sz w:val="18"/>
          <w:szCs w:val="18"/>
        </w:rPr>
      </w:pPr>
      <w:bookmarkStart w:id="116" w:name="BookMark8"/>
      <w:r>
        <w:rPr>
          <w:sz w:val="18"/>
          <w:szCs w:val="18"/>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Light">
    <w:altName w:val="华文中宋"/>
    <w:panose1 w:val="02010600030101010101"/>
    <w:charset w:val="86"/>
    <w:family w:val="auto"/>
    <w:pitch w:val="default"/>
    <w:sig w:usb0="00000000" w:usb1="00000000" w:usb2="00000016" w:usb3="00000000" w:csb0="0004000F" w:csb1="0000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46/T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852"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VlQCHJ0g+X8Njv3d7d9o8GI7x+r5rI9LlKqdv+eR7xEWNnCnlxGXcqJHBs215amS/zOSYxiXxa0beNjutJT0Xw==" w:salt="lb3z1XpK7TuyPm1z+mb8P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5NzVkYmI1NmQ2NjIzYTJjN2UwOGU3YTc3MDUxNjUifQ=="/>
  </w:docVars>
  <w:rsids>
    <w:rsidRoot w:val="0004552E"/>
    <w:rsid w:val="0000040A"/>
    <w:rsid w:val="00000A94"/>
    <w:rsid w:val="00001972"/>
    <w:rsid w:val="00001D9A"/>
    <w:rsid w:val="0000719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52E"/>
    <w:rsid w:val="00047F28"/>
    <w:rsid w:val="000503AA"/>
    <w:rsid w:val="000506A1"/>
    <w:rsid w:val="000515DD"/>
    <w:rsid w:val="0005265A"/>
    <w:rsid w:val="000539DD"/>
    <w:rsid w:val="00053BD3"/>
    <w:rsid w:val="00055183"/>
    <w:rsid w:val="000556ED"/>
    <w:rsid w:val="00055FE2"/>
    <w:rsid w:val="0005616F"/>
    <w:rsid w:val="0005701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B68"/>
    <w:rsid w:val="00124E4F"/>
    <w:rsid w:val="001260B7"/>
    <w:rsid w:val="001265CB"/>
    <w:rsid w:val="001321C6"/>
    <w:rsid w:val="001325C4"/>
    <w:rsid w:val="00133010"/>
    <w:rsid w:val="001338EE"/>
    <w:rsid w:val="00133AAE"/>
    <w:rsid w:val="00135323"/>
    <w:rsid w:val="001355FB"/>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CB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342"/>
    <w:rsid w:val="001D411C"/>
    <w:rsid w:val="001E1B6A"/>
    <w:rsid w:val="001E2484"/>
    <w:rsid w:val="001E3CC4"/>
    <w:rsid w:val="001E4882"/>
    <w:rsid w:val="001E6329"/>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DA2"/>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FDE"/>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D61"/>
    <w:rsid w:val="00324D13"/>
    <w:rsid w:val="00324D2A"/>
    <w:rsid w:val="00324EDD"/>
    <w:rsid w:val="003331E4"/>
    <w:rsid w:val="00336C64"/>
    <w:rsid w:val="00337162"/>
    <w:rsid w:val="0034194F"/>
    <w:rsid w:val="003445E3"/>
    <w:rsid w:val="00344605"/>
    <w:rsid w:val="00345FA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93"/>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80F"/>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B48"/>
    <w:rsid w:val="0042790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2C6"/>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BA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A0D"/>
    <w:rsid w:val="005F284E"/>
    <w:rsid w:val="005F4712"/>
    <w:rsid w:val="006015CE"/>
    <w:rsid w:val="00604784"/>
    <w:rsid w:val="00606419"/>
    <w:rsid w:val="00607D29"/>
    <w:rsid w:val="00612952"/>
    <w:rsid w:val="00614CC1"/>
    <w:rsid w:val="00615A9D"/>
    <w:rsid w:val="00617387"/>
    <w:rsid w:val="006205D6"/>
    <w:rsid w:val="00622F8B"/>
    <w:rsid w:val="006252D8"/>
    <w:rsid w:val="006259BC"/>
    <w:rsid w:val="0062636B"/>
    <w:rsid w:val="00632182"/>
    <w:rsid w:val="00632AE0"/>
    <w:rsid w:val="00633C17"/>
    <w:rsid w:val="00634D9E"/>
    <w:rsid w:val="006363F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0153"/>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463"/>
    <w:rsid w:val="00704387"/>
    <w:rsid w:val="00707669"/>
    <w:rsid w:val="00711CBA"/>
    <w:rsid w:val="00711FB5"/>
    <w:rsid w:val="00712A01"/>
    <w:rsid w:val="00714F58"/>
    <w:rsid w:val="00716A1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EAC"/>
    <w:rsid w:val="00765AB6"/>
    <w:rsid w:val="00765C43"/>
    <w:rsid w:val="00765EFB"/>
    <w:rsid w:val="007671CA"/>
    <w:rsid w:val="00767C61"/>
    <w:rsid w:val="0077008A"/>
    <w:rsid w:val="007708CF"/>
    <w:rsid w:val="00773C1F"/>
    <w:rsid w:val="00774DA4"/>
    <w:rsid w:val="00776599"/>
    <w:rsid w:val="0078114B"/>
    <w:rsid w:val="00781217"/>
    <w:rsid w:val="00781DD2"/>
    <w:rsid w:val="00783ECF"/>
    <w:rsid w:val="0078413A"/>
    <w:rsid w:val="007959E8"/>
    <w:rsid w:val="00795E9C"/>
    <w:rsid w:val="007A0521"/>
    <w:rsid w:val="007A2E12"/>
    <w:rsid w:val="007A3475"/>
    <w:rsid w:val="007A41C8"/>
    <w:rsid w:val="007A54CE"/>
    <w:rsid w:val="007A6FD9"/>
    <w:rsid w:val="007A7FFA"/>
    <w:rsid w:val="007B04EB"/>
    <w:rsid w:val="007B069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AFF"/>
    <w:rsid w:val="007F403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11A8"/>
    <w:rsid w:val="008620FC"/>
    <w:rsid w:val="008627A5"/>
    <w:rsid w:val="0086322D"/>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87D"/>
    <w:rsid w:val="008A1893"/>
    <w:rsid w:val="008A2A02"/>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CD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73B"/>
    <w:rsid w:val="009273B3"/>
    <w:rsid w:val="009305B5"/>
    <w:rsid w:val="00937073"/>
    <w:rsid w:val="009429D5"/>
    <w:rsid w:val="00942BF1"/>
    <w:rsid w:val="0094463A"/>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7B8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70D"/>
    <w:rsid w:val="009E0F62"/>
    <w:rsid w:val="009E17A9"/>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17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58B"/>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B34"/>
    <w:rsid w:val="00AA4040"/>
    <w:rsid w:val="00AA4286"/>
    <w:rsid w:val="00AA456B"/>
    <w:rsid w:val="00AA57F5"/>
    <w:rsid w:val="00AA672E"/>
    <w:rsid w:val="00AA6EC9"/>
    <w:rsid w:val="00AB3B4E"/>
    <w:rsid w:val="00AB41D5"/>
    <w:rsid w:val="00AB6309"/>
    <w:rsid w:val="00AB6C5F"/>
    <w:rsid w:val="00AB7129"/>
    <w:rsid w:val="00AC27A6"/>
    <w:rsid w:val="00AC30F7"/>
    <w:rsid w:val="00AC3A5A"/>
    <w:rsid w:val="00AC4D95"/>
    <w:rsid w:val="00AC5DF4"/>
    <w:rsid w:val="00AD0AEF"/>
    <w:rsid w:val="00AD11B7"/>
    <w:rsid w:val="00AD1948"/>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877"/>
    <w:rsid w:val="00B261F1"/>
    <w:rsid w:val="00B265BC"/>
    <w:rsid w:val="00B31FB1"/>
    <w:rsid w:val="00B33952"/>
    <w:rsid w:val="00B33C5E"/>
    <w:rsid w:val="00B342F4"/>
    <w:rsid w:val="00B34369"/>
    <w:rsid w:val="00B34DC2"/>
    <w:rsid w:val="00B378E5"/>
    <w:rsid w:val="00B4346D"/>
    <w:rsid w:val="00B440F4"/>
    <w:rsid w:val="00B447A5"/>
    <w:rsid w:val="00B44C3F"/>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459"/>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131"/>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A5C"/>
    <w:rsid w:val="00CF048A"/>
    <w:rsid w:val="00CF155A"/>
    <w:rsid w:val="00CF2947"/>
    <w:rsid w:val="00CF686F"/>
    <w:rsid w:val="00CF6E60"/>
    <w:rsid w:val="00CF7BCA"/>
    <w:rsid w:val="00D00470"/>
    <w:rsid w:val="00D008FD"/>
    <w:rsid w:val="00D026AB"/>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02C7"/>
    <w:rsid w:val="00D71F25"/>
    <w:rsid w:val="00D72A9C"/>
    <w:rsid w:val="00D77031"/>
    <w:rsid w:val="00D84941"/>
    <w:rsid w:val="00D84FA1"/>
    <w:rsid w:val="00D851F0"/>
    <w:rsid w:val="00D86DB7"/>
    <w:rsid w:val="00D926D0"/>
    <w:rsid w:val="00D93030"/>
    <w:rsid w:val="00D94FF7"/>
    <w:rsid w:val="00D950E1"/>
    <w:rsid w:val="00D952A6"/>
    <w:rsid w:val="00D96021"/>
    <w:rsid w:val="00D97F99"/>
    <w:rsid w:val="00DA1E08"/>
    <w:rsid w:val="00DA24F8"/>
    <w:rsid w:val="00DA28E8"/>
    <w:rsid w:val="00DA38D3"/>
    <w:rsid w:val="00DA3932"/>
    <w:rsid w:val="00DA3AFC"/>
    <w:rsid w:val="00DA5191"/>
    <w:rsid w:val="00DA64F8"/>
    <w:rsid w:val="00DA6C15"/>
    <w:rsid w:val="00DB0258"/>
    <w:rsid w:val="00DB08BD"/>
    <w:rsid w:val="00DB38EE"/>
    <w:rsid w:val="00DB498B"/>
    <w:rsid w:val="00DB66CA"/>
    <w:rsid w:val="00DB6BCA"/>
    <w:rsid w:val="00DB73F7"/>
    <w:rsid w:val="00DC0321"/>
    <w:rsid w:val="00DC3067"/>
    <w:rsid w:val="00DC370B"/>
    <w:rsid w:val="00DC5B90"/>
    <w:rsid w:val="00DD00FF"/>
    <w:rsid w:val="00DD0619"/>
    <w:rsid w:val="00DD07FB"/>
    <w:rsid w:val="00DD25C6"/>
    <w:rsid w:val="00DD47EC"/>
    <w:rsid w:val="00DD4FE5"/>
    <w:rsid w:val="00DD54B0"/>
    <w:rsid w:val="00DD57EE"/>
    <w:rsid w:val="00DD6BCC"/>
    <w:rsid w:val="00DE0A4B"/>
    <w:rsid w:val="00DE2410"/>
    <w:rsid w:val="00DE2939"/>
    <w:rsid w:val="00DE6E81"/>
    <w:rsid w:val="00DE703F"/>
    <w:rsid w:val="00DE7595"/>
    <w:rsid w:val="00DF1961"/>
    <w:rsid w:val="00DF44DE"/>
    <w:rsid w:val="00DF5F11"/>
    <w:rsid w:val="00E00BA7"/>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C59"/>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8D9"/>
    <w:rsid w:val="00EE0350"/>
    <w:rsid w:val="00EE0719"/>
    <w:rsid w:val="00EE0C93"/>
    <w:rsid w:val="00EE0E80"/>
    <w:rsid w:val="00EE54A6"/>
    <w:rsid w:val="00EE613F"/>
    <w:rsid w:val="00EE6898"/>
    <w:rsid w:val="00EE6B49"/>
    <w:rsid w:val="00EE7295"/>
    <w:rsid w:val="00EE7869"/>
    <w:rsid w:val="00EF054A"/>
    <w:rsid w:val="00EF3235"/>
    <w:rsid w:val="00EF3DFB"/>
    <w:rsid w:val="00EF7E72"/>
    <w:rsid w:val="00F0662B"/>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B20"/>
    <w:rsid w:val="00F676C9"/>
    <w:rsid w:val="00F71E22"/>
    <w:rsid w:val="00F72142"/>
    <w:rsid w:val="00F72AE7"/>
    <w:rsid w:val="00F81141"/>
    <w:rsid w:val="00F833BA"/>
    <w:rsid w:val="00F84FD0"/>
    <w:rsid w:val="00F859A8"/>
    <w:rsid w:val="00F86D87"/>
    <w:rsid w:val="00F90538"/>
    <w:rsid w:val="00F9108B"/>
    <w:rsid w:val="00F91349"/>
    <w:rsid w:val="00F93364"/>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BD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140BD1"/>
    <w:rsid w:val="040B4900"/>
    <w:rsid w:val="0F751969"/>
    <w:rsid w:val="0FBA381F"/>
    <w:rsid w:val="111C513D"/>
    <w:rsid w:val="1AF916A0"/>
    <w:rsid w:val="1C7D00AF"/>
    <w:rsid w:val="25E940BF"/>
    <w:rsid w:val="2A222295"/>
    <w:rsid w:val="2C8E776E"/>
    <w:rsid w:val="30C931D7"/>
    <w:rsid w:val="32981EF0"/>
    <w:rsid w:val="40F77B80"/>
    <w:rsid w:val="4ABA2543"/>
    <w:rsid w:val="4AC75701"/>
    <w:rsid w:val="4B4E2A92"/>
    <w:rsid w:val="4E036118"/>
    <w:rsid w:val="5FDFC198"/>
    <w:rsid w:val="6FCF2A08"/>
    <w:rsid w:val="727C36DC"/>
    <w:rsid w:val="72B1108D"/>
    <w:rsid w:val="747A0E57"/>
    <w:rsid w:val="76460C81"/>
    <w:rsid w:val="7F115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ind w:left="852"/>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 w:type="paragraph" w:customStyle="1" w:styleId="232">
    <w:name w:val="示例后文字"/>
    <w:basedOn w:val="230"/>
    <w:next w:val="230"/>
    <w:qFormat/>
    <w:uiPriority w:val="0"/>
    <w:pPr>
      <w:ind w:firstLine="360"/>
    </w:pPr>
    <w:rPr>
      <w:sz w:val="18"/>
    </w:rPr>
  </w:style>
  <w:style w:type="character" w:customStyle="1" w:styleId="233">
    <w:name w:val="Body text|1_"/>
    <w:basedOn w:val="28"/>
    <w:link w:val="234"/>
    <w:qFormat/>
    <w:locked/>
    <w:uiPriority w:val="0"/>
    <w:rPr>
      <w:rFonts w:ascii="宋体" w:hAnsi="宋体"/>
      <w:lang w:val="zh-CN"/>
    </w:rPr>
  </w:style>
  <w:style w:type="paragraph" w:customStyle="1" w:styleId="234">
    <w:name w:val="Body text|1"/>
    <w:basedOn w:val="1"/>
    <w:link w:val="233"/>
    <w:qFormat/>
    <w:uiPriority w:val="0"/>
    <w:pPr>
      <w:adjustRightInd/>
      <w:spacing w:line="334" w:lineRule="auto"/>
      <w:jc w:val="left"/>
    </w:pPr>
    <w:rPr>
      <w:rFonts w:ascii="宋体" w:hAnsi="宋体"/>
      <w:kern w:val="0"/>
      <w:sz w:val="20"/>
      <w:szCs w:val="20"/>
      <w:lang w:val="zh-CN"/>
    </w:rPr>
  </w:style>
  <w:style w:type="paragraph" w:customStyle="1" w:styleId="23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6">
    <w:name w:val="附录标识"/>
    <w:basedOn w:val="1"/>
    <w:next w:val="230"/>
    <w:qFormat/>
    <w:uiPriority w:val="0"/>
    <w:pPr>
      <w:keepNext/>
      <w:widowControl/>
      <w:shd w:val="clear" w:color="FFFFFF" w:fill="FFFFFF"/>
      <w:tabs>
        <w:tab w:val="left" w:pos="360"/>
        <w:tab w:val="left" w:pos="6405"/>
      </w:tabs>
      <w:adjustRightInd/>
      <w:spacing w:before="640" w:after="280" w:line="240" w:lineRule="auto"/>
      <w:ind w:firstLine="363"/>
      <w:jc w:val="center"/>
      <w:outlineLvl w:val="0"/>
    </w:pPr>
    <w:rPr>
      <w:rFonts w:ascii="黑体" w:hAnsi="Times New Roman" w:eastAsia="黑体"/>
      <w:kern w:val="0"/>
      <w:szCs w:val="20"/>
    </w:rPr>
  </w:style>
  <w:style w:type="paragraph" w:customStyle="1" w:styleId="237">
    <w:name w:val="Table Paragraph"/>
    <w:basedOn w:val="1"/>
    <w:qFormat/>
    <w:uiPriority w:val="0"/>
    <w:pPr>
      <w:autoSpaceDE w:val="0"/>
      <w:autoSpaceDN w:val="0"/>
      <w:adjustRightInd/>
      <w:spacing w:line="240" w:lineRule="auto"/>
      <w:jc w:val="left"/>
    </w:pPr>
    <w:rPr>
      <w:rFonts w:ascii="宋体" w:hAnsi="宋体" w:cs="宋体"/>
      <w:kern w:val="0"/>
      <w:sz w:val="22"/>
      <w:szCs w:val="22"/>
      <w:lang w:val="zh-CN" w:bidi="zh-CN"/>
    </w:rPr>
  </w:style>
  <w:style w:type="paragraph" w:customStyle="1" w:styleId="238">
    <w:name w:val="参考文献"/>
    <w:basedOn w:val="1"/>
    <w:next w:val="230"/>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os/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44249DBA0C84FA68F995DDD9E44D1EC"/>
        <w:style w:val=""/>
        <w:category>
          <w:name w:val="常规"/>
          <w:gallery w:val="placeholder"/>
        </w:category>
        <w:types>
          <w:type w:val="bbPlcHdr"/>
        </w:types>
        <w:behaviors>
          <w:behavior w:val="content"/>
        </w:behaviors>
        <w:description w:val=""/>
        <w:guid w:val="{3090C5CD-15BA-4043-AD79-40D0A3AFA30E}"/>
      </w:docPartPr>
      <w:docPartBody>
        <w:p>
          <w:pPr>
            <w:pStyle w:val="5"/>
          </w:pPr>
          <w:r>
            <w:rPr>
              <w:rStyle w:val="4"/>
              <w:rFonts w:hint="eastAsia"/>
            </w:rPr>
            <w:t>单击或点击此处输入文字。</w:t>
          </w:r>
        </w:p>
      </w:docPartBody>
    </w:docPart>
    <w:docPart>
      <w:docPartPr>
        <w:name w:val="532B5988047F462690CBEAA960A444E0"/>
        <w:style w:val=""/>
        <w:category>
          <w:name w:val="常规"/>
          <w:gallery w:val="placeholder"/>
        </w:category>
        <w:types>
          <w:type w:val="bbPlcHdr"/>
        </w:types>
        <w:behaviors>
          <w:behavior w:val="content"/>
        </w:behaviors>
        <w:description w:val=""/>
        <w:guid w:val="{5D9F82B6-3C5E-4D76-9371-C029618171EA}"/>
      </w:docPartPr>
      <w:docPartBody>
        <w:p>
          <w:pPr>
            <w:pStyle w:val="6"/>
          </w:pPr>
          <w:r>
            <w:rPr>
              <w:rStyle w:val="4"/>
              <w:rFonts w:hint="eastAsia"/>
            </w:rPr>
            <w:t>选择一项。</w:t>
          </w:r>
        </w:p>
      </w:docPartBody>
    </w:docPart>
    <w:docPart>
      <w:docPartPr>
        <w:name w:val="E01B1FC4573F4FF8BDBA075D9DA17EFA"/>
        <w:style w:val=""/>
        <w:category>
          <w:name w:val="常规"/>
          <w:gallery w:val="placeholder"/>
        </w:category>
        <w:types>
          <w:type w:val="bbPlcHdr"/>
        </w:types>
        <w:behaviors>
          <w:behavior w:val="content"/>
        </w:behaviors>
        <w:description w:val=""/>
        <w:guid w:val="{B980366E-EA5A-4866-9C03-BAE2819366C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仿宋_GB2312"/>
    <w:panose1 w:val="00000000000000000000"/>
    <w:charset w:val="86"/>
    <w:family w:val="auto"/>
    <w:pitch w:val="default"/>
    <w:sig w:usb0="00000000" w:usb1="00000000" w:usb2="00000000" w:usb3="00000000" w:csb0="00000000" w:csb1="00000000"/>
  </w:font>
  <w:font w:name="等线">
    <w:altName w:val="仿宋_GB2312"/>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ED4"/>
    <w:rsid w:val="00232E46"/>
    <w:rsid w:val="00294BEA"/>
    <w:rsid w:val="003352F5"/>
    <w:rsid w:val="00502C2F"/>
    <w:rsid w:val="006C43A2"/>
    <w:rsid w:val="00D96ED4"/>
    <w:rsid w:val="00EA0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44249DBA0C84FA68F995DDD9E44D1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32B5988047F462690CBEAA960A444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01B1FC4573F4FF8BDBA075D9DA17EF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5521</Words>
  <Characters>5906</Characters>
  <Lines>47</Lines>
  <Paragraphs>13</Paragraphs>
  <TotalTime>112</TotalTime>
  <ScaleCrop>false</ScaleCrop>
  <LinksUpToDate>false</LinksUpToDate>
  <CharactersWithSpaces>6004</CharactersWithSpaces>
  <Application>WPS Office_11.8.2.1124_F1E327BC-269C-435d-A152-05C5408002CA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2022-06-17T11:37:00Z</dcterms:created>
  <dc:creator>Administrator</dc:creator>
  <dc:description>&lt;config cover="true" show_menu="true" version="1.0.0" doctype="SDKXY"&gt;_x000d_
&lt;/config&gt;</dc:description>
  <cp:lastModifiedBy>陶永琰</cp:lastModifiedBy>
  <cp:lastPrinted>2024-10-12T09:25:00Z</cp:lastPrinted>
  <dcterms:modified xsi:type="dcterms:W3CDTF">2024-10-29T11:11:11Z</dcterms:modified>
  <dc:title>地方标准</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2052-11.8.2.1124</vt:lpwstr>
  </property>
  <property fmtid="{D5CDD505-2E9C-101B-9397-08002B2CF9AE}" pid="15" name="ICV">
    <vt:lpwstr>FF56BBAABF1A4E7FBB924986AE9A84F1_12</vt:lpwstr>
  </property>
</Properties>
</file>