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4"/>
          <w:szCs w:val="44"/>
        </w:rPr>
      </w:pPr>
      <w:r>
        <w:rPr>
          <w:rFonts w:hint="eastAsia" w:ascii="方正小标宋简体" w:eastAsia="方正小标宋简体"/>
          <w:sz w:val="44"/>
          <w:szCs w:val="44"/>
        </w:rPr>
        <w:t>《市场监管领域“双随机、一公开”监管工作规范》编制说明</w:t>
      </w:r>
    </w:p>
    <w:p>
      <w:pPr>
        <w:pStyle w:val="3"/>
        <w:rPr>
          <w:rFonts w:ascii="黑体" w:hAnsi="黑体" w:eastAsia="黑体"/>
        </w:rPr>
      </w:pPr>
      <w:r>
        <w:rPr>
          <w:rFonts w:ascii="黑体" w:hAnsi="黑体" w:eastAsia="黑体"/>
        </w:rPr>
        <w:t>一、项目简况</w:t>
      </w:r>
    </w:p>
    <w:p>
      <w:pPr>
        <w:ind w:firstLine="642" w:firstLineChars="200"/>
        <w:rPr>
          <w:rFonts w:ascii="仿宋" w:hAnsi="仿宋" w:eastAsia="仿宋"/>
          <w:sz w:val="32"/>
          <w:szCs w:val="32"/>
        </w:rPr>
      </w:pPr>
      <w:r>
        <w:rPr>
          <w:rFonts w:ascii="仿宋" w:hAnsi="仿宋" w:eastAsia="仿宋"/>
          <w:b/>
          <w:sz w:val="32"/>
          <w:szCs w:val="32"/>
        </w:rPr>
        <w:t>（一）标准名称：</w:t>
      </w:r>
      <w:r>
        <w:rPr>
          <w:rFonts w:hint="eastAsia" w:ascii="仿宋" w:hAnsi="仿宋" w:eastAsia="仿宋"/>
          <w:b/>
          <w:sz w:val="32"/>
          <w:szCs w:val="32"/>
          <w:lang w:eastAsia="zh-CN"/>
        </w:rPr>
        <w:t>《</w:t>
      </w:r>
      <w:r>
        <w:rPr>
          <w:rFonts w:hint="eastAsia" w:ascii="仿宋" w:hAnsi="仿宋" w:eastAsia="仿宋"/>
          <w:b/>
          <w:sz w:val="32"/>
          <w:szCs w:val="32"/>
        </w:rPr>
        <w:t>市场监管领域“双随机、一公开”监管工作规范</w:t>
      </w:r>
      <w:r>
        <w:rPr>
          <w:rFonts w:hint="eastAsia" w:ascii="仿宋" w:hAnsi="仿宋" w:eastAsia="仿宋"/>
          <w:b/>
          <w:sz w:val="32"/>
          <w:szCs w:val="32"/>
          <w:lang w:eastAsia="zh-CN"/>
        </w:rPr>
        <w:t>》</w:t>
      </w:r>
    </w:p>
    <w:p>
      <w:pPr>
        <w:ind w:firstLine="640" w:firstLineChars="200"/>
        <w:rPr>
          <w:rFonts w:ascii="仿宋" w:hAnsi="仿宋" w:eastAsia="仿宋"/>
          <w:sz w:val="32"/>
          <w:szCs w:val="32"/>
        </w:rPr>
      </w:pPr>
      <w:r>
        <w:rPr>
          <w:rFonts w:ascii="仿宋" w:hAnsi="仿宋" w:eastAsia="仿宋"/>
          <w:sz w:val="32"/>
          <w:szCs w:val="32"/>
        </w:rPr>
        <w:t>（</w:t>
      </w:r>
      <w:r>
        <w:rPr>
          <w:rFonts w:ascii="仿宋" w:hAnsi="仿宋" w:eastAsia="仿宋"/>
          <w:b/>
          <w:sz w:val="32"/>
          <w:szCs w:val="32"/>
        </w:rPr>
        <w:t>二）任务来源（项目计划号）：</w:t>
      </w:r>
    </w:p>
    <w:p>
      <w:pPr>
        <w:ind w:firstLine="642" w:firstLineChars="200"/>
        <w:rPr>
          <w:rFonts w:ascii="仿宋" w:hAnsi="仿宋" w:eastAsia="仿宋"/>
          <w:sz w:val="32"/>
          <w:szCs w:val="32"/>
        </w:rPr>
      </w:pPr>
      <w:r>
        <w:rPr>
          <w:rFonts w:ascii="仿宋" w:hAnsi="仿宋" w:eastAsia="仿宋"/>
          <w:b/>
          <w:sz w:val="32"/>
          <w:szCs w:val="32"/>
        </w:rPr>
        <w:t>（三）起草单位：</w:t>
      </w:r>
      <w:r>
        <w:rPr>
          <w:rFonts w:hint="eastAsia" w:ascii="仿宋" w:hAnsi="仿宋" w:eastAsia="仿宋"/>
          <w:sz w:val="32"/>
          <w:szCs w:val="32"/>
        </w:rPr>
        <w:t>海南省市场监督管理局</w:t>
      </w:r>
    </w:p>
    <w:p>
      <w:pPr>
        <w:ind w:firstLine="642" w:firstLineChars="200"/>
        <w:rPr>
          <w:rFonts w:ascii="仿宋" w:hAnsi="仿宋" w:eastAsia="仿宋"/>
          <w:sz w:val="32"/>
          <w:szCs w:val="32"/>
        </w:rPr>
      </w:pPr>
      <w:r>
        <w:rPr>
          <w:rFonts w:ascii="仿宋" w:hAnsi="仿宋" w:eastAsia="仿宋"/>
          <w:b/>
          <w:sz w:val="32"/>
          <w:szCs w:val="32"/>
        </w:rPr>
        <w:t>（四）单位地址：</w:t>
      </w:r>
      <w:r>
        <w:rPr>
          <w:rFonts w:hint="eastAsia" w:ascii="仿宋" w:hAnsi="仿宋" w:eastAsia="仿宋"/>
          <w:sz w:val="32"/>
          <w:szCs w:val="32"/>
        </w:rPr>
        <w:t>海口市美兰区海府路</w:t>
      </w:r>
    </w:p>
    <w:p>
      <w:pPr>
        <w:ind w:firstLine="642" w:firstLineChars="200"/>
        <w:rPr>
          <w:rFonts w:ascii="仿宋" w:hAnsi="仿宋" w:eastAsia="仿宋"/>
          <w:b/>
          <w:sz w:val="32"/>
          <w:szCs w:val="32"/>
        </w:rPr>
      </w:pPr>
      <w:r>
        <w:rPr>
          <w:rFonts w:ascii="仿宋" w:hAnsi="仿宋" w:eastAsia="仿宋"/>
          <w:b/>
          <w:sz w:val="32"/>
          <w:szCs w:val="32"/>
        </w:rPr>
        <w:t>（五）参与起草单位：</w:t>
      </w:r>
    </w:p>
    <w:p>
      <w:pPr>
        <w:ind w:firstLine="640" w:firstLineChars="200"/>
        <w:rPr>
          <w:rFonts w:ascii="仿宋" w:hAnsi="仿宋" w:eastAsia="仿宋"/>
          <w:sz w:val="32"/>
          <w:szCs w:val="32"/>
        </w:rPr>
      </w:pPr>
      <w:r>
        <w:rPr>
          <w:rFonts w:hint="eastAsia" w:ascii="仿宋" w:hAnsi="仿宋" w:eastAsia="仿宋"/>
          <w:sz w:val="32"/>
          <w:szCs w:val="32"/>
        </w:rPr>
        <w:t>海南省检验检测研究院、海南省标准化协会</w:t>
      </w:r>
    </w:p>
    <w:p>
      <w:pPr>
        <w:ind w:firstLine="642" w:firstLineChars="200"/>
        <w:rPr>
          <w:rFonts w:ascii="仿宋" w:hAnsi="仿宋" w:eastAsia="仿宋"/>
          <w:b/>
          <w:sz w:val="32"/>
          <w:szCs w:val="32"/>
        </w:rPr>
      </w:pPr>
      <w:r>
        <w:rPr>
          <w:rFonts w:ascii="仿宋" w:hAnsi="仿宋" w:eastAsia="仿宋"/>
          <w:b/>
          <w:sz w:val="32"/>
          <w:szCs w:val="32"/>
        </w:rPr>
        <w:t>（六）标准起草人：</w:t>
      </w:r>
    </w:p>
    <w:p>
      <w:pPr>
        <w:jc w:val="center"/>
        <w:rPr>
          <w:rFonts w:ascii="黑体" w:hAnsi="黑体" w:eastAsia="黑体" w:cs="黑体"/>
          <w:b/>
          <w:bCs/>
          <w:color w:val="000000"/>
          <w:sz w:val="28"/>
          <w:szCs w:val="28"/>
        </w:rPr>
      </w:pPr>
      <w:r>
        <w:rPr>
          <w:rFonts w:hint="eastAsia" w:ascii="黑体" w:hAnsi="黑体" w:eastAsia="黑体" w:cs="黑体"/>
          <w:b/>
          <w:bCs/>
          <w:color w:val="000000"/>
          <w:sz w:val="28"/>
          <w:szCs w:val="28"/>
        </w:rPr>
        <w:t>表1 标准起草人</w:t>
      </w:r>
    </w:p>
    <w:tbl>
      <w:tblPr>
        <w:tblStyle w:val="8"/>
        <w:tblpPr w:leftFromText="180" w:rightFromText="180" w:vertAnchor="text" w:horzAnchor="page" w:tblpXSpec="center" w:tblpY="62"/>
        <w:tblOverlap w:val="never"/>
        <w:tblW w:w="10064" w:type="dxa"/>
        <w:tblInd w:w="0" w:type="dxa"/>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
      <w:tblGrid>
        <w:gridCol w:w="567"/>
        <w:gridCol w:w="1058"/>
        <w:gridCol w:w="2628"/>
        <w:gridCol w:w="1319"/>
        <w:gridCol w:w="3217"/>
        <w:gridCol w:w="1275"/>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415" w:hRule="atLeast"/>
        </w:trPr>
        <w:tc>
          <w:tcPr>
            <w:tcW w:w="567" w:type="dxa"/>
            <w:tcBorders>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default" w:ascii="仿宋" w:hAnsi="仿宋" w:eastAsia="仿宋"/>
                <w:sz w:val="24"/>
                <w:szCs w:val="24"/>
              </w:rPr>
              <w:t>序号</w:t>
            </w:r>
          </w:p>
        </w:tc>
        <w:tc>
          <w:tcPr>
            <w:tcW w:w="1058" w:type="dxa"/>
            <w:tcBorders>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default" w:ascii="仿宋" w:hAnsi="仿宋" w:eastAsia="仿宋"/>
                <w:sz w:val="24"/>
                <w:szCs w:val="24"/>
              </w:rPr>
              <w:t>姓名</w:t>
            </w:r>
          </w:p>
        </w:tc>
        <w:tc>
          <w:tcPr>
            <w:tcW w:w="2628" w:type="dxa"/>
            <w:tcBorders>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default" w:ascii="仿宋" w:hAnsi="仿宋" w:eastAsia="仿宋"/>
                <w:sz w:val="24"/>
                <w:szCs w:val="24"/>
              </w:rPr>
              <w:t>单位</w:t>
            </w:r>
          </w:p>
        </w:tc>
        <w:tc>
          <w:tcPr>
            <w:tcW w:w="1319" w:type="dxa"/>
            <w:tcBorders>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default" w:ascii="仿宋" w:hAnsi="仿宋" w:eastAsia="仿宋"/>
                <w:sz w:val="24"/>
                <w:szCs w:val="24"/>
              </w:rPr>
              <w:t>职务</w:t>
            </w:r>
          </w:p>
        </w:tc>
        <w:tc>
          <w:tcPr>
            <w:tcW w:w="3217" w:type="dxa"/>
            <w:tcBorders>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任务分工</w:t>
            </w:r>
          </w:p>
        </w:tc>
        <w:tc>
          <w:tcPr>
            <w:tcW w:w="1275" w:type="dxa"/>
            <w:tcBorders>
              <w:left w:val="nil"/>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sz w:val="24"/>
                <w:szCs w:val="24"/>
              </w:rPr>
            </w:pPr>
            <w:r>
              <w:rPr>
                <w:rFonts w:hint="eastAsia" w:ascii="宋体" w:hAnsi="宋体"/>
                <w:color w:val="000000"/>
                <w:sz w:val="24"/>
                <w:szCs w:val="24"/>
              </w:rPr>
              <w:t>联系方式</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415" w:hRule="atLeast"/>
        </w:trPr>
        <w:tc>
          <w:tcPr>
            <w:tcW w:w="567" w:type="dxa"/>
            <w:tcBorders>
              <w:top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1</w:t>
            </w:r>
          </w:p>
        </w:tc>
        <w:tc>
          <w:tcPr>
            <w:tcW w:w="105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吴清宇</w:t>
            </w:r>
          </w:p>
        </w:tc>
        <w:tc>
          <w:tcPr>
            <w:tcW w:w="2628"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 w:hAnsi="仿宋" w:eastAsia="仿宋"/>
                <w:sz w:val="24"/>
                <w:szCs w:val="24"/>
              </w:rPr>
            </w:pPr>
            <w:r>
              <w:rPr>
                <w:rFonts w:hint="eastAsia" w:ascii="仿宋" w:hAnsi="仿宋" w:eastAsia="仿宋"/>
                <w:sz w:val="24"/>
                <w:szCs w:val="24"/>
              </w:rPr>
              <w:t>海南省检验检测研究院</w:t>
            </w:r>
          </w:p>
        </w:tc>
        <w:tc>
          <w:tcPr>
            <w:tcW w:w="131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default" w:ascii="仿宋" w:hAnsi="仿宋" w:eastAsia="仿宋"/>
                <w:sz w:val="24"/>
                <w:szCs w:val="24"/>
              </w:rPr>
              <w:t>副院长</w:t>
            </w:r>
          </w:p>
        </w:tc>
        <w:tc>
          <w:tcPr>
            <w:tcW w:w="3217"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 w:hAnsi="仿宋" w:eastAsia="仿宋"/>
                <w:sz w:val="24"/>
                <w:szCs w:val="24"/>
              </w:rPr>
            </w:pPr>
            <w:r>
              <w:rPr>
                <w:rFonts w:hint="eastAsia" w:ascii="仿宋" w:hAnsi="仿宋" w:eastAsia="仿宋"/>
                <w:sz w:val="24"/>
                <w:szCs w:val="24"/>
              </w:rPr>
              <w:t>标准起草及修改</w:t>
            </w:r>
          </w:p>
        </w:tc>
        <w:tc>
          <w:tcPr>
            <w:tcW w:w="1275" w:type="dxa"/>
            <w:tcBorders>
              <w:top w:val="single" w:color="auto" w:sz="4" w:space="0"/>
              <w:left w:val="nil"/>
              <w:bottom w:val="single" w:color="auto" w:sz="4" w:space="0"/>
            </w:tcBorders>
            <w:vAlign w:val="center"/>
          </w:tcPr>
          <w:p>
            <w:pPr>
              <w:keepNext w:val="0"/>
              <w:keepLines w:val="0"/>
              <w:suppressLineNumbers w:val="0"/>
              <w:spacing w:before="0" w:beforeAutospacing="0" w:after="0" w:afterAutospacing="0"/>
              <w:ind w:left="0" w:leftChars="0" w:right="0" w:rightChars="0"/>
              <w:rPr>
                <w:rFonts w:hint="eastAsia" w:ascii="仿宋" w:hAnsi="仿宋" w:eastAsia="仿宋"/>
                <w:sz w:val="24"/>
                <w:szCs w:val="24"/>
                <w:lang w:val="en-US" w:eastAsia="zh-CN"/>
              </w:rPr>
            </w:pPr>
            <w:r>
              <w:rPr>
                <w:rFonts w:hint="default" w:ascii="仿宋" w:hAnsi="仿宋" w:eastAsia="仿宋"/>
                <w:sz w:val="24"/>
                <w:szCs w:val="24"/>
              </w:rPr>
              <w:t>6522599</w:t>
            </w:r>
            <w:r>
              <w:rPr>
                <w:rFonts w:hint="eastAsia" w:ascii="仿宋" w:hAnsi="仿宋" w:eastAsia="仿宋"/>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415" w:hRule="atLeast"/>
        </w:trPr>
        <w:tc>
          <w:tcPr>
            <w:tcW w:w="567" w:type="dxa"/>
            <w:tcBorders>
              <w:top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2</w:t>
            </w:r>
          </w:p>
        </w:tc>
        <w:tc>
          <w:tcPr>
            <w:tcW w:w="105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黄文秀</w:t>
            </w:r>
          </w:p>
        </w:tc>
        <w:tc>
          <w:tcPr>
            <w:tcW w:w="2628"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 w:hAnsi="仿宋" w:eastAsia="仿宋"/>
                <w:sz w:val="24"/>
                <w:szCs w:val="24"/>
              </w:rPr>
            </w:pPr>
            <w:r>
              <w:rPr>
                <w:rFonts w:hint="eastAsia" w:ascii="仿宋" w:hAnsi="仿宋" w:eastAsia="仿宋"/>
                <w:sz w:val="24"/>
                <w:szCs w:val="24"/>
              </w:rPr>
              <w:t>海南省检验检测研究院</w:t>
            </w:r>
          </w:p>
        </w:tc>
        <w:tc>
          <w:tcPr>
            <w:tcW w:w="131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default" w:ascii="仿宋" w:hAnsi="仿宋" w:eastAsia="仿宋"/>
                <w:sz w:val="24"/>
                <w:szCs w:val="24"/>
              </w:rPr>
              <w:t>副所长</w:t>
            </w:r>
          </w:p>
        </w:tc>
        <w:tc>
          <w:tcPr>
            <w:tcW w:w="3217"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 w:hAnsi="仿宋" w:eastAsia="仿宋"/>
                <w:sz w:val="24"/>
                <w:szCs w:val="24"/>
              </w:rPr>
            </w:pPr>
            <w:r>
              <w:rPr>
                <w:rFonts w:hint="eastAsia" w:ascii="仿宋" w:hAnsi="仿宋" w:eastAsia="仿宋"/>
                <w:sz w:val="24"/>
                <w:szCs w:val="24"/>
              </w:rPr>
              <w:t>标准起草及修改</w:t>
            </w:r>
          </w:p>
        </w:tc>
        <w:tc>
          <w:tcPr>
            <w:tcW w:w="1275" w:type="dxa"/>
            <w:tcBorders>
              <w:top w:val="single" w:color="auto" w:sz="4" w:space="0"/>
              <w:left w:val="nil"/>
              <w:bottom w:val="single" w:color="auto" w:sz="4" w:space="0"/>
            </w:tcBorders>
            <w:vAlign w:val="center"/>
          </w:tcPr>
          <w:p>
            <w:pPr>
              <w:keepNext w:val="0"/>
              <w:keepLines w:val="0"/>
              <w:suppressLineNumbers w:val="0"/>
              <w:spacing w:before="0" w:beforeAutospacing="0" w:after="0" w:afterAutospacing="0"/>
              <w:ind w:left="0" w:leftChars="0" w:right="0" w:rightChars="0"/>
              <w:rPr>
                <w:rFonts w:hint="default" w:ascii="仿宋" w:hAnsi="仿宋" w:eastAsia="仿宋"/>
                <w:sz w:val="24"/>
                <w:szCs w:val="24"/>
              </w:rPr>
            </w:pPr>
            <w:r>
              <w:rPr>
                <w:rFonts w:hint="default" w:ascii="仿宋" w:hAnsi="仿宋" w:eastAsia="仿宋"/>
                <w:sz w:val="24"/>
                <w:szCs w:val="24"/>
              </w:rPr>
              <w:t>6522599</w:t>
            </w:r>
            <w:r>
              <w:rPr>
                <w:rFonts w:hint="eastAsia" w:ascii="仿宋" w:hAnsi="仿宋" w:eastAsia="仿宋"/>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415" w:hRule="atLeast"/>
        </w:trPr>
        <w:tc>
          <w:tcPr>
            <w:tcW w:w="567" w:type="dxa"/>
            <w:tcBorders>
              <w:top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3</w:t>
            </w:r>
          </w:p>
        </w:tc>
        <w:tc>
          <w:tcPr>
            <w:tcW w:w="105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周玉玲</w:t>
            </w:r>
          </w:p>
        </w:tc>
        <w:tc>
          <w:tcPr>
            <w:tcW w:w="2628"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 w:hAnsi="仿宋" w:eastAsia="仿宋"/>
                <w:sz w:val="24"/>
                <w:szCs w:val="24"/>
              </w:rPr>
            </w:pPr>
            <w:r>
              <w:rPr>
                <w:rFonts w:hint="eastAsia" w:ascii="仿宋" w:hAnsi="仿宋" w:eastAsia="仿宋"/>
                <w:sz w:val="24"/>
                <w:szCs w:val="24"/>
              </w:rPr>
              <w:t>海南省检验检测研究院</w:t>
            </w:r>
          </w:p>
        </w:tc>
        <w:tc>
          <w:tcPr>
            <w:tcW w:w="131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default" w:ascii="仿宋" w:hAnsi="仿宋" w:eastAsia="仿宋"/>
                <w:sz w:val="24"/>
                <w:szCs w:val="24"/>
              </w:rPr>
              <w:t>副所长</w:t>
            </w:r>
          </w:p>
        </w:tc>
        <w:tc>
          <w:tcPr>
            <w:tcW w:w="3217"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 w:hAnsi="仿宋" w:eastAsia="仿宋"/>
                <w:sz w:val="24"/>
                <w:szCs w:val="24"/>
              </w:rPr>
            </w:pPr>
            <w:r>
              <w:rPr>
                <w:rFonts w:hint="eastAsia" w:ascii="仿宋" w:hAnsi="仿宋" w:eastAsia="仿宋"/>
                <w:sz w:val="24"/>
                <w:szCs w:val="24"/>
              </w:rPr>
              <w:t>标准起草及修改</w:t>
            </w:r>
          </w:p>
        </w:tc>
        <w:tc>
          <w:tcPr>
            <w:tcW w:w="1275" w:type="dxa"/>
            <w:tcBorders>
              <w:top w:val="single" w:color="auto" w:sz="4" w:space="0"/>
              <w:left w:val="nil"/>
              <w:bottom w:val="single" w:color="auto" w:sz="4" w:space="0"/>
            </w:tcBorders>
            <w:vAlign w:val="center"/>
          </w:tcPr>
          <w:p>
            <w:pPr>
              <w:keepNext w:val="0"/>
              <w:keepLines w:val="0"/>
              <w:suppressLineNumbers w:val="0"/>
              <w:spacing w:before="0" w:beforeAutospacing="0" w:after="0" w:afterAutospacing="0"/>
              <w:ind w:left="0" w:leftChars="0" w:right="0" w:rightChars="0"/>
              <w:rPr>
                <w:rFonts w:hint="default" w:ascii="仿宋" w:hAnsi="仿宋" w:eastAsia="仿宋"/>
                <w:sz w:val="24"/>
                <w:szCs w:val="24"/>
              </w:rPr>
            </w:pPr>
            <w:r>
              <w:rPr>
                <w:rFonts w:hint="default" w:ascii="仿宋" w:hAnsi="仿宋" w:eastAsia="仿宋"/>
                <w:sz w:val="24"/>
                <w:szCs w:val="24"/>
              </w:rPr>
              <w:t>6522599</w:t>
            </w:r>
            <w:r>
              <w:rPr>
                <w:rFonts w:hint="eastAsia" w:ascii="仿宋" w:hAnsi="仿宋" w:eastAsia="仿宋"/>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415" w:hRule="atLeast"/>
        </w:trPr>
        <w:tc>
          <w:tcPr>
            <w:tcW w:w="567" w:type="dxa"/>
            <w:tcBorders>
              <w:top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4</w:t>
            </w:r>
          </w:p>
        </w:tc>
        <w:tc>
          <w:tcPr>
            <w:tcW w:w="105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冯文</w:t>
            </w:r>
          </w:p>
        </w:tc>
        <w:tc>
          <w:tcPr>
            <w:tcW w:w="2628"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 w:hAnsi="仿宋" w:eastAsia="仿宋"/>
                <w:sz w:val="24"/>
                <w:szCs w:val="24"/>
              </w:rPr>
            </w:pPr>
            <w:r>
              <w:rPr>
                <w:rFonts w:hint="eastAsia" w:ascii="仿宋" w:hAnsi="仿宋" w:eastAsia="仿宋"/>
                <w:sz w:val="24"/>
                <w:szCs w:val="24"/>
              </w:rPr>
              <w:t>海南省检验检测研究院</w:t>
            </w:r>
          </w:p>
        </w:tc>
        <w:tc>
          <w:tcPr>
            <w:tcW w:w="131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default" w:ascii="仿宋" w:hAnsi="仿宋" w:eastAsia="仿宋"/>
                <w:sz w:val="24"/>
                <w:szCs w:val="24"/>
              </w:rPr>
              <w:t>主任</w:t>
            </w:r>
          </w:p>
        </w:tc>
        <w:tc>
          <w:tcPr>
            <w:tcW w:w="3217"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 w:hAnsi="仿宋" w:eastAsia="仿宋"/>
                <w:sz w:val="24"/>
                <w:szCs w:val="24"/>
              </w:rPr>
            </w:pPr>
            <w:r>
              <w:rPr>
                <w:rFonts w:hint="eastAsia" w:ascii="仿宋" w:hAnsi="仿宋" w:eastAsia="仿宋"/>
                <w:sz w:val="24"/>
                <w:szCs w:val="24"/>
              </w:rPr>
              <w:t>标准起草及修改</w:t>
            </w:r>
          </w:p>
        </w:tc>
        <w:tc>
          <w:tcPr>
            <w:tcW w:w="1275" w:type="dxa"/>
            <w:tcBorders>
              <w:top w:val="single" w:color="auto" w:sz="4" w:space="0"/>
              <w:left w:val="nil"/>
              <w:bottom w:val="single" w:color="auto" w:sz="4" w:space="0"/>
            </w:tcBorders>
            <w:vAlign w:val="center"/>
          </w:tcPr>
          <w:p>
            <w:pPr>
              <w:keepNext w:val="0"/>
              <w:keepLines w:val="0"/>
              <w:suppressLineNumbers w:val="0"/>
              <w:spacing w:before="0" w:beforeAutospacing="0" w:after="0" w:afterAutospacing="0"/>
              <w:ind w:left="0" w:leftChars="0" w:right="0" w:rightChars="0"/>
              <w:rPr>
                <w:rFonts w:hint="default" w:ascii="仿宋" w:hAnsi="仿宋" w:eastAsia="仿宋"/>
                <w:sz w:val="24"/>
                <w:szCs w:val="24"/>
              </w:rPr>
            </w:pPr>
            <w:r>
              <w:rPr>
                <w:rFonts w:hint="default" w:ascii="仿宋" w:hAnsi="仿宋" w:eastAsia="仿宋"/>
                <w:sz w:val="24"/>
                <w:szCs w:val="24"/>
              </w:rPr>
              <w:t>6522599</w:t>
            </w:r>
            <w:r>
              <w:rPr>
                <w:rFonts w:hint="eastAsia" w:ascii="仿宋" w:hAnsi="仿宋" w:eastAsia="仿宋"/>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415" w:hRule="atLeast"/>
        </w:trPr>
        <w:tc>
          <w:tcPr>
            <w:tcW w:w="567" w:type="dxa"/>
            <w:tcBorders>
              <w:top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仿宋" w:hAnsi="仿宋" w:eastAsia="仿宋" w:cstheme="minorBidi"/>
                <w:kern w:val="2"/>
                <w:sz w:val="24"/>
                <w:szCs w:val="24"/>
                <w:lang w:val="en-US" w:eastAsia="zh-CN" w:bidi="ar-SA"/>
              </w:rPr>
            </w:pPr>
            <w:r>
              <w:rPr>
                <w:rFonts w:hint="eastAsia" w:ascii="仿宋" w:hAnsi="仿宋" w:eastAsia="仿宋"/>
                <w:sz w:val="24"/>
                <w:szCs w:val="24"/>
                <w:lang w:val="en-US" w:eastAsia="zh-CN"/>
              </w:rPr>
              <w:t>5</w:t>
            </w:r>
          </w:p>
        </w:tc>
        <w:tc>
          <w:tcPr>
            <w:tcW w:w="105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常虹</w:t>
            </w:r>
          </w:p>
        </w:tc>
        <w:tc>
          <w:tcPr>
            <w:tcW w:w="2628"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sz w:val="24"/>
                <w:szCs w:val="24"/>
              </w:rPr>
            </w:pPr>
            <w:r>
              <w:rPr>
                <w:rFonts w:hint="eastAsia" w:ascii="仿宋" w:hAnsi="仿宋" w:eastAsia="仿宋"/>
                <w:sz w:val="24"/>
                <w:szCs w:val="24"/>
              </w:rPr>
              <w:t>海南省检验检测研究院</w:t>
            </w:r>
          </w:p>
        </w:tc>
        <w:tc>
          <w:tcPr>
            <w:tcW w:w="131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default" w:ascii="仿宋" w:hAnsi="仿宋" w:eastAsia="仿宋"/>
                <w:color w:val="000000"/>
                <w:sz w:val="24"/>
                <w:szCs w:val="24"/>
              </w:rPr>
              <w:t>技术人员</w:t>
            </w:r>
          </w:p>
        </w:tc>
        <w:tc>
          <w:tcPr>
            <w:tcW w:w="3217"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sz w:val="24"/>
                <w:szCs w:val="24"/>
              </w:rPr>
            </w:pPr>
            <w:r>
              <w:rPr>
                <w:rFonts w:hint="eastAsia" w:ascii="仿宋" w:hAnsi="仿宋" w:eastAsia="仿宋"/>
                <w:sz w:val="24"/>
                <w:szCs w:val="24"/>
              </w:rPr>
              <w:t>标准起草及修改</w:t>
            </w:r>
          </w:p>
        </w:tc>
        <w:tc>
          <w:tcPr>
            <w:tcW w:w="1275" w:type="dxa"/>
            <w:tcBorders>
              <w:top w:val="single" w:color="auto" w:sz="4" w:space="0"/>
              <w:left w:val="nil"/>
              <w:bottom w:val="single" w:color="auto" w:sz="4" w:space="0"/>
            </w:tcBorders>
            <w:vAlign w:val="center"/>
          </w:tcPr>
          <w:p>
            <w:pPr>
              <w:keepNext w:val="0"/>
              <w:keepLines w:val="0"/>
              <w:suppressLineNumbers w:val="0"/>
              <w:spacing w:before="0" w:beforeAutospacing="0" w:after="0" w:afterAutospacing="0"/>
              <w:ind w:left="0" w:leftChars="0" w:right="0" w:rightChars="0"/>
              <w:rPr>
                <w:rFonts w:hint="default" w:ascii="仿宋" w:hAnsi="仿宋" w:eastAsia="仿宋"/>
                <w:sz w:val="24"/>
                <w:szCs w:val="24"/>
              </w:rPr>
            </w:pPr>
            <w:r>
              <w:rPr>
                <w:rFonts w:hint="default" w:ascii="仿宋" w:hAnsi="仿宋" w:eastAsia="仿宋"/>
                <w:sz w:val="24"/>
                <w:szCs w:val="24"/>
              </w:rPr>
              <w:t>6522599</w:t>
            </w:r>
            <w:r>
              <w:rPr>
                <w:rFonts w:hint="eastAsia" w:ascii="仿宋" w:hAnsi="仿宋" w:eastAsia="仿宋"/>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415" w:hRule="atLeast"/>
        </w:trPr>
        <w:tc>
          <w:tcPr>
            <w:tcW w:w="567" w:type="dxa"/>
            <w:tcBorders>
              <w:top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仿宋" w:hAnsi="仿宋" w:eastAsia="仿宋" w:cstheme="minorBidi"/>
                <w:kern w:val="2"/>
                <w:sz w:val="24"/>
                <w:szCs w:val="24"/>
                <w:lang w:val="en-US" w:eastAsia="zh-CN" w:bidi="ar-SA"/>
              </w:rPr>
            </w:pPr>
            <w:r>
              <w:rPr>
                <w:rFonts w:hint="eastAsia" w:ascii="仿宋" w:hAnsi="仿宋" w:eastAsia="仿宋"/>
                <w:sz w:val="24"/>
                <w:szCs w:val="24"/>
                <w:lang w:val="en-US" w:eastAsia="zh-CN"/>
              </w:rPr>
              <w:t>6</w:t>
            </w:r>
          </w:p>
        </w:tc>
        <w:tc>
          <w:tcPr>
            <w:tcW w:w="105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default" w:ascii="仿宋" w:hAnsi="仿宋" w:eastAsia="仿宋" w:cstheme="minorBidi"/>
                <w:kern w:val="2"/>
                <w:sz w:val="24"/>
                <w:szCs w:val="24"/>
                <w:lang w:val="en-US" w:eastAsia="zh-CN" w:bidi="ar-SA"/>
              </w:rPr>
            </w:pPr>
            <w:r>
              <w:rPr>
                <w:rFonts w:hint="eastAsia" w:ascii="仿宋" w:hAnsi="仿宋" w:eastAsia="仿宋"/>
                <w:sz w:val="24"/>
                <w:szCs w:val="24"/>
              </w:rPr>
              <w:t>李廷秀</w:t>
            </w:r>
          </w:p>
        </w:tc>
        <w:tc>
          <w:tcPr>
            <w:tcW w:w="2628" w:type="dxa"/>
            <w:tcBorders>
              <w:top w:val="single" w:color="auto" w:sz="4" w:space="0"/>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leftChars="0" w:right="0" w:rightChars="0"/>
              <w:rPr>
                <w:rFonts w:hint="default" w:ascii="仿宋" w:hAnsi="仿宋" w:eastAsia="仿宋" w:cstheme="minorBidi"/>
                <w:kern w:val="2"/>
                <w:sz w:val="24"/>
                <w:szCs w:val="24"/>
                <w:lang w:val="en-US" w:eastAsia="zh-CN" w:bidi="ar-SA"/>
              </w:rPr>
            </w:pPr>
            <w:r>
              <w:rPr>
                <w:rFonts w:hint="eastAsia" w:ascii="仿宋" w:hAnsi="仿宋" w:eastAsia="仿宋"/>
                <w:sz w:val="24"/>
                <w:szCs w:val="24"/>
              </w:rPr>
              <w:t>海南省标准化协会</w:t>
            </w:r>
          </w:p>
        </w:tc>
        <w:tc>
          <w:tcPr>
            <w:tcW w:w="1319" w:type="dxa"/>
            <w:tcBorders>
              <w:top w:val="single" w:color="auto" w:sz="4" w:space="0"/>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default" w:ascii="仿宋" w:hAnsi="仿宋" w:eastAsia="仿宋" w:cstheme="minorBidi"/>
                <w:kern w:val="2"/>
                <w:sz w:val="24"/>
                <w:szCs w:val="24"/>
                <w:lang w:val="en-US" w:eastAsia="zh-CN" w:bidi="ar-SA"/>
              </w:rPr>
            </w:pPr>
            <w:r>
              <w:rPr>
                <w:rFonts w:hint="default" w:ascii="仿宋" w:hAnsi="仿宋" w:eastAsia="仿宋"/>
                <w:color w:val="000000"/>
                <w:sz w:val="24"/>
                <w:szCs w:val="24"/>
              </w:rPr>
              <w:t>技术人员</w:t>
            </w:r>
          </w:p>
        </w:tc>
        <w:tc>
          <w:tcPr>
            <w:tcW w:w="3217" w:type="dxa"/>
            <w:tcBorders>
              <w:top w:val="single" w:color="auto" w:sz="4" w:space="0"/>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leftChars="0" w:right="0" w:rightChars="0"/>
              <w:rPr>
                <w:rFonts w:hint="default" w:ascii="仿宋" w:hAnsi="仿宋" w:eastAsia="仿宋" w:cstheme="minorBidi"/>
                <w:kern w:val="2"/>
                <w:sz w:val="24"/>
                <w:szCs w:val="24"/>
                <w:lang w:val="en-US" w:eastAsia="zh-CN" w:bidi="ar-SA"/>
              </w:rPr>
            </w:pPr>
            <w:r>
              <w:rPr>
                <w:rFonts w:hint="eastAsia" w:ascii="仿宋" w:hAnsi="仿宋" w:eastAsia="仿宋"/>
                <w:sz w:val="24"/>
                <w:szCs w:val="24"/>
              </w:rPr>
              <w:t>负责收集汇总相关材料、标准起草、编制说明编写、意见处理</w:t>
            </w:r>
          </w:p>
        </w:tc>
        <w:tc>
          <w:tcPr>
            <w:tcW w:w="1275" w:type="dxa"/>
            <w:tcBorders>
              <w:top w:val="single" w:color="auto" w:sz="4" w:space="0"/>
              <w:left w:val="nil"/>
              <w:bottom w:val="single" w:color="auto" w:sz="4" w:space="0"/>
            </w:tcBorders>
            <w:vAlign w:val="center"/>
          </w:tcPr>
          <w:p>
            <w:pPr>
              <w:keepNext w:val="0"/>
              <w:keepLines w:val="0"/>
              <w:suppressLineNumbers w:val="0"/>
              <w:spacing w:before="0" w:beforeAutospacing="0" w:after="0" w:afterAutospacing="0"/>
              <w:ind w:left="0" w:leftChars="0" w:right="0" w:rightChars="0"/>
              <w:rPr>
                <w:rFonts w:hint="default" w:ascii="仿宋" w:hAnsi="仿宋" w:eastAsia="仿宋"/>
                <w:sz w:val="24"/>
                <w:szCs w:val="24"/>
              </w:rPr>
            </w:pPr>
            <w:r>
              <w:rPr>
                <w:rFonts w:hint="default" w:ascii="仿宋" w:hAnsi="仿宋" w:eastAsia="仿宋"/>
                <w:sz w:val="24"/>
                <w:szCs w:val="24"/>
              </w:rPr>
              <w:t>6522599</w:t>
            </w:r>
            <w:r>
              <w:rPr>
                <w:rFonts w:hint="eastAsia" w:ascii="仿宋" w:hAnsi="仿宋" w:eastAsia="仿宋"/>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415" w:hRule="atLeast"/>
        </w:trPr>
        <w:tc>
          <w:tcPr>
            <w:tcW w:w="567" w:type="dxa"/>
            <w:tcBorders>
              <w:top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仿宋" w:hAnsi="仿宋" w:eastAsia="仿宋" w:cstheme="minorBidi"/>
                <w:kern w:val="2"/>
                <w:sz w:val="24"/>
                <w:szCs w:val="24"/>
                <w:lang w:val="en-US" w:eastAsia="zh-CN" w:bidi="ar-SA"/>
              </w:rPr>
            </w:pPr>
            <w:r>
              <w:rPr>
                <w:rFonts w:hint="eastAsia" w:ascii="仿宋" w:hAnsi="仿宋" w:eastAsia="仿宋"/>
                <w:sz w:val="24"/>
                <w:szCs w:val="24"/>
                <w:lang w:val="en-US" w:eastAsia="zh-CN"/>
              </w:rPr>
              <w:t>7</w:t>
            </w:r>
          </w:p>
        </w:tc>
        <w:tc>
          <w:tcPr>
            <w:tcW w:w="105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default" w:ascii="仿宋" w:hAnsi="仿宋" w:eastAsia="仿宋"/>
                <w:sz w:val="24"/>
                <w:szCs w:val="24"/>
                <w:lang w:val="en-US" w:eastAsia="zh-CN"/>
              </w:rPr>
            </w:pPr>
            <w:r>
              <w:rPr>
                <w:rFonts w:hint="eastAsia" w:ascii="仿宋" w:hAnsi="仿宋" w:eastAsia="仿宋"/>
                <w:sz w:val="24"/>
                <w:szCs w:val="24"/>
                <w:lang w:val="en-US" w:eastAsia="zh-CN"/>
              </w:rPr>
              <w:t>金佳佳</w:t>
            </w:r>
          </w:p>
        </w:tc>
        <w:tc>
          <w:tcPr>
            <w:tcW w:w="2628" w:type="dxa"/>
            <w:tcBorders>
              <w:top w:val="single" w:color="auto" w:sz="4" w:space="0"/>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leftChars="0" w:right="0" w:rightChars="0"/>
              <w:rPr>
                <w:rFonts w:hint="eastAsia" w:ascii="仿宋" w:hAnsi="仿宋" w:eastAsia="仿宋" w:cstheme="minorBidi"/>
                <w:kern w:val="2"/>
                <w:sz w:val="24"/>
                <w:szCs w:val="24"/>
                <w:lang w:val="en-US" w:eastAsia="zh-CN" w:bidi="ar-SA"/>
              </w:rPr>
            </w:pPr>
            <w:r>
              <w:rPr>
                <w:rFonts w:hint="eastAsia" w:ascii="仿宋" w:hAnsi="仿宋" w:eastAsia="仿宋"/>
                <w:sz w:val="24"/>
                <w:szCs w:val="24"/>
              </w:rPr>
              <w:t>海南省标准化协会</w:t>
            </w:r>
          </w:p>
        </w:tc>
        <w:tc>
          <w:tcPr>
            <w:tcW w:w="1319" w:type="dxa"/>
            <w:tcBorders>
              <w:top w:val="single" w:color="auto" w:sz="4" w:space="0"/>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default" w:ascii="仿宋" w:hAnsi="仿宋" w:eastAsia="仿宋" w:cstheme="minorBidi"/>
                <w:kern w:val="2"/>
                <w:sz w:val="24"/>
                <w:szCs w:val="24"/>
                <w:lang w:val="en-US" w:eastAsia="zh-CN" w:bidi="ar-SA"/>
              </w:rPr>
            </w:pPr>
            <w:r>
              <w:rPr>
                <w:rFonts w:hint="default" w:ascii="仿宋" w:hAnsi="仿宋" w:eastAsia="仿宋"/>
                <w:color w:val="000000"/>
                <w:sz w:val="24"/>
                <w:szCs w:val="24"/>
              </w:rPr>
              <w:t>技术人员</w:t>
            </w:r>
          </w:p>
        </w:tc>
        <w:tc>
          <w:tcPr>
            <w:tcW w:w="3217" w:type="dxa"/>
            <w:tcBorders>
              <w:top w:val="single" w:color="auto" w:sz="4" w:space="0"/>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leftChars="0" w:right="0" w:rightChars="0"/>
              <w:rPr>
                <w:rFonts w:hint="eastAsia" w:ascii="仿宋" w:hAnsi="仿宋" w:eastAsia="仿宋" w:cstheme="minorBidi"/>
                <w:kern w:val="2"/>
                <w:sz w:val="24"/>
                <w:szCs w:val="24"/>
                <w:lang w:val="en-US" w:eastAsia="zh-CN" w:bidi="ar-SA"/>
              </w:rPr>
            </w:pPr>
            <w:r>
              <w:rPr>
                <w:rFonts w:hint="eastAsia" w:ascii="仿宋" w:hAnsi="仿宋" w:eastAsia="仿宋"/>
                <w:sz w:val="24"/>
                <w:szCs w:val="24"/>
              </w:rPr>
              <w:t>负责收集汇总相关材料、标准起草、编制说明编写、意见处理</w:t>
            </w:r>
          </w:p>
        </w:tc>
        <w:tc>
          <w:tcPr>
            <w:tcW w:w="1275" w:type="dxa"/>
            <w:tcBorders>
              <w:top w:val="single" w:color="auto" w:sz="4" w:space="0"/>
              <w:left w:val="nil"/>
              <w:bottom w:val="single" w:color="auto" w:sz="4" w:space="0"/>
            </w:tcBorders>
            <w:vAlign w:val="center"/>
          </w:tcPr>
          <w:p>
            <w:pPr>
              <w:keepNext w:val="0"/>
              <w:keepLines w:val="0"/>
              <w:suppressLineNumbers w:val="0"/>
              <w:spacing w:before="0" w:beforeAutospacing="0" w:after="0" w:afterAutospacing="0"/>
              <w:ind w:left="0" w:leftChars="0" w:right="0" w:rightChars="0"/>
              <w:rPr>
                <w:rFonts w:hint="default" w:ascii="仿宋" w:hAnsi="仿宋" w:eastAsia="仿宋"/>
                <w:sz w:val="24"/>
                <w:szCs w:val="24"/>
              </w:rPr>
            </w:pPr>
            <w:r>
              <w:rPr>
                <w:rFonts w:hint="default" w:ascii="仿宋" w:hAnsi="仿宋" w:eastAsia="仿宋"/>
                <w:sz w:val="24"/>
                <w:szCs w:val="24"/>
              </w:rPr>
              <w:t>6522599</w:t>
            </w:r>
            <w:r>
              <w:rPr>
                <w:rFonts w:hint="eastAsia" w:ascii="仿宋" w:hAnsi="仿宋" w:eastAsia="仿宋"/>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415" w:hRule="atLeast"/>
        </w:trPr>
        <w:tc>
          <w:tcPr>
            <w:tcW w:w="567" w:type="dxa"/>
            <w:tcBorders>
              <w:top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default" w:ascii="仿宋" w:hAnsi="仿宋" w:eastAsia="仿宋"/>
                <w:sz w:val="24"/>
                <w:szCs w:val="24"/>
                <w:lang w:val="en-US" w:eastAsia="zh-CN"/>
              </w:rPr>
            </w:pPr>
            <w:r>
              <w:rPr>
                <w:rFonts w:hint="eastAsia" w:ascii="仿宋" w:hAnsi="仿宋" w:eastAsia="仿宋"/>
                <w:sz w:val="24"/>
                <w:szCs w:val="24"/>
                <w:lang w:val="en-US" w:eastAsia="zh-CN"/>
              </w:rPr>
              <w:t>8</w:t>
            </w:r>
          </w:p>
        </w:tc>
        <w:tc>
          <w:tcPr>
            <w:tcW w:w="105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default" w:ascii="仿宋" w:hAnsi="仿宋" w:eastAsia="仿宋"/>
                <w:sz w:val="24"/>
                <w:szCs w:val="24"/>
                <w:lang w:val="en-US" w:eastAsia="zh-CN"/>
              </w:rPr>
            </w:pPr>
            <w:r>
              <w:rPr>
                <w:rFonts w:hint="eastAsia" w:ascii="仿宋" w:hAnsi="仿宋" w:eastAsia="仿宋"/>
                <w:sz w:val="24"/>
                <w:szCs w:val="24"/>
                <w:lang w:val="en-US" w:eastAsia="zh-CN"/>
              </w:rPr>
              <w:t>汤雪</w:t>
            </w:r>
          </w:p>
        </w:tc>
        <w:tc>
          <w:tcPr>
            <w:tcW w:w="2628" w:type="dxa"/>
            <w:tcBorders>
              <w:top w:val="single" w:color="auto" w:sz="4" w:space="0"/>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leftChars="0" w:right="0" w:rightChars="0"/>
              <w:rPr>
                <w:rFonts w:hint="eastAsia" w:ascii="仿宋" w:hAnsi="仿宋" w:eastAsia="仿宋"/>
                <w:sz w:val="24"/>
                <w:szCs w:val="24"/>
              </w:rPr>
            </w:pPr>
            <w:r>
              <w:rPr>
                <w:rFonts w:hint="eastAsia" w:ascii="仿宋" w:hAnsi="仿宋" w:eastAsia="仿宋"/>
                <w:sz w:val="24"/>
                <w:szCs w:val="24"/>
              </w:rPr>
              <w:t>海南省标准化协会</w:t>
            </w:r>
          </w:p>
        </w:tc>
        <w:tc>
          <w:tcPr>
            <w:tcW w:w="1319" w:type="dxa"/>
            <w:tcBorders>
              <w:top w:val="single" w:color="auto" w:sz="4" w:space="0"/>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default" w:ascii="仿宋" w:hAnsi="仿宋" w:eastAsia="仿宋"/>
                <w:color w:val="000000"/>
                <w:sz w:val="24"/>
                <w:szCs w:val="24"/>
              </w:rPr>
            </w:pPr>
            <w:r>
              <w:rPr>
                <w:rFonts w:hint="default" w:ascii="仿宋" w:hAnsi="仿宋" w:eastAsia="仿宋"/>
                <w:color w:val="000000"/>
                <w:sz w:val="24"/>
                <w:szCs w:val="24"/>
              </w:rPr>
              <w:t>技术人员</w:t>
            </w:r>
          </w:p>
        </w:tc>
        <w:tc>
          <w:tcPr>
            <w:tcW w:w="3217" w:type="dxa"/>
            <w:tcBorders>
              <w:top w:val="single" w:color="auto" w:sz="4" w:space="0"/>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leftChars="0" w:right="0" w:rightChars="0"/>
              <w:rPr>
                <w:rFonts w:hint="eastAsia" w:ascii="仿宋" w:hAnsi="仿宋" w:eastAsia="仿宋"/>
                <w:sz w:val="24"/>
                <w:szCs w:val="24"/>
              </w:rPr>
            </w:pPr>
            <w:r>
              <w:rPr>
                <w:rFonts w:hint="eastAsia" w:ascii="仿宋" w:hAnsi="仿宋" w:eastAsia="仿宋"/>
                <w:sz w:val="24"/>
                <w:szCs w:val="24"/>
              </w:rPr>
              <w:t>负责收集汇总相关材料、标准起草、编制说明编写、意见处理</w:t>
            </w:r>
          </w:p>
        </w:tc>
        <w:tc>
          <w:tcPr>
            <w:tcW w:w="1275" w:type="dxa"/>
            <w:tcBorders>
              <w:top w:val="single" w:color="auto" w:sz="4" w:space="0"/>
              <w:left w:val="nil"/>
              <w:bottom w:val="single" w:color="auto" w:sz="4" w:space="0"/>
            </w:tcBorders>
            <w:vAlign w:val="center"/>
          </w:tcPr>
          <w:p>
            <w:pPr>
              <w:keepNext w:val="0"/>
              <w:keepLines w:val="0"/>
              <w:suppressLineNumbers w:val="0"/>
              <w:spacing w:before="0" w:beforeAutospacing="0" w:after="0" w:afterAutospacing="0"/>
              <w:ind w:left="0" w:leftChars="0" w:right="0" w:rightChars="0"/>
              <w:rPr>
                <w:rFonts w:hint="default" w:ascii="仿宋" w:hAnsi="仿宋" w:eastAsia="仿宋"/>
                <w:sz w:val="24"/>
                <w:szCs w:val="24"/>
              </w:rPr>
            </w:pPr>
            <w:r>
              <w:rPr>
                <w:rFonts w:hint="default" w:ascii="仿宋" w:hAnsi="仿宋" w:eastAsia="仿宋"/>
                <w:sz w:val="24"/>
                <w:szCs w:val="24"/>
              </w:rPr>
              <w:t>6522599</w:t>
            </w:r>
            <w:r>
              <w:rPr>
                <w:rFonts w:hint="eastAsia" w:ascii="仿宋" w:hAnsi="仿宋" w:eastAsia="仿宋"/>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415" w:hRule="atLeast"/>
        </w:trPr>
        <w:tc>
          <w:tcPr>
            <w:tcW w:w="567" w:type="dxa"/>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lang w:val="en-US" w:eastAsia="zh-CN"/>
              </w:rPr>
            </w:pPr>
            <w:r>
              <w:rPr>
                <w:rFonts w:hint="eastAsia" w:ascii="仿宋" w:hAnsi="仿宋" w:eastAsia="仿宋"/>
                <w:sz w:val="24"/>
                <w:szCs w:val="24"/>
                <w:lang w:val="en-US" w:eastAsia="zh-CN"/>
              </w:rPr>
              <w:t>9</w:t>
            </w:r>
          </w:p>
        </w:tc>
        <w:tc>
          <w:tcPr>
            <w:tcW w:w="1058"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center"/>
              <w:rPr>
                <w:rFonts w:hint="default" w:ascii="仿宋" w:hAnsi="仿宋" w:eastAsia="仿宋"/>
                <w:sz w:val="24"/>
                <w:szCs w:val="24"/>
              </w:rPr>
            </w:pPr>
            <w:r>
              <w:rPr>
                <w:rFonts w:hint="eastAsia" w:ascii="仿宋" w:hAnsi="仿宋" w:eastAsia="仿宋"/>
                <w:sz w:val="24"/>
                <w:szCs w:val="24"/>
              </w:rPr>
              <w:t>李淑珍</w:t>
            </w:r>
          </w:p>
        </w:tc>
        <w:tc>
          <w:tcPr>
            <w:tcW w:w="2628"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rPr>
                <w:rFonts w:hint="default" w:ascii="仿宋" w:hAnsi="仿宋" w:eastAsia="仿宋"/>
                <w:sz w:val="24"/>
                <w:szCs w:val="24"/>
              </w:rPr>
            </w:pPr>
            <w:r>
              <w:rPr>
                <w:rFonts w:hint="eastAsia" w:ascii="仿宋" w:hAnsi="仿宋" w:eastAsia="仿宋"/>
                <w:sz w:val="24"/>
                <w:szCs w:val="24"/>
              </w:rPr>
              <w:t>海南省标准化协会</w:t>
            </w:r>
          </w:p>
        </w:tc>
        <w:tc>
          <w:tcPr>
            <w:tcW w:w="131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center"/>
              <w:rPr>
                <w:rFonts w:hint="default" w:ascii="仿宋" w:hAnsi="仿宋" w:eastAsia="仿宋"/>
                <w:sz w:val="24"/>
                <w:szCs w:val="24"/>
              </w:rPr>
            </w:pPr>
            <w:r>
              <w:rPr>
                <w:rFonts w:hint="default" w:ascii="仿宋" w:hAnsi="仿宋" w:eastAsia="仿宋"/>
                <w:color w:val="000000"/>
                <w:sz w:val="24"/>
                <w:szCs w:val="24"/>
              </w:rPr>
              <w:t>技术人员</w:t>
            </w:r>
          </w:p>
        </w:tc>
        <w:tc>
          <w:tcPr>
            <w:tcW w:w="321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rPr>
                <w:rFonts w:hint="default" w:ascii="仿宋" w:hAnsi="仿宋" w:eastAsia="仿宋"/>
                <w:sz w:val="24"/>
                <w:szCs w:val="24"/>
              </w:rPr>
            </w:pPr>
            <w:r>
              <w:rPr>
                <w:rFonts w:hint="eastAsia" w:ascii="仿宋" w:hAnsi="仿宋" w:eastAsia="仿宋"/>
                <w:sz w:val="24"/>
                <w:szCs w:val="24"/>
              </w:rPr>
              <w:t>负责收集汇总相关材料、标准起草、编制说明编写、意见处理</w:t>
            </w:r>
          </w:p>
        </w:tc>
        <w:tc>
          <w:tcPr>
            <w:tcW w:w="1275" w:type="dxa"/>
            <w:tcBorders>
              <w:top w:val="single" w:color="auto" w:sz="4" w:space="0"/>
              <w:left w:val="nil"/>
              <w:bottom w:val="single" w:color="auto" w:sz="4" w:space="0"/>
            </w:tcBorders>
            <w:vAlign w:val="center"/>
          </w:tcPr>
          <w:p>
            <w:pPr>
              <w:keepNext w:val="0"/>
              <w:keepLines w:val="0"/>
              <w:suppressLineNumbers w:val="0"/>
              <w:spacing w:before="0" w:beforeAutospacing="0" w:after="0" w:afterAutospacing="0"/>
              <w:ind w:left="0" w:leftChars="0" w:right="0" w:rightChars="0"/>
              <w:rPr>
                <w:rFonts w:hint="default" w:ascii="仿宋" w:hAnsi="仿宋" w:eastAsia="仿宋"/>
                <w:sz w:val="24"/>
                <w:szCs w:val="24"/>
              </w:rPr>
            </w:pPr>
            <w:r>
              <w:rPr>
                <w:rFonts w:hint="default" w:ascii="仿宋" w:hAnsi="仿宋" w:eastAsia="仿宋"/>
                <w:sz w:val="24"/>
                <w:szCs w:val="24"/>
              </w:rPr>
              <w:t>6522599</w:t>
            </w:r>
            <w:r>
              <w:rPr>
                <w:rFonts w:hint="eastAsia" w:ascii="仿宋" w:hAnsi="仿宋" w:eastAsia="仿宋"/>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722" w:hRule="atLeast"/>
        </w:trPr>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lang w:val="en-US" w:eastAsia="zh-CN"/>
              </w:rPr>
            </w:pPr>
            <w:r>
              <w:rPr>
                <w:rFonts w:hint="eastAsia" w:ascii="仿宋" w:hAnsi="仿宋" w:eastAsia="仿宋"/>
                <w:sz w:val="24"/>
                <w:szCs w:val="24"/>
                <w:lang w:val="en-US" w:eastAsia="zh-CN"/>
              </w:rPr>
              <w:t>10</w:t>
            </w:r>
          </w:p>
        </w:tc>
        <w:tc>
          <w:tcPr>
            <w:tcW w:w="105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default" w:ascii="仿宋" w:hAnsi="仿宋" w:eastAsia="仿宋"/>
                <w:sz w:val="24"/>
                <w:szCs w:val="24"/>
              </w:rPr>
              <w:t>黄家将</w:t>
            </w:r>
          </w:p>
        </w:tc>
        <w:tc>
          <w:tcPr>
            <w:tcW w:w="262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 w:hAnsi="仿宋" w:eastAsia="仿宋"/>
                <w:sz w:val="24"/>
                <w:szCs w:val="24"/>
              </w:rPr>
            </w:pPr>
            <w:r>
              <w:rPr>
                <w:rFonts w:hint="eastAsia" w:ascii="仿宋" w:hAnsi="仿宋" w:eastAsia="仿宋"/>
                <w:sz w:val="24"/>
                <w:szCs w:val="24"/>
              </w:rPr>
              <w:t>海南省标准化协会</w:t>
            </w:r>
          </w:p>
        </w:tc>
        <w:tc>
          <w:tcPr>
            <w:tcW w:w="131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olor w:val="000000"/>
                <w:sz w:val="24"/>
                <w:szCs w:val="24"/>
              </w:rPr>
            </w:pPr>
            <w:r>
              <w:rPr>
                <w:rFonts w:hint="default" w:ascii="仿宋" w:hAnsi="仿宋" w:eastAsia="仿宋"/>
                <w:color w:val="000000"/>
                <w:sz w:val="24"/>
                <w:szCs w:val="24"/>
              </w:rPr>
              <w:t>技术人员</w:t>
            </w:r>
          </w:p>
        </w:tc>
        <w:tc>
          <w:tcPr>
            <w:tcW w:w="3217"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 w:hAnsi="仿宋" w:eastAsia="仿宋"/>
                <w:sz w:val="24"/>
                <w:szCs w:val="24"/>
              </w:rPr>
            </w:pPr>
            <w:r>
              <w:rPr>
                <w:rFonts w:hint="eastAsia" w:ascii="仿宋" w:hAnsi="仿宋" w:eastAsia="仿宋"/>
                <w:sz w:val="24"/>
                <w:szCs w:val="24"/>
              </w:rPr>
              <w:t>负责收集汇总相关材料、标准起草、编制说明编写、意见处理</w:t>
            </w:r>
          </w:p>
        </w:tc>
        <w:tc>
          <w:tcPr>
            <w:tcW w:w="1275" w:type="dxa"/>
            <w:tcBorders>
              <w:top w:val="single" w:color="auto" w:sz="4" w:space="0"/>
              <w:left w:val="nil"/>
              <w:bottom w:val="single" w:color="auto" w:sz="4" w:space="0"/>
            </w:tcBorders>
            <w:vAlign w:val="center"/>
          </w:tcPr>
          <w:p>
            <w:pPr>
              <w:keepNext w:val="0"/>
              <w:keepLines w:val="0"/>
              <w:suppressLineNumbers w:val="0"/>
              <w:spacing w:before="0" w:beforeAutospacing="0" w:after="0" w:afterAutospacing="0"/>
              <w:ind w:left="0" w:leftChars="0" w:right="0" w:rightChars="0"/>
              <w:rPr>
                <w:rFonts w:hint="default" w:ascii="仿宋" w:hAnsi="仿宋" w:eastAsia="仿宋"/>
                <w:sz w:val="24"/>
                <w:szCs w:val="24"/>
              </w:rPr>
            </w:pPr>
            <w:r>
              <w:rPr>
                <w:rFonts w:hint="default" w:ascii="仿宋" w:hAnsi="仿宋" w:eastAsia="仿宋"/>
                <w:sz w:val="24"/>
                <w:szCs w:val="24"/>
              </w:rPr>
              <w:t>6522599</w:t>
            </w:r>
            <w:r>
              <w:rPr>
                <w:rFonts w:hint="eastAsia" w:ascii="仿宋" w:hAnsi="仿宋" w:eastAsia="仿宋"/>
                <w:sz w:val="24"/>
                <w:szCs w:val="24"/>
                <w:lang w:val="en-US" w:eastAsia="zh-CN"/>
              </w:rPr>
              <w:t>1</w:t>
            </w:r>
          </w:p>
        </w:tc>
      </w:tr>
    </w:tbl>
    <w:p>
      <w:pPr>
        <w:pStyle w:val="3"/>
        <w:rPr>
          <w:rFonts w:ascii="黑体" w:hAnsi="黑体" w:eastAsia="黑体"/>
        </w:rPr>
      </w:pPr>
      <w:r>
        <w:rPr>
          <w:rFonts w:ascii="黑体" w:hAnsi="黑体" w:eastAsia="黑体"/>
        </w:rPr>
        <w:t>二、编制情况</w:t>
      </w:r>
    </w:p>
    <w:p>
      <w:pPr>
        <w:ind w:firstLine="642" w:firstLineChars="200"/>
        <w:rPr>
          <w:rFonts w:ascii="楷体_GB2312" w:hAnsi="仿宋" w:eastAsia="楷体_GB2312"/>
          <w:b/>
          <w:sz w:val="32"/>
          <w:szCs w:val="32"/>
        </w:rPr>
      </w:pPr>
      <w:r>
        <w:rPr>
          <w:rFonts w:hint="eastAsia" w:ascii="楷体_GB2312" w:hAnsi="仿宋" w:eastAsia="楷体_GB2312"/>
          <w:b/>
          <w:sz w:val="32"/>
          <w:szCs w:val="32"/>
        </w:rPr>
        <w:t>（一）编制标准的必要性和意义及背景</w:t>
      </w:r>
    </w:p>
    <w:p>
      <w:pPr>
        <w:ind w:firstLine="640" w:firstLineChars="200"/>
        <w:rPr>
          <w:rFonts w:hint="eastAsia" w:ascii="仿宋" w:hAnsi="仿宋" w:eastAsia="仿宋"/>
          <w:sz w:val="32"/>
          <w:szCs w:val="32"/>
        </w:rPr>
      </w:pPr>
      <w:r>
        <w:rPr>
          <w:rFonts w:hint="eastAsia" w:ascii="仿宋" w:hAnsi="仿宋" w:eastAsia="仿宋"/>
          <w:sz w:val="32"/>
          <w:szCs w:val="32"/>
        </w:rPr>
        <w:t>“双随机、一公开”是国务院办公厅于2015年8月发布的《国务院办公厅关于推广随机抽查规范事中事后监管的通知》中要求在全国全面推行的一种监管模式。全面推行“双随机、一公开”监管，随机抽取检查对象，随机选派执法检查人员，抽查情况及查处结果及时向社会公开，是深化简政放权、放管结合、优化服务改革的重要举措，也是推动企业信用体系建设的有效方式和优化营商环境的有力保障。这种监管模式可以在降低监管成本的同时显著提升监管效能，适应改革新形势，并通过信用风险分级分类管理来增强企业自我约束力，实现由企业对政府负责向对社会负责、由政府监管向社会共治的转变。同时，“双随机、一公开”监管还有助于实现“进一次门，查多项事”，减少对企业正常生产经营活动的不必要干预，营造公平竞争的市场环境。</w:t>
      </w:r>
    </w:p>
    <w:p>
      <w:pPr>
        <w:ind w:firstLine="640" w:firstLineChars="200"/>
        <w:rPr>
          <w:rFonts w:hint="eastAsia" w:ascii="仿宋" w:hAnsi="仿宋" w:eastAsia="仿宋"/>
          <w:sz w:val="32"/>
          <w:szCs w:val="32"/>
        </w:rPr>
      </w:pPr>
      <w:r>
        <w:rPr>
          <w:rFonts w:hint="eastAsia" w:ascii="仿宋" w:hAnsi="仿宋" w:eastAsia="仿宋"/>
          <w:sz w:val="32"/>
          <w:szCs w:val="32"/>
        </w:rPr>
        <w:t>2019年2月15日，国务院发布了《关于在市场监管领域全面推行部门联合“双随机、一公开”监管的意见》，要求在市场监管领域全面推行“双随机、一公开”监管。建设监管工作平台、依法制定抽查事项清单、建立健全随机抽查“两库”、建立“双随机”抽查机制。运用大数据、市场监管信息平台及企业信用体系进行监管，体现了科技创新对政府治理创新的推动作用。“双随机、一公开”监管模式改革极大激发了地方政府制度创新、治理创新的动力和活力。</w:t>
      </w:r>
    </w:p>
    <w:p>
      <w:pPr>
        <w:ind w:firstLine="640" w:firstLineChars="200"/>
        <w:rPr>
          <w:rFonts w:hint="eastAsia" w:ascii="仿宋" w:hAnsi="仿宋" w:eastAsia="仿宋"/>
          <w:sz w:val="32"/>
          <w:szCs w:val="32"/>
        </w:rPr>
      </w:pPr>
      <w:r>
        <w:rPr>
          <w:rFonts w:hint="eastAsia" w:ascii="仿宋" w:hAnsi="仿宋" w:eastAsia="仿宋"/>
          <w:sz w:val="32"/>
          <w:szCs w:val="32"/>
        </w:rPr>
        <w:t>标准是经济活动和社会发展的技术支撑，是国家基础性制度的重要方面。标准化在推进国家治理体系和治理能力现代化中发挥着基础性、引领性作用。2022年1月，国务院印发《“十四五”市场监管现代化规划》，对推进我国市场监管现代化作出全面部署，提出“围绕建设高标准市场体系，加快推动市场监管制度机制不断成熟定型。遵循市场监管规律，顺应市场发展趋势，创新丰富监管工具，优化监管资源配置，强化科技支撑，不断增强监管效能。”创新和完善市场监管，推进市场监管现代化，是建立统一开放竞争有序的现代市场体系的客观需要，是完善社会主义市场经济体制的内在要求。目前，全国范围内各类市场监管管理标准较为匮乏，“双随机、一公开”标准方面，目前国内尚无相关的国家标准，海南省也未发布相关地方标准。</w:t>
      </w:r>
    </w:p>
    <w:p>
      <w:pPr>
        <w:ind w:firstLine="640" w:firstLineChars="200"/>
        <w:rPr>
          <w:rFonts w:hint="eastAsia" w:ascii="仿宋" w:hAnsi="仿宋" w:eastAsia="仿宋"/>
          <w:sz w:val="32"/>
          <w:szCs w:val="32"/>
        </w:rPr>
      </w:pPr>
      <w:r>
        <w:rPr>
          <w:rFonts w:hint="eastAsia" w:ascii="仿宋" w:hAnsi="仿宋" w:eastAsia="仿宋"/>
          <w:sz w:val="32"/>
          <w:szCs w:val="32"/>
        </w:rPr>
        <w:t>制定海南省地方标准《市场监管领域“双随机、一公开”监管工作规范》是积极贯彻落实《国家标准化发展纲要》、《“十四五”市场监管现代化规划》等国家及部委政策文件，也是补充完善市场监管标准体系，推进市场监管标准化建设，完善事前事中事后监管的关键环节，规范海南省市场监管领域“双随机、一公开”监管行为,进一步完善以“双随机、一公开”为基本手段、以重点监管为补充、以信用监管为基础的新型监管机制。通过该标准的发布实施，更好地规范“双随机一公开”监督抽查行为，从监管工作制度的组织方式、工作基础、监管实施、结果运用和协同联动等多个方面形成标准，提高监督抽查的公平性、规范性和有效性,推动市场监管服务高效开展，打造公平竞争的市场环境和法治便利化的营商环境，助推海南自贸港高质量发展。</w:t>
      </w:r>
    </w:p>
    <w:p>
      <w:pPr>
        <w:ind w:firstLine="642" w:firstLineChars="200"/>
        <w:rPr>
          <w:rFonts w:ascii="楷体_GB2312" w:hAnsi="仿宋" w:eastAsia="楷体_GB2312"/>
          <w:b/>
          <w:sz w:val="32"/>
          <w:szCs w:val="32"/>
        </w:rPr>
      </w:pPr>
      <w:r>
        <w:rPr>
          <w:rFonts w:hint="eastAsia" w:ascii="楷体_GB2312" w:hAnsi="仿宋" w:eastAsia="楷体_GB2312"/>
          <w:b/>
          <w:sz w:val="32"/>
          <w:szCs w:val="32"/>
        </w:rPr>
        <w:t>（二）编制过程简介</w:t>
      </w:r>
    </w:p>
    <w:p>
      <w:pPr>
        <w:ind w:firstLine="640" w:firstLineChars="200"/>
        <w:jc w:val="left"/>
        <w:rPr>
          <w:rFonts w:ascii="仿宋" w:hAnsi="仿宋" w:eastAsia="仿宋"/>
          <w:sz w:val="32"/>
          <w:szCs w:val="32"/>
        </w:rPr>
      </w:pPr>
      <w:r>
        <w:rPr>
          <w:rFonts w:hint="eastAsia" w:ascii="仿宋" w:hAnsi="仿宋" w:eastAsia="仿宋"/>
          <w:sz w:val="32"/>
          <w:szCs w:val="32"/>
        </w:rPr>
        <w:t>202</w:t>
      </w:r>
      <w:r>
        <w:rPr>
          <w:rFonts w:ascii="仿宋" w:hAnsi="仿宋" w:eastAsia="仿宋"/>
          <w:sz w:val="32"/>
          <w:szCs w:val="32"/>
        </w:rPr>
        <w:t>4</w:t>
      </w:r>
      <w:r>
        <w:rPr>
          <w:rFonts w:hint="eastAsia" w:ascii="仿宋" w:hAnsi="仿宋" w:eastAsia="仿宋"/>
          <w:sz w:val="32"/>
          <w:szCs w:val="32"/>
        </w:rPr>
        <w:t>年</w:t>
      </w:r>
      <w:r>
        <w:rPr>
          <w:rFonts w:ascii="仿宋" w:hAnsi="仿宋" w:eastAsia="仿宋"/>
          <w:sz w:val="32"/>
          <w:szCs w:val="32"/>
        </w:rPr>
        <w:t>4</w:t>
      </w:r>
      <w:r>
        <w:rPr>
          <w:rFonts w:hint="eastAsia" w:ascii="仿宋" w:hAnsi="仿宋" w:eastAsia="仿宋"/>
          <w:sz w:val="32"/>
          <w:szCs w:val="32"/>
        </w:rPr>
        <w:t>月</w:t>
      </w:r>
      <w:r>
        <w:rPr>
          <w:rFonts w:ascii="仿宋" w:hAnsi="仿宋" w:eastAsia="仿宋"/>
          <w:sz w:val="32"/>
          <w:szCs w:val="32"/>
        </w:rPr>
        <w:t>29</w:t>
      </w:r>
      <w:r>
        <w:rPr>
          <w:rFonts w:hint="eastAsia" w:ascii="仿宋" w:hAnsi="仿宋" w:eastAsia="仿宋"/>
          <w:sz w:val="32"/>
          <w:szCs w:val="32"/>
        </w:rPr>
        <w:t>日，海南省检验检测研究院向海南省市场监督管理局提出将《市场监管领域“双随机、一公开”监管工作规范》列入省局2</w:t>
      </w:r>
      <w:r>
        <w:rPr>
          <w:rFonts w:ascii="仿宋" w:hAnsi="仿宋" w:eastAsia="仿宋"/>
          <w:sz w:val="32"/>
          <w:szCs w:val="32"/>
        </w:rPr>
        <w:t>024年地方标准制定计划的请示。</w:t>
      </w:r>
      <w:r>
        <w:rPr>
          <w:rFonts w:hint="eastAsia" w:ascii="仿宋" w:hAnsi="仿宋" w:eastAsia="仿宋"/>
          <w:sz w:val="32"/>
          <w:szCs w:val="32"/>
        </w:rPr>
        <w:t>同时，海南省检验检测研究院联合海南省标准化协会召集专业技术人员成立标准编制小组，制定编制计划，收集相关政策和国家标准、行业标准和地方标准文件，研究分析相关技术要求，按照《地方标准制修订工作规范》（DB46/T 74-2021），结合海南省实际情况，起草形成《市场监管领域“双随机、一公开”监管工作规范》征求意见稿。</w:t>
      </w:r>
    </w:p>
    <w:p>
      <w:pPr>
        <w:ind w:firstLine="640" w:firstLineChars="200"/>
        <w:jc w:val="left"/>
        <w:rPr>
          <w:rFonts w:ascii="仿宋" w:hAnsi="仿宋" w:eastAsia="仿宋"/>
          <w:sz w:val="32"/>
          <w:szCs w:val="32"/>
        </w:rPr>
      </w:pPr>
      <w:r>
        <w:rPr>
          <w:rFonts w:ascii="楷体" w:hAnsi="楷体" w:eastAsia="楷体"/>
          <w:sz w:val="32"/>
          <w:szCs w:val="32"/>
        </w:rPr>
        <w:t>标准起草过程</w:t>
      </w:r>
      <w:r>
        <w:rPr>
          <w:rFonts w:hint="eastAsia" w:ascii="仿宋" w:hAnsi="仿宋" w:eastAsia="仿宋"/>
          <w:sz w:val="32"/>
          <w:szCs w:val="32"/>
        </w:rPr>
        <w:t>：</w:t>
      </w:r>
    </w:p>
    <w:p>
      <w:pPr>
        <w:numPr>
          <w:ilvl w:val="0"/>
          <w:numId w:val="2"/>
        </w:numPr>
        <w:autoSpaceDN w:val="0"/>
        <w:spacing w:line="480" w:lineRule="auto"/>
        <w:ind w:firstLine="642" w:firstLineChars="200"/>
        <w:rPr>
          <w:rFonts w:ascii="仿宋" w:hAnsi="仿宋" w:eastAsia="仿宋"/>
          <w:sz w:val="32"/>
          <w:szCs w:val="32"/>
        </w:rPr>
      </w:pPr>
      <w:r>
        <w:rPr>
          <w:rFonts w:ascii="仿宋" w:hAnsi="仿宋" w:eastAsia="仿宋"/>
          <w:b/>
          <w:sz w:val="32"/>
          <w:szCs w:val="32"/>
        </w:rPr>
        <w:t>拟定初稿</w:t>
      </w:r>
      <w:r>
        <w:rPr>
          <w:rFonts w:hint="eastAsia" w:ascii="仿宋" w:hAnsi="仿宋" w:eastAsia="仿宋"/>
          <w:b/>
          <w:sz w:val="32"/>
          <w:szCs w:val="32"/>
        </w:rPr>
        <w:t>：</w:t>
      </w:r>
      <w:r>
        <w:rPr>
          <w:rFonts w:hint="eastAsia" w:ascii="仿宋" w:hAnsi="仿宋" w:eastAsia="仿宋"/>
          <w:sz w:val="32"/>
          <w:szCs w:val="32"/>
        </w:rPr>
        <w:t xml:space="preserve"> 对“双随机、 一公开”监管工作机制及现状进行研究分析，完成标准相关的初步桌面研究， 并经过多次内部研讨初步确定了标准框架。为了确保标准制定的科学性和可操作性，标准起草组开展了大量的文献政策研究工作。与</w:t>
      </w:r>
      <w:r>
        <w:rPr>
          <w:rFonts w:hint="eastAsia" w:ascii="仿宋" w:hAnsi="仿宋" w:eastAsia="仿宋"/>
          <w:sz w:val="32"/>
          <w:szCs w:val="32"/>
          <w:lang w:val="en-US" w:eastAsia="zh-CN"/>
        </w:rPr>
        <w:t>海南省</w:t>
      </w:r>
      <w:r>
        <w:rPr>
          <w:rFonts w:hint="eastAsia" w:ascii="仿宋" w:hAnsi="仿宋" w:eastAsia="仿宋"/>
          <w:sz w:val="32"/>
          <w:szCs w:val="32"/>
        </w:rPr>
        <w:t>市场监督管理局等“双随机、一公开”监管工作单位对监管实施需求和实施过程进行密切沟通，并结合前期的桌面研究成果， 经过反复讨论，确定本文件的主要内容，形成较为完善的标准草案。标准编制小组与省检验检测研究院技术人员多次召开标准讨论会，围绕本标准的编制情况展开讨论和研究，完成标准的征求意见稿和编制说明。</w:t>
      </w:r>
    </w:p>
    <w:p>
      <w:pPr>
        <w:ind w:firstLine="642" w:firstLineChars="200"/>
        <w:rPr>
          <w:rFonts w:ascii="仿宋" w:hAnsi="仿宋" w:eastAsia="仿宋"/>
          <w:b/>
          <w:sz w:val="32"/>
          <w:szCs w:val="32"/>
        </w:rPr>
      </w:pPr>
      <w:r>
        <w:rPr>
          <w:rFonts w:hint="eastAsia" w:ascii="仿宋" w:hAnsi="仿宋" w:eastAsia="仿宋"/>
          <w:b/>
          <w:sz w:val="32"/>
          <w:szCs w:val="32"/>
        </w:rPr>
        <w:t>（</w:t>
      </w:r>
      <w:r>
        <w:rPr>
          <w:rFonts w:hint="eastAsia" w:ascii="仿宋" w:hAnsi="仿宋" w:eastAsia="仿宋"/>
          <w:b/>
          <w:sz w:val="32"/>
          <w:szCs w:val="32"/>
          <w:lang w:val="en-US" w:eastAsia="zh-CN"/>
        </w:rPr>
        <w:t>2</w:t>
      </w:r>
      <w:r>
        <w:rPr>
          <w:rFonts w:hint="eastAsia" w:ascii="仿宋" w:hAnsi="仿宋" w:eastAsia="仿宋"/>
          <w:b/>
          <w:sz w:val="32"/>
          <w:szCs w:val="32"/>
        </w:rPr>
        <w:t>）</w:t>
      </w:r>
      <w:r>
        <w:rPr>
          <w:rFonts w:ascii="仿宋" w:hAnsi="仿宋" w:eastAsia="仿宋"/>
          <w:b/>
          <w:sz w:val="32"/>
          <w:szCs w:val="32"/>
        </w:rPr>
        <w:t>征求意见情况：</w:t>
      </w:r>
    </w:p>
    <w:p>
      <w:pPr>
        <w:ind w:firstLine="642" w:firstLineChars="200"/>
        <w:rPr>
          <w:rFonts w:ascii="楷体_GB2312" w:hAnsi="仿宋" w:eastAsia="楷体_GB2312"/>
          <w:b/>
          <w:sz w:val="32"/>
          <w:szCs w:val="32"/>
        </w:rPr>
      </w:pPr>
      <w:r>
        <w:rPr>
          <w:rFonts w:hint="eastAsia" w:ascii="楷体_GB2312" w:hAnsi="仿宋" w:eastAsia="楷体_GB2312"/>
          <w:b/>
          <w:sz w:val="32"/>
          <w:szCs w:val="32"/>
        </w:rPr>
        <w:t>（三）制定标准的原则和依据，与现行法律法规、标准的关系</w:t>
      </w:r>
    </w:p>
    <w:p>
      <w:pPr>
        <w:ind w:firstLine="642" w:firstLineChars="200"/>
        <w:rPr>
          <w:rFonts w:ascii="仿宋" w:hAnsi="仿宋" w:eastAsia="仿宋"/>
          <w:b/>
          <w:sz w:val="32"/>
          <w:szCs w:val="32"/>
        </w:rPr>
      </w:pPr>
      <w:r>
        <w:rPr>
          <w:rFonts w:hint="eastAsia" w:ascii="仿宋" w:hAnsi="仿宋" w:eastAsia="仿宋"/>
          <w:b/>
          <w:sz w:val="32"/>
          <w:szCs w:val="32"/>
        </w:rPr>
        <w:t>1、制定标准的原则</w:t>
      </w:r>
    </w:p>
    <w:p>
      <w:pPr>
        <w:ind w:firstLine="640" w:firstLineChars="200"/>
        <w:rPr>
          <w:rFonts w:ascii="仿宋" w:hAnsi="仿宋" w:eastAsia="仿宋"/>
          <w:sz w:val="32"/>
          <w:szCs w:val="32"/>
        </w:rPr>
      </w:pPr>
      <w:r>
        <w:rPr>
          <w:rFonts w:hint="eastAsia" w:ascii="仿宋" w:hAnsi="仿宋" w:eastAsia="仿宋"/>
          <w:sz w:val="32"/>
          <w:szCs w:val="32"/>
        </w:rPr>
        <w:t>制定标准主要遵循“统一性、协调性、适用性、一致性、规范性”的原则，尽可能与国际通行标准接轨，注重标准的可操作性。</w:t>
      </w:r>
    </w:p>
    <w:p>
      <w:pPr>
        <w:ind w:firstLine="642" w:firstLineChars="200"/>
        <w:rPr>
          <w:rFonts w:ascii="仿宋" w:hAnsi="仿宋" w:eastAsia="仿宋"/>
          <w:b/>
          <w:sz w:val="32"/>
          <w:szCs w:val="32"/>
        </w:rPr>
      </w:pPr>
      <w:r>
        <w:rPr>
          <w:rFonts w:hint="eastAsia" w:ascii="仿宋" w:hAnsi="仿宋" w:eastAsia="仿宋"/>
          <w:b/>
          <w:sz w:val="32"/>
          <w:szCs w:val="32"/>
        </w:rPr>
        <w:t>2、制定标准的依据</w:t>
      </w:r>
    </w:p>
    <w:p>
      <w:pPr>
        <w:ind w:firstLine="640" w:firstLineChars="200"/>
        <w:rPr>
          <w:rFonts w:ascii="仿宋" w:hAnsi="仿宋" w:eastAsia="仿宋"/>
          <w:sz w:val="32"/>
          <w:szCs w:val="32"/>
        </w:rPr>
      </w:pPr>
      <w:r>
        <w:rPr>
          <w:rFonts w:hint="eastAsia" w:ascii="仿宋" w:hAnsi="仿宋" w:eastAsia="仿宋"/>
          <w:sz w:val="32"/>
          <w:szCs w:val="32"/>
        </w:rPr>
        <w:t>标准编写按照相关国家标准的要求，如《标准化工作导则 第1 部分：标准的结构和编写》（GB/T1.1-2020），《地方标准制修订工作规范》（DB</w:t>
      </w:r>
      <w:r>
        <w:rPr>
          <w:rFonts w:ascii="仿宋" w:hAnsi="仿宋" w:eastAsia="仿宋"/>
          <w:sz w:val="32"/>
          <w:szCs w:val="32"/>
        </w:rPr>
        <w:t>46</w:t>
      </w:r>
      <w:r>
        <w:rPr>
          <w:rFonts w:hint="eastAsia" w:ascii="仿宋" w:hAnsi="仿宋" w:eastAsia="仿宋"/>
          <w:sz w:val="32"/>
          <w:szCs w:val="32"/>
        </w:rPr>
        <w:t xml:space="preserve">/T </w:t>
      </w:r>
      <w:r>
        <w:rPr>
          <w:rFonts w:ascii="仿宋" w:hAnsi="仿宋" w:eastAsia="仿宋"/>
          <w:sz w:val="32"/>
          <w:szCs w:val="32"/>
        </w:rPr>
        <w:t>74</w:t>
      </w:r>
      <w:r>
        <w:rPr>
          <w:rFonts w:hint="eastAsia" w:ascii="仿宋" w:hAnsi="仿宋" w:eastAsia="仿宋"/>
          <w:sz w:val="32"/>
          <w:szCs w:val="32"/>
        </w:rPr>
        <w:t>—202</w:t>
      </w:r>
      <w:r>
        <w:rPr>
          <w:rFonts w:ascii="仿宋" w:hAnsi="仿宋" w:eastAsia="仿宋"/>
          <w:sz w:val="32"/>
          <w:szCs w:val="32"/>
        </w:rPr>
        <w:t>1</w:t>
      </w:r>
      <w:r>
        <w:rPr>
          <w:rFonts w:hint="eastAsia" w:ascii="仿宋" w:hAnsi="仿宋" w:eastAsia="仿宋"/>
          <w:sz w:val="32"/>
          <w:szCs w:val="32"/>
        </w:rPr>
        <w:t>）等。</w:t>
      </w:r>
    </w:p>
    <w:p>
      <w:pPr>
        <w:ind w:firstLine="642" w:firstLineChars="200"/>
        <w:rPr>
          <w:rFonts w:ascii="仿宋_GB2312" w:hAnsi="仿宋" w:eastAsia="仿宋_GB2312"/>
          <w:b/>
          <w:sz w:val="32"/>
          <w:szCs w:val="32"/>
        </w:rPr>
      </w:pPr>
      <w:r>
        <w:rPr>
          <w:rFonts w:hint="eastAsia" w:ascii="仿宋_GB2312" w:hAnsi="仿宋" w:eastAsia="仿宋_GB2312"/>
          <w:b/>
          <w:sz w:val="32"/>
          <w:szCs w:val="32"/>
        </w:rPr>
        <w:t>（三）与有关的现行法律法规、标准的关系</w:t>
      </w:r>
    </w:p>
    <w:p>
      <w:pPr>
        <w:ind w:firstLine="640" w:firstLineChars="200"/>
        <w:rPr>
          <w:rFonts w:ascii="仿宋" w:hAnsi="仿宋" w:eastAsia="仿宋"/>
          <w:sz w:val="32"/>
          <w:szCs w:val="32"/>
        </w:rPr>
      </w:pPr>
      <w:r>
        <w:rPr>
          <w:rFonts w:hint="eastAsia" w:ascii="仿宋" w:hAnsi="仿宋" w:eastAsia="仿宋"/>
          <w:sz w:val="32"/>
          <w:szCs w:val="32"/>
        </w:rPr>
        <w:t>符合国家、行业标准的相关规定，能与现行有关的法律、法规相衔接，与相关的国家、行业强制性标准无冲突。</w:t>
      </w:r>
    </w:p>
    <w:p>
      <w:pPr>
        <w:ind w:firstLine="642" w:firstLineChars="200"/>
        <w:rPr>
          <w:rFonts w:ascii="仿宋" w:hAnsi="仿宋" w:eastAsia="仿宋"/>
          <w:b/>
          <w:sz w:val="32"/>
          <w:szCs w:val="32"/>
        </w:rPr>
      </w:pPr>
      <w:r>
        <w:rPr>
          <w:rFonts w:ascii="仿宋" w:hAnsi="仿宋" w:eastAsia="仿宋"/>
          <w:b/>
          <w:sz w:val="32"/>
          <w:szCs w:val="32"/>
        </w:rPr>
        <w:t xml:space="preserve">（四）主要条款的说明，主要技术指标、参数、试验验证的论述 </w:t>
      </w:r>
    </w:p>
    <w:p>
      <w:pPr>
        <w:ind w:firstLine="640" w:firstLineChars="200"/>
        <w:rPr>
          <w:rFonts w:hint="eastAsia" w:ascii="仿宋" w:hAnsi="仿宋" w:eastAsia="仿宋"/>
          <w:sz w:val="32"/>
          <w:szCs w:val="32"/>
        </w:rPr>
      </w:pPr>
      <w:r>
        <w:rPr>
          <w:rFonts w:hint="eastAsia" w:ascii="仿宋" w:hAnsi="仿宋" w:eastAsia="仿宋"/>
          <w:sz w:val="32"/>
          <w:szCs w:val="32"/>
        </w:rPr>
        <w:t>本文件的主要内容的依据如下：</w:t>
      </w:r>
    </w:p>
    <w:p>
      <w:pPr>
        <w:ind w:firstLine="640" w:firstLineChars="200"/>
        <w:rPr>
          <w:rFonts w:hint="eastAsia" w:ascii="仿宋" w:hAnsi="仿宋" w:eastAsia="仿宋"/>
          <w:sz w:val="32"/>
          <w:szCs w:val="32"/>
        </w:rPr>
      </w:pPr>
      <w:r>
        <w:rPr>
          <w:rFonts w:hint="eastAsia" w:ascii="仿宋" w:hAnsi="仿宋" w:eastAsia="仿宋"/>
          <w:sz w:val="32"/>
          <w:szCs w:val="32"/>
        </w:rPr>
        <w:t>（1） 术语和定义</w:t>
      </w:r>
    </w:p>
    <w:p>
      <w:pPr>
        <w:ind w:firstLine="640" w:firstLineChars="200"/>
        <w:rPr>
          <w:rFonts w:hint="eastAsia" w:ascii="仿宋" w:hAnsi="仿宋" w:eastAsia="仿宋"/>
          <w:sz w:val="32"/>
          <w:szCs w:val="32"/>
        </w:rPr>
      </w:pPr>
      <w:r>
        <w:rPr>
          <w:rFonts w:hint="eastAsia" w:ascii="仿宋" w:hAnsi="仿宋" w:eastAsia="仿宋"/>
          <w:sz w:val="32"/>
          <w:szCs w:val="32"/>
        </w:rPr>
        <w:t>本文件规定了“双随机、 一公开”、“抽查比例”、“市场监管领域”、“跨部门联合抽查”</w:t>
      </w:r>
      <w:r>
        <w:rPr>
          <w:rFonts w:hint="eastAsia" w:ascii="仿宋" w:hAnsi="仿宋" w:eastAsia="仿宋"/>
          <w:sz w:val="32"/>
          <w:szCs w:val="32"/>
          <w:lang w:eastAsia="zh-CN"/>
        </w:rPr>
        <w:t>“检查对象”</w:t>
      </w:r>
      <w:r>
        <w:rPr>
          <w:rFonts w:hint="eastAsia" w:ascii="仿宋" w:hAnsi="仿宋" w:eastAsia="仿宋"/>
          <w:sz w:val="32"/>
          <w:szCs w:val="32"/>
        </w:rPr>
        <w:t xml:space="preserve">的定义。“双随机、一公开” 参考了DB13/T 5257—2020《“双随机、一公开”监管工作规范》的双随机、一公开的定义“随机抽取监管对象，随机选派检查人员，抽查检查结果及时向社会公开的市场监管方式。”；“抽查比例”主要参考了DB1502/T 005—2020《政府部门“双随机、一公开”监管工作规范》中抽查比例的定义“根据市场监管和行政监督检查工作需要，确定的应监管对象与同类监管对象之间的占比。” </w:t>
      </w:r>
    </w:p>
    <w:p>
      <w:pPr>
        <w:ind w:firstLine="640" w:firstLineChars="200"/>
        <w:rPr>
          <w:rFonts w:hint="eastAsia" w:ascii="仿宋" w:hAnsi="仿宋" w:eastAsia="仿宋"/>
          <w:sz w:val="32"/>
          <w:szCs w:val="32"/>
        </w:rPr>
      </w:pPr>
      <w:r>
        <w:rPr>
          <w:rFonts w:hint="eastAsia" w:ascii="仿宋" w:hAnsi="仿宋" w:eastAsia="仿宋"/>
          <w:sz w:val="32"/>
          <w:szCs w:val="32"/>
        </w:rPr>
        <w:t xml:space="preserve">（2） </w:t>
      </w:r>
      <w:r>
        <w:rPr>
          <w:rFonts w:hint="eastAsia" w:ascii="仿宋" w:hAnsi="仿宋" w:eastAsia="仿宋"/>
          <w:sz w:val="32"/>
          <w:szCs w:val="32"/>
          <w:lang w:val="en-US" w:eastAsia="zh-CN"/>
        </w:rPr>
        <w:t>总</w:t>
      </w:r>
      <w:r>
        <w:rPr>
          <w:rFonts w:hint="eastAsia" w:ascii="仿宋" w:hAnsi="仿宋" w:eastAsia="仿宋"/>
          <w:sz w:val="32"/>
          <w:szCs w:val="32"/>
        </w:rPr>
        <w:t>则</w:t>
      </w:r>
    </w:p>
    <w:p>
      <w:pPr>
        <w:ind w:firstLine="640" w:firstLineChars="200"/>
        <w:rPr>
          <w:rFonts w:hint="eastAsia" w:ascii="仿宋" w:hAnsi="仿宋" w:eastAsia="仿宋"/>
          <w:sz w:val="32"/>
          <w:szCs w:val="32"/>
        </w:rPr>
      </w:pPr>
      <w:r>
        <w:rPr>
          <w:rFonts w:hint="eastAsia" w:ascii="仿宋" w:hAnsi="仿宋" w:eastAsia="仿宋"/>
          <w:sz w:val="32"/>
          <w:szCs w:val="32"/>
        </w:rPr>
        <w:t>主要参考了《国务院关于在市场监管领域全面推行部门联合“双随机、一公开”监管的意见国发》（国发〔2019〕5 号）文件中关于“双随机、一公开”监管工作的总则描述。</w:t>
      </w:r>
    </w:p>
    <w:p>
      <w:pPr>
        <w:ind w:firstLine="640" w:firstLineChars="200"/>
        <w:rPr>
          <w:rFonts w:hint="eastAsia" w:ascii="仿宋" w:hAnsi="仿宋" w:eastAsia="仿宋"/>
          <w:sz w:val="32"/>
          <w:szCs w:val="32"/>
        </w:rPr>
      </w:pPr>
      <w:r>
        <w:rPr>
          <w:rFonts w:hint="eastAsia" w:ascii="仿宋" w:hAnsi="仿宋" w:eastAsia="仿宋"/>
          <w:sz w:val="32"/>
          <w:szCs w:val="32"/>
        </w:rPr>
        <w:t>（3） 组织方式</w:t>
      </w:r>
    </w:p>
    <w:p>
      <w:pPr>
        <w:ind w:firstLine="640" w:firstLineChars="200"/>
        <w:rPr>
          <w:rFonts w:hint="eastAsia" w:ascii="仿宋" w:hAnsi="仿宋" w:eastAsia="仿宋"/>
          <w:sz w:val="32"/>
          <w:szCs w:val="32"/>
        </w:rPr>
      </w:pPr>
      <w:r>
        <w:rPr>
          <w:rFonts w:hint="eastAsia" w:ascii="仿宋" w:hAnsi="仿宋" w:eastAsia="仿宋"/>
          <w:sz w:val="32"/>
          <w:szCs w:val="32"/>
        </w:rPr>
        <w:t>主要参考依据“双随机、一公开”实际监管工作中关于组织方式的主要形式，主要分为部门内部随机抽查检查和部门联合抽查检查两种组织方式。</w:t>
      </w:r>
    </w:p>
    <w:p>
      <w:pPr>
        <w:ind w:firstLine="640" w:firstLineChars="200"/>
        <w:rPr>
          <w:rFonts w:hint="eastAsia" w:ascii="仿宋" w:hAnsi="仿宋" w:eastAsia="仿宋"/>
          <w:sz w:val="32"/>
          <w:szCs w:val="32"/>
        </w:rPr>
      </w:pPr>
      <w:r>
        <w:rPr>
          <w:rFonts w:hint="eastAsia" w:ascii="仿宋" w:hAnsi="仿宋" w:eastAsia="仿宋"/>
          <w:sz w:val="32"/>
          <w:szCs w:val="32"/>
        </w:rPr>
        <w:t>（4）工作基础</w:t>
      </w:r>
    </w:p>
    <w:p>
      <w:pPr>
        <w:ind w:firstLine="640" w:firstLineChars="200"/>
        <w:rPr>
          <w:rFonts w:hint="eastAsia" w:ascii="仿宋" w:hAnsi="仿宋" w:eastAsia="仿宋"/>
          <w:sz w:val="32"/>
          <w:szCs w:val="32"/>
        </w:rPr>
      </w:pPr>
      <w:r>
        <w:rPr>
          <w:rFonts w:hint="eastAsia" w:ascii="仿宋" w:hAnsi="仿宋" w:eastAsia="仿宋"/>
          <w:sz w:val="32"/>
          <w:szCs w:val="32"/>
        </w:rPr>
        <w:t>借鉴了《深圳市市场监管领域“双随机、一公开”监管实施细则》（深府办规〔2022〕2 号）的开展工作的基础条件，并在目前</w:t>
      </w:r>
      <w:r>
        <w:rPr>
          <w:rFonts w:hint="eastAsia" w:ascii="仿宋" w:hAnsi="仿宋" w:eastAsia="仿宋"/>
          <w:sz w:val="32"/>
          <w:szCs w:val="32"/>
          <w:lang w:val="en-US" w:eastAsia="zh-CN"/>
        </w:rPr>
        <w:t>海南省</w:t>
      </w:r>
      <w:r>
        <w:rPr>
          <w:rFonts w:hint="eastAsia" w:ascii="仿宋" w:hAnsi="仿宋" w:eastAsia="仿宋"/>
          <w:sz w:val="32"/>
          <w:szCs w:val="32"/>
        </w:rPr>
        <w:t>“双随机、一公开”监管工作实践的基础上， 从“双随机、一公开”监管工作平台、抽查事项清单、检查对象库、检查人员库等方面确认了“双随机、 一公开”监管的基础条件。</w:t>
      </w:r>
    </w:p>
    <w:p>
      <w:pPr>
        <w:ind w:firstLine="640" w:firstLineChars="200"/>
        <w:rPr>
          <w:rFonts w:hint="eastAsia" w:ascii="仿宋" w:hAnsi="仿宋" w:eastAsia="仿宋"/>
          <w:sz w:val="32"/>
          <w:szCs w:val="32"/>
        </w:rPr>
      </w:pPr>
      <w:r>
        <w:rPr>
          <w:rFonts w:hint="eastAsia" w:ascii="仿宋" w:hAnsi="仿宋" w:eastAsia="仿宋"/>
          <w:sz w:val="32"/>
          <w:szCs w:val="32"/>
        </w:rPr>
        <w:t>（5） 监管实施</w:t>
      </w:r>
    </w:p>
    <w:p>
      <w:pPr>
        <w:ind w:firstLine="640" w:firstLineChars="200"/>
        <w:rPr>
          <w:rFonts w:hint="eastAsia" w:ascii="仿宋" w:hAnsi="仿宋" w:eastAsia="仿宋"/>
          <w:sz w:val="32"/>
          <w:szCs w:val="32"/>
          <w:lang w:eastAsia="zh-CN"/>
        </w:rPr>
      </w:pPr>
      <w:r>
        <w:rPr>
          <w:rFonts w:hint="eastAsia" w:ascii="仿宋" w:hAnsi="仿宋" w:eastAsia="仿宋"/>
          <w:sz w:val="32"/>
          <w:szCs w:val="32"/>
        </w:rPr>
        <w:t>在借鉴了目前“双随机、一公开”监管实施流程的基础上， 将监管工作的实施分为了制定年度抽查计划、随机抽取检查对象、随机抽取检查人员、执行检查任务、结果公示和信息共享、违法违规情形处理、材料归档</w:t>
      </w:r>
      <w:r>
        <w:rPr>
          <w:rFonts w:hint="eastAsia" w:ascii="仿宋" w:hAnsi="仿宋" w:eastAsia="仿宋"/>
          <w:sz w:val="32"/>
          <w:szCs w:val="32"/>
          <w:lang w:eastAsia="zh-CN"/>
        </w:rPr>
        <w:t>。</w:t>
      </w:r>
    </w:p>
    <w:p>
      <w:pPr>
        <w:numPr>
          <w:ilvl w:val="0"/>
          <w:numId w:val="3"/>
        </w:numPr>
        <w:ind w:firstLine="640" w:firstLineChars="200"/>
        <w:rPr>
          <w:rFonts w:hint="eastAsia" w:ascii="仿宋" w:hAnsi="仿宋" w:eastAsia="仿宋"/>
          <w:sz w:val="32"/>
          <w:szCs w:val="32"/>
        </w:rPr>
      </w:pPr>
      <w:r>
        <w:rPr>
          <w:rFonts w:hint="eastAsia" w:ascii="仿宋" w:hAnsi="仿宋" w:eastAsia="仿宋"/>
          <w:sz w:val="32"/>
          <w:szCs w:val="32"/>
        </w:rPr>
        <w:t>结果运用</w:t>
      </w:r>
    </w:p>
    <w:p>
      <w:pPr>
        <w:pStyle w:val="7"/>
        <w:keepNext w:val="0"/>
        <w:keepLines w:val="0"/>
        <w:widowControl/>
        <w:numPr>
          <w:ilvl w:val="0"/>
          <w:numId w:val="0"/>
        </w:numPr>
        <w:suppressLineNumbers w:val="0"/>
        <w:spacing w:before="0" w:beforeLines="50" w:beforeAutospacing="0" w:after="0" w:afterLines="50" w:afterAutospacing="0"/>
        <w:ind w:leftChars="0" w:right="0" w:rightChars="0" w:firstLine="640" w:firstLineChars="200"/>
        <w:jc w:val="both"/>
        <w:outlineLvl w:val="1"/>
        <w:rPr>
          <w:rFonts w:hint="eastAsia" w:ascii="仿宋" w:hAnsi="仿宋" w:eastAsia="仿宋" w:cstheme="minorBidi"/>
          <w:kern w:val="2"/>
          <w:sz w:val="32"/>
          <w:szCs w:val="32"/>
          <w:lang w:val="en-US" w:eastAsia="zh-CN" w:bidi="ar-SA"/>
        </w:rPr>
      </w:pPr>
      <w:bookmarkStart w:id="0" w:name="_Toc161307005"/>
      <w:r>
        <w:rPr>
          <w:rFonts w:hint="eastAsia" w:ascii="仿宋" w:hAnsi="仿宋" w:eastAsia="仿宋" w:cstheme="minorBidi"/>
          <w:kern w:val="2"/>
          <w:sz w:val="32"/>
          <w:szCs w:val="32"/>
          <w:lang w:val="en-US" w:eastAsia="zh-CN" w:bidi="ar-SA"/>
        </w:rPr>
        <w:t>将抽查结果与相关部门共享，作为检查对象信用状况分类的重要考量，实施守信联合激励、失信联合惩戒</w:t>
      </w:r>
      <w:bookmarkEnd w:id="0"/>
      <w:bookmarkStart w:id="1" w:name="_Toc161307006"/>
      <w:r>
        <w:rPr>
          <w:rFonts w:hint="eastAsia" w:ascii="仿宋" w:hAnsi="仿宋" w:eastAsia="仿宋" w:cstheme="minorBidi"/>
          <w:kern w:val="2"/>
          <w:sz w:val="32"/>
          <w:szCs w:val="32"/>
          <w:lang w:val="en-US" w:eastAsia="zh-CN" w:bidi="ar-SA"/>
        </w:rPr>
        <w:t>；实行分类分级动态监管</w:t>
      </w:r>
      <w:bookmarkEnd w:id="1"/>
      <w:r>
        <w:rPr>
          <w:rFonts w:hint="eastAsia" w:ascii="仿宋" w:hAnsi="仿宋" w:eastAsia="仿宋" w:cstheme="minorBidi"/>
          <w:kern w:val="2"/>
          <w:sz w:val="32"/>
          <w:szCs w:val="32"/>
          <w:lang w:val="en-US" w:eastAsia="zh-CN" w:bidi="ar-SA"/>
        </w:rPr>
        <w:t>；</w:t>
      </w:r>
      <w:bookmarkStart w:id="2" w:name="_Toc161307007"/>
      <w:r>
        <w:rPr>
          <w:rFonts w:hint="eastAsia" w:ascii="仿宋" w:hAnsi="仿宋" w:eastAsia="仿宋" w:cstheme="minorBidi"/>
          <w:kern w:val="2"/>
          <w:sz w:val="32"/>
          <w:szCs w:val="32"/>
          <w:lang w:val="en-US" w:eastAsia="zh-CN" w:bidi="ar-SA"/>
        </w:rPr>
        <w:t>应对抽查结果进行汇总和统计整理，并应用大数据分析手段进行数据监测、挖掘和比对，掌握相关领域违法活动特征，进而发现问题和防范化解区域性、行业性及系统性风险。</w:t>
      </w:r>
      <w:bookmarkEnd w:id="2"/>
    </w:p>
    <w:p>
      <w:pPr>
        <w:numPr>
          <w:ilvl w:val="0"/>
          <w:numId w:val="3"/>
        </w:numPr>
        <w:ind w:firstLine="640" w:firstLineChars="200"/>
        <w:rPr>
          <w:rFonts w:hint="eastAsia" w:ascii="仿宋" w:hAnsi="仿宋" w:eastAsia="仿宋"/>
          <w:sz w:val="32"/>
          <w:szCs w:val="32"/>
        </w:rPr>
      </w:pPr>
      <w:bookmarkStart w:id="3" w:name="_Toc161307011"/>
      <w:r>
        <w:rPr>
          <w:rFonts w:hint="eastAsia" w:ascii="仿宋" w:hAnsi="仿宋" w:eastAsia="仿宋"/>
          <w:sz w:val="32"/>
          <w:szCs w:val="32"/>
          <w:lang w:val="en-US" w:eastAsia="zh-CN"/>
        </w:rPr>
        <w:t>协同联动</w:t>
      </w:r>
      <w:bookmarkEnd w:id="3"/>
    </w:p>
    <w:p>
      <w:pPr>
        <w:numPr>
          <w:ilvl w:val="0"/>
          <w:numId w:val="0"/>
        </w:numPr>
        <w:ind w:firstLine="640" w:firstLineChars="200"/>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实现与信用监管、互联网</w:t>
      </w:r>
      <w:r>
        <w:rPr>
          <w:rFonts w:hint="default" w:ascii="仿宋" w:hAnsi="仿宋" w:eastAsia="仿宋" w:cstheme="minorBidi"/>
          <w:kern w:val="2"/>
          <w:sz w:val="32"/>
          <w:szCs w:val="32"/>
          <w:lang w:val="en-US" w:eastAsia="zh-CN" w:bidi="ar-SA"/>
        </w:rPr>
        <w:t>+</w:t>
      </w:r>
      <w:r>
        <w:rPr>
          <w:rFonts w:hint="eastAsia" w:ascii="仿宋" w:hAnsi="仿宋" w:eastAsia="仿宋" w:cstheme="minorBidi"/>
          <w:kern w:val="2"/>
          <w:sz w:val="32"/>
          <w:szCs w:val="32"/>
          <w:lang w:val="en-US" w:eastAsia="zh-CN" w:bidi="ar-SA"/>
        </w:rPr>
        <w:t>监管、智能监管和重点监管、综合监管相联动，并与投诉举报、案件线索核查、专项整治和网络监测、相关大数据分析运用等监管方式相互补充、相互衔接。</w:t>
      </w:r>
    </w:p>
    <w:p>
      <w:pPr>
        <w:numPr>
          <w:ilvl w:val="0"/>
          <w:numId w:val="0"/>
        </w:numPr>
        <w:ind w:firstLine="642" w:firstLineChars="200"/>
        <w:rPr>
          <w:rFonts w:ascii="仿宋" w:hAnsi="仿宋" w:eastAsia="仿宋"/>
          <w:b/>
          <w:sz w:val="32"/>
          <w:szCs w:val="32"/>
        </w:rPr>
      </w:pPr>
      <w:r>
        <w:rPr>
          <w:rFonts w:ascii="仿宋" w:hAnsi="仿宋" w:eastAsia="仿宋"/>
          <w:b/>
          <w:sz w:val="32"/>
          <w:szCs w:val="32"/>
        </w:rPr>
        <w:t>（五）标准中如果涉及专利，应有明确的知识产权说明</w:t>
      </w:r>
    </w:p>
    <w:p>
      <w:pPr>
        <w:ind w:firstLine="640" w:firstLineChars="200"/>
        <w:rPr>
          <w:rFonts w:ascii="仿宋" w:hAnsi="仿宋" w:eastAsia="仿宋"/>
          <w:sz w:val="32"/>
          <w:szCs w:val="32"/>
        </w:rPr>
      </w:pPr>
      <w:r>
        <w:rPr>
          <w:rFonts w:hint="eastAsia" w:ascii="仿宋" w:hAnsi="仿宋" w:eastAsia="仿宋"/>
          <w:sz w:val="32"/>
          <w:szCs w:val="32"/>
        </w:rPr>
        <w:t>本文件未涉及专利。</w:t>
      </w:r>
    </w:p>
    <w:p>
      <w:pPr>
        <w:ind w:firstLine="642" w:firstLineChars="200"/>
        <w:rPr>
          <w:rFonts w:ascii="仿宋" w:hAnsi="仿宋" w:eastAsia="仿宋"/>
          <w:b/>
          <w:sz w:val="32"/>
          <w:szCs w:val="32"/>
        </w:rPr>
      </w:pPr>
      <w:r>
        <w:rPr>
          <w:rFonts w:ascii="仿宋" w:hAnsi="仿宋" w:eastAsia="仿宋"/>
          <w:b/>
          <w:sz w:val="32"/>
          <w:szCs w:val="32"/>
        </w:rPr>
        <w:t>（六）采用国际标准或国外先进标准的，说明采标程度，以及国内外同类标准水平的对比情况</w:t>
      </w:r>
    </w:p>
    <w:p>
      <w:pPr>
        <w:ind w:firstLine="640" w:firstLineChars="200"/>
        <w:rPr>
          <w:rFonts w:ascii="仿宋" w:hAnsi="仿宋" w:eastAsia="仿宋"/>
          <w:sz w:val="32"/>
          <w:szCs w:val="32"/>
        </w:rPr>
      </w:pPr>
      <w:r>
        <w:rPr>
          <w:rFonts w:hint="eastAsia" w:ascii="仿宋" w:hAnsi="仿宋" w:eastAsia="仿宋"/>
          <w:sz w:val="32"/>
          <w:szCs w:val="32"/>
        </w:rPr>
        <w:t>未采用国际标准或国外先进标准。</w:t>
      </w:r>
    </w:p>
    <w:p>
      <w:pPr>
        <w:ind w:firstLine="642" w:firstLineChars="200"/>
        <w:rPr>
          <w:rFonts w:ascii="仿宋" w:hAnsi="仿宋" w:eastAsia="仿宋"/>
          <w:b/>
          <w:sz w:val="32"/>
          <w:szCs w:val="32"/>
        </w:rPr>
      </w:pPr>
      <w:r>
        <w:rPr>
          <w:rFonts w:ascii="仿宋" w:hAnsi="仿宋" w:eastAsia="仿宋"/>
          <w:b/>
          <w:sz w:val="32"/>
          <w:szCs w:val="32"/>
        </w:rPr>
        <w:t>（七）重大分歧意见的处理依据和结果</w:t>
      </w:r>
    </w:p>
    <w:p>
      <w:pPr>
        <w:ind w:firstLine="640" w:firstLineChars="200"/>
        <w:rPr>
          <w:rFonts w:ascii="仿宋" w:hAnsi="仿宋" w:eastAsia="仿宋"/>
          <w:sz w:val="32"/>
          <w:szCs w:val="32"/>
        </w:rPr>
      </w:pPr>
      <w:r>
        <w:rPr>
          <w:rFonts w:ascii="仿宋" w:hAnsi="仿宋" w:eastAsia="仿宋"/>
          <w:sz w:val="32"/>
          <w:szCs w:val="32"/>
        </w:rPr>
        <w:t>无</w:t>
      </w:r>
      <w:r>
        <w:rPr>
          <w:rFonts w:hint="eastAsia" w:ascii="仿宋" w:hAnsi="仿宋" w:eastAsia="仿宋"/>
          <w:sz w:val="32"/>
          <w:szCs w:val="32"/>
        </w:rPr>
        <w:t>。</w:t>
      </w:r>
    </w:p>
    <w:p>
      <w:pPr>
        <w:ind w:firstLine="642" w:firstLineChars="200"/>
        <w:rPr>
          <w:rFonts w:ascii="仿宋" w:hAnsi="仿宋" w:eastAsia="仿宋"/>
          <w:b/>
          <w:sz w:val="32"/>
          <w:szCs w:val="32"/>
        </w:rPr>
      </w:pPr>
      <w:r>
        <w:rPr>
          <w:rFonts w:ascii="仿宋" w:hAnsi="仿宋" w:eastAsia="仿宋"/>
          <w:b/>
          <w:sz w:val="32"/>
          <w:szCs w:val="32"/>
        </w:rPr>
        <w:t>（八）贯彻标准的要求和措施建议</w:t>
      </w:r>
    </w:p>
    <w:p>
      <w:pPr>
        <w:ind w:firstLine="640" w:firstLineChars="200"/>
        <w:rPr>
          <w:rFonts w:hint="eastAsia" w:ascii="仿宋" w:hAnsi="仿宋" w:eastAsia="仿宋"/>
          <w:sz w:val="32"/>
          <w:szCs w:val="32"/>
        </w:rPr>
      </w:pPr>
      <w:r>
        <w:rPr>
          <w:rFonts w:hint="eastAsia" w:ascii="仿宋" w:hAnsi="仿宋" w:eastAsia="仿宋"/>
          <w:sz w:val="32"/>
          <w:szCs w:val="32"/>
        </w:rPr>
        <w:t>待本标准发布后，由海南省市场监督管理局主动联合海南省检验检测研究院、海南省标准化协会以及相关企业做好新标准的宣贯。深入推广市场监管标准化建设，强化精细化管理、创新管理模式，扎实推进“双随机、一公开”监管工作，推广随机抽查，规范事中事后监管；组建监督考核小组，制定标准化工作监督检查计划，在该标准宣贯实施3个月后，对该标准在“双随机、一公开”监管工作的实施情况进行监督考核。</w:t>
      </w:r>
    </w:p>
    <w:p>
      <w:pPr>
        <w:tabs>
          <w:tab w:val="left" w:pos="2127"/>
        </w:tabs>
        <w:ind w:firstLine="642" w:firstLineChars="200"/>
        <w:rPr>
          <w:rFonts w:ascii="仿宋" w:hAnsi="仿宋" w:eastAsia="仿宋"/>
          <w:b/>
          <w:sz w:val="32"/>
          <w:szCs w:val="32"/>
        </w:rPr>
      </w:pPr>
      <w:r>
        <w:rPr>
          <w:rFonts w:ascii="仿宋" w:hAnsi="仿宋" w:eastAsia="仿宋"/>
          <w:b/>
          <w:sz w:val="32"/>
          <w:szCs w:val="32"/>
        </w:rPr>
        <w:t>（九）预期效果</w:t>
      </w:r>
    </w:p>
    <w:p>
      <w:pPr>
        <w:ind w:firstLine="640" w:firstLineChars="200"/>
        <w:rPr>
          <w:rFonts w:ascii="仿宋" w:hAnsi="仿宋" w:eastAsia="仿宋"/>
          <w:sz w:val="32"/>
          <w:szCs w:val="32"/>
        </w:rPr>
      </w:pPr>
      <w:r>
        <w:rPr>
          <w:rFonts w:hint="eastAsia" w:ascii="仿宋" w:hAnsi="仿宋" w:eastAsia="仿宋"/>
          <w:sz w:val="32"/>
          <w:szCs w:val="32"/>
        </w:rPr>
        <w:t>《市场监管领域“双随机、一公开”监管工作规范</w:t>
      </w:r>
      <w:bookmarkStart w:id="4" w:name="_GoBack"/>
      <w:bookmarkEnd w:id="4"/>
      <w:r>
        <w:rPr>
          <w:rFonts w:hint="eastAsia" w:ascii="仿宋" w:hAnsi="仿宋" w:eastAsia="仿宋"/>
          <w:sz w:val="32"/>
          <w:szCs w:val="32"/>
        </w:rPr>
        <w:t>》地方标准的发布实施，完善市场监管标准体系，推进市场监管标准化建设，完善事前事中事后监管的关键环节，规范海南省市场监管领域“双随机、一公开”监管行为,进一步完善以“双随机、一公开”为基本手段、以重点监管为补充、以信用监管为基础的新型监管机制。通过该标准的发布实施，更好地规范“双随机一公开”监督抽查行为，从监管工作制度的组织方式、工作基础、监管实施、结果运用和协同联动等多个方面形成标准，提高监督抽查的公平性、规范性和有效性,推动市场监管服务高效开展，打造公平竞争的市场环境和法治便利化的营商环境，助推海南自贸港高质量发展。。</w:t>
      </w:r>
    </w:p>
    <w:p>
      <w:pPr>
        <w:ind w:firstLine="642" w:firstLineChars="200"/>
        <w:rPr>
          <w:rFonts w:ascii="仿宋" w:hAnsi="仿宋" w:eastAsia="仿宋"/>
          <w:b/>
          <w:sz w:val="32"/>
          <w:szCs w:val="32"/>
        </w:rPr>
      </w:pPr>
      <w:r>
        <w:rPr>
          <w:rFonts w:ascii="仿宋" w:hAnsi="仿宋" w:eastAsia="仿宋"/>
          <w:b/>
          <w:sz w:val="32"/>
          <w:szCs w:val="32"/>
        </w:rPr>
        <w:t>（十）其他应予说明的事项</w:t>
      </w:r>
    </w:p>
    <w:p>
      <w:pPr>
        <w:ind w:firstLine="640" w:firstLineChars="200"/>
      </w:pPr>
      <w:r>
        <w:rPr>
          <w:rFonts w:ascii="仿宋" w:hAnsi="仿宋" w:eastAsia="仿宋"/>
          <w:sz w:val="32"/>
          <w:szCs w:val="32"/>
        </w:rPr>
        <w:t>无</w:t>
      </w:r>
      <w:r>
        <w:rPr>
          <w:rFonts w:hint="eastAsia" w:ascii="仿宋" w:hAnsi="仿宋" w:eastAsia="仿宋"/>
          <w:sz w:val="32"/>
          <w:szCs w:val="32"/>
        </w:rPr>
        <w:t>。</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libri Light">
    <w:altName w:val="DejaVu Sans"/>
    <w:panose1 w:val="020F0302020204030204"/>
    <w:charset w:val="00"/>
    <w:family w:val="swiss"/>
    <w:pitch w:val="default"/>
    <w:sig w:usb0="00000000" w:usb1="00000000" w:usb2="00000009" w:usb3="00000000" w:csb0="200001FF"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Liberation Serif">
    <w:panose1 w:val="02020603050405020304"/>
    <w:charset w:val="00"/>
    <w:family w:val="auto"/>
    <w:pitch w:val="default"/>
    <w:sig w:usb0="A00002AF" w:usb1="5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docPartObj>
        <w:docPartGallery w:val="autotext"/>
      </w:docPartObj>
    </w:sdtPr>
    <w:sdtContent>
      <w:p>
        <w:pPr>
          <w:pStyle w:val="5"/>
          <w:jc w:val="center"/>
        </w:pPr>
        <w:r>
          <w:fldChar w:fldCharType="begin"/>
        </w:r>
        <w:r>
          <w:instrText xml:space="preserve">PAGE   \* MERGEFORMAT</w:instrText>
        </w:r>
        <w:r>
          <w:fldChar w:fldCharType="separate"/>
        </w:r>
        <w:r>
          <w:rPr>
            <w:lang w:val="zh-CN"/>
          </w:rPr>
          <w:t>7</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CD89C6"/>
    <w:multiLevelType w:val="singleLevel"/>
    <w:tmpl w:val="80CD89C6"/>
    <w:lvl w:ilvl="0" w:tentative="0">
      <w:start w:val="1"/>
      <w:numFmt w:val="decimal"/>
      <w:suff w:val="nothing"/>
      <w:lvlText w:val="（%1）"/>
      <w:lvlJc w:val="left"/>
    </w:lvl>
  </w:abstractNum>
  <w:abstractNum w:abstractNumId="1">
    <w:nsid w:val="575C95EE"/>
    <w:multiLevelType w:val="singleLevel"/>
    <w:tmpl w:val="575C95EE"/>
    <w:lvl w:ilvl="0" w:tentative="0">
      <w:start w:val="6"/>
      <w:numFmt w:val="decimal"/>
      <w:suff w:val="nothing"/>
      <w:lvlText w:val="（%1）"/>
      <w:lvlJc w:val="left"/>
    </w:lvl>
  </w:abstractNum>
  <w:abstractNum w:abstractNumId="2">
    <w:nsid w:val="6CEA2025"/>
    <w:multiLevelType w:val="multilevel"/>
    <w:tmpl w:val="6CEA2025"/>
    <w:lvl w:ilvl="0" w:tentative="0">
      <w:start w:val="1"/>
      <w:numFmt w:val="none"/>
      <w:pStyle w:val="23"/>
      <w:suff w:val="nothing"/>
      <w:lvlText w:val="%1"/>
      <w:lvlJc w:val="left"/>
      <w:pPr>
        <w:ind w:left="0" w:firstLine="0"/>
      </w:pPr>
      <w:rPr>
        <w:rFonts w:hint="eastAsia"/>
      </w:rPr>
    </w:lvl>
    <w:lvl w:ilvl="1" w:tentative="0">
      <w:start w:val="1"/>
      <w:numFmt w:val="decimal"/>
      <w:pStyle w:val="21"/>
      <w:suff w:val="nothing"/>
      <w:lvlText w:val="%1%2　"/>
      <w:lvlJc w:val="left"/>
      <w:pPr>
        <w:ind w:left="0" w:firstLine="0"/>
      </w:pPr>
      <w:rPr>
        <w:rFonts w:hint="eastAsia" w:ascii="黑体" w:eastAsia="黑体"/>
        <w:b w:val="0"/>
        <w:i w:val="0"/>
        <w:sz w:val="21"/>
      </w:rPr>
    </w:lvl>
    <w:lvl w:ilvl="2" w:tentative="0">
      <w:start w:val="1"/>
      <w:numFmt w:val="decimal"/>
      <w:pStyle w:val="22"/>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7"/>
      <w:suff w:val="nothing"/>
      <w:lvlText w:val="%1%2.%3.%4　"/>
      <w:lvlJc w:val="left"/>
      <w:pPr>
        <w:ind w:left="0" w:firstLine="0"/>
      </w:pPr>
      <w:rPr>
        <w:rFonts w:hint="eastAsia" w:ascii="黑体" w:eastAsia="黑体"/>
        <w:b w:val="0"/>
        <w:i w:val="0"/>
        <w:sz w:val="21"/>
      </w:rPr>
    </w:lvl>
    <w:lvl w:ilvl="4" w:tentative="0">
      <w:start w:val="1"/>
      <w:numFmt w:val="decimal"/>
      <w:pStyle w:val="18"/>
      <w:suff w:val="nothing"/>
      <w:lvlText w:val="%1%2.%3.%4.%5　"/>
      <w:lvlJc w:val="left"/>
      <w:pPr>
        <w:ind w:left="0" w:firstLine="0"/>
      </w:pPr>
      <w:rPr>
        <w:rFonts w:hint="eastAsia" w:ascii="黑体" w:eastAsia="黑体"/>
        <w:b w:val="0"/>
        <w:i w:val="0"/>
        <w:sz w:val="21"/>
      </w:rPr>
    </w:lvl>
    <w:lvl w:ilvl="5" w:tentative="0">
      <w:start w:val="1"/>
      <w:numFmt w:val="decimal"/>
      <w:pStyle w:val="19"/>
      <w:suff w:val="nothing"/>
      <w:lvlText w:val="%1%2.%3.%4.%5.%6　"/>
      <w:lvlJc w:val="left"/>
      <w:pPr>
        <w:ind w:left="0" w:firstLine="0"/>
      </w:pPr>
      <w:rPr>
        <w:rFonts w:hint="eastAsia" w:ascii="黑体" w:eastAsia="黑体"/>
        <w:b w:val="0"/>
        <w:i w:val="0"/>
        <w:sz w:val="21"/>
      </w:rPr>
    </w:lvl>
    <w:lvl w:ilvl="6" w:tentative="0">
      <w:start w:val="1"/>
      <w:numFmt w:val="decimal"/>
      <w:pStyle w:val="20"/>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I5NzVkYmI1NmQ2NjIzYTJjN2UwOGU3YTc3MDUxNjUifQ=="/>
  </w:docVars>
  <w:rsids>
    <w:rsidRoot w:val="00EC2A36"/>
    <w:rsid w:val="000013FC"/>
    <w:rsid w:val="00007641"/>
    <w:rsid w:val="00014B5D"/>
    <w:rsid w:val="00022C1A"/>
    <w:rsid w:val="0003309E"/>
    <w:rsid w:val="00033B87"/>
    <w:rsid w:val="00053B30"/>
    <w:rsid w:val="00067A2C"/>
    <w:rsid w:val="000B50C2"/>
    <w:rsid w:val="000F1167"/>
    <w:rsid w:val="00110893"/>
    <w:rsid w:val="00110BE1"/>
    <w:rsid w:val="00122DCA"/>
    <w:rsid w:val="00125868"/>
    <w:rsid w:val="00130DA4"/>
    <w:rsid w:val="0015086E"/>
    <w:rsid w:val="001648BB"/>
    <w:rsid w:val="00180E3C"/>
    <w:rsid w:val="00190753"/>
    <w:rsid w:val="001A4138"/>
    <w:rsid w:val="001A6FE4"/>
    <w:rsid w:val="001B0471"/>
    <w:rsid w:val="001B3EDF"/>
    <w:rsid w:val="001C335B"/>
    <w:rsid w:val="001D078C"/>
    <w:rsid w:val="001D091E"/>
    <w:rsid w:val="001D5E16"/>
    <w:rsid w:val="001E42F4"/>
    <w:rsid w:val="001F39EF"/>
    <w:rsid w:val="00203602"/>
    <w:rsid w:val="00227AD0"/>
    <w:rsid w:val="00233BAE"/>
    <w:rsid w:val="00235AD2"/>
    <w:rsid w:val="00241C7B"/>
    <w:rsid w:val="00282FD9"/>
    <w:rsid w:val="00295CD6"/>
    <w:rsid w:val="002A206A"/>
    <w:rsid w:val="002B4E66"/>
    <w:rsid w:val="002C397D"/>
    <w:rsid w:val="002D02AC"/>
    <w:rsid w:val="002D08D2"/>
    <w:rsid w:val="002D6016"/>
    <w:rsid w:val="002E2158"/>
    <w:rsid w:val="002E328E"/>
    <w:rsid w:val="002F7B88"/>
    <w:rsid w:val="0030565A"/>
    <w:rsid w:val="00305CBF"/>
    <w:rsid w:val="00333D45"/>
    <w:rsid w:val="00350839"/>
    <w:rsid w:val="0036770D"/>
    <w:rsid w:val="00385F26"/>
    <w:rsid w:val="003B2C29"/>
    <w:rsid w:val="003B5C14"/>
    <w:rsid w:val="003B60AA"/>
    <w:rsid w:val="003D6AF1"/>
    <w:rsid w:val="003D700E"/>
    <w:rsid w:val="003F2DC0"/>
    <w:rsid w:val="003F532C"/>
    <w:rsid w:val="00430658"/>
    <w:rsid w:val="00430B28"/>
    <w:rsid w:val="00447863"/>
    <w:rsid w:val="00457733"/>
    <w:rsid w:val="00470684"/>
    <w:rsid w:val="00484A7A"/>
    <w:rsid w:val="004A6C5D"/>
    <w:rsid w:val="004E302D"/>
    <w:rsid w:val="004E7368"/>
    <w:rsid w:val="004F14B1"/>
    <w:rsid w:val="004F267A"/>
    <w:rsid w:val="00530797"/>
    <w:rsid w:val="005667D2"/>
    <w:rsid w:val="005B0E8B"/>
    <w:rsid w:val="005C2B83"/>
    <w:rsid w:val="005D63C5"/>
    <w:rsid w:val="00607436"/>
    <w:rsid w:val="00621C9E"/>
    <w:rsid w:val="00624A63"/>
    <w:rsid w:val="00627933"/>
    <w:rsid w:val="00631653"/>
    <w:rsid w:val="00635980"/>
    <w:rsid w:val="00661158"/>
    <w:rsid w:val="00664AB6"/>
    <w:rsid w:val="00696441"/>
    <w:rsid w:val="006A1FF8"/>
    <w:rsid w:val="006B6D0F"/>
    <w:rsid w:val="006C4DCF"/>
    <w:rsid w:val="006E55E3"/>
    <w:rsid w:val="006F6CB6"/>
    <w:rsid w:val="00715401"/>
    <w:rsid w:val="00715DD1"/>
    <w:rsid w:val="00730E2F"/>
    <w:rsid w:val="00744DF5"/>
    <w:rsid w:val="0076117E"/>
    <w:rsid w:val="00771251"/>
    <w:rsid w:val="007B189C"/>
    <w:rsid w:val="007D5A8B"/>
    <w:rsid w:val="007D78C5"/>
    <w:rsid w:val="007E5586"/>
    <w:rsid w:val="00803E46"/>
    <w:rsid w:val="0081079C"/>
    <w:rsid w:val="00824242"/>
    <w:rsid w:val="00826E3D"/>
    <w:rsid w:val="00836642"/>
    <w:rsid w:val="00843AAA"/>
    <w:rsid w:val="0087448A"/>
    <w:rsid w:val="00882BBD"/>
    <w:rsid w:val="00884E1D"/>
    <w:rsid w:val="008A259D"/>
    <w:rsid w:val="008B6DE2"/>
    <w:rsid w:val="008E58A0"/>
    <w:rsid w:val="008F2119"/>
    <w:rsid w:val="008F3D2E"/>
    <w:rsid w:val="009029BE"/>
    <w:rsid w:val="00955C27"/>
    <w:rsid w:val="00990377"/>
    <w:rsid w:val="009A2B64"/>
    <w:rsid w:val="009A5186"/>
    <w:rsid w:val="009A6868"/>
    <w:rsid w:val="009E5025"/>
    <w:rsid w:val="00A067E2"/>
    <w:rsid w:val="00A10ACE"/>
    <w:rsid w:val="00A16352"/>
    <w:rsid w:val="00A5090A"/>
    <w:rsid w:val="00A62DE4"/>
    <w:rsid w:val="00A734FD"/>
    <w:rsid w:val="00A805A5"/>
    <w:rsid w:val="00A81CFD"/>
    <w:rsid w:val="00A90B22"/>
    <w:rsid w:val="00A90DF5"/>
    <w:rsid w:val="00AA6398"/>
    <w:rsid w:val="00AB4F85"/>
    <w:rsid w:val="00AC11AE"/>
    <w:rsid w:val="00AE3239"/>
    <w:rsid w:val="00AF50D0"/>
    <w:rsid w:val="00AF68C0"/>
    <w:rsid w:val="00B051CF"/>
    <w:rsid w:val="00B30630"/>
    <w:rsid w:val="00B507CA"/>
    <w:rsid w:val="00B55219"/>
    <w:rsid w:val="00B61EFA"/>
    <w:rsid w:val="00B7213D"/>
    <w:rsid w:val="00B74C89"/>
    <w:rsid w:val="00B77AB9"/>
    <w:rsid w:val="00B956A4"/>
    <w:rsid w:val="00B96837"/>
    <w:rsid w:val="00BA11D9"/>
    <w:rsid w:val="00BA26CC"/>
    <w:rsid w:val="00BA44F1"/>
    <w:rsid w:val="00BA6C7A"/>
    <w:rsid w:val="00BD14BD"/>
    <w:rsid w:val="00BE6173"/>
    <w:rsid w:val="00C000AA"/>
    <w:rsid w:val="00C11D55"/>
    <w:rsid w:val="00C27F63"/>
    <w:rsid w:val="00C362FD"/>
    <w:rsid w:val="00C652FC"/>
    <w:rsid w:val="00C65EEA"/>
    <w:rsid w:val="00C83187"/>
    <w:rsid w:val="00C9307E"/>
    <w:rsid w:val="00C96741"/>
    <w:rsid w:val="00CA1E6E"/>
    <w:rsid w:val="00CA2BB7"/>
    <w:rsid w:val="00CE0BBC"/>
    <w:rsid w:val="00CE45DD"/>
    <w:rsid w:val="00D317D6"/>
    <w:rsid w:val="00D3383A"/>
    <w:rsid w:val="00D35B13"/>
    <w:rsid w:val="00D57E70"/>
    <w:rsid w:val="00D77421"/>
    <w:rsid w:val="00D91550"/>
    <w:rsid w:val="00DA2257"/>
    <w:rsid w:val="00DC3628"/>
    <w:rsid w:val="00DC7906"/>
    <w:rsid w:val="00DE2E02"/>
    <w:rsid w:val="00DF05FC"/>
    <w:rsid w:val="00DF1241"/>
    <w:rsid w:val="00DF18CE"/>
    <w:rsid w:val="00E01AA0"/>
    <w:rsid w:val="00E25335"/>
    <w:rsid w:val="00E307FC"/>
    <w:rsid w:val="00E441C3"/>
    <w:rsid w:val="00E606F8"/>
    <w:rsid w:val="00E60807"/>
    <w:rsid w:val="00E617CD"/>
    <w:rsid w:val="00E6388A"/>
    <w:rsid w:val="00E64097"/>
    <w:rsid w:val="00E855E4"/>
    <w:rsid w:val="00E9121C"/>
    <w:rsid w:val="00EA5D63"/>
    <w:rsid w:val="00EB32F6"/>
    <w:rsid w:val="00EC2A36"/>
    <w:rsid w:val="00EE73B9"/>
    <w:rsid w:val="00F04B5B"/>
    <w:rsid w:val="00F20154"/>
    <w:rsid w:val="00F27A40"/>
    <w:rsid w:val="00F507CE"/>
    <w:rsid w:val="00F53E48"/>
    <w:rsid w:val="00F76DA0"/>
    <w:rsid w:val="00F9218A"/>
    <w:rsid w:val="00FA2249"/>
    <w:rsid w:val="00FC45BE"/>
    <w:rsid w:val="00FD0193"/>
    <w:rsid w:val="00FE6F61"/>
    <w:rsid w:val="02CE7536"/>
    <w:rsid w:val="0D074FD3"/>
    <w:rsid w:val="43444DD1"/>
    <w:rsid w:val="4397741B"/>
    <w:rsid w:val="539F6055"/>
    <w:rsid w:val="553940CD"/>
    <w:rsid w:val="692B03CE"/>
    <w:rsid w:val="6A304B2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4">
    <w:name w:val="Document Map"/>
    <w:basedOn w:val="1"/>
    <w:link w:val="24"/>
    <w:semiHidden/>
    <w:unhideWhenUsed/>
    <w:qFormat/>
    <w:uiPriority w:val="99"/>
    <w:rPr>
      <w:rFonts w:ascii="宋体" w:eastAsia="宋体"/>
      <w:sz w:val="18"/>
      <w:szCs w:val="18"/>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rPr>
      <w:sz w:val="24"/>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unhideWhenUsed/>
    <w:qFormat/>
    <w:uiPriority w:val="99"/>
    <w:rPr>
      <w:color w:val="0000FF"/>
      <w:u w:val="single"/>
    </w:rPr>
  </w:style>
  <w:style w:type="paragraph" w:styleId="12">
    <w:name w:val="List Paragraph"/>
    <w:basedOn w:val="1"/>
    <w:qFormat/>
    <w:uiPriority w:val="34"/>
    <w:pPr>
      <w:ind w:firstLine="420" w:firstLineChars="200"/>
    </w:pPr>
  </w:style>
  <w:style w:type="character" w:customStyle="1" w:styleId="13">
    <w:name w:val="标题 1 Char"/>
    <w:basedOn w:val="10"/>
    <w:link w:val="2"/>
    <w:qFormat/>
    <w:uiPriority w:val="9"/>
    <w:rPr>
      <w:b/>
      <w:bCs/>
      <w:kern w:val="44"/>
      <w:sz w:val="44"/>
      <w:szCs w:val="44"/>
    </w:rPr>
  </w:style>
  <w:style w:type="character" w:customStyle="1" w:styleId="14">
    <w:name w:val="标题 2 Char"/>
    <w:basedOn w:val="10"/>
    <w:link w:val="3"/>
    <w:qFormat/>
    <w:uiPriority w:val="9"/>
    <w:rPr>
      <w:rFonts w:asciiTheme="majorHAnsi" w:hAnsiTheme="majorHAnsi" w:eastAsiaTheme="majorEastAsia" w:cstheme="majorBidi"/>
      <w:b/>
      <w:bCs/>
      <w:sz w:val="32"/>
      <w:szCs w:val="32"/>
    </w:rPr>
  </w:style>
  <w:style w:type="character" w:customStyle="1" w:styleId="15">
    <w:name w:val="页眉 Char"/>
    <w:basedOn w:val="10"/>
    <w:link w:val="6"/>
    <w:qFormat/>
    <w:uiPriority w:val="99"/>
    <w:rPr>
      <w:sz w:val="18"/>
      <w:szCs w:val="18"/>
    </w:rPr>
  </w:style>
  <w:style w:type="character" w:customStyle="1" w:styleId="16">
    <w:name w:val="页脚 Char"/>
    <w:basedOn w:val="10"/>
    <w:link w:val="5"/>
    <w:qFormat/>
    <w:uiPriority w:val="99"/>
    <w:rPr>
      <w:sz w:val="18"/>
      <w:szCs w:val="18"/>
    </w:rPr>
  </w:style>
  <w:style w:type="paragraph" w:customStyle="1" w:styleId="17">
    <w:name w:val="标准文件_二级条标题"/>
    <w:next w:val="1"/>
    <w:qFormat/>
    <w:uiPriority w:val="0"/>
    <w:pPr>
      <w:widowControl w:val="0"/>
      <w:numPr>
        <w:ilvl w:val="3"/>
        <w:numId w:val="1"/>
      </w:numPr>
      <w:spacing w:beforeLines="50" w:afterLines="50"/>
      <w:jc w:val="both"/>
      <w:outlineLvl w:val="2"/>
    </w:pPr>
    <w:rPr>
      <w:rFonts w:ascii="黑体" w:hAnsi="Times New Roman" w:eastAsia="黑体" w:cs="Times New Roman"/>
      <w:kern w:val="0"/>
      <w:sz w:val="21"/>
      <w:szCs w:val="20"/>
      <w:lang w:val="en-US" w:eastAsia="zh-CN" w:bidi="ar-SA"/>
    </w:rPr>
  </w:style>
  <w:style w:type="paragraph" w:customStyle="1" w:styleId="18">
    <w:name w:val="标准文件_三级条标题"/>
    <w:basedOn w:val="17"/>
    <w:next w:val="1"/>
    <w:qFormat/>
    <w:uiPriority w:val="0"/>
    <w:pPr>
      <w:widowControl/>
      <w:numPr>
        <w:ilvl w:val="4"/>
      </w:numPr>
      <w:outlineLvl w:val="3"/>
    </w:pPr>
  </w:style>
  <w:style w:type="paragraph" w:customStyle="1" w:styleId="19">
    <w:name w:val="标准文件_四级条标题"/>
    <w:next w:val="1"/>
    <w:qFormat/>
    <w:uiPriority w:val="0"/>
    <w:pPr>
      <w:widowControl w:val="0"/>
      <w:numPr>
        <w:ilvl w:val="5"/>
        <w:numId w:val="1"/>
      </w:numPr>
      <w:spacing w:beforeLines="50" w:afterLines="50"/>
      <w:jc w:val="both"/>
      <w:outlineLvl w:val="4"/>
    </w:pPr>
    <w:rPr>
      <w:rFonts w:ascii="黑体" w:hAnsi="Times New Roman" w:eastAsia="黑体" w:cs="Times New Roman"/>
      <w:kern w:val="0"/>
      <w:sz w:val="21"/>
      <w:szCs w:val="20"/>
      <w:lang w:val="en-US" w:eastAsia="zh-CN" w:bidi="ar-SA"/>
    </w:rPr>
  </w:style>
  <w:style w:type="paragraph" w:customStyle="1" w:styleId="20">
    <w:name w:val="标准文件_五级条标题"/>
    <w:next w:val="1"/>
    <w:qFormat/>
    <w:uiPriority w:val="0"/>
    <w:pPr>
      <w:widowControl w:val="0"/>
      <w:numPr>
        <w:ilvl w:val="6"/>
        <w:numId w:val="1"/>
      </w:numPr>
      <w:spacing w:beforeLines="50" w:afterLines="50"/>
      <w:jc w:val="both"/>
      <w:outlineLvl w:val="5"/>
    </w:pPr>
    <w:rPr>
      <w:rFonts w:ascii="黑体" w:hAnsi="Times New Roman" w:eastAsia="黑体" w:cs="Times New Roman"/>
      <w:kern w:val="0"/>
      <w:sz w:val="21"/>
      <w:szCs w:val="20"/>
      <w:lang w:val="en-US" w:eastAsia="zh-CN" w:bidi="ar-SA"/>
    </w:rPr>
  </w:style>
  <w:style w:type="paragraph" w:customStyle="1" w:styleId="21">
    <w:name w:val="标准文件_章标题"/>
    <w:next w:val="1"/>
    <w:qFormat/>
    <w:uiPriority w:val="0"/>
    <w:pPr>
      <w:numPr>
        <w:ilvl w:val="1"/>
        <w:numId w:val="1"/>
      </w:numPr>
      <w:spacing w:beforeLines="100" w:afterLines="100"/>
      <w:jc w:val="both"/>
      <w:outlineLvl w:val="0"/>
    </w:pPr>
    <w:rPr>
      <w:rFonts w:ascii="黑体" w:hAnsi="Times New Roman" w:eastAsia="黑体" w:cs="Times New Roman"/>
      <w:kern w:val="0"/>
      <w:sz w:val="21"/>
      <w:szCs w:val="20"/>
      <w:lang w:val="en-US" w:eastAsia="zh-CN" w:bidi="ar-SA"/>
    </w:rPr>
  </w:style>
  <w:style w:type="paragraph" w:customStyle="1" w:styleId="22">
    <w:name w:val="标准文件_一级条标题"/>
    <w:basedOn w:val="21"/>
    <w:next w:val="1"/>
    <w:qFormat/>
    <w:uiPriority w:val="0"/>
    <w:pPr>
      <w:numPr>
        <w:ilvl w:val="2"/>
      </w:numPr>
      <w:spacing w:beforeLines="50" w:afterLines="50"/>
      <w:outlineLvl w:val="1"/>
    </w:pPr>
  </w:style>
  <w:style w:type="paragraph" w:customStyle="1" w:styleId="23">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character" w:customStyle="1" w:styleId="24">
    <w:name w:val="文档结构图 Char"/>
    <w:basedOn w:val="10"/>
    <w:link w:val="4"/>
    <w:semiHidden/>
    <w:qFormat/>
    <w:uiPriority w:val="99"/>
    <w:rPr>
      <w:rFonts w:ascii="宋体" w:eastAsia="宋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3917</Words>
  <Characters>4057</Characters>
  <Lines>31</Lines>
  <Paragraphs>8</Paragraphs>
  <TotalTime>0</TotalTime>
  <ScaleCrop>false</ScaleCrop>
  <LinksUpToDate>false</LinksUpToDate>
  <CharactersWithSpaces>4081</CharactersWithSpaces>
  <Application>WPS Office_11.8.2.1124_F1E327BC-269C-435d-A152-05C5408002CA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2024-09-27T00:55:00Z</dcterms:created>
  <dc:creator>ASUS</dc:creator>
  <cp:lastModifiedBy>陶永琰</cp:lastModifiedBy>
  <dcterms:modified xsi:type="dcterms:W3CDTF">2024-10-29T11:13:58Z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2052-11.8.2.1124</vt:lpwstr>
  </property>
  <property fmtid="{D5CDD505-2E9C-101B-9397-08002B2CF9AE}" pid="3" name="ICV">
    <vt:lpwstr>2A295081617A4E87AEC70B65B589D374_12</vt:lpwstr>
  </property>
</Properties>
</file>