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8805A">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附件2</w:t>
      </w:r>
    </w:p>
    <w:p w14:paraId="5828884E">
      <w:pPr>
        <w:rPr>
          <w:rFonts w:hint="eastAsia"/>
        </w:rPr>
      </w:pPr>
    </w:p>
    <w:p w14:paraId="0998AF2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广东省食品行业协会团体标准《气味饮料》（</w:t>
      </w:r>
      <w:r>
        <w:rPr>
          <w:rFonts w:hint="eastAsia" w:ascii="方正小标宋简体" w:hAnsi="方正小标宋简体" w:eastAsia="方正小标宋简体" w:cs="方正小标宋简体"/>
          <w:sz w:val="44"/>
          <w:szCs w:val="52"/>
          <w:lang w:eastAsia="zh-CN"/>
        </w:rPr>
        <w:t>二次</w:t>
      </w:r>
      <w:bookmarkStart w:id="0" w:name="_GoBack"/>
      <w:bookmarkEnd w:id="0"/>
      <w:r>
        <w:rPr>
          <w:rFonts w:hint="eastAsia" w:ascii="方正小标宋简体" w:hAnsi="方正小标宋简体" w:eastAsia="方正小标宋简体" w:cs="方正小标宋简体"/>
          <w:sz w:val="44"/>
          <w:szCs w:val="52"/>
        </w:rPr>
        <w:t>征求意见稿）编制说明</w:t>
      </w:r>
    </w:p>
    <w:p w14:paraId="2D9C3193">
      <w:pPr>
        <w:rPr>
          <w:rFonts w:hint="eastAsia"/>
        </w:rPr>
      </w:pPr>
    </w:p>
    <w:p w14:paraId="01FE58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rPr>
        <w:t>一、任务来源及起草单位</w:t>
      </w:r>
    </w:p>
    <w:p w14:paraId="654B729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40"/>
        </w:rPr>
      </w:pPr>
      <w:r>
        <w:rPr>
          <w:rFonts w:hint="eastAsia" w:ascii="楷体_GB2312" w:hAnsi="楷体_GB2312" w:eastAsia="楷体_GB2312" w:cs="楷体_GB2312"/>
          <w:b/>
          <w:bCs/>
          <w:sz w:val="32"/>
          <w:szCs w:val="40"/>
        </w:rPr>
        <w:t>（一）任务来源</w:t>
      </w:r>
    </w:p>
    <w:p w14:paraId="5B9ED7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为贯彻落实2022年6月30日工业和信息化部等五部门《数字化助力消费品工业“三品”行动方案（2022-2025年）》，引导我省食品行业的高质量发展，根据《广东省食品行业协会团体标准管理办法（修订版）》的规定，由广州市名花香料有限公司和广东省食品行业协会质量专业委员会共同提出广东省食品行业协会团体标准《气味饮料》，通过广东省食品工业标准化技术委员会秘书处立项审查和和征求意见，并批准立项。</w:t>
      </w:r>
    </w:p>
    <w:p w14:paraId="0444EFC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40"/>
        </w:rPr>
      </w:pPr>
      <w:r>
        <w:rPr>
          <w:rFonts w:hint="eastAsia" w:ascii="楷体_GB2312" w:hAnsi="楷体_GB2312" w:eastAsia="楷体_GB2312" w:cs="楷体_GB2312"/>
          <w:b/>
          <w:bCs/>
          <w:sz w:val="32"/>
          <w:szCs w:val="40"/>
        </w:rPr>
        <w:t>（二）起草单位及人员名单</w:t>
      </w:r>
    </w:p>
    <w:p w14:paraId="211EBA6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本标准的主要起草单位包括</w:t>
      </w:r>
      <w:r>
        <w:rPr>
          <w:rFonts w:hint="eastAsia" w:ascii="仿宋_GB2312" w:hAnsi="仿宋_GB2312" w:eastAsia="仿宋_GB2312" w:cs="仿宋_GB2312"/>
          <w:b/>
          <w:bCs/>
          <w:sz w:val="32"/>
          <w:szCs w:val="40"/>
          <w:lang w:eastAsia="zh-CN"/>
        </w:rPr>
        <w:t>：</w:t>
      </w:r>
      <w:r>
        <w:rPr>
          <w:rFonts w:hint="eastAsia" w:ascii="仿宋_GB2312" w:hAnsi="仿宋_GB2312" w:eastAsia="仿宋_GB2312" w:cs="仿宋_GB2312"/>
          <w:sz w:val="32"/>
          <w:szCs w:val="40"/>
        </w:rPr>
        <w:t>广州市名花香料有限公司、广州爱运研物科技有限公司、广东省食品行业协会质量专业委员会、广州市雅禾生物科技有限公司、珠海特艺塑料制品有限公司、深圳市金阅检测科技有限责任公司、广州一起运动有限公司、广东省生物制品与药物研究所。</w:t>
      </w:r>
    </w:p>
    <w:p w14:paraId="3C27EDD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主要成员：</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w:t>
      </w:r>
    </w:p>
    <w:p w14:paraId="4A0C44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40"/>
        </w:rPr>
      </w:pPr>
      <w:r>
        <w:rPr>
          <w:rFonts w:hint="eastAsia" w:ascii="楷体_GB2312" w:hAnsi="楷体_GB2312" w:eastAsia="楷体_GB2312" w:cs="楷体_GB2312"/>
          <w:b/>
          <w:bCs/>
          <w:sz w:val="32"/>
          <w:szCs w:val="40"/>
          <w:lang w:eastAsia="zh-CN"/>
        </w:rPr>
        <w:t>（三）</w:t>
      </w:r>
      <w:r>
        <w:rPr>
          <w:rFonts w:hint="eastAsia" w:ascii="楷体_GB2312" w:hAnsi="楷体_GB2312" w:eastAsia="楷体_GB2312" w:cs="楷体_GB2312"/>
          <w:b/>
          <w:bCs/>
          <w:sz w:val="32"/>
          <w:szCs w:val="40"/>
        </w:rPr>
        <w:t>起草组分工</w:t>
      </w:r>
    </w:p>
    <w:p w14:paraId="0A6BCB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杨家友任工作组组长，主持全面协调工作，曾初欢、龙景辉为副组长，负责标准内容的起草、审核及修改；其他人负责协助收集有关资料，配合产品试产和相关指标测试，参与调研并进行讨论，集合各方意见等工作。</w:t>
      </w:r>
    </w:p>
    <w:p w14:paraId="737143B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40"/>
        </w:rPr>
      </w:pPr>
      <w:r>
        <w:rPr>
          <w:rFonts w:hint="eastAsia" w:ascii="楷体_GB2312" w:hAnsi="楷体_GB2312" w:eastAsia="楷体_GB2312" w:cs="楷体_GB2312"/>
          <w:b/>
          <w:bCs/>
          <w:sz w:val="32"/>
          <w:szCs w:val="40"/>
          <w:lang w:eastAsia="zh-CN"/>
        </w:rPr>
        <w:t>（四）</w:t>
      </w:r>
      <w:r>
        <w:rPr>
          <w:rFonts w:hint="eastAsia" w:ascii="楷体_GB2312" w:hAnsi="楷体_GB2312" w:eastAsia="楷体_GB2312" w:cs="楷体_GB2312"/>
          <w:b/>
          <w:bCs/>
          <w:sz w:val="32"/>
          <w:szCs w:val="40"/>
        </w:rPr>
        <w:t>其他需要说明的问题</w:t>
      </w:r>
    </w:p>
    <w:p w14:paraId="544D9B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rPr>
        <w:t>无</w:t>
      </w:r>
      <w:r>
        <w:rPr>
          <w:rFonts w:hint="eastAsia" w:ascii="仿宋_GB2312" w:hAnsi="仿宋_GB2312" w:eastAsia="仿宋_GB2312" w:cs="仿宋_GB2312"/>
          <w:sz w:val="32"/>
          <w:szCs w:val="40"/>
          <w:lang w:eastAsia="zh-CN"/>
        </w:rPr>
        <w:t>。</w:t>
      </w:r>
    </w:p>
    <w:p w14:paraId="153B5F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lang w:eastAsia="zh-CN"/>
        </w:rPr>
        <w:t>二、</w:t>
      </w:r>
      <w:r>
        <w:rPr>
          <w:rFonts w:hint="eastAsia" w:ascii="黑体" w:hAnsi="黑体" w:eastAsia="黑体" w:cs="黑体"/>
          <w:sz w:val="32"/>
          <w:szCs w:val="40"/>
        </w:rPr>
        <w:t>标准制订的目的和意义</w:t>
      </w:r>
    </w:p>
    <w:p w14:paraId="17C32D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近年来百事可乐投资的气味饮料品牌Air Up风靡欧洲，消费者通过特殊的饮用系统可以将水喝出果味，如同带有风味的饮料，但是又不改变水的本质。与Air Up设计原理类似，2021年国内市场出现了俗称“玩味杯”的产品，该产品是由玩味环（气味环）和一个饮用装置组成，通过饮用装置特殊的气路设计，喝水时将玩味环中的气味带入口中，通过鼻后嗅觉感知到风味，从而把喝水变成有风味的饮料体验。这种由气味带入的风味感受很强烈而且饮用水无糖无添加，受到很多家长的青睐，会买给小朋友使用，让他们喜欢上喝水。这种饮用方式让水变成了健康无任何负担同时又充满风味乐趣的饮料，比目前市场上的传统饮料健康，更适合儿童。</w:t>
      </w:r>
    </w:p>
    <w:p w14:paraId="36DFC8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目前市场上充斥着不良商家在玩味环内使用非食品原料或劣质香精，低成本制造玩味环的同时打“擦边球”，告诉消费者玩味杯中的水不会与玩味环接触，所以不需要担心食品安全问题，造成了消费者对新型饮料的误解，混淆市场。</w:t>
      </w:r>
    </w:p>
    <w:p w14:paraId="7E68C7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玩味环带来的饮料体验，仅是饮用方式有别于传统的饮料，它和其他饮料一样，依然是经口属于食品范畴的，因此，并不能像某些商家宣称那样，食品安全问题可以放松。相反，这种新型健康的饮用方式，急需制定明确的相关标准，才有利于其更好的发展。</w:t>
      </w:r>
    </w:p>
    <w:p w14:paraId="79C92F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根据玩味环的独特饮用方式，我们将这类产品定义为气味饮料。本标准的制定重点解决气味饮料质量标准缺失问题，帮助行业健康发展，规范市场竞争秩序，维护消费者权益。本标准发布后，将对气味饮料企业质量控制起到重要的作用，对于提升气味饮料的食品安全和质量水平，推动我国大健康产业的发展具有积极的意义。</w:t>
      </w:r>
    </w:p>
    <w:p w14:paraId="44CFD3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lang w:eastAsia="zh-CN"/>
        </w:rPr>
        <w:t>三、</w:t>
      </w:r>
      <w:r>
        <w:rPr>
          <w:rFonts w:hint="eastAsia" w:ascii="黑体" w:hAnsi="黑体" w:eastAsia="黑体" w:cs="黑体"/>
          <w:sz w:val="32"/>
          <w:szCs w:val="40"/>
        </w:rPr>
        <w:t>编制过程</w:t>
      </w:r>
    </w:p>
    <w:p w14:paraId="5C98CE9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40"/>
        </w:rPr>
      </w:pPr>
      <w:r>
        <w:rPr>
          <w:rFonts w:hint="eastAsia" w:ascii="楷体_GB2312" w:hAnsi="楷体_GB2312" w:eastAsia="楷体_GB2312" w:cs="楷体_GB2312"/>
          <w:b/>
          <w:bCs/>
          <w:sz w:val="32"/>
          <w:szCs w:val="40"/>
          <w:lang w:eastAsia="zh-CN"/>
        </w:rPr>
        <w:t>（一）</w:t>
      </w:r>
      <w:r>
        <w:rPr>
          <w:rFonts w:hint="eastAsia" w:ascii="楷体_GB2312" w:hAnsi="楷体_GB2312" w:eastAsia="楷体_GB2312" w:cs="楷体_GB2312"/>
          <w:b/>
          <w:bCs/>
          <w:sz w:val="32"/>
          <w:szCs w:val="40"/>
        </w:rPr>
        <w:t>起草阶段</w:t>
      </w:r>
    </w:p>
    <w:p w14:paraId="10A7236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1、标准立项。</w:t>
      </w:r>
      <w:r>
        <w:rPr>
          <w:rFonts w:hint="eastAsia" w:ascii="Times New Roman" w:hAnsi="Times New Roman" w:eastAsia="仿宋_GB2312" w:cs="Times New Roman"/>
          <w:sz w:val="32"/>
          <w:szCs w:val="40"/>
        </w:rPr>
        <w:t>2023年4月，按照《广东省食品行业协会团体标准管理办法（修订版）》要求和相关程序，经广东省食品工业标准化技术委员会秘书处进行了立项审查、公示，确认符合立项条件，标准起草工作组初步成立，确定参加标准起草的工作组成员及专家，标准研制工作正式启动</w:t>
      </w:r>
      <w:r>
        <w:rPr>
          <w:rFonts w:hint="eastAsia" w:ascii="仿宋_GB2312" w:hAnsi="仿宋_GB2312" w:eastAsia="仿宋_GB2312" w:cs="仿宋_GB2312"/>
          <w:sz w:val="32"/>
          <w:szCs w:val="40"/>
        </w:rPr>
        <w:t>。</w:t>
      </w:r>
    </w:p>
    <w:p w14:paraId="2F41E86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2、资料收集</w:t>
      </w:r>
      <w:r>
        <w:rPr>
          <w:rFonts w:hint="eastAsia" w:ascii="仿宋_GB2312" w:hAnsi="仿宋_GB2312" w:eastAsia="仿宋_GB2312" w:cs="仿宋_GB2312"/>
          <w:sz w:val="32"/>
          <w:szCs w:val="40"/>
        </w:rPr>
        <w:t>。</w:t>
      </w:r>
      <w:r>
        <w:rPr>
          <w:rFonts w:hint="eastAsia" w:ascii="Times New Roman" w:hAnsi="Times New Roman" w:eastAsia="仿宋_GB2312" w:cs="Times New Roman"/>
          <w:sz w:val="32"/>
          <w:szCs w:val="40"/>
        </w:rPr>
        <w:t>2023年5月-6月，标准起草工作组首先收集相关标准、法规等技术资料，掌握了有关标准现状；并对我国现有产品相关标准中的术语、指标等技术内容进行了归纳和总结，为标准文本的编制奠定理论基础</w:t>
      </w:r>
      <w:r>
        <w:rPr>
          <w:rFonts w:hint="eastAsia" w:ascii="仿宋_GB2312" w:hAnsi="仿宋_GB2312" w:eastAsia="仿宋_GB2312" w:cs="仿宋_GB2312"/>
          <w:sz w:val="32"/>
          <w:szCs w:val="40"/>
        </w:rPr>
        <w:t>。</w:t>
      </w:r>
    </w:p>
    <w:p w14:paraId="48F445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3、标准起草。</w:t>
      </w:r>
      <w:r>
        <w:rPr>
          <w:rFonts w:hint="eastAsia" w:ascii="Times New Roman" w:hAnsi="Times New Roman" w:eastAsia="仿宋_GB2312" w:cs="Times New Roman"/>
          <w:sz w:val="32"/>
          <w:szCs w:val="40"/>
        </w:rPr>
        <w:t>2023年7月中旬完成标准的草案。7月28日，广东省食品行业协会召开了标准制定工作会，会议重点对标准框架，包括名称、术语和定义、技术要求、检验方法、检验规则、标签、包装、运输、贮存、生产加工过程的食品安全控制等要求进行充分交流和讨论，对标准的名称、使用范围、术语和定义等方面提出具体的建议，并对下一步工作方向和内容进行安排</w:t>
      </w:r>
      <w:r>
        <w:rPr>
          <w:rFonts w:hint="eastAsia" w:ascii="仿宋_GB2312" w:hAnsi="仿宋_GB2312" w:eastAsia="仿宋_GB2312" w:cs="仿宋_GB2312"/>
          <w:sz w:val="32"/>
          <w:szCs w:val="40"/>
        </w:rPr>
        <w:t>。</w:t>
      </w:r>
    </w:p>
    <w:p w14:paraId="21C9FE9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4、指标测试和验证。</w:t>
      </w:r>
      <w:r>
        <w:rPr>
          <w:rFonts w:hint="eastAsia" w:ascii="Times New Roman" w:hAnsi="Times New Roman" w:eastAsia="仿宋_GB2312" w:cs="Times New Roman"/>
          <w:sz w:val="32"/>
          <w:szCs w:val="40"/>
        </w:rPr>
        <w:t>2023年8月，为充分体现标准制定工作的科学性，合理设定气味饮料的理化指标，起草组开展了样品试制和指标测定。测试样品由标准起草单位中的气味饮料生产企业提供。测定工作由深圳市金阅检测科技有限责任公司负责，对样品水分、微生物等指标进行测定和分析</w:t>
      </w:r>
      <w:r>
        <w:rPr>
          <w:rFonts w:hint="eastAsia" w:ascii="仿宋_GB2312" w:hAnsi="仿宋_GB2312" w:eastAsia="仿宋_GB2312" w:cs="仿宋_GB2312"/>
          <w:sz w:val="32"/>
          <w:szCs w:val="40"/>
        </w:rPr>
        <w:t>。</w:t>
      </w:r>
    </w:p>
    <w:p w14:paraId="072CF9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40"/>
        </w:rPr>
      </w:pPr>
      <w:r>
        <w:rPr>
          <w:rFonts w:hint="eastAsia" w:ascii="楷体_GB2312" w:hAnsi="楷体_GB2312" w:eastAsia="楷体_GB2312" w:cs="楷体_GB2312"/>
          <w:sz w:val="32"/>
          <w:szCs w:val="40"/>
        </w:rPr>
        <w:t>（二）征求意见阶段</w:t>
      </w:r>
    </w:p>
    <w:p w14:paraId="178ECA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2024年7月，起草工作组对草案进行修改和完善，形成了标准征求意见稿。</w:t>
      </w:r>
    </w:p>
    <w:p w14:paraId="5B9978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起草工作组将征求意见稿发给广东省食品行业协会及相关专家并在全国团体标准信息平台（http://www.ttbz.org.cn/）和南方食品医药网（http://www.southfp.com/）面向社会公开征集意见。</w:t>
      </w:r>
    </w:p>
    <w:p w14:paraId="18D806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Times New Roman" w:hAnsi="Times New Roman" w:eastAsia="仿宋_GB2312" w:cs="Times New Roman"/>
          <w:sz w:val="32"/>
          <w:szCs w:val="40"/>
        </w:rPr>
        <w:t>2024年8月由广东省食品行业协会进行公开征求意见，截止2024年XX月XX日，共收到XX个单位回函，其中XX个单位提出了XX条意见或建议，经过起草工作组和提出单位专家进行充分讨论和协商，对其中采纳XX条，不采纳XX条。以此为基础对标准征求意见稿进行了完善修改，形成了标准送审稿</w:t>
      </w:r>
      <w:r>
        <w:rPr>
          <w:rFonts w:hint="eastAsia" w:ascii="仿宋_GB2312" w:hAnsi="仿宋_GB2312" w:eastAsia="仿宋_GB2312" w:cs="仿宋_GB2312"/>
          <w:sz w:val="32"/>
          <w:szCs w:val="40"/>
        </w:rPr>
        <w:t>。</w:t>
      </w:r>
    </w:p>
    <w:p w14:paraId="2DCCBB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lang w:eastAsia="zh-CN"/>
        </w:rPr>
        <w:t>四、</w:t>
      </w:r>
      <w:r>
        <w:rPr>
          <w:rFonts w:hint="eastAsia" w:ascii="黑体" w:hAnsi="黑体" w:eastAsia="黑体" w:cs="黑体"/>
          <w:sz w:val="32"/>
          <w:szCs w:val="40"/>
        </w:rPr>
        <w:t>标准制订的基本原则和依据</w:t>
      </w:r>
    </w:p>
    <w:p w14:paraId="0A1F40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本标准根据中华人民共和国《食品安全法》对食品质量安全的要求，《中共中央 国务院关于深化改革加强食品安全工作的意见》、《国务院办公厅关于开展消费品工业“三品”专项行动 营造良好市场环境的若干意见》（国办发〔2016〕40号）有关“增品种、提品质、创品牌”专项行动部署。根据《数字化助力消费品工业“三品”行动方案（2022-2025年）》（工信部联消费〔2022〕79号）有关培育形成一批新品、名品、精品，品种引领力、品质竞争力和品牌影响力不断提升的主要目标有关要求编制的。</w:t>
      </w:r>
    </w:p>
    <w:p w14:paraId="63A1EE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标准的制定充分考虑了规范行业，提升产品品质，促进行业技术进步，增强企业的市场竞争力。在加强企业食品安全意识、保障人民身体健康的基础上，充分考虑国内相关的法规要求、卫生标准，结合国内企业的实际情况，以确保标准的科学性、先进性、可操作性。</w:t>
      </w:r>
    </w:p>
    <w:p w14:paraId="7FB7C1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本标准起草过程中，主要按照GB/T 1.1-2020《标准化工作导则 第1部分：标准化文件的结构和起草规则》进行编写。本标准制定过程中，主要参考了以下标准或文件：</w:t>
      </w:r>
    </w:p>
    <w:p w14:paraId="7082E1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2762 食品安全国家标准 食品中污染物限量</w:t>
      </w:r>
    </w:p>
    <w:p w14:paraId="49E653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2760 食品安全国家标准 食品添加剂使用标准</w:t>
      </w:r>
    </w:p>
    <w:p w14:paraId="37B411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4789.1 食品安全国家标准 食品微生物学检验 总则</w:t>
      </w:r>
    </w:p>
    <w:p w14:paraId="57A720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GB 4789.2 食品安全国家标准 食品微生物学检验 菌落总数测定 </w:t>
      </w:r>
    </w:p>
    <w:p w14:paraId="57813F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GB 4789.3 食品安全国家标准 食品微生物学检验 大肠菌群计数 </w:t>
      </w:r>
    </w:p>
    <w:p w14:paraId="3EC206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4789.15 食品安全国家标准 食品微生物学检验 霉菌和酵母计数</w:t>
      </w:r>
    </w:p>
    <w:p w14:paraId="173940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5009.3 食品安全国家标准 食品中水分的测定</w:t>
      </w:r>
    </w:p>
    <w:p w14:paraId="373C80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5749 生活饮用水卫生标准</w:t>
      </w:r>
    </w:p>
    <w:p w14:paraId="0BAF68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7718 食品安全国家标准 预包装食品标签通则</w:t>
      </w:r>
    </w:p>
    <w:p w14:paraId="6113B3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14880 食品安全国家标准 食品营养强化剂使用标准</w:t>
      </w:r>
    </w:p>
    <w:p w14:paraId="55F1F1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14881 食品安全国家标准 食品生产通用卫生规范</w:t>
      </w:r>
    </w:p>
    <w:p w14:paraId="0608D3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28050 食品安全国家标准 预包装食品营养标签通则</w:t>
      </w:r>
    </w:p>
    <w:p w14:paraId="457DFA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29921 食品安全国家标准 预包装食品中致病菌限量</w:t>
      </w:r>
    </w:p>
    <w:p w14:paraId="532C3E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 31621 食品安全国家标准 食品经营过程卫生规范</w:t>
      </w:r>
    </w:p>
    <w:p w14:paraId="12EB73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GB/T 191 包装储运图示标志</w:t>
      </w:r>
    </w:p>
    <w:p w14:paraId="4AD427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GB/T 4789.21 食品卫生微生物学检验 冷冻饮品、饮料检验</w:t>
      </w:r>
    </w:p>
    <w:p w14:paraId="5D905F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GB/T 10789 饮料通则</w:t>
      </w:r>
    </w:p>
    <w:p w14:paraId="15E6DE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GB/T 29602 固体饮料</w:t>
      </w:r>
    </w:p>
    <w:p w14:paraId="07E8FF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JJF 1070 定量包装商品净含量计量检验规则</w:t>
      </w:r>
    </w:p>
    <w:p w14:paraId="70AF8E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国家质量监督检验检疫总局[2023]年第75号令《定量包装商品计量监督管理办法》</w:t>
      </w:r>
    </w:p>
    <w:p w14:paraId="5E64E6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lang w:eastAsia="zh-CN"/>
        </w:rPr>
        <w:t>五、</w:t>
      </w:r>
      <w:r>
        <w:rPr>
          <w:rFonts w:hint="eastAsia" w:ascii="黑体" w:hAnsi="黑体" w:eastAsia="黑体" w:cs="黑体"/>
          <w:sz w:val="32"/>
          <w:szCs w:val="40"/>
        </w:rPr>
        <w:t>主要章、条确定的原则</w:t>
      </w:r>
    </w:p>
    <w:p w14:paraId="7DF7719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40"/>
        </w:rPr>
      </w:pPr>
      <w:r>
        <w:rPr>
          <w:rFonts w:hint="eastAsia" w:ascii="楷体_GB2312" w:hAnsi="楷体_GB2312" w:eastAsia="楷体_GB2312" w:cs="楷体_GB2312"/>
          <w:b/>
          <w:bCs/>
          <w:sz w:val="32"/>
          <w:szCs w:val="40"/>
        </w:rPr>
        <w:t>（一）适用范围</w:t>
      </w:r>
    </w:p>
    <w:p w14:paraId="186974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本标准适用于与特殊气路设计的饮用装置相适配的气味饮料。</w:t>
      </w:r>
    </w:p>
    <w:p w14:paraId="4E02245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40"/>
        </w:rPr>
      </w:pPr>
      <w:r>
        <w:rPr>
          <w:rFonts w:hint="eastAsia" w:ascii="楷体_GB2312" w:hAnsi="楷体_GB2312" w:eastAsia="楷体_GB2312" w:cs="楷体_GB2312"/>
          <w:b/>
          <w:bCs/>
          <w:sz w:val="32"/>
          <w:szCs w:val="40"/>
        </w:rPr>
        <w:t>（二）主要章节</w:t>
      </w:r>
    </w:p>
    <w:p w14:paraId="2BE8CD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本标准规定了“气味饮料”的术语和定义、技术要求、检验方法、生产加工过程的卫生要求、检验规则、标签、包装、运输和贮存。</w:t>
      </w:r>
    </w:p>
    <w:p w14:paraId="0174B1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1、术语和定义</w:t>
      </w:r>
    </w:p>
    <w:p w14:paraId="75F76F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本标准涉及的玩味环指的是与特殊气路设计的饮用装置相匹配的环状风味装置，调味是指使用该饮用装置时，风味装置对饮用介质（水）带来的风味体验。</w:t>
      </w:r>
    </w:p>
    <w:p w14:paraId="0015F9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结合玩味环的原理和使用方式，分别对气味饮料、风味装置、调味进行定义。</w:t>
      </w:r>
    </w:p>
    <w:p w14:paraId="3FD06FE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2、技术要求</w:t>
      </w:r>
    </w:p>
    <w:p w14:paraId="4ED84C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2.1 原辅料要求</w:t>
      </w:r>
    </w:p>
    <w:p w14:paraId="18C11A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气味饮料属于食品范畴，原辅料应符合相应的国家标准、行业标准等有关规定。</w:t>
      </w:r>
    </w:p>
    <w:p w14:paraId="5C6719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2.2 感官要求</w:t>
      </w:r>
    </w:p>
    <w:p w14:paraId="1428F6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风味装置内容物为颗粒固体状，参照食品安全国家标准GB 7101《饮料》的固体饮料要求，结合风味装置的特点进行规定。</w:t>
      </w:r>
    </w:p>
    <w:p w14:paraId="1A46F4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2.3 水分要求</w:t>
      </w:r>
    </w:p>
    <w:p w14:paraId="214059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采用GB/T 29602《固体饮料》的要求。</w:t>
      </w:r>
    </w:p>
    <w:p w14:paraId="4C8A4F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2.4 污染物限量</w:t>
      </w:r>
    </w:p>
    <w:p w14:paraId="4A2628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污染物限量应符合GB 2762中固体饮料的规定。</w:t>
      </w:r>
    </w:p>
    <w:p w14:paraId="3E243D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2.5 微生物限量</w:t>
      </w:r>
    </w:p>
    <w:p w14:paraId="445CA4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致病菌限量应符合GB 29921中饮料的规定，微生物限量还应符合GB 7101《饮料》对固体饮料的规定。参照GB 7101《饮料》的固体饮料要求，对气味饮料样品菌落总数、大肠菌群和霉菌进行了检测，结果表明，均可符合相应的规定。</w:t>
      </w:r>
    </w:p>
    <w:p w14:paraId="207353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2.6 食品添加剂和营养强化剂</w:t>
      </w:r>
    </w:p>
    <w:p w14:paraId="429209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食品添加剂应符合GB 2760的规定。</w:t>
      </w:r>
    </w:p>
    <w:p w14:paraId="1B2B7E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营养强化剂应符合GB 14880的规定。</w:t>
      </w:r>
    </w:p>
    <w:p w14:paraId="2B0210B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lang w:val="en-US" w:eastAsia="zh-CN"/>
        </w:rPr>
        <w:t>3、</w:t>
      </w:r>
      <w:r>
        <w:rPr>
          <w:rFonts w:hint="eastAsia" w:ascii="仿宋_GB2312" w:hAnsi="仿宋_GB2312" w:eastAsia="仿宋_GB2312" w:cs="仿宋_GB2312"/>
          <w:b/>
          <w:bCs/>
          <w:sz w:val="32"/>
          <w:szCs w:val="40"/>
        </w:rPr>
        <w:t>检验方法</w:t>
      </w:r>
    </w:p>
    <w:p w14:paraId="6B0609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除感官检验依据本文件4.2检测方法外，其他指标的检测方法均采用了相应国家标准中规定的方法。</w:t>
      </w:r>
    </w:p>
    <w:p w14:paraId="7A903A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lang w:eastAsia="zh-CN"/>
        </w:rPr>
        <w:t>六、</w:t>
      </w:r>
      <w:r>
        <w:rPr>
          <w:rFonts w:hint="eastAsia" w:ascii="黑体" w:hAnsi="黑体" w:eastAsia="黑体" w:cs="黑体"/>
          <w:sz w:val="32"/>
          <w:szCs w:val="40"/>
        </w:rPr>
        <w:t>征求意见处理结果</w:t>
      </w:r>
    </w:p>
    <w:p w14:paraId="4556D9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标准将根据公开的原则向社会广泛征求意见，并作为标准完善重要来源。</w:t>
      </w:r>
    </w:p>
    <w:p w14:paraId="6BAB0F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lang w:eastAsia="zh-CN"/>
        </w:rPr>
        <w:t>七、</w:t>
      </w:r>
      <w:r>
        <w:rPr>
          <w:rFonts w:hint="eastAsia" w:ascii="黑体" w:hAnsi="黑体" w:eastAsia="黑体" w:cs="黑体"/>
          <w:sz w:val="32"/>
          <w:szCs w:val="40"/>
        </w:rPr>
        <w:t>标准实施建议</w:t>
      </w:r>
    </w:p>
    <w:p w14:paraId="51DCA5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无。</w:t>
      </w:r>
    </w:p>
    <w:p w14:paraId="13F036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rPr>
      </w:pPr>
      <w:r>
        <w:rPr>
          <w:rFonts w:hint="eastAsia" w:ascii="黑体" w:hAnsi="黑体" w:eastAsia="黑体" w:cs="黑体"/>
          <w:sz w:val="32"/>
          <w:szCs w:val="40"/>
          <w:lang w:eastAsia="zh-CN"/>
        </w:rPr>
        <w:t>八、</w:t>
      </w:r>
      <w:r>
        <w:rPr>
          <w:rFonts w:hint="eastAsia" w:ascii="黑体" w:hAnsi="黑体" w:eastAsia="黑体" w:cs="黑体"/>
          <w:sz w:val="32"/>
          <w:szCs w:val="40"/>
        </w:rPr>
        <w:t>其他需要说明的问题</w:t>
      </w:r>
    </w:p>
    <w:p w14:paraId="5FD3D2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40"/>
        </w:rPr>
        <w:t>无。</w:t>
      </w:r>
    </w:p>
    <w:sectPr>
      <w:pgSz w:w="11906" w:h="16838"/>
      <w:pgMar w:top="2098" w:right="1474" w:bottom="1984" w:left="1588" w:header="851" w:footer="992" w:gutter="0"/>
      <w:pgBorders>
        <w:top w:val="none" w:sz="0" w:space="0"/>
        <w:left w:val="none" w:sz="0" w:space="0"/>
        <w:bottom w:val="none" w:sz="0" w:space="0"/>
        <w:right w:val="none" w:sz="0" w:space="0"/>
      </w:pgBorders>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3ZTkzY2M2MTA5NTMwZDA0MmIyMTIzMGIzNWI3NmUifQ=="/>
  </w:docVars>
  <w:rsids>
    <w:rsidRoot w:val="040C46DD"/>
    <w:rsid w:val="0118690F"/>
    <w:rsid w:val="040C46DD"/>
    <w:rsid w:val="244462DC"/>
    <w:rsid w:val="66BB74EB"/>
    <w:rsid w:val="6C7E6CDC"/>
    <w:rsid w:val="6D8A1731"/>
    <w:rsid w:val="773A3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3320</Words>
  <Characters>3603</Characters>
  <Lines>0</Lines>
  <Paragraphs>0</Paragraphs>
  <TotalTime>4</TotalTime>
  <ScaleCrop>false</ScaleCrop>
  <LinksUpToDate>false</LinksUpToDate>
  <CharactersWithSpaces>3686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2024-08-28T02:22:00Z</dcterms:created>
  <dc:creator>Margaret</dc:creator>
  <cp:lastModifiedBy>Margaret</cp:lastModifiedBy>
  <dcterms:modified xsi:type="dcterms:W3CDTF">2024-11-08T02:28:36Z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57AD1C6A01E241B89D5BDBC392D33863_11</vt:lpwstr>
  </property>
</Properties>
</file>