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FC3326">
      <w:pPr>
        <w:pStyle w:val="119"/>
      </w:pPr>
      <w:r>
        <w:rPr>
          <w:rFonts w:ascii="Times New Roman"/>
        </w:rPr>
        <w:t>ICS</w:t>
      </w:r>
      <w:r>
        <w:rPr>
          <w:rFonts w:hAnsi="黑体"/>
        </w:rPr>
        <w:t> </w:t>
      </w:r>
      <w:bookmarkStart w:id="0" w:name="ICS"/>
      <w:r>
        <w:fldChar w:fldCharType="begin">
          <w:ffData>
            <w:name w:val="ICS"/>
            <w:enabled/>
            <w:calcOnExit w:val="0"/>
            <w:helpText w:type="text" w:val="请输入正确的ICS号："/>
            <w:textInput>
              <w:default w:val="点击此处添加ICS号"/>
            </w:textInput>
          </w:ffData>
        </w:fldChar>
      </w:r>
      <w:r>
        <w:instrText xml:space="preserve"> FORMTEXT </w:instrText>
      </w:r>
      <w:r>
        <w:fldChar w:fldCharType="separate"/>
      </w:r>
      <w:r>
        <w:t> </w:t>
      </w:r>
      <w:r>
        <w:rPr>
          <w:rFonts w:hint="eastAsia"/>
          <w:lang w:val="en-US" w:eastAsia="zh-CN"/>
        </w:rPr>
        <w:t>03.080.30</w:t>
      </w:r>
      <w:r>
        <w:t>    </w:t>
      </w:r>
      <w:r>
        <w:fldChar w:fldCharType="end"/>
      </w:r>
      <w:bookmarkEnd w:id="0"/>
    </w:p>
    <w:p w14:paraId="75080F7C">
      <w:pPr>
        <w:pStyle w:val="119"/>
        <w:rPr>
          <w:rFonts w:hint="default"/>
          <w:lang w:val="en-US"/>
        </w:rPr>
      </w:pPr>
      <w:bookmarkStart w:id="1" w:name="WXFLH"/>
      <w:r>
        <w:rPr>
          <w:rFonts w:hint="default" w:ascii="黑体" w:hAnsi="Times New Roman" w:eastAsia="黑体" w:cs="Times New Roman"/>
          <w:sz w:val="21"/>
          <w:szCs w:val="21"/>
          <w:lang w:val="en-US" w:eastAsia="zh-CN" w:bidi="ar-SA"/>
        </w:rPr>
        <w:fldChar w:fldCharType="begin">
          <w:ffData>
            <w:name w:val="WXFLH"/>
            <w:enabled/>
            <w:calcOnExit w:val="0"/>
            <w:helpText w:type="text" w:val="请输入中国标准文献分类号："/>
            <w:textInput>
              <w:default w:val="CCS A12"/>
            </w:textInput>
          </w:ffData>
        </w:fldChar>
      </w:r>
      <w:r>
        <w:rPr>
          <w:rFonts w:hint="default" w:ascii="黑体" w:hAnsi="Times New Roman" w:eastAsia="黑体" w:cs="Times New Roman"/>
          <w:sz w:val="21"/>
          <w:szCs w:val="21"/>
          <w:lang w:val="en-US" w:eastAsia="zh-CN" w:bidi="ar-SA"/>
        </w:rPr>
        <w:instrText xml:space="preserve">FORMTEXT</w:instrText>
      </w:r>
      <w:r>
        <w:rPr>
          <w:rFonts w:hint="default" w:ascii="黑体" w:hAnsi="Times New Roman" w:eastAsia="黑体" w:cs="Times New Roman"/>
          <w:sz w:val="21"/>
          <w:szCs w:val="21"/>
          <w:lang w:val="en-US" w:eastAsia="zh-CN" w:bidi="ar-SA"/>
        </w:rPr>
        <w:fldChar w:fldCharType="separate"/>
      </w:r>
      <w:r>
        <w:rPr>
          <w:rFonts w:hint="default" w:ascii="黑体" w:hAnsi="Times New Roman" w:eastAsia="黑体" w:cs="Times New Roman"/>
          <w:sz w:val="21"/>
          <w:szCs w:val="21"/>
          <w:lang w:val="en-US" w:eastAsia="zh-CN" w:bidi="ar-SA"/>
        </w:rPr>
        <w:t>CCS A12</w:t>
      </w:r>
      <w:r>
        <w:rPr>
          <w:rFonts w:hint="default" w:ascii="黑体" w:hAnsi="Times New Roman" w:eastAsia="黑体" w:cs="Times New Roman"/>
          <w:sz w:val="21"/>
          <w:szCs w:val="21"/>
          <w:lang w:val="en-US" w:eastAsia="zh-CN" w:bidi="ar-SA"/>
        </w:rPr>
        <w:fldChar w:fldCharType="end"/>
      </w:r>
      <w:bookmarkEnd w:id="1"/>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4"/>
      </w:tblGrid>
      <w:tr w14:paraId="4B7F94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shd w:val="clear" w:color="auto" w:fill="auto"/>
          </w:tcPr>
          <w:p w14:paraId="70F21635">
            <w:pPr>
              <w:pStyle w:val="119"/>
            </w:pPr>
            <w:r>
              <mc:AlternateContent>
                <mc:Choice Requires="wps">
                  <w:drawing>
                    <wp:anchor distT="0" distB="0" distL="114300" distR="114300" simplePos="0" relativeHeight="251664384" behindDoc="1" locked="0" layoutInCell="1" allowOverlap="1">
                      <wp:simplePos x="0" y="0"/>
                      <wp:positionH relativeFrom="column">
                        <wp:posOffset>-66675</wp:posOffset>
                      </wp:positionH>
                      <wp:positionV relativeFrom="paragraph">
                        <wp:posOffset>0</wp:posOffset>
                      </wp:positionV>
                      <wp:extent cx="866775" cy="198120"/>
                      <wp:effectExtent l="0" t="0" r="1905" b="0"/>
                      <wp:wrapNone/>
                      <wp:docPr id="6"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bodyPr upright="1"/>
                          </wps:wsp>
                        </a:graphicData>
                      </a:graphic>
                    </wp:anchor>
                  </w:drawing>
                </mc:Choice>
                <mc:Fallback>
                  <w:pict>
                    <v:rect id="BAH" o:spid="_x0000_s1026" o:spt="1" style="position:absolute;left:0pt;margin-left:-5.25pt;margin-top:0pt;height:15.6pt;width:68.25pt;z-index:-251652096;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MiuL+zVAAAABwEAAA8AAAAA&#10;AAAAAQAgAAAAIgAAAGRycy9kb3ducmV2LnhtbFBLAQIUABQAAAAIAIdO4kCz0S6vpQEAAFkDAAAO&#10;AAAAAAAAAAEAIAAAACQBAABkcnMvZTJvRG9jLnhtbFBLBQYAAAAABgAGAFkBAAA7BQAAAAA=&#10;">
                      <v:fill on="t" focussize="0,0"/>
                      <v:stroke on="f"/>
                      <v:imagedata o:title=""/>
                      <o:lock v:ext="edit" aspectratio="f"/>
                    </v:rect>
                  </w:pict>
                </mc:Fallback>
              </mc:AlternateContent>
            </w:r>
            <w:r>
              <w:fldChar w:fldCharType="begin">
                <w:ffData>
                  <w:name w:val="BAH"/>
                  <w:enabled/>
                  <w:calcOnExit w:val="0"/>
                  <w:textInput/>
                </w:ffData>
              </w:fldChar>
            </w:r>
            <w:bookmarkStart w:id="2" w:name="BAH"/>
            <w:r>
              <w:instrText xml:space="preserve"> FORMTEXT </w:instrText>
            </w:r>
            <w:r>
              <w:fldChar w:fldCharType="separate"/>
            </w:r>
            <w:r>
              <w:t>     </w:t>
            </w:r>
            <w:r>
              <w:fldChar w:fldCharType="end"/>
            </w:r>
            <w:bookmarkEnd w:id="2"/>
          </w:p>
        </w:tc>
      </w:tr>
    </w:tbl>
    <w:p w14:paraId="099704D4">
      <w:pPr>
        <w:pStyle w:val="105"/>
      </w:pPr>
      <w:r>
        <w:t>D</w:t>
      </w:r>
      <w:r>
        <w:rPr>
          <w:spacing w:val="100"/>
        </w:rPr>
        <w:t>B</w:t>
      </w:r>
      <w:bookmarkStart w:id="3" w:name="c3"/>
      <w:r>
        <w:fldChar w:fldCharType="begin">
          <w:ffData>
            <w:name w:val="c3"/>
            <w:enabled/>
            <w:calcOnExit w:val="0"/>
            <w:entryMacro w:val="ShowHelp16"/>
            <w:textInput/>
          </w:ffData>
        </w:fldChar>
      </w:r>
      <w:r>
        <w:instrText xml:space="preserve"> FORMTEXT </w:instrText>
      </w:r>
      <w:r>
        <w:fldChar w:fldCharType="separate"/>
      </w:r>
      <w:r>
        <w:rPr>
          <w:rFonts w:hint="eastAsia"/>
        </w:rPr>
        <w:t>34</w:t>
      </w:r>
      <w:r>
        <w:fldChar w:fldCharType="end"/>
      </w:r>
      <w:bookmarkEnd w:id="3"/>
    </w:p>
    <w:p w14:paraId="40BF5542">
      <w:pPr>
        <w:pStyle w:val="106"/>
      </w:pPr>
      <w:bookmarkStart w:id="4" w:name="c4"/>
      <w:r>
        <w:fldChar w:fldCharType="begin">
          <w:ffData>
            <w:name w:val="c4"/>
            <w:enabled/>
            <w:calcOnExit w:val="0"/>
            <w:entryMacro w:val="showhelp12"/>
            <w:textInput/>
          </w:ffData>
        </w:fldChar>
      </w:r>
      <w:r>
        <w:instrText xml:space="preserve"> FORMTEXT </w:instrText>
      </w:r>
      <w:r>
        <w:fldChar w:fldCharType="separate"/>
      </w:r>
      <w:r>
        <w:rPr>
          <w:rFonts w:hint="eastAsia"/>
        </w:rPr>
        <w:t>安徽省</w:t>
      </w:r>
      <w:r>
        <w:fldChar w:fldCharType="end"/>
      </w:r>
      <w:bookmarkEnd w:id="4"/>
      <w:r>
        <w:t>地方标准</w:t>
      </w:r>
    </w:p>
    <w:p w14:paraId="5C9E0580">
      <w:pPr>
        <w:pStyle w:val="43"/>
        <w:rPr>
          <w:rFonts w:hAnsi="黑体"/>
        </w:rPr>
      </w:pPr>
      <w:r>
        <w:rPr>
          <w:rFonts w:ascii="Times New Roman"/>
        </w:rPr>
        <w:t xml:space="preserve">DB </w:t>
      </w:r>
      <w:bookmarkStart w:id="5" w:name="StdNo0"/>
      <w:r>
        <w:rPr>
          <w:rFonts w:hAnsi="黑体"/>
        </w:rPr>
        <w:fldChar w:fldCharType="begin">
          <w:ffData>
            <w:name w:val="StdNo0"/>
            <w:enabled/>
            <w:calcOnExit w:val="0"/>
            <w:textInput>
              <w:default w:val="××/T"/>
            </w:textInput>
          </w:ffData>
        </w:fldChar>
      </w:r>
      <w:r>
        <w:rPr>
          <w:rFonts w:hAnsi="黑体"/>
        </w:rPr>
        <w:instrText xml:space="preserve"> FORMTEXT </w:instrText>
      </w:r>
      <w:r>
        <w:rPr>
          <w:rFonts w:hAnsi="黑体"/>
        </w:rPr>
        <w:fldChar w:fldCharType="separate"/>
      </w:r>
      <w:r>
        <w:rPr>
          <w:rFonts w:hAnsi="黑体"/>
        </w:rPr>
        <w:t>34</w:t>
      </w:r>
      <w:r>
        <w:rPr>
          <w:rFonts w:ascii="Times New Roman"/>
        </w:rPr>
        <w:t>/T</w:t>
      </w:r>
      <w:r>
        <w:rPr>
          <w:rFonts w:hAnsi="黑体"/>
        </w:rPr>
        <w:fldChar w:fldCharType="end"/>
      </w:r>
      <w:bookmarkEnd w:id="5"/>
      <w:r>
        <w:rPr>
          <w:rFonts w:hAnsi="黑体"/>
        </w:rPr>
        <w:t xml:space="preserve"> </w:t>
      </w:r>
      <w:bookmarkStart w:id="6" w:name="StdNo1"/>
      <w:r>
        <w:rPr>
          <w:rFonts w:hAnsi="黑体"/>
        </w:rPr>
        <w:fldChar w:fldCharType="begin">
          <w:ffData>
            <w:name w:val="StdNo1"/>
            <w:enabled/>
            <w:calcOnExit w:val="0"/>
            <w:textInput>
              <w:default w:val="××××"/>
            </w:textInput>
          </w:ffData>
        </w:fldChar>
      </w:r>
      <w:r>
        <w:rPr>
          <w:rFonts w:hAnsi="黑体"/>
        </w:rPr>
        <w:instrText xml:space="preserve"> FORMTEXT </w:instrText>
      </w:r>
      <w:r>
        <w:rPr>
          <w:rFonts w:hAnsi="黑体"/>
        </w:rPr>
        <w:fldChar w:fldCharType="separate"/>
      </w:r>
      <w:r>
        <w:rPr>
          <w:rFonts w:hAnsi="黑体"/>
        </w:rPr>
        <w:t>××××</w:t>
      </w:r>
      <w:r>
        <w:rPr>
          <w:rFonts w:hAnsi="黑体"/>
        </w:rPr>
        <w:fldChar w:fldCharType="end"/>
      </w:r>
      <w:bookmarkEnd w:id="6"/>
      <w:r>
        <w:rPr>
          <w:rFonts w:hAnsi="黑体"/>
        </w:rPr>
        <w:t>—</w:t>
      </w:r>
      <w:bookmarkStart w:id="7" w:name="StdNo2"/>
      <w:r>
        <w:rPr>
          <w:rFonts w:hAnsi="黑体"/>
        </w:rPr>
        <w:fldChar w:fldCharType="begin">
          <w:ffData>
            <w:name w:val="StdNo2"/>
            <w:enabled/>
            <w:calcOnExit w:val="0"/>
            <w:textInput>
              <w:default w:val="××××"/>
              <w:maxLength w:val="4"/>
            </w:textInput>
          </w:ffData>
        </w:fldChar>
      </w:r>
      <w:r>
        <w:rPr>
          <w:rFonts w:hAnsi="黑体"/>
        </w:rPr>
        <w:instrText xml:space="preserve"> FORMTEXT </w:instrText>
      </w:r>
      <w:r>
        <w:rPr>
          <w:rFonts w:hAnsi="黑体"/>
        </w:rPr>
        <w:fldChar w:fldCharType="separate"/>
      </w:r>
      <w:r>
        <w:rPr>
          <w:rFonts w:hAnsi="黑体"/>
        </w:rPr>
        <w:t>××××</w:t>
      </w:r>
      <w:r>
        <w:rPr>
          <w:rFonts w:hAnsi="黑体"/>
        </w:rPr>
        <w:fldChar w:fldCharType="end"/>
      </w:r>
      <w:bookmarkEnd w:id="7"/>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14:paraId="10A694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shd w:val="clear" w:color="auto" w:fill="auto"/>
          </w:tcPr>
          <w:p w14:paraId="31D0BC83">
            <w:pPr>
              <w:pStyle w:val="72"/>
            </w:pPr>
            <w:bookmarkStart w:id="8" w:name="DT"/>
            <w:r>
              <mc:AlternateContent>
                <mc:Choice Requires="wps">
                  <w:drawing>
                    <wp:anchor distT="0" distB="0" distL="114300" distR="114300" simplePos="0" relativeHeight="251661312"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3"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wps:spPr>
                            <wps:bodyPr upright="1"/>
                          </wps:wsp>
                        </a:graphicData>
                      </a:graphic>
                    </wp:anchor>
                  </w:drawing>
                </mc:Choice>
                <mc:Fallback>
                  <w:pict>
                    <v:rect id="DT" o:spid="_x0000_s1026" o:spt="1" style="position:absolute;left:0pt;margin-left:372.8pt;margin-top:2.7pt;height:18pt;width:90pt;z-index:-251655168;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">
                      <v:fill on="t" focussize="0,0"/>
                      <v:stroke on="f"/>
                      <v:imagedata o:title=""/>
                      <o:lock v:ext="edit" aspectratio="f"/>
                    </v:rect>
                  </w:pict>
                </mc:Fallback>
              </mc:AlternateContent>
            </w:r>
            <w:r>
              <w:fldChar w:fldCharType="begin">
                <w:ffData>
                  <w:name w:val="DT"/>
                  <w:enabled/>
                  <w:calcOnExit w:val="0"/>
                  <w:entryMacro w:val="ShowHelp4"/>
                  <w:textInput/>
                </w:ffData>
              </w:fldChar>
            </w:r>
            <w:r>
              <w:instrText xml:space="preserve"> FORMTEXT </w:instrText>
            </w:r>
            <w:r>
              <w:fldChar w:fldCharType="separate"/>
            </w:r>
            <w:r>
              <w:t>     </w:t>
            </w:r>
            <w:r>
              <w:fldChar w:fldCharType="end"/>
            </w:r>
            <w:bookmarkEnd w:id="8"/>
          </w:p>
        </w:tc>
      </w:tr>
    </w:tbl>
    <w:p w14:paraId="02D74A22">
      <w:pPr>
        <w:pStyle w:val="43"/>
        <w:rPr>
          <w:rFonts w:hAnsi="黑体"/>
        </w:rPr>
      </w:pPr>
    </w:p>
    <w:p w14:paraId="7B323010">
      <w:pPr>
        <w:pStyle w:val="43"/>
        <w:rPr>
          <w:rFonts w:hAnsi="黑体"/>
        </w:rPr>
      </w:pPr>
    </w:p>
    <w:p w14:paraId="56ACC802">
      <w:pPr>
        <w:pStyle w:val="74"/>
      </w:pPr>
      <w:bookmarkStart w:id="9" w:name="StdName"/>
      <w:r>
        <w:fldChar w:fldCharType="begin">
          <w:ffData>
            <w:name w:val="StdName"/>
            <w:enabled/>
            <w:calcOnExit w:val="0"/>
            <w:textInput>
              <w:default w:val="点击此处添加标准名称"/>
            </w:textInput>
          </w:ffData>
        </w:fldChar>
      </w:r>
      <w:r>
        <w:instrText xml:space="preserve"> FORMTEXT </w:instrText>
      </w:r>
      <w:r>
        <w:fldChar w:fldCharType="separate"/>
      </w:r>
      <w:r>
        <w:rPr>
          <w:rFonts w:hint="eastAsia"/>
        </w:rPr>
        <w:t>预制菜冷链物流服务规范</w:t>
      </w:r>
      <w:r>
        <w:fldChar w:fldCharType="end"/>
      </w:r>
      <w:bookmarkEnd w:id="9"/>
    </w:p>
    <w:p w14:paraId="0943F5D5">
      <w:pPr>
        <w:pStyle w:val="75"/>
      </w:pPr>
      <w:bookmarkStart w:id="10" w:name="StdEnglishName"/>
      <w:r>
        <w:rPr>
          <w:rFonts w:hint="eastAsia" w:ascii="Times New Roman" w:hAnsi="Times New Roman" w:eastAsia="黑体" w:cs="Times New Roman"/>
          <w:sz w:val="28"/>
          <w:szCs w:val="28"/>
          <w:lang w:val="en-US" w:eastAsia="zh-CN" w:bidi="ar-SA"/>
        </w:rPr>
        <w:fldChar w:fldCharType="begin">
          <w:ffData>
            <w:name w:val="StdEnglishName"/>
            <w:enabled/>
            <w:calcOnExit w:val="0"/>
            <w:textInput>
              <w:default w:val="Service specification for cold chain logistics of prepared dishes"/>
            </w:textInput>
          </w:ffData>
        </w:fldChar>
      </w:r>
      <w:r>
        <w:rPr>
          <w:rFonts w:hint="eastAsia" w:ascii="Times New Roman" w:hAnsi="Times New Roman" w:eastAsia="黑体" w:cs="Times New Roman"/>
          <w:sz w:val="28"/>
          <w:szCs w:val="28"/>
          <w:lang w:val="en-US" w:eastAsia="zh-CN" w:bidi="ar-SA"/>
        </w:rPr>
        <w:instrText xml:space="preserve">FORMTEXT</w:instrText>
      </w:r>
      <w:r>
        <w:rPr>
          <w:rFonts w:hint="eastAsia" w:ascii="Times New Roman" w:hAnsi="Times New Roman" w:eastAsia="黑体" w:cs="Times New Roman"/>
          <w:sz w:val="28"/>
          <w:szCs w:val="28"/>
          <w:lang w:val="en-US" w:eastAsia="zh-CN" w:bidi="ar-SA"/>
        </w:rPr>
        <w:fldChar w:fldCharType="separate"/>
      </w:r>
      <w:r>
        <w:rPr>
          <w:rFonts w:hint="eastAsia" w:ascii="Times New Roman" w:hAnsi="Times New Roman" w:eastAsia="黑体" w:cs="Times New Roman"/>
          <w:sz w:val="28"/>
          <w:szCs w:val="28"/>
          <w:lang w:val="en-US" w:eastAsia="zh-CN" w:bidi="ar-SA"/>
        </w:rPr>
        <w:t>Service specification for cold chain logistics of prepared dishes</w:t>
      </w:r>
      <w:r>
        <w:rPr>
          <w:rFonts w:hint="eastAsia" w:ascii="Times New Roman" w:hAnsi="Times New Roman" w:eastAsia="黑体" w:cs="Times New Roman"/>
          <w:sz w:val="28"/>
          <w:szCs w:val="28"/>
          <w:lang w:val="en-US" w:eastAsia="zh-CN" w:bidi="ar-SA"/>
        </w:rPr>
        <w:fldChar w:fldCharType="end"/>
      </w:r>
      <w:bookmarkEnd w:id="10"/>
    </w:p>
    <w:p w14:paraId="502D5FC2">
      <w:pPr>
        <w:pStyle w:val="76"/>
      </w:pPr>
      <w:bookmarkStart w:id="11" w:name="YZBS"/>
      <w:r>
        <w:rPr>
          <w:rFonts w:hint="eastAsia" w:ascii="宋体" w:hAnsi="Times New Roman" w:eastAsia="宋体" w:cs="Times New Roman"/>
          <w:sz w:val="28"/>
          <w:szCs w:val="28"/>
          <w:lang w:val="en-US" w:eastAsia="zh-CN" w:bidi="ar-SA"/>
        </w:rPr>
        <w:fldChar w:fldCharType="begin">
          <w:ffData>
            <w:name w:val="YZBS"/>
            <w:enabled/>
            <w:calcOnExit w:val="0"/>
            <w:textInput/>
          </w:ffData>
        </w:fldChar>
      </w:r>
      <w:r>
        <w:rPr>
          <w:rFonts w:hint="eastAsia" w:ascii="宋体" w:hAnsi="Times New Roman" w:eastAsia="宋体" w:cs="Times New Roman"/>
          <w:sz w:val="28"/>
          <w:szCs w:val="28"/>
          <w:lang w:val="en-US" w:eastAsia="zh-CN" w:bidi="ar-SA"/>
        </w:rPr>
        <w:instrText xml:space="preserve">FORMTEXT</w:instrText>
      </w:r>
      <w:r>
        <w:rPr>
          <w:rFonts w:hint="eastAsia" w:ascii="宋体" w:hAnsi="Times New Roman" w:eastAsia="宋体" w:cs="Times New Roman"/>
          <w:sz w:val="28"/>
          <w:szCs w:val="28"/>
          <w:lang w:val="en-US" w:eastAsia="zh-CN" w:bidi="ar-SA"/>
        </w:rPr>
        <w:fldChar w:fldCharType="separate"/>
      </w:r>
      <w:r>
        <w:rPr>
          <w:rFonts w:hint="default" w:ascii="宋体" w:hAnsi="Times New Roman" w:eastAsia="宋体" w:cs="Times New Roman"/>
          <w:sz w:val="28"/>
          <w:szCs w:val="28"/>
          <w:lang w:val="en-US" w:eastAsia="zh-CN" w:bidi="ar-SA"/>
        </w:rPr>
        <w:t>     </w:t>
      </w:r>
      <w:r>
        <w:rPr>
          <w:rFonts w:hint="eastAsia" w:ascii="宋体" w:hAnsi="Times New Roman" w:eastAsia="宋体" w:cs="Times New Roman"/>
          <w:sz w:val="28"/>
          <w:szCs w:val="28"/>
          <w:lang w:val="en-US" w:eastAsia="zh-CN" w:bidi="ar-SA"/>
        </w:rPr>
        <w:fldChar w:fldCharType="end"/>
      </w:r>
      <w:bookmarkEnd w:id="11"/>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14:paraId="124C41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shd w:val="clear" w:color="auto" w:fill="auto"/>
          </w:tcPr>
          <w:p w14:paraId="25AC3B31">
            <w:pPr>
              <w:pStyle w:val="77"/>
            </w:pPr>
            <w:r>
              <mc:AlternateContent>
                <mc:Choice Requires="wps">
                  <w:drawing>
                    <wp:anchor distT="0" distB="0" distL="114300" distR="114300" simplePos="0" relativeHeight="251663360" behindDoc="1" locked="1" layoutInCell="1" allowOverlap="1">
                      <wp:simplePos x="0" y="0"/>
                      <wp:positionH relativeFrom="column">
                        <wp:posOffset>2200910</wp:posOffset>
                      </wp:positionH>
                      <wp:positionV relativeFrom="paragraph">
                        <wp:posOffset>573405</wp:posOffset>
                      </wp:positionV>
                      <wp:extent cx="1905000" cy="254000"/>
                      <wp:effectExtent l="0" t="0" r="0" b="5080"/>
                      <wp:wrapNone/>
                      <wp:docPr id="5"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a:noFill/>
                              </a:ln>
                            </wps:spPr>
                            <wps:bodyPr upright="1"/>
                          </wps:wsp>
                        </a:graphicData>
                      </a:graphic>
                    </wp:anchor>
                  </w:drawing>
                </mc:Choice>
                <mc:Fallback>
                  <w:pict>
                    <v:rect id="RQ" o:spid="_x0000_s1026" o:spt="1" style="position:absolute;left:0pt;margin-left:173.3pt;margin-top:45.15pt;height:20pt;width:150pt;z-index:-251653120;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">
                      <v:fill on="t" focussize="0,0"/>
                      <v:stroke on="f"/>
                      <v:imagedata o:title=""/>
                      <o:lock v:ext="edit" aspectratio="f"/>
                      <w10:anchorlock/>
                    </v:rect>
                  </w:pict>
                </mc:Fallback>
              </mc:AlternateContent>
            </w:r>
            <w:r>
              <mc:AlternateContent>
                <mc:Choice Requires="wps">
                  <w:drawing>
                    <wp:anchor distT="0" distB="0" distL="114300" distR="114300" simplePos="0" relativeHeight="251662336" behindDoc="1" locked="0" layoutInCell="1" allowOverlap="1">
                      <wp:simplePos x="0" y="0"/>
                      <wp:positionH relativeFrom="column">
                        <wp:posOffset>2454910</wp:posOffset>
                      </wp:positionH>
                      <wp:positionV relativeFrom="paragraph">
                        <wp:posOffset>255905</wp:posOffset>
                      </wp:positionV>
                      <wp:extent cx="1270000" cy="304800"/>
                      <wp:effectExtent l="0" t="0" r="10160" b="0"/>
                      <wp:wrapNone/>
                      <wp:docPr id="4" name="LB"/>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a:noFill/>
                              </a:ln>
                            </wps:spPr>
                            <wps:bodyPr upright="1"/>
                          </wps:wsp>
                        </a:graphicData>
                      </a:graphic>
                    </wp:anchor>
                  </w:drawing>
                </mc:Choice>
                <mc:Fallback>
                  <w:pict>
                    <v:rect id="LB" o:spid="_x0000_s1026" o:spt="1" style="position:absolute;left:0pt;margin-left:193.3pt;margin-top:20.15pt;height:24pt;width:100pt;z-index:-251654144;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">
                      <v:fill on="t" focussize="0,0"/>
                      <v:stroke on="f"/>
                      <v:imagedata o:title=""/>
                      <o:lock v:ext="edit" aspectratio="f"/>
                    </v:rect>
                  </w:pict>
                </mc:Fallback>
              </mc:AlternateContent>
            </w:r>
            <w:r>
              <w:rPr>
                <w:rFonts w:hint="eastAsia"/>
                <w:lang w:eastAsia="zh-CN"/>
              </w:rPr>
              <w:t>（</w:t>
            </w:r>
            <w:r>
              <w:rPr>
                <w:rFonts w:hint="eastAsia"/>
                <w:lang w:val="en-US" w:eastAsia="zh-CN"/>
              </w:rPr>
              <w:t>征求意见稿</w:t>
            </w:r>
            <w:r>
              <w:rPr>
                <w:rFonts w:hint="eastAsia"/>
                <w:lang w:eastAsia="zh-CN"/>
              </w:rPr>
              <w:t>）</w:t>
            </w:r>
          </w:p>
        </w:tc>
      </w:tr>
      <w:tr w14:paraId="6D5710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shd w:val="clear" w:color="auto" w:fill="auto"/>
          </w:tcPr>
          <w:p w14:paraId="0AB32505">
            <w:pPr>
              <w:pStyle w:val="78"/>
            </w:pPr>
            <w:bookmarkStart w:id="12" w:name="WCRQ"/>
            <w:r>
              <w:fldChar w:fldCharType="begin">
                <w:ffData>
                  <w:name w:val="WCRQ"/>
                  <w:enabled/>
                  <w:calcOnExit w:val="0"/>
                  <w:textInput/>
                </w:ffData>
              </w:fldChar>
            </w:r>
            <w:r>
              <w:instrText xml:space="preserve"> FORMTEXT </w:instrText>
            </w:r>
            <w:r>
              <w:fldChar w:fldCharType="separate"/>
            </w:r>
            <w:r>
              <w:t>     </w:t>
            </w:r>
            <w:r>
              <w:fldChar w:fldCharType="end"/>
            </w:r>
            <w:bookmarkEnd w:id="12"/>
          </w:p>
        </w:tc>
      </w:tr>
    </w:tbl>
    <w:p w14:paraId="16FF060B">
      <w:pPr>
        <w:pStyle w:val="126"/>
      </w:pPr>
      <w:bookmarkStart w:id="13" w:name="FY"/>
      <w:r>
        <w:rPr>
          <w:rFonts w:ascii="黑体"/>
        </w:rPr>
        <w:fldChar w:fldCharType="begin">
          <w:ffData>
            <w:name w:val="FY"/>
            <w:enabled/>
            <w:calcOnExit w:val="0"/>
            <w:entryMacro w:val="ShowHelp8"/>
            <w:textInput>
              <w:default w:val="××××"/>
              <w:maxLength w:val="4"/>
            </w:textInput>
          </w:ffData>
        </w:fldChar>
      </w:r>
      <w:r>
        <w:rPr>
          <w:rFonts w:ascii="黑体"/>
        </w:rPr>
        <w:instrText xml:space="preserve"> FORMTEXT </w:instrText>
      </w:r>
      <w:r>
        <w:rPr>
          <w:rFonts w:ascii="黑体"/>
        </w:rPr>
        <w:fldChar w:fldCharType="separate"/>
      </w:r>
      <w:r>
        <w:rPr>
          <w:rFonts w:ascii="黑体"/>
        </w:rPr>
        <w:t>××××</w:t>
      </w:r>
      <w:r>
        <w:rPr>
          <w:rFonts w:ascii="黑体"/>
        </w:rPr>
        <w:fldChar w:fldCharType="end"/>
      </w:r>
      <w:bookmarkEnd w:id="13"/>
      <w:r>
        <w:t xml:space="preserve"> </w:t>
      </w:r>
      <w:r>
        <w:rPr>
          <w:rFonts w:ascii="黑体"/>
        </w:rPr>
        <w:t>-</w:t>
      </w:r>
      <w:r>
        <w:t xml:space="preserve"> </w:t>
      </w:r>
      <w:r>
        <w:rPr>
          <w:rFonts w:ascii="黑体"/>
        </w:rPr>
        <w:fldChar w:fldCharType="begin">
          <w:ffData>
            <w:name w:val="FM"/>
            <w:enabled/>
            <w:calcOnExit w:val="0"/>
            <w:entryMacro w:val="ShowHelp8"/>
            <w:textInput>
              <w:default w:val="××"/>
              <w:maxLength w:val="2"/>
            </w:textInput>
          </w:ffData>
        </w:fldChar>
      </w:r>
      <w:r>
        <w:rPr>
          <w:rFonts w:ascii="黑体"/>
        </w:rPr>
        <w:instrText xml:space="preserve"> FORMTEXT </w:instrText>
      </w:r>
      <w:r>
        <w:rPr>
          <w:rFonts w:ascii="黑体"/>
        </w:rPr>
        <w:fldChar w:fldCharType="separate"/>
      </w:r>
      <w:r>
        <w:rPr>
          <w:rFonts w:ascii="黑体"/>
        </w:rPr>
        <w:t>××</w:t>
      </w:r>
      <w:r>
        <w:rPr>
          <w:rFonts w:ascii="黑体"/>
        </w:rPr>
        <w:fldChar w:fldCharType="end"/>
      </w:r>
      <w:r>
        <w:t xml:space="preserve"> </w:t>
      </w:r>
      <w:r>
        <w:rPr>
          <w:rFonts w:ascii="黑体"/>
        </w:rPr>
        <w:t>-</w:t>
      </w:r>
      <w:r>
        <w:t xml:space="preserve"> </w:t>
      </w:r>
      <w:bookmarkStart w:id="14" w:name="FD"/>
      <w:r>
        <w:rPr>
          <w:rFonts w:ascii="黑体"/>
        </w:rPr>
        <w:fldChar w:fldCharType="begin">
          <w:ffData>
            <w:name w:val="FD"/>
            <w:enabled/>
            <w:calcOnExit w:val="0"/>
            <w:entryMacro w:val="ShowHelp8"/>
            <w:textInput>
              <w:default w:val="××"/>
              <w:maxLength w:val="2"/>
            </w:textInput>
          </w:ffData>
        </w:fldChar>
      </w:r>
      <w:r>
        <w:rPr>
          <w:rFonts w:ascii="黑体"/>
        </w:rPr>
        <w:instrText xml:space="preserve"> FORMTEXT </w:instrText>
      </w:r>
      <w:r>
        <w:rPr>
          <w:rFonts w:ascii="黑体"/>
        </w:rPr>
        <w:fldChar w:fldCharType="separate"/>
      </w:r>
      <w:r>
        <w:rPr>
          <w:rFonts w:ascii="黑体"/>
        </w:rPr>
        <w:t>××</w:t>
      </w:r>
      <w:r>
        <w:rPr>
          <w:rFonts w:ascii="黑体"/>
        </w:rPr>
        <w:fldChar w:fldCharType="end"/>
      </w:r>
      <w:bookmarkEnd w:id="14"/>
      <w:r>
        <w:rPr>
          <w:rFonts w:hint="eastAsia"/>
        </w:rPr>
        <w:t>发布</w:t>
      </w:r>
      <w:r>
        <mc:AlternateContent>
          <mc:Choice Requires="wps">
            <w:drawing>
              <wp:anchor distT="0" distB="0" distL="114300" distR="114300" simplePos="0" relativeHeight="251659264" behindDoc="0" locked="1" layoutInCell="1" allowOverlap="1">
                <wp:simplePos x="0" y="0"/>
                <wp:positionH relativeFrom="column">
                  <wp:posOffset>-635</wp:posOffset>
                </wp:positionH>
                <wp:positionV relativeFrom="page">
                  <wp:posOffset>9251950</wp:posOffset>
                </wp:positionV>
                <wp:extent cx="6120130" cy="0"/>
                <wp:effectExtent l="0" t="4445" r="0" b="5080"/>
                <wp:wrapNone/>
                <wp:docPr id="1" name="直线 2"/>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2" o:spid="_x0000_s1026" o:spt="20" style="position:absolute;left:0pt;margin-left:-0.05pt;margin-top:728.5pt;height:0pt;width:481.9pt;mso-position-vertical-relative:page;z-index:251659264;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CWHazzWAAAA&#10;CwEAAA8AAAAAAAAAAQAgAAAAIgAAAGRycy9kb3ducmV2LnhtbFBLAQIUABQAAAAIAIdO4kDsUJIV&#10;5gEAANsDAAAOAAAAAAAAAAEAIAAAACUBAABkcnMvZTJvRG9jLnhtbFBLBQYAAAAABgAGAFkBAAB9&#10;BQAAAAA=&#10;">
                <v:fill on="f" focussize="0,0"/>
                <v:stroke color="#000000" joinstyle="round"/>
                <v:imagedata o:title=""/>
                <o:lock v:ext="edit" aspectratio="f"/>
                <w10:anchorlock/>
              </v:line>
            </w:pict>
          </mc:Fallback>
        </mc:AlternateContent>
      </w:r>
    </w:p>
    <w:p w14:paraId="75300CA8">
      <w:pPr>
        <w:pStyle w:val="127"/>
      </w:pPr>
      <w:bookmarkStart w:id="15" w:name="SY"/>
      <w:r>
        <w:rPr>
          <w:rFonts w:ascii="黑体"/>
        </w:rPr>
        <w:fldChar w:fldCharType="begin">
          <w:ffData>
            <w:name w:val="SY"/>
            <w:enabled/>
            <w:calcOnExit w:val="0"/>
            <w:entryMacro w:val="ShowHelp9"/>
            <w:textInput>
              <w:default w:val="××××"/>
              <w:maxLength w:val="4"/>
            </w:textInput>
          </w:ffData>
        </w:fldChar>
      </w:r>
      <w:r>
        <w:rPr>
          <w:rFonts w:ascii="黑体"/>
        </w:rPr>
        <w:instrText xml:space="preserve"> FORMTEXT </w:instrText>
      </w:r>
      <w:r>
        <w:rPr>
          <w:rFonts w:ascii="黑体"/>
        </w:rPr>
        <w:fldChar w:fldCharType="separate"/>
      </w:r>
      <w:r>
        <w:rPr>
          <w:rFonts w:ascii="黑体"/>
        </w:rPr>
        <w:t>××××</w:t>
      </w:r>
      <w:r>
        <w:rPr>
          <w:rFonts w:ascii="黑体"/>
        </w:rPr>
        <w:fldChar w:fldCharType="end"/>
      </w:r>
      <w:bookmarkEnd w:id="15"/>
      <w:r>
        <w:t xml:space="preserve"> </w:t>
      </w:r>
      <w:r>
        <w:rPr>
          <w:rFonts w:ascii="黑体"/>
        </w:rPr>
        <w:t>-</w:t>
      </w:r>
      <w:r>
        <w:t xml:space="preserve"> </w:t>
      </w:r>
      <w:bookmarkStart w:id="16" w:name="SM"/>
      <w:r>
        <w:rPr>
          <w:rFonts w:ascii="黑体"/>
        </w:rPr>
        <w:fldChar w:fldCharType="begin">
          <w:ffData>
            <w:name w:val="SM"/>
            <w:enabled/>
            <w:calcOnExit w:val="0"/>
            <w:entryMacro w:val="ShowHelp9"/>
            <w:textInput>
              <w:default w:val="××"/>
              <w:maxLength w:val="2"/>
            </w:textInput>
          </w:ffData>
        </w:fldChar>
      </w:r>
      <w:r>
        <w:rPr>
          <w:rFonts w:ascii="黑体"/>
        </w:rPr>
        <w:instrText xml:space="preserve"> FORMTEXT </w:instrText>
      </w:r>
      <w:r>
        <w:rPr>
          <w:rFonts w:ascii="黑体"/>
        </w:rPr>
        <w:fldChar w:fldCharType="separate"/>
      </w:r>
      <w:r>
        <w:rPr>
          <w:rFonts w:ascii="黑体"/>
        </w:rPr>
        <w:t>××</w:t>
      </w:r>
      <w:r>
        <w:rPr>
          <w:rFonts w:ascii="黑体"/>
        </w:rPr>
        <w:fldChar w:fldCharType="end"/>
      </w:r>
      <w:bookmarkEnd w:id="16"/>
      <w:r>
        <w:t xml:space="preserve"> </w:t>
      </w:r>
      <w:r>
        <w:rPr>
          <w:rFonts w:ascii="黑体"/>
        </w:rPr>
        <w:t>-</w:t>
      </w:r>
      <w:r>
        <w:t xml:space="preserve"> </w:t>
      </w:r>
      <w:bookmarkStart w:id="17" w:name="SD"/>
      <w:r>
        <w:rPr>
          <w:rFonts w:ascii="黑体"/>
        </w:rPr>
        <w:fldChar w:fldCharType="begin">
          <w:ffData>
            <w:name w:val="SD"/>
            <w:enabled/>
            <w:calcOnExit w:val="0"/>
            <w:entryMacro w:val="ShowHelp9"/>
            <w:textInput>
              <w:default w:val="××"/>
              <w:maxLength w:val="2"/>
            </w:textInput>
          </w:ffData>
        </w:fldChar>
      </w:r>
      <w:r>
        <w:rPr>
          <w:rFonts w:ascii="黑体"/>
        </w:rPr>
        <w:instrText xml:space="preserve"> FORMTEXT </w:instrText>
      </w:r>
      <w:r>
        <w:rPr>
          <w:rFonts w:ascii="黑体"/>
        </w:rPr>
        <w:fldChar w:fldCharType="separate"/>
      </w:r>
      <w:r>
        <w:rPr>
          <w:rFonts w:ascii="黑体"/>
        </w:rPr>
        <w:t>××</w:t>
      </w:r>
      <w:r>
        <w:rPr>
          <w:rFonts w:ascii="黑体"/>
        </w:rPr>
        <w:fldChar w:fldCharType="end"/>
      </w:r>
      <w:bookmarkEnd w:id="17"/>
      <w:r>
        <w:rPr>
          <w:rFonts w:hint="eastAsia"/>
        </w:rPr>
        <w:t>实施</w:t>
      </w:r>
    </w:p>
    <w:p w14:paraId="528780DF">
      <w:pPr>
        <w:pStyle w:val="107"/>
      </w:pPr>
      <w:bookmarkStart w:id="18" w:name="fm"/>
      <w:r>
        <w:fldChar w:fldCharType="begin">
          <w:ffData>
            <w:name w:val="fm"/>
            <w:enabled/>
            <w:calcOnExit w:val="0"/>
            <w:textInput/>
          </w:ffData>
        </w:fldChar>
      </w:r>
      <w:r>
        <w:instrText xml:space="preserve"> FORMTEXT </w:instrText>
      </w:r>
      <w:r>
        <w:fldChar w:fldCharType="separate"/>
      </w:r>
      <w:r>
        <w:rPr>
          <w:rFonts w:hint="eastAsia"/>
        </w:rPr>
        <w:t>安徽省市场监督管理局</w:t>
      </w:r>
      <w:r>
        <w:fldChar w:fldCharType="end"/>
      </w:r>
      <w:bookmarkEnd w:id="18"/>
      <w:r>
        <w:t xml:space="preserve"> </w:t>
      </w:r>
      <w:r>
        <w:rPr>
          <w:rStyle w:val="69"/>
        </w:rPr>
        <w:t xml:space="preserve"> </w:t>
      </w:r>
      <w:r>
        <w:rPr>
          <w:rStyle w:val="69"/>
          <w:rFonts w:hint="eastAsia"/>
        </w:rPr>
        <w:t>发布</w:t>
      </w:r>
    </w:p>
    <w:p w14:paraId="09F98D83">
      <w:pPr>
        <w:pStyle w:val="21"/>
        <w:sectPr>
          <w:pgSz w:w="11906" w:h="16838"/>
          <w:pgMar w:top="567" w:right="850" w:bottom="1134" w:left="1418" w:header="0" w:footer="0" w:gutter="0"/>
          <w:pgNumType w:start="1"/>
          <w:cols w:space="425" w:num="1"/>
          <w:docGrid w:type="lines" w:linePitch="312" w:charSpace="0"/>
        </w:sectPr>
      </w:pPr>
      <w:r>
        <mc:AlternateContent>
          <mc:Choice Requires="wps">
            <w:drawing>
              <wp:anchor distT="0" distB="0" distL="114300" distR="114300" simplePos="0" relativeHeight="251660288" behindDoc="0" locked="0" layoutInCell="1" allowOverlap="1">
                <wp:simplePos x="0" y="0"/>
                <wp:positionH relativeFrom="column">
                  <wp:posOffset>-635</wp:posOffset>
                </wp:positionH>
                <wp:positionV relativeFrom="paragraph">
                  <wp:posOffset>2339975</wp:posOffset>
                </wp:positionV>
                <wp:extent cx="6120130" cy="0"/>
                <wp:effectExtent l="0" t="4445" r="0" b="5080"/>
                <wp:wrapNone/>
                <wp:docPr id="2" name="直线 3"/>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 o:spid="_x0000_s1026" o:spt="20" style="position:absolute;left:0pt;margin-left:-0.05pt;margin-top:184.25pt;height:0pt;width:481.9pt;z-index:251660288;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QkHiX9cA&#10;AAAJAQAADwAAAAAAAAABACAAAAAiAAAAZHJzL2Rvd25yZXYueG1sUEsBAhQAFAAAAAgAh07iQAu5&#10;e4bnAQAA2wMAAA4AAAAAAAAAAQAgAAAAJgEAAGRycy9lMm9Eb2MueG1sUEsFBgAAAAAGAAYAWQEA&#10;AH8FAAAAAA==&#10;">
                <v:fill on="f" focussize="0,0"/>
                <v:stroke color="#000000" joinstyle="round"/>
                <v:imagedata o:title=""/>
                <o:lock v:ext="edit" aspectratio="f"/>
              </v:line>
            </w:pict>
          </mc:Fallback>
        </mc:AlternateContent>
      </w:r>
    </w:p>
    <w:p w14:paraId="47E4BA06">
      <w:pPr>
        <w:pStyle w:val="108"/>
      </w:pPr>
      <w:r>
        <w:rPr>
          <w:rFonts w:hint="eastAsia"/>
        </w:rPr>
        <w:t>前</w:t>
      </w:r>
      <w:bookmarkStart w:id="19" w:name="BKQY"/>
      <w:r>
        <w:rPr>
          <w:rFonts w:hAnsi="黑体"/>
        </w:rPr>
        <w:t>  </w:t>
      </w:r>
      <w:r>
        <w:rPr>
          <w:rFonts w:hint="eastAsia"/>
        </w:rPr>
        <w:t>言</w:t>
      </w:r>
      <w:bookmarkEnd w:id="19"/>
    </w:p>
    <w:p w14:paraId="40291DAE">
      <w:pPr>
        <w:pStyle w:val="21"/>
      </w:pPr>
      <w:r>
        <w:rPr>
          <w:rFonts w:hint="eastAsia"/>
        </w:rPr>
        <w:t>本文件按照GB/T1.1-2020《标准化工作导则 第1部分：标准化文件的结构和起草规则》的规定起草。</w:t>
      </w:r>
    </w:p>
    <w:p w14:paraId="404DC635">
      <w:pPr>
        <w:pStyle w:val="21"/>
      </w:pPr>
      <w:r>
        <w:rPr>
          <w:rFonts w:hint="eastAsia"/>
        </w:rPr>
        <w:t>请注意本文件的某些内容可能涉及专利。本文件的发布机构不承担识别专利的责任。</w:t>
      </w:r>
    </w:p>
    <w:p w14:paraId="6EDB946E">
      <w:pPr>
        <w:pStyle w:val="21"/>
        <w:rPr>
          <w:highlight w:val="none"/>
        </w:rPr>
      </w:pPr>
      <w:r>
        <w:rPr>
          <w:rFonts w:hint="eastAsia"/>
          <w:highlight w:val="none"/>
        </w:rPr>
        <w:t>本文件由</w:t>
      </w:r>
      <w:r>
        <w:rPr>
          <w:rFonts w:hint="eastAsia"/>
          <w:highlight w:val="none"/>
          <w:lang w:val="en-US" w:eastAsia="zh-CN"/>
        </w:rPr>
        <w:t>安徽省产品质量监督检验研究院提出，安徽省商务厅</w:t>
      </w:r>
      <w:r>
        <w:rPr>
          <w:rFonts w:hint="eastAsia"/>
          <w:highlight w:val="none"/>
        </w:rPr>
        <w:t>归口。</w:t>
      </w:r>
    </w:p>
    <w:p w14:paraId="02CE8EE9">
      <w:pPr>
        <w:pStyle w:val="21"/>
      </w:pPr>
      <w:r>
        <w:rPr>
          <w:rFonts w:hint="eastAsia"/>
        </w:rPr>
        <w:t>本文件起草单位：</w:t>
      </w:r>
    </w:p>
    <w:p w14:paraId="49ACED4F">
      <w:pPr>
        <w:pStyle w:val="21"/>
      </w:pPr>
      <w:r>
        <w:rPr>
          <w:rFonts w:hint="eastAsia"/>
        </w:rPr>
        <w:t>本文件主要起草人：</w:t>
      </w:r>
    </w:p>
    <w:p w14:paraId="07B184B6">
      <w:pPr>
        <w:pStyle w:val="21"/>
        <w:sectPr>
          <w:headerReference r:id="rId3" w:type="default"/>
          <w:footerReference r:id="rId4" w:type="default"/>
          <w:pgSz w:w="11906" w:h="16838"/>
          <w:pgMar w:top="567" w:right="1134" w:bottom="1134" w:left="1418" w:header="1418" w:footer="1134" w:gutter="0"/>
          <w:pgNumType w:fmt="upperRoman" w:start="1"/>
          <w:cols w:space="425" w:num="1"/>
          <w:formProt w:val="0"/>
          <w:docGrid w:type="lines" w:linePitch="312" w:charSpace="0"/>
        </w:sectPr>
      </w:pPr>
    </w:p>
    <w:p w14:paraId="6BC618C7">
      <w:pPr>
        <w:pStyle w:val="46"/>
      </w:pPr>
      <w:sdt>
        <w:sdtPr>
          <w:alias w:val="标准名称"/>
          <w:tag w:val="标准名称"/>
          <w:id w:val="1795105741"/>
          <w:lock w:val="sdtLocked"/>
          <w:placeholder>
            <w:docPart w:val="111"/>
          </w:placeholder>
          <w:text w:multiLine="1"/>
        </w:sdtPr>
        <w:sdtContent>
          <w:r>
            <w:rPr>
              <w:rFonts w:hint="eastAsia"/>
            </w:rPr>
            <w:t>预制菜冷链物流服务规范</w:t>
          </w:r>
        </w:sdtContent>
      </w:sdt>
      <w:bookmarkStart w:id="20" w:name="StandardName"/>
      <w:bookmarkEnd w:id="20"/>
    </w:p>
    <w:p w14:paraId="0B1F4B69">
      <w:pPr>
        <w:pStyle w:val="41"/>
        <w:spacing w:before="312" w:after="312"/>
      </w:pPr>
      <w:r>
        <w:rPr>
          <w:rFonts w:hint="eastAsia"/>
        </w:rPr>
        <w:t>范围</w:t>
      </w:r>
    </w:p>
    <w:p w14:paraId="7C34C3EE">
      <w:pPr>
        <w:pStyle w:val="21"/>
      </w:pPr>
      <w:r>
        <w:rPr>
          <w:rFonts w:hint="eastAsia"/>
        </w:rPr>
        <w:t>本文件规定了预制菜的术语和定义</w:t>
      </w:r>
      <w:r>
        <w:rPr>
          <w:rFonts w:hint="eastAsia"/>
          <w:lang w:eastAsia="zh-CN"/>
        </w:rPr>
        <w:t>、</w:t>
      </w:r>
      <w:r>
        <w:rPr>
          <w:rFonts w:hint="eastAsia"/>
        </w:rPr>
        <w:t>预制菜冷链物流</w:t>
      </w:r>
      <w:r>
        <w:rPr>
          <w:rFonts w:hint="eastAsia"/>
          <w:lang w:eastAsia="zh-CN"/>
        </w:rPr>
        <w:t>服务</w:t>
      </w:r>
      <w:r>
        <w:rPr>
          <w:rFonts w:hint="eastAsia"/>
        </w:rPr>
        <w:t>的基本要求、</w:t>
      </w:r>
      <w:r>
        <w:rPr>
          <w:rFonts w:hint="eastAsia"/>
          <w:lang w:eastAsia="zh-CN"/>
        </w:rPr>
        <w:t>物流</w:t>
      </w:r>
      <w:r>
        <w:rPr>
          <w:rFonts w:hint="eastAsia"/>
        </w:rPr>
        <w:t>过程控制、质量管理、产品追溯与召回的要求。</w:t>
      </w:r>
    </w:p>
    <w:p w14:paraId="079A1DE7">
      <w:pPr>
        <w:pStyle w:val="21"/>
      </w:pPr>
      <w:r>
        <w:rPr>
          <w:rFonts w:hint="eastAsia"/>
        </w:rPr>
        <w:t>本文件适用于安徽省内餐饮企业的预制菜冷链物流服务及管理。</w:t>
      </w:r>
    </w:p>
    <w:p w14:paraId="16D7A503">
      <w:pPr>
        <w:pStyle w:val="41"/>
        <w:spacing w:before="312" w:after="312"/>
      </w:pPr>
      <w:r>
        <w:rPr>
          <w:rFonts w:hint="eastAsia"/>
        </w:rPr>
        <w:t>规范性引用文件</w:t>
      </w:r>
    </w:p>
    <w:p w14:paraId="0FC289AC">
      <w:pPr>
        <w:pStyle w:val="21"/>
      </w:pPr>
      <w:r>
        <w:rPr>
          <w:rFonts w:hint="eastAsia"/>
        </w:rPr>
        <w:t>下列文件对于本文件的应用是必不可少的。凡是注日期的引用文件，仅注日期的版本适用于本文件。凡是不注日期的引用文件，其最新版本（包括所有的修改单）适用于本文件。</w:t>
      </w:r>
    </w:p>
    <w:p w14:paraId="6314CE05">
      <w:pPr>
        <w:pStyle w:val="21"/>
        <w:rPr>
          <w:rFonts w:hint="eastAsia"/>
        </w:rPr>
      </w:pPr>
      <w:r>
        <w:rPr>
          <w:rFonts w:hint="eastAsia"/>
        </w:rPr>
        <w:t>GB/T</w:t>
      </w:r>
      <w:r>
        <w:rPr>
          <w:rFonts w:hint="eastAsia"/>
          <w:lang w:val="en-US" w:eastAsia="zh-CN"/>
        </w:rPr>
        <w:t xml:space="preserve"> </w:t>
      </w:r>
      <w:r>
        <w:rPr>
          <w:rFonts w:hint="eastAsia"/>
        </w:rPr>
        <w:t>6388</w:t>
      </w:r>
      <w:r>
        <w:rPr>
          <w:rFonts w:hint="eastAsia"/>
          <w:lang w:val="en-US" w:eastAsia="zh-CN"/>
        </w:rPr>
        <w:t xml:space="preserve">  </w:t>
      </w:r>
      <w:r>
        <w:rPr>
          <w:rFonts w:hint="eastAsia"/>
        </w:rPr>
        <w:t>运输包装收发货标志</w:t>
      </w:r>
    </w:p>
    <w:p w14:paraId="05705D0D">
      <w:pPr>
        <w:pStyle w:val="21"/>
        <w:rPr>
          <w:rFonts w:hint="eastAsia"/>
        </w:rPr>
      </w:pPr>
      <w:r>
        <w:rPr>
          <w:rFonts w:hint="eastAsia"/>
        </w:rPr>
        <w:t>GB</w:t>
      </w:r>
      <w:r>
        <w:rPr>
          <w:rFonts w:hint="eastAsia"/>
          <w:lang w:val="en-US" w:eastAsia="zh-CN"/>
        </w:rPr>
        <w:t xml:space="preserve"> </w:t>
      </w:r>
      <w:r>
        <w:rPr>
          <w:rFonts w:hint="eastAsia"/>
        </w:rPr>
        <w:t>7718</w:t>
      </w:r>
      <w:r>
        <w:rPr>
          <w:rFonts w:hint="eastAsia"/>
          <w:highlight w:val="none"/>
          <w:lang w:val="en-US" w:eastAsia="zh-CN"/>
        </w:rPr>
        <w:t xml:space="preserve">  </w:t>
      </w:r>
      <w:r>
        <w:rPr>
          <w:rFonts w:hint="eastAsia"/>
        </w:rPr>
        <w:t>食品安全国家标准</w:t>
      </w:r>
      <w:r>
        <w:rPr>
          <w:rFonts w:hint="eastAsia"/>
          <w:lang w:val="en-US" w:eastAsia="zh-CN"/>
        </w:rPr>
        <w:t xml:space="preserve"> </w:t>
      </w:r>
      <w:r>
        <w:rPr>
          <w:rFonts w:hint="eastAsia"/>
        </w:rPr>
        <w:t>预装食品</w:t>
      </w:r>
      <w:r>
        <w:rPr>
          <w:rFonts w:hint="eastAsia"/>
          <w:lang w:val="en-US" w:eastAsia="zh-CN"/>
        </w:rPr>
        <w:t>标签</w:t>
      </w:r>
      <w:r>
        <w:rPr>
          <w:rFonts w:hint="eastAsia"/>
        </w:rPr>
        <w:t>通则</w:t>
      </w:r>
    </w:p>
    <w:p w14:paraId="5CFCFCFB">
      <w:pPr>
        <w:pStyle w:val="21"/>
        <w:rPr>
          <w:rFonts w:hint="eastAsia"/>
        </w:rPr>
      </w:pPr>
      <w:r>
        <w:rPr>
          <w:rFonts w:hint="eastAsia"/>
        </w:rPr>
        <w:t>GB 14881</w:t>
      </w:r>
      <w:r>
        <w:rPr>
          <w:rFonts w:hint="eastAsia"/>
          <w:lang w:val="en-US" w:eastAsia="zh-CN"/>
        </w:rPr>
        <w:t xml:space="preserve">  </w:t>
      </w:r>
      <w:r>
        <w:rPr>
          <w:rFonts w:hint="eastAsia"/>
        </w:rPr>
        <w:t>食品安全国家标准 食品生产通用卫生规范</w:t>
      </w:r>
    </w:p>
    <w:p w14:paraId="592E5FDC">
      <w:pPr>
        <w:pStyle w:val="21"/>
        <w:rPr>
          <w:rFonts w:hint="eastAsia"/>
        </w:rPr>
      </w:pPr>
      <w:r>
        <w:rPr>
          <w:rFonts w:hint="eastAsia"/>
        </w:rPr>
        <w:t>GB/T 28843</w:t>
      </w:r>
      <w:r>
        <w:rPr>
          <w:rFonts w:hint="eastAsia"/>
          <w:highlight w:val="none"/>
          <w:lang w:val="en-US" w:eastAsia="zh-CN"/>
        </w:rPr>
        <w:t xml:space="preserve">  </w:t>
      </w:r>
      <w:r>
        <w:rPr>
          <w:rFonts w:hint="eastAsia"/>
        </w:rPr>
        <w:t>食品冷链物流追溯管理要求</w:t>
      </w:r>
    </w:p>
    <w:p w14:paraId="43360A93">
      <w:pPr>
        <w:pStyle w:val="21"/>
      </w:pPr>
      <w:r>
        <w:rPr>
          <w:rFonts w:hint="eastAsia"/>
        </w:rPr>
        <w:t>GB 31605</w:t>
      </w:r>
      <w:r>
        <w:rPr>
          <w:rFonts w:hint="eastAsia"/>
          <w:lang w:val="en-US" w:eastAsia="zh-CN"/>
        </w:rPr>
        <w:t xml:space="preserve">  </w:t>
      </w:r>
      <w:r>
        <w:rPr>
          <w:rFonts w:hint="eastAsia"/>
        </w:rPr>
        <w:t>食品安全国家标准 食品冷链物流卫生规范</w:t>
      </w:r>
    </w:p>
    <w:p w14:paraId="2F72E082">
      <w:pPr>
        <w:pStyle w:val="21"/>
      </w:pPr>
      <w:r>
        <w:rPr>
          <w:rFonts w:hint="eastAsia"/>
        </w:rPr>
        <w:t>GB 31621</w:t>
      </w:r>
      <w:r>
        <w:rPr>
          <w:rFonts w:hint="eastAsia"/>
          <w:lang w:val="en-US" w:eastAsia="zh-CN"/>
        </w:rPr>
        <w:t xml:space="preserve">  </w:t>
      </w:r>
      <w:r>
        <w:rPr>
          <w:rFonts w:hint="eastAsia"/>
        </w:rPr>
        <w:t>食品安全国家标准 食品经营过程卫生规范</w:t>
      </w:r>
    </w:p>
    <w:p w14:paraId="09D01BE6">
      <w:pPr>
        <w:pStyle w:val="41"/>
        <w:spacing w:before="312" w:after="312"/>
      </w:pPr>
      <w:r>
        <w:t>术语和定义</w:t>
      </w:r>
    </w:p>
    <w:p w14:paraId="3A679CAD">
      <w:pPr>
        <w:pStyle w:val="21"/>
      </w:pPr>
      <w:r>
        <w:rPr>
          <w:rFonts w:hint="eastAsia"/>
        </w:rPr>
        <w:t>下列术语和定义适用于本文件。</w:t>
      </w:r>
    </w:p>
    <w:p w14:paraId="3810427E">
      <w:pPr>
        <w:pStyle w:val="38"/>
        <w:spacing w:before="156" w:after="156"/>
        <w:rPr>
          <w:highlight w:val="none"/>
        </w:rPr>
      </w:pPr>
      <w:r>
        <w:rPr>
          <w:highlight w:val="none"/>
        </w:rPr>
        <w:t>预制菜</w:t>
      </w:r>
      <w:r>
        <w:rPr>
          <w:rFonts w:hint="eastAsia"/>
          <w:highlight w:val="none"/>
          <w:lang w:val="en-US" w:eastAsia="zh-CN"/>
        </w:rPr>
        <w:t xml:space="preserve"> prepared dishes</w:t>
      </w:r>
    </w:p>
    <w:p w14:paraId="5FA6CE2B">
      <w:pPr>
        <w:pStyle w:val="21"/>
      </w:pPr>
      <w:r>
        <w:rPr>
          <w:rFonts w:hint="eastAsia"/>
        </w:rPr>
        <w:t>以一种或多种食用农产品及其制品为原料，使用或不使用调味料等辅料，不添加防腐剂，经工业化预加工（如搅拌、腌制、滚揉、成型、炒、炸、烤、煮、蒸等）制成，配以或不配以调味料包，符合产品标签标明的贮存、运输及销售条件，加热或熟制后方可食用的预包装菜肴，不包括主食类食品，如速冻面米食品、方便食品、盒饭、盖浇饭、馒头、糕点、肉夹馍、面包、汉堡、三明治、</w:t>
      </w:r>
      <w:r>
        <w:rPr>
          <w:rFonts w:hint="eastAsia"/>
          <w:lang w:eastAsia="zh-CN"/>
        </w:rPr>
        <w:t>比萨</w:t>
      </w:r>
      <w:r>
        <w:rPr>
          <w:rFonts w:hint="eastAsia"/>
        </w:rPr>
        <w:t>等。</w:t>
      </w:r>
    </w:p>
    <w:p w14:paraId="642D3951">
      <w:pPr>
        <w:pStyle w:val="38"/>
        <w:spacing w:before="156" w:after="156"/>
        <w:rPr>
          <w:highlight w:val="none"/>
        </w:rPr>
      </w:pPr>
      <w:r>
        <w:rPr>
          <w:highlight w:val="none"/>
        </w:rPr>
        <w:t>冷链物流</w:t>
      </w:r>
      <w:r>
        <w:rPr>
          <w:rFonts w:hint="eastAsia"/>
          <w:highlight w:val="none"/>
        </w:rPr>
        <w:t xml:space="preserve"> cold chain</w:t>
      </w:r>
      <w:r>
        <w:rPr>
          <w:rFonts w:hint="eastAsia"/>
          <w:highlight w:val="none"/>
          <w:lang w:val="en-US" w:eastAsia="zh-CN"/>
        </w:rPr>
        <w:t xml:space="preserve"> </w:t>
      </w:r>
      <w:r>
        <w:rPr>
          <w:rFonts w:hint="eastAsia"/>
          <w:highlight w:val="none"/>
        </w:rPr>
        <w:t>logistics</w:t>
      </w:r>
    </w:p>
    <w:p w14:paraId="5C29F848">
      <w:pPr>
        <w:pStyle w:val="21"/>
        <w:rPr>
          <w:highlight w:val="none"/>
        </w:rPr>
      </w:pPr>
      <w:r>
        <w:rPr>
          <w:rFonts w:hint="eastAsia"/>
          <w:highlight w:val="none"/>
        </w:rPr>
        <w:t>冷藏冷冻类食品在生产、贮藏运输、销售到消费前的各个环节中</w:t>
      </w:r>
      <w:r>
        <w:rPr>
          <w:rFonts w:hint="eastAsia"/>
          <w:highlight w:val="none"/>
          <w:lang w:eastAsia="zh-CN"/>
        </w:rPr>
        <w:t>，</w:t>
      </w:r>
      <w:r>
        <w:rPr>
          <w:rFonts w:hint="eastAsia"/>
          <w:highlight w:val="none"/>
        </w:rPr>
        <w:t>始终处于规定的低温环境下</w:t>
      </w:r>
      <w:r>
        <w:rPr>
          <w:rFonts w:hint="eastAsia"/>
          <w:highlight w:val="none"/>
          <w:lang w:eastAsia="zh-CN"/>
        </w:rPr>
        <w:t>，</w:t>
      </w:r>
      <w:r>
        <w:rPr>
          <w:rFonts w:hint="eastAsia"/>
          <w:highlight w:val="none"/>
        </w:rPr>
        <w:t>以保证食品质量</w:t>
      </w:r>
      <w:r>
        <w:rPr>
          <w:rFonts w:hint="eastAsia"/>
          <w:highlight w:val="none"/>
          <w:lang w:eastAsia="zh-CN"/>
        </w:rPr>
        <w:t>，</w:t>
      </w:r>
      <w:r>
        <w:rPr>
          <w:rFonts w:hint="eastAsia"/>
          <w:highlight w:val="none"/>
        </w:rPr>
        <w:t>减少食品损耗的特殊供应链系统</w:t>
      </w:r>
      <w:r>
        <w:rPr>
          <w:rFonts w:hint="eastAsia"/>
          <w:highlight w:val="none"/>
          <w:lang w:eastAsia="zh-CN"/>
        </w:rPr>
        <w:t>，</w:t>
      </w:r>
      <w:r>
        <w:rPr>
          <w:rFonts w:hint="eastAsia"/>
          <w:highlight w:val="none"/>
        </w:rPr>
        <w:t>包括预冷、包装、仓储、运输、配送等环节。</w:t>
      </w:r>
    </w:p>
    <w:p w14:paraId="296A01BC">
      <w:pPr>
        <w:pStyle w:val="41"/>
        <w:spacing w:before="312" w:after="312"/>
      </w:pPr>
      <w:r>
        <w:t>基本要求</w:t>
      </w:r>
    </w:p>
    <w:p w14:paraId="31F28A64">
      <w:pPr>
        <w:pStyle w:val="38"/>
        <w:spacing w:before="156" w:after="156"/>
      </w:pPr>
      <w:r>
        <w:t>厂房</w:t>
      </w:r>
    </w:p>
    <w:p w14:paraId="348F035B">
      <w:pPr>
        <w:pStyle w:val="21"/>
      </w:pPr>
      <w:r>
        <w:rPr>
          <w:rFonts w:hint="eastAsia"/>
          <w:lang w:eastAsia="zh-CN"/>
        </w:rPr>
        <w:t>物流</w:t>
      </w:r>
      <w:r>
        <w:rPr>
          <w:rFonts w:hint="eastAsia"/>
        </w:rPr>
        <w:t>中心的厂房建设、布局和环境卫生要求应满足GB 14881的相关规定。</w:t>
      </w:r>
    </w:p>
    <w:p w14:paraId="014A57B5">
      <w:pPr>
        <w:pStyle w:val="38"/>
        <w:spacing w:before="156" w:after="156"/>
      </w:pPr>
      <w:r>
        <w:t>基础设施设备</w:t>
      </w:r>
    </w:p>
    <w:p w14:paraId="20490455">
      <w:pPr>
        <w:pStyle w:val="21"/>
        <w:rPr>
          <w:rFonts w:hint="eastAsia" w:ascii="宋体" w:eastAsia="宋体"/>
          <w:lang w:eastAsia="zh-CN"/>
        </w:rPr>
      </w:pPr>
      <w:r>
        <w:rPr>
          <w:rFonts w:hint="eastAsia" w:ascii="宋体" w:eastAsia="宋体"/>
          <w:lang w:eastAsia="zh-CN"/>
        </w:rPr>
        <w:t>应根据预制菜特点配备原辅料及成品的常温、冷藏、冷冻库，并具有温、湿度显示和记录装置。</w:t>
      </w:r>
    </w:p>
    <w:p w14:paraId="50264144">
      <w:pPr>
        <w:pStyle w:val="42"/>
        <w:spacing w:before="156" w:after="156"/>
        <w:rPr>
          <w:rFonts w:hint="eastAsia" w:ascii="宋体" w:eastAsia="宋体"/>
          <w:lang w:val="en-US" w:eastAsia="zh-CN"/>
        </w:rPr>
      </w:pPr>
      <w:r>
        <w:rPr>
          <w:rFonts w:hint="eastAsia" w:ascii="宋体" w:eastAsia="宋体"/>
          <w:lang w:val="en-US" w:eastAsia="zh-CN"/>
        </w:rPr>
        <w:t>应具备机械化的加工设备，实现人工与机械、烹饪加工与食品工业的有机结合。</w:t>
      </w:r>
    </w:p>
    <w:p w14:paraId="39EDE87D">
      <w:pPr>
        <w:pStyle w:val="42"/>
        <w:spacing w:before="156" w:after="156"/>
        <w:rPr>
          <w:rFonts w:hint="eastAsia" w:ascii="宋体" w:eastAsia="宋体"/>
          <w:lang w:val="en-US" w:eastAsia="zh-CN"/>
        </w:rPr>
      </w:pPr>
      <w:r>
        <w:rPr>
          <w:rFonts w:hint="eastAsia" w:ascii="宋体" w:eastAsia="宋体"/>
          <w:lang w:val="en-US" w:eastAsia="zh-CN"/>
        </w:rPr>
        <w:t>应具备符合装载和卸货作业条件的</w:t>
      </w:r>
      <w:bookmarkStart w:id="22" w:name="_GoBack"/>
      <w:bookmarkEnd w:id="22"/>
      <w:r>
        <w:rPr>
          <w:rFonts w:hint="eastAsia" w:ascii="宋体" w:eastAsia="宋体"/>
          <w:lang w:val="en-US" w:eastAsia="zh-CN"/>
        </w:rPr>
        <w:t>运输设备。</w:t>
      </w:r>
    </w:p>
    <w:p w14:paraId="0AE043F7">
      <w:pPr>
        <w:pStyle w:val="42"/>
        <w:spacing w:before="156" w:after="156"/>
        <w:rPr>
          <w:rFonts w:hint="eastAsia" w:ascii="宋体" w:eastAsia="宋体"/>
          <w:lang w:val="en-US" w:eastAsia="zh-CN"/>
        </w:rPr>
      </w:pPr>
      <w:r>
        <w:rPr>
          <w:rFonts w:hint="eastAsia" w:ascii="宋体" w:eastAsia="宋体"/>
          <w:lang w:val="en-US" w:eastAsia="zh-CN"/>
        </w:rPr>
        <w:t>应配有封闭的保温和冷藏运输车辆，车厢外部应设有能直接观察的测温仪或监控运输途中厢体内温度的自动测温仪。</w:t>
      </w:r>
    </w:p>
    <w:p w14:paraId="5AE17A53">
      <w:pPr>
        <w:pStyle w:val="42"/>
        <w:spacing w:before="156" w:after="156"/>
        <w:rPr>
          <w:rFonts w:hint="eastAsia" w:ascii="宋体" w:eastAsia="宋体"/>
          <w:lang w:val="en-US" w:eastAsia="zh-CN"/>
        </w:rPr>
      </w:pPr>
      <w:r>
        <w:rPr>
          <w:rFonts w:hint="eastAsia" w:ascii="宋体" w:eastAsia="宋体"/>
          <w:lang w:val="en-US" w:eastAsia="zh-CN"/>
        </w:rPr>
        <w:t>应配备盛装、分送用餐的专用密闭容器。</w:t>
      </w:r>
    </w:p>
    <w:p w14:paraId="68228E69">
      <w:pPr>
        <w:pStyle w:val="38"/>
        <w:spacing w:before="156" w:after="156"/>
      </w:pPr>
      <w:r>
        <w:t>人员</w:t>
      </w:r>
    </w:p>
    <w:p w14:paraId="789662C9">
      <w:pPr>
        <w:pStyle w:val="42"/>
        <w:spacing w:before="156" w:after="156"/>
        <w:rPr>
          <w:rFonts w:ascii="宋体" w:eastAsia="宋体"/>
        </w:rPr>
      </w:pPr>
      <w:r>
        <w:rPr>
          <w:rFonts w:hint="eastAsia" w:ascii="宋体" w:eastAsia="宋体"/>
        </w:rPr>
        <w:t>应建立从业人员培训制度，从业人员上岗前应经过专门的培训，达到相应的岗位技能要求后方可上岗。</w:t>
      </w:r>
    </w:p>
    <w:p w14:paraId="1CD8E541">
      <w:pPr>
        <w:pStyle w:val="42"/>
        <w:spacing w:before="156" w:after="156"/>
        <w:rPr>
          <w:rFonts w:ascii="宋体" w:eastAsia="宋体"/>
        </w:rPr>
      </w:pPr>
      <w:r>
        <w:rPr>
          <w:rFonts w:hint="eastAsia" w:ascii="宋体" w:eastAsia="宋体"/>
        </w:rPr>
        <w:t>从业人员应每年至少进行一次健康体检，必要时做临时的体检，获得健康证明后方可上岗。</w:t>
      </w:r>
    </w:p>
    <w:p w14:paraId="68FD2FB5">
      <w:pPr>
        <w:pStyle w:val="38"/>
        <w:spacing w:before="156" w:after="156"/>
      </w:pPr>
      <w:r>
        <w:rPr>
          <w:rFonts w:hint="eastAsia"/>
        </w:rPr>
        <w:t>经营和</w:t>
      </w:r>
      <w:r>
        <w:rPr>
          <w:rFonts w:hint="eastAsia"/>
          <w:lang w:eastAsia="zh-CN"/>
        </w:rPr>
        <w:t>冷链物流</w:t>
      </w:r>
      <w:r>
        <w:rPr>
          <w:rFonts w:hint="eastAsia"/>
        </w:rPr>
        <w:t>卫生</w:t>
      </w:r>
    </w:p>
    <w:p w14:paraId="52535704">
      <w:pPr>
        <w:pStyle w:val="42"/>
        <w:spacing w:before="156" w:after="156"/>
        <w:rPr>
          <w:rFonts w:ascii="宋体" w:eastAsia="宋体"/>
        </w:rPr>
      </w:pPr>
      <w:r>
        <w:rPr>
          <w:rFonts w:hint="eastAsia" w:ascii="宋体" w:eastAsia="宋体"/>
        </w:rPr>
        <w:t>经营过程卫生应符合GB31621的要求。</w:t>
      </w:r>
    </w:p>
    <w:p w14:paraId="27F08FA5">
      <w:pPr>
        <w:pStyle w:val="42"/>
        <w:spacing w:before="156" w:after="156"/>
        <w:rPr>
          <w:rFonts w:ascii="宋体" w:eastAsia="宋体"/>
        </w:rPr>
      </w:pPr>
      <w:r>
        <w:rPr>
          <w:rFonts w:hint="eastAsia" w:ascii="宋体" w:eastAsia="宋体"/>
        </w:rPr>
        <w:t>冷链物流卫生应符合GB31605的要求。</w:t>
      </w:r>
    </w:p>
    <w:p w14:paraId="31DEBC10">
      <w:pPr>
        <w:pStyle w:val="41"/>
        <w:spacing w:before="312" w:after="312"/>
      </w:pPr>
      <w:r>
        <w:rPr>
          <w:rFonts w:hint="eastAsia"/>
          <w:lang w:eastAsia="zh-CN"/>
        </w:rPr>
        <w:t>物流</w:t>
      </w:r>
      <w:r>
        <w:t>过程控制</w:t>
      </w:r>
    </w:p>
    <w:p w14:paraId="33DBC1BC">
      <w:pPr>
        <w:pStyle w:val="38"/>
        <w:spacing w:before="156" w:after="156"/>
      </w:pPr>
      <w:r>
        <w:t>原料验收</w:t>
      </w:r>
    </w:p>
    <w:p w14:paraId="7BA6772D">
      <w:pPr>
        <w:pStyle w:val="42"/>
        <w:spacing w:before="156" w:after="156"/>
        <w:rPr>
          <w:highlight w:val="none"/>
        </w:rPr>
      </w:pPr>
      <w:r>
        <w:rPr>
          <w:highlight w:val="none"/>
        </w:rPr>
        <w:t>供应商评价</w:t>
      </w:r>
    </w:p>
    <w:p w14:paraId="0B319896">
      <w:pPr>
        <w:pStyle w:val="47"/>
        <w:spacing w:before="156" w:after="156"/>
        <w:rPr>
          <w:rFonts w:ascii="宋体" w:eastAsia="宋体"/>
        </w:rPr>
      </w:pPr>
      <w:r>
        <w:rPr>
          <w:rFonts w:hint="eastAsia" w:ascii="宋体" w:eastAsia="宋体"/>
        </w:rPr>
        <w:t>应对供应商进行评价和选择，并从合格供应商处采购。</w:t>
      </w:r>
    </w:p>
    <w:p w14:paraId="7085BA56">
      <w:pPr>
        <w:pStyle w:val="47"/>
        <w:spacing w:before="156" w:after="156"/>
        <w:rPr>
          <w:rFonts w:ascii="宋体" w:eastAsia="宋体"/>
        </w:rPr>
      </w:pPr>
      <w:r>
        <w:rPr>
          <w:rFonts w:hint="eastAsia" w:ascii="宋体" w:eastAsia="宋体"/>
        </w:rPr>
        <w:t>应对供应商的供货能力、产品质量保证能力等进行动态综合评价，以确定合格供应商，建立并保持“供应商评价表”和“合格供应商明细表”，并按国家规定索取相关的检疫检测合格证明。</w:t>
      </w:r>
    </w:p>
    <w:p w14:paraId="1D409F36">
      <w:pPr>
        <w:pStyle w:val="42"/>
        <w:spacing w:before="156" w:after="156"/>
      </w:pPr>
      <w:r>
        <w:rPr>
          <w:rFonts w:hint="eastAsia"/>
        </w:rPr>
        <w:t>进货检验与索证、索票</w:t>
      </w:r>
    </w:p>
    <w:p w14:paraId="5337042F">
      <w:pPr>
        <w:pStyle w:val="47"/>
        <w:spacing w:before="156" w:after="156"/>
        <w:rPr>
          <w:rFonts w:ascii="宋体" w:eastAsia="宋体"/>
        </w:rPr>
      </w:pPr>
      <w:r>
        <w:rPr>
          <w:rFonts w:hint="eastAsia" w:ascii="宋体" w:eastAsia="宋体"/>
        </w:rPr>
        <w:t>应按</w:t>
      </w:r>
      <w:r>
        <w:rPr>
          <w:rFonts w:hint="eastAsia" w:ascii="宋体" w:eastAsia="宋体"/>
          <w:lang w:eastAsia="zh-CN"/>
        </w:rPr>
        <w:t>国家</w:t>
      </w:r>
      <w:r>
        <w:rPr>
          <w:rFonts w:hint="eastAsia" w:ascii="宋体" w:eastAsia="宋体"/>
        </w:rPr>
        <w:t>有关规定索取原辅料产品的相关检疫、检测证明和购货凭据，符合要求后验收。</w:t>
      </w:r>
    </w:p>
    <w:p w14:paraId="17135696">
      <w:pPr>
        <w:pStyle w:val="47"/>
        <w:spacing w:before="156" w:after="156"/>
        <w:rPr>
          <w:rFonts w:ascii="宋体" w:eastAsia="宋体"/>
        </w:rPr>
      </w:pPr>
      <w:r>
        <w:rPr>
          <w:rFonts w:hint="eastAsia" w:ascii="宋体" w:eastAsia="宋体"/>
          <w:lang w:eastAsia="zh-CN"/>
        </w:rPr>
        <w:t>预制菜</w:t>
      </w:r>
      <w:r>
        <w:rPr>
          <w:rFonts w:hint="eastAsia" w:ascii="宋体" w:eastAsia="宋体"/>
        </w:rPr>
        <w:t>应根据GB/T6388进行验收。</w:t>
      </w:r>
    </w:p>
    <w:p w14:paraId="64097865">
      <w:pPr>
        <w:pStyle w:val="38"/>
        <w:spacing w:before="156" w:after="156"/>
        <w:rPr>
          <w:highlight w:val="none"/>
        </w:rPr>
      </w:pPr>
      <w:r>
        <w:rPr>
          <w:highlight w:val="none"/>
        </w:rPr>
        <w:t>冷链储存</w:t>
      </w:r>
    </w:p>
    <w:p w14:paraId="7C236220">
      <w:pPr>
        <w:pStyle w:val="42"/>
        <w:spacing w:before="156" w:after="156"/>
        <w:rPr>
          <w:rFonts w:ascii="宋体" w:eastAsia="宋体"/>
        </w:rPr>
      </w:pPr>
      <w:r>
        <w:rPr>
          <w:rFonts w:hint="eastAsia" w:ascii="宋体" w:eastAsia="宋体"/>
        </w:rPr>
        <w:t>储存库应清洁、卫生，不存放有毒、有害物品（如：杀鼠剂、洗涤剂、消毒剂等）及个人生活用品。</w:t>
      </w:r>
    </w:p>
    <w:p w14:paraId="6CB58C2E">
      <w:pPr>
        <w:pStyle w:val="42"/>
        <w:spacing w:before="156" w:after="156"/>
        <w:rPr>
          <w:rFonts w:ascii="宋体" w:eastAsia="宋体"/>
        </w:rPr>
      </w:pPr>
      <w:r>
        <w:rPr>
          <w:rFonts w:hint="eastAsia" w:ascii="宋体" w:eastAsia="宋体"/>
        </w:rPr>
        <w:t>储存冷库应定期除霜、清洁、消毒和维修，校验温度（指示）计。</w:t>
      </w:r>
    </w:p>
    <w:p w14:paraId="1C763199">
      <w:pPr>
        <w:pStyle w:val="42"/>
        <w:spacing w:before="156" w:after="156"/>
        <w:rPr>
          <w:rFonts w:ascii="宋体" w:eastAsia="宋体"/>
        </w:rPr>
      </w:pPr>
      <w:r>
        <w:rPr>
          <w:rFonts w:hint="eastAsia" w:ascii="宋体" w:eastAsia="宋体"/>
        </w:rPr>
        <w:t>应分类、分架存放，距离墙壁，地</w:t>
      </w:r>
      <w:r>
        <w:rPr>
          <w:rFonts w:hint="eastAsia" w:ascii="宋体" w:eastAsia="宋体"/>
          <w:lang w:val="en-US" w:eastAsia="zh-CN"/>
        </w:rPr>
        <w:t>面</w:t>
      </w:r>
      <w:r>
        <w:rPr>
          <w:rFonts w:hint="eastAsia" w:ascii="宋体" w:eastAsia="宋体"/>
        </w:rPr>
        <w:t>均在10 cm以上，冷库内货物码放应离顶20cm 以上，离风机排管30 cm以上。</w:t>
      </w:r>
    </w:p>
    <w:p w14:paraId="5E623EBA">
      <w:pPr>
        <w:pStyle w:val="42"/>
        <w:spacing w:before="156" w:after="156"/>
        <w:rPr>
          <w:rFonts w:ascii="宋体" w:eastAsia="宋体"/>
        </w:rPr>
      </w:pPr>
      <w:r>
        <w:rPr>
          <w:rFonts w:hint="eastAsia" w:ascii="宋体" w:eastAsia="宋体"/>
        </w:rPr>
        <w:t>冷藏、冷冻柜（库）应有明显区分标识。冷冻</w:t>
      </w:r>
      <w:r>
        <w:rPr>
          <w:rFonts w:hint="eastAsia" w:ascii="宋体" w:eastAsia="宋体"/>
          <w:lang w:val="en-US" w:eastAsia="zh-CN"/>
        </w:rPr>
        <w:t>类</w:t>
      </w:r>
      <w:r>
        <w:rPr>
          <w:rFonts w:hint="eastAsia" w:ascii="宋体" w:eastAsia="宋体"/>
        </w:rPr>
        <w:t>应储存在-18 ℃</w:t>
      </w:r>
      <w:r>
        <w:rPr>
          <w:rFonts w:hint="eastAsia" w:ascii="宋体" w:hAnsi="宋体" w:eastAsia="宋体" w:cs="宋体"/>
        </w:rPr>
        <w:t>～</w:t>
      </w:r>
      <w:r>
        <w:rPr>
          <w:rFonts w:hint="eastAsia" w:ascii="宋体" w:eastAsia="宋体"/>
        </w:rPr>
        <w:t>24 ℃的冷冻库内。冷藏</w:t>
      </w:r>
      <w:r>
        <w:rPr>
          <w:rFonts w:hint="eastAsia" w:ascii="宋体" w:eastAsia="宋体"/>
          <w:lang w:val="en-US" w:eastAsia="zh-CN"/>
        </w:rPr>
        <w:t>类</w:t>
      </w:r>
      <w:r>
        <w:rPr>
          <w:rFonts w:hint="eastAsia" w:ascii="宋体" w:eastAsia="宋体"/>
        </w:rPr>
        <w:t>应在0 ℃</w:t>
      </w:r>
      <w:r>
        <w:rPr>
          <w:rFonts w:hint="eastAsia" w:ascii="宋体" w:hAnsi="宋体" w:eastAsia="宋体" w:cs="宋体"/>
        </w:rPr>
        <w:t>～</w:t>
      </w:r>
      <w:r>
        <w:rPr>
          <w:rFonts w:hint="eastAsia" w:ascii="宋体" w:eastAsia="宋体"/>
        </w:rPr>
        <w:t>4 ℃下冷藏。</w:t>
      </w:r>
    </w:p>
    <w:p w14:paraId="475FF09E">
      <w:pPr>
        <w:pStyle w:val="42"/>
        <w:spacing w:before="156" w:after="156"/>
        <w:rPr>
          <w:rFonts w:ascii="宋体" w:eastAsia="宋体"/>
        </w:rPr>
      </w:pPr>
      <w:r>
        <w:rPr>
          <w:rFonts w:hint="eastAsia" w:ascii="宋体" w:eastAsia="宋体"/>
        </w:rPr>
        <w:t>应遵循先进先出的原则，变质和过期</w:t>
      </w:r>
      <w:r>
        <w:rPr>
          <w:rFonts w:hint="eastAsia" w:ascii="宋体" w:eastAsia="宋体"/>
          <w:lang w:val="en-US" w:eastAsia="zh-CN"/>
        </w:rPr>
        <w:t>时</w:t>
      </w:r>
      <w:r>
        <w:rPr>
          <w:rFonts w:hint="eastAsia" w:ascii="宋体" w:eastAsia="宋体"/>
        </w:rPr>
        <w:t>应及时处理销毁。</w:t>
      </w:r>
    </w:p>
    <w:p w14:paraId="72AA410F">
      <w:pPr>
        <w:pStyle w:val="38"/>
        <w:spacing w:before="156" w:after="156"/>
      </w:pPr>
      <w:r>
        <w:rPr>
          <w:rFonts w:hint="eastAsia"/>
        </w:rPr>
        <w:t>前产品处理</w:t>
      </w:r>
    </w:p>
    <w:p w14:paraId="7DDD6FD4">
      <w:pPr>
        <w:pStyle w:val="42"/>
        <w:spacing w:before="156" w:after="156"/>
        <w:rPr>
          <w:rFonts w:ascii="宋体" w:eastAsia="宋体"/>
        </w:rPr>
      </w:pPr>
      <w:r>
        <w:rPr>
          <w:rFonts w:hint="eastAsia" w:ascii="宋体" w:eastAsia="宋体"/>
        </w:rPr>
        <w:t>组织应制定相应的加工操作规程。</w:t>
      </w:r>
    </w:p>
    <w:p w14:paraId="5319283B">
      <w:pPr>
        <w:pStyle w:val="42"/>
        <w:spacing w:before="156" w:after="156"/>
        <w:rPr>
          <w:rFonts w:ascii="宋体" w:eastAsia="宋体"/>
        </w:rPr>
      </w:pPr>
      <w:r>
        <w:rPr>
          <w:rFonts w:hint="eastAsia" w:ascii="宋体" w:eastAsia="宋体"/>
        </w:rPr>
        <w:t>加工操作规程应包括对原辅料采购、验收、贮存、预制菜烹</w:t>
      </w:r>
      <w:r>
        <w:rPr>
          <w:rFonts w:hint="eastAsia" w:ascii="宋体" w:eastAsia="宋体"/>
          <w:lang w:eastAsia="zh-CN"/>
        </w:rPr>
        <w:t>饪</w:t>
      </w:r>
      <w:r>
        <w:rPr>
          <w:rFonts w:hint="eastAsia" w:ascii="宋体" w:eastAsia="宋体"/>
        </w:rPr>
        <w:t>加工、包装、冷链物流、餐饮具清洗，消毒等各项操作工序的工艺参数控制和有关食品安全的规定。</w:t>
      </w:r>
    </w:p>
    <w:p w14:paraId="354A3898">
      <w:pPr>
        <w:pStyle w:val="42"/>
        <w:spacing w:before="156" w:after="156"/>
        <w:rPr>
          <w:rFonts w:ascii="宋体" w:eastAsia="宋体"/>
        </w:rPr>
      </w:pPr>
      <w:r>
        <w:rPr>
          <w:rFonts w:hint="eastAsia" w:ascii="宋体" w:eastAsia="宋体"/>
        </w:rPr>
        <w:t>应根据每日订单量组织加工配送，在不影响品质的前提下尽量减少库存量。</w:t>
      </w:r>
    </w:p>
    <w:p w14:paraId="6829E4C2">
      <w:pPr>
        <w:pStyle w:val="42"/>
        <w:spacing w:before="156" w:after="156"/>
        <w:rPr>
          <w:rFonts w:ascii="宋体" w:eastAsia="宋体"/>
        </w:rPr>
      </w:pPr>
      <w:r>
        <w:rPr>
          <w:rFonts w:hint="eastAsia" w:ascii="宋体" w:eastAsia="宋体"/>
        </w:rPr>
        <w:t>经加工后，应根据温控要求分类储存和发货，并做好记录</w:t>
      </w:r>
      <w:r>
        <w:rPr>
          <w:rFonts w:hint="eastAsia" w:ascii="宋体" w:eastAsia="宋体"/>
          <w:lang w:eastAsia="zh-CN"/>
        </w:rPr>
        <w:t>便于</w:t>
      </w:r>
      <w:r>
        <w:rPr>
          <w:rFonts w:hint="eastAsia" w:ascii="宋体" w:eastAsia="宋体"/>
        </w:rPr>
        <w:t>追溯。</w:t>
      </w:r>
    </w:p>
    <w:p w14:paraId="7C9CE741">
      <w:pPr>
        <w:pStyle w:val="42"/>
        <w:spacing w:before="156" w:after="156"/>
        <w:rPr>
          <w:rFonts w:ascii="宋体" w:eastAsia="宋体"/>
        </w:rPr>
      </w:pPr>
      <w:r>
        <w:rPr>
          <w:rFonts w:hint="eastAsia" w:ascii="宋体" w:eastAsia="宋体"/>
        </w:rPr>
        <w:t>应按批次留样，留样产品按品种分别盛放于洁净的密闭专用容器内，每个品种留样量应满足检验需要。在冷藏条件下留样时限应大于产品保质期24h，并做好记录。</w:t>
      </w:r>
    </w:p>
    <w:p w14:paraId="29AA312A">
      <w:pPr>
        <w:pStyle w:val="42"/>
        <w:spacing w:before="156" w:after="156"/>
        <w:rPr>
          <w:rFonts w:ascii="宋体" w:eastAsia="宋体"/>
        </w:rPr>
      </w:pPr>
      <w:r>
        <w:rPr>
          <w:rFonts w:hint="eastAsia" w:ascii="宋体" w:eastAsia="宋体"/>
        </w:rPr>
        <w:t>应制订产品抽样检测计划，定期对产品的卫生指标进行检测。</w:t>
      </w:r>
    </w:p>
    <w:p w14:paraId="066AE70A">
      <w:pPr>
        <w:pStyle w:val="42"/>
        <w:spacing w:before="156" w:after="156"/>
        <w:rPr>
          <w:rFonts w:ascii="宋体" w:eastAsia="宋体"/>
        </w:rPr>
      </w:pPr>
      <w:r>
        <w:rPr>
          <w:rFonts w:hint="eastAsia" w:ascii="宋体" w:eastAsia="宋体"/>
        </w:rPr>
        <w:t>采用的包装材料应符合国家食品安全标准的相关规定。</w:t>
      </w:r>
    </w:p>
    <w:p w14:paraId="6E37B1F2">
      <w:pPr>
        <w:pStyle w:val="59"/>
      </w:pPr>
      <w:r>
        <w:rPr>
          <w:rFonts w:hint="eastAsia"/>
        </w:rPr>
        <w:t>包装表面标明产品名称，生产单位名称和地址，生产日期、保质期以及法律，法规或者食品安全标准规定必须标明的其他事项，标识应符合《食品标识监督管理办法》法规</w:t>
      </w:r>
      <w:r>
        <w:rPr>
          <w:rFonts w:hint="eastAsia"/>
          <w:lang w:eastAsia="zh-CN"/>
        </w:rPr>
        <w:t>的有关</w:t>
      </w:r>
      <w:r>
        <w:rPr>
          <w:rFonts w:hint="eastAsia"/>
        </w:rPr>
        <w:t>规定，</w:t>
      </w:r>
    </w:p>
    <w:p w14:paraId="5B218A67">
      <w:pPr>
        <w:pStyle w:val="38"/>
        <w:spacing w:before="156" w:after="156"/>
      </w:pPr>
      <w:r>
        <w:t>冷链运输</w:t>
      </w:r>
    </w:p>
    <w:p w14:paraId="463FFD29">
      <w:pPr>
        <w:pStyle w:val="42"/>
        <w:spacing w:before="156" w:after="156"/>
        <w:rPr>
          <w:rFonts w:ascii="宋体" w:eastAsia="宋体"/>
        </w:rPr>
      </w:pPr>
      <w:r>
        <w:rPr>
          <w:rFonts w:hint="eastAsia" w:ascii="宋体" w:eastAsia="宋体"/>
        </w:rPr>
        <w:t>装运前，应对车厢进行预冷。运输过程中冷冻</w:t>
      </w:r>
      <w:r>
        <w:rPr>
          <w:rFonts w:hint="eastAsia" w:ascii="宋体" w:eastAsia="宋体"/>
          <w:lang w:val="en-US" w:eastAsia="zh-CN"/>
        </w:rPr>
        <w:t>类</w:t>
      </w:r>
      <w:r>
        <w:rPr>
          <w:rFonts w:hint="eastAsia" w:ascii="宋体" w:eastAsia="宋体"/>
        </w:rPr>
        <w:t>应保持在-10 ℃以下，冷藏</w:t>
      </w:r>
      <w:r>
        <w:rPr>
          <w:rFonts w:hint="eastAsia" w:ascii="宋体" w:eastAsia="宋体"/>
          <w:lang w:val="en-US" w:eastAsia="zh-CN"/>
        </w:rPr>
        <w:t>类</w:t>
      </w:r>
      <w:r>
        <w:rPr>
          <w:rFonts w:hint="eastAsia" w:ascii="宋体" w:eastAsia="宋体"/>
        </w:rPr>
        <w:t>应保持在10℃以下。</w:t>
      </w:r>
    </w:p>
    <w:p w14:paraId="01AB425D">
      <w:pPr>
        <w:pStyle w:val="59"/>
      </w:pPr>
      <w:r>
        <w:rPr>
          <w:rFonts w:hint="eastAsia"/>
        </w:rPr>
        <w:t>应采用封闭式保温或冷藏货车运输，运输车辆体内应在每次</w:t>
      </w:r>
      <w:r>
        <w:rPr>
          <w:rFonts w:hint="eastAsia"/>
          <w:lang w:val="en-US" w:eastAsia="zh-CN"/>
        </w:rPr>
        <w:t>运输</w:t>
      </w:r>
      <w:r>
        <w:rPr>
          <w:rFonts w:hint="eastAsia"/>
        </w:rPr>
        <w:t>前进行清洗消毒，消毒剂不应对人体和</w:t>
      </w:r>
      <w:r>
        <w:rPr>
          <w:rFonts w:hint="eastAsia"/>
          <w:lang w:val="en-US" w:eastAsia="zh-CN"/>
        </w:rPr>
        <w:t>货物</w:t>
      </w:r>
      <w:r>
        <w:rPr>
          <w:rFonts w:hint="eastAsia"/>
        </w:rPr>
        <w:t>造成污染，并保持清洁和卫生，不应有污、异物或其他不良气味，并保持记录，</w:t>
      </w:r>
    </w:p>
    <w:p w14:paraId="54065F7E">
      <w:pPr>
        <w:pStyle w:val="42"/>
        <w:spacing w:before="156" w:after="156"/>
        <w:rPr>
          <w:rFonts w:ascii="宋体" w:eastAsia="宋体"/>
        </w:rPr>
      </w:pPr>
      <w:r>
        <w:rPr>
          <w:rFonts w:hint="eastAsia" w:ascii="宋体" w:eastAsia="宋体"/>
        </w:rPr>
        <w:t>厢体内码放应稳固，装载时产品与厢体留有空隙，确保气流循环畅通，</w:t>
      </w:r>
    </w:p>
    <w:p w14:paraId="56843BA2">
      <w:pPr>
        <w:pStyle w:val="42"/>
        <w:numPr>
          <w:ilvl w:val="2"/>
          <w:numId w:val="2"/>
        </w:numPr>
        <w:spacing w:before="156" w:after="156"/>
        <w:rPr>
          <w:rFonts w:ascii="宋体" w:eastAsia="宋体"/>
          <w:highlight w:val="none"/>
        </w:rPr>
      </w:pPr>
      <w:r>
        <w:rPr>
          <w:rFonts w:hint="eastAsia" w:ascii="宋体" w:eastAsia="宋体"/>
          <w:highlight w:val="none"/>
        </w:rPr>
        <w:t>运输人员应记录装载和卸货的时间，并随时监控和记录体内的温度，未达到规定温度时，应</w:t>
      </w:r>
      <w:r>
        <w:rPr>
          <w:rFonts w:hint="eastAsia" w:ascii="宋体" w:eastAsia="宋体"/>
          <w:highlight w:val="none"/>
          <w:lang w:val="en-US" w:eastAsia="zh-CN"/>
        </w:rPr>
        <w:t>检查货物完好性，并通知发货人</w:t>
      </w:r>
      <w:r>
        <w:rPr>
          <w:rFonts w:hint="eastAsia" w:ascii="宋体" w:eastAsia="宋体"/>
          <w:highlight w:val="none"/>
        </w:rPr>
        <w:t>。</w:t>
      </w:r>
    </w:p>
    <w:p w14:paraId="39170280">
      <w:pPr>
        <w:pStyle w:val="42"/>
        <w:spacing w:before="156" w:after="156"/>
        <w:rPr>
          <w:rFonts w:ascii="宋体" w:eastAsia="宋体"/>
        </w:rPr>
      </w:pPr>
      <w:r>
        <w:rPr>
          <w:rFonts w:hint="eastAsia" w:ascii="宋体" w:eastAsia="宋体"/>
        </w:rPr>
        <w:t>运输期间，应减少车厢门的开启次数和时间，当车辆或厢体重要部位受损时，应进行损坏调查，并采取适宜的应急措施。</w:t>
      </w:r>
    </w:p>
    <w:p w14:paraId="13DBF66C">
      <w:pPr>
        <w:pStyle w:val="38"/>
        <w:spacing w:before="156" w:after="156"/>
      </w:pPr>
      <w:r>
        <w:t>验收</w:t>
      </w:r>
    </w:p>
    <w:p w14:paraId="47927CF2">
      <w:pPr>
        <w:pStyle w:val="21"/>
      </w:pPr>
      <w:r>
        <w:rPr>
          <w:rFonts w:hint="eastAsia"/>
        </w:rPr>
        <w:t>对到货产品，进行温度和质量的检验，并记录。对未能达到要求的产品，不予接收。</w:t>
      </w:r>
    </w:p>
    <w:p w14:paraId="2C671AD9">
      <w:pPr>
        <w:pStyle w:val="41"/>
        <w:spacing w:before="312" w:after="312"/>
      </w:pPr>
      <w:r>
        <w:t>质量管理要求</w:t>
      </w:r>
    </w:p>
    <w:p w14:paraId="7058F16B">
      <w:pPr>
        <w:pStyle w:val="38"/>
        <w:spacing w:before="156" w:after="156"/>
      </w:pPr>
      <w:r>
        <w:t>文件管理要求</w:t>
      </w:r>
    </w:p>
    <w:p w14:paraId="19553A1C">
      <w:pPr>
        <w:pStyle w:val="42"/>
        <w:spacing w:before="156" w:after="156"/>
        <w:rPr>
          <w:rFonts w:ascii="宋体" w:eastAsia="宋体"/>
        </w:rPr>
      </w:pPr>
      <w:r>
        <w:rPr>
          <w:rFonts w:hint="eastAsia" w:ascii="宋体" w:eastAsia="宋体"/>
        </w:rPr>
        <w:t>应符合GB</w:t>
      </w:r>
      <w:r>
        <w:rPr>
          <w:rFonts w:hint="eastAsia" w:ascii="宋体" w:eastAsia="宋体"/>
          <w:lang w:val="en-US" w:eastAsia="zh-CN"/>
        </w:rPr>
        <w:t xml:space="preserve"> </w:t>
      </w:r>
      <w:r>
        <w:rPr>
          <w:rFonts w:hint="eastAsia" w:ascii="宋体" w:eastAsia="宋体"/>
        </w:rPr>
        <w:t>31621的相关规定，建立但不限于以下文件：</w:t>
      </w:r>
    </w:p>
    <w:p w14:paraId="789AB01E">
      <w:pPr>
        <w:pStyle w:val="55"/>
      </w:pPr>
      <w:r>
        <w:rPr>
          <w:rFonts w:hint="eastAsia"/>
        </w:rPr>
        <w:t>产品标准；</w:t>
      </w:r>
    </w:p>
    <w:p w14:paraId="27798C36">
      <w:pPr>
        <w:pStyle w:val="55"/>
      </w:pPr>
      <w:r>
        <w:rPr>
          <w:rFonts w:hint="eastAsia"/>
        </w:rPr>
        <w:t>岗位责任制；</w:t>
      </w:r>
    </w:p>
    <w:p w14:paraId="640B8CB3">
      <w:pPr>
        <w:pStyle w:val="55"/>
      </w:pPr>
      <w:r>
        <w:rPr>
          <w:rFonts w:hint="eastAsia"/>
        </w:rPr>
        <w:t>突发事件应急预案；</w:t>
      </w:r>
    </w:p>
    <w:p w14:paraId="6349BF89">
      <w:pPr>
        <w:pStyle w:val="55"/>
      </w:pPr>
      <w:r>
        <w:rPr>
          <w:rFonts w:hint="eastAsia"/>
        </w:rPr>
        <w:t>人员培训制度；</w:t>
      </w:r>
    </w:p>
    <w:p w14:paraId="6DE54DCC">
      <w:pPr>
        <w:pStyle w:val="55"/>
      </w:pPr>
      <w:r>
        <w:rPr>
          <w:rFonts w:hint="eastAsia"/>
        </w:rPr>
        <w:t>卫生管理规定；</w:t>
      </w:r>
    </w:p>
    <w:p w14:paraId="31005871">
      <w:pPr>
        <w:pStyle w:val="55"/>
      </w:pPr>
      <w:r>
        <w:rPr>
          <w:rFonts w:hint="eastAsia"/>
        </w:rPr>
        <w:t>冷链物流操作规程；</w:t>
      </w:r>
    </w:p>
    <w:p w14:paraId="4E841949">
      <w:pPr>
        <w:pStyle w:val="55"/>
      </w:pPr>
      <w:r>
        <w:rPr>
          <w:rFonts w:hint="eastAsia"/>
        </w:rPr>
        <w:t>产品标识、产品可追溯和召回制度；</w:t>
      </w:r>
    </w:p>
    <w:p w14:paraId="17B066D7">
      <w:pPr>
        <w:pStyle w:val="55"/>
      </w:pPr>
      <w:r>
        <w:rPr>
          <w:rFonts w:hint="eastAsia"/>
        </w:rPr>
        <w:t>不合格</w:t>
      </w:r>
      <w:r>
        <w:rPr>
          <w:rFonts w:hint="eastAsia"/>
          <w:lang w:val="en-US" w:eastAsia="zh-CN"/>
        </w:rPr>
        <w:t>预制菜</w:t>
      </w:r>
      <w:r>
        <w:rPr>
          <w:rFonts w:hint="eastAsia"/>
        </w:rPr>
        <w:t>处理程序；</w:t>
      </w:r>
    </w:p>
    <w:p w14:paraId="4B570AE6">
      <w:pPr>
        <w:pStyle w:val="55"/>
      </w:pPr>
      <w:r>
        <w:rPr>
          <w:rFonts w:hint="eastAsia"/>
        </w:rPr>
        <w:t>实验室管理制度，或委托社会实验室检测的合同或协议；</w:t>
      </w:r>
    </w:p>
    <w:p w14:paraId="7E83D966">
      <w:pPr>
        <w:pStyle w:val="55"/>
      </w:pPr>
      <w:r>
        <w:rPr>
          <w:rFonts w:hint="eastAsia"/>
        </w:rPr>
        <w:t>与产品安全有关的检验设备的校验制度。</w:t>
      </w:r>
    </w:p>
    <w:p w14:paraId="4F2EC363">
      <w:pPr>
        <w:pStyle w:val="42"/>
        <w:spacing w:before="156" w:after="156"/>
        <w:rPr>
          <w:rFonts w:ascii="宋体" w:eastAsia="宋体"/>
        </w:rPr>
      </w:pPr>
      <w:r>
        <w:rPr>
          <w:rFonts w:hint="eastAsia" w:ascii="宋体" w:eastAsia="宋体"/>
        </w:rPr>
        <w:t>文件保存期限应不少于</w:t>
      </w:r>
      <w:r>
        <w:rPr>
          <w:rFonts w:hint="eastAsia" w:ascii="宋体" w:eastAsia="宋体"/>
          <w:lang w:val="en-US" w:eastAsia="zh-CN"/>
        </w:rPr>
        <w:t>预制菜</w:t>
      </w:r>
      <w:r>
        <w:rPr>
          <w:rFonts w:hint="eastAsia" w:ascii="宋体" w:eastAsia="宋体"/>
        </w:rPr>
        <w:t>保质期满后6个月</w:t>
      </w:r>
      <w:r>
        <w:rPr>
          <w:rFonts w:hint="eastAsia" w:ascii="宋体" w:eastAsia="宋体"/>
          <w:lang w:eastAsia="zh-CN"/>
        </w:rPr>
        <w:t>，</w:t>
      </w:r>
      <w:r>
        <w:rPr>
          <w:rFonts w:hint="eastAsia" w:ascii="宋体" w:eastAsia="宋体"/>
        </w:rPr>
        <w:t>没有明确保质期的，保存期限应不少于2年。</w:t>
      </w:r>
    </w:p>
    <w:p w14:paraId="7AB342DB">
      <w:pPr>
        <w:pStyle w:val="38"/>
        <w:spacing w:before="156" w:after="156"/>
        <w:rPr>
          <w:rFonts w:hint="eastAsia"/>
          <w:lang w:val="en-US" w:eastAsia="zh-CN"/>
        </w:rPr>
      </w:pPr>
      <w:bookmarkStart w:id="21" w:name="_Toc26657"/>
      <w:r>
        <w:rPr>
          <w:rFonts w:hint="eastAsia"/>
          <w:lang w:val="en-US" w:eastAsia="zh-CN"/>
        </w:rPr>
        <w:t>风险控制</w:t>
      </w:r>
      <w:bookmarkEnd w:id="21"/>
    </w:p>
    <w:p w14:paraId="4512737A">
      <w:pPr>
        <w:pStyle w:val="42"/>
        <w:spacing w:before="156" w:after="156"/>
        <w:rPr>
          <w:rFonts w:ascii="宋体" w:eastAsia="宋体"/>
        </w:rPr>
      </w:pPr>
      <w:r>
        <w:rPr>
          <w:rFonts w:hint="eastAsia" w:ascii="宋体" w:eastAsia="宋体"/>
        </w:rPr>
        <w:t>从事冷链物流各环节工作的人员，应接受运输、储存、交接及突发状况应急处理等相关知识和技能培训，具备相应的能力，并有明确的职责和权限报告操作过程中出现的安全问题。</w:t>
      </w:r>
    </w:p>
    <w:p w14:paraId="259421C0">
      <w:pPr>
        <w:pStyle w:val="42"/>
        <w:numPr>
          <w:ilvl w:val="2"/>
          <w:numId w:val="2"/>
        </w:numPr>
        <w:spacing w:before="156" w:after="156"/>
        <w:rPr>
          <w:rFonts w:hint="eastAsia" w:ascii="宋体" w:eastAsia="宋体"/>
          <w:lang w:val="en-US" w:eastAsia="zh-CN"/>
        </w:rPr>
      </w:pPr>
      <w:r>
        <w:rPr>
          <w:rFonts w:hint="eastAsia" w:ascii="宋体" w:eastAsia="宋体"/>
        </w:rPr>
        <w:t>应建立有效的风险控制措施及应急预案。</w:t>
      </w:r>
    </w:p>
    <w:p w14:paraId="13B8B982">
      <w:pPr>
        <w:pStyle w:val="42"/>
        <w:numPr>
          <w:ilvl w:val="2"/>
          <w:numId w:val="2"/>
        </w:numPr>
        <w:spacing w:before="156" w:after="156"/>
        <w:rPr>
          <w:rFonts w:hint="eastAsia" w:ascii="宋体" w:eastAsia="宋体"/>
          <w:lang w:val="en-US" w:eastAsia="zh-CN"/>
        </w:rPr>
      </w:pPr>
      <w:r>
        <w:rPr>
          <w:rFonts w:hint="eastAsia" w:ascii="宋体" w:eastAsia="宋体"/>
          <w:lang w:val="en-US" w:eastAsia="zh-CN"/>
        </w:rPr>
        <w:t>宜采取存货保险、财产保险、运输保险等有效控制风险的措施。</w:t>
      </w:r>
    </w:p>
    <w:p w14:paraId="494E6896">
      <w:pPr>
        <w:pStyle w:val="42"/>
        <w:numPr>
          <w:ilvl w:val="2"/>
          <w:numId w:val="2"/>
        </w:numPr>
        <w:spacing w:before="156" w:after="156"/>
        <w:rPr>
          <w:rFonts w:ascii="宋体" w:eastAsia="宋体"/>
        </w:rPr>
      </w:pPr>
      <w:r>
        <w:rPr>
          <w:rFonts w:hint="eastAsia" w:ascii="宋体" w:eastAsia="宋体"/>
          <w:lang w:val="en-US" w:eastAsia="zh-CN"/>
        </w:rPr>
        <w:t>异议处理时，应主动联系委托方需求，在沟通方法、沟通内容、沟通频率、沟通态度和客户满意度测量方面提出要求。</w:t>
      </w:r>
    </w:p>
    <w:p w14:paraId="351BDC7D">
      <w:pPr>
        <w:pStyle w:val="41"/>
        <w:spacing w:before="312" w:after="312"/>
      </w:pPr>
      <w:r>
        <w:rPr>
          <w:rFonts w:hint="eastAsia"/>
        </w:rPr>
        <w:t>产品追溯与召回</w:t>
      </w:r>
    </w:p>
    <w:p w14:paraId="108DA99A">
      <w:pPr>
        <w:pStyle w:val="38"/>
        <w:spacing w:before="156" w:after="156"/>
      </w:pPr>
      <w:r>
        <w:rPr>
          <w:rFonts w:hint="eastAsia" w:ascii="宋体" w:eastAsia="宋体"/>
        </w:rPr>
        <w:t>应符合GB 31621的相关规定。对受污染的食品应按照有关部门的要求进行处置。</w:t>
      </w:r>
    </w:p>
    <w:p w14:paraId="2F994189">
      <w:pPr>
        <w:pStyle w:val="41"/>
        <w:numPr>
          <w:ilvl w:val="0"/>
          <w:numId w:val="2"/>
        </w:numPr>
        <w:spacing w:before="312" w:after="312"/>
        <w:rPr>
          <w:rFonts w:hint="default"/>
          <w:strike w:val="0"/>
          <w:dstrike w:val="0"/>
          <w:highlight w:val="none"/>
          <w:lang w:val="en-US" w:eastAsia="zh-CN"/>
        </w:rPr>
      </w:pPr>
      <w:r>
        <w:rPr>
          <w:rFonts w:hint="eastAsia"/>
          <w:strike w:val="0"/>
          <w:dstrike w:val="0"/>
          <w:highlight w:val="none"/>
          <w:lang w:val="en-US" w:eastAsia="zh-CN"/>
        </w:rPr>
        <w:t>服务质量评价</w:t>
      </w:r>
    </w:p>
    <w:p w14:paraId="10ADAB08">
      <w:pPr>
        <w:pStyle w:val="38"/>
        <w:spacing w:before="156" w:after="156"/>
        <w:rPr>
          <w:rFonts w:hint="default" w:ascii="宋体" w:eastAsia="宋体"/>
          <w:lang w:val="en-US" w:eastAsia="zh-CN"/>
        </w:rPr>
      </w:pPr>
      <w:r>
        <w:rPr>
          <w:rFonts w:hint="eastAsia" w:ascii="宋体" w:eastAsia="宋体"/>
          <w:lang w:val="en-US" w:eastAsia="zh-CN"/>
        </w:rPr>
        <w:t>应从运输温度合格率、验收准确率、运输质损率等方面进行服务质量评价。</w:t>
      </w:r>
    </w:p>
    <w:p w14:paraId="5ED24676">
      <w:pPr>
        <w:pStyle w:val="21"/>
      </w:pPr>
    </w:p>
    <w:p w14:paraId="21DF0640">
      <w:pPr>
        <w:pStyle w:val="125"/>
      </w:pPr>
      <w:r>
        <w:t>_________________________________</w:t>
      </w:r>
    </w:p>
    <w:sectPr>
      <w:pgSz w:w="11906" w:h="16838"/>
      <w:pgMar w:top="567" w:right="1134" w:bottom="1134" w:left="1418" w:header="1418" w:footer="1134" w:gutter="0"/>
      <w:pgNumType w:start="1"/>
      <w:cols w:space="425"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088BE2">
    <w:pPr>
      <w:pStyle w:val="39"/>
    </w:pPr>
    <w:r>
      <w:fldChar w:fldCharType="begin"/>
    </w:r>
    <w:r>
      <w:instrText xml:space="preserve"> PAGE  \* MERGEFORMAT </w:instrText>
    </w:r>
    <w:r>
      <w:fldChar w:fldCharType="separate"/>
    </w:r>
    <w:r>
      <w:t>4</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4D0271">
    <w:pPr>
      <w:pStyle w:val="16"/>
    </w:pPr>
    <w:r>
      <w:t>DB 34/T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952887"/>
    <w:multiLevelType w:val="multilevel"/>
    <w:tmpl w:val="0A952887"/>
    <w:lvl w:ilvl="0" w:tentative="0">
      <w:start w:val="1"/>
      <w:numFmt w:val="decimal"/>
      <w:pStyle w:val="61"/>
      <w:suff w:val="nothing"/>
      <w:lvlText w:val="注%1："/>
      <w:lvlJc w:val="left"/>
      <w:pPr>
        <w:ind w:left="0" w:firstLine="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1">
    <w:nsid w:val="0F805D97"/>
    <w:multiLevelType w:val="multilevel"/>
    <w:tmpl w:val="0F805D97"/>
    <w:lvl w:ilvl="0" w:tentative="0">
      <w:start w:val="1"/>
      <w:numFmt w:val="none"/>
      <w:pStyle w:val="53"/>
      <w:suff w:val="nothing"/>
      <w:lvlText w:val="注%1："/>
      <w:lvlJc w:val="left"/>
      <w:pPr>
        <w:ind w:left="0" w:firstLine="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
    <w:nsid w:val="1FC91163"/>
    <w:multiLevelType w:val="multilevel"/>
    <w:tmpl w:val="1FC91163"/>
    <w:lvl w:ilvl="0" w:tentative="0">
      <w:start w:val="1"/>
      <w:numFmt w:val="decimal"/>
      <w:pStyle w:val="41"/>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38"/>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42"/>
      <w:suff w:val="nothing"/>
      <w:lvlText w:val="%1.%2.%3　"/>
      <w:lvlJc w:val="left"/>
      <w:pPr>
        <w:ind w:left="0" w:firstLine="0"/>
      </w:pPr>
      <w:rPr>
        <w:rFonts w:hint="eastAsia" w:ascii="黑体" w:hAnsi="Times New Roman" w:eastAsia="黑体"/>
        <w:b w:val="0"/>
        <w:i w:val="0"/>
        <w:sz w:val="21"/>
      </w:rPr>
    </w:lvl>
    <w:lvl w:ilvl="3" w:tentative="0">
      <w:start w:val="1"/>
      <w:numFmt w:val="decimal"/>
      <w:pStyle w:val="47"/>
      <w:suff w:val="nothing"/>
      <w:lvlText w:val="%1.%2.%3.%4　"/>
      <w:lvlJc w:val="left"/>
      <w:pPr>
        <w:ind w:left="0" w:firstLine="0"/>
      </w:pPr>
      <w:rPr>
        <w:rFonts w:hint="eastAsia" w:ascii="黑体" w:hAnsi="Times New Roman" w:eastAsia="黑体"/>
        <w:b w:val="0"/>
        <w:i w:val="0"/>
        <w:sz w:val="21"/>
      </w:rPr>
    </w:lvl>
    <w:lvl w:ilvl="4" w:tentative="0">
      <w:start w:val="1"/>
      <w:numFmt w:val="decimal"/>
      <w:pStyle w:val="51"/>
      <w:suff w:val="nothing"/>
      <w:lvlText w:val="%1.%2.%3.%4.%5　"/>
      <w:lvlJc w:val="left"/>
      <w:pPr>
        <w:ind w:left="0" w:firstLine="0"/>
      </w:pPr>
      <w:rPr>
        <w:rFonts w:hint="eastAsia" w:ascii="黑体" w:hAnsi="Times New Roman" w:eastAsia="黑体"/>
        <w:b w:val="0"/>
        <w:i w:val="0"/>
        <w:sz w:val="21"/>
      </w:rPr>
    </w:lvl>
    <w:lvl w:ilvl="5" w:tentative="0">
      <w:start w:val="1"/>
      <w:numFmt w:val="decimal"/>
      <w:pStyle w:val="52"/>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24B435DB"/>
    <w:multiLevelType w:val="multilevel"/>
    <w:tmpl w:val="24B435DB"/>
    <w:lvl w:ilvl="0" w:tentative="0">
      <w:start w:val="1"/>
      <w:numFmt w:val="lowerLetter"/>
      <w:pStyle w:val="117"/>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4">
    <w:nsid w:val="29707437"/>
    <w:multiLevelType w:val="multilevel"/>
    <w:tmpl w:val="29707437"/>
    <w:lvl w:ilvl="0" w:tentative="0">
      <w:start w:val="1"/>
      <w:numFmt w:val="none"/>
      <w:pStyle w:val="60"/>
      <w:suff w:val="nothing"/>
      <w:lvlText w:val="%1注："/>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2A8F7113"/>
    <w:multiLevelType w:val="multilevel"/>
    <w:tmpl w:val="2A8F7113"/>
    <w:lvl w:ilvl="0" w:tentative="0">
      <w:start w:val="1"/>
      <w:numFmt w:val="upperLetter"/>
      <w:pStyle w:val="94"/>
      <w:suff w:val="space"/>
      <w:lvlText w:val="%1"/>
      <w:lvlJc w:val="left"/>
      <w:pPr>
        <w:ind w:left="623" w:hanging="425"/>
      </w:pPr>
      <w:rPr>
        <w:rFonts w:hint="eastAsia"/>
      </w:rPr>
    </w:lvl>
    <w:lvl w:ilvl="1" w:tentative="0">
      <w:start w:val="1"/>
      <w:numFmt w:val="decimal"/>
      <w:pStyle w:val="95"/>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6">
    <w:nsid w:val="2C5917C3"/>
    <w:multiLevelType w:val="multilevel"/>
    <w:tmpl w:val="2C5917C3"/>
    <w:lvl w:ilvl="0" w:tentative="0">
      <w:start w:val="1"/>
      <w:numFmt w:val="none"/>
      <w:pStyle w:val="44"/>
      <w:suff w:val="nothing"/>
      <w:lvlText w:val="%1——"/>
      <w:lvlJc w:val="left"/>
      <w:pPr>
        <w:ind w:left="833" w:hanging="408"/>
      </w:pPr>
      <w:rPr>
        <w:rFonts w:hint="eastAsia"/>
      </w:rPr>
    </w:lvl>
    <w:lvl w:ilvl="1" w:tentative="0">
      <w:start w:val="1"/>
      <w:numFmt w:val="bullet"/>
      <w:pStyle w:val="45"/>
      <w:lvlText w:val=""/>
      <w:lvlJc w:val="left"/>
      <w:pPr>
        <w:tabs>
          <w:tab w:val="left" w:pos="760"/>
        </w:tabs>
        <w:ind w:left="1264" w:hanging="413"/>
      </w:pPr>
      <w:rPr>
        <w:rFonts w:hint="default" w:ascii="Symbol" w:hAnsi="Symbol"/>
        <w:color w:val="auto"/>
      </w:rPr>
    </w:lvl>
    <w:lvl w:ilvl="2" w:tentative="0">
      <w:start w:val="1"/>
      <w:numFmt w:val="bullet"/>
      <w:pStyle w:val="56"/>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7">
    <w:nsid w:val="3D733618"/>
    <w:multiLevelType w:val="multilevel"/>
    <w:tmpl w:val="3D733618"/>
    <w:lvl w:ilvl="0" w:tentative="0">
      <w:start w:val="1"/>
      <w:numFmt w:val="decimal"/>
      <w:pStyle w:val="22"/>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8">
    <w:nsid w:val="44C50F90"/>
    <w:multiLevelType w:val="multilevel"/>
    <w:tmpl w:val="44C50F90"/>
    <w:lvl w:ilvl="0" w:tentative="0">
      <w:start w:val="1"/>
      <w:numFmt w:val="lowerLetter"/>
      <w:pStyle w:val="55"/>
      <w:lvlText w:val="%1)"/>
      <w:lvlJc w:val="left"/>
      <w:pPr>
        <w:tabs>
          <w:tab w:val="left" w:pos="839"/>
        </w:tabs>
        <w:ind w:left="839" w:hanging="419"/>
      </w:pPr>
      <w:rPr>
        <w:rFonts w:hint="eastAsia" w:ascii="宋体" w:hAnsi="宋体" w:eastAsia="宋体"/>
        <w:b w:val="0"/>
        <w:i w:val="0"/>
        <w:sz w:val="20"/>
        <w:szCs w:val="21"/>
      </w:rPr>
    </w:lvl>
    <w:lvl w:ilvl="1" w:tentative="0">
      <w:start w:val="1"/>
      <w:numFmt w:val="decimal"/>
      <w:pStyle w:val="50"/>
      <w:lvlText w:val="%2)"/>
      <w:lvlJc w:val="left"/>
      <w:pPr>
        <w:tabs>
          <w:tab w:val="left" w:pos="1259"/>
        </w:tabs>
        <w:ind w:left="1259" w:hanging="420"/>
      </w:pPr>
      <w:rPr>
        <w:rFonts w:hint="eastAsia" w:ascii="宋体" w:hAnsi="宋体" w:eastAsia="宋体"/>
        <w:b w:val="0"/>
        <w:i w:val="0"/>
        <w:sz w:val="20"/>
      </w:rPr>
    </w:lvl>
    <w:lvl w:ilvl="2" w:tentative="0">
      <w:start w:val="1"/>
      <w:numFmt w:val="decimal"/>
      <w:pStyle w:val="57"/>
      <w:lvlText w:val="(%3)"/>
      <w:lvlJc w:val="left"/>
      <w:pPr>
        <w:tabs>
          <w:tab w:val="left" w:pos="0"/>
        </w:tabs>
        <w:ind w:left="1678" w:hanging="419"/>
      </w:pPr>
      <w:rPr>
        <w:rFonts w:hint="eastAsia" w:ascii="宋体" w:hAnsi="宋体" w:eastAsia="宋体"/>
        <w:b w:val="0"/>
        <w:i w:val="0"/>
        <w:sz w:val="20"/>
        <w:szCs w:val="21"/>
      </w:rPr>
    </w:lvl>
    <w:lvl w:ilvl="3" w:tentative="0">
      <w:start w:val="1"/>
      <w:numFmt w:val="decimal"/>
      <w:lvlText w:val="%4."/>
      <w:lvlJc w:val="left"/>
      <w:pPr>
        <w:tabs>
          <w:tab w:val="left" w:pos="2098"/>
        </w:tabs>
        <w:ind w:left="2098" w:hanging="420"/>
      </w:pPr>
      <w:rPr>
        <w:rFonts w:hint="eastAsia"/>
      </w:rPr>
    </w:lvl>
    <w:lvl w:ilvl="4" w:tentative="0">
      <w:start w:val="1"/>
      <w:numFmt w:val="lowerLetter"/>
      <w:lvlText w:val="%5)"/>
      <w:lvlJc w:val="left"/>
      <w:pPr>
        <w:tabs>
          <w:tab w:val="left" w:pos="2517"/>
        </w:tabs>
        <w:ind w:left="2517" w:hanging="419"/>
      </w:pPr>
      <w:rPr>
        <w:rFonts w:hint="eastAsia"/>
      </w:rPr>
    </w:lvl>
    <w:lvl w:ilvl="5" w:tentative="0">
      <w:start w:val="1"/>
      <w:numFmt w:val="lowerRoman"/>
      <w:lvlText w:val="%6."/>
      <w:lvlJc w:val="right"/>
      <w:pPr>
        <w:tabs>
          <w:tab w:val="left" w:pos="2942"/>
        </w:tabs>
        <w:ind w:left="2937" w:hanging="420"/>
      </w:pPr>
      <w:rPr>
        <w:rFonts w:hint="eastAsia"/>
      </w:rPr>
    </w:lvl>
    <w:lvl w:ilvl="6" w:tentative="0">
      <w:start w:val="1"/>
      <w:numFmt w:val="decimal"/>
      <w:lvlText w:val="%7."/>
      <w:lvlJc w:val="left"/>
      <w:pPr>
        <w:tabs>
          <w:tab w:val="left" w:pos="3362"/>
        </w:tabs>
        <w:ind w:left="3356" w:hanging="414"/>
      </w:pPr>
      <w:rPr>
        <w:rFonts w:hint="eastAsia"/>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9">
    <w:nsid w:val="520F62E9"/>
    <w:multiLevelType w:val="multilevel"/>
    <w:tmpl w:val="520F62E9"/>
    <w:lvl w:ilvl="0" w:tentative="0">
      <w:start w:val="1"/>
      <w:numFmt w:val="decimal"/>
      <w:pStyle w:val="124"/>
      <w:suff w:val="nothing"/>
      <w:lvlText w:val="图%1　"/>
      <w:lvlJc w:val="left"/>
      <w:pPr>
        <w:ind w:left="0" w:firstLine="0"/>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0">
    <w:nsid w:val="5E63562F"/>
    <w:multiLevelType w:val="multilevel"/>
    <w:tmpl w:val="5E63562F"/>
    <w:lvl w:ilvl="0" w:tentative="0">
      <w:start w:val="1"/>
      <w:numFmt w:val="decimal"/>
      <w:pStyle w:val="54"/>
      <w:suff w:val="nothing"/>
      <w:lvlText w:val="注%1："/>
      <w:lvlJc w:val="left"/>
      <w:pPr>
        <w:ind w:left="0" w:firstLine="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11">
    <w:nsid w:val="60B55DC2"/>
    <w:multiLevelType w:val="multilevel"/>
    <w:tmpl w:val="60B55DC2"/>
    <w:lvl w:ilvl="0" w:tentative="0">
      <w:start w:val="1"/>
      <w:numFmt w:val="upperLetter"/>
      <w:pStyle w:val="82"/>
      <w:lvlText w:val="%1"/>
      <w:lvlJc w:val="left"/>
      <w:pPr>
        <w:tabs>
          <w:tab w:val="left" w:pos="0"/>
        </w:tabs>
        <w:ind w:left="0" w:hanging="425"/>
      </w:pPr>
      <w:rPr>
        <w:rFonts w:hint="eastAsia"/>
      </w:rPr>
    </w:lvl>
    <w:lvl w:ilvl="1" w:tentative="0">
      <w:start w:val="1"/>
      <w:numFmt w:val="decimal"/>
      <w:pStyle w:val="83"/>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2">
    <w:nsid w:val="63404DBE"/>
    <w:multiLevelType w:val="multilevel"/>
    <w:tmpl w:val="63404DBE"/>
    <w:lvl w:ilvl="0" w:tentative="0">
      <w:start w:val="1"/>
      <w:numFmt w:val="none"/>
      <w:pStyle w:val="48"/>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3">
    <w:nsid w:val="63AF7EBF"/>
    <w:multiLevelType w:val="multilevel"/>
    <w:tmpl w:val="63AF7EBF"/>
    <w:lvl w:ilvl="0" w:tentative="0">
      <w:start w:val="1"/>
      <w:numFmt w:val="decimal"/>
      <w:pStyle w:val="122"/>
      <w:suff w:val="nothing"/>
      <w:lvlText w:val="表%1　"/>
      <w:lvlJc w:val="left"/>
      <w:pPr>
        <w:ind w:left="0" w:firstLine="0"/>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4">
    <w:nsid w:val="657D3FBC"/>
    <w:multiLevelType w:val="multilevel"/>
    <w:tmpl w:val="657D3FBC"/>
    <w:lvl w:ilvl="0" w:tentative="0">
      <w:start w:val="1"/>
      <w:numFmt w:val="upperLetter"/>
      <w:pStyle w:val="80"/>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98"/>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99"/>
      <w:suff w:val="nothing"/>
      <w:lvlText w:val="%1.%2.%3　"/>
      <w:lvlJc w:val="left"/>
      <w:pPr>
        <w:ind w:left="0" w:firstLine="0"/>
      </w:pPr>
      <w:rPr>
        <w:rFonts w:hint="eastAsia" w:ascii="黑体" w:hAnsi="Times New Roman" w:eastAsia="黑体"/>
        <w:b w:val="0"/>
        <w:i w:val="0"/>
        <w:sz w:val="21"/>
      </w:rPr>
    </w:lvl>
    <w:lvl w:ilvl="3" w:tentative="0">
      <w:start w:val="1"/>
      <w:numFmt w:val="decimal"/>
      <w:pStyle w:val="84"/>
      <w:suff w:val="nothing"/>
      <w:lvlText w:val="%1.%2.%3.%4　"/>
      <w:lvlJc w:val="left"/>
      <w:pPr>
        <w:ind w:left="0" w:firstLine="0"/>
      </w:pPr>
      <w:rPr>
        <w:rFonts w:hint="eastAsia" w:ascii="黑体" w:hAnsi="Times New Roman" w:eastAsia="黑体"/>
        <w:b w:val="0"/>
        <w:i w:val="0"/>
        <w:sz w:val="21"/>
      </w:rPr>
    </w:lvl>
    <w:lvl w:ilvl="4" w:tentative="0">
      <w:start w:val="1"/>
      <w:numFmt w:val="decimal"/>
      <w:pStyle w:val="89"/>
      <w:suff w:val="nothing"/>
      <w:lvlText w:val="%1.%2.%3.%4.%5　"/>
      <w:lvlJc w:val="left"/>
      <w:pPr>
        <w:ind w:left="0" w:firstLine="0"/>
      </w:pPr>
      <w:rPr>
        <w:rFonts w:hint="eastAsia" w:ascii="黑体" w:hAnsi="Times New Roman" w:eastAsia="黑体"/>
        <w:b w:val="0"/>
        <w:i w:val="0"/>
        <w:sz w:val="21"/>
      </w:rPr>
    </w:lvl>
    <w:lvl w:ilvl="5" w:tentative="0">
      <w:start w:val="1"/>
      <w:numFmt w:val="decimal"/>
      <w:pStyle w:val="92"/>
      <w:suff w:val="nothing"/>
      <w:lvlText w:val="%1.%2.%3.%4.%5.%6　"/>
      <w:lvlJc w:val="left"/>
      <w:pPr>
        <w:ind w:left="0" w:firstLine="0"/>
      </w:pPr>
      <w:rPr>
        <w:rFonts w:hint="eastAsia" w:ascii="黑体" w:hAnsi="Times New Roman" w:eastAsia="黑体"/>
        <w:b w:val="0"/>
        <w:i w:val="0"/>
        <w:sz w:val="21"/>
      </w:rPr>
    </w:lvl>
    <w:lvl w:ilvl="6" w:tentative="0">
      <w:start w:val="1"/>
      <w:numFmt w:val="decimal"/>
      <w:pStyle w:val="96"/>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5">
    <w:nsid w:val="6AB870ED"/>
    <w:multiLevelType w:val="multilevel"/>
    <w:tmpl w:val="6AB870ED"/>
    <w:lvl w:ilvl="0" w:tentative="0">
      <w:start w:val="1"/>
      <w:numFmt w:val="decimal"/>
      <w:pStyle w:val="58"/>
      <w:suff w:val="nothing"/>
      <w:lvlText w:val="示例%1："/>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6">
    <w:nsid w:val="6D6C07CD"/>
    <w:multiLevelType w:val="multilevel"/>
    <w:tmpl w:val="6D6C07CD"/>
    <w:lvl w:ilvl="0" w:tentative="0">
      <w:start w:val="1"/>
      <w:numFmt w:val="lowerLetter"/>
      <w:pStyle w:val="101"/>
      <w:lvlText w:val="%1)"/>
      <w:lvlJc w:val="left"/>
      <w:pPr>
        <w:tabs>
          <w:tab w:val="left" w:pos="839"/>
        </w:tabs>
        <w:ind w:left="839" w:hanging="419"/>
      </w:pPr>
      <w:rPr>
        <w:rFonts w:hint="eastAsia" w:ascii="宋体" w:eastAsia="宋体"/>
        <w:b w:val="0"/>
        <w:i w:val="0"/>
        <w:sz w:val="21"/>
      </w:rPr>
    </w:lvl>
    <w:lvl w:ilvl="1" w:tentative="0">
      <w:start w:val="1"/>
      <w:numFmt w:val="decimal"/>
      <w:pStyle w:val="91"/>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num w:numId="1">
    <w:abstractNumId w:val="7"/>
  </w:num>
  <w:num w:numId="2">
    <w:abstractNumId w:val="2"/>
  </w:num>
  <w:num w:numId="3">
    <w:abstractNumId w:val="6"/>
  </w:num>
  <w:num w:numId="4">
    <w:abstractNumId w:val="12"/>
  </w:num>
  <w:num w:numId="5">
    <w:abstractNumId w:val="8"/>
  </w:num>
  <w:num w:numId="6">
    <w:abstractNumId w:val="1"/>
  </w:num>
  <w:num w:numId="7">
    <w:abstractNumId w:val="10"/>
  </w:num>
  <w:num w:numId="8">
    <w:abstractNumId w:val="15"/>
  </w:num>
  <w:num w:numId="9">
    <w:abstractNumId w:val="4"/>
  </w:num>
  <w:num w:numId="10">
    <w:abstractNumId w:val="0"/>
  </w:num>
  <w:num w:numId="11">
    <w:abstractNumId w:val="14"/>
  </w:num>
  <w:num w:numId="12">
    <w:abstractNumId w:val="11"/>
  </w:num>
  <w:num w:numId="13">
    <w:abstractNumId w:val="16"/>
  </w:num>
  <w:num w:numId="14">
    <w:abstractNumId w:val="5"/>
  </w:num>
  <w:num w:numId="15">
    <w:abstractNumId w:val="3"/>
  </w:num>
  <w:num w:numId="16">
    <w:abstractNumId w:val="13"/>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RiN2EzOTIwNTFkMWRjYjlhM2M2MjEwMTAzOTAyMTAifQ=="/>
  </w:docVars>
  <w:rsids>
    <w:rsidRoot w:val="4F7C02AE"/>
    <w:rsid w:val="00000244"/>
    <w:rsid w:val="00000BB3"/>
    <w:rsid w:val="0000185F"/>
    <w:rsid w:val="00004B91"/>
    <w:rsid w:val="00004E32"/>
    <w:rsid w:val="0000586F"/>
    <w:rsid w:val="00013D86"/>
    <w:rsid w:val="00013E02"/>
    <w:rsid w:val="0002143C"/>
    <w:rsid w:val="00025A65"/>
    <w:rsid w:val="00026C31"/>
    <w:rsid w:val="00027280"/>
    <w:rsid w:val="000320A7"/>
    <w:rsid w:val="000325EA"/>
    <w:rsid w:val="00035925"/>
    <w:rsid w:val="00036C2C"/>
    <w:rsid w:val="00045A7C"/>
    <w:rsid w:val="00055371"/>
    <w:rsid w:val="00056A24"/>
    <w:rsid w:val="00057CE5"/>
    <w:rsid w:val="000607A3"/>
    <w:rsid w:val="000657F7"/>
    <w:rsid w:val="00067CDF"/>
    <w:rsid w:val="00074FBE"/>
    <w:rsid w:val="0007762A"/>
    <w:rsid w:val="00081F6E"/>
    <w:rsid w:val="00083A09"/>
    <w:rsid w:val="0009005E"/>
    <w:rsid w:val="000918A9"/>
    <w:rsid w:val="00092001"/>
    <w:rsid w:val="00092618"/>
    <w:rsid w:val="00092857"/>
    <w:rsid w:val="00092BD8"/>
    <w:rsid w:val="000964C7"/>
    <w:rsid w:val="000979D9"/>
    <w:rsid w:val="000A20A9"/>
    <w:rsid w:val="000A48B1"/>
    <w:rsid w:val="000B2F0E"/>
    <w:rsid w:val="000B3143"/>
    <w:rsid w:val="000B405D"/>
    <w:rsid w:val="000C2BE6"/>
    <w:rsid w:val="000C6B05"/>
    <w:rsid w:val="000C6DD6"/>
    <w:rsid w:val="000C73D4"/>
    <w:rsid w:val="000D3D4C"/>
    <w:rsid w:val="000D4F51"/>
    <w:rsid w:val="000D718B"/>
    <w:rsid w:val="000E01F3"/>
    <w:rsid w:val="000E0C46"/>
    <w:rsid w:val="000E15EE"/>
    <w:rsid w:val="000F030C"/>
    <w:rsid w:val="000F129C"/>
    <w:rsid w:val="000F1442"/>
    <w:rsid w:val="000F174F"/>
    <w:rsid w:val="00104E29"/>
    <w:rsid w:val="001056DE"/>
    <w:rsid w:val="001124C0"/>
    <w:rsid w:val="00117A25"/>
    <w:rsid w:val="00121293"/>
    <w:rsid w:val="0013175F"/>
    <w:rsid w:val="0013364D"/>
    <w:rsid w:val="001343BB"/>
    <w:rsid w:val="001512B4"/>
    <w:rsid w:val="001620A5"/>
    <w:rsid w:val="00164E53"/>
    <w:rsid w:val="0016699D"/>
    <w:rsid w:val="001670D9"/>
    <w:rsid w:val="00175159"/>
    <w:rsid w:val="00175AD7"/>
    <w:rsid w:val="00176208"/>
    <w:rsid w:val="0017780C"/>
    <w:rsid w:val="001813B2"/>
    <w:rsid w:val="0018211B"/>
    <w:rsid w:val="00183FE1"/>
    <w:rsid w:val="001840D3"/>
    <w:rsid w:val="00184782"/>
    <w:rsid w:val="00187A8A"/>
    <w:rsid w:val="001900F8"/>
    <w:rsid w:val="00191258"/>
    <w:rsid w:val="00192680"/>
    <w:rsid w:val="00193037"/>
    <w:rsid w:val="00193375"/>
    <w:rsid w:val="0019364A"/>
    <w:rsid w:val="00193A2C"/>
    <w:rsid w:val="001A288E"/>
    <w:rsid w:val="001B6DC2"/>
    <w:rsid w:val="001B754B"/>
    <w:rsid w:val="001C149C"/>
    <w:rsid w:val="001C21AC"/>
    <w:rsid w:val="001C3689"/>
    <w:rsid w:val="001C47BA"/>
    <w:rsid w:val="001C59EA"/>
    <w:rsid w:val="001D406C"/>
    <w:rsid w:val="001D41EE"/>
    <w:rsid w:val="001D4BEB"/>
    <w:rsid w:val="001D71E6"/>
    <w:rsid w:val="001E0380"/>
    <w:rsid w:val="001E0B1B"/>
    <w:rsid w:val="001E13B1"/>
    <w:rsid w:val="001E2153"/>
    <w:rsid w:val="001F3A19"/>
    <w:rsid w:val="002009E4"/>
    <w:rsid w:val="00201053"/>
    <w:rsid w:val="0020251B"/>
    <w:rsid w:val="002073D3"/>
    <w:rsid w:val="00215D48"/>
    <w:rsid w:val="0021624B"/>
    <w:rsid w:val="0022185E"/>
    <w:rsid w:val="00227FED"/>
    <w:rsid w:val="0023030A"/>
    <w:rsid w:val="00230F08"/>
    <w:rsid w:val="00234467"/>
    <w:rsid w:val="00235BE6"/>
    <w:rsid w:val="00237D8D"/>
    <w:rsid w:val="00241DA2"/>
    <w:rsid w:val="00247FEE"/>
    <w:rsid w:val="00250E7D"/>
    <w:rsid w:val="002523DB"/>
    <w:rsid w:val="002527DD"/>
    <w:rsid w:val="00252DAA"/>
    <w:rsid w:val="002565D5"/>
    <w:rsid w:val="002622C0"/>
    <w:rsid w:val="002778AE"/>
    <w:rsid w:val="0028269A"/>
    <w:rsid w:val="00283590"/>
    <w:rsid w:val="00286973"/>
    <w:rsid w:val="00287674"/>
    <w:rsid w:val="002938A4"/>
    <w:rsid w:val="00294E70"/>
    <w:rsid w:val="002954B8"/>
    <w:rsid w:val="002967B2"/>
    <w:rsid w:val="002A1924"/>
    <w:rsid w:val="002A7420"/>
    <w:rsid w:val="002A7A7E"/>
    <w:rsid w:val="002B0F12"/>
    <w:rsid w:val="002B1308"/>
    <w:rsid w:val="002B4554"/>
    <w:rsid w:val="002B707C"/>
    <w:rsid w:val="002C72D8"/>
    <w:rsid w:val="002D11FA"/>
    <w:rsid w:val="002D19A4"/>
    <w:rsid w:val="002D6352"/>
    <w:rsid w:val="002E0DDF"/>
    <w:rsid w:val="002E2906"/>
    <w:rsid w:val="002E5635"/>
    <w:rsid w:val="002E64C3"/>
    <w:rsid w:val="002E6A2C"/>
    <w:rsid w:val="002F035E"/>
    <w:rsid w:val="002F0FE8"/>
    <w:rsid w:val="002F1D8C"/>
    <w:rsid w:val="002F21DA"/>
    <w:rsid w:val="002F34B8"/>
    <w:rsid w:val="00301F39"/>
    <w:rsid w:val="00303D27"/>
    <w:rsid w:val="00305BEE"/>
    <w:rsid w:val="00313962"/>
    <w:rsid w:val="003234E0"/>
    <w:rsid w:val="00325926"/>
    <w:rsid w:val="00327A8A"/>
    <w:rsid w:val="003339A3"/>
    <w:rsid w:val="00336610"/>
    <w:rsid w:val="00341F5C"/>
    <w:rsid w:val="00343D23"/>
    <w:rsid w:val="00343F73"/>
    <w:rsid w:val="00345060"/>
    <w:rsid w:val="003451FB"/>
    <w:rsid w:val="00352629"/>
    <w:rsid w:val="0035323B"/>
    <w:rsid w:val="00353D19"/>
    <w:rsid w:val="0035785A"/>
    <w:rsid w:val="003609D2"/>
    <w:rsid w:val="00363F22"/>
    <w:rsid w:val="00364940"/>
    <w:rsid w:val="00375564"/>
    <w:rsid w:val="00376489"/>
    <w:rsid w:val="00383191"/>
    <w:rsid w:val="00386DED"/>
    <w:rsid w:val="003912E7"/>
    <w:rsid w:val="00393947"/>
    <w:rsid w:val="00395141"/>
    <w:rsid w:val="003A2275"/>
    <w:rsid w:val="003A6A4F"/>
    <w:rsid w:val="003A7088"/>
    <w:rsid w:val="003B00DF"/>
    <w:rsid w:val="003B1275"/>
    <w:rsid w:val="003B1778"/>
    <w:rsid w:val="003C11CB"/>
    <w:rsid w:val="003C3017"/>
    <w:rsid w:val="003C6A77"/>
    <w:rsid w:val="003C75F3"/>
    <w:rsid w:val="003C78A3"/>
    <w:rsid w:val="003D36AB"/>
    <w:rsid w:val="003E1867"/>
    <w:rsid w:val="003E5729"/>
    <w:rsid w:val="003E724E"/>
    <w:rsid w:val="003F1D40"/>
    <w:rsid w:val="003F22BB"/>
    <w:rsid w:val="003F2A5B"/>
    <w:rsid w:val="003F4EE0"/>
    <w:rsid w:val="003F5559"/>
    <w:rsid w:val="00400473"/>
    <w:rsid w:val="00402153"/>
    <w:rsid w:val="00402E26"/>
    <w:rsid w:val="00402FC1"/>
    <w:rsid w:val="004200D9"/>
    <w:rsid w:val="00425082"/>
    <w:rsid w:val="00431DEB"/>
    <w:rsid w:val="0044259D"/>
    <w:rsid w:val="004439D9"/>
    <w:rsid w:val="00446B29"/>
    <w:rsid w:val="004520B6"/>
    <w:rsid w:val="004524BE"/>
    <w:rsid w:val="00453F9A"/>
    <w:rsid w:val="00454CC3"/>
    <w:rsid w:val="00464903"/>
    <w:rsid w:val="00471E91"/>
    <w:rsid w:val="00474079"/>
    <w:rsid w:val="00474675"/>
    <w:rsid w:val="0047470C"/>
    <w:rsid w:val="00484C88"/>
    <w:rsid w:val="004A203E"/>
    <w:rsid w:val="004A35F9"/>
    <w:rsid w:val="004A4662"/>
    <w:rsid w:val="004A7E02"/>
    <w:rsid w:val="004B157A"/>
    <w:rsid w:val="004B24C1"/>
    <w:rsid w:val="004B3092"/>
    <w:rsid w:val="004B49B1"/>
    <w:rsid w:val="004B557C"/>
    <w:rsid w:val="004C292F"/>
    <w:rsid w:val="004C657F"/>
    <w:rsid w:val="004D306F"/>
    <w:rsid w:val="004D4B02"/>
    <w:rsid w:val="004E0877"/>
    <w:rsid w:val="004E4B13"/>
    <w:rsid w:val="004E4B8C"/>
    <w:rsid w:val="004E5A47"/>
    <w:rsid w:val="004F3B9D"/>
    <w:rsid w:val="005036E2"/>
    <w:rsid w:val="00510280"/>
    <w:rsid w:val="00513D73"/>
    <w:rsid w:val="005148B3"/>
    <w:rsid w:val="00514A43"/>
    <w:rsid w:val="00515E9C"/>
    <w:rsid w:val="005174E5"/>
    <w:rsid w:val="00520898"/>
    <w:rsid w:val="00522393"/>
    <w:rsid w:val="00522620"/>
    <w:rsid w:val="00525656"/>
    <w:rsid w:val="00525BF3"/>
    <w:rsid w:val="00534C02"/>
    <w:rsid w:val="0054044C"/>
    <w:rsid w:val="0054264B"/>
    <w:rsid w:val="00543786"/>
    <w:rsid w:val="00545A49"/>
    <w:rsid w:val="005463CC"/>
    <w:rsid w:val="00546D0D"/>
    <w:rsid w:val="0055153A"/>
    <w:rsid w:val="005533D7"/>
    <w:rsid w:val="00554B63"/>
    <w:rsid w:val="00562CF6"/>
    <w:rsid w:val="0056544B"/>
    <w:rsid w:val="00567177"/>
    <w:rsid w:val="005703DE"/>
    <w:rsid w:val="005710BC"/>
    <w:rsid w:val="005755F1"/>
    <w:rsid w:val="00582BBE"/>
    <w:rsid w:val="0058464E"/>
    <w:rsid w:val="0058650E"/>
    <w:rsid w:val="005A01CB"/>
    <w:rsid w:val="005A19A9"/>
    <w:rsid w:val="005A58FF"/>
    <w:rsid w:val="005A5EAF"/>
    <w:rsid w:val="005A6491"/>
    <w:rsid w:val="005A64C0"/>
    <w:rsid w:val="005B1985"/>
    <w:rsid w:val="005B3C11"/>
    <w:rsid w:val="005C1C28"/>
    <w:rsid w:val="005C43D0"/>
    <w:rsid w:val="005C6DB5"/>
    <w:rsid w:val="005D3842"/>
    <w:rsid w:val="005E19E7"/>
    <w:rsid w:val="005E2392"/>
    <w:rsid w:val="00601622"/>
    <w:rsid w:val="0061037E"/>
    <w:rsid w:val="00613FAA"/>
    <w:rsid w:val="00616C36"/>
    <w:rsid w:val="0061716C"/>
    <w:rsid w:val="006171AF"/>
    <w:rsid w:val="00617868"/>
    <w:rsid w:val="006243A1"/>
    <w:rsid w:val="00626005"/>
    <w:rsid w:val="00632E56"/>
    <w:rsid w:val="00635CBA"/>
    <w:rsid w:val="00636EFC"/>
    <w:rsid w:val="0064338B"/>
    <w:rsid w:val="00646542"/>
    <w:rsid w:val="006504F4"/>
    <w:rsid w:val="0065366F"/>
    <w:rsid w:val="00654BC9"/>
    <w:rsid w:val="006552FD"/>
    <w:rsid w:val="00656F0B"/>
    <w:rsid w:val="00663733"/>
    <w:rsid w:val="00663AF3"/>
    <w:rsid w:val="00666B6C"/>
    <w:rsid w:val="00677B54"/>
    <w:rsid w:val="00682682"/>
    <w:rsid w:val="00682702"/>
    <w:rsid w:val="00692368"/>
    <w:rsid w:val="00695192"/>
    <w:rsid w:val="006A2EBC"/>
    <w:rsid w:val="006A5EA0"/>
    <w:rsid w:val="006A783B"/>
    <w:rsid w:val="006A7B33"/>
    <w:rsid w:val="006B4E13"/>
    <w:rsid w:val="006B75DD"/>
    <w:rsid w:val="006C047C"/>
    <w:rsid w:val="006C3D8B"/>
    <w:rsid w:val="006C67E0"/>
    <w:rsid w:val="006C7ABA"/>
    <w:rsid w:val="006D0A13"/>
    <w:rsid w:val="006D0D60"/>
    <w:rsid w:val="006D1122"/>
    <w:rsid w:val="006D317E"/>
    <w:rsid w:val="006D3B1E"/>
    <w:rsid w:val="006D3C00"/>
    <w:rsid w:val="006E06AD"/>
    <w:rsid w:val="006E3675"/>
    <w:rsid w:val="006E4A7F"/>
    <w:rsid w:val="006F0967"/>
    <w:rsid w:val="006F2274"/>
    <w:rsid w:val="006F64A0"/>
    <w:rsid w:val="0070038F"/>
    <w:rsid w:val="007027B1"/>
    <w:rsid w:val="0070286C"/>
    <w:rsid w:val="00704DF6"/>
    <w:rsid w:val="0070651C"/>
    <w:rsid w:val="007132A3"/>
    <w:rsid w:val="00716421"/>
    <w:rsid w:val="00721419"/>
    <w:rsid w:val="00724EFB"/>
    <w:rsid w:val="00726575"/>
    <w:rsid w:val="00730310"/>
    <w:rsid w:val="00740A49"/>
    <w:rsid w:val="007419C3"/>
    <w:rsid w:val="00746559"/>
    <w:rsid w:val="007467A7"/>
    <w:rsid w:val="007469DD"/>
    <w:rsid w:val="0074741B"/>
    <w:rsid w:val="0074759E"/>
    <w:rsid w:val="007478EA"/>
    <w:rsid w:val="0075415C"/>
    <w:rsid w:val="00757097"/>
    <w:rsid w:val="00761E8B"/>
    <w:rsid w:val="00763502"/>
    <w:rsid w:val="007913AB"/>
    <w:rsid w:val="007914F7"/>
    <w:rsid w:val="00795C73"/>
    <w:rsid w:val="007A4809"/>
    <w:rsid w:val="007B1625"/>
    <w:rsid w:val="007B706E"/>
    <w:rsid w:val="007B71EB"/>
    <w:rsid w:val="007C0748"/>
    <w:rsid w:val="007C6205"/>
    <w:rsid w:val="007C686A"/>
    <w:rsid w:val="007C728E"/>
    <w:rsid w:val="007D0BE0"/>
    <w:rsid w:val="007D204F"/>
    <w:rsid w:val="007D2C53"/>
    <w:rsid w:val="007D3D60"/>
    <w:rsid w:val="007E1980"/>
    <w:rsid w:val="007E4B76"/>
    <w:rsid w:val="007E5043"/>
    <w:rsid w:val="007E5EA8"/>
    <w:rsid w:val="007F0CF1"/>
    <w:rsid w:val="007F12A5"/>
    <w:rsid w:val="007F2D74"/>
    <w:rsid w:val="007F3FB7"/>
    <w:rsid w:val="007F4CF1"/>
    <w:rsid w:val="007F758D"/>
    <w:rsid w:val="007F7D52"/>
    <w:rsid w:val="0080484A"/>
    <w:rsid w:val="00805589"/>
    <w:rsid w:val="008057A5"/>
    <w:rsid w:val="00805E2F"/>
    <w:rsid w:val="0080654C"/>
    <w:rsid w:val="008071C6"/>
    <w:rsid w:val="00817A00"/>
    <w:rsid w:val="00820B95"/>
    <w:rsid w:val="00825891"/>
    <w:rsid w:val="00831631"/>
    <w:rsid w:val="0083228D"/>
    <w:rsid w:val="00833D07"/>
    <w:rsid w:val="00835DB3"/>
    <w:rsid w:val="0083617B"/>
    <w:rsid w:val="00836342"/>
    <w:rsid w:val="00836A2D"/>
    <w:rsid w:val="008371BD"/>
    <w:rsid w:val="00840EBF"/>
    <w:rsid w:val="008504A8"/>
    <w:rsid w:val="00851B58"/>
    <w:rsid w:val="0085282E"/>
    <w:rsid w:val="00864937"/>
    <w:rsid w:val="0087198C"/>
    <w:rsid w:val="00872C1F"/>
    <w:rsid w:val="00873B42"/>
    <w:rsid w:val="00877CB0"/>
    <w:rsid w:val="008805AC"/>
    <w:rsid w:val="00880D1A"/>
    <w:rsid w:val="00884468"/>
    <w:rsid w:val="008856D8"/>
    <w:rsid w:val="00892E82"/>
    <w:rsid w:val="00893277"/>
    <w:rsid w:val="00895FA9"/>
    <w:rsid w:val="008A1035"/>
    <w:rsid w:val="008A6E08"/>
    <w:rsid w:val="008C0BE9"/>
    <w:rsid w:val="008C1B58"/>
    <w:rsid w:val="008C39AE"/>
    <w:rsid w:val="008C40DF"/>
    <w:rsid w:val="008C590D"/>
    <w:rsid w:val="008D447E"/>
    <w:rsid w:val="008D7566"/>
    <w:rsid w:val="008E0184"/>
    <w:rsid w:val="008E031B"/>
    <w:rsid w:val="008E0560"/>
    <w:rsid w:val="008E2D8C"/>
    <w:rsid w:val="008E7029"/>
    <w:rsid w:val="008E7EF6"/>
    <w:rsid w:val="008F1F98"/>
    <w:rsid w:val="008F2340"/>
    <w:rsid w:val="008F2790"/>
    <w:rsid w:val="008F6758"/>
    <w:rsid w:val="009040DD"/>
    <w:rsid w:val="00905B47"/>
    <w:rsid w:val="0090690F"/>
    <w:rsid w:val="00911391"/>
    <w:rsid w:val="0091331C"/>
    <w:rsid w:val="009137BD"/>
    <w:rsid w:val="0091503D"/>
    <w:rsid w:val="009279DE"/>
    <w:rsid w:val="00927AB9"/>
    <w:rsid w:val="00927B37"/>
    <w:rsid w:val="00930116"/>
    <w:rsid w:val="00930625"/>
    <w:rsid w:val="00941082"/>
    <w:rsid w:val="0094212C"/>
    <w:rsid w:val="00944853"/>
    <w:rsid w:val="0094609D"/>
    <w:rsid w:val="0095378C"/>
    <w:rsid w:val="00954689"/>
    <w:rsid w:val="0095472A"/>
    <w:rsid w:val="0096085A"/>
    <w:rsid w:val="009617C9"/>
    <w:rsid w:val="00961C93"/>
    <w:rsid w:val="00962B4E"/>
    <w:rsid w:val="00965324"/>
    <w:rsid w:val="0097091E"/>
    <w:rsid w:val="009760D3"/>
    <w:rsid w:val="00977132"/>
    <w:rsid w:val="00981A4B"/>
    <w:rsid w:val="00982250"/>
    <w:rsid w:val="00982501"/>
    <w:rsid w:val="00983D33"/>
    <w:rsid w:val="009877D3"/>
    <w:rsid w:val="00994E8F"/>
    <w:rsid w:val="009951DC"/>
    <w:rsid w:val="009959BB"/>
    <w:rsid w:val="00997158"/>
    <w:rsid w:val="009A0827"/>
    <w:rsid w:val="009A3A7C"/>
    <w:rsid w:val="009A5D33"/>
    <w:rsid w:val="009A7D84"/>
    <w:rsid w:val="009B2323"/>
    <w:rsid w:val="009B2ADB"/>
    <w:rsid w:val="009B603A"/>
    <w:rsid w:val="009C2D0E"/>
    <w:rsid w:val="009C3DAC"/>
    <w:rsid w:val="009C42E0"/>
    <w:rsid w:val="009D3230"/>
    <w:rsid w:val="009D5362"/>
    <w:rsid w:val="009E1415"/>
    <w:rsid w:val="009E6116"/>
    <w:rsid w:val="009E7E25"/>
    <w:rsid w:val="00A02E43"/>
    <w:rsid w:val="00A05368"/>
    <w:rsid w:val="00A065F9"/>
    <w:rsid w:val="00A07011"/>
    <w:rsid w:val="00A07F34"/>
    <w:rsid w:val="00A22154"/>
    <w:rsid w:val="00A24058"/>
    <w:rsid w:val="00A25C38"/>
    <w:rsid w:val="00A35824"/>
    <w:rsid w:val="00A36BBE"/>
    <w:rsid w:val="00A37C20"/>
    <w:rsid w:val="00A40D9E"/>
    <w:rsid w:val="00A41DF7"/>
    <w:rsid w:val="00A420B1"/>
    <w:rsid w:val="00A42ECA"/>
    <w:rsid w:val="00A4307A"/>
    <w:rsid w:val="00A46DEF"/>
    <w:rsid w:val="00A47EBB"/>
    <w:rsid w:val="00A51CDD"/>
    <w:rsid w:val="00A563F8"/>
    <w:rsid w:val="00A56BBA"/>
    <w:rsid w:val="00A6730D"/>
    <w:rsid w:val="00A71625"/>
    <w:rsid w:val="00A71B9B"/>
    <w:rsid w:val="00A751C7"/>
    <w:rsid w:val="00A80008"/>
    <w:rsid w:val="00A84CE5"/>
    <w:rsid w:val="00A87844"/>
    <w:rsid w:val="00A9227B"/>
    <w:rsid w:val="00A97A55"/>
    <w:rsid w:val="00AA038C"/>
    <w:rsid w:val="00AA7A09"/>
    <w:rsid w:val="00AB3B50"/>
    <w:rsid w:val="00AC05B1"/>
    <w:rsid w:val="00AC450C"/>
    <w:rsid w:val="00AC7E93"/>
    <w:rsid w:val="00AD340B"/>
    <w:rsid w:val="00AD356C"/>
    <w:rsid w:val="00AE2914"/>
    <w:rsid w:val="00AE6D15"/>
    <w:rsid w:val="00AE7023"/>
    <w:rsid w:val="00AE78AA"/>
    <w:rsid w:val="00AF0EF3"/>
    <w:rsid w:val="00AF1F49"/>
    <w:rsid w:val="00AF2D81"/>
    <w:rsid w:val="00B04182"/>
    <w:rsid w:val="00B05ECF"/>
    <w:rsid w:val="00B07AE3"/>
    <w:rsid w:val="00B11430"/>
    <w:rsid w:val="00B12A5D"/>
    <w:rsid w:val="00B242F4"/>
    <w:rsid w:val="00B2477A"/>
    <w:rsid w:val="00B24D1C"/>
    <w:rsid w:val="00B30072"/>
    <w:rsid w:val="00B30481"/>
    <w:rsid w:val="00B3312F"/>
    <w:rsid w:val="00B353EB"/>
    <w:rsid w:val="00B4016F"/>
    <w:rsid w:val="00B407AC"/>
    <w:rsid w:val="00B439C4"/>
    <w:rsid w:val="00B4535E"/>
    <w:rsid w:val="00B52A8C"/>
    <w:rsid w:val="00B54707"/>
    <w:rsid w:val="00B56155"/>
    <w:rsid w:val="00B62F11"/>
    <w:rsid w:val="00B63042"/>
    <w:rsid w:val="00B636A8"/>
    <w:rsid w:val="00B665C6"/>
    <w:rsid w:val="00B72AD8"/>
    <w:rsid w:val="00B74441"/>
    <w:rsid w:val="00B758A5"/>
    <w:rsid w:val="00B805AF"/>
    <w:rsid w:val="00B82BD5"/>
    <w:rsid w:val="00B869EC"/>
    <w:rsid w:val="00B9397A"/>
    <w:rsid w:val="00B9633D"/>
    <w:rsid w:val="00B967D5"/>
    <w:rsid w:val="00BA2EBE"/>
    <w:rsid w:val="00BB0F28"/>
    <w:rsid w:val="00BB458A"/>
    <w:rsid w:val="00BB693F"/>
    <w:rsid w:val="00BC5953"/>
    <w:rsid w:val="00BD00D3"/>
    <w:rsid w:val="00BD1659"/>
    <w:rsid w:val="00BD3AA9"/>
    <w:rsid w:val="00BD4A18"/>
    <w:rsid w:val="00BD6DB2"/>
    <w:rsid w:val="00BD73A1"/>
    <w:rsid w:val="00BE11CF"/>
    <w:rsid w:val="00BE21AB"/>
    <w:rsid w:val="00BE55CB"/>
    <w:rsid w:val="00BE7067"/>
    <w:rsid w:val="00BF3BB2"/>
    <w:rsid w:val="00BF617A"/>
    <w:rsid w:val="00C0379D"/>
    <w:rsid w:val="00C03931"/>
    <w:rsid w:val="00C05FE3"/>
    <w:rsid w:val="00C11DA9"/>
    <w:rsid w:val="00C2136D"/>
    <w:rsid w:val="00C214EE"/>
    <w:rsid w:val="00C2314B"/>
    <w:rsid w:val="00C244A0"/>
    <w:rsid w:val="00C24971"/>
    <w:rsid w:val="00C25355"/>
    <w:rsid w:val="00C26BE5"/>
    <w:rsid w:val="00C26E4D"/>
    <w:rsid w:val="00C27909"/>
    <w:rsid w:val="00C27B03"/>
    <w:rsid w:val="00C314E1"/>
    <w:rsid w:val="00C34397"/>
    <w:rsid w:val="00C40503"/>
    <w:rsid w:val="00C4095D"/>
    <w:rsid w:val="00C57A9C"/>
    <w:rsid w:val="00C601D2"/>
    <w:rsid w:val="00C65BCC"/>
    <w:rsid w:val="00C66970"/>
    <w:rsid w:val="00C71F4D"/>
    <w:rsid w:val="00C8691C"/>
    <w:rsid w:val="00C86CB4"/>
    <w:rsid w:val="00C96295"/>
    <w:rsid w:val="00C96364"/>
    <w:rsid w:val="00CA03DF"/>
    <w:rsid w:val="00CA168A"/>
    <w:rsid w:val="00CA2097"/>
    <w:rsid w:val="00CA357E"/>
    <w:rsid w:val="00CA44F9"/>
    <w:rsid w:val="00CA4A69"/>
    <w:rsid w:val="00CB722E"/>
    <w:rsid w:val="00CC3E0C"/>
    <w:rsid w:val="00CC58D3"/>
    <w:rsid w:val="00CC784D"/>
    <w:rsid w:val="00CF1E15"/>
    <w:rsid w:val="00D00A8D"/>
    <w:rsid w:val="00D03268"/>
    <w:rsid w:val="00D0337B"/>
    <w:rsid w:val="00D07777"/>
    <w:rsid w:val="00D079B2"/>
    <w:rsid w:val="00D114E9"/>
    <w:rsid w:val="00D17CD8"/>
    <w:rsid w:val="00D2527C"/>
    <w:rsid w:val="00D313B3"/>
    <w:rsid w:val="00D35B8E"/>
    <w:rsid w:val="00D35DFD"/>
    <w:rsid w:val="00D40F07"/>
    <w:rsid w:val="00D429C6"/>
    <w:rsid w:val="00D47748"/>
    <w:rsid w:val="00D5178F"/>
    <w:rsid w:val="00D518DF"/>
    <w:rsid w:val="00D54CC3"/>
    <w:rsid w:val="00D6041A"/>
    <w:rsid w:val="00D61258"/>
    <w:rsid w:val="00D633EB"/>
    <w:rsid w:val="00D736AC"/>
    <w:rsid w:val="00D747AA"/>
    <w:rsid w:val="00D75A7E"/>
    <w:rsid w:val="00D82FF7"/>
    <w:rsid w:val="00D847FE"/>
    <w:rsid w:val="00D86B9C"/>
    <w:rsid w:val="00D900CD"/>
    <w:rsid w:val="00D90A39"/>
    <w:rsid w:val="00D964EA"/>
    <w:rsid w:val="00D966D0"/>
    <w:rsid w:val="00DA0C59"/>
    <w:rsid w:val="00DA3991"/>
    <w:rsid w:val="00DA72A1"/>
    <w:rsid w:val="00DA7F95"/>
    <w:rsid w:val="00DB01F1"/>
    <w:rsid w:val="00DB3222"/>
    <w:rsid w:val="00DB7E6C"/>
    <w:rsid w:val="00DC4F68"/>
    <w:rsid w:val="00DC64B0"/>
    <w:rsid w:val="00DD252A"/>
    <w:rsid w:val="00DD5949"/>
    <w:rsid w:val="00DD5A29"/>
    <w:rsid w:val="00DD5D9D"/>
    <w:rsid w:val="00DE35CB"/>
    <w:rsid w:val="00DF0EF0"/>
    <w:rsid w:val="00DF21E9"/>
    <w:rsid w:val="00DF22C7"/>
    <w:rsid w:val="00DF5CC9"/>
    <w:rsid w:val="00E00F14"/>
    <w:rsid w:val="00E01CB8"/>
    <w:rsid w:val="00E06386"/>
    <w:rsid w:val="00E075C5"/>
    <w:rsid w:val="00E1051A"/>
    <w:rsid w:val="00E11668"/>
    <w:rsid w:val="00E118E7"/>
    <w:rsid w:val="00E122B7"/>
    <w:rsid w:val="00E21B55"/>
    <w:rsid w:val="00E221D3"/>
    <w:rsid w:val="00E24EB4"/>
    <w:rsid w:val="00E30635"/>
    <w:rsid w:val="00E320ED"/>
    <w:rsid w:val="00E33AFB"/>
    <w:rsid w:val="00E34218"/>
    <w:rsid w:val="00E4555B"/>
    <w:rsid w:val="00E46282"/>
    <w:rsid w:val="00E5216E"/>
    <w:rsid w:val="00E5529C"/>
    <w:rsid w:val="00E657C6"/>
    <w:rsid w:val="00E75D40"/>
    <w:rsid w:val="00E81965"/>
    <w:rsid w:val="00E82344"/>
    <w:rsid w:val="00E84C82"/>
    <w:rsid w:val="00E84D64"/>
    <w:rsid w:val="00E87408"/>
    <w:rsid w:val="00E87F05"/>
    <w:rsid w:val="00E914C4"/>
    <w:rsid w:val="00E934F5"/>
    <w:rsid w:val="00E96961"/>
    <w:rsid w:val="00EA72EC"/>
    <w:rsid w:val="00EB11CB"/>
    <w:rsid w:val="00EB1C71"/>
    <w:rsid w:val="00EB275A"/>
    <w:rsid w:val="00EB57CA"/>
    <w:rsid w:val="00EB786A"/>
    <w:rsid w:val="00EC1578"/>
    <w:rsid w:val="00EC1BFC"/>
    <w:rsid w:val="00EC1C72"/>
    <w:rsid w:val="00EC3356"/>
    <w:rsid w:val="00EC3CC9"/>
    <w:rsid w:val="00EC5D85"/>
    <w:rsid w:val="00EC680A"/>
    <w:rsid w:val="00ED511C"/>
    <w:rsid w:val="00ED7229"/>
    <w:rsid w:val="00EE25CB"/>
    <w:rsid w:val="00EE2BED"/>
    <w:rsid w:val="00EE374B"/>
    <w:rsid w:val="00EE4A87"/>
    <w:rsid w:val="00EE4D1E"/>
    <w:rsid w:val="00EF2869"/>
    <w:rsid w:val="00F05D60"/>
    <w:rsid w:val="00F07224"/>
    <w:rsid w:val="00F07FD3"/>
    <w:rsid w:val="00F11BB5"/>
    <w:rsid w:val="00F1296C"/>
    <w:rsid w:val="00F1417B"/>
    <w:rsid w:val="00F1712D"/>
    <w:rsid w:val="00F17A17"/>
    <w:rsid w:val="00F208A0"/>
    <w:rsid w:val="00F2115E"/>
    <w:rsid w:val="00F27B3D"/>
    <w:rsid w:val="00F27C87"/>
    <w:rsid w:val="00F30ABD"/>
    <w:rsid w:val="00F34B99"/>
    <w:rsid w:val="00F40B02"/>
    <w:rsid w:val="00F41E81"/>
    <w:rsid w:val="00F51720"/>
    <w:rsid w:val="00F51CF2"/>
    <w:rsid w:val="00F52DAB"/>
    <w:rsid w:val="00F543F0"/>
    <w:rsid w:val="00F55E3E"/>
    <w:rsid w:val="00F57601"/>
    <w:rsid w:val="00F73F99"/>
    <w:rsid w:val="00F75F80"/>
    <w:rsid w:val="00F81D29"/>
    <w:rsid w:val="00F90BE5"/>
    <w:rsid w:val="00F91C4D"/>
    <w:rsid w:val="00F92FD9"/>
    <w:rsid w:val="00FA37B1"/>
    <w:rsid w:val="00FA3E0B"/>
    <w:rsid w:val="00FA5EF7"/>
    <w:rsid w:val="00FA6684"/>
    <w:rsid w:val="00FA731E"/>
    <w:rsid w:val="00FA7BD0"/>
    <w:rsid w:val="00FB1DCF"/>
    <w:rsid w:val="00FB2B38"/>
    <w:rsid w:val="00FB61CE"/>
    <w:rsid w:val="00FB7A07"/>
    <w:rsid w:val="00FC04CC"/>
    <w:rsid w:val="00FC2066"/>
    <w:rsid w:val="00FC331B"/>
    <w:rsid w:val="00FC6358"/>
    <w:rsid w:val="00FD1381"/>
    <w:rsid w:val="00FD320D"/>
    <w:rsid w:val="00FE1B98"/>
    <w:rsid w:val="00FE23DE"/>
    <w:rsid w:val="00FF1801"/>
    <w:rsid w:val="00FF6842"/>
    <w:rsid w:val="13617C5A"/>
    <w:rsid w:val="2F5561B7"/>
    <w:rsid w:val="3AC9200D"/>
    <w:rsid w:val="3D50376A"/>
    <w:rsid w:val="3F890AD5"/>
    <w:rsid w:val="4F7C02AE"/>
    <w:rsid w:val="58012CDB"/>
    <w:rsid w:val="7AB7E50F"/>
    <w:rsid w:val="FEB6642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semiHidden="0" w:name="footnote text"/>
    <w:lsdException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uiPriority="0" w:name="annotation reference"/>
    <w:lsdException w:uiPriority="0" w:name="line number"/>
    <w:lsdException w:qFormat="1" w:unhideWhenUsed="0" w:uiPriority="0" w:semiHidden="0" w:name="page number"/>
    <w:lsdException w:qFormat="1" w:unhideWhenUsed="0" w:uiPriority="0" w:name="endnote reference"/>
    <w:lsdException w:qFormat="1" w:unhideWhenUsed="0"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2">
    <w:name w:val="toc 7"/>
    <w:basedOn w:val="1"/>
    <w:next w:val="1"/>
    <w:semiHidden/>
    <w:qFormat/>
    <w:uiPriority w:val="0"/>
    <w:pPr>
      <w:tabs>
        <w:tab w:val="right" w:leader="dot" w:pos="9241"/>
      </w:tabs>
      <w:ind w:firstLine="500" w:firstLineChars="500"/>
      <w:jc w:val="left"/>
    </w:pPr>
    <w:rPr>
      <w:rFonts w:ascii="宋体"/>
      <w:szCs w:val="21"/>
    </w:rPr>
  </w:style>
  <w:style w:type="paragraph" w:styleId="3">
    <w:name w:val="index 8"/>
    <w:basedOn w:val="1"/>
    <w:next w:val="1"/>
    <w:qFormat/>
    <w:uiPriority w:val="0"/>
    <w:pPr>
      <w:ind w:left="1680" w:hanging="210"/>
      <w:jc w:val="left"/>
    </w:pPr>
    <w:rPr>
      <w:rFonts w:ascii="Calibri" w:hAnsi="Calibri"/>
      <w:sz w:val="20"/>
      <w:szCs w:val="20"/>
    </w:rPr>
  </w:style>
  <w:style w:type="paragraph" w:styleId="4">
    <w:name w:val="caption"/>
    <w:basedOn w:val="1"/>
    <w:next w:val="1"/>
    <w:qFormat/>
    <w:uiPriority w:val="0"/>
    <w:pPr>
      <w:spacing w:before="152" w:after="160"/>
    </w:pPr>
    <w:rPr>
      <w:rFonts w:ascii="Arial" w:hAnsi="Arial" w:eastAsia="黑体" w:cs="Arial"/>
      <w:sz w:val="20"/>
      <w:szCs w:val="20"/>
    </w:rPr>
  </w:style>
  <w:style w:type="paragraph" w:styleId="5">
    <w:name w:val="index 5"/>
    <w:basedOn w:val="1"/>
    <w:next w:val="1"/>
    <w:qFormat/>
    <w:uiPriority w:val="0"/>
    <w:pPr>
      <w:ind w:left="1050" w:hanging="210"/>
      <w:jc w:val="left"/>
    </w:pPr>
    <w:rPr>
      <w:rFonts w:ascii="Calibri" w:hAnsi="Calibri"/>
      <w:sz w:val="20"/>
      <w:szCs w:val="20"/>
    </w:rPr>
  </w:style>
  <w:style w:type="paragraph" w:styleId="6">
    <w:name w:val="Document Map"/>
    <w:basedOn w:val="1"/>
    <w:semiHidden/>
    <w:qFormat/>
    <w:uiPriority w:val="0"/>
    <w:pPr>
      <w:shd w:val="clear" w:color="auto" w:fill="000080"/>
    </w:pPr>
  </w:style>
  <w:style w:type="paragraph" w:styleId="7">
    <w:name w:val="index 6"/>
    <w:basedOn w:val="1"/>
    <w:next w:val="1"/>
    <w:qFormat/>
    <w:uiPriority w:val="0"/>
    <w:pPr>
      <w:ind w:left="1260" w:hanging="210"/>
      <w:jc w:val="left"/>
    </w:pPr>
    <w:rPr>
      <w:rFonts w:ascii="Calibri" w:hAnsi="Calibri"/>
      <w:sz w:val="20"/>
      <w:szCs w:val="20"/>
    </w:rPr>
  </w:style>
  <w:style w:type="paragraph" w:styleId="8">
    <w:name w:val="index 4"/>
    <w:basedOn w:val="1"/>
    <w:next w:val="1"/>
    <w:qFormat/>
    <w:uiPriority w:val="0"/>
    <w:pPr>
      <w:ind w:left="840" w:hanging="210"/>
      <w:jc w:val="left"/>
    </w:pPr>
    <w:rPr>
      <w:rFonts w:ascii="Calibri" w:hAnsi="Calibri"/>
      <w:sz w:val="20"/>
      <w:szCs w:val="20"/>
    </w:rPr>
  </w:style>
  <w:style w:type="paragraph" w:styleId="9">
    <w:name w:val="toc 5"/>
    <w:basedOn w:val="1"/>
    <w:next w:val="1"/>
    <w:semiHidden/>
    <w:qFormat/>
    <w:uiPriority w:val="0"/>
    <w:pPr>
      <w:tabs>
        <w:tab w:val="right" w:leader="dot" w:pos="9241"/>
      </w:tabs>
      <w:ind w:firstLine="300" w:firstLineChars="300"/>
      <w:jc w:val="left"/>
    </w:pPr>
    <w:rPr>
      <w:rFonts w:ascii="宋体"/>
      <w:szCs w:val="21"/>
    </w:rPr>
  </w:style>
  <w:style w:type="paragraph" w:styleId="10">
    <w:name w:val="toc 3"/>
    <w:basedOn w:val="1"/>
    <w:next w:val="1"/>
    <w:semiHidden/>
    <w:qFormat/>
    <w:uiPriority w:val="0"/>
    <w:pPr>
      <w:tabs>
        <w:tab w:val="right" w:leader="dot" w:pos="9241"/>
      </w:tabs>
      <w:ind w:firstLine="100" w:firstLineChars="100"/>
      <w:jc w:val="left"/>
    </w:pPr>
    <w:rPr>
      <w:rFonts w:ascii="宋体"/>
      <w:szCs w:val="21"/>
    </w:rPr>
  </w:style>
  <w:style w:type="paragraph" w:styleId="11">
    <w:name w:val="toc 8"/>
    <w:basedOn w:val="1"/>
    <w:next w:val="1"/>
    <w:semiHidden/>
    <w:qFormat/>
    <w:uiPriority w:val="0"/>
    <w:pPr>
      <w:tabs>
        <w:tab w:val="right" w:leader="dot" w:pos="9241"/>
      </w:tabs>
      <w:ind w:firstLine="607" w:firstLineChars="600"/>
      <w:jc w:val="left"/>
    </w:pPr>
    <w:rPr>
      <w:rFonts w:ascii="宋体"/>
      <w:szCs w:val="21"/>
    </w:rPr>
  </w:style>
  <w:style w:type="paragraph" w:styleId="12">
    <w:name w:val="index 3"/>
    <w:basedOn w:val="1"/>
    <w:next w:val="1"/>
    <w:qFormat/>
    <w:uiPriority w:val="0"/>
    <w:pPr>
      <w:ind w:left="630" w:hanging="210"/>
      <w:jc w:val="left"/>
    </w:pPr>
    <w:rPr>
      <w:rFonts w:ascii="Calibri" w:hAnsi="Calibri"/>
      <w:sz w:val="20"/>
      <w:szCs w:val="20"/>
    </w:rPr>
  </w:style>
  <w:style w:type="paragraph" w:styleId="13">
    <w:name w:val="endnote text"/>
    <w:basedOn w:val="1"/>
    <w:semiHidden/>
    <w:qFormat/>
    <w:uiPriority w:val="0"/>
    <w:pPr>
      <w:snapToGrid w:val="0"/>
      <w:jc w:val="left"/>
    </w:pPr>
  </w:style>
  <w:style w:type="paragraph" w:styleId="14">
    <w:name w:val="Balloon Text"/>
    <w:basedOn w:val="1"/>
    <w:link w:val="137"/>
    <w:qFormat/>
    <w:uiPriority w:val="0"/>
    <w:rPr>
      <w:sz w:val="18"/>
      <w:szCs w:val="18"/>
    </w:rPr>
  </w:style>
  <w:style w:type="paragraph" w:styleId="15">
    <w:name w:val="footer"/>
    <w:basedOn w:val="1"/>
    <w:qFormat/>
    <w:uiPriority w:val="0"/>
    <w:pPr>
      <w:snapToGrid w:val="0"/>
      <w:ind w:right="210" w:rightChars="100"/>
      <w:jc w:val="right"/>
    </w:pPr>
    <w:rPr>
      <w:sz w:val="18"/>
      <w:szCs w:val="18"/>
    </w:rPr>
  </w:style>
  <w:style w:type="paragraph" w:styleId="16">
    <w:name w:val="header"/>
    <w:basedOn w:val="1"/>
    <w:qFormat/>
    <w:uiPriority w:val="0"/>
    <w:pPr>
      <w:snapToGrid w:val="0"/>
      <w:jc w:val="left"/>
    </w:pPr>
    <w:rPr>
      <w:sz w:val="18"/>
      <w:szCs w:val="18"/>
    </w:rPr>
  </w:style>
  <w:style w:type="paragraph" w:styleId="17">
    <w:name w:val="toc 1"/>
    <w:basedOn w:val="1"/>
    <w:next w:val="1"/>
    <w:semiHidden/>
    <w:qFormat/>
    <w:uiPriority w:val="0"/>
    <w:pPr>
      <w:tabs>
        <w:tab w:val="right" w:leader="dot" w:pos="9242"/>
      </w:tabs>
      <w:spacing w:beforeLines="25" w:afterLines="25"/>
      <w:jc w:val="left"/>
    </w:pPr>
    <w:rPr>
      <w:rFonts w:ascii="宋体"/>
      <w:szCs w:val="21"/>
    </w:rPr>
  </w:style>
  <w:style w:type="paragraph" w:styleId="18">
    <w:name w:val="toc 4"/>
    <w:basedOn w:val="1"/>
    <w:next w:val="1"/>
    <w:semiHidden/>
    <w:qFormat/>
    <w:uiPriority w:val="0"/>
    <w:pPr>
      <w:tabs>
        <w:tab w:val="right" w:leader="dot" w:pos="9241"/>
      </w:tabs>
      <w:ind w:firstLine="200" w:firstLineChars="200"/>
      <w:jc w:val="left"/>
    </w:pPr>
    <w:rPr>
      <w:rFonts w:ascii="宋体"/>
      <w:szCs w:val="21"/>
    </w:rPr>
  </w:style>
  <w:style w:type="paragraph" w:styleId="19">
    <w:name w:val="index heading"/>
    <w:basedOn w:val="1"/>
    <w:next w:val="20"/>
    <w:qFormat/>
    <w:uiPriority w:val="0"/>
    <w:pPr>
      <w:spacing w:before="120" w:after="120"/>
      <w:jc w:val="center"/>
    </w:pPr>
    <w:rPr>
      <w:rFonts w:ascii="Calibri" w:hAnsi="Calibri"/>
      <w:b/>
      <w:bCs/>
      <w:iCs/>
      <w:szCs w:val="20"/>
    </w:rPr>
  </w:style>
  <w:style w:type="paragraph" w:styleId="20">
    <w:name w:val="index 1"/>
    <w:basedOn w:val="1"/>
    <w:next w:val="21"/>
    <w:qFormat/>
    <w:uiPriority w:val="0"/>
    <w:pPr>
      <w:tabs>
        <w:tab w:val="right" w:leader="dot" w:pos="9299"/>
      </w:tabs>
      <w:jc w:val="left"/>
    </w:pPr>
    <w:rPr>
      <w:rFonts w:ascii="宋体"/>
      <w:szCs w:val="21"/>
    </w:rPr>
  </w:style>
  <w:style w:type="paragraph" w:customStyle="1" w:styleId="21">
    <w:name w:val="段"/>
    <w:link w:val="37"/>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2">
    <w:name w:val="footnote text"/>
    <w:basedOn w:val="1"/>
    <w:qFormat/>
    <w:uiPriority w:val="0"/>
    <w:pPr>
      <w:numPr>
        <w:ilvl w:val="0"/>
        <w:numId w:val="1"/>
      </w:numPr>
      <w:snapToGrid w:val="0"/>
      <w:jc w:val="left"/>
    </w:pPr>
    <w:rPr>
      <w:rFonts w:ascii="宋体"/>
      <w:sz w:val="18"/>
      <w:szCs w:val="18"/>
    </w:rPr>
  </w:style>
  <w:style w:type="paragraph" w:styleId="23">
    <w:name w:val="toc 6"/>
    <w:basedOn w:val="1"/>
    <w:next w:val="1"/>
    <w:semiHidden/>
    <w:qFormat/>
    <w:uiPriority w:val="0"/>
    <w:pPr>
      <w:tabs>
        <w:tab w:val="right" w:leader="dot" w:pos="9241"/>
      </w:tabs>
      <w:ind w:firstLine="400" w:firstLineChars="400"/>
      <w:jc w:val="left"/>
    </w:pPr>
    <w:rPr>
      <w:rFonts w:ascii="宋体"/>
      <w:szCs w:val="21"/>
    </w:rPr>
  </w:style>
  <w:style w:type="paragraph" w:styleId="24">
    <w:name w:val="index 7"/>
    <w:basedOn w:val="1"/>
    <w:next w:val="1"/>
    <w:qFormat/>
    <w:uiPriority w:val="0"/>
    <w:pPr>
      <w:ind w:left="1470" w:hanging="210"/>
      <w:jc w:val="left"/>
    </w:pPr>
    <w:rPr>
      <w:rFonts w:ascii="Calibri" w:hAnsi="Calibri"/>
      <w:sz w:val="20"/>
      <w:szCs w:val="20"/>
    </w:rPr>
  </w:style>
  <w:style w:type="paragraph" w:styleId="25">
    <w:name w:val="index 9"/>
    <w:basedOn w:val="1"/>
    <w:next w:val="1"/>
    <w:qFormat/>
    <w:uiPriority w:val="0"/>
    <w:pPr>
      <w:ind w:left="1890" w:hanging="210"/>
      <w:jc w:val="left"/>
    </w:pPr>
    <w:rPr>
      <w:rFonts w:ascii="Calibri" w:hAnsi="Calibri"/>
      <w:sz w:val="20"/>
      <w:szCs w:val="20"/>
    </w:rPr>
  </w:style>
  <w:style w:type="paragraph" w:styleId="26">
    <w:name w:val="toc 2"/>
    <w:basedOn w:val="1"/>
    <w:next w:val="1"/>
    <w:semiHidden/>
    <w:qFormat/>
    <w:uiPriority w:val="0"/>
    <w:pPr>
      <w:tabs>
        <w:tab w:val="right" w:leader="dot" w:pos="9242"/>
      </w:tabs>
    </w:pPr>
    <w:rPr>
      <w:rFonts w:ascii="宋体"/>
      <w:szCs w:val="21"/>
    </w:rPr>
  </w:style>
  <w:style w:type="paragraph" w:styleId="27">
    <w:name w:val="toc 9"/>
    <w:basedOn w:val="1"/>
    <w:next w:val="1"/>
    <w:semiHidden/>
    <w:qFormat/>
    <w:uiPriority w:val="0"/>
    <w:pPr>
      <w:ind w:left="1470"/>
      <w:jc w:val="left"/>
    </w:pPr>
    <w:rPr>
      <w:sz w:val="20"/>
      <w:szCs w:val="20"/>
    </w:rPr>
  </w:style>
  <w:style w:type="paragraph" w:styleId="28">
    <w:name w:val="index 2"/>
    <w:basedOn w:val="1"/>
    <w:next w:val="1"/>
    <w:qFormat/>
    <w:uiPriority w:val="0"/>
    <w:pPr>
      <w:ind w:left="420" w:hanging="210"/>
      <w:jc w:val="left"/>
    </w:pPr>
    <w:rPr>
      <w:rFonts w:ascii="Calibri" w:hAnsi="Calibri"/>
      <w:sz w:val="20"/>
      <w:szCs w:val="20"/>
    </w:rPr>
  </w:style>
  <w:style w:type="table" w:styleId="30">
    <w:name w:val="Table Grid"/>
    <w:basedOn w:val="29"/>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2">
    <w:name w:val="endnote reference"/>
    <w:semiHidden/>
    <w:qFormat/>
    <w:uiPriority w:val="0"/>
    <w:rPr>
      <w:vertAlign w:val="superscript"/>
    </w:rPr>
  </w:style>
  <w:style w:type="character" w:styleId="33">
    <w:name w:val="page number"/>
    <w:qFormat/>
    <w:uiPriority w:val="0"/>
    <w:rPr>
      <w:rFonts w:ascii="Times New Roman" w:hAnsi="Times New Roman" w:eastAsia="宋体"/>
      <w:sz w:val="18"/>
    </w:rPr>
  </w:style>
  <w:style w:type="character" w:styleId="34">
    <w:name w:val="FollowedHyperlink"/>
    <w:qFormat/>
    <w:uiPriority w:val="0"/>
    <w:rPr>
      <w:color w:val="800080"/>
      <w:u w:val="single"/>
    </w:rPr>
  </w:style>
  <w:style w:type="character" w:styleId="35">
    <w:name w:val="Hyperlink"/>
    <w:qFormat/>
    <w:uiPriority w:val="0"/>
    <w:rPr>
      <w:color w:val="0000FF"/>
      <w:spacing w:val="0"/>
      <w:w w:val="100"/>
      <w:szCs w:val="21"/>
      <w:u w:val="single"/>
    </w:rPr>
  </w:style>
  <w:style w:type="character" w:styleId="36">
    <w:name w:val="footnote reference"/>
    <w:semiHidden/>
    <w:qFormat/>
    <w:uiPriority w:val="0"/>
    <w:rPr>
      <w:vertAlign w:val="superscript"/>
    </w:rPr>
  </w:style>
  <w:style w:type="character" w:customStyle="1" w:styleId="37">
    <w:name w:val="段 Char"/>
    <w:link w:val="21"/>
    <w:qFormat/>
    <w:uiPriority w:val="0"/>
    <w:rPr>
      <w:rFonts w:ascii="宋体"/>
      <w:sz w:val="21"/>
      <w:lang w:val="en-US" w:eastAsia="zh-CN" w:bidi="ar-SA"/>
    </w:rPr>
  </w:style>
  <w:style w:type="paragraph" w:customStyle="1" w:styleId="38">
    <w:name w:val="一级条标题"/>
    <w:next w:val="21"/>
    <w:qFormat/>
    <w:uiPriority w:val="0"/>
    <w:pPr>
      <w:numPr>
        <w:ilvl w:val="1"/>
        <w:numId w:val="2"/>
      </w:numPr>
      <w:spacing w:beforeLines="50" w:afterLines="50"/>
      <w:outlineLvl w:val="2"/>
    </w:pPr>
    <w:rPr>
      <w:rFonts w:ascii="黑体" w:hAnsi="Times New Roman" w:eastAsia="黑体" w:cs="Times New Roman"/>
      <w:sz w:val="21"/>
      <w:szCs w:val="21"/>
      <w:lang w:val="en-US" w:eastAsia="zh-CN" w:bidi="ar-SA"/>
    </w:rPr>
  </w:style>
  <w:style w:type="paragraph" w:customStyle="1" w:styleId="39">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40">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41">
    <w:name w:val="章标题"/>
    <w:next w:val="21"/>
    <w:qFormat/>
    <w:uiPriority w:val="0"/>
    <w:pPr>
      <w:numPr>
        <w:ilvl w:val="0"/>
        <w:numId w:val="2"/>
      </w:numPr>
      <w:spacing w:beforeLines="100" w:afterLines="100"/>
      <w:jc w:val="both"/>
      <w:outlineLvl w:val="1"/>
    </w:pPr>
    <w:rPr>
      <w:rFonts w:ascii="黑体" w:hAnsi="Times New Roman" w:eastAsia="黑体" w:cs="Times New Roman"/>
      <w:sz w:val="21"/>
      <w:lang w:val="en-US" w:eastAsia="zh-CN" w:bidi="ar-SA"/>
    </w:rPr>
  </w:style>
  <w:style w:type="paragraph" w:customStyle="1" w:styleId="42">
    <w:name w:val="二级条标题"/>
    <w:basedOn w:val="38"/>
    <w:next w:val="21"/>
    <w:qFormat/>
    <w:uiPriority w:val="0"/>
    <w:pPr>
      <w:numPr>
        <w:ilvl w:val="2"/>
      </w:numPr>
      <w:spacing w:before="50" w:after="50"/>
      <w:outlineLvl w:val="3"/>
    </w:pPr>
  </w:style>
  <w:style w:type="paragraph" w:customStyle="1" w:styleId="43">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44">
    <w:name w:val="列项——（一级）"/>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45">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46">
    <w:name w:val="目次、标准名称标题"/>
    <w:basedOn w:val="1"/>
    <w:next w:val="21"/>
    <w:link w:val="135"/>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47">
    <w:name w:val="三级条标题"/>
    <w:basedOn w:val="42"/>
    <w:next w:val="21"/>
    <w:qFormat/>
    <w:uiPriority w:val="0"/>
    <w:pPr>
      <w:numPr>
        <w:ilvl w:val="3"/>
      </w:numPr>
      <w:outlineLvl w:val="4"/>
    </w:pPr>
  </w:style>
  <w:style w:type="paragraph" w:customStyle="1" w:styleId="48">
    <w:name w:val="示例"/>
    <w:next w:val="49"/>
    <w:qFormat/>
    <w:uiPriority w:val="0"/>
    <w:pPr>
      <w:widowControl w:val="0"/>
      <w:numPr>
        <w:ilvl w:val="0"/>
        <w:numId w:val="4"/>
      </w:numPr>
      <w:jc w:val="both"/>
    </w:pPr>
    <w:rPr>
      <w:rFonts w:ascii="宋体" w:hAnsi="Times New Roman" w:eastAsia="宋体" w:cs="Times New Roman"/>
      <w:sz w:val="18"/>
      <w:szCs w:val="18"/>
      <w:lang w:val="en-US" w:eastAsia="zh-CN" w:bidi="ar-SA"/>
    </w:rPr>
  </w:style>
  <w:style w:type="paragraph" w:customStyle="1" w:styleId="49">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50">
    <w:name w:val="数字编号列项（二级）"/>
    <w:qFormat/>
    <w:uiPriority w:val="0"/>
    <w:pPr>
      <w:numPr>
        <w:ilvl w:val="1"/>
        <w:numId w:val="5"/>
      </w:numPr>
      <w:jc w:val="both"/>
    </w:pPr>
    <w:rPr>
      <w:rFonts w:ascii="宋体" w:hAnsi="Times New Roman" w:eastAsia="宋体" w:cs="Times New Roman"/>
      <w:sz w:val="21"/>
      <w:lang w:val="en-US" w:eastAsia="zh-CN" w:bidi="ar-SA"/>
    </w:rPr>
  </w:style>
  <w:style w:type="paragraph" w:customStyle="1" w:styleId="51">
    <w:name w:val="四级条标题"/>
    <w:basedOn w:val="47"/>
    <w:next w:val="21"/>
    <w:qFormat/>
    <w:uiPriority w:val="0"/>
    <w:pPr>
      <w:numPr>
        <w:ilvl w:val="4"/>
      </w:numPr>
      <w:outlineLvl w:val="5"/>
    </w:pPr>
  </w:style>
  <w:style w:type="paragraph" w:customStyle="1" w:styleId="52">
    <w:name w:val="五级条标题"/>
    <w:basedOn w:val="51"/>
    <w:next w:val="21"/>
    <w:qFormat/>
    <w:uiPriority w:val="0"/>
    <w:pPr>
      <w:numPr>
        <w:ilvl w:val="5"/>
      </w:numPr>
      <w:outlineLvl w:val="6"/>
    </w:pPr>
  </w:style>
  <w:style w:type="paragraph" w:customStyle="1" w:styleId="53">
    <w:name w:val="注："/>
    <w:next w:val="21"/>
    <w:qFormat/>
    <w:uiPriority w:val="0"/>
    <w:pPr>
      <w:widowControl w:val="0"/>
      <w:numPr>
        <w:ilvl w:val="0"/>
        <w:numId w:val="6"/>
      </w:numPr>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54">
    <w:name w:val="注×："/>
    <w:qFormat/>
    <w:uiPriority w:val="0"/>
    <w:pPr>
      <w:widowControl w:val="0"/>
      <w:numPr>
        <w:ilvl w:val="0"/>
        <w:numId w:val="7"/>
      </w:numPr>
      <w:autoSpaceDE w:val="0"/>
      <w:autoSpaceDN w:val="0"/>
      <w:ind w:left="811" w:hanging="448"/>
      <w:jc w:val="both"/>
    </w:pPr>
    <w:rPr>
      <w:rFonts w:ascii="宋体" w:hAnsi="Times New Roman" w:eastAsia="宋体" w:cs="Times New Roman"/>
      <w:sz w:val="18"/>
      <w:szCs w:val="18"/>
      <w:lang w:val="en-US" w:eastAsia="zh-CN" w:bidi="ar-SA"/>
    </w:rPr>
  </w:style>
  <w:style w:type="paragraph" w:customStyle="1" w:styleId="55">
    <w:name w:val="字母编号列项（一级）"/>
    <w:qFormat/>
    <w:uiPriority w:val="0"/>
    <w:pPr>
      <w:numPr>
        <w:ilvl w:val="0"/>
        <w:numId w:val="5"/>
      </w:numPr>
      <w:jc w:val="both"/>
    </w:pPr>
    <w:rPr>
      <w:rFonts w:ascii="宋体" w:hAnsi="Times New Roman" w:eastAsia="宋体" w:cs="Times New Roman"/>
      <w:sz w:val="21"/>
      <w:lang w:val="en-US" w:eastAsia="zh-CN" w:bidi="ar-SA"/>
    </w:rPr>
  </w:style>
  <w:style w:type="paragraph" w:customStyle="1" w:styleId="56">
    <w:name w:val="列项◆（三级）"/>
    <w:basedOn w:val="1"/>
    <w:qFormat/>
    <w:uiPriority w:val="0"/>
    <w:pPr>
      <w:numPr>
        <w:ilvl w:val="2"/>
        <w:numId w:val="3"/>
      </w:numPr>
    </w:pPr>
    <w:rPr>
      <w:rFonts w:ascii="宋体"/>
      <w:szCs w:val="21"/>
    </w:rPr>
  </w:style>
  <w:style w:type="paragraph" w:customStyle="1" w:styleId="57">
    <w:name w:val="编号列项（三级）"/>
    <w:qFormat/>
    <w:uiPriority w:val="0"/>
    <w:pPr>
      <w:numPr>
        <w:ilvl w:val="2"/>
        <w:numId w:val="5"/>
      </w:numPr>
    </w:pPr>
    <w:rPr>
      <w:rFonts w:ascii="宋体" w:hAnsi="Times New Roman" w:eastAsia="宋体" w:cs="Times New Roman"/>
      <w:sz w:val="21"/>
      <w:lang w:val="en-US" w:eastAsia="zh-CN" w:bidi="ar-SA"/>
    </w:rPr>
  </w:style>
  <w:style w:type="paragraph" w:customStyle="1" w:styleId="58">
    <w:name w:val="示例×："/>
    <w:basedOn w:val="41"/>
    <w:qFormat/>
    <w:uiPriority w:val="0"/>
    <w:pPr>
      <w:numPr>
        <w:numId w:val="8"/>
      </w:numPr>
      <w:spacing w:beforeLines="0" w:afterLines="0"/>
      <w:outlineLvl w:val="9"/>
    </w:pPr>
    <w:rPr>
      <w:rFonts w:ascii="宋体" w:eastAsia="宋体"/>
      <w:sz w:val="18"/>
      <w:szCs w:val="18"/>
    </w:rPr>
  </w:style>
  <w:style w:type="paragraph" w:customStyle="1" w:styleId="59">
    <w:name w:val="二级无"/>
    <w:basedOn w:val="42"/>
    <w:qFormat/>
    <w:uiPriority w:val="0"/>
    <w:pPr>
      <w:spacing w:beforeLines="0" w:afterLines="0"/>
    </w:pPr>
    <w:rPr>
      <w:rFonts w:ascii="宋体" w:eastAsia="宋体"/>
    </w:rPr>
  </w:style>
  <w:style w:type="paragraph" w:customStyle="1" w:styleId="60">
    <w:name w:val="注：（正文）"/>
    <w:basedOn w:val="53"/>
    <w:next w:val="21"/>
    <w:qFormat/>
    <w:uiPriority w:val="0"/>
    <w:pPr>
      <w:numPr>
        <w:numId w:val="9"/>
      </w:numPr>
      <w:ind w:left="726" w:hanging="363"/>
    </w:pPr>
  </w:style>
  <w:style w:type="paragraph" w:customStyle="1" w:styleId="61">
    <w:name w:val="注×：（正文）"/>
    <w:qFormat/>
    <w:uiPriority w:val="0"/>
    <w:pPr>
      <w:numPr>
        <w:ilvl w:val="0"/>
        <w:numId w:val="10"/>
      </w:numPr>
      <w:ind w:left="811" w:hanging="448"/>
      <w:jc w:val="both"/>
    </w:pPr>
    <w:rPr>
      <w:rFonts w:ascii="宋体" w:hAnsi="Times New Roman" w:eastAsia="宋体" w:cs="Times New Roman"/>
      <w:sz w:val="18"/>
      <w:szCs w:val="18"/>
      <w:lang w:val="en-US" w:eastAsia="zh-CN" w:bidi="ar-SA"/>
    </w:rPr>
  </w:style>
  <w:style w:type="paragraph" w:customStyle="1" w:styleId="62">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63">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64">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65">
    <w:name w:val="标准书眉_偶数页"/>
    <w:basedOn w:val="40"/>
    <w:next w:val="1"/>
    <w:qFormat/>
    <w:uiPriority w:val="0"/>
    <w:pPr>
      <w:jc w:val="left"/>
    </w:pPr>
  </w:style>
  <w:style w:type="paragraph" w:customStyle="1" w:styleId="66">
    <w:name w:val="标准书眉一"/>
    <w:qFormat/>
    <w:uiPriority w:val="0"/>
    <w:pPr>
      <w:jc w:val="both"/>
    </w:pPr>
    <w:rPr>
      <w:rFonts w:ascii="Times New Roman" w:hAnsi="Times New Roman" w:eastAsia="宋体" w:cs="Times New Roman"/>
      <w:lang w:val="en-US" w:eastAsia="zh-CN" w:bidi="ar-SA"/>
    </w:rPr>
  </w:style>
  <w:style w:type="paragraph" w:customStyle="1" w:styleId="67">
    <w:name w:val="参考文献"/>
    <w:basedOn w:val="1"/>
    <w:next w:val="21"/>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68">
    <w:name w:val="参考文献、索引标题"/>
    <w:basedOn w:val="1"/>
    <w:next w:val="21"/>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69">
    <w:name w:val="发布"/>
    <w:qFormat/>
    <w:uiPriority w:val="0"/>
    <w:rPr>
      <w:rFonts w:ascii="黑体" w:eastAsia="黑体"/>
      <w:spacing w:val="85"/>
      <w:w w:val="100"/>
      <w:position w:val="3"/>
      <w:sz w:val="28"/>
      <w:szCs w:val="28"/>
    </w:rPr>
  </w:style>
  <w:style w:type="paragraph" w:customStyle="1" w:styleId="70">
    <w:name w:val="发布部门"/>
    <w:next w:val="21"/>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71">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72">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73">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74">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75">
    <w:name w:val="封面标准英文名称"/>
    <w:basedOn w:val="74"/>
    <w:qFormat/>
    <w:uiPriority w:val="0"/>
    <w:pPr>
      <w:spacing w:before="370" w:line="400" w:lineRule="exact"/>
    </w:pPr>
    <w:rPr>
      <w:rFonts w:ascii="Times New Roman"/>
      <w:sz w:val="28"/>
      <w:szCs w:val="28"/>
    </w:rPr>
  </w:style>
  <w:style w:type="paragraph" w:customStyle="1" w:styleId="76">
    <w:name w:val="封面一致性程度标识"/>
    <w:basedOn w:val="75"/>
    <w:qFormat/>
    <w:uiPriority w:val="0"/>
    <w:pPr>
      <w:spacing w:before="440"/>
    </w:pPr>
    <w:rPr>
      <w:rFonts w:ascii="宋体" w:eastAsia="宋体"/>
    </w:rPr>
  </w:style>
  <w:style w:type="paragraph" w:customStyle="1" w:styleId="77">
    <w:name w:val="封面标准文稿类别"/>
    <w:basedOn w:val="76"/>
    <w:qFormat/>
    <w:uiPriority w:val="0"/>
    <w:pPr>
      <w:spacing w:after="160" w:line="240" w:lineRule="auto"/>
    </w:pPr>
    <w:rPr>
      <w:sz w:val="24"/>
    </w:rPr>
  </w:style>
  <w:style w:type="paragraph" w:customStyle="1" w:styleId="78">
    <w:name w:val="封面标准文稿编辑信息"/>
    <w:basedOn w:val="77"/>
    <w:qFormat/>
    <w:uiPriority w:val="0"/>
    <w:pPr>
      <w:spacing w:before="180" w:line="180" w:lineRule="exact"/>
    </w:pPr>
    <w:rPr>
      <w:sz w:val="21"/>
    </w:rPr>
  </w:style>
  <w:style w:type="paragraph" w:customStyle="1" w:styleId="79">
    <w:name w:val="封面正文"/>
    <w:qFormat/>
    <w:uiPriority w:val="0"/>
    <w:pPr>
      <w:jc w:val="both"/>
    </w:pPr>
    <w:rPr>
      <w:rFonts w:ascii="Times New Roman" w:hAnsi="Times New Roman" w:eastAsia="宋体" w:cs="Times New Roman"/>
      <w:lang w:val="en-US" w:eastAsia="zh-CN" w:bidi="ar-SA"/>
    </w:rPr>
  </w:style>
  <w:style w:type="paragraph" w:customStyle="1" w:styleId="80">
    <w:name w:val="附录标识"/>
    <w:basedOn w:val="1"/>
    <w:next w:val="21"/>
    <w:qFormat/>
    <w:uiPriority w:val="0"/>
    <w:pPr>
      <w:keepNext/>
      <w:widowControl/>
      <w:numPr>
        <w:ilvl w:val="0"/>
        <w:numId w:val="11"/>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81">
    <w:name w:val="附录标题"/>
    <w:basedOn w:val="21"/>
    <w:next w:val="21"/>
    <w:qFormat/>
    <w:uiPriority w:val="0"/>
    <w:pPr>
      <w:ind w:firstLine="0" w:firstLineChars="0"/>
      <w:jc w:val="center"/>
    </w:pPr>
    <w:rPr>
      <w:rFonts w:ascii="黑体" w:eastAsia="黑体"/>
    </w:rPr>
  </w:style>
  <w:style w:type="paragraph" w:customStyle="1" w:styleId="82">
    <w:name w:val="附录表标号"/>
    <w:basedOn w:val="1"/>
    <w:next w:val="21"/>
    <w:qFormat/>
    <w:uiPriority w:val="0"/>
    <w:pPr>
      <w:numPr>
        <w:ilvl w:val="0"/>
        <w:numId w:val="12"/>
      </w:numPr>
      <w:tabs>
        <w:tab w:val="clear" w:pos="0"/>
      </w:tabs>
      <w:spacing w:line="14" w:lineRule="exact"/>
      <w:ind w:left="811" w:hanging="448"/>
      <w:jc w:val="center"/>
      <w:outlineLvl w:val="0"/>
    </w:pPr>
    <w:rPr>
      <w:color w:val="FFFFFF"/>
    </w:rPr>
  </w:style>
  <w:style w:type="paragraph" w:customStyle="1" w:styleId="83">
    <w:name w:val="附录表标题"/>
    <w:basedOn w:val="1"/>
    <w:next w:val="21"/>
    <w:qFormat/>
    <w:uiPriority w:val="0"/>
    <w:pPr>
      <w:numPr>
        <w:ilvl w:val="1"/>
        <w:numId w:val="12"/>
      </w:numPr>
      <w:tabs>
        <w:tab w:val="left" w:pos="180"/>
      </w:tabs>
      <w:spacing w:beforeLines="50" w:afterLines="50"/>
      <w:ind w:left="0" w:firstLine="0"/>
      <w:jc w:val="center"/>
    </w:pPr>
    <w:rPr>
      <w:rFonts w:ascii="黑体" w:eastAsia="黑体"/>
      <w:szCs w:val="21"/>
    </w:rPr>
  </w:style>
  <w:style w:type="paragraph" w:customStyle="1" w:styleId="84">
    <w:name w:val="附录二级条标题"/>
    <w:basedOn w:val="1"/>
    <w:next w:val="21"/>
    <w:qFormat/>
    <w:uiPriority w:val="0"/>
    <w:pPr>
      <w:widowControl/>
      <w:numPr>
        <w:ilvl w:val="3"/>
        <w:numId w:val="11"/>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85">
    <w:name w:val="附录二级无"/>
    <w:basedOn w:val="84"/>
    <w:qFormat/>
    <w:uiPriority w:val="0"/>
    <w:pPr>
      <w:tabs>
        <w:tab w:val="clear" w:pos="360"/>
      </w:tabs>
      <w:spacing w:beforeLines="0" w:afterLines="0"/>
    </w:pPr>
    <w:rPr>
      <w:rFonts w:ascii="宋体" w:eastAsia="宋体"/>
      <w:szCs w:val="21"/>
    </w:rPr>
  </w:style>
  <w:style w:type="paragraph" w:customStyle="1" w:styleId="86">
    <w:name w:val="附录公式"/>
    <w:basedOn w:val="21"/>
    <w:next w:val="21"/>
    <w:link w:val="87"/>
    <w:qFormat/>
    <w:uiPriority w:val="0"/>
  </w:style>
  <w:style w:type="character" w:customStyle="1" w:styleId="87">
    <w:name w:val="附录公式 Char"/>
    <w:basedOn w:val="37"/>
    <w:link w:val="86"/>
    <w:qFormat/>
    <w:uiPriority w:val="0"/>
    <w:rPr>
      <w:rFonts w:ascii="宋体"/>
      <w:sz w:val="21"/>
      <w:lang w:val="en-US" w:eastAsia="zh-CN" w:bidi="ar-SA"/>
    </w:rPr>
  </w:style>
  <w:style w:type="paragraph" w:customStyle="1" w:styleId="88">
    <w:name w:val="附录公式编号制表符"/>
    <w:basedOn w:val="1"/>
    <w:next w:val="21"/>
    <w:qFormat/>
    <w:uiPriority w:val="0"/>
    <w:pPr>
      <w:widowControl/>
      <w:tabs>
        <w:tab w:val="center" w:pos="4201"/>
        <w:tab w:val="right" w:leader="dot" w:pos="9298"/>
      </w:tabs>
      <w:autoSpaceDE w:val="0"/>
      <w:autoSpaceDN w:val="0"/>
    </w:pPr>
    <w:rPr>
      <w:rFonts w:ascii="宋体"/>
      <w:kern w:val="0"/>
      <w:szCs w:val="20"/>
    </w:rPr>
  </w:style>
  <w:style w:type="paragraph" w:customStyle="1" w:styleId="89">
    <w:name w:val="附录三级条标题"/>
    <w:basedOn w:val="84"/>
    <w:next w:val="21"/>
    <w:qFormat/>
    <w:uiPriority w:val="0"/>
    <w:pPr>
      <w:numPr>
        <w:ilvl w:val="4"/>
      </w:numPr>
      <w:outlineLvl w:val="4"/>
    </w:pPr>
  </w:style>
  <w:style w:type="paragraph" w:customStyle="1" w:styleId="90">
    <w:name w:val="附录三级无"/>
    <w:basedOn w:val="89"/>
    <w:qFormat/>
    <w:uiPriority w:val="0"/>
    <w:pPr>
      <w:tabs>
        <w:tab w:val="clear" w:pos="360"/>
      </w:tabs>
      <w:spacing w:beforeLines="0" w:afterLines="0"/>
    </w:pPr>
    <w:rPr>
      <w:rFonts w:ascii="宋体" w:eastAsia="宋体"/>
      <w:szCs w:val="21"/>
    </w:rPr>
  </w:style>
  <w:style w:type="paragraph" w:customStyle="1" w:styleId="91">
    <w:name w:val="附录数字编号列项（二级）"/>
    <w:qFormat/>
    <w:uiPriority w:val="0"/>
    <w:pPr>
      <w:numPr>
        <w:ilvl w:val="1"/>
        <w:numId w:val="13"/>
      </w:numPr>
    </w:pPr>
    <w:rPr>
      <w:rFonts w:ascii="宋体" w:hAnsi="Times New Roman" w:eastAsia="宋体" w:cs="Times New Roman"/>
      <w:sz w:val="21"/>
      <w:lang w:val="en-US" w:eastAsia="zh-CN" w:bidi="ar-SA"/>
    </w:rPr>
  </w:style>
  <w:style w:type="paragraph" w:customStyle="1" w:styleId="92">
    <w:name w:val="附录四级条标题"/>
    <w:basedOn w:val="89"/>
    <w:next w:val="21"/>
    <w:qFormat/>
    <w:uiPriority w:val="0"/>
    <w:pPr>
      <w:numPr>
        <w:ilvl w:val="5"/>
      </w:numPr>
      <w:outlineLvl w:val="5"/>
    </w:pPr>
  </w:style>
  <w:style w:type="paragraph" w:customStyle="1" w:styleId="93">
    <w:name w:val="附录四级无"/>
    <w:basedOn w:val="92"/>
    <w:qFormat/>
    <w:uiPriority w:val="0"/>
    <w:pPr>
      <w:tabs>
        <w:tab w:val="clear" w:pos="360"/>
      </w:tabs>
      <w:spacing w:beforeLines="0" w:afterLines="0"/>
    </w:pPr>
    <w:rPr>
      <w:rFonts w:ascii="宋体" w:eastAsia="宋体"/>
      <w:szCs w:val="21"/>
    </w:rPr>
  </w:style>
  <w:style w:type="paragraph" w:customStyle="1" w:styleId="94">
    <w:name w:val="附录图标号"/>
    <w:basedOn w:val="1"/>
    <w:qFormat/>
    <w:uiPriority w:val="0"/>
    <w:pPr>
      <w:keepNext/>
      <w:pageBreakBefore/>
      <w:widowControl/>
      <w:numPr>
        <w:ilvl w:val="0"/>
        <w:numId w:val="14"/>
      </w:numPr>
      <w:spacing w:line="14" w:lineRule="exact"/>
      <w:ind w:left="0" w:firstLine="363"/>
      <w:jc w:val="center"/>
      <w:outlineLvl w:val="0"/>
    </w:pPr>
    <w:rPr>
      <w:color w:val="FFFFFF"/>
    </w:rPr>
  </w:style>
  <w:style w:type="paragraph" w:customStyle="1" w:styleId="95">
    <w:name w:val="附录图标题"/>
    <w:basedOn w:val="1"/>
    <w:next w:val="21"/>
    <w:qFormat/>
    <w:uiPriority w:val="0"/>
    <w:pPr>
      <w:numPr>
        <w:ilvl w:val="1"/>
        <w:numId w:val="14"/>
      </w:numPr>
      <w:tabs>
        <w:tab w:val="left" w:pos="363"/>
      </w:tabs>
      <w:spacing w:beforeLines="50" w:afterLines="50"/>
      <w:ind w:left="0" w:firstLine="0"/>
      <w:jc w:val="center"/>
    </w:pPr>
    <w:rPr>
      <w:rFonts w:ascii="黑体" w:eastAsia="黑体"/>
      <w:szCs w:val="21"/>
    </w:rPr>
  </w:style>
  <w:style w:type="paragraph" w:customStyle="1" w:styleId="96">
    <w:name w:val="附录五级条标题"/>
    <w:basedOn w:val="92"/>
    <w:next w:val="21"/>
    <w:qFormat/>
    <w:uiPriority w:val="0"/>
    <w:pPr>
      <w:numPr>
        <w:ilvl w:val="6"/>
      </w:numPr>
      <w:outlineLvl w:val="6"/>
    </w:pPr>
  </w:style>
  <w:style w:type="paragraph" w:customStyle="1" w:styleId="97">
    <w:name w:val="附录五级无"/>
    <w:basedOn w:val="96"/>
    <w:qFormat/>
    <w:uiPriority w:val="0"/>
    <w:pPr>
      <w:tabs>
        <w:tab w:val="clear" w:pos="360"/>
      </w:tabs>
      <w:spacing w:beforeLines="0" w:afterLines="0"/>
    </w:pPr>
    <w:rPr>
      <w:rFonts w:ascii="宋体" w:eastAsia="宋体"/>
      <w:szCs w:val="21"/>
    </w:rPr>
  </w:style>
  <w:style w:type="paragraph" w:customStyle="1" w:styleId="98">
    <w:name w:val="附录章标题"/>
    <w:next w:val="21"/>
    <w:qFormat/>
    <w:uiPriority w:val="0"/>
    <w:pPr>
      <w:numPr>
        <w:ilvl w:val="1"/>
        <w:numId w:val="11"/>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99">
    <w:name w:val="附录一级条标题"/>
    <w:basedOn w:val="98"/>
    <w:next w:val="21"/>
    <w:qFormat/>
    <w:uiPriority w:val="0"/>
    <w:pPr>
      <w:numPr>
        <w:ilvl w:val="2"/>
      </w:numPr>
      <w:autoSpaceDN w:val="0"/>
      <w:spacing w:beforeLines="50" w:afterLines="50"/>
      <w:outlineLvl w:val="2"/>
    </w:pPr>
  </w:style>
  <w:style w:type="paragraph" w:customStyle="1" w:styleId="100">
    <w:name w:val="附录一级无"/>
    <w:basedOn w:val="99"/>
    <w:qFormat/>
    <w:uiPriority w:val="0"/>
    <w:pPr>
      <w:tabs>
        <w:tab w:val="clear" w:pos="360"/>
      </w:tabs>
      <w:spacing w:beforeLines="0" w:afterLines="0"/>
    </w:pPr>
    <w:rPr>
      <w:rFonts w:ascii="宋体" w:eastAsia="宋体"/>
      <w:szCs w:val="21"/>
    </w:rPr>
  </w:style>
  <w:style w:type="paragraph" w:customStyle="1" w:styleId="101">
    <w:name w:val="附录字母编号列项（一级）"/>
    <w:qFormat/>
    <w:uiPriority w:val="0"/>
    <w:pPr>
      <w:numPr>
        <w:ilvl w:val="0"/>
        <w:numId w:val="13"/>
      </w:numPr>
    </w:pPr>
    <w:rPr>
      <w:rFonts w:ascii="宋体" w:hAnsi="Times New Roman" w:eastAsia="宋体" w:cs="Times New Roman"/>
      <w:sz w:val="21"/>
      <w:lang w:val="en-US" w:eastAsia="zh-CN" w:bidi="ar-SA"/>
    </w:rPr>
  </w:style>
  <w:style w:type="paragraph" w:customStyle="1" w:styleId="102">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03">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0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05">
    <w:name w:val="其他标准标志"/>
    <w:basedOn w:val="62"/>
    <w:qFormat/>
    <w:uiPriority w:val="0"/>
    <w:pPr>
      <w:framePr w:w="6101" w:vAnchor="page" w:hAnchor="page" w:x="4673" w:y="942"/>
    </w:pPr>
    <w:rPr>
      <w:w w:val="130"/>
    </w:rPr>
  </w:style>
  <w:style w:type="paragraph" w:customStyle="1" w:styleId="106">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07">
    <w:name w:val="其他发布部门"/>
    <w:basedOn w:val="70"/>
    <w:qFormat/>
    <w:uiPriority w:val="0"/>
    <w:pPr>
      <w:framePr w:y="15310"/>
      <w:spacing w:line="0" w:lineRule="atLeast"/>
    </w:pPr>
    <w:rPr>
      <w:rFonts w:ascii="黑体" w:eastAsia="黑体"/>
      <w:b w:val="0"/>
    </w:rPr>
  </w:style>
  <w:style w:type="paragraph" w:customStyle="1" w:styleId="108">
    <w:name w:val="前言、引言标题"/>
    <w:next w:val="21"/>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09">
    <w:name w:val="三级无"/>
    <w:basedOn w:val="47"/>
    <w:qFormat/>
    <w:uiPriority w:val="0"/>
    <w:pPr>
      <w:spacing w:beforeLines="0" w:afterLines="0"/>
    </w:pPr>
    <w:rPr>
      <w:rFonts w:ascii="宋体" w:eastAsia="宋体"/>
    </w:rPr>
  </w:style>
  <w:style w:type="paragraph" w:customStyle="1" w:styleId="110">
    <w:name w:val="实施日期"/>
    <w:qFormat/>
    <w:uiPriority w:val="0"/>
    <w:pPr>
      <w:framePr w:w="3997" w:h="471" w:hRule="exact" w:vSpace="181" w:wrap="around" w:vAnchor="page" w:hAnchor="page" w:x="7089" w:y="14097"/>
      <w:jc w:val="right"/>
    </w:pPr>
    <w:rPr>
      <w:rFonts w:ascii="Times New Roman" w:hAnsi="Times New Roman" w:eastAsia="黑体" w:cs="Times New Roman"/>
      <w:sz w:val="28"/>
      <w:lang w:val="en-US" w:eastAsia="zh-CN" w:bidi="ar-SA"/>
    </w:rPr>
  </w:style>
  <w:style w:type="paragraph" w:customStyle="1" w:styleId="111">
    <w:name w:val="示例后文字"/>
    <w:basedOn w:val="21"/>
    <w:next w:val="21"/>
    <w:qFormat/>
    <w:uiPriority w:val="0"/>
    <w:pPr>
      <w:ind w:firstLine="360"/>
    </w:pPr>
    <w:rPr>
      <w:sz w:val="18"/>
    </w:rPr>
  </w:style>
  <w:style w:type="paragraph" w:customStyle="1" w:styleId="112">
    <w:name w:val="首示例"/>
    <w:next w:val="21"/>
    <w:link w:val="113"/>
    <w:qFormat/>
    <w:uiPriority w:val="0"/>
    <w:pPr>
      <w:tabs>
        <w:tab w:val="left" w:pos="360"/>
      </w:tabs>
    </w:pPr>
    <w:rPr>
      <w:rFonts w:ascii="宋体" w:hAnsi="宋体" w:eastAsia="宋体" w:cs="Times New Roman"/>
      <w:kern w:val="2"/>
      <w:sz w:val="18"/>
      <w:szCs w:val="18"/>
      <w:lang w:val="en-US" w:eastAsia="zh-CN" w:bidi="ar-SA"/>
    </w:rPr>
  </w:style>
  <w:style w:type="character" w:customStyle="1" w:styleId="113">
    <w:name w:val="首示例 Char"/>
    <w:link w:val="112"/>
    <w:qFormat/>
    <w:uiPriority w:val="0"/>
    <w:rPr>
      <w:rFonts w:ascii="宋体" w:hAnsi="宋体"/>
      <w:kern w:val="2"/>
      <w:sz w:val="18"/>
      <w:szCs w:val="18"/>
    </w:rPr>
  </w:style>
  <w:style w:type="paragraph" w:customStyle="1" w:styleId="114">
    <w:name w:val="四级无"/>
    <w:basedOn w:val="51"/>
    <w:qFormat/>
    <w:uiPriority w:val="0"/>
    <w:pPr>
      <w:spacing w:beforeLines="0" w:afterLines="0"/>
    </w:pPr>
    <w:rPr>
      <w:rFonts w:ascii="宋体" w:eastAsia="宋体"/>
    </w:rPr>
  </w:style>
  <w:style w:type="paragraph" w:customStyle="1" w:styleId="115">
    <w:name w:val="条文脚注"/>
    <w:basedOn w:val="22"/>
    <w:qFormat/>
    <w:uiPriority w:val="0"/>
    <w:pPr>
      <w:numPr>
        <w:numId w:val="0"/>
      </w:numPr>
      <w:jc w:val="both"/>
    </w:pPr>
  </w:style>
  <w:style w:type="paragraph" w:customStyle="1" w:styleId="116">
    <w:name w:val="图标脚注说明"/>
    <w:basedOn w:val="21"/>
    <w:qFormat/>
    <w:uiPriority w:val="0"/>
    <w:pPr>
      <w:ind w:left="840" w:hanging="420" w:firstLineChars="0"/>
    </w:pPr>
    <w:rPr>
      <w:sz w:val="18"/>
      <w:szCs w:val="18"/>
    </w:rPr>
  </w:style>
  <w:style w:type="paragraph" w:customStyle="1" w:styleId="117">
    <w:name w:val="图表脚注说明"/>
    <w:basedOn w:val="1"/>
    <w:qFormat/>
    <w:uiPriority w:val="0"/>
    <w:pPr>
      <w:numPr>
        <w:ilvl w:val="0"/>
        <w:numId w:val="15"/>
      </w:numPr>
    </w:pPr>
    <w:rPr>
      <w:rFonts w:ascii="宋体"/>
      <w:sz w:val="18"/>
      <w:szCs w:val="18"/>
    </w:rPr>
  </w:style>
  <w:style w:type="paragraph" w:customStyle="1" w:styleId="118">
    <w:name w:val="图的脚注"/>
    <w:next w:val="21"/>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19">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20">
    <w:name w:val="五级无"/>
    <w:basedOn w:val="52"/>
    <w:qFormat/>
    <w:uiPriority w:val="0"/>
    <w:pPr>
      <w:spacing w:beforeLines="0" w:afterLines="0"/>
    </w:pPr>
    <w:rPr>
      <w:rFonts w:ascii="宋体" w:eastAsia="宋体"/>
    </w:rPr>
  </w:style>
  <w:style w:type="paragraph" w:customStyle="1" w:styleId="121">
    <w:name w:val="一级无"/>
    <w:basedOn w:val="38"/>
    <w:qFormat/>
    <w:uiPriority w:val="0"/>
    <w:pPr>
      <w:spacing w:beforeLines="0" w:afterLines="0"/>
    </w:pPr>
    <w:rPr>
      <w:rFonts w:ascii="宋体" w:eastAsia="宋体"/>
    </w:rPr>
  </w:style>
  <w:style w:type="paragraph" w:customStyle="1" w:styleId="122">
    <w:name w:val="正文表标题"/>
    <w:next w:val="21"/>
    <w:qFormat/>
    <w:uiPriority w:val="0"/>
    <w:pPr>
      <w:numPr>
        <w:ilvl w:val="0"/>
        <w:numId w:val="16"/>
      </w:numPr>
      <w:spacing w:beforeLines="50" w:afterLines="50"/>
      <w:jc w:val="center"/>
    </w:pPr>
    <w:rPr>
      <w:rFonts w:ascii="黑体" w:hAnsi="Times New Roman" w:eastAsia="黑体" w:cs="Times New Roman"/>
      <w:sz w:val="21"/>
      <w:lang w:val="en-US" w:eastAsia="zh-CN" w:bidi="ar-SA"/>
    </w:rPr>
  </w:style>
  <w:style w:type="paragraph" w:customStyle="1" w:styleId="123">
    <w:name w:val="正文公式编号制表符"/>
    <w:basedOn w:val="21"/>
    <w:next w:val="21"/>
    <w:qFormat/>
    <w:uiPriority w:val="0"/>
    <w:pPr>
      <w:ind w:firstLine="0" w:firstLineChars="0"/>
    </w:pPr>
  </w:style>
  <w:style w:type="paragraph" w:customStyle="1" w:styleId="124">
    <w:name w:val="正文图标题"/>
    <w:next w:val="21"/>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25">
    <w:name w:val="终结线"/>
    <w:basedOn w:val="1"/>
    <w:qFormat/>
    <w:uiPriority w:val="0"/>
    <w:pPr>
      <w:framePr w:hSpace="181" w:vSpace="181" w:wrap="around" w:vAnchor="text" w:hAnchor="margin" w:xAlign="center" w:y="285"/>
    </w:pPr>
  </w:style>
  <w:style w:type="paragraph" w:customStyle="1" w:styleId="126">
    <w:name w:val="其他发布日期"/>
    <w:qFormat/>
    <w:uiPriority w:val="0"/>
    <w:pPr>
      <w:framePr w:w="3997" w:h="471" w:hRule="exact" w:vSpace="181" w:wrap="around" w:vAnchor="page" w:hAnchor="page" w:x="1419" w:y="14097" w:anchorLock="1"/>
    </w:pPr>
    <w:rPr>
      <w:rFonts w:ascii="Times New Roman" w:hAnsi="Times New Roman" w:eastAsia="黑体" w:cs="Times New Roman"/>
      <w:sz w:val="28"/>
      <w:lang w:val="en-US" w:eastAsia="zh-CN" w:bidi="ar-SA"/>
    </w:rPr>
  </w:style>
  <w:style w:type="paragraph" w:customStyle="1" w:styleId="127">
    <w:name w:val="其他实施日期"/>
    <w:basedOn w:val="110"/>
    <w:qFormat/>
    <w:uiPriority w:val="0"/>
  </w:style>
  <w:style w:type="paragraph" w:customStyle="1" w:styleId="128">
    <w:name w:val="封面标准名称2"/>
    <w:basedOn w:val="74"/>
    <w:qFormat/>
    <w:uiPriority w:val="0"/>
    <w:pPr>
      <w:framePr w:y="4469"/>
      <w:spacing w:beforeLines="630"/>
    </w:pPr>
  </w:style>
  <w:style w:type="paragraph" w:customStyle="1" w:styleId="129">
    <w:name w:val="封面标准英文名称2"/>
    <w:basedOn w:val="75"/>
    <w:qFormat/>
    <w:uiPriority w:val="0"/>
    <w:pPr>
      <w:framePr w:y="4469"/>
    </w:pPr>
  </w:style>
  <w:style w:type="paragraph" w:customStyle="1" w:styleId="130">
    <w:name w:val="封面一致性程度标识2"/>
    <w:basedOn w:val="76"/>
    <w:qFormat/>
    <w:uiPriority w:val="0"/>
    <w:pPr>
      <w:framePr w:y="4469"/>
    </w:pPr>
  </w:style>
  <w:style w:type="paragraph" w:customStyle="1" w:styleId="131">
    <w:name w:val="封面标准文稿类别2"/>
    <w:basedOn w:val="77"/>
    <w:qFormat/>
    <w:uiPriority w:val="0"/>
    <w:pPr>
      <w:framePr w:y="4469"/>
    </w:pPr>
  </w:style>
  <w:style w:type="paragraph" w:customStyle="1" w:styleId="132">
    <w:name w:val="封面标准文稿编辑信息2"/>
    <w:basedOn w:val="78"/>
    <w:qFormat/>
    <w:uiPriority w:val="0"/>
    <w:pPr>
      <w:framePr w:y="4469"/>
    </w:pPr>
  </w:style>
  <w:style w:type="paragraph" w:customStyle="1" w:styleId="133">
    <w:name w:val="标准名称"/>
    <w:basedOn w:val="46"/>
    <w:link w:val="136"/>
    <w:qFormat/>
    <w:uiPriority w:val="0"/>
  </w:style>
  <w:style w:type="character" w:styleId="134">
    <w:name w:val="Placeholder Text"/>
    <w:basedOn w:val="31"/>
    <w:semiHidden/>
    <w:qFormat/>
    <w:uiPriority w:val="99"/>
    <w:rPr>
      <w:color w:val="808080"/>
    </w:rPr>
  </w:style>
  <w:style w:type="character" w:customStyle="1" w:styleId="135">
    <w:name w:val="目次、标准名称标题 Char"/>
    <w:basedOn w:val="31"/>
    <w:link w:val="46"/>
    <w:qFormat/>
    <w:uiPriority w:val="0"/>
    <w:rPr>
      <w:rFonts w:ascii="黑体" w:eastAsia="黑体"/>
      <w:sz w:val="32"/>
      <w:shd w:val="clear" w:color="FFFFFF" w:fill="FFFFFF"/>
    </w:rPr>
  </w:style>
  <w:style w:type="character" w:customStyle="1" w:styleId="136">
    <w:name w:val="标准名称 Char"/>
    <w:basedOn w:val="135"/>
    <w:link w:val="133"/>
    <w:qFormat/>
    <w:uiPriority w:val="0"/>
    <w:rPr>
      <w:rFonts w:ascii="黑体" w:eastAsia="黑体"/>
      <w:sz w:val="32"/>
      <w:shd w:val="clear" w:color="FFFFFF" w:fill="FFFFFF"/>
    </w:rPr>
  </w:style>
  <w:style w:type="character" w:customStyle="1" w:styleId="137">
    <w:name w:val="批注框文本 Char"/>
    <w:basedOn w:val="31"/>
    <w:link w:val="14"/>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glossaryDocument" Target="glossary/document.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20010;&#20154;\&#26631;&#20934;&#30456;&#20851;\&#39044;&#21046;&#33756;&#20919;&#38142;&#29289;&#27969;&#26381;&#21153;&#35268;&#33539;\&#25346;&#32593;&#24449;&#27714;&#24847;&#35265;&#26448;&#26009;\&#39044;&#21046;&#33756;&#20919;&#38142;&#29289;&#27969;&#26381;&#21153;&#35268;&#33539;(&#24449;&#27714;&#24847;&#35265;&#31295;&#65289;.dotm"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11"/>
        <w:style w:val=""/>
        <w:category>
          <w:name w:val="常规"/>
          <w:gallery w:val="placeholder"/>
        </w:category>
        <w:types>
          <w:type w:val="bbPlcHdr"/>
        </w:types>
        <w:behaviors>
          <w:behavior w:val="content"/>
        </w:behaviors>
        <w:description w:val=""/>
        <w:guid w:val="{028989F2-0355-49D4-BDA6-4D56B5D374C0}"/>
      </w:docPartPr>
      <w:docPartBody>
        <w:p w14:paraId="06EC4E7A">
          <w:pPr>
            <w:pStyle w:val="7"/>
          </w:pPr>
          <w:r>
            <w:rPr>
              <w:rStyle w:val="4"/>
              <w:rFonts w:hint="eastAsia"/>
            </w:rPr>
            <w:t>标准名称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4F113A"/>
    <w:rsid w:val="0002647A"/>
    <w:rsid w:val="0002653F"/>
    <w:rsid w:val="00080DE3"/>
    <w:rsid w:val="00087E40"/>
    <w:rsid w:val="000C73CF"/>
    <w:rsid w:val="001132F9"/>
    <w:rsid w:val="00114ABC"/>
    <w:rsid w:val="001C16E0"/>
    <w:rsid w:val="002068C7"/>
    <w:rsid w:val="00323E80"/>
    <w:rsid w:val="003372E5"/>
    <w:rsid w:val="003750AF"/>
    <w:rsid w:val="00430F92"/>
    <w:rsid w:val="004F113A"/>
    <w:rsid w:val="004F1EC5"/>
    <w:rsid w:val="00515A81"/>
    <w:rsid w:val="005335DD"/>
    <w:rsid w:val="00595E09"/>
    <w:rsid w:val="00674FBA"/>
    <w:rsid w:val="006D02E4"/>
    <w:rsid w:val="007216E9"/>
    <w:rsid w:val="007C6ACB"/>
    <w:rsid w:val="007E2797"/>
    <w:rsid w:val="00800293"/>
    <w:rsid w:val="00820E7E"/>
    <w:rsid w:val="008E024D"/>
    <w:rsid w:val="008F0268"/>
    <w:rsid w:val="00902EF8"/>
    <w:rsid w:val="00982DAC"/>
    <w:rsid w:val="009B16B1"/>
    <w:rsid w:val="00A94E45"/>
    <w:rsid w:val="00AD6808"/>
    <w:rsid w:val="00B717AC"/>
    <w:rsid w:val="00BC67AA"/>
    <w:rsid w:val="00C875D2"/>
    <w:rsid w:val="00CB0B2B"/>
    <w:rsid w:val="00D4454B"/>
    <w:rsid w:val="00D65DD7"/>
    <w:rsid w:val="00DA4409"/>
    <w:rsid w:val="00E95A08"/>
    <w:rsid w:val="00EA15BD"/>
    <w:rsid w:val="00EA32AC"/>
    <w:rsid w:val="00F93653"/>
    <w:rsid w:val="00FF0B73"/>
    <w:rsid w:val="00FF0EC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cs="Times New Roman" w:asciiTheme="minorHAnsi" w:hAnsiTheme="minorHAnsi" w:eastAsiaTheme="minorEastAsia"/>
      <w:kern w:val="2"/>
      <w:sz w:val="3276"/>
      <w:szCs w:val="3276"/>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111"/>
    <w:qFormat/>
    <w:uiPriority w:val="0"/>
    <w:pPr>
      <w:widowControl w:val="0"/>
      <w:jc w:val="both"/>
    </w:pPr>
    <w:rPr>
      <w:rFonts w:cs="Times New Roman" w:asciiTheme="minorHAnsi" w:hAnsiTheme="minorHAnsi" w:eastAsiaTheme="minorEastAsia"/>
      <w:kern w:val="2"/>
      <w:sz w:val="3276"/>
      <w:szCs w:val="3276"/>
      <w:lang w:val="en-US" w:eastAsia="zh-CN" w:bidi="ar-SA"/>
    </w:rPr>
  </w:style>
  <w:style w:type="paragraph" w:customStyle="1" w:styleId="6">
    <w:name w:val="1111"/>
    <w:qFormat/>
    <w:uiPriority w:val="0"/>
    <w:pPr>
      <w:keepNext/>
      <w:pageBreakBefore/>
      <w:shd w:val="clear" w:color="FFFFFF" w:fill="FFFFFF"/>
      <w:spacing w:before="640" w:after="560" w:line="460" w:lineRule="exact"/>
      <w:jc w:val="center"/>
      <w:outlineLvl w:val="0"/>
    </w:pPr>
    <w:rPr>
      <w:rFonts w:ascii="黑体" w:hAnsi="Times New Roman" w:eastAsia="黑体" w:cs="Times New Roman"/>
      <w:kern w:val="0"/>
      <w:sz w:val="32"/>
      <w:szCs w:val="20"/>
      <w:lang w:val="en-US" w:eastAsia="zh-CN" w:bidi="ar-SA"/>
    </w:rPr>
  </w:style>
  <w:style w:type="paragraph" w:customStyle="1" w:styleId="7">
    <w:name w:val="1112"/>
    <w:qFormat/>
    <w:uiPriority w:val="0"/>
    <w:pPr>
      <w:keepNext/>
      <w:pageBreakBefore/>
      <w:shd w:val="clear" w:color="FFFFFF" w:fill="FFFFFF"/>
      <w:spacing w:before="640" w:after="560" w:line="460" w:lineRule="exact"/>
      <w:jc w:val="center"/>
      <w:outlineLvl w:val="0"/>
    </w:pPr>
    <w:rPr>
      <w:rFonts w:ascii="黑体" w:hAnsi="Times New Roman" w:eastAsia="黑体" w:cs="Times New Roman"/>
      <w:kern w:val="0"/>
      <w:sz w:val="32"/>
      <w:szCs w:val="20"/>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预制菜冷链物流服务规范(征求意见稿）.dotm</Template>
  <Pages>6</Pages>
  <Words>2487</Words>
  <Characters>2730</Characters>
  <Lines>4</Lines>
  <Paragraphs>6</Paragraphs>
  <TotalTime>14</TotalTime>
  <ScaleCrop>false</ScaleCrop>
  <LinksUpToDate>false</LinksUpToDate>
  <CharactersWithSpaces>2789</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2024-11-15T01:56:00Z</dcterms:created>
  <dc:creator>╱Miss_兔oоΟ</dc:creator>
  <cp:lastModifiedBy>╱Miss_兔oоΟ</cp:lastModifiedBy>
  <dcterms:modified xsi:type="dcterms:W3CDTF">2024-11-15T02:40:49Z</dcterms:modified>
  <dc:title>标准名称</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606EA782616A4B559F2FBC2F80A54427_11</vt:lpwstr>
  </property>
</Properties>
</file>