
<file path=[Content_Types].xml><?xml version="1.0" encoding="utf-8"?>
<Types xmlns="http://schemas.openxmlformats.org/package/2006/content-types">
  <Default Extension="xml" ContentType="application/xml"/>
  <Default Extension="png" ContentType="image/pn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93.140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P67</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船闸工程三角闸门施工质量检测与验收技术规范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Regulations for quality inspection and acceptance of triangle gate construction of ship lock project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lang w:val="en-US" w:eastAsia="zh-CN"/>
        </w:rPr>
        <w:t>4</w:t>
      </w:r>
      <w:r>
        <w:rPr>
          <w:sz w:val="21"/>
          <w:szCs w:val="28"/>
        </w:rPr>
        <w:t>.</w:t>
      </w:r>
      <w:r>
        <w:rPr>
          <w:rFonts w:hint="eastAsia"/>
          <w:sz w:val="21"/>
          <w:szCs w:val="28"/>
          <w:lang w:val="en-US" w:eastAsia="zh-CN"/>
        </w:rPr>
        <w:t>10</w:t>
      </w:r>
      <w:r>
        <w:rPr>
          <w:sz w:val="21"/>
          <w:szCs w:val="28"/>
        </w:rPr>
        <w:t>.</w:t>
      </w:r>
      <w:r>
        <w:rPr>
          <w:rFonts w:hint="eastAsia"/>
          <w:sz w:val="21"/>
          <w:szCs w:val="28"/>
          <w:lang w:val="en-US" w:eastAsia="zh-CN"/>
        </w:rPr>
        <w:t>22</w:t>
      </w:r>
      <w:r>
        <w:rPr>
          <w:rFonts w:hint="eastAsia"/>
          <w:sz w:val="21"/>
          <w:szCs w:val="28"/>
        </w:rPr>
        <w:t>）</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07410723"/>
      <w:bookmarkStart w:id="23" w:name="_Toc107439668"/>
      <w:bookmarkStart w:id="24" w:name="_Toc103673878"/>
      <w:bookmarkStart w:id="25" w:name="_Toc107412432"/>
      <w:bookmarkStart w:id="26" w:name="_Toc8247"/>
      <w:bookmarkStart w:id="27" w:name="_Toc106955795"/>
      <w:bookmarkStart w:id="28" w:name="_Toc103676974"/>
      <w:bookmarkStart w:id="29" w:name="_Toc106906432"/>
      <w:r>
        <w:rPr>
          <w:rFonts w:hint="eastAsia"/>
          <w:spacing w:val="320"/>
        </w:rPr>
        <w:t>目</w:t>
      </w:r>
      <w:r>
        <w:rPr>
          <w:rFonts w:hint="eastAsia"/>
        </w:rPr>
        <w:t>次</w:t>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"标准文件_一级条标题,2,标准文件_二级条标题,3,标准文件_附录一级条标题,2,标准文件_附录二级条标题,3,"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_Toc4851 </w:instrText>
      </w:r>
      <w:r>
        <w:rPr>
          <w:rFonts w:hint="eastAsia" w:ascii="宋体" w:hAnsi="宋体" w:eastAsia="宋体" w:cs="宋体"/>
        </w:rPr>
        <w:fldChar w:fldCharType="separate"/>
      </w:r>
      <w:r>
        <w:rPr>
          <w:rFonts w:hint="eastAsia" w:hAnsi="宋体" w:cs="宋体"/>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_Toc4851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_Toc12295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_Toc12295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_Toc17501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_Toc17501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_Toc11926 </w:instrText>
      </w:r>
      <w:r>
        <w:rPr>
          <w:rFonts w:hint="eastAsia" w:ascii="宋体" w:hAnsi="宋体" w:eastAsia="宋体" w:cs="宋体"/>
        </w:rPr>
        <w:fldChar w:fldCharType="separate"/>
      </w:r>
      <w:r>
        <w:rPr>
          <w:rFonts w:hint="eastAsia" w:ascii="宋体" w:hAnsi="宋体" w:eastAsia="宋体" w:cs="宋体"/>
          <w:i w:val="0"/>
        </w:rPr>
        <w:t xml:space="preserve">3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_Toc11926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_Toc31852 </w:instrText>
      </w:r>
      <w:r>
        <w:rPr>
          <w:rFonts w:hint="eastAsia" w:ascii="宋体" w:hAnsi="宋体" w:eastAsia="宋体" w:cs="宋体"/>
        </w:rPr>
        <w:fldChar w:fldCharType="separate"/>
      </w:r>
      <w:r>
        <w:rPr>
          <w:rFonts w:hint="eastAsia" w:ascii="宋体" w:hAnsi="宋体" w:eastAsia="宋体" w:cs="宋体"/>
          <w:i w:val="0"/>
        </w:rPr>
        <w:t xml:space="preserve">4 </w:t>
      </w:r>
      <w:r>
        <w:rPr>
          <w:rFonts w:hint="eastAsia" w:ascii="宋体" w:hAnsi="宋体" w:eastAsia="宋体" w:cs="宋体"/>
          <w:lang w:val="en-US" w:eastAsia="zh-CN"/>
        </w:rPr>
        <w:t>质量检验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_Toc31852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_Toc9947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lang w:val="en-US" w:eastAsia="zh-CN"/>
        </w:rPr>
        <w:t>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_Toc9947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_Toc32619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lang w:val="en-US" w:eastAsia="zh-CN"/>
        </w:rPr>
        <w:t>焊接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_Toc32619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_Toc32619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lang w:val="en-US" w:eastAsia="zh-CN"/>
        </w:rPr>
        <w:t>门体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_Toc32619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_Toc29462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ascii="宋体" w:hAnsi="宋体" w:eastAsia="宋体" w:cs="宋体"/>
          <w:lang w:val="en-US" w:eastAsia="zh-CN"/>
        </w:rPr>
        <w:t>运转件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_Toc29462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_Toc20787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ascii="宋体" w:hAnsi="宋体" w:eastAsia="宋体" w:cs="宋体"/>
          <w:lang w:val="en-US" w:eastAsia="zh-CN"/>
        </w:rPr>
        <w:t>预埋件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_Toc20787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_Toc14315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4.6 </w:t>
      </w:r>
      <w:r>
        <w:rPr>
          <w:rFonts w:hint="eastAsia" w:ascii="宋体" w:hAnsi="宋体" w:eastAsia="宋体" w:cs="宋体"/>
          <w:lang w:val="en-US" w:eastAsia="zh-CN"/>
        </w:rPr>
        <w:t>止水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_Toc14315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_Toc6806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4.7 </w:t>
      </w:r>
      <w:r>
        <w:rPr>
          <w:rFonts w:hint="eastAsia" w:ascii="宋体" w:hAnsi="宋体" w:eastAsia="宋体" w:cs="宋体"/>
          <w:lang w:val="en-US" w:eastAsia="zh-CN"/>
        </w:rPr>
        <w:t>防腐涂装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_Toc6806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_Toc20651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4.8 </w:t>
      </w:r>
      <w:r>
        <w:rPr>
          <w:rFonts w:hint="eastAsia" w:ascii="宋体" w:hAnsi="宋体" w:eastAsia="宋体" w:cs="宋体"/>
          <w:lang w:val="en-US" w:eastAsia="zh-CN"/>
        </w:rPr>
        <w:t>试运行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_Toc20651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_Toc16868 </w:instrText>
      </w:r>
      <w:r>
        <w:rPr>
          <w:rFonts w:hint="eastAsia" w:ascii="宋体" w:hAnsi="宋体" w:eastAsia="宋体" w:cs="宋体"/>
        </w:rPr>
        <w:fldChar w:fldCharType="separate"/>
      </w:r>
      <w:r>
        <w:rPr>
          <w:rFonts w:hint="eastAsia" w:ascii="宋体" w:hAnsi="宋体" w:eastAsia="宋体" w:cs="宋体"/>
          <w:i w:val="0"/>
        </w:rPr>
        <w:t xml:space="preserve">5 </w:t>
      </w:r>
      <w:r>
        <w:rPr>
          <w:rFonts w:hint="eastAsia" w:ascii="宋体" w:hAnsi="宋体" w:eastAsia="宋体" w:cs="宋体"/>
          <w:lang w:val="en-US" w:eastAsia="zh-CN"/>
        </w:rPr>
        <w:t>质量验收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_Toc16868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_Toc17791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宋体" w:hAnsi="宋体" w:eastAsia="宋体" w:cs="宋体"/>
          <w:lang w:val="en-US" w:eastAsia="zh-CN"/>
        </w:rPr>
        <w:t>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_Toc17791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_Toc27259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宋体" w:hAnsi="宋体" w:eastAsia="宋体" w:cs="宋体"/>
          <w:lang w:val="en-US" w:eastAsia="zh-CN"/>
        </w:rPr>
        <w:t>防腐涂装前验收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_Toc27259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_Toc2724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宋体" w:hAnsi="宋体" w:eastAsia="宋体" w:cs="宋体"/>
          <w:lang w:val="en-US" w:eastAsia="zh-CN"/>
        </w:rPr>
        <w:t>出厂前验收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_Toc2724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_Toc6310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ascii="宋体" w:hAnsi="宋体" w:eastAsia="宋体" w:cs="宋体"/>
          <w:lang w:val="en-US" w:eastAsia="zh-CN"/>
        </w:rPr>
        <w:t>闸门安装验收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_Toc6310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_Toc26377 </w:instrText>
      </w:r>
      <w:r>
        <w:rPr>
          <w:rFonts w:hint="eastAsia" w:ascii="宋体" w:hAnsi="宋体" w:eastAsia="宋体" w:cs="宋体"/>
        </w:rPr>
        <w:fldChar w:fldCharType="separate"/>
      </w:r>
      <w:r>
        <w:rPr>
          <w:rFonts w:hint="eastAsia" w:ascii="宋体" w:hAnsi="宋体" w:eastAsia="宋体" w:cs="宋体"/>
          <w:bCs/>
          <w:spacing w:val="100"/>
          <w:szCs w:val="21"/>
        </w:rPr>
        <w:t xml:space="preserve">附录A </w:t>
      </w:r>
      <w:r>
        <w:rPr>
          <w:rFonts w:hint="eastAsia" w:ascii="宋体" w:hAnsi="宋体" w:eastAsia="宋体" w:cs="宋体"/>
          <w:bCs/>
          <w:szCs w:val="21"/>
        </w:rPr>
        <w:t>表A.1 水运工程施工现场质量管理检查记录</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r>
        <w:rPr>
          <w:rFonts w:hint="eastAsia" w:hAnsi="宋体" w:cs="宋体"/>
          <w:lang w:val="en-US" w:eastAsia="zh-CN"/>
        </w:rPr>
        <w:t>7</w:t>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400" w:lineRule="exact"/>
        <w:ind w:left="0" w:leftChars="0" w:firstLine="0" w:firstLineChars="0"/>
        <w:textAlignment w:val="auto"/>
        <w:rPr>
          <w:rFonts w:hint="default" w:ascii="宋体" w:hAnsi="宋体" w:eastAsia="宋体" w:cs="宋体"/>
          <w:lang w:val="en-US" w:eastAsia="zh-CN"/>
        </w:rPr>
      </w:pPr>
      <w:r>
        <w:rPr>
          <w:rFonts w:hint="eastAsia" w:ascii="宋体" w:hAnsi="宋体" w:eastAsia="宋体" w:cs="宋体"/>
        </w:rPr>
        <w:fldChar w:fldCharType="end"/>
      </w:r>
      <w:r>
        <w:rPr>
          <w:rFonts w:hint="eastAsia" w:ascii="宋体" w:hAnsi="宋体" w:eastAsia="宋体" w:cs="宋体"/>
          <w:bCs/>
          <w:spacing w:val="100"/>
          <w:szCs w:val="21"/>
        </w:rPr>
        <w:t>附录</w:t>
      </w:r>
      <w:r>
        <w:rPr>
          <w:rFonts w:hint="eastAsia" w:ascii="宋体" w:hAnsi="宋体" w:eastAsia="宋体" w:cs="宋体"/>
          <w:bCs/>
          <w:spacing w:val="100"/>
          <w:szCs w:val="21"/>
          <w:lang w:val="en-US" w:eastAsia="zh-CN"/>
        </w:rPr>
        <w:t xml:space="preserve">B </w:t>
      </w:r>
      <w:r>
        <w:rPr>
          <w:rFonts w:hint="eastAsia" w:ascii="宋体" w:hAnsi="宋体" w:eastAsia="宋体" w:cs="宋体"/>
        </w:rPr>
        <w:fldChar w:fldCharType="begin"/>
      </w:r>
      <w:r>
        <w:rPr>
          <w:rFonts w:hint="eastAsia" w:ascii="宋体" w:hAnsi="宋体" w:eastAsia="宋体" w:cs="宋体"/>
        </w:rPr>
        <w:instrText xml:space="preserve"> HYPERLINK \l _Toc31850 </w:instrText>
      </w:r>
      <w:r>
        <w:rPr>
          <w:rFonts w:hint="eastAsia" w:ascii="宋体" w:hAnsi="宋体" w:eastAsia="宋体" w:cs="宋体"/>
        </w:rPr>
        <w:fldChar w:fldCharType="separate"/>
      </w:r>
      <w:r>
        <w:rPr>
          <w:rFonts w:hint="eastAsia" w:ascii="宋体" w:hAnsi="宋体" w:eastAsia="宋体" w:cs="宋体"/>
          <w:lang w:val="en-US" w:eastAsia="zh-CN"/>
        </w:rPr>
        <w:t>原材料进场验收</w:t>
      </w:r>
      <w:r>
        <w:rPr>
          <w:rFonts w:hint="eastAsia" w:ascii="宋体" w:hAnsi="宋体" w:eastAsia="宋体" w:cs="宋体"/>
        </w:rPr>
        <w:tab/>
      </w:r>
      <w:r>
        <w:rPr>
          <w:rFonts w:hint="eastAsia" w:ascii="宋体" w:hAnsi="宋体" w:eastAsia="宋体" w:cs="宋体"/>
        </w:rPr>
        <w:fldChar w:fldCharType="end"/>
      </w:r>
      <w:r>
        <w:rPr>
          <w:rFonts w:hint="eastAsia" w:hAnsi="宋体" w:cs="宋体"/>
          <w:lang w:val="en-US" w:eastAsia="zh-CN"/>
        </w:rPr>
        <w:t>18</w:t>
      </w:r>
    </w:p>
    <w:p>
      <w:pPr>
        <w:pStyle w:val="92"/>
        <w:spacing w:before="0" w:after="0" w:afterLines="0"/>
        <w:jc w:val="both"/>
      </w:pP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pStyle w:val="90"/>
        <w:spacing w:after="468"/>
      </w:pPr>
      <w:bookmarkStart w:id="30" w:name="_Toc4851"/>
      <w:bookmarkStart w:id="31" w:name="BookMark2"/>
      <w:r>
        <w:rPr>
          <w:spacing w:val="320"/>
        </w:rPr>
        <w:t>前</w:t>
      </w:r>
      <w:r>
        <w:t>言</w:t>
      </w:r>
      <w:bookmarkEnd w:id="22"/>
      <w:bookmarkEnd w:id="23"/>
      <w:bookmarkEnd w:id="24"/>
      <w:bookmarkEnd w:id="25"/>
      <w:bookmarkEnd w:id="26"/>
      <w:bookmarkEnd w:id="27"/>
      <w:bookmarkEnd w:id="28"/>
      <w:bookmarkEnd w:id="29"/>
      <w:bookmarkEnd w:id="30"/>
    </w:p>
    <w:p>
      <w:pPr>
        <w:pStyle w:val="57"/>
        <w:ind w:firstLine="420"/>
        <w:rPr>
          <w:rFonts w:hint="eastAsia"/>
        </w:rPr>
      </w:pPr>
      <w:r>
        <w:rPr>
          <w:rFonts w:hint="eastAsia"/>
        </w:rPr>
        <w:t>本文件按照GB/T 1.1—2020《标准化工作导则  第1部分：标准化文件的结构和起草规则》的规定起草。</w:t>
      </w:r>
    </w:p>
    <w:p>
      <w:pPr>
        <w:pStyle w:val="57"/>
        <w:ind w:firstLine="420"/>
        <w:rPr>
          <w:rFonts w:hint="eastAsia"/>
        </w:rPr>
      </w:pPr>
      <w:r>
        <w:rPr>
          <w:rFonts w:hint="eastAsia"/>
        </w:rPr>
        <w:t>请注意本文件的某些内容可能涉及专利。本文件的发布机构不承担识别专利的责任。</w:t>
      </w:r>
    </w:p>
    <w:p>
      <w:pPr>
        <w:pStyle w:val="57"/>
        <w:ind w:firstLine="420"/>
        <w:rPr>
          <w:rFonts w:hint="eastAsia"/>
        </w:rPr>
      </w:pPr>
      <w:r>
        <w:rPr>
          <w:rFonts w:hint="eastAsia"/>
        </w:rPr>
        <w:t xml:space="preserve">本文件由安徽省港航建设投资集团有限公司提出。 </w:t>
      </w:r>
    </w:p>
    <w:p>
      <w:pPr>
        <w:pStyle w:val="57"/>
        <w:ind w:firstLine="420"/>
        <w:rPr>
          <w:rFonts w:hint="eastAsia"/>
        </w:rPr>
      </w:pPr>
      <w:r>
        <w:rPr>
          <w:rFonts w:hint="eastAsia"/>
        </w:rPr>
        <w:t xml:space="preserve">本文件由安徽省交通运输厅归口。 </w:t>
      </w:r>
    </w:p>
    <w:p>
      <w:pPr>
        <w:pStyle w:val="57"/>
        <w:ind w:firstLine="420"/>
        <w:rPr>
          <w:rFonts w:hint="eastAsia"/>
        </w:rPr>
      </w:pPr>
      <w:r>
        <w:rPr>
          <w:rFonts w:hint="eastAsia"/>
        </w:rPr>
        <w:t>本文件起草单位：安徽省港航建设投资集团有限公司、安徽省交通工程质量安全管理服务中心、安徽省合巢水运建设开发有限公司、安徽省交通科学研究院、江苏省水利机械制造有限公司、水利部南京水利科学研究院。</w:t>
      </w:r>
    </w:p>
    <w:p>
      <w:pPr>
        <w:pStyle w:val="57"/>
        <w:ind w:firstLine="420"/>
      </w:pPr>
      <w:r>
        <w:rPr>
          <w:rFonts w:hint="eastAsia"/>
        </w:rPr>
        <w:t>本文件主要起草人：卢斌、孙腾飞、曹晓军、马驰、熊伟、魏文江、杜永春、王新、刘银生、谢林、张文瀚、孙敏、方曙晨、耿彪、王文博、樊林林、李艾菁、许磊、陈娟、许薇。</w:t>
      </w:r>
    </w:p>
    <w:p>
      <w:pPr>
        <w:pStyle w:val="57"/>
        <w:ind w:firstLine="0" w:firstLineChars="0"/>
        <w:sectPr>
          <w:pgSz w:w="11906" w:h="16838"/>
          <w:pgMar w:top="1928" w:right="1134" w:bottom="1134" w:left="1134" w:header="1418" w:footer="1134" w:gutter="284"/>
          <w:pgNumType w:fmt="upperRoman"/>
          <w:cols w:space="425" w:num="1"/>
          <w:formProt w:val="0"/>
          <w:docGrid w:type="lines" w:linePitch="312" w:charSpace="0"/>
        </w:sectPr>
      </w:pPr>
    </w:p>
    <w:bookmarkEnd w:id="31"/>
    <w:p>
      <w:pPr>
        <w:spacing w:line="20" w:lineRule="exact"/>
        <w:jc w:val="center"/>
        <w:rPr>
          <w:rFonts w:ascii="黑体" w:hAnsi="黑体" w:eastAsia="黑体"/>
          <w:sz w:val="32"/>
          <w:szCs w:val="32"/>
        </w:rPr>
      </w:pPr>
      <w:bookmarkStart w:id="32" w:name="BookMark4"/>
    </w:p>
    <w:p>
      <w:pPr>
        <w:spacing w:line="20" w:lineRule="exact"/>
        <w:jc w:val="center"/>
        <w:rPr>
          <w:rFonts w:ascii="黑体" w:hAnsi="黑体" w:eastAsia="黑体"/>
          <w:sz w:val="32"/>
          <w:szCs w:val="32"/>
        </w:rPr>
      </w:pPr>
    </w:p>
    <w:sdt>
      <w:sdtPr>
        <w:tag w:val="NEW_STAND_NAME"/>
        <w:id w:val="595910757"/>
        <w:lock w:val="sdtLocked"/>
        <w:placeholder>
          <w:docPart w:val="4D91DC07CFBC4D2B8BE1179223E33EC0"/>
        </w:placeholder>
      </w:sdtPr>
      <w:sdtContent>
        <w:p>
          <w:pPr>
            <w:pStyle w:val="178"/>
            <w:spacing w:before="3" w:beforeLines="1" w:after="686" w:afterLines="220"/>
          </w:pPr>
          <w:bookmarkStart w:id="33" w:name="NEW_STAND_NAME"/>
          <w:r>
            <w:rPr>
              <w:rFonts w:hint="eastAsia"/>
              <w:lang w:eastAsia="zh-CN"/>
            </w:rPr>
            <w:t>船闸工程</w:t>
          </w:r>
          <w:bookmarkStart w:id="196" w:name="_GoBack"/>
          <w:r>
            <w:rPr>
              <w:rFonts w:hint="eastAsia"/>
              <w:lang w:eastAsia="zh-CN"/>
            </w:rPr>
            <w:t>三角闸门施工质量检测与验收技术规范</w:t>
          </w:r>
          <w:bookmarkEnd w:id="196"/>
        </w:p>
      </w:sdtContent>
    </w:sdt>
    <w:bookmarkEnd w:id="33"/>
    <w:p>
      <w:pPr>
        <w:pStyle w:val="105"/>
        <w:spacing w:before="312" w:after="312"/>
      </w:pPr>
      <w:bookmarkStart w:id="34" w:name="_Toc107410724"/>
      <w:bookmarkStart w:id="35" w:name="_Toc26718930"/>
      <w:bookmarkStart w:id="36" w:name="_Toc103676975"/>
      <w:bookmarkStart w:id="37" w:name="_Toc17233333"/>
      <w:bookmarkStart w:id="38" w:name="_Toc26986530"/>
      <w:bookmarkStart w:id="39" w:name="_Toc107412433"/>
      <w:bookmarkStart w:id="40" w:name="_Toc24884218"/>
      <w:bookmarkStart w:id="41" w:name="_Toc24884211"/>
      <w:bookmarkStart w:id="42" w:name="_Toc106906433"/>
      <w:bookmarkStart w:id="43" w:name="_Toc103673879"/>
      <w:bookmarkStart w:id="44" w:name="_Toc13309"/>
      <w:bookmarkStart w:id="45" w:name="_Toc107439669"/>
      <w:bookmarkStart w:id="46" w:name="_Toc106955796"/>
      <w:bookmarkStart w:id="47" w:name="_Toc26986771"/>
      <w:bookmarkStart w:id="48" w:name="_Toc97191423"/>
      <w:bookmarkStart w:id="49" w:name="_Toc26648465"/>
      <w:bookmarkStart w:id="50" w:name="_Toc17233325"/>
      <w:bookmarkStart w:id="51" w:name="_Toc12295"/>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7"/>
        <w:ind w:firstLine="420"/>
        <w:rPr>
          <w:rFonts w:hint="eastAsia"/>
        </w:rPr>
      </w:pPr>
      <w:bookmarkStart w:id="52" w:name="_Toc24884212"/>
      <w:bookmarkStart w:id="53" w:name="_Toc17233334"/>
      <w:bookmarkStart w:id="54" w:name="_Toc24884219"/>
      <w:bookmarkStart w:id="55" w:name="_Toc26648466"/>
      <w:bookmarkStart w:id="56" w:name="_Toc17233326"/>
      <w:r>
        <w:rPr>
          <w:rFonts w:hint="eastAsia"/>
        </w:rPr>
        <w:t>本文件规定了</w:t>
      </w:r>
      <w:r>
        <w:rPr>
          <w:rFonts w:hint="eastAsia"/>
          <w:lang w:eastAsia="zh-CN"/>
        </w:rPr>
        <w:t>船闸工程三角闸门施工质量检验与验收规范</w:t>
      </w:r>
      <w:r>
        <w:rPr>
          <w:rFonts w:hint="eastAsia"/>
        </w:rPr>
        <w:t>的术语和定义、质量检验</w:t>
      </w:r>
      <w:r>
        <w:rPr>
          <w:rFonts w:hint="eastAsia"/>
          <w:lang w:val="en-US" w:eastAsia="zh-CN"/>
        </w:rPr>
        <w:t>和</w:t>
      </w:r>
      <w:r>
        <w:rPr>
          <w:rFonts w:hint="eastAsia"/>
        </w:rPr>
        <w:t>质量验收程序等</w:t>
      </w:r>
      <w:r>
        <w:rPr>
          <w:rFonts w:hint="eastAsia"/>
          <w:lang w:val="en-US" w:eastAsia="zh-CN"/>
        </w:rPr>
        <w:t>内容</w:t>
      </w:r>
      <w:r>
        <w:rPr>
          <w:rFonts w:hint="eastAsia"/>
        </w:rPr>
        <w:t>。</w:t>
      </w:r>
    </w:p>
    <w:p>
      <w:pPr>
        <w:pStyle w:val="57"/>
        <w:ind w:firstLine="420"/>
      </w:pPr>
      <w:r>
        <w:rPr>
          <w:rFonts w:hint="eastAsia"/>
        </w:rPr>
        <w:t>本文件适用于新建和改建船闸三角闸门的施工质量检验与验收。</w:t>
      </w:r>
    </w:p>
    <w:p>
      <w:pPr>
        <w:pStyle w:val="105"/>
        <w:spacing w:before="312" w:after="312"/>
      </w:pPr>
      <w:bookmarkStart w:id="57" w:name="_Toc26986531"/>
      <w:bookmarkStart w:id="58" w:name="_Toc106906434"/>
      <w:bookmarkStart w:id="59" w:name="_Toc107412434"/>
      <w:bookmarkStart w:id="60" w:name="_Toc107439670"/>
      <w:bookmarkStart w:id="61" w:name="_Toc9600"/>
      <w:bookmarkStart w:id="62" w:name="_Toc107410725"/>
      <w:bookmarkStart w:id="63" w:name="_Toc106955797"/>
      <w:bookmarkStart w:id="64" w:name="_Toc97191424"/>
      <w:bookmarkStart w:id="65" w:name="_Toc103676976"/>
      <w:bookmarkStart w:id="66" w:name="_Toc103673880"/>
      <w:bookmarkStart w:id="67" w:name="_Toc26986772"/>
      <w:bookmarkStart w:id="68" w:name="_Toc26718931"/>
      <w:bookmarkStart w:id="69" w:name="_Toc17501"/>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51D8D1508D0F430DA0A91FC2D5351E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eastAsia"/>
          <w:color w:val="auto"/>
        </w:rPr>
      </w:pPr>
      <w:r>
        <w:rPr>
          <w:rFonts w:hint="eastAsia"/>
        </w:rPr>
        <w:t>G</w:t>
      </w:r>
      <w:r>
        <w:rPr>
          <w:rFonts w:hint="eastAsia"/>
          <w:color w:val="auto"/>
        </w:rPr>
        <w:t xml:space="preserve">B 11345  </w:t>
      </w:r>
      <w:r>
        <w:rPr>
          <w:rFonts w:hint="eastAsia"/>
          <w:color w:val="auto"/>
          <w:lang w:val="en-US" w:eastAsia="zh-CN"/>
        </w:rPr>
        <w:t xml:space="preserve">  </w:t>
      </w:r>
      <w:r>
        <w:rPr>
          <w:rFonts w:hint="eastAsia"/>
          <w:color w:val="auto"/>
        </w:rPr>
        <w:t>焊缝无损检测 超声检测</w:t>
      </w:r>
      <w:r>
        <w:rPr>
          <w:rFonts w:hint="eastAsia"/>
          <w:color w:val="auto"/>
          <w:lang w:val="en-US" w:eastAsia="zh-CN"/>
        </w:rPr>
        <w:t xml:space="preserve"> </w:t>
      </w:r>
      <w:r>
        <w:rPr>
          <w:rFonts w:hint="eastAsia"/>
          <w:color w:val="auto"/>
        </w:rPr>
        <w:t>技术、检测等级和评定</w:t>
      </w:r>
    </w:p>
    <w:p>
      <w:pPr>
        <w:pStyle w:val="57"/>
        <w:ind w:firstLine="420"/>
        <w:rPr>
          <w:rFonts w:hint="eastAsia"/>
          <w:color w:val="auto"/>
        </w:rPr>
      </w:pPr>
      <w:r>
        <w:rPr>
          <w:rFonts w:hint="eastAsia"/>
          <w:color w:val="auto"/>
        </w:rPr>
        <w:t>GB 50205</w:t>
      </w:r>
      <w:r>
        <w:rPr>
          <w:rFonts w:hint="eastAsia"/>
          <w:color w:val="auto"/>
          <w:lang w:val="en-US" w:eastAsia="zh-CN"/>
        </w:rPr>
        <w:t xml:space="preserve">  </w:t>
      </w:r>
      <w:r>
        <w:rPr>
          <w:rFonts w:hint="eastAsia"/>
          <w:color w:val="auto"/>
        </w:rPr>
        <w:t xml:space="preserve"> </w:t>
      </w:r>
      <w:r>
        <w:rPr>
          <w:rFonts w:hint="eastAsia"/>
          <w:color w:val="auto"/>
          <w:lang w:val="en-US" w:eastAsia="zh-CN"/>
        </w:rPr>
        <w:t xml:space="preserve"> </w:t>
      </w:r>
      <w:r>
        <w:rPr>
          <w:rFonts w:hint="eastAsia"/>
          <w:color w:val="auto"/>
        </w:rPr>
        <w:t xml:space="preserve">钢结构工程施工质量验收规范 </w:t>
      </w:r>
    </w:p>
    <w:p>
      <w:pPr>
        <w:pStyle w:val="57"/>
        <w:ind w:firstLine="420"/>
        <w:rPr>
          <w:rFonts w:hint="eastAsia"/>
          <w:color w:val="auto"/>
        </w:rPr>
      </w:pPr>
      <w:r>
        <w:rPr>
          <w:rFonts w:hint="eastAsia"/>
          <w:color w:val="auto"/>
        </w:rPr>
        <w:t xml:space="preserve">GB/T 14173 </w:t>
      </w:r>
      <w:r>
        <w:rPr>
          <w:rFonts w:hint="eastAsia"/>
          <w:color w:val="auto"/>
          <w:lang w:val="en-US" w:eastAsia="zh-CN"/>
        </w:rPr>
        <w:t xml:space="preserve"> </w:t>
      </w:r>
      <w:r>
        <w:rPr>
          <w:rFonts w:hint="eastAsia"/>
          <w:color w:val="auto"/>
        </w:rPr>
        <w:t>水利水电工程钢闸门制造、安装及验收规范</w:t>
      </w:r>
    </w:p>
    <w:p>
      <w:pPr>
        <w:pStyle w:val="57"/>
        <w:ind w:firstLine="420"/>
        <w:rPr>
          <w:rFonts w:hint="eastAsia"/>
          <w:color w:val="auto"/>
        </w:rPr>
      </w:pPr>
      <w:r>
        <w:rPr>
          <w:rFonts w:hint="eastAsia"/>
          <w:color w:val="auto"/>
        </w:rPr>
        <w:t xml:space="preserve">JTS 218 </w:t>
      </w:r>
      <w:r>
        <w:rPr>
          <w:rFonts w:hint="eastAsia"/>
          <w:color w:val="auto"/>
          <w:lang w:val="en-US" w:eastAsia="zh-CN"/>
        </w:rPr>
        <w:t xml:space="preserve">    </w:t>
      </w:r>
      <w:r>
        <w:rPr>
          <w:rFonts w:hint="eastAsia"/>
          <w:color w:val="auto"/>
        </w:rPr>
        <w:t>船闸工程施工规范</w:t>
      </w:r>
    </w:p>
    <w:p>
      <w:pPr>
        <w:pStyle w:val="57"/>
        <w:ind w:firstLine="420"/>
        <w:rPr>
          <w:rFonts w:hint="eastAsia"/>
          <w:color w:val="auto"/>
        </w:rPr>
      </w:pPr>
      <w:r>
        <w:rPr>
          <w:rFonts w:hint="eastAsia"/>
          <w:color w:val="auto"/>
        </w:rPr>
        <w:t xml:space="preserve">JTS 257 </w:t>
      </w:r>
      <w:r>
        <w:rPr>
          <w:rFonts w:hint="eastAsia"/>
          <w:color w:val="auto"/>
          <w:lang w:val="en-US" w:eastAsia="zh-CN"/>
        </w:rPr>
        <w:t xml:space="preserve">    </w:t>
      </w:r>
      <w:r>
        <w:rPr>
          <w:rFonts w:hint="eastAsia"/>
          <w:color w:val="auto"/>
        </w:rPr>
        <w:t>水运工程质量检验标准</w:t>
      </w:r>
    </w:p>
    <w:p>
      <w:pPr>
        <w:pStyle w:val="57"/>
        <w:ind w:firstLine="420"/>
        <w:rPr>
          <w:rFonts w:hint="eastAsia"/>
          <w:color w:val="auto"/>
        </w:rPr>
      </w:pPr>
      <w:r>
        <w:rPr>
          <w:rFonts w:hint="eastAsia"/>
          <w:color w:val="auto"/>
        </w:rPr>
        <w:t>JTJ 280</w:t>
      </w:r>
      <w:r>
        <w:rPr>
          <w:rFonts w:hint="eastAsia"/>
          <w:color w:val="auto"/>
          <w:lang w:val="en-US" w:eastAsia="zh-CN"/>
        </w:rPr>
        <w:t xml:space="preserve">     </w:t>
      </w:r>
      <w:r>
        <w:rPr>
          <w:rFonts w:hint="eastAsia"/>
          <w:color w:val="auto"/>
        </w:rPr>
        <w:t xml:space="preserve">港口设备安装工程技术规范 </w:t>
      </w:r>
    </w:p>
    <w:p>
      <w:pPr>
        <w:pStyle w:val="57"/>
        <w:ind w:firstLine="420"/>
        <w:rPr>
          <w:rFonts w:hint="eastAsia"/>
          <w:color w:val="auto"/>
        </w:rPr>
      </w:pPr>
      <w:r>
        <w:rPr>
          <w:rFonts w:hint="eastAsia"/>
          <w:color w:val="auto"/>
        </w:rPr>
        <w:t xml:space="preserve">JGJ 82  </w:t>
      </w:r>
      <w:r>
        <w:rPr>
          <w:rFonts w:hint="eastAsia"/>
          <w:color w:val="auto"/>
          <w:lang w:val="en-US" w:eastAsia="zh-CN"/>
        </w:rPr>
        <w:t xml:space="preserve">    </w:t>
      </w:r>
      <w:r>
        <w:rPr>
          <w:rFonts w:hint="eastAsia"/>
          <w:color w:val="auto"/>
        </w:rPr>
        <w:t>钢结构高强度螺栓连接技术规程</w:t>
      </w:r>
    </w:p>
    <w:p>
      <w:pPr>
        <w:pStyle w:val="57"/>
        <w:ind w:firstLine="420"/>
        <w:rPr>
          <w:rFonts w:hint="eastAsia"/>
          <w:color w:val="auto"/>
        </w:rPr>
      </w:pPr>
      <w:r>
        <w:rPr>
          <w:rFonts w:hint="eastAsia"/>
          <w:color w:val="auto"/>
        </w:rPr>
        <w:t xml:space="preserve">JG/T 203  </w:t>
      </w:r>
      <w:r>
        <w:rPr>
          <w:rFonts w:hint="eastAsia"/>
          <w:color w:val="auto"/>
          <w:lang w:val="en-US" w:eastAsia="zh-CN"/>
        </w:rPr>
        <w:t xml:space="preserve">  </w:t>
      </w:r>
      <w:r>
        <w:rPr>
          <w:rFonts w:hint="eastAsia"/>
          <w:color w:val="auto"/>
        </w:rPr>
        <w:t>钢结构超声波探伤及质量分级法</w:t>
      </w:r>
    </w:p>
    <w:p>
      <w:pPr>
        <w:pStyle w:val="57"/>
        <w:ind w:firstLine="420"/>
        <w:rPr>
          <w:rFonts w:hint="eastAsia"/>
          <w:color w:val="auto"/>
        </w:rPr>
      </w:pPr>
      <w:r>
        <w:rPr>
          <w:rFonts w:hint="eastAsia"/>
          <w:color w:val="auto"/>
        </w:rPr>
        <w:t xml:space="preserve">NB/T 35045 </w:t>
      </w:r>
      <w:r>
        <w:rPr>
          <w:rFonts w:hint="eastAsia"/>
          <w:color w:val="auto"/>
          <w:lang w:val="en-US" w:eastAsia="zh-CN"/>
        </w:rPr>
        <w:t xml:space="preserve"> </w:t>
      </w:r>
      <w:r>
        <w:rPr>
          <w:rFonts w:hint="eastAsia"/>
          <w:color w:val="auto"/>
        </w:rPr>
        <w:t>水电工程钢闸门制造安装及验收规范</w:t>
      </w:r>
    </w:p>
    <w:p>
      <w:pPr>
        <w:pStyle w:val="57"/>
        <w:ind w:firstLine="420"/>
        <w:rPr>
          <w:color w:val="auto"/>
        </w:rPr>
      </w:pPr>
      <w:r>
        <w:rPr>
          <w:rFonts w:hint="eastAsia"/>
          <w:color w:val="auto"/>
        </w:rPr>
        <w:t xml:space="preserve">SL 635  </w:t>
      </w:r>
      <w:r>
        <w:rPr>
          <w:rFonts w:hint="eastAsia"/>
          <w:color w:val="auto"/>
          <w:lang w:val="en-US" w:eastAsia="zh-CN"/>
        </w:rPr>
        <w:t xml:space="preserve">    </w:t>
      </w:r>
      <w:r>
        <w:rPr>
          <w:rFonts w:hint="eastAsia"/>
          <w:color w:val="auto"/>
        </w:rPr>
        <w:t>水利水电单元工程施工质量验收评定标准-水工金属结构安装工程</w:t>
      </w:r>
    </w:p>
    <w:p>
      <w:pPr>
        <w:pStyle w:val="105"/>
        <w:spacing w:before="312" w:after="312"/>
      </w:pPr>
      <w:bookmarkStart w:id="70" w:name="_Toc11926"/>
      <w:bookmarkStart w:id="71" w:name="_Toc106955798"/>
      <w:bookmarkStart w:id="72" w:name="_Toc97191425"/>
      <w:bookmarkStart w:id="73" w:name="_Toc107439671"/>
      <w:bookmarkStart w:id="74" w:name="_Toc107412435"/>
      <w:bookmarkStart w:id="75" w:name="_Toc106906435"/>
      <w:bookmarkStart w:id="76" w:name="_Toc107410726"/>
      <w:bookmarkStart w:id="77" w:name="_Toc103676977"/>
      <w:bookmarkStart w:id="78" w:name="_Toc103673881"/>
      <w:bookmarkStart w:id="79" w:name="_Toc29540"/>
      <w:r>
        <w:rPr>
          <w:rFonts w:hint="eastAsia"/>
          <w:szCs w:val="21"/>
        </w:rPr>
        <w:t>术语和定义</w:t>
      </w:r>
      <w:bookmarkEnd w:id="70"/>
      <w:bookmarkEnd w:id="71"/>
      <w:bookmarkEnd w:id="72"/>
      <w:bookmarkEnd w:id="73"/>
      <w:bookmarkEnd w:id="74"/>
      <w:bookmarkEnd w:id="75"/>
      <w:bookmarkEnd w:id="76"/>
      <w:bookmarkEnd w:id="77"/>
      <w:bookmarkEnd w:id="78"/>
      <w:bookmarkEnd w:id="79"/>
    </w:p>
    <w:sdt>
      <w:sdtPr>
        <w:id w:val="-1909835108"/>
        <w:placeholder>
          <w:docPart w:val="77CAED685D514218AD95AAF82BEB55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80" w:name="_Toc26986532"/>
          <w:bookmarkEnd w:id="80"/>
          <w:r>
            <w:t>下列术语和定义适用于本文件。</w:t>
          </w:r>
        </w:p>
      </w:sdtContent>
    </w:sdt>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200" w:firstLine="420" w:firstLineChars="200"/>
        <w:textAlignment w:val="auto"/>
        <w:rPr>
          <w:rFonts w:hint="eastAsia" w:ascii="黑体" w:hAnsi="黑体" w:eastAsia="黑体"/>
          <w:lang w:val="en-US" w:eastAsia="zh-CN"/>
        </w:rPr>
      </w:pPr>
      <w:r>
        <w:rPr>
          <w:rFonts w:hint="eastAsia" w:ascii="黑体" w:hAnsi="黑体" w:eastAsia="黑体"/>
          <w:lang w:val="en-US" w:eastAsia="zh-CN"/>
        </w:rPr>
        <w:t>3.1</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200" w:firstLine="840" w:firstLineChars="400"/>
        <w:textAlignment w:val="auto"/>
        <w:rPr>
          <w:rFonts w:ascii="黑体" w:hAnsi="黑体" w:eastAsia="黑体"/>
        </w:rPr>
      </w:pPr>
      <w:r>
        <w:rPr>
          <w:rFonts w:hint="eastAsia" w:ascii="黑体" w:hAnsi="黑体" w:eastAsia="黑体"/>
        </w:rPr>
        <w:t>三角闸门 triangular gate</w:t>
      </w:r>
    </w:p>
    <w:p>
      <w:pPr>
        <w:pStyle w:val="57"/>
        <w:keepNext w:val="0"/>
        <w:keepLines w:val="0"/>
        <w:pageBreakBefore w:val="0"/>
        <w:widowControl/>
        <w:kinsoku/>
        <w:wordWrap/>
        <w:overflowPunct/>
        <w:topLinePunct w:val="0"/>
        <w:bidi w:val="0"/>
        <w:adjustRightInd/>
        <w:snapToGrid/>
        <w:ind w:firstLine="409" w:firstLineChars="195"/>
        <w:textAlignment w:val="auto"/>
        <w:rPr>
          <w:rFonts w:hint="eastAsia"/>
        </w:rPr>
      </w:pPr>
      <w:r>
        <w:rPr>
          <w:rFonts w:hint="eastAsia"/>
        </w:rPr>
        <w:t>由左、右各一扇绕竖轴转动启闭的三角形或扇形门体构成的船闸闸门。</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lang w:val="en-US" w:eastAsia="zh-CN"/>
        </w:rPr>
      </w:pPr>
      <w:bookmarkStart w:id="81" w:name="_Toc31068"/>
      <w:bookmarkStart w:id="82" w:name="_Toc5661"/>
      <w:r>
        <w:rPr>
          <w:rFonts w:hint="eastAsia" w:ascii="黑体" w:hAnsi="黑体" w:eastAsia="黑体"/>
          <w:lang w:val="en-US" w:eastAsia="zh-CN"/>
        </w:rPr>
        <w:t>3.2</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firstLine="420" w:firstLineChars="200"/>
        <w:textAlignment w:val="auto"/>
        <w:rPr>
          <w:rFonts w:hint="eastAsia" w:ascii="黑体" w:hAnsi="黑体" w:eastAsia="黑体"/>
        </w:rPr>
      </w:pPr>
      <w:r>
        <w:rPr>
          <w:rFonts w:hint="eastAsia" w:ascii="黑体" w:hAnsi="黑体" w:eastAsia="黑体"/>
        </w:rPr>
        <w:t xml:space="preserve">主要检验项目 </w:t>
      </w:r>
      <w:r>
        <w:rPr>
          <w:rFonts w:hint="eastAsia" w:ascii="黑体" w:hAnsi="黑体" w:eastAsia="黑体"/>
          <w:lang w:val="en-US" w:eastAsia="zh-CN"/>
        </w:rPr>
        <w:t>m</w:t>
      </w:r>
      <w:r>
        <w:rPr>
          <w:rFonts w:hint="eastAsia" w:ascii="黑体" w:hAnsi="黑体" w:eastAsia="黑体"/>
        </w:rPr>
        <w:t>ain inspection items</w:t>
      </w:r>
      <w:bookmarkEnd w:id="81"/>
      <w:bookmarkEnd w:id="82"/>
    </w:p>
    <w:p>
      <w:pPr>
        <w:pStyle w:val="57"/>
        <w:keepNext w:val="0"/>
        <w:keepLines w:val="0"/>
        <w:pageBreakBefore w:val="0"/>
        <w:widowControl/>
        <w:kinsoku/>
        <w:wordWrap/>
        <w:overflowPunct/>
        <w:topLinePunct w:val="0"/>
        <w:bidi w:val="0"/>
        <w:adjustRightInd/>
        <w:snapToGrid/>
        <w:ind w:firstLine="420"/>
        <w:textAlignment w:val="auto"/>
        <w:rPr>
          <w:rFonts w:hint="eastAsia" w:ascii="黑体" w:hAnsi="黑体" w:eastAsia="黑体"/>
        </w:rPr>
      </w:pPr>
      <w:r>
        <w:rPr>
          <w:rFonts w:hint="eastAsia"/>
        </w:rPr>
        <w:t>分项工程中对安全、卫生、环境保护和公众利益起决定性作用的检验项目。</w:t>
      </w:r>
      <w:bookmarkStart w:id="83" w:name="_Toc4571"/>
      <w:bookmarkStart w:id="84" w:name="_Toc28523"/>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lang w:val="en-US" w:eastAsia="zh-CN"/>
        </w:rPr>
      </w:pPr>
      <w:r>
        <w:rPr>
          <w:rFonts w:hint="eastAsia" w:ascii="黑体" w:hAnsi="黑体" w:eastAsia="黑体"/>
          <w:lang w:val="en-US" w:eastAsia="zh-CN"/>
        </w:rPr>
        <w:t>3.3</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firstLine="420" w:firstLineChars="200"/>
        <w:textAlignment w:val="auto"/>
        <w:rPr>
          <w:rFonts w:hint="eastAsia" w:ascii="黑体" w:hAnsi="黑体" w:eastAsia="黑体"/>
        </w:rPr>
      </w:pPr>
      <w:r>
        <w:rPr>
          <w:rFonts w:hint="eastAsia" w:ascii="黑体" w:hAnsi="黑体" w:eastAsia="黑体"/>
        </w:rPr>
        <w:t xml:space="preserve">一般检验项目 </w:t>
      </w:r>
      <w:r>
        <w:rPr>
          <w:rFonts w:hint="eastAsia" w:ascii="黑体" w:hAnsi="黑体" w:eastAsia="黑体"/>
          <w:lang w:val="en-US" w:eastAsia="zh-CN"/>
        </w:rPr>
        <w:t>g</w:t>
      </w:r>
      <w:r>
        <w:rPr>
          <w:rFonts w:hint="eastAsia" w:ascii="黑体" w:hAnsi="黑体" w:eastAsia="黑体"/>
        </w:rPr>
        <w:t>eneral inspection items</w:t>
      </w:r>
      <w:bookmarkEnd w:id="83"/>
      <w:bookmarkEnd w:id="84"/>
    </w:p>
    <w:p>
      <w:pPr>
        <w:pStyle w:val="57"/>
        <w:keepNext w:val="0"/>
        <w:keepLines w:val="0"/>
        <w:pageBreakBefore w:val="0"/>
        <w:widowControl/>
        <w:kinsoku/>
        <w:wordWrap/>
        <w:overflowPunct/>
        <w:topLinePunct w:val="0"/>
        <w:bidi w:val="0"/>
        <w:adjustRightInd/>
        <w:snapToGrid/>
        <w:ind w:firstLine="420"/>
        <w:textAlignment w:val="auto"/>
        <w:rPr>
          <w:rFonts w:hint="eastAsia"/>
        </w:rPr>
      </w:pPr>
      <w:r>
        <w:rPr>
          <w:rFonts w:hint="eastAsia"/>
        </w:rPr>
        <w:t>主要检验项目以外的检验项目。</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lang w:val="en-US" w:eastAsia="zh-CN"/>
        </w:rPr>
      </w:pPr>
      <w:bookmarkStart w:id="85" w:name="_Toc8753"/>
      <w:bookmarkStart w:id="86" w:name="_Toc31224"/>
      <w:r>
        <w:rPr>
          <w:rFonts w:hint="eastAsia" w:ascii="黑体" w:hAnsi="黑体" w:eastAsia="黑体"/>
          <w:lang w:val="en-US" w:eastAsia="zh-CN"/>
        </w:rPr>
        <w:t>3.4</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firstLine="420" w:firstLineChars="200"/>
        <w:textAlignment w:val="auto"/>
        <w:rPr>
          <w:rFonts w:hint="eastAsia" w:ascii="黑体" w:hAnsi="黑体" w:eastAsia="黑体"/>
        </w:rPr>
      </w:pPr>
      <w:r>
        <w:rPr>
          <w:rFonts w:hint="eastAsia" w:ascii="黑体" w:hAnsi="黑体" w:eastAsia="黑体"/>
        </w:rPr>
        <w:t xml:space="preserve">严重缺陷 </w:t>
      </w:r>
      <w:r>
        <w:rPr>
          <w:rFonts w:hint="eastAsia" w:ascii="黑体" w:hAnsi="黑体" w:eastAsia="黑体"/>
          <w:lang w:val="en-US" w:eastAsia="zh-CN"/>
        </w:rPr>
        <w:t>s</w:t>
      </w:r>
      <w:r>
        <w:rPr>
          <w:rFonts w:hint="eastAsia" w:ascii="黑体" w:hAnsi="黑体" w:eastAsia="黑体"/>
        </w:rPr>
        <w:t>erious defects</w:t>
      </w:r>
    </w:p>
    <w:p>
      <w:pPr>
        <w:pStyle w:val="57"/>
        <w:keepNext w:val="0"/>
        <w:keepLines w:val="0"/>
        <w:pageBreakBefore w:val="0"/>
        <w:widowControl/>
        <w:kinsoku/>
        <w:wordWrap/>
        <w:overflowPunct/>
        <w:topLinePunct w:val="0"/>
        <w:bidi w:val="0"/>
        <w:adjustRightInd/>
        <w:snapToGrid/>
        <w:ind w:firstLine="420"/>
        <w:textAlignment w:val="auto"/>
        <w:rPr>
          <w:rFonts w:hint="eastAsia"/>
        </w:rPr>
      </w:pPr>
      <w:r>
        <w:rPr>
          <w:rFonts w:hint="eastAsia"/>
        </w:rPr>
        <w:t>对结构构件的受力、使用性能或耐久性有决定性影响的缺陷。</w:t>
      </w:r>
    </w:p>
    <w:bookmarkEnd w:id="85"/>
    <w:bookmarkEnd w:id="86"/>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lang w:val="en-US" w:eastAsia="zh-CN"/>
        </w:rPr>
      </w:pPr>
      <w:bookmarkStart w:id="87" w:name="_Toc20375"/>
      <w:bookmarkStart w:id="88" w:name="_Toc15215"/>
      <w:r>
        <w:rPr>
          <w:rFonts w:hint="eastAsia" w:ascii="黑体" w:hAnsi="黑体" w:eastAsia="黑体"/>
          <w:lang w:val="en-US" w:eastAsia="zh-CN"/>
        </w:rPr>
        <w:t>3.5</w:t>
      </w:r>
    </w:p>
    <w:p>
      <w:pPr>
        <w:pStyle w:val="224"/>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firstLine="420" w:firstLineChars="200"/>
        <w:textAlignment w:val="auto"/>
        <w:rPr>
          <w:rFonts w:hint="eastAsia" w:ascii="黑体" w:hAnsi="黑体" w:eastAsia="黑体"/>
        </w:rPr>
      </w:pPr>
      <w:r>
        <w:rPr>
          <w:rFonts w:hint="eastAsia" w:ascii="黑体" w:hAnsi="黑体" w:eastAsia="黑体"/>
        </w:rPr>
        <w:t xml:space="preserve">一般缺陷 </w:t>
      </w:r>
      <w:r>
        <w:rPr>
          <w:rFonts w:hint="eastAsia" w:ascii="黑体" w:hAnsi="黑体" w:eastAsia="黑体"/>
          <w:lang w:val="en-US" w:eastAsia="zh-CN"/>
        </w:rPr>
        <w:t>g</w:t>
      </w:r>
      <w:r>
        <w:rPr>
          <w:rFonts w:hint="eastAsia" w:ascii="黑体" w:hAnsi="黑体" w:eastAsia="黑体"/>
        </w:rPr>
        <w:t>eneral defects</w:t>
      </w:r>
    </w:p>
    <w:p>
      <w:pPr>
        <w:pStyle w:val="57"/>
        <w:keepNext w:val="0"/>
        <w:keepLines w:val="0"/>
        <w:pageBreakBefore w:val="0"/>
        <w:widowControl/>
        <w:kinsoku/>
        <w:wordWrap/>
        <w:overflowPunct/>
        <w:topLinePunct w:val="0"/>
        <w:bidi w:val="0"/>
        <w:adjustRightInd/>
        <w:snapToGrid/>
        <w:ind w:firstLine="420"/>
        <w:textAlignment w:val="auto"/>
        <w:rPr>
          <w:rFonts w:hint="eastAsia"/>
        </w:rPr>
      </w:pPr>
      <w:r>
        <w:rPr>
          <w:rFonts w:hint="eastAsia"/>
          <w:lang w:val="en-US" w:eastAsia="zh-CN"/>
        </w:rPr>
        <w:t>严重缺陷以外</w:t>
      </w:r>
      <w:r>
        <w:rPr>
          <w:rFonts w:hint="eastAsia"/>
        </w:rPr>
        <w:t>的缺陷。</w:t>
      </w:r>
    </w:p>
    <w:bookmarkEnd w:id="32"/>
    <w:bookmarkEnd w:id="87"/>
    <w:bookmarkEnd w:id="88"/>
    <w:p>
      <w:pPr>
        <w:pStyle w:val="105"/>
        <w:spacing w:before="312" w:after="312"/>
      </w:pPr>
      <w:bookmarkStart w:id="89" w:name="_Toc26522"/>
      <w:bookmarkStart w:id="90" w:name="_Toc106955799"/>
      <w:bookmarkStart w:id="91" w:name="_Toc107412436"/>
      <w:bookmarkStart w:id="92" w:name="_Toc103589721"/>
      <w:bookmarkStart w:id="93" w:name="_Toc31852"/>
      <w:bookmarkStart w:id="94" w:name="_Toc103589851"/>
      <w:bookmarkStart w:id="95" w:name="_Toc103673882"/>
      <w:bookmarkStart w:id="96" w:name="_Toc106906436"/>
      <w:bookmarkStart w:id="97" w:name="_Toc107439672"/>
      <w:bookmarkStart w:id="98" w:name="_Toc103676978"/>
      <w:bookmarkStart w:id="99" w:name="_Toc107410727"/>
      <w:r>
        <w:rPr>
          <w:rFonts w:hint="eastAsia"/>
          <w:lang w:val="en-US" w:eastAsia="zh-CN"/>
        </w:rPr>
        <w:t>质量检验</w:t>
      </w:r>
      <w:bookmarkEnd w:id="89"/>
      <w:bookmarkEnd w:id="90"/>
      <w:bookmarkEnd w:id="91"/>
      <w:bookmarkEnd w:id="92"/>
      <w:bookmarkEnd w:id="93"/>
      <w:bookmarkEnd w:id="94"/>
      <w:bookmarkEnd w:id="95"/>
      <w:bookmarkEnd w:id="96"/>
      <w:bookmarkEnd w:id="97"/>
      <w:bookmarkEnd w:id="98"/>
      <w:bookmarkEnd w:id="99"/>
    </w:p>
    <w:p>
      <w:pPr>
        <w:pStyle w:val="106"/>
        <w:spacing w:before="156" w:after="156"/>
        <w:rPr>
          <w:rFonts w:hint="default"/>
          <w:szCs w:val="22"/>
          <w:lang w:val="en-US" w:eastAsia="zh-CN"/>
        </w:rPr>
      </w:pPr>
      <w:bookmarkStart w:id="100" w:name="_Toc25357"/>
      <w:bookmarkStart w:id="101" w:name="_Toc9947"/>
      <w:bookmarkStart w:id="102" w:name="_Toc21138"/>
      <w:bookmarkStart w:id="103" w:name="_Toc103673883"/>
      <w:bookmarkStart w:id="104" w:name="_Toc107410728"/>
      <w:bookmarkStart w:id="105" w:name="_Toc106955800"/>
      <w:bookmarkStart w:id="106" w:name="_Toc107439673"/>
      <w:bookmarkStart w:id="107" w:name="_Toc107412437"/>
      <w:bookmarkStart w:id="108" w:name="_Toc103676979"/>
      <w:bookmarkStart w:id="109" w:name="_Toc25029"/>
      <w:bookmarkStart w:id="110" w:name="_Toc103589852"/>
      <w:bookmarkStart w:id="111" w:name="_Toc106906437"/>
      <w:bookmarkStart w:id="112" w:name="_Toc103589722"/>
      <w:r>
        <w:rPr>
          <w:rFonts w:hint="eastAsia"/>
          <w:szCs w:val="22"/>
          <w:lang w:val="en-US" w:eastAsia="zh-CN"/>
        </w:rPr>
        <w:t>一般规定</w:t>
      </w:r>
      <w:bookmarkEnd w:id="100"/>
      <w:bookmarkEnd w:id="101"/>
      <w:bookmarkEnd w:id="102"/>
    </w:p>
    <w:p>
      <w:pPr>
        <w:pStyle w:val="16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color w:val="auto"/>
          <w:highlight w:val="none"/>
        </w:rPr>
        <w:t>船闸</w:t>
      </w:r>
      <w:r>
        <w:rPr>
          <w:rFonts w:hint="eastAsia"/>
          <w:color w:val="auto"/>
          <w:highlight w:val="none"/>
          <w:lang w:val="en-US" w:eastAsia="zh-CN"/>
        </w:rPr>
        <w:t>三角门</w:t>
      </w:r>
      <w:r>
        <w:rPr>
          <w:rFonts w:hint="eastAsia"/>
          <w:color w:val="auto"/>
          <w:highlight w:val="none"/>
        </w:rPr>
        <w:t>工程施工应建立质量管理体系，工程开工前施工单位和监理单位</w:t>
      </w:r>
      <w:r>
        <w:rPr>
          <w:rFonts w:hint="eastAsia"/>
          <w:color w:val="auto"/>
          <w:highlight w:val="none"/>
          <w:lang w:val="en-US" w:eastAsia="zh-CN"/>
        </w:rPr>
        <w:t>应</w:t>
      </w:r>
      <w:r>
        <w:rPr>
          <w:rFonts w:hint="eastAsia"/>
          <w:color w:val="auto"/>
          <w:highlight w:val="none"/>
        </w:rPr>
        <w:t>按</w:t>
      </w:r>
      <w:r>
        <w:rPr>
          <w:rFonts w:hint="eastAsia"/>
          <w:color w:val="auto"/>
          <w:highlight w:val="none"/>
          <w:lang w:val="en-US" w:eastAsia="zh-CN"/>
        </w:rPr>
        <w:t>有关</w:t>
      </w:r>
      <w:r>
        <w:rPr>
          <w:rFonts w:hint="eastAsia"/>
          <w:color w:val="auto"/>
          <w:highlight w:val="none"/>
        </w:rPr>
        <w:t>规定，对施工现场的质量管理体系进行检查并填写记录。具体格式参见附录A</w:t>
      </w:r>
      <w:r>
        <w:rPr>
          <w:rFonts w:hint="eastAsia"/>
          <w:color w:val="auto"/>
          <w:highlight w:val="none"/>
          <w:lang w:val="en-US" w:eastAsia="zh-CN"/>
        </w:rPr>
        <w:t>.1</w:t>
      </w:r>
      <w:r>
        <w:rPr>
          <w:rFonts w:hint="eastAsia"/>
          <w:color w:val="auto"/>
          <w:highlight w:val="none"/>
        </w:rPr>
        <w:t>。</w:t>
      </w:r>
    </w:p>
    <w:p>
      <w:pPr>
        <w:pStyle w:val="16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color w:val="auto"/>
          <w:highlight w:val="none"/>
        </w:rPr>
        <w:t>施工单位应对工程采用的主要材料、构配件和设备等进行现场验收，并经监理工程师认可。对涉及结构安全和使用功能的，施工单位应按本标准的有关规定进行抽样检验，监理单位应按本标准的规定进行见证抽样检验或平行检验。</w:t>
      </w:r>
    </w:p>
    <w:p>
      <w:pPr>
        <w:pStyle w:val="16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color w:val="auto"/>
          <w:highlight w:val="none"/>
        </w:rPr>
        <w:t>各工序施工应按施工技术标准的规定进行质量控制，工序之间应进行交接检验，并形成记录。未经检验或经检验不合格的不得进行下道工序施工</w:t>
      </w:r>
      <w:r>
        <w:rPr>
          <w:rFonts w:hint="eastAsia"/>
          <w:color w:val="auto"/>
          <w:highlight w:val="none"/>
          <w:lang w:eastAsia="zh-CN"/>
        </w:rPr>
        <w:t>。</w:t>
      </w:r>
    </w:p>
    <w:p>
      <w:pPr>
        <w:pStyle w:val="16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color w:val="auto"/>
          <w:highlight w:val="none"/>
        </w:rPr>
        <w:t xml:space="preserve"> 施工单位应按国家现行标准</w:t>
      </w:r>
      <w:r>
        <w:rPr>
          <w:rFonts w:hint="eastAsia"/>
          <w:szCs w:val="22"/>
          <w:lang w:val="en-US" w:eastAsia="zh-CN"/>
        </w:rPr>
        <w:t>GB/T50661</w:t>
      </w:r>
      <w:r>
        <w:rPr>
          <w:rFonts w:hint="eastAsia"/>
          <w:color w:val="auto"/>
          <w:highlight w:val="none"/>
        </w:rPr>
        <w:t>的</w:t>
      </w:r>
      <w:r>
        <w:rPr>
          <w:rFonts w:hint="eastAsia"/>
          <w:color w:val="auto"/>
          <w:highlight w:val="none"/>
          <w:lang w:val="en-US" w:eastAsia="zh-CN"/>
        </w:rPr>
        <w:t>有关</w:t>
      </w:r>
      <w:r>
        <w:rPr>
          <w:rFonts w:hint="eastAsia"/>
          <w:color w:val="auto"/>
          <w:highlight w:val="none"/>
        </w:rPr>
        <w:t>规定进行焊接工艺评定</w:t>
      </w:r>
      <w:r>
        <w:rPr>
          <w:rFonts w:hint="eastAsia"/>
          <w:color w:val="auto"/>
          <w:highlight w:val="none"/>
          <w:lang w:eastAsia="zh-CN"/>
        </w:rPr>
        <w:t>，</w:t>
      </w:r>
      <w:r>
        <w:rPr>
          <w:rFonts w:hint="eastAsia"/>
          <w:color w:val="auto"/>
          <w:highlight w:val="none"/>
        </w:rPr>
        <w:t>根据评定报告确定焊接工艺</w:t>
      </w:r>
      <w:r>
        <w:rPr>
          <w:rFonts w:hint="eastAsia"/>
          <w:color w:val="auto"/>
          <w:highlight w:val="none"/>
          <w:lang w:eastAsia="zh-CN"/>
        </w:rPr>
        <w:t>，</w:t>
      </w:r>
      <w:r>
        <w:rPr>
          <w:rFonts w:hint="eastAsia"/>
          <w:color w:val="auto"/>
          <w:highlight w:val="none"/>
        </w:rPr>
        <w:t>编写焊接工艺规程并进行全过程质量控制。</w:t>
      </w:r>
    </w:p>
    <w:p>
      <w:pPr>
        <w:pStyle w:val="16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color w:val="auto"/>
          <w:highlight w:val="none"/>
        </w:rPr>
        <w:t>闸门组件和构件应在工厂进行预组装，并应经检验合格后才能出厂</w:t>
      </w:r>
      <w:r>
        <w:rPr>
          <w:rFonts w:hint="eastAsia"/>
          <w:color w:val="auto"/>
          <w:highlight w:val="none"/>
          <w:lang w:eastAsia="zh-CN"/>
        </w:rPr>
        <w:t>。</w:t>
      </w:r>
    </w:p>
    <w:p>
      <w:pPr>
        <w:pStyle w:val="106"/>
        <w:spacing w:before="156" w:after="156"/>
        <w:rPr>
          <w:rFonts w:hint="eastAsia"/>
          <w:szCs w:val="22"/>
          <w:lang w:val="en-US" w:eastAsia="zh-CN"/>
        </w:rPr>
      </w:pPr>
      <w:bookmarkStart w:id="113" w:name="_Toc32619"/>
      <w:r>
        <w:rPr>
          <w:rFonts w:hint="eastAsia"/>
          <w:szCs w:val="22"/>
          <w:lang w:val="en-US" w:eastAsia="zh-CN"/>
        </w:rPr>
        <w:t>焊接</w:t>
      </w:r>
      <w:bookmarkEnd w:id="113"/>
    </w:p>
    <w:p>
      <w:pPr>
        <w:pStyle w:val="166"/>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黑体" w:eastAsia="黑体" w:cs="黑体"/>
        </w:rPr>
      </w:pPr>
      <w:r>
        <w:rPr>
          <w:rFonts w:hint="eastAsia" w:ascii="黑体" w:hAnsi="黑体" w:eastAsia="黑体" w:cs="黑体"/>
          <w:lang w:val="en-US" w:eastAsia="zh-CN"/>
        </w:rPr>
        <w:t xml:space="preserve">4.2.1  </w:t>
      </w:r>
      <w:r>
        <w:rPr>
          <w:rFonts w:hint="eastAsia" w:ascii="黑体" w:hAnsi="黑体" w:eastAsia="黑体" w:cs="黑体"/>
        </w:rPr>
        <w:t>主要检验项目</w:t>
      </w:r>
    </w:p>
    <w:p>
      <w:pPr>
        <w:pStyle w:val="57"/>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textAlignment w:val="auto"/>
        <w:rPr>
          <w:rFonts w:hint="eastAsia"/>
          <w:lang w:val="en-US" w:eastAsia="zh-CN"/>
        </w:rPr>
      </w:pPr>
      <w:r>
        <w:rPr>
          <w:rFonts w:hint="eastAsia" w:ascii="黑体" w:hAnsi="黑体" w:eastAsia="黑体" w:cs="黑体"/>
          <w:lang w:val="en-US" w:eastAsia="zh-CN"/>
        </w:rPr>
        <w:t>4.2.1.1</w:t>
      </w:r>
      <w:r>
        <w:rPr>
          <w:rFonts w:hint="eastAsia"/>
          <w:lang w:val="en-US" w:eastAsia="zh-CN"/>
        </w:rPr>
        <w:t xml:space="preserve">  焊接材料与母材的品种、规格、性能和质量应满足设计要求，并应符合国家现行标准</w:t>
      </w:r>
      <w:r>
        <w:rPr>
          <w:rFonts w:hint="eastAsia"/>
          <w:color w:val="auto"/>
          <w:szCs w:val="22"/>
          <w:lang w:val="en-US" w:eastAsia="zh-CN"/>
        </w:rPr>
        <w:t>GB 50205、</w:t>
      </w:r>
      <w:r>
        <w:rPr>
          <w:rFonts w:hint="eastAsia"/>
          <w:szCs w:val="22"/>
          <w:lang w:val="en-US" w:eastAsia="zh-CN"/>
        </w:rPr>
        <w:t>GB/T50661</w:t>
      </w:r>
      <w:r>
        <w:rPr>
          <w:rFonts w:hint="eastAsia"/>
          <w:lang w:val="en-US" w:eastAsia="zh-CN"/>
        </w:rPr>
        <w:t>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检验方法：检查出厂质量证明文件和烘焙记录。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Times New Roman" w:cs="Times New Roman"/>
          <w:kern w:val="0"/>
          <w:sz w:val="21"/>
          <w:szCs w:val="20"/>
          <w:lang w:val="en-US" w:eastAsia="zh-CN" w:bidi="ar-SA"/>
        </w:rPr>
      </w:pPr>
      <w:r>
        <w:rPr>
          <w:rFonts w:hint="eastAsia" w:ascii="黑体" w:hAnsi="黑体" w:eastAsia="黑体" w:cs="黑体"/>
          <w:kern w:val="0"/>
          <w:sz w:val="21"/>
          <w:szCs w:val="22"/>
          <w:lang w:val="en-US" w:eastAsia="zh-CN" w:bidi="ar-SA"/>
        </w:rPr>
        <w:t>4.2.1.2</w:t>
      </w:r>
      <w:r>
        <w:rPr>
          <w:rFonts w:hint="eastAsia" w:ascii="宋体" w:hAnsi="Times New Roman" w:cs="Times New Roman"/>
          <w:kern w:val="0"/>
          <w:sz w:val="21"/>
          <w:szCs w:val="20"/>
          <w:lang w:val="en-US" w:eastAsia="zh-CN" w:bidi="ar-SA"/>
        </w:rPr>
        <w:t xml:space="preserve">  持证焊工必须在其焊工合格证书规定的认可范围内施焊严禁无证焊工施焊。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检验方法:检查焊工合格证及其认可范围、有效期。</w:t>
      </w:r>
    </w:p>
    <w:p>
      <w:pPr>
        <w:pStyle w:val="175"/>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color w:val="auto"/>
          <w:highlight w:val="none"/>
          <w:lang w:val="en-US" w:eastAsia="zh-CN"/>
        </w:rPr>
      </w:pPr>
      <w:r>
        <w:rPr>
          <w:rFonts w:hint="eastAsia" w:ascii="黑体" w:hAnsi="黑体" w:eastAsia="黑体" w:cs="黑体"/>
          <w:sz w:val="21"/>
          <w:szCs w:val="22"/>
          <w:lang w:val="en-US" w:eastAsia="zh-CN" w:bidi="ar-SA"/>
        </w:rPr>
        <w:t>4.2.1.3</w:t>
      </w:r>
      <w:r>
        <w:rPr>
          <w:rFonts w:hint="eastAsia"/>
          <w:highlight w:val="none"/>
          <w:lang w:val="en-US" w:eastAsia="zh-CN"/>
        </w:rPr>
        <w:t xml:space="preserve">  焊缝内部质量检测可选用超声波检测或射线检测，当无损检测人员应用其中一种检测方法，不能对所发现</w:t>
      </w:r>
      <w:r>
        <w:rPr>
          <w:rFonts w:hint="eastAsia"/>
          <w:color w:val="auto"/>
          <w:highlight w:val="none"/>
          <w:lang w:val="en-US" w:eastAsia="zh-CN"/>
        </w:rPr>
        <w:t>的缺欠进行定性和定量时，应采用其他无损检测方法进行复查。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检验数量：按构件和材料类别抽样检</w:t>
      </w:r>
      <w:r>
        <w:rPr>
          <w:rFonts w:hint="eastAsia" w:ascii="宋体" w:hAnsi="Times New Roman" w:cs="Times New Roman"/>
          <w:color w:val="auto"/>
          <w:kern w:val="0"/>
          <w:sz w:val="21"/>
          <w:szCs w:val="20"/>
          <w:highlight w:val="none"/>
          <w:lang w:val="en-US" w:eastAsia="zh-CN" w:bidi="ar-SA"/>
        </w:rPr>
        <w:t>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检验方法：检查无损检测报告和施工记录。</w:t>
      </w:r>
    </w:p>
    <w:p>
      <w:pPr>
        <w:pStyle w:val="175"/>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cs="Times New Roman"/>
          <w:kern w:val="0"/>
          <w:sz w:val="21"/>
          <w:szCs w:val="20"/>
          <w:lang w:val="en-US" w:eastAsia="zh-CN" w:bidi="ar-SA"/>
        </w:rPr>
      </w:pPr>
      <w:r>
        <w:rPr>
          <w:rFonts w:hint="eastAsia" w:ascii="黑体" w:hAnsi="黑体" w:eastAsia="黑体" w:cs="黑体"/>
          <w:sz w:val="21"/>
          <w:szCs w:val="22"/>
          <w:lang w:val="en-US" w:eastAsia="zh-CN" w:bidi="ar-SA"/>
        </w:rPr>
        <w:t xml:space="preserve">4.2.1.4 </w:t>
      </w:r>
      <w:r>
        <w:rPr>
          <w:rFonts w:hint="eastAsia" w:ascii="宋体" w:hAnsi="Times New Roman" w:cs="Times New Roman"/>
          <w:kern w:val="0"/>
          <w:sz w:val="21"/>
          <w:szCs w:val="20"/>
          <w:lang w:val="en-US" w:eastAsia="zh-CN" w:bidi="ar-SA"/>
        </w:rPr>
        <w:t xml:space="preserve"> </w:t>
      </w:r>
      <w:r>
        <w:rPr>
          <w:rFonts w:hint="default" w:ascii="宋体" w:hAnsi="Times New Roman" w:cs="Times New Roman"/>
          <w:kern w:val="0"/>
          <w:sz w:val="21"/>
          <w:szCs w:val="20"/>
          <w:lang w:val="en-US" w:eastAsia="zh-CN" w:bidi="ar-SA"/>
        </w:rPr>
        <w:t>设计要求的一、二</w:t>
      </w:r>
      <w:r>
        <w:rPr>
          <w:rFonts w:hint="eastAsia" w:ascii="宋体" w:hAnsi="Times New Roman" w:cs="Times New Roman"/>
          <w:kern w:val="0"/>
          <w:sz w:val="21"/>
          <w:szCs w:val="20"/>
          <w:lang w:val="en-US" w:eastAsia="zh-CN" w:bidi="ar-SA"/>
        </w:rPr>
        <w:t>类</w:t>
      </w:r>
      <w:r>
        <w:rPr>
          <w:rFonts w:hint="default" w:ascii="宋体" w:hAnsi="Times New Roman" w:cs="Times New Roman"/>
          <w:kern w:val="0"/>
          <w:sz w:val="21"/>
          <w:szCs w:val="20"/>
          <w:lang w:val="en-US" w:eastAsia="zh-CN" w:bidi="ar-SA"/>
        </w:rPr>
        <w:t>焊缝应进行内部缺陷的无损检测，一、二</w:t>
      </w:r>
      <w:r>
        <w:rPr>
          <w:rFonts w:hint="eastAsia" w:ascii="宋体" w:hAnsi="Times New Roman" w:cs="Times New Roman"/>
          <w:kern w:val="0"/>
          <w:sz w:val="21"/>
          <w:szCs w:val="20"/>
          <w:lang w:val="en-US" w:eastAsia="zh-CN" w:bidi="ar-SA"/>
        </w:rPr>
        <w:t>类</w:t>
      </w:r>
      <w:r>
        <w:rPr>
          <w:rFonts w:hint="default" w:ascii="宋体" w:hAnsi="Times New Roman" w:cs="Times New Roman"/>
          <w:kern w:val="0"/>
          <w:sz w:val="21"/>
          <w:szCs w:val="20"/>
          <w:lang w:val="en-US" w:eastAsia="zh-CN" w:bidi="ar-SA"/>
        </w:rPr>
        <w:t>焊缝的</w:t>
      </w:r>
      <w:r>
        <w:rPr>
          <w:rFonts w:hint="eastAsia" w:ascii="宋体" w:hAnsi="Times New Roman" w:cs="Times New Roman"/>
          <w:kern w:val="0"/>
          <w:sz w:val="21"/>
          <w:szCs w:val="20"/>
          <w:lang w:val="en-US" w:eastAsia="zh-CN" w:bidi="ar-SA"/>
        </w:rPr>
        <w:t>检测长度占全长的百分比应不少于</w:t>
      </w:r>
      <w:r>
        <w:rPr>
          <w:rFonts w:hint="default" w:ascii="宋体" w:hAnsi="Times New Roman" w:cs="Times New Roman"/>
          <w:kern w:val="0"/>
          <w:sz w:val="21"/>
          <w:szCs w:val="20"/>
          <w:lang w:val="en-US" w:eastAsia="zh-CN" w:bidi="ar-SA"/>
        </w:rPr>
        <w:t>表</w:t>
      </w:r>
      <w:r>
        <w:rPr>
          <w:rFonts w:hint="eastAsia" w:ascii="宋体" w:hAnsi="Times New Roman" w:cs="Times New Roman"/>
          <w:kern w:val="0"/>
          <w:sz w:val="21"/>
          <w:szCs w:val="20"/>
          <w:lang w:val="en-US" w:eastAsia="zh-CN" w:bidi="ar-SA"/>
        </w:rPr>
        <w:t>1</w:t>
      </w:r>
      <w:r>
        <w:rPr>
          <w:rFonts w:hint="default" w:ascii="宋体" w:hAnsi="Times New Roman" w:cs="Times New Roman"/>
          <w:kern w:val="0"/>
          <w:sz w:val="21"/>
          <w:szCs w:val="20"/>
          <w:lang w:val="en-US" w:eastAsia="zh-CN" w:bidi="ar-SA"/>
        </w:rPr>
        <w:t>的规定</w:t>
      </w:r>
      <w:r>
        <w:rPr>
          <w:rFonts w:hint="eastAsia" w:ascii="宋体" w:hAnsi="Times New Roman" w:cs="Times New Roman"/>
          <w:kern w:val="0"/>
          <w:sz w:val="21"/>
          <w:szCs w:val="20"/>
          <w:lang w:val="en-US" w:eastAsia="zh-CN" w:bidi="ar-SA"/>
        </w:rPr>
        <w:t>，合同、图样或设计文件另有规定时，按合同、图样或设计文件的规定执行。</w:t>
      </w:r>
      <w:r>
        <w:rPr>
          <w:rFonts w:hint="eastAsia" w:cs="Times New Roman"/>
          <w:kern w:val="0"/>
          <w:sz w:val="21"/>
          <w:szCs w:val="20"/>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cs="Times New Roman"/>
          <w:kern w:val="0"/>
          <w:sz w:val="21"/>
          <w:szCs w:val="20"/>
          <w:lang w:val="en-US" w:eastAsia="zh-CN" w:bidi="ar-SA"/>
        </w:rPr>
      </w:pPr>
      <w:r>
        <w:rPr>
          <w:rFonts w:hint="default" w:ascii="宋体" w:hAnsi="Times New Roman" w:cs="Times New Roman"/>
          <w:kern w:val="0"/>
          <w:sz w:val="21"/>
          <w:szCs w:val="20"/>
          <w:lang w:val="en-US" w:eastAsia="zh-CN" w:bidi="ar-SA"/>
        </w:rPr>
        <w:t>检</w:t>
      </w:r>
      <w:r>
        <w:rPr>
          <w:rFonts w:hint="eastAsia" w:ascii="宋体" w:hAnsi="Times New Roman" w:cs="Times New Roman"/>
          <w:kern w:val="0"/>
          <w:sz w:val="21"/>
          <w:szCs w:val="20"/>
          <w:lang w:val="en-US" w:eastAsia="zh-CN" w:bidi="ar-SA"/>
        </w:rPr>
        <w:t>验</w:t>
      </w:r>
      <w:r>
        <w:rPr>
          <w:rFonts w:hint="default" w:ascii="宋体" w:hAnsi="Times New Roman" w:cs="Times New Roman"/>
          <w:kern w:val="0"/>
          <w:sz w:val="21"/>
          <w:szCs w:val="20"/>
          <w:lang w:val="en-US" w:eastAsia="zh-CN" w:bidi="ar-SA"/>
        </w:rPr>
        <w:t>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cs="Times New Roman"/>
          <w:kern w:val="0"/>
          <w:sz w:val="21"/>
          <w:szCs w:val="20"/>
          <w:lang w:val="en-US" w:eastAsia="zh-CN" w:bidi="ar-SA"/>
        </w:rPr>
      </w:pPr>
      <w:r>
        <w:rPr>
          <w:rFonts w:hint="default" w:ascii="宋体" w:hAnsi="Times New Roman" w:cs="Times New Roman"/>
          <w:kern w:val="0"/>
          <w:sz w:val="21"/>
          <w:szCs w:val="20"/>
          <w:lang w:val="en-US" w:eastAsia="zh-CN" w:bidi="ar-SA"/>
        </w:rPr>
        <w:t>检验方法:检查超声波或射线探伤记录</w:t>
      </w:r>
      <w:r>
        <w:rPr>
          <w:rFonts w:hint="eastAsia" w:ascii="宋体" w:hAnsi="Times New Roman" w:cs="Times New Roman"/>
          <w:kern w:val="0"/>
          <w:sz w:val="21"/>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黑体" w:hAnsi="黑体" w:eastAsia="黑体" w:cs="黑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黑体" w:hAnsi="黑体" w:eastAsia="黑体" w:cs="黑体"/>
          <w:b w:val="0"/>
          <w:bCs w:val="0"/>
          <w:color w:val="auto"/>
          <w:kern w:val="0"/>
          <w:sz w:val="21"/>
          <w:szCs w:val="20"/>
          <w:lang w:val="en-US" w:eastAsia="zh-CN" w:bidi="ar-SA"/>
        </w:rPr>
      </w:pPr>
      <w:r>
        <w:rPr>
          <w:rFonts w:hint="eastAsia" w:ascii="黑体" w:hAnsi="黑体" w:eastAsia="黑体" w:cs="黑体"/>
          <w:b w:val="0"/>
          <w:bCs w:val="0"/>
          <w:color w:val="auto"/>
          <w:sz w:val="21"/>
          <w:szCs w:val="21"/>
        </w:rPr>
        <w:t>表</w:t>
      </w:r>
      <w:r>
        <w:rPr>
          <w:rFonts w:hint="eastAsia" w:ascii="黑体" w:hAnsi="黑体" w:eastAsia="黑体" w:cs="黑体"/>
          <w:b w:val="0"/>
          <w:bCs w:val="0"/>
          <w:color w:val="auto"/>
          <w:sz w:val="21"/>
          <w:szCs w:val="21"/>
          <w:lang w:val="en-US" w:eastAsia="zh-CN"/>
        </w:rPr>
        <w:t>1</w:t>
      </w:r>
      <w:r>
        <w:rPr>
          <w:rFonts w:hint="eastAsia" w:ascii="黑体" w:hAnsi="黑体" w:eastAsia="黑体" w:cs="黑体"/>
          <w:b w:val="0"/>
          <w:bCs w:val="0"/>
          <w:color w:val="auto"/>
          <w:sz w:val="21"/>
          <w:szCs w:val="21"/>
        </w:rPr>
        <w:t xml:space="preserve"> 焊缝</w:t>
      </w:r>
      <w:r>
        <w:rPr>
          <w:rFonts w:hint="eastAsia" w:ascii="黑体" w:hAnsi="黑体" w:eastAsia="黑体" w:cs="黑体"/>
          <w:b w:val="0"/>
          <w:bCs w:val="0"/>
          <w:color w:val="auto"/>
          <w:sz w:val="21"/>
          <w:szCs w:val="21"/>
          <w:lang w:val="en-US" w:eastAsia="zh-CN"/>
        </w:rPr>
        <w:t>无损检测比例</w:t>
      </w:r>
    </w:p>
    <w:tbl>
      <w:tblPr>
        <w:tblStyle w:val="28"/>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95"/>
        <w:gridCol w:w="1595"/>
        <w:gridCol w:w="159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钢种</w:t>
            </w:r>
          </w:p>
        </w:tc>
        <w:tc>
          <w:tcPr>
            <w:tcW w:w="1595"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板厚（mm）</w:t>
            </w:r>
          </w:p>
        </w:tc>
        <w:tc>
          <w:tcPr>
            <w:tcW w:w="3190" w:type="dxa"/>
            <w:gridSpan w:val="2"/>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射线检测（%）</w:t>
            </w:r>
          </w:p>
        </w:tc>
        <w:tc>
          <w:tcPr>
            <w:tcW w:w="3190" w:type="dxa"/>
            <w:gridSpan w:val="2"/>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超声波检测（%）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p>
        </w:tc>
        <w:tc>
          <w:tcPr>
            <w:tcW w:w="1595"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一类</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二类</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一类</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碳素钢</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＜38</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15</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50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5"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≥38</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20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低合金钢</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＜32</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20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50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Times New Roman" w:cs="Times New Roman"/>
                <w:kern w:val="0"/>
                <w:sz w:val="18"/>
                <w:szCs w:val="18"/>
                <w:vertAlign w:val="baseline"/>
                <w:lang w:val="en-US" w:eastAsia="zh-CN" w:bidi="ar-SA"/>
              </w:rPr>
            </w:pP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≥32</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25</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100</w:t>
            </w:r>
          </w:p>
        </w:tc>
        <w:tc>
          <w:tcPr>
            <w:tcW w:w="15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Times New Roman" w:cs="Times New Roman"/>
                <w:kern w:val="0"/>
                <w:sz w:val="18"/>
                <w:szCs w:val="18"/>
                <w:vertAlign w:val="baseline"/>
                <w:lang w:val="en-US" w:eastAsia="zh-CN" w:bidi="ar-SA"/>
              </w:rPr>
            </w:pPr>
            <w:r>
              <w:rPr>
                <w:rFonts w:hint="eastAsia" w:ascii="宋体" w:hAnsi="Times New Roman" w:cs="Times New Roman"/>
                <w:kern w:val="0"/>
                <w:sz w:val="18"/>
                <w:szCs w:val="18"/>
                <w:vertAlign w:val="baseline"/>
                <w:lang w:val="en-US" w:eastAsia="zh-CN" w:bidi="ar-SA"/>
              </w:rPr>
              <w:t>50</w:t>
            </w:r>
          </w:p>
        </w:tc>
      </w:tr>
    </w:tbl>
    <w:p>
      <w:pPr>
        <w:pStyle w:val="175"/>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ascii="宋体" w:hAnsi="Times New Roman" w:cs="Times New Roman"/>
          <w:kern w:val="0"/>
          <w:sz w:val="21"/>
          <w:szCs w:val="20"/>
          <w:lang w:val="en-US" w:eastAsia="zh-CN" w:bidi="ar-SA"/>
        </w:rPr>
      </w:pPr>
    </w:p>
    <w:p>
      <w:pPr>
        <w:pStyle w:val="175"/>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宋体" w:hAnsi="Times New Roman" w:cs="Times New Roman"/>
          <w:kern w:val="0"/>
          <w:sz w:val="21"/>
          <w:szCs w:val="20"/>
          <w:lang w:val="en-US" w:eastAsia="zh-CN" w:bidi="ar-SA"/>
        </w:rPr>
      </w:pPr>
      <w:r>
        <w:rPr>
          <w:rFonts w:hint="eastAsia" w:ascii="黑体" w:hAnsi="黑体" w:eastAsia="黑体" w:cs="黑体"/>
          <w:sz w:val="21"/>
          <w:szCs w:val="22"/>
          <w:lang w:val="en-US" w:eastAsia="zh-CN" w:bidi="ar-SA"/>
        </w:rPr>
        <w:t xml:space="preserve">4.2.1.5 </w:t>
      </w:r>
      <w:r>
        <w:rPr>
          <w:rFonts w:hint="eastAsia" w:ascii="宋体" w:hAnsi="Times New Roman" w:cs="Times New Roman"/>
          <w:kern w:val="0"/>
          <w:sz w:val="21"/>
          <w:szCs w:val="20"/>
          <w:lang w:val="en-US" w:eastAsia="zh-CN" w:bidi="ar-SA"/>
        </w:rPr>
        <w:t xml:space="preserve"> </w:t>
      </w:r>
      <w:r>
        <w:rPr>
          <w:rFonts w:hint="eastAsia"/>
          <w:lang w:val="en-US" w:eastAsia="zh-CN"/>
        </w:rPr>
        <w:t>超声波检测应按GB/T11345进行，检测等级为B级，按GB/T29712中的验收等级2评定；射线检测按B/T3323进行，射线透照技术等级为B级，一类焊缝不低于Ⅱ级为合格，二类焊缝不低于I级为合格。</w:t>
      </w:r>
    </w:p>
    <w:p>
      <w:pPr>
        <w:pStyle w:val="166"/>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eastAsia"/>
          <w:lang w:val="en-US" w:eastAsia="zh-CN"/>
        </w:rPr>
      </w:pPr>
      <w:r>
        <w:rPr>
          <w:rFonts w:hint="eastAsia" w:ascii="黑体" w:hAnsi="黑体" w:eastAsia="黑体" w:cs="黑体"/>
          <w:sz w:val="21"/>
          <w:szCs w:val="22"/>
          <w:lang w:val="en-US" w:eastAsia="zh-CN" w:bidi="ar-SA"/>
        </w:rPr>
        <w:t>4.2.2  一般检验项目</w:t>
      </w:r>
    </w:p>
    <w:p>
      <w:pPr>
        <w:pStyle w:val="175"/>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ascii="黑体" w:hAnsi="黑体" w:eastAsia="黑体" w:cs="黑体"/>
          <w:sz w:val="21"/>
          <w:szCs w:val="22"/>
          <w:lang w:val="en-US" w:eastAsia="zh-CN" w:bidi="ar-SA"/>
        </w:rPr>
        <w:t xml:space="preserve">4.2.2.1 </w:t>
      </w:r>
      <w:r>
        <w:rPr>
          <w:rFonts w:hint="eastAsia"/>
          <w:lang w:val="en-US" w:eastAsia="zh-CN"/>
        </w:rPr>
        <w:t xml:space="preserve"> 焊缝坡口形式应满足设计要求，并应符合国家现行标准</w:t>
      </w:r>
      <w:r>
        <w:rPr>
          <w:rFonts w:hint="eastAsia"/>
          <w:color w:val="auto"/>
          <w:szCs w:val="22"/>
          <w:lang w:val="en-US" w:eastAsia="zh-CN"/>
        </w:rPr>
        <w:t>GB/T985.1、GB/T985.2和GB/T985.4</w:t>
      </w:r>
      <w:r>
        <w:rPr>
          <w:rFonts w:hint="eastAsia"/>
          <w:lang w:val="en-US" w:eastAsia="zh-CN"/>
        </w:rPr>
        <w:t>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检验方法：观察检查，必要时测量检查。</w:t>
      </w:r>
    </w:p>
    <w:p>
      <w:pPr>
        <w:pStyle w:val="175"/>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color w:val="auto"/>
          <w:sz w:val="21"/>
          <w:szCs w:val="21"/>
        </w:rPr>
      </w:pPr>
      <w:r>
        <w:rPr>
          <w:rFonts w:hint="eastAsia" w:ascii="黑体" w:hAnsi="黑体" w:eastAsia="黑体" w:cs="黑体"/>
          <w:sz w:val="21"/>
          <w:szCs w:val="22"/>
          <w:lang w:val="en-US" w:eastAsia="zh-CN" w:bidi="ar-SA"/>
        </w:rPr>
        <w:t xml:space="preserve">4.2.2.2 </w:t>
      </w:r>
      <w:r>
        <w:rPr>
          <w:rFonts w:hint="eastAsia"/>
          <w:lang w:val="en-US" w:eastAsia="zh-CN"/>
        </w:rPr>
        <w:t xml:space="preserve"> 焊缝尺寸应满足设计要求，焊缝尺寸允许值应符合表2的规定。</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表2 焊缝尺寸允许值</w:t>
      </w:r>
    </w:p>
    <w:tbl>
      <w:tblPr>
        <w:tblStyle w:val="28"/>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153"/>
        <w:gridCol w:w="1243"/>
        <w:gridCol w:w="1127"/>
        <w:gridCol w:w="1905"/>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restart"/>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序号</w:t>
            </w:r>
          </w:p>
        </w:tc>
        <w:tc>
          <w:tcPr>
            <w:tcW w:w="3396" w:type="dxa"/>
            <w:gridSpan w:val="2"/>
            <w:vMerge w:val="restart"/>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项目</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允许</w:t>
            </w:r>
            <w:r>
              <w:rPr>
                <w:rFonts w:hint="eastAsia" w:ascii="宋体" w:hAnsi="宋体" w:cs="宋体"/>
                <w:color w:val="auto"/>
                <w:sz w:val="18"/>
                <w:szCs w:val="18"/>
                <w:vertAlign w:val="baseline"/>
                <w:lang w:val="en-US" w:eastAsia="zh-CN"/>
              </w:rPr>
              <w:t>缺欠尺寸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continue"/>
            <w:noWrap w:val="0"/>
            <w:vAlign w:val="center"/>
          </w:tcPr>
          <w:p>
            <w:pPr>
              <w:jc w:val="center"/>
              <w:rPr>
                <w:rFonts w:hint="eastAsia" w:ascii="宋体" w:hAnsi="宋体" w:eastAsia="宋体" w:cs="宋体"/>
                <w:color w:val="auto"/>
                <w:sz w:val="18"/>
                <w:szCs w:val="18"/>
                <w:vertAlign w:val="baseline"/>
              </w:rPr>
            </w:pPr>
          </w:p>
        </w:tc>
        <w:tc>
          <w:tcPr>
            <w:tcW w:w="3396" w:type="dxa"/>
            <w:gridSpan w:val="2"/>
            <w:vMerge w:val="continue"/>
            <w:noWrap w:val="0"/>
            <w:vAlign w:val="center"/>
          </w:tcPr>
          <w:p>
            <w:pPr>
              <w:jc w:val="center"/>
              <w:rPr>
                <w:rFonts w:hint="eastAsia" w:ascii="宋体" w:hAnsi="宋体" w:eastAsia="宋体" w:cs="宋体"/>
                <w:color w:val="auto"/>
                <w:sz w:val="18"/>
                <w:szCs w:val="18"/>
                <w:vertAlign w:val="baseline"/>
              </w:rPr>
            </w:pPr>
          </w:p>
        </w:tc>
        <w:tc>
          <w:tcPr>
            <w:tcW w:w="1127"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一</w:t>
            </w:r>
            <w:r>
              <w:rPr>
                <w:rFonts w:hint="eastAsia" w:ascii="宋体" w:hAnsi="宋体" w:cs="宋体"/>
                <w:color w:val="auto"/>
                <w:sz w:val="18"/>
                <w:szCs w:val="18"/>
                <w:vertAlign w:val="baseline"/>
                <w:lang w:val="en-US" w:eastAsia="zh-CN"/>
              </w:rPr>
              <w:t>类焊缝</w:t>
            </w:r>
          </w:p>
        </w:tc>
        <w:tc>
          <w:tcPr>
            <w:tcW w:w="1905"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二</w:t>
            </w:r>
            <w:r>
              <w:rPr>
                <w:rFonts w:hint="eastAsia" w:ascii="宋体" w:hAnsi="宋体" w:cs="宋体"/>
                <w:color w:val="auto"/>
                <w:sz w:val="18"/>
                <w:szCs w:val="18"/>
                <w:vertAlign w:val="baseline"/>
                <w:lang w:val="en-US" w:eastAsia="zh-CN"/>
              </w:rPr>
              <w:t>类焊缝</w:t>
            </w:r>
          </w:p>
        </w:tc>
        <w:tc>
          <w:tcPr>
            <w:tcW w:w="1686"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三</w:t>
            </w:r>
            <w:r>
              <w:rPr>
                <w:rFonts w:hint="eastAsia" w:ascii="宋体" w:hAnsi="宋体" w:cs="宋体"/>
                <w:color w:val="auto"/>
                <w:sz w:val="18"/>
                <w:szCs w:val="18"/>
                <w:vertAlign w:val="baseline"/>
                <w:lang w:val="en-US" w:eastAsia="zh-CN"/>
              </w:rPr>
              <w:t>类焊缝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裂纹</w:t>
            </w:r>
          </w:p>
        </w:tc>
        <w:tc>
          <w:tcPr>
            <w:tcW w:w="4718" w:type="dxa"/>
            <w:gridSpan w:val="3"/>
            <w:noWrap w:val="0"/>
            <w:vAlign w:val="center"/>
          </w:tcPr>
          <w:p>
            <w:pPr>
              <w:jc w:val="center"/>
              <w:rPr>
                <w:rFonts w:hint="eastAsia" w:ascii="宋体" w:hAnsi="宋体" w:eastAsia="宋体" w:cs="宋体"/>
                <w:color w:val="auto"/>
                <w:sz w:val="18"/>
                <w:szCs w:val="18"/>
                <w:vertAlign w:val="baseline"/>
                <w:lang w:eastAsia="zh-CN"/>
              </w:rPr>
            </w:pPr>
            <w:r>
              <w:rPr>
                <w:rFonts w:hint="eastAsia" w:ascii="宋体" w:hAnsi="宋体" w:cs="宋体"/>
                <w:color w:val="auto"/>
                <w:sz w:val="18"/>
                <w:szCs w:val="18"/>
                <w:vertAlign w:val="baseline"/>
                <w:lang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2</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焊瘤</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3</w:t>
            </w:r>
          </w:p>
        </w:tc>
        <w:tc>
          <w:tcPr>
            <w:tcW w:w="3396" w:type="dxa"/>
            <w:gridSpan w:val="2"/>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飞溅</w:t>
            </w:r>
          </w:p>
        </w:tc>
        <w:tc>
          <w:tcPr>
            <w:tcW w:w="4718" w:type="dxa"/>
            <w:gridSpan w:val="3"/>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清除干净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4</w:t>
            </w:r>
          </w:p>
        </w:tc>
        <w:tc>
          <w:tcPr>
            <w:tcW w:w="3396" w:type="dxa"/>
            <w:gridSpan w:val="2"/>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电弧擦伤</w:t>
            </w:r>
          </w:p>
        </w:tc>
        <w:tc>
          <w:tcPr>
            <w:tcW w:w="4718" w:type="dxa"/>
            <w:gridSpan w:val="3"/>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w:t>
            </w:r>
          </w:p>
        </w:tc>
        <w:tc>
          <w:tcPr>
            <w:tcW w:w="3396" w:type="dxa"/>
            <w:gridSpan w:val="2"/>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未焊透</w:t>
            </w:r>
          </w:p>
        </w:tc>
        <w:tc>
          <w:tcPr>
            <w:tcW w:w="1127" w:type="dxa"/>
            <w:noWrap w:val="0"/>
            <w:vAlign w:val="center"/>
          </w:tcPr>
          <w:p>
            <w:pPr>
              <w:jc w:val="both"/>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不允许</w:t>
            </w:r>
          </w:p>
        </w:tc>
        <w:tc>
          <w:tcPr>
            <w:tcW w:w="1905" w:type="dxa"/>
            <w:noWrap w:val="0"/>
            <w:vAlign w:val="center"/>
          </w:tcPr>
          <w:p>
            <w:pPr>
              <w:jc w:val="both"/>
              <w:rPr>
                <w:rFonts w:hint="default" w:ascii="宋体" w:hAnsi="宋体" w:eastAsia="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不加垫板单面焊允许值</w:t>
            </w:r>
            <w:r>
              <w:rPr>
                <w:rFonts w:hint="eastAsia" w:ascii="宋体" w:hAnsi="宋体" w:eastAsia="宋体" w:cs="宋体"/>
                <w:color w:val="auto"/>
                <w:sz w:val="18"/>
                <w:szCs w:val="18"/>
                <w:highlight w:val="none"/>
                <w:vertAlign w:val="baseline"/>
                <w:lang w:val="en-US" w:eastAsia="zh-CN"/>
              </w:rPr>
              <w:t>≤</w:t>
            </w:r>
            <w:r>
              <w:rPr>
                <w:rFonts w:hint="eastAsia" w:ascii="宋体" w:hAnsi="宋体" w:cs="宋体"/>
                <w:color w:val="auto"/>
                <w:sz w:val="18"/>
                <w:szCs w:val="18"/>
                <w:highlight w:val="none"/>
                <w:vertAlign w:val="baseline"/>
                <w:lang w:val="en-US" w:eastAsia="zh-CN"/>
              </w:rPr>
              <w:t>0.5</w:t>
            </w:r>
            <w:r>
              <w:rPr>
                <w:rFonts w:hint="eastAsia" w:ascii="宋体" w:hAnsi="宋体" w:eastAsia="宋体" w:cs="宋体"/>
                <w:color w:val="auto"/>
                <w:sz w:val="18"/>
                <w:szCs w:val="18"/>
                <w:highlight w:val="none"/>
                <w:lang w:val="en-US" w:eastAsia="zh-CN"/>
              </w:rPr>
              <w:t>δ且≤</w:t>
            </w:r>
            <w:r>
              <w:rPr>
                <w:rFonts w:hint="eastAsia" w:ascii="宋体" w:hAnsi="宋体" w:cs="宋体"/>
                <w:color w:val="auto"/>
                <w:sz w:val="18"/>
                <w:szCs w:val="18"/>
                <w:highlight w:val="none"/>
                <w:lang w:val="en-US" w:eastAsia="zh-CN"/>
              </w:rPr>
              <w:t>1.5，</w:t>
            </w:r>
            <w:r>
              <w:rPr>
                <w:rFonts w:hint="eastAsia" w:ascii="宋体" w:hAnsi="宋体" w:eastAsia="宋体" w:cs="宋体"/>
                <w:color w:val="auto"/>
                <w:sz w:val="18"/>
                <w:szCs w:val="18"/>
                <w:highlight w:val="none"/>
                <w:lang w:val="en-US" w:eastAsia="zh-CN"/>
              </w:rPr>
              <w:t>每100mm</w:t>
            </w:r>
            <w:r>
              <w:rPr>
                <w:rFonts w:hint="eastAsia" w:ascii="宋体" w:hAnsi="宋体" w:cs="宋体"/>
                <w:color w:val="auto"/>
                <w:sz w:val="18"/>
                <w:szCs w:val="18"/>
                <w:highlight w:val="none"/>
                <w:lang w:val="en-US" w:eastAsia="zh-CN"/>
              </w:rPr>
              <w:t>焊缝长度内缺欠总长度≤25</w:t>
            </w:r>
          </w:p>
        </w:tc>
        <w:tc>
          <w:tcPr>
            <w:tcW w:w="1686" w:type="dxa"/>
            <w:noWrap w:val="0"/>
            <w:vAlign w:val="center"/>
          </w:tcPr>
          <w:p>
            <w:pPr>
              <w:jc w:val="center"/>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w:t>
            </w:r>
            <w:r>
              <w:rPr>
                <w:rFonts w:hint="eastAsia" w:ascii="宋体" w:hAnsi="宋体" w:cs="宋体"/>
                <w:color w:val="auto"/>
                <w:sz w:val="18"/>
                <w:szCs w:val="18"/>
                <w:highlight w:val="none"/>
                <w:vertAlign w:val="baseline"/>
                <w:lang w:val="en-US" w:eastAsia="zh-CN"/>
              </w:rPr>
              <w:t>0.1</w:t>
            </w:r>
            <w:r>
              <w:rPr>
                <w:rFonts w:hint="eastAsia" w:ascii="宋体" w:hAnsi="宋体" w:eastAsia="宋体" w:cs="宋体"/>
                <w:color w:val="auto"/>
                <w:sz w:val="18"/>
                <w:szCs w:val="18"/>
                <w:highlight w:val="none"/>
                <w:lang w:val="en-US" w:eastAsia="zh-CN"/>
              </w:rPr>
              <w:t>δ且≤</w:t>
            </w:r>
            <w:r>
              <w:rPr>
                <w:rFonts w:hint="eastAsia" w:ascii="宋体" w:hAnsi="宋体" w:cs="宋体"/>
                <w:color w:val="auto"/>
                <w:sz w:val="18"/>
                <w:szCs w:val="18"/>
                <w:highlight w:val="none"/>
                <w:lang w:val="en-US" w:eastAsia="zh-CN"/>
              </w:rPr>
              <w:t>2.0</w:t>
            </w:r>
            <w:r>
              <w:rPr>
                <w:rFonts w:hint="eastAsia" w:ascii="宋体" w:hAnsi="宋体" w:eastAsia="宋体" w:cs="宋体"/>
                <w:color w:val="auto"/>
                <w:sz w:val="18"/>
                <w:szCs w:val="18"/>
                <w:highlight w:val="none"/>
                <w:lang w:val="en-US" w:eastAsia="zh-CN"/>
              </w:rPr>
              <w:t>，每100mm</w:t>
            </w:r>
            <w:r>
              <w:rPr>
                <w:rFonts w:hint="eastAsia" w:ascii="宋体" w:hAnsi="宋体" w:cs="宋体"/>
                <w:color w:val="auto"/>
                <w:sz w:val="18"/>
                <w:szCs w:val="18"/>
                <w:highlight w:val="none"/>
                <w:lang w:val="en-US" w:eastAsia="zh-CN"/>
              </w:rPr>
              <w:t>焊缝长度内缺欠总长度≤25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6</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表面夹渣</w:t>
            </w:r>
          </w:p>
        </w:tc>
        <w:tc>
          <w:tcPr>
            <w:tcW w:w="3032"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不允许</w:t>
            </w:r>
          </w:p>
        </w:tc>
        <w:tc>
          <w:tcPr>
            <w:tcW w:w="1686"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深</w:t>
            </w:r>
            <w:r>
              <w:rPr>
                <w:rFonts w:hint="eastAsia" w:ascii="宋体" w:hAnsi="宋体" w:eastAsia="宋体" w:cs="宋体"/>
                <w:color w:val="auto"/>
                <w:sz w:val="18"/>
                <w:szCs w:val="18"/>
                <w:vertAlign w:val="baseline"/>
                <w:lang w:val="en-US" w:eastAsia="zh-CN"/>
              </w:rPr>
              <w:t>≤0.1</w:t>
            </w:r>
            <w:r>
              <w:rPr>
                <w:rFonts w:hint="eastAsia" w:ascii="宋体" w:hAnsi="宋体" w:eastAsia="宋体" w:cs="宋体"/>
                <w:color w:val="auto"/>
                <w:sz w:val="18"/>
                <w:szCs w:val="18"/>
                <w:lang w:val="en-US" w:eastAsia="zh-CN"/>
              </w:rPr>
              <w:t>δ</w:t>
            </w:r>
            <w:r>
              <w:rPr>
                <w:rFonts w:hint="eastAsia" w:ascii="宋体" w:hAnsi="宋体" w:cs="宋体"/>
                <w:color w:val="auto"/>
                <w:sz w:val="18"/>
                <w:szCs w:val="18"/>
                <w:lang w:val="en-US" w:eastAsia="zh-CN"/>
              </w:rPr>
              <w:t>，长</w:t>
            </w:r>
            <w:r>
              <w:rPr>
                <w:rFonts w:hint="eastAsia" w:ascii="宋体" w:hAnsi="宋体" w:eastAsia="宋体" w:cs="宋体"/>
                <w:color w:val="auto"/>
                <w:sz w:val="18"/>
                <w:szCs w:val="18"/>
                <w:vertAlign w:val="baseline"/>
                <w:lang w:val="en-US" w:eastAsia="zh-CN"/>
              </w:rPr>
              <w:t>≤0.</w:t>
            </w:r>
            <w:r>
              <w:rPr>
                <w:rFonts w:hint="eastAsia" w:ascii="宋体" w:hAnsi="宋体" w:cs="宋体"/>
                <w:color w:val="auto"/>
                <w:sz w:val="18"/>
                <w:szCs w:val="18"/>
                <w:vertAlign w:val="baseline"/>
                <w:lang w:val="en-US" w:eastAsia="zh-CN"/>
              </w:rPr>
              <w:t>3</w:t>
            </w:r>
            <w:r>
              <w:rPr>
                <w:rFonts w:hint="eastAsia" w:ascii="宋体" w:hAnsi="宋体" w:eastAsia="宋体" w:cs="宋体"/>
                <w:color w:val="auto"/>
                <w:sz w:val="18"/>
                <w:szCs w:val="18"/>
                <w:lang w:val="en-US" w:eastAsia="zh-CN"/>
              </w:rPr>
              <w:t>δ</w:t>
            </w:r>
            <w:r>
              <w:rPr>
                <w:rFonts w:hint="eastAsia" w:ascii="宋体" w:hAnsi="宋体" w:cs="宋体"/>
                <w:color w:val="auto"/>
                <w:sz w:val="18"/>
                <w:szCs w:val="18"/>
                <w:lang w:val="en-US" w:eastAsia="zh-CN"/>
              </w:rPr>
              <w:t>且</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7</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咬边</w:t>
            </w:r>
          </w:p>
        </w:tc>
        <w:tc>
          <w:tcPr>
            <w:tcW w:w="3032"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深</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0.5</w:t>
            </w:r>
          </w:p>
        </w:tc>
        <w:tc>
          <w:tcPr>
            <w:tcW w:w="1686"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深</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8</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表面气孔</w:t>
            </w:r>
          </w:p>
        </w:tc>
        <w:tc>
          <w:tcPr>
            <w:tcW w:w="1127"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不允许</w:t>
            </w:r>
          </w:p>
        </w:tc>
        <w:tc>
          <w:tcPr>
            <w:tcW w:w="1905"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每米范围内允许3个φ1.0气孔，且间距≥20mm</w:t>
            </w:r>
          </w:p>
        </w:tc>
        <w:tc>
          <w:tcPr>
            <w:tcW w:w="1686"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每米范围内允许5个φ1.5气孔，且间距≥20mm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restart"/>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9</w:t>
            </w:r>
          </w:p>
        </w:tc>
        <w:tc>
          <w:tcPr>
            <w:tcW w:w="2153" w:type="dxa"/>
            <w:vMerge w:val="restart"/>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焊缝边缘直线度</w:t>
            </w:r>
          </w:p>
        </w:tc>
        <w:tc>
          <w:tcPr>
            <w:tcW w:w="1243"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手工焊</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在焊缝任意300mm长度内≤3.0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4" w:type="dxa"/>
            <w:vMerge w:val="continue"/>
            <w:noWrap w:val="0"/>
            <w:vAlign w:val="center"/>
          </w:tcPr>
          <w:p>
            <w:pPr>
              <w:jc w:val="center"/>
              <w:rPr>
                <w:rFonts w:hint="eastAsia" w:ascii="宋体" w:hAnsi="宋体" w:eastAsia="宋体" w:cs="宋体"/>
                <w:color w:val="auto"/>
                <w:sz w:val="18"/>
                <w:szCs w:val="18"/>
                <w:vertAlign w:val="baseline"/>
              </w:rPr>
            </w:pPr>
          </w:p>
        </w:tc>
        <w:tc>
          <w:tcPr>
            <w:tcW w:w="2153" w:type="dxa"/>
            <w:vMerge w:val="continue"/>
            <w:noWrap w:val="0"/>
            <w:vAlign w:val="center"/>
          </w:tcPr>
          <w:p>
            <w:pPr>
              <w:jc w:val="center"/>
              <w:rPr>
                <w:rFonts w:hint="eastAsia" w:ascii="宋体" w:hAnsi="宋体" w:eastAsia="宋体" w:cs="宋体"/>
                <w:color w:val="auto"/>
                <w:sz w:val="18"/>
                <w:szCs w:val="18"/>
                <w:vertAlign w:val="baseline"/>
              </w:rPr>
            </w:pPr>
          </w:p>
        </w:tc>
        <w:tc>
          <w:tcPr>
            <w:tcW w:w="1243"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自动焊</w:t>
            </w:r>
          </w:p>
        </w:tc>
        <w:tc>
          <w:tcPr>
            <w:tcW w:w="4718" w:type="dxa"/>
            <w:gridSpan w:val="3"/>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在焊缝任意300mm长度内≤2.0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10</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未焊满</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restart"/>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11</w:t>
            </w:r>
          </w:p>
        </w:tc>
        <w:tc>
          <w:tcPr>
            <w:tcW w:w="2153" w:type="dxa"/>
            <w:vMerge w:val="restart"/>
            <w:shd w:val="clear" w:color="auto" w:fill="auto"/>
            <w:noWrap w:val="0"/>
            <w:vAlign w:val="center"/>
          </w:tcPr>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eastAsia="宋体" w:cs="宋体"/>
                <w:color w:val="auto"/>
                <w:sz w:val="18"/>
                <w:szCs w:val="18"/>
                <w:vertAlign w:val="baseline"/>
                <w:lang w:val="en-US" w:eastAsia="zh-CN"/>
              </w:rPr>
              <w:t>对接焊缝余高</w:t>
            </w:r>
          </w:p>
        </w:tc>
        <w:tc>
          <w:tcPr>
            <w:tcW w:w="1243" w:type="dxa"/>
            <w:shd w:val="clear" w:color="auto" w:fill="auto"/>
            <w:noWrap w:val="0"/>
            <w:vAlign w:val="center"/>
          </w:tcPr>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手工焊</w:t>
            </w:r>
          </w:p>
        </w:tc>
        <w:tc>
          <w:tcPr>
            <w:tcW w:w="4718" w:type="dxa"/>
            <w:gridSpan w:val="3"/>
            <w:shd w:val="clear" w:color="auto" w:fill="auto"/>
            <w:noWrap w:val="0"/>
            <w:vAlign w:val="center"/>
          </w:tcPr>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平焊</w:t>
            </w:r>
            <w:r>
              <w:rPr>
                <w:rFonts w:hint="eastAsia" w:ascii="宋体" w:hAnsi="宋体" w:eastAsia="宋体" w:cs="宋体"/>
                <w:color w:val="auto"/>
                <w:sz w:val="18"/>
                <w:szCs w:val="18"/>
                <w:vertAlign w:val="baseline"/>
                <w:lang w:val="en-US" w:eastAsia="zh-CN"/>
              </w:rPr>
              <w:t>0～3.0</w:t>
            </w:r>
          </w:p>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立焊、横焊、仰焊</w:t>
            </w:r>
            <w:r>
              <w:rPr>
                <w:rFonts w:hint="eastAsia" w:ascii="宋体" w:hAnsi="宋体" w:eastAsia="宋体" w:cs="宋体"/>
                <w:color w:val="auto"/>
                <w:sz w:val="18"/>
                <w:szCs w:val="18"/>
                <w:vertAlign w:val="baseline"/>
                <w:lang w:val="en-US" w:eastAsia="zh-CN"/>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continue"/>
            <w:noWrap w:val="0"/>
            <w:vAlign w:val="center"/>
          </w:tcPr>
          <w:p>
            <w:pPr>
              <w:jc w:val="center"/>
              <w:rPr>
                <w:rFonts w:hint="eastAsia" w:ascii="宋体" w:hAnsi="宋体" w:eastAsia="宋体" w:cs="宋体"/>
                <w:color w:val="auto"/>
                <w:sz w:val="18"/>
                <w:szCs w:val="18"/>
                <w:vertAlign w:val="baseline"/>
              </w:rPr>
            </w:pPr>
          </w:p>
        </w:tc>
        <w:tc>
          <w:tcPr>
            <w:tcW w:w="2153" w:type="dxa"/>
            <w:vMerge w:val="continue"/>
            <w:noWrap w:val="0"/>
            <w:vAlign w:val="center"/>
          </w:tcPr>
          <w:p>
            <w:pPr>
              <w:jc w:val="center"/>
              <w:rPr>
                <w:rFonts w:hint="eastAsia" w:ascii="宋体" w:hAnsi="宋体" w:eastAsia="宋体" w:cs="宋体"/>
                <w:color w:val="auto"/>
                <w:sz w:val="18"/>
                <w:szCs w:val="18"/>
                <w:vertAlign w:val="baseline"/>
              </w:rPr>
            </w:pPr>
          </w:p>
        </w:tc>
        <w:tc>
          <w:tcPr>
            <w:tcW w:w="1243" w:type="dxa"/>
            <w:shd w:val="clear" w:color="auto" w:fill="auto"/>
            <w:noWrap w:val="0"/>
            <w:vAlign w:val="center"/>
          </w:tcPr>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自动焊</w:t>
            </w:r>
          </w:p>
        </w:tc>
        <w:tc>
          <w:tcPr>
            <w:tcW w:w="4718" w:type="dxa"/>
            <w:gridSpan w:val="3"/>
            <w:shd w:val="clear" w:color="auto" w:fill="auto"/>
            <w:noWrap w:val="0"/>
            <w:vAlign w:val="center"/>
          </w:tcPr>
          <w:p>
            <w:pPr>
              <w:jc w:val="center"/>
              <w:rPr>
                <w:rFonts w:hint="eastAsia" w:ascii="宋体" w:hAnsi="宋体" w:eastAsia="宋体" w:cs="宋体"/>
                <w:color w:val="auto"/>
                <w:kern w:val="2"/>
                <w:sz w:val="18"/>
                <w:szCs w:val="18"/>
                <w:vertAlign w:val="baseline"/>
                <w:lang w:val="en-US" w:eastAsia="zh-CN" w:bidi="ar-SA"/>
              </w:rPr>
            </w:pPr>
            <w:r>
              <w:rPr>
                <w:rFonts w:hint="eastAsia" w:ascii="宋体" w:hAnsi="宋体" w:eastAsia="宋体" w:cs="宋体"/>
                <w:color w:val="auto"/>
                <w:sz w:val="18"/>
                <w:szCs w:val="18"/>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4" w:type="dxa"/>
            <w:vMerge w:val="restart"/>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12</w:t>
            </w:r>
          </w:p>
        </w:tc>
        <w:tc>
          <w:tcPr>
            <w:tcW w:w="2153" w:type="dxa"/>
            <w:vMerge w:val="restart"/>
            <w:noWrap w:val="0"/>
            <w:vAlign w:val="center"/>
          </w:tcPr>
          <w:p>
            <w:pPr>
              <w:jc w:val="center"/>
              <w:rPr>
                <w:rFonts w:hint="default" w:ascii="宋体" w:hAnsi="宋体" w:eastAsia="宋体" w:cs="宋体"/>
                <w:color w:val="auto"/>
                <w:sz w:val="18"/>
                <w:szCs w:val="18"/>
                <w:vertAlign w:val="baseline"/>
                <w:lang w:val="en-US"/>
              </w:rPr>
            </w:pPr>
            <w:r>
              <w:rPr>
                <w:rFonts w:hint="eastAsia" w:ascii="宋体" w:hAnsi="宋体" w:eastAsia="宋体" w:cs="宋体"/>
                <w:color w:val="auto"/>
                <w:sz w:val="18"/>
                <w:szCs w:val="18"/>
                <w:vertAlign w:val="baseline"/>
                <w:lang w:val="en-US" w:eastAsia="zh-CN"/>
              </w:rPr>
              <w:t>对接焊缝</w:t>
            </w:r>
            <w:r>
              <w:rPr>
                <w:rFonts w:hint="eastAsia" w:ascii="宋体" w:hAnsi="宋体" w:cs="宋体"/>
                <w:color w:val="auto"/>
                <w:sz w:val="18"/>
                <w:szCs w:val="18"/>
                <w:vertAlign w:val="baseline"/>
                <w:lang w:val="en-US" w:eastAsia="zh-CN"/>
              </w:rPr>
              <w:t>宽度</w:t>
            </w:r>
          </w:p>
        </w:tc>
        <w:tc>
          <w:tcPr>
            <w:tcW w:w="1243" w:type="dxa"/>
            <w:shd w:val="clear" w:color="auto" w:fill="auto"/>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手工焊</w:t>
            </w:r>
          </w:p>
        </w:tc>
        <w:tc>
          <w:tcPr>
            <w:tcW w:w="4718" w:type="dxa"/>
            <w:gridSpan w:val="3"/>
            <w:shd w:val="clear" w:color="auto" w:fill="auto"/>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盖过每侧坡口宽度2</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4，且平滑过渡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continue"/>
            <w:noWrap w:val="0"/>
            <w:vAlign w:val="center"/>
          </w:tcPr>
          <w:p>
            <w:pPr>
              <w:jc w:val="center"/>
              <w:rPr>
                <w:rFonts w:hint="eastAsia" w:ascii="宋体" w:hAnsi="宋体" w:eastAsia="宋体" w:cs="宋体"/>
                <w:color w:val="auto"/>
                <w:sz w:val="18"/>
                <w:szCs w:val="18"/>
                <w:vertAlign w:val="baseline"/>
              </w:rPr>
            </w:pPr>
          </w:p>
        </w:tc>
        <w:tc>
          <w:tcPr>
            <w:tcW w:w="2153" w:type="dxa"/>
            <w:vMerge w:val="continue"/>
            <w:noWrap w:val="0"/>
            <w:vAlign w:val="center"/>
          </w:tcPr>
          <w:p>
            <w:pPr>
              <w:jc w:val="center"/>
              <w:rPr>
                <w:rFonts w:hint="eastAsia" w:ascii="宋体" w:hAnsi="宋体" w:eastAsia="宋体" w:cs="宋体"/>
                <w:color w:val="auto"/>
                <w:sz w:val="18"/>
                <w:szCs w:val="18"/>
                <w:vertAlign w:val="baseline"/>
              </w:rPr>
            </w:pPr>
          </w:p>
        </w:tc>
        <w:tc>
          <w:tcPr>
            <w:tcW w:w="1243" w:type="dxa"/>
            <w:shd w:val="clear" w:color="auto" w:fill="auto"/>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自动焊</w:t>
            </w:r>
          </w:p>
        </w:tc>
        <w:tc>
          <w:tcPr>
            <w:tcW w:w="4718" w:type="dxa"/>
            <w:gridSpan w:val="3"/>
            <w:shd w:val="clear" w:color="auto" w:fill="auto"/>
            <w:noWrap w:val="0"/>
            <w:vAlign w:val="center"/>
          </w:tcPr>
          <w:p>
            <w:pPr>
              <w:jc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开坡口时盖过每侧坡口宽度2</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7，且平滑过渡；</w:t>
            </w:r>
          </w:p>
          <w:p>
            <w:pPr>
              <w:jc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不开坡口时盖过每侧坡口宽度4</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14，且平滑过渡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restart"/>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w:t>
            </w:r>
            <w:r>
              <w:rPr>
                <w:rFonts w:hint="eastAsia" w:ascii="宋体" w:hAnsi="宋体" w:eastAsia="宋体" w:cs="宋体"/>
                <w:color w:val="auto"/>
                <w:sz w:val="18"/>
                <w:szCs w:val="18"/>
                <w:vertAlign w:val="baseline"/>
                <w:lang w:val="en-US" w:eastAsia="zh-CN"/>
              </w:rPr>
              <w:t>3</w:t>
            </w:r>
          </w:p>
        </w:tc>
        <w:tc>
          <w:tcPr>
            <w:tcW w:w="2153" w:type="dxa"/>
            <w:vMerge w:val="restart"/>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贴角焊缝余高偏差</w:t>
            </w:r>
          </w:p>
        </w:tc>
        <w:tc>
          <w:tcPr>
            <w:tcW w:w="1243"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K≤6</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Merge w:val="continue"/>
            <w:noWrap w:val="0"/>
            <w:vAlign w:val="center"/>
          </w:tcPr>
          <w:p>
            <w:pPr>
              <w:jc w:val="center"/>
              <w:rPr>
                <w:rFonts w:hint="eastAsia" w:ascii="宋体" w:hAnsi="宋体" w:eastAsia="宋体" w:cs="宋体"/>
                <w:color w:val="auto"/>
                <w:sz w:val="18"/>
                <w:szCs w:val="18"/>
                <w:vertAlign w:val="baseline"/>
              </w:rPr>
            </w:pPr>
          </w:p>
        </w:tc>
        <w:tc>
          <w:tcPr>
            <w:tcW w:w="2153" w:type="dxa"/>
            <w:vMerge w:val="continue"/>
            <w:noWrap w:val="0"/>
            <w:vAlign w:val="center"/>
          </w:tcPr>
          <w:p>
            <w:pPr>
              <w:jc w:val="center"/>
              <w:rPr>
                <w:rFonts w:hint="eastAsia" w:ascii="宋体" w:hAnsi="宋体" w:eastAsia="宋体" w:cs="宋体"/>
                <w:color w:val="auto"/>
                <w:sz w:val="18"/>
                <w:szCs w:val="18"/>
                <w:vertAlign w:val="baseline"/>
              </w:rPr>
            </w:pPr>
          </w:p>
        </w:tc>
        <w:tc>
          <w:tcPr>
            <w:tcW w:w="1243"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K＞6</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4" w:type="dxa"/>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w:t>
            </w:r>
            <w:r>
              <w:rPr>
                <w:rFonts w:hint="eastAsia" w:ascii="宋体" w:hAnsi="宋体" w:eastAsia="宋体" w:cs="宋体"/>
                <w:color w:val="auto"/>
                <w:sz w:val="18"/>
                <w:szCs w:val="18"/>
                <w:vertAlign w:val="baseline"/>
                <w:lang w:val="en-US" w:eastAsia="zh-CN"/>
              </w:rPr>
              <w:t>4</w:t>
            </w:r>
          </w:p>
        </w:tc>
        <w:tc>
          <w:tcPr>
            <w:tcW w:w="3396" w:type="dxa"/>
            <w:gridSpan w:val="2"/>
            <w:noWrap w:val="0"/>
            <w:vAlign w:val="center"/>
          </w:tcPr>
          <w:p>
            <w:pPr>
              <w:jc w:val="center"/>
              <w:rPr>
                <w:rFonts w:hint="eastAsia"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角焊缝厚度不足（按焊缝计算厚度）</w:t>
            </w:r>
          </w:p>
        </w:tc>
        <w:tc>
          <w:tcPr>
            <w:tcW w:w="1127"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不允许</w:t>
            </w:r>
          </w:p>
        </w:tc>
        <w:tc>
          <w:tcPr>
            <w:tcW w:w="1905"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≤0.3+0.05</w:t>
            </w:r>
            <w:r>
              <w:rPr>
                <w:rFonts w:hint="eastAsia" w:ascii="宋体" w:hAnsi="宋体" w:eastAsia="宋体" w:cs="宋体"/>
                <w:color w:val="auto"/>
                <w:sz w:val="18"/>
                <w:szCs w:val="18"/>
                <w:lang w:val="en-US" w:eastAsia="zh-CN"/>
              </w:rPr>
              <w:t>δ</w:t>
            </w:r>
            <w:r>
              <w:rPr>
                <w:rFonts w:hint="eastAsia" w:ascii="宋体" w:hAnsi="宋体" w:cs="宋体"/>
                <w:color w:val="auto"/>
                <w:sz w:val="18"/>
                <w:szCs w:val="18"/>
                <w:lang w:val="en-US" w:eastAsia="zh-CN"/>
              </w:rPr>
              <w:t>且≤1，每100mm焊缝长度内缺欠总长度≤25</w:t>
            </w:r>
          </w:p>
        </w:tc>
        <w:tc>
          <w:tcPr>
            <w:tcW w:w="1686"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≤0.3+0.05</w:t>
            </w:r>
            <w:r>
              <w:rPr>
                <w:rFonts w:hint="eastAsia" w:ascii="宋体" w:hAnsi="宋体" w:eastAsia="宋体" w:cs="宋体"/>
                <w:color w:val="auto"/>
                <w:sz w:val="18"/>
                <w:szCs w:val="18"/>
                <w:lang w:val="en-US" w:eastAsia="zh-CN"/>
              </w:rPr>
              <w:t>δ</w:t>
            </w:r>
            <w:r>
              <w:rPr>
                <w:rFonts w:hint="eastAsia" w:ascii="宋体" w:hAnsi="宋体" w:cs="宋体"/>
                <w:color w:val="auto"/>
                <w:sz w:val="18"/>
                <w:szCs w:val="18"/>
                <w:lang w:val="en-US" w:eastAsia="zh-CN"/>
              </w:rPr>
              <w:t>且≤2，每100mm焊缝长度内缺欠总长度≤25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864"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15</w:t>
            </w:r>
          </w:p>
        </w:tc>
        <w:tc>
          <w:tcPr>
            <w:tcW w:w="3396" w:type="dxa"/>
            <w:gridSpan w:val="2"/>
            <w:noWrap w:val="0"/>
            <w:vAlign w:val="center"/>
          </w:tcPr>
          <w:p>
            <w:pPr>
              <w:jc w:val="center"/>
              <w:rPr>
                <w:rFonts w:hint="eastAsia" w:ascii="宋体" w:hAnsi="宋体" w:eastAsia="宋体" w:cs="宋体"/>
                <w:color w:val="auto"/>
                <w:sz w:val="18"/>
                <w:szCs w:val="18"/>
                <w:vertAlign w:val="baseline"/>
              </w:rPr>
            </w:pPr>
            <w:r>
              <w:rPr>
                <w:rFonts w:hint="eastAsia" w:ascii="宋体" w:hAnsi="宋体" w:cs="宋体"/>
                <w:color w:val="auto"/>
                <w:sz w:val="18"/>
                <w:szCs w:val="18"/>
                <w:vertAlign w:val="baseline"/>
                <w:lang w:val="en-US" w:eastAsia="zh-CN"/>
              </w:rPr>
              <w:t>角焊缝焊脚K</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K＜12:0</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3.0，K≥12:0</w:t>
            </w:r>
            <w:r>
              <w:rPr>
                <w:rFonts w:hint="eastAsia" w:ascii="宋体" w:hAnsi="宋体" w:eastAsia="宋体" w:cs="宋体"/>
                <w:color w:val="auto"/>
                <w:sz w:val="18"/>
                <w:szCs w:val="18"/>
                <w:vertAlign w:val="baseline"/>
                <w:lang w:val="en-US" w:eastAsia="zh-CN"/>
              </w:rPr>
              <w:t>～</w:t>
            </w:r>
            <w:r>
              <w:rPr>
                <w:rFonts w:hint="eastAsia" w:ascii="宋体" w:hAnsi="宋体" w:cs="宋体"/>
                <w:color w:val="auto"/>
                <w:sz w:val="18"/>
                <w:szCs w:val="18"/>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16</w:t>
            </w:r>
          </w:p>
        </w:tc>
        <w:tc>
          <w:tcPr>
            <w:tcW w:w="3396" w:type="dxa"/>
            <w:gridSpan w:val="2"/>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焊脚不对称</w:t>
            </w:r>
          </w:p>
        </w:tc>
        <w:tc>
          <w:tcPr>
            <w:tcW w:w="4718" w:type="dxa"/>
            <w:gridSpan w:val="3"/>
            <w:noWrap w:val="0"/>
            <w:vAlign w:val="center"/>
          </w:tcPr>
          <w:p>
            <w:pPr>
              <w:jc w:val="center"/>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差值≤1+0.1K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gridSpan w:val="6"/>
            <w:noWrap w:val="0"/>
            <w:vAlign w:val="top"/>
          </w:tcPr>
          <w:p>
            <w:pPr>
              <w:jc w:val="both"/>
              <w:rPr>
                <w:rFonts w:hint="default" w:ascii="宋体" w:hAnsi="宋体" w:cs="宋体"/>
                <w:color w:val="auto"/>
                <w:sz w:val="18"/>
                <w:szCs w:val="18"/>
                <w:highlight w:val="none"/>
                <w:lang w:val="en-US" w:eastAsia="zh-CN"/>
              </w:rPr>
            </w:pPr>
            <w:r>
              <w:rPr>
                <w:rFonts w:hint="eastAsia" w:ascii="宋体" w:hAnsi="宋体" w:cs="宋体"/>
                <w:color w:val="auto"/>
                <w:sz w:val="18"/>
                <w:szCs w:val="18"/>
                <w:vertAlign w:val="baseline"/>
                <w:lang w:val="en-US" w:eastAsia="zh-CN"/>
              </w:rPr>
              <w:t>注：</w:t>
            </w:r>
            <w:r>
              <w:rPr>
                <w:rFonts w:hint="eastAsia" w:ascii="宋体" w:hAnsi="宋体" w:eastAsia="宋体" w:cs="宋体"/>
                <w:color w:val="auto"/>
                <w:sz w:val="18"/>
                <w:szCs w:val="18"/>
                <w:highlight w:val="none"/>
                <w:lang w:val="en-US" w:eastAsia="zh-CN"/>
              </w:rPr>
              <w:t>δ</w:t>
            </w:r>
            <w:r>
              <w:rPr>
                <w:rFonts w:hint="eastAsia" w:ascii="宋体" w:hAnsi="宋体" w:cs="宋体"/>
                <w:color w:val="auto"/>
                <w:sz w:val="18"/>
                <w:szCs w:val="18"/>
                <w:highlight w:val="none"/>
                <w:lang w:val="en-US" w:eastAsia="zh-CN"/>
              </w:rPr>
              <w:t>——板厚，K——焊脚；</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检验数量：每批同类型构件抽查10%且不少于3件。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检验方法：检查施工记录并用焊缝量规测量检查。</w:t>
      </w:r>
    </w:p>
    <w:p>
      <w:pPr>
        <w:pStyle w:val="106"/>
        <w:spacing w:before="156" w:after="156"/>
        <w:rPr>
          <w:rFonts w:hint="eastAsia"/>
          <w:szCs w:val="22"/>
          <w:lang w:val="en-US" w:eastAsia="zh-CN"/>
        </w:rPr>
      </w:pPr>
      <w:r>
        <w:rPr>
          <w:rFonts w:hint="eastAsia"/>
          <w:szCs w:val="22"/>
          <w:lang w:val="en-US" w:eastAsia="zh-CN"/>
        </w:rPr>
        <w:t>门体</w:t>
      </w:r>
    </w:p>
    <w:p>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default" w:ascii="黑体" w:hAnsi="黑体" w:eastAsia="黑体" w:cs="黑体"/>
          <w:szCs w:val="22"/>
          <w:lang w:val="en-US" w:eastAsia="zh-CN"/>
        </w:rPr>
      </w:pPr>
      <w:r>
        <w:rPr>
          <w:rFonts w:hint="eastAsia" w:ascii="黑体" w:hAnsi="黑体" w:eastAsia="黑体" w:cs="黑体"/>
          <w:szCs w:val="22"/>
          <w:lang w:val="en-US" w:eastAsia="zh-CN"/>
        </w:rPr>
        <w:t>4.3.</w:t>
      </w:r>
      <w:r>
        <w:rPr>
          <w:rFonts w:hint="eastAsia" w:ascii="黑体" w:hAnsi="黑体" w:eastAsia="黑体" w:cs="黑体"/>
          <w:kern w:val="0"/>
          <w:sz w:val="21"/>
          <w:szCs w:val="22"/>
          <w:lang w:val="en-US" w:eastAsia="zh-CN" w:bidi="ar-SA"/>
        </w:rPr>
        <w:t>1 主要检验项目</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4.3.1.1  </w:t>
      </w:r>
      <w:r>
        <w:rPr>
          <w:rFonts w:hint="eastAsia"/>
          <w:lang w:val="en-US" w:eastAsia="zh-CN"/>
        </w:rPr>
        <w:t>高强度螺栓连接副的形式、规格和技术参数应满足设计要求。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检验方法</w:t>
      </w:r>
      <w:r>
        <w:rPr>
          <w:rFonts w:hint="eastAsia" w:ascii="宋体" w:hAnsi="Times New Roman" w:eastAsia="宋体" w:cs="Times New Roman"/>
          <w:color w:val="0000FF"/>
          <w:kern w:val="0"/>
          <w:sz w:val="21"/>
          <w:szCs w:val="20"/>
          <w:lang w:val="en-US" w:eastAsia="zh-CN" w:bidi="ar-SA"/>
        </w:rPr>
        <w:t>：</w:t>
      </w:r>
      <w:r>
        <w:rPr>
          <w:rFonts w:hint="eastAsia" w:ascii="宋体" w:hAnsi="Times New Roman" w:eastAsia="宋体" w:cs="Times New Roman"/>
          <w:kern w:val="0"/>
          <w:sz w:val="21"/>
          <w:szCs w:val="20"/>
          <w:lang w:val="en-US" w:eastAsia="zh-CN" w:bidi="ar-SA"/>
        </w:rPr>
        <w:t>检查出厂质量证明文件和复验报告。</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4.3.1.2 </w:t>
      </w:r>
      <w:r>
        <w:rPr>
          <w:rFonts w:hint="eastAsia"/>
          <w:lang w:val="en-US" w:eastAsia="zh-CN"/>
        </w:rPr>
        <w:t xml:space="preserve"> 高强度螺栓连接摩擦面的抗滑移系数应满足设计要求。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检验方法：检查抗滑移系数试验报告和复验报告。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val="en-US" w:eastAsia="zh-CN"/>
        </w:rPr>
      </w:pPr>
      <w:r>
        <w:rPr>
          <w:rFonts w:hint="eastAsia" w:ascii="黑体" w:hAnsi="黑体" w:eastAsia="黑体" w:cs="黑体"/>
          <w:kern w:val="0"/>
          <w:sz w:val="21"/>
          <w:szCs w:val="22"/>
          <w:lang w:val="en-US" w:eastAsia="zh-CN" w:bidi="ar-SA"/>
        </w:rPr>
        <w:t xml:space="preserve">4.3.1.3 </w:t>
      </w:r>
      <w:r>
        <w:rPr>
          <w:rFonts w:hint="eastAsia" w:ascii="宋体" w:hAnsi="Times New Roman" w:cs="Times New Roman"/>
          <w:kern w:val="0"/>
          <w:sz w:val="21"/>
          <w:szCs w:val="20"/>
          <w:lang w:val="en-US" w:eastAsia="zh-CN" w:bidi="ar-SA"/>
        </w:rPr>
        <w:t xml:space="preserve"> 高强度大六角头螺栓连接副</w:t>
      </w:r>
      <w:r>
        <w:rPr>
          <w:rFonts w:hint="eastAsia"/>
          <w:lang w:val="en-US" w:eastAsia="zh-CN"/>
        </w:rPr>
        <w:t>的施拧顺序和初拧、终拧扭矩应满足设计要求，并应符合现行行业标准</w:t>
      </w:r>
      <w:r>
        <w:rPr>
          <w:rFonts w:hint="eastAsia" w:ascii="宋体" w:hAnsi="Times New Roman" w:eastAsia="宋体" w:cs="Times New Roman"/>
          <w:sz w:val="21"/>
          <w:szCs w:val="22"/>
          <w:lang w:val="en-US" w:eastAsia="zh-CN" w:bidi="ar-SA"/>
        </w:rPr>
        <w:t>JGJ82</w:t>
      </w:r>
      <w:r>
        <w:rPr>
          <w:rFonts w:hint="eastAsia"/>
          <w:lang w:val="en-US" w:eastAsia="zh-CN"/>
        </w:rPr>
        <w:t>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检验方法：采用扭矩扳手在螺栓终拧1h后、48h前进行检查。</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4.3.1.4 </w:t>
      </w:r>
      <w:r>
        <w:rPr>
          <w:rFonts w:hint="eastAsia"/>
          <w:lang w:val="en-US" w:eastAsia="zh-CN"/>
        </w:rPr>
        <w:t xml:space="preserve"> 螺母和垫圈的安装应满足设计要求。高强度螺栓连接副终拧后，螺栓丝扣外露宜为2～3扣，10%的螺栓丝扣外露可为1～4扣。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检验数量：全数检查</w:t>
      </w:r>
      <w:r>
        <w:rPr>
          <w:rFonts w:hint="eastAsia" w:ascii="宋体" w:hAnsi="Times New Roman" w:cs="Times New Roman"/>
          <w:kern w:val="0"/>
          <w:sz w:val="21"/>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4.3.1.5  </w:t>
      </w:r>
      <w:r>
        <w:rPr>
          <w:rFonts w:hint="eastAsia"/>
          <w:lang w:val="en-US" w:eastAsia="zh-CN"/>
        </w:rPr>
        <w:t>高强度螺栓孔不应采用气割扩孔。扩孔后的孔径不应超过1.2倍的螺栓直径。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4.3.1.6 </w:t>
      </w:r>
      <w:r>
        <w:rPr>
          <w:rFonts w:hint="eastAsia"/>
          <w:lang w:val="en-US" w:eastAsia="zh-CN"/>
        </w:rPr>
        <w:t xml:space="preserve"> 扭剪型高强度螺栓连接副终拧后，因构造原因未在终拧中拧掉梅花头的螺栓数不应多于该节点螺栓数的5%。</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检验方法：观察检查，被抽查节点中梅花头未拧掉的全数用扭矩法检查。</w:t>
      </w:r>
    </w:p>
    <w:p>
      <w:pPr>
        <w:pStyle w:val="166"/>
        <w:numPr>
          <w:ilvl w:val="3"/>
          <w:numId w:val="0"/>
        </w:numPr>
        <w:spacing w:line="240" w:lineRule="auto"/>
        <w:ind w:leftChars="0"/>
        <w:rPr>
          <w:rFonts w:hint="eastAsia"/>
        </w:rPr>
      </w:pPr>
      <w:r>
        <w:rPr>
          <w:rFonts w:hint="eastAsia" w:ascii="黑体" w:hAnsi="黑体" w:eastAsia="黑体" w:cs="黑体"/>
          <w:sz w:val="21"/>
          <w:szCs w:val="22"/>
          <w:lang w:val="en-US" w:eastAsia="zh-CN" w:bidi="ar-SA"/>
        </w:rPr>
        <w:t>4.3.1.7</w:t>
      </w:r>
      <w:r>
        <w:rPr>
          <w:rFonts w:hint="eastAsia"/>
          <w:lang w:val="en-US" w:eastAsia="zh-CN"/>
        </w:rPr>
        <w:t xml:space="preserve">  </w:t>
      </w:r>
      <w:r>
        <w:rPr>
          <w:rFonts w:hint="eastAsia"/>
        </w:rPr>
        <w:t>焊接球节点网架焊缝及圆管 T、K、Y 形节点焊缝内部缺陷分级和探伤方法应符合国家现行标准</w:t>
      </w:r>
      <w:r>
        <w:rPr>
          <w:rFonts w:hint="eastAsia" w:cs="Times New Roman"/>
          <w:sz w:val="21"/>
          <w:szCs w:val="22"/>
          <w:lang w:val="en-US" w:eastAsia="zh-CN" w:bidi="ar-SA"/>
        </w:rPr>
        <w:t>GB/T11345、GB/T37910.1</w:t>
      </w:r>
      <w:r>
        <w:rPr>
          <w:rFonts w:hint="eastAsia" w:ascii="宋体" w:hAnsi="Times New Roman" w:eastAsia="宋体" w:cs="Times New Roman"/>
          <w:sz w:val="21"/>
          <w:szCs w:val="22"/>
          <w:lang w:val="en-US" w:eastAsia="zh-CN" w:bidi="ar-SA"/>
        </w:rPr>
        <w:t xml:space="preserve"> 和GB/T50661的</w:t>
      </w:r>
      <w:r>
        <w:rPr>
          <w:rFonts w:hint="eastAsia"/>
        </w:rPr>
        <w:t>有关规定。</w:t>
      </w:r>
    </w:p>
    <w:p>
      <w:pPr>
        <w:pStyle w:val="166"/>
        <w:numPr>
          <w:ilvl w:val="3"/>
          <w:numId w:val="0"/>
        </w:numPr>
        <w:spacing w:line="240" w:lineRule="auto"/>
        <w:ind w:leftChars="0"/>
        <w:rPr>
          <w:rFonts w:hint="eastAsia"/>
        </w:rPr>
      </w:pPr>
      <w:r>
        <w:rPr>
          <w:rFonts w:hint="eastAsia" w:ascii="黑体" w:hAnsi="黑体" w:eastAsia="黑体" w:cs="黑体"/>
          <w:sz w:val="21"/>
          <w:szCs w:val="22"/>
          <w:lang w:val="en-US" w:eastAsia="zh-CN" w:bidi="ar-SA"/>
        </w:rPr>
        <w:t>4.3.1.8</w:t>
      </w:r>
      <w:r>
        <w:rPr>
          <w:rFonts w:hint="eastAsia"/>
          <w:lang w:val="en-US" w:eastAsia="zh-CN"/>
        </w:rPr>
        <w:t xml:space="preserve">  </w:t>
      </w:r>
      <w:r>
        <w:rPr>
          <w:rFonts w:hint="eastAsia"/>
        </w:rPr>
        <w:t>闸门浮箱的密封性试验应满足设计要求。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检验方法：检查试验报告并观察检查。</w:t>
      </w:r>
    </w:p>
    <w:p>
      <w:pPr>
        <w:pStyle w:val="166"/>
        <w:numPr>
          <w:ilvl w:val="3"/>
          <w:numId w:val="0"/>
        </w:numPr>
        <w:spacing w:line="240" w:lineRule="auto"/>
        <w:ind w:leftChars="0"/>
        <w:rPr>
          <w:rFonts w:hint="eastAsia"/>
          <w:lang w:val="en-US" w:eastAsia="zh-CN"/>
        </w:rPr>
      </w:pPr>
      <w:r>
        <w:rPr>
          <w:rFonts w:hint="eastAsia" w:ascii="黑体" w:hAnsi="黑体" w:eastAsia="黑体" w:cs="黑体"/>
          <w:sz w:val="21"/>
          <w:szCs w:val="22"/>
          <w:lang w:val="en-US" w:eastAsia="zh-CN" w:bidi="ar-SA"/>
        </w:rPr>
        <w:t xml:space="preserve">4.3.1.9 </w:t>
      </w:r>
      <w:r>
        <w:rPr>
          <w:rFonts w:hint="eastAsia"/>
          <w:lang w:val="en-US" w:eastAsia="zh-CN"/>
        </w:rPr>
        <w:t xml:space="preserve"> 分节制作的闸门在现场拼装成整体后，应对连接质量进行检查。焊接质量应符合第4.2.1.2节的有关规定。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检验方法：检查检测报告并观察检查。对螺栓连接必要时采用测力扳手检查。</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Times New Roman" w:cs="Times New Roman"/>
          <w:kern w:val="0"/>
          <w:sz w:val="21"/>
          <w:szCs w:val="20"/>
          <w:lang w:val="en-US" w:eastAsia="zh-CN" w:bidi="ar-SA"/>
        </w:rPr>
      </w:pPr>
      <w:r>
        <w:rPr>
          <w:rFonts w:hint="eastAsia" w:ascii="黑体" w:hAnsi="黑体" w:eastAsia="黑体" w:cs="黑体"/>
          <w:kern w:val="0"/>
          <w:sz w:val="21"/>
          <w:szCs w:val="22"/>
          <w:lang w:val="en-US" w:eastAsia="zh-CN" w:bidi="ar-SA"/>
        </w:rPr>
        <w:t>4.3.2  一般检验项目</w:t>
      </w:r>
    </w:p>
    <w:p>
      <w:pPr>
        <w:pStyle w:val="166"/>
        <w:numPr>
          <w:ilvl w:val="3"/>
          <w:numId w:val="0"/>
        </w:numPr>
        <w:ind w:firstLine="420" w:firstLineChars="200"/>
        <w:rPr>
          <w:rFonts w:hint="eastAsia"/>
          <w:lang w:val="en-US" w:eastAsia="zh-CN"/>
        </w:rPr>
      </w:pPr>
      <w:r>
        <w:rPr>
          <w:rFonts w:hint="eastAsia"/>
          <w:lang w:val="en-US" w:eastAsia="zh-CN"/>
        </w:rPr>
        <w:t>三角闸门门体安装的允许偏差、检验数量和方法应符合表3的规定。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黑体" w:hAnsi="黑体" w:eastAsia="黑体" w:cs="黑体"/>
          <w:b w:val="0"/>
          <w:bCs w:val="0"/>
          <w:color w:val="auto"/>
        </w:rPr>
      </w:pPr>
      <w:r>
        <w:rPr>
          <w:rFonts w:hint="eastAsia" w:ascii="黑体" w:hAnsi="黑体" w:eastAsia="黑体" w:cs="黑体"/>
          <w:b w:val="0"/>
          <w:bCs w:val="0"/>
          <w:color w:val="auto"/>
          <w:lang w:val="en-US" w:eastAsia="zh-CN"/>
        </w:rPr>
        <w:t xml:space="preserve">表3 </w:t>
      </w:r>
      <w:r>
        <w:rPr>
          <w:rFonts w:hint="eastAsia" w:ascii="黑体" w:hAnsi="黑体" w:eastAsia="黑体" w:cs="黑体"/>
          <w:b w:val="0"/>
          <w:bCs w:val="0"/>
          <w:color w:val="auto"/>
        </w:rPr>
        <w:t>三角闸门门体安装质量检验项目与标准</w:t>
      </w:r>
    </w:p>
    <w:tbl>
      <w:tblPr>
        <w:tblStyle w:val="27"/>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
        <w:gridCol w:w="365"/>
        <w:gridCol w:w="1417"/>
        <w:gridCol w:w="1740"/>
        <w:gridCol w:w="2382"/>
        <w:gridCol w:w="1673"/>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30" w:type="dxa"/>
            <w:gridSpan w:val="2"/>
            <w:tcBorders>
              <w:top w:val="single" w:color="auto" w:sz="8" w:space="0"/>
              <w:left w:val="single" w:color="auto" w:sz="8" w:space="0"/>
            </w:tcBorders>
            <w:noWrap w:val="0"/>
            <w:vAlign w:val="center"/>
          </w:tcPr>
          <w:p>
            <w:pPr>
              <w:pStyle w:val="16"/>
              <w:snapToGrid w:val="0"/>
              <w:spacing w:line="220" w:lineRule="atLeast"/>
              <w:jc w:val="center"/>
              <w:rPr>
                <w:rFonts w:hint="eastAsia" w:ascii="宋体" w:hAnsi="宋体" w:eastAsia="宋体" w:cs="宋体"/>
                <w:color w:val="auto"/>
                <w:sz w:val="18"/>
                <w:szCs w:val="18"/>
              </w:rPr>
            </w:pPr>
            <w:r>
              <w:rPr>
                <w:rFonts w:hint="eastAsia" w:ascii="宋体" w:hAnsi="宋体" w:eastAsia="宋体" w:cs="宋体"/>
                <w:color w:val="auto"/>
                <w:sz w:val="18"/>
                <w:szCs w:val="18"/>
              </w:rPr>
              <w:t>项次</w:t>
            </w:r>
          </w:p>
        </w:tc>
        <w:tc>
          <w:tcPr>
            <w:tcW w:w="3157" w:type="dxa"/>
            <w:gridSpan w:val="2"/>
            <w:tcBorders>
              <w:top w:val="single" w:color="auto" w:sz="8" w:space="0"/>
            </w:tcBorders>
            <w:noWrap w:val="0"/>
            <w:vAlign w:val="center"/>
          </w:tcPr>
          <w:p>
            <w:pPr>
              <w:pStyle w:val="16"/>
              <w:snapToGrid w:val="0"/>
              <w:spacing w:line="220" w:lineRule="atLeast"/>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检验项目</w:t>
            </w:r>
          </w:p>
        </w:tc>
        <w:tc>
          <w:tcPr>
            <w:tcW w:w="2382" w:type="dxa"/>
            <w:tcBorders>
              <w:top w:val="single" w:color="auto" w:sz="8" w:space="0"/>
              <w:bottom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 xml:space="preserve"> 质量要求（允许偏差）</w:t>
            </w:r>
          </w:p>
        </w:tc>
        <w:tc>
          <w:tcPr>
            <w:tcW w:w="1673" w:type="dxa"/>
            <w:tcBorders>
              <w:top w:val="single" w:color="auto" w:sz="8" w:space="0"/>
            </w:tcBorders>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检验方法</w:t>
            </w:r>
          </w:p>
        </w:tc>
        <w:tc>
          <w:tcPr>
            <w:tcW w:w="1646" w:type="dxa"/>
            <w:tcBorders>
              <w:top w:val="single" w:color="auto" w:sz="8" w:space="0"/>
              <w:right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restart"/>
            <w:tcBorders>
              <w:top w:val="single" w:color="auto" w:sz="8" w:space="0"/>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主</w:t>
            </w:r>
          </w:p>
          <w:p>
            <w:pPr>
              <w:pStyle w:val="13"/>
              <w:snapToGrid w:val="0"/>
              <w:spacing w:after="0"/>
              <w:jc w:val="both"/>
              <w:rPr>
                <w:rFonts w:hint="eastAsia" w:ascii="宋体" w:hAnsi="宋体" w:eastAsia="宋体" w:cs="宋体"/>
                <w:snapToGrid w:val="0"/>
                <w:color w:val="auto"/>
                <w:sz w:val="18"/>
                <w:szCs w:val="18"/>
              </w:rPr>
            </w:pPr>
            <w:r>
              <w:rPr>
                <w:rFonts w:hint="eastAsia" w:ascii="宋体" w:hAnsi="宋体" w:cs="宋体"/>
                <w:snapToGrid w:val="0"/>
                <w:color w:val="auto"/>
                <w:sz w:val="18"/>
                <w:szCs w:val="18"/>
                <w:lang w:val="en-US" w:eastAsia="zh-CN"/>
              </w:rPr>
              <w:t>要检验</w:t>
            </w:r>
            <w:r>
              <w:rPr>
                <w:rFonts w:hint="eastAsia" w:ascii="宋体" w:hAnsi="宋体" w:eastAsia="宋体" w:cs="宋体"/>
                <w:snapToGrid w:val="0"/>
                <w:color w:val="auto"/>
                <w:sz w:val="18"/>
                <w:szCs w:val="18"/>
              </w:rPr>
              <w:t>项</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目</w:t>
            </w:r>
          </w:p>
        </w:tc>
        <w:tc>
          <w:tcPr>
            <w:tcW w:w="365" w:type="dxa"/>
            <w:tcBorders>
              <w:top w:val="single" w:color="auto" w:sz="8" w:space="0"/>
            </w:tcBorders>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157" w:type="dxa"/>
            <w:gridSpan w:val="2"/>
            <w:tcBorders>
              <w:top w:val="single" w:color="auto" w:sz="8" w:space="0"/>
            </w:tcBorders>
            <w:noWrap w:val="0"/>
            <w:vAlign w:val="center"/>
          </w:tcPr>
          <w:p>
            <w:pPr>
              <w:pStyle w:val="16"/>
              <w:snapToGrid w:val="0"/>
              <w:spacing w:line="22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顶枢轴线与底枢轴线同轴度</w:t>
            </w:r>
            <w:r>
              <w:rPr>
                <w:rFonts w:hint="eastAsia" w:ascii="宋体" w:hAnsi="宋体" w:cs="宋体"/>
                <w:color w:val="auto"/>
                <w:sz w:val="18"/>
                <w:szCs w:val="18"/>
                <w:lang w:val="en-US" w:eastAsia="zh-CN"/>
              </w:rPr>
              <w:t>*</w:t>
            </w:r>
          </w:p>
        </w:tc>
        <w:tc>
          <w:tcPr>
            <w:tcW w:w="2382" w:type="dxa"/>
            <w:tcBorders>
              <w:top w:val="single" w:color="auto" w:sz="8" w:space="0"/>
            </w:tcBorders>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2.0</w:t>
            </w:r>
            <w:r>
              <w:rPr>
                <w:rFonts w:hint="eastAsia" w:ascii="宋体" w:hAnsi="宋体" w:cs="宋体"/>
                <w:color w:val="auto"/>
                <w:sz w:val="18"/>
                <w:szCs w:val="18"/>
                <w:lang w:val="en-US" w:eastAsia="zh-CN"/>
              </w:rPr>
              <w:t>mm</w:t>
            </w:r>
          </w:p>
        </w:tc>
        <w:tc>
          <w:tcPr>
            <w:tcW w:w="1673" w:type="dxa"/>
            <w:tcBorders>
              <w:top w:val="single" w:color="auto" w:sz="8" w:space="0"/>
            </w:tcBorders>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经纬仪、钢直尺</w:t>
            </w:r>
          </w:p>
        </w:tc>
        <w:tc>
          <w:tcPr>
            <w:tcW w:w="1646" w:type="dxa"/>
            <w:tcBorders>
              <w:top w:val="single" w:color="auto" w:sz="8" w:space="0"/>
              <w:right w:val="single" w:color="auto" w:sz="8" w:space="0"/>
            </w:tcBorders>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测2点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65" w:type="dxa"/>
            <w:vMerge w:val="continue"/>
            <w:tcBorders>
              <w:left w:val="single" w:color="auto" w:sz="8" w:space="0"/>
            </w:tcBorders>
            <w:noWrap w:val="0"/>
            <w:vAlign w:val="center"/>
          </w:tcPr>
          <w:p>
            <w:pPr>
              <w:pStyle w:val="16"/>
              <w:snapToGrid w:val="0"/>
              <w:jc w:val="left"/>
              <w:rPr>
                <w:rFonts w:hint="eastAsia" w:ascii="宋体" w:hAnsi="宋体" w:eastAsia="宋体" w:cs="宋体"/>
                <w:color w:val="auto"/>
                <w:sz w:val="18"/>
                <w:szCs w:val="18"/>
              </w:rPr>
            </w:pPr>
          </w:p>
        </w:tc>
        <w:tc>
          <w:tcPr>
            <w:tcW w:w="365" w:type="dxa"/>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1417" w:type="dxa"/>
            <w:noWrap w:val="0"/>
            <w:vAlign w:val="center"/>
          </w:tcPr>
          <w:p>
            <w:pPr>
              <w:pStyle w:val="16"/>
              <w:snapToGrid w:val="0"/>
              <w:spacing w:line="22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门叶顶部中心点最大跳动量</w:t>
            </w:r>
          </w:p>
        </w:tc>
        <w:tc>
          <w:tcPr>
            <w:tcW w:w="1740" w:type="dxa"/>
            <w:noWrap w:val="0"/>
            <w:vAlign w:val="center"/>
          </w:tcPr>
          <w:p>
            <w:pPr>
              <w:pStyle w:val="16"/>
              <w:snapToGrid w:val="0"/>
              <w:spacing w:line="220" w:lineRule="exact"/>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B＜18000mm</w:t>
            </w:r>
          </w:p>
          <w:p>
            <w:pPr>
              <w:pStyle w:val="16"/>
              <w:snapToGrid w:val="0"/>
              <w:spacing w:line="220" w:lineRule="exact"/>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B≥18</w:t>
            </w:r>
            <w:r>
              <w:rPr>
                <w:rFonts w:hint="eastAsia" w:ascii="宋体" w:hAnsi="宋体" w:eastAsia="宋体" w:cs="宋体"/>
                <w:color w:val="auto"/>
                <w:sz w:val="18"/>
                <w:szCs w:val="18"/>
                <w:highlight w:val="none"/>
                <w:lang w:val="en-US" w:eastAsia="zh-CN"/>
              </w:rPr>
              <w:t>000</w:t>
            </w:r>
            <w:r>
              <w:rPr>
                <w:rFonts w:hint="eastAsia" w:ascii="宋体" w:hAnsi="宋体" w:cs="宋体"/>
                <w:color w:val="auto"/>
                <w:sz w:val="18"/>
                <w:szCs w:val="18"/>
                <w:highlight w:val="none"/>
                <w:lang w:val="en-US" w:eastAsia="zh-CN"/>
              </w:rPr>
              <w:t>mm</w:t>
            </w:r>
          </w:p>
        </w:tc>
        <w:tc>
          <w:tcPr>
            <w:tcW w:w="2382" w:type="dxa"/>
            <w:noWrap w:val="0"/>
            <w:vAlign w:val="center"/>
          </w:tcPr>
          <w:p>
            <w:pPr>
              <w:pStyle w:val="16"/>
              <w:snapToGrid w:val="0"/>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1.5</w:t>
            </w:r>
            <w:r>
              <w:rPr>
                <w:rFonts w:hint="eastAsia" w:ascii="宋体" w:hAnsi="宋体" w:cs="宋体"/>
                <w:color w:val="auto"/>
                <w:sz w:val="18"/>
                <w:szCs w:val="18"/>
                <w:highlight w:val="none"/>
                <w:lang w:val="en-US" w:eastAsia="zh-CN"/>
              </w:rPr>
              <w:t>mm</w:t>
            </w:r>
          </w:p>
          <w:p>
            <w:pPr>
              <w:pStyle w:val="16"/>
              <w:snapToGrid w:val="0"/>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2.0</w:t>
            </w:r>
            <w:r>
              <w:rPr>
                <w:rFonts w:hint="eastAsia" w:ascii="宋体" w:hAnsi="宋体" w:cs="宋体"/>
                <w:color w:val="auto"/>
                <w:sz w:val="18"/>
                <w:szCs w:val="18"/>
                <w:highlight w:val="none"/>
                <w:lang w:val="en-US" w:eastAsia="zh-CN"/>
              </w:rPr>
              <w:t>mm</w:t>
            </w:r>
          </w:p>
        </w:tc>
        <w:tc>
          <w:tcPr>
            <w:tcW w:w="1673" w:type="dxa"/>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水准仪、铟钢尺</w:t>
            </w:r>
          </w:p>
        </w:tc>
        <w:tc>
          <w:tcPr>
            <w:tcW w:w="1646" w:type="dxa"/>
            <w:tcBorders>
              <w:right w:val="single" w:color="auto" w:sz="8" w:space="0"/>
            </w:tcBorders>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开关过程测3点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vMerge w:val="restart"/>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1417" w:type="dxa"/>
            <w:vMerge w:val="restart"/>
            <w:noWrap w:val="0"/>
            <w:vAlign w:val="center"/>
          </w:tcPr>
          <w:p>
            <w:pPr>
              <w:pStyle w:val="16"/>
              <w:snapToGrid w:val="0"/>
              <w:spacing w:line="220" w:lineRule="exact"/>
              <w:rPr>
                <w:rFonts w:hint="eastAsia" w:ascii="宋体" w:hAnsi="宋体" w:eastAsia="宋体" w:cs="宋体"/>
                <w:color w:val="0000FF"/>
                <w:sz w:val="18"/>
                <w:szCs w:val="18"/>
                <w:lang w:val="en-US" w:eastAsia="zh-CN"/>
              </w:rPr>
            </w:pPr>
            <w:r>
              <w:rPr>
                <w:rFonts w:hint="eastAsia" w:ascii="宋体" w:hAnsi="宋体" w:cs="宋体"/>
                <w:color w:val="auto"/>
                <w:sz w:val="18"/>
                <w:szCs w:val="18"/>
                <w:lang w:val="en-US" w:eastAsia="zh-CN"/>
              </w:rPr>
              <w:t>支枕垫块或</w:t>
            </w:r>
            <w:r>
              <w:rPr>
                <w:rFonts w:hint="eastAsia" w:ascii="宋体" w:hAnsi="宋体" w:eastAsia="宋体" w:cs="宋体"/>
                <w:color w:val="auto"/>
                <w:sz w:val="18"/>
                <w:szCs w:val="18"/>
              </w:rPr>
              <w:t>承压条间隙</w:t>
            </w:r>
            <w:r>
              <w:rPr>
                <w:rFonts w:hint="eastAsia" w:ascii="宋体" w:hAnsi="宋体" w:cs="宋体"/>
                <w:color w:val="auto"/>
                <w:sz w:val="18"/>
                <w:szCs w:val="18"/>
                <w:lang w:val="en-US" w:eastAsia="zh-CN"/>
              </w:rPr>
              <w:t>*</w:t>
            </w:r>
          </w:p>
        </w:tc>
        <w:tc>
          <w:tcPr>
            <w:tcW w:w="1740" w:type="dxa"/>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兼作止水</w:t>
            </w:r>
          </w:p>
        </w:tc>
        <w:tc>
          <w:tcPr>
            <w:tcW w:w="2382"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0.05</w:t>
            </w:r>
            <w:r>
              <w:rPr>
                <w:rFonts w:hint="eastAsia" w:ascii="宋体" w:hAnsi="宋体" w:cs="宋体"/>
                <w:color w:val="auto"/>
                <w:sz w:val="18"/>
                <w:szCs w:val="18"/>
                <w:lang w:val="en-US" w:eastAsia="zh-CN"/>
              </w:rPr>
              <w:t>mm</w:t>
            </w:r>
            <w:r>
              <w:rPr>
                <w:rFonts w:hint="eastAsia" w:ascii="宋体" w:hAnsi="宋体" w:eastAsia="宋体" w:cs="宋体"/>
                <w:color w:val="auto"/>
                <w:sz w:val="18"/>
                <w:szCs w:val="18"/>
              </w:rPr>
              <w:t>～0.10</w:t>
            </w:r>
            <w:r>
              <w:rPr>
                <w:rFonts w:hint="eastAsia" w:ascii="宋体" w:hAnsi="宋体" w:cs="宋体"/>
                <w:color w:val="auto"/>
                <w:sz w:val="18"/>
                <w:szCs w:val="18"/>
                <w:lang w:val="en-US" w:eastAsia="zh-CN"/>
              </w:rPr>
              <w:t>mm</w:t>
            </w:r>
          </w:p>
        </w:tc>
        <w:tc>
          <w:tcPr>
            <w:tcW w:w="1673" w:type="dxa"/>
            <w:noWrap w:val="0"/>
            <w:vAlign w:val="center"/>
          </w:tcPr>
          <w:p>
            <w:pPr>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塞尺</w:t>
            </w:r>
          </w:p>
        </w:tc>
        <w:tc>
          <w:tcPr>
            <w:tcW w:w="1646" w:type="dxa"/>
            <w:tcBorders>
              <w:right w:val="single" w:color="auto" w:sz="8" w:space="0"/>
            </w:tcBorders>
            <w:noWrap w:val="0"/>
            <w:vAlign w:val="center"/>
          </w:tcPr>
          <w:p>
            <w:pPr>
              <w:pStyle w:val="16"/>
              <w:snapToGrid w:val="0"/>
              <w:spacing w:line="220" w:lineRule="exact"/>
              <w:rPr>
                <w:rFonts w:hint="eastAsia" w:ascii="宋体" w:hAnsi="宋体" w:eastAsia="宋体" w:cs="宋体"/>
                <w:color w:val="auto"/>
                <w:spacing w:val="-10"/>
                <w:w w:val="99"/>
                <w:sz w:val="18"/>
                <w:szCs w:val="18"/>
              </w:rPr>
            </w:pPr>
            <w:r>
              <w:rPr>
                <w:rFonts w:hint="eastAsia" w:ascii="宋体" w:hAnsi="宋体" w:eastAsia="宋体" w:cs="宋体"/>
                <w:color w:val="auto"/>
                <w:sz w:val="18"/>
                <w:szCs w:val="18"/>
              </w:rPr>
              <w:t>每节测3点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vMerge w:val="continue"/>
            <w:noWrap w:val="0"/>
            <w:vAlign w:val="center"/>
          </w:tcPr>
          <w:p>
            <w:pPr>
              <w:pStyle w:val="16"/>
              <w:snapToGrid w:val="0"/>
              <w:spacing w:line="220" w:lineRule="exact"/>
              <w:jc w:val="center"/>
              <w:rPr>
                <w:rFonts w:hint="eastAsia" w:ascii="宋体" w:hAnsi="宋体" w:eastAsia="宋体" w:cs="宋体"/>
                <w:color w:val="auto"/>
                <w:sz w:val="18"/>
                <w:szCs w:val="18"/>
              </w:rPr>
            </w:pPr>
          </w:p>
        </w:tc>
        <w:tc>
          <w:tcPr>
            <w:tcW w:w="1417" w:type="dxa"/>
            <w:vMerge w:val="continue"/>
            <w:noWrap w:val="0"/>
            <w:vAlign w:val="center"/>
          </w:tcPr>
          <w:p>
            <w:pPr>
              <w:pStyle w:val="16"/>
              <w:snapToGrid w:val="0"/>
              <w:spacing w:line="220" w:lineRule="exact"/>
              <w:rPr>
                <w:rFonts w:hint="eastAsia" w:ascii="宋体" w:hAnsi="宋体" w:eastAsia="宋体" w:cs="宋体"/>
                <w:color w:val="auto"/>
                <w:sz w:val="18"/>
                <w:szCs w:val="18"/>
              </w:rPr>
            </w:pPr>
          </w:p>
        </w:tc>
        <w:tc>
          <w:tcPr>
            <w:tcW w:w="1740" w:type="dxa"/>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不兼作止水</w:t>
            </w:r>
          </w:p>
        </w:tc>
        <w:tc>
          <w:tcPr>
            <w:tcW w:w="2382"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0.20</w:t>
            </w:r>
            <w:r>
              <w:rPr>
                <w:rFonts w:hint="eastAsia" w:ascii="宋体" w:hAnsi="宋体" w:cs="宋体"/>
                <w:color w:val="auto"/>
                <w:sz w:val="18"/>
                <w:szCs w:val="18"/>
                <w:lang w:val="en-US" w:eastAsia="zh-CN"/>
              </w:rPr>
              <w:t>mm</w:t>
            </w:r>
            <w:r>
              <w:rPr>
                <w:rFonts w:hint="eastAsia" w:ascii="宋体" w:hAnsi="宋体" w:eastAsia="宋体" w:cs="宋体"/>
                <w:color w:val="auto"/>
                <w:sz w:val="18"/>
                <w:szCs w:val="18"/>
              </w:rPr>
              <w:t>～0.40</w:t>
            </w:r>
            <w:r>
              <w:rPr>
                <w:rFonts w:hint="eastAsia" w:ascii="宋体" w:hAnsi="宋体" w:cs="宋体"/>
                <w:color w:val="auto"/>
                <w:sz w:val="18"/>
                <w:szCs w:val="18"/>
                <w:lang w:val="en-US" w:eastAsia="zh-CN"/>
              </w:rPr>
              <w:t>mm</w:t>
            </w:r>
          </w:p>
        </w:tc>
        <w:tc>
          <w:tcPr>
            <w:tcW w:w="1673" w:type="dxa"/>
            <w:noWrap w:val="0"/>
            <w:vAlign w:val="center"/>
          </w:tcPr>
          <w:p>
            <w:pPr>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塞尺</w:t>
            </w:r>
          </w:p>
        </w:tc>
        <w:tc>
          <w:tcPr>
            <w:tcW w:w="1646" w:type="dxa"/>
            <w:tcBorders>
              <w:right w:val="single" w:color="auto" w:sz="8" w:space="0"/>
            </w:tcBorders>
            <w:noWrap w:val="0"/>
            <w:vAlign w:val="center"/>
          </w:tcPr>
          <w:p>
            <w:pPr>
              <w:pStyle w:val="16"/>
              <w:snapToGrid w:val="0"/>
              <w:spacing w:line="220" w:lineRule="exact"/>
              <w:rPr>
                <w:rFonts w:hint="eastAsia" w:ascii="宋体" w:hAnsi="宋体" w:eastAsia="宋体" w:cs="宋体"/>
                <w:color w:val="auto"/>
                <w:spacing w:val="-10"/>
                <w:w w:val="99"/>
                <w:sz w:val="18"/>
                <w:szCs w:val="18"/>
              </w:rPr>
            </w:pPr>
            <w:r>
              <w:rPr>
                <w:rFonts w:hint="eastAsia" w:ascii="宋体" w:hAnsi="宋体" w:eastAsia="宋体" w:cs="宋体"/>
                <w:color w:val="auto"/>
                <w:sz w:val="18"/>
                <w:szCs w:val="18"/>
              </w:rPr>
              <w:t>每节测3点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restart"/>
            <w:tcBorders>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一</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般</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cs="宋体"/>
                <w:snapToGrid w:val="0"/>
                <w:color w:val="auto"/>
                <w:sz w:val="18"/>
                <w:szCs w:val="18"/>
                <w:lang w:val="en-US" w:eastAsia="zh-CN"/>
              </w:rPr>
              <w:t>检验</w:t>
            </w:r>
            <w:r>
              <w:rPr>
                <w:rFonts w:hint="eastAsia" w:ascii="宋体" w:hAnsi="宋体" w:eastAsia="宋体" w:cs="宋体"/>
                <w:snapToGrid w:val="0"/>
                <w:color w:val="auto"/>
                <w:sz w:val="18"/>
                <w:szCs w:val="18"/>
              </w:rPr>
              <w:t>项</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目</w:t>
            </w:r>
          </w:p>
        </w:tc>
        <w:tc>
          <w:tcPr>
            <w:tcW w:w="365" w:type="dxa"/>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157" w:type="dxa"/>
            <w:gridSpan w:val="2"/>
            <w:noWrap w:val="0"/>
            <w:vAlign w:val="center"/>
          </w:tcPr>
          <w:p>
            <w:pPr>
              <w:pStyle w:val="16"/>
              <w:snapToGrid w:val="0"/>
              <w:spacing w:line="220" w:lineRule="exac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拉杆平面倾斜度</w:t>
            </w:r>
          </w:p>
        </w:tc>
        <w:tc>
          <w:tcPr>
            <w:tcW w:w="2382"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L</w:t>
            </w:r>
            <w:r>
              <w:rPr>
                <w:rFonts w:hint="eastAsia" w:ascii="宋体" w:hAnsi="宋体" w:eastAsia="宋体" w:cs="宋体"/>
                <w:color w:val="auto"/>
                <w:sz w:val="18"/>
                <w:szCs w:val="18"/>
              </w:rPr>
              <w:t>/1000</w:t>
            </w:r>
            <w:r>
              <w:rPr>
                <w:rFonts w:hint="eastAsia" w:ascii="宋体" w:hAnsi="宋体" w:cs="宋体"/>
                <w:color w:val="auto"/>
                <w:sz w:val="18"/>
                <w:szCs w:val="18"/>
                <w:lang w:val="en-US" w:eastAsia="zh-CN"/>
              </w:rPr>
              <w:t>mm</w:t>
            </w:r>
          </w:p>
        </w:tc>
        <w:tc>
          <w:tcPr>
            <w:tcW w:w="1673" w:type="dxa"/>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水准仪、钢直尺</w:t>
            </w:r>
          </w:p>
        </w:tc>
        <w:tc>
          <w:tcPr>
            <w:tcW w:w="1646" w:type="dxa"/>
            <w:tcBorders>
              <w:right w:val="single" w:color="auto" w:sz="8" w:space="0"/>
            </w:tcBorders>
            <w:noWrap w:val="0"/>
            <w:vAlign w:val="center"/>
          </w:tcPr>
          <w:p>
            <w:pPr>
              <w:pStyle w:val="16"/>
              <w:snapToGrid w:val="0"/>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纵向每端各测1点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3157" w:type="dxa"/>
            <w:gridSpan w:val="2"/>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拉杆中心线高程</w:t>
            </w:r>
          </w:p>
        </w:tc>
        <w:tc>
          <w:tcPr>
            <w:tcW w:w="2382"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±1.0</w:t>
            </w:r>
            <w:r>
              <w:rPr>
                <w:rFonts w:hint="eastAsia" w:ascii="宋体" w:hAnsi="宋体" w:cs="宋体"/>
                <w:color w:val="auto"/>
                <w:sz w:val="18"/>
                <w:szCs w:val="18"/>
                <w:lang w:val="en-US" w:eastAsia="zh-CN"/>
              </w:rPr>
              <w:t>mm</w:t>
            </w:r>
          </w:p>
        </w:tc>
        <w:tc>
          <w:tcPr>
            <w:tcW w:w="1673" w:type="dxa"/>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水准仪、钢直尺</w:t>
            </w:r>
          </w:p>
        </w:tc>
        <w:tc>
          <w:tcPr>
            <w:tcW w:w="1646" w:type="dxa"/>
            <w:tcBorders>
              <w:right w:val="single" w:color="auto" w:sz="8" w:space="0"/>
            </w:tcBorders>
            <w:noWrap w:val="0"/>
            <w:vAlign w:val="center"/>
          </w:tcPr>
          <w:p>
            <w:pPr>
              <w:pStyle w:val="16"/>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逐根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noWrap w:val="0"/>
            <w:vAlign w:val="center"/>
          </w:tcPr>
          <w:p>
            <w:pPr>
              <w:pStyle w:val="16"/>
              <w:snapToGrid w:val="0"/>
              <w:spacing w:line="22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3157" w:type="dxa"/>
            <w:gridSpan w:val="2"/>
            <w:noWrap w:val="0"/>
            <w:vAlign w:val="center"/>
          </w:tcPr>
          <w:p>
            <w:pPr>
              <w:pStyle w:val="16"/>
              <w:spacing w:line="22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止水橡皮压缩量</w:t>
            </w:r>
          </w:p>
        </w:tc>
        <w:tc>
          <w:tcPr>
            <w:tcW w:w="2382" w:type="dxa"/>
            <w:noWrap w:val="0"/>
            <w:vAlign w:val="center"/>
          </w:tcPr>
          <w:p>
            <w:pPr>
              <w:pStyle w:val="16"/>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-1.0</w:t>
            </w:r>
            <w:r>
              <w:rPr>
                <w:rFonts w:hint="eastAsia" w:ascii="宋体" w:hAnsi="宋体" w:cs="宋体"/>
                <w:color w:val="auto"/>
                <w:sz w:val="18"/>
                <w:szCs w:val="18"/>
                <w:lang w:val="en-US" w:eastAsia="zh-CN"/>
              </w:rPr>
              <w:t>mm</w:t>
            </w:r>
            <w:r>
              <w:rPr>
                <w:rFonts w:hint="eastAsia" w:ascii="宋体" w:hAnsi="宋体" w:eastAsia="宋体" w:cs="宋体"/>
                <w:color w:val="auto"/>
                <w:sz w:val="18"/>
                <w:szCs w:val="18"/>
              </w:rPr>
              <w:t>～＋2.0</w:t>
            </w:r>
            <w:r>
              <w:rPr>
                <w:rFonts w:hint="eastAsia" w:ascii="宋体" w:hAnsi="宋体" w:cs="宋体"/>
                <w:color w:val="auto"/>
                <w:sz w:val="18"/>
                <w:szCs w:val="18"/>
                <w:lang w:val="en-US" w:eastAsia="zh-CN"/>
              </w:rPr>
              <w:t>mm</w:t>
            </w:r>
          </w:p>
        </w:tc>
        <w:tc>
          <w:tcPr>
            <w:tcW w:w="1673" w:type="dxa"/>
            <w:noWrap w:val="0"/>
            <w:vAlign w:val="center"/>
          </w:tcPr>
          <w:p>
            <w:pPr>
              <w:pStyle w:val="16"/>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钢直尺</w:t>
            </w:r>
          </w:p>
        </w:tc>
        <w:tc>
          <w:tcPr>
            <w:tcW w:w="1646" w:type="dxa"/>
            <w:tcBorders>
              <w:right w:val="single" w:color="auto" w:sz="8" w:space="0"/>
            </w:tcBorders>
            <w:noWrap w:val="0"/>
            <w:vAlign w:val="center"/>
          </w:tcPr>
          <w:p>
            <w:pPr>
              <w:pStyle w:val="16"/>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整扇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noWrap w:val="0"/>
            <w:vAlign w:val="center"/>
          </w:tcPr>
          <w:p>
            <w:pPr>
              <w:pStyle w:val="13"/>
              <w:snapToGrid w:val="0"/>
              <w:spacing w:after="0" w:line="220" w:lineRule="exact"/>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4</w:t>
            </w:r>
          </w:p>
        </w:tc>
        <w:tc>
          <w:tcPr>
            <w:tcW w:w="3157" w:type="dxa"/>
            <w:gridSpan w:val="2"/>
            <w:noWrap w:val="0"/>
            <w:vAlign w:val="center"/>
          </w:tcPr>
          <w:p>
            <w:pPr>
              <w:pStyle w:val="16"/>
              <w:snapToGrid w:val="0"/>
              <w:spacing w:line="22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运转件润滑</w:t>
            </w:r>
            <w:r>
              <w:rPr>
                <w:rFonts w:hint="eastAsia" w:ascii="宋体" w:hAnsi="宋体" w:cs="宋体"/>
                <w:color w:val="auto"/>
                <w:sz w:val="18"/>
                <w:szCs w:val="18"/>
                <w:lang w:val="en-US" w:eastAsia="zh-CN"/>
              </w:rPr>
              <w:t>*</w:t>
            </w:r>
          </w:p>
        </w:tc>
        <w:tc>
          <w:tcPr>
            <w:tcW w:w="2382"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运转部位干净，润滑脂充足</w:t>
            </w:r>
          </w:p>
        </w:tc>
        <w:tc>
          <w:tcPr>
            <w:tcW w:w="1673" w:type="dxa"/>
            <w:noWrap w:val="0"/>
            <w:vAlign w:val="center"/>
          </w:tcPr>
          <w:p>
            <w:pPr>
              <w:pStyle w:val="13"/>
              <w:snapToGrid w:val="0"/>
              <w:spacing w:after="0" w:line="220" w:lineRule="exact"/>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检查</w:t>
            </w:r>
          </w:p>
        </w:tc>
        <w:tc>
          <w:tcPr>
            <w:tcW w:w="1646" w:type="dxa"/>
            <w:tcBorders>
              <w:right w:val="single" w:color="auto" w:sz="8" w:space="0"/>
            </w:tcBorders>
            <w:noWrap w:val="0"/>
            <w:vAlign w:val="center"/>
          </w:tcPr>
          <w:p>
            <w:pPr>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noWrap w:val="0"/>
            <w:vAlign w:val="center"/>
          </w:tcPr>
          <w:p>
            <w:pPr>
              <w:pStyle w:val="13"/>
              <w:snapToGrid w:val="0"/>
              <w:spacing w:after="0" w:line="220" w:lineRule="exact"/>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5</w:t>
            </w:r>
          </w:p>
        </w:tc>
        <w:tc>
          <w:tcPr>
            <w:tcW w:w="3157" w:type="dxa"/>
            <w:gridSpan w:val="2"/>
            <w:noWrap w:val="0"/>
            <w:vAlign w:val="center"/>
          </w:tcPr>
          <w:p>
            <w:pPr>
              <w:pStyle w:val="16"/>
              <w:snapToGrid w:val="0"/>
              <w:spacing w:line="20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楔块接触面积</w:t>
            </w:r>
            <w:r>
              <w:rPr>
                <w:rFonts w:hint="eastAsia" w:ascii="宋体" w:hAnsi="宋体" w:cs="宋体"/>
                <w:color w:val="auto"/>
                <w:sz w:val="18"/>
                <w:szCs w:val="18"/>
                <w:lang w:val="en-US" w:eastAsia="zh-CN"/>
              </w:rPr>
              <w:t>*</w:t>
            </w:r>
          </w:p>
        </w:tc>
        <w:tc>
          <w:tcPr>
            <w:tcW w:w="2382"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≥60%</w:t>
            </w:r>
          </w:p>
        </w:tc>
        <w:tc>
          <w:tcPr>
            <w:tcW w:w="1673" w:type="dxa"/>
            <w:noWrap w:val="0"/>
            <w:vAlign w:val="center"/>
          </w:tcPr>
          <w:p>
            <w:pPr>
              <w:widowControl/>
              <w:snapToGrid w:val="0"/>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塞尺</w:t>
            </w:r>
          </w:p>
        </w:tc>
        <w:tc>
          <w:tcPr>
            <w:tcW w:w="1646" w:type="dxa"/>
            <w:tcBorders>
              <w:right w:val="single" w:color="auto" w:sz="8" w:space="0"/>
            </w:tcBorders>
            <w:noWrap w:val="0"/>
            <w:vAlign w:val="center"/>
          </w:tcPr>
          <w:p>
            <w:pPr>
              <w:spacing w:line="220" w:lineRule="exact"/>
              <w:rPr>
                <w:rFonts w:hint="eastAsia" w:ascii="宋体" w:hAnsi="宋体" w:eastAsia="宋体" w:cs="宋体"/>
                <w:color w:val="auto"/>
                <w:sz w:val="18"/>
                <w:szCs w:val="18"/>
              </w:rPr>
            </w:pPr>
            <w:r>
              <w:rPr>
                <w:rFonts w:hint="eastAsia" w:ascii="宋体" w:hAnsi="宋体" w:eastAsia="宋体" w:cs="宋体"/>
                <w:color w:val="auto"/>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5" w:type="dxa"/>
            <w:vMerge w:val="continue"/>
            <w:tcBorders>
              <w:left w:val="single" w:color="auto" w:sz="8" w:space="0"/>
              <w:bottom w:val="single" w:color="auto" w:sz="8" w:space="0"/>
            </w:tcBorders>
            <w:noWrap w:val="0"/>
            <w:vAlign w:val="center"/>
          </w:tcPr>
          <w:p>
            <w:pPr>
              <w:pStyle w:val="13"/>
              <w:snapToGrid w:val="0"/>
              <w:spacing w:line="220" w:lineRule="atLeast"/>
              <w:jc w:val="center"/>
              <w:rPr>
                <w:rFonts w:hint="eastAsia" w:ascii="宋体" w:hAnsi="宋体" w:eastAsia="宋体" w:cs="宋体"/>
                <w:snapToGrid w:val="0"/>
                <w:color w:val="auto"/>
                <w:sz w:val="18"/>
                <w:szCs w:val="18"/>
              </w:rPr>
            </w:pPr>
          </w:p>
        </w:tc>
        <w:tc>
          <w:tcPr>
            <w:tcW w:w="365" w:type="dxa"/>
            <w:tcBorders>
              <w:bottom w:val="single" w:color="auto" w:sz="8" w:space="0"/>
            </w:tcBorders>
            <w:noWrap w:val="0"/>
            <w:vAlign w:val="center"/>
          </w:tcPr>
          <w:p>
            <w:pPr>
              <w:pStyle w:val="13"/>
              <w:snapToGrid w:val="0"/>
              <w:spacing w:after="0" w:line="220" w:lineRule="exact"/>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6</w:t>
            </w:r>
          </w:p>
        </w:tc>
        <w:tc>
          <w:tcPr>
            <w:tcW w:w="3157" w:type="dxa"/>
            <w:gridSpan w:val="2"/>
            <w:tcBorders>
              <w:bottom w:val="single" w:color="auto" w:sz="8" w:space="0"/>
            </w:tcBorders>
            <w:noWrap w:val="0"/>
            <w:vAlign w:val="center"/>
          </w:tcPr>
          <w:p>
            <w:pPr>
              <w:pStyle w:val="16"/>
              <w:spacing w:line="240" w:lineRule="exac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便桥</w:t>
            </w:r>
            <w:r>
              <w:rPr>
                <w:rFonts w:hint="eastAsia" w:ascii="宋体" w:hAnsi="宋体" w:cs="宋体"/>
                <w:color w:val="auto"/>
                <w:sz w:val="18"/>
                <w:szCs w:val="18"/>
                <w:lang w:val="en-US" w:eastAsia="zh-CN"/>
              </w:rPr>
              <w:t>*</w:t>
            </w:r>
          </w:p>
        </w:tc>
        <w:tc>
          <w:tcPr>
            <w:tcW w:w="2382" w:type="dxa"/>
            <w:tcBorders>
              <w:bottom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符合设计要求</w:t>
            </w:r>
          </w:p>
        </w:tc>
        <w:tc>
          <w:tcPr>
            <w:tcW w:w="1673" w:type="dxa"/>
            <w:tcBorders>
              <w:bottom w:val="single" w:color="auto" w:sz="8" w:space="0"/>
            </w:tcBorders>
            <w:noWrap w:val="0"/>
            <w:vAlign w:val="center"/>
          </w:tcPr>
          <w:p>
            <w:pPr>
              <w:pStyle w:val="16"/>
              <w:snapToGrid w:val="0"/>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检查</w:t>
            </w:r>
          </w:p>
        </w:tc>
        <w:tc>
          <w:tcPr>
            <w:tcW w:w="1646" w:type="dxa"/>
            <w:tcBorders>
              <w:bottom w:val="single" w:color="auto" w:sz="8" w:space="0"/>
              <w:right w:val="single" w:color="auto" w:sz="8" w:space="0"/>
            </w:tcBorders>
            <w:noWrap w:val="0"/>
            <w:vAlign w:val="center"/>
          </w:tcPr>
          <w:p>
            <w:pPr>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整扇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88" w:type="dxa"/>
            <w:gridSpan w:val="7"/>
            <w:tcBorders>
              <w:top w:val="single" w:color="auto" w:sz="8" w:space="0"/>
              <w:left w:val="single" w:color="auto" w:sz="8" w:space="0"/>
              <w:bottom w:val="single" w:color="auto" w:sz="8" w:space="0"/>
              <w:right w:val="single" w:color="auto" w:sz="8" w:space="0"/>
            </w:tcBorders>
            <w:noWrap w:val="0"/>
            <w:vAlign w:val="center"/>
          </w:tcPr>
          <w:p>
            <w:pPr>
              <w:pStyle w:val="16"/>
              <w:rPr>
                <w:rFonts w:hint="eastAsia" w:ascii="宋体" w:hAnsi="宋体" w:eastAsia="宋体" w:cs="宋体"/>
                <w:color w:val="auto"/>
                <w:sz w:val="18"/>
                <w:szCs w:val="18"/>
              </w:rPr>
            </w:pPr>
            <w:r>
              <w:rPr>
                <w:rFonts w:hint="eastAsia" w:ascii="宋体" w:hAnsi="宋体" w:eastAsia="宋体" w:cs="宋体"/>
                <w:color w:val="auto"/>
                <w:sz w:val="18"/>
                <w:szCs w:val="18"/>
              </w:rPr>
              <w:t>注：</w:t>
            </w:r>
            <w:r>
              <w:rPr>
                <w:rFonts w:hint="eastAsia" w:ascii="宋体" w:hAnsi="宋体" w:cs="宋体"/>
                <w:color w:val="auto"/>
                <w:sz w:val="18"/>
                <w:szCs w:val="18"/>
                <w:lang w:val="en-US" w:eastAsia="zh-CN"/>
              </w:rPr>
              <w:t>1、</w:t>
            </w:r>
            <w:r>
              <w:rPr>
                <w:rFonts w:hint="eastAsia" w:ascii="宋体" w:hAnsi="宋体" w:eastAsia="宋体" w:cs="宋体"/>
                <w:color w:val="auto"/>
                <w:sz w:val="18"/>
                <w:szCs w:val="18"/>
              </w:rPr>
              <w:t>依据SL 635、JTS 257。</w:t>
            </w:r>
          </w:p>
          <w:p>
            <w:pPr>
              <w:pStyle w:val="16"/>
              <w:numPr>
                <w:ilvl w:val="0"/>
                <w:numId w:val="32"/>
              </w:numPr>
              <w:ind w:firstLine="360"/>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B为闸门门叶中点距旋转轴线的距离；L为拉杆长度。</w:t>
            </w:r>
          </w:p>
          <w:p>
            <w:pPr>
              <w:pStyle w:val="16"/>
              <w:numPr>
                <w:ilvl w:val="0"/>
                <w:numId w:val="32"/>
              </w:numPr>
              <w:ind w:firstLine="360"/>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加*号的项目为JTS257标准内未做要求的检验项目，现针对34m孔口闸门增加的检验项目。34米孔口以下的闸门也可按本规程规定使用。</w:t>
            </w:r>
          </w:p>
        </w:tc>
      </w:tr>
    </w:tbl>
    <w:p>
      <w:pPr>
        <w:pStyle w:val="106"/>
        <w:spacing w:before="156" w:after="156"/>
        <w:rPr>
          <w:rFonts w:hint="eastAsia"/>
          <w:szCs w:val="22"/>
          <w:lang w:val="en-US" w:eastAsia="zh-CN"/>
        </w:rPr>
      </w:pPr>
      <w:bookmarkStart w:id="114" w:name="_Toc29462"/>
      <w:r>
        <w:rPr>
          <w:rFonts w:hint="eastAsia"/>
          <w:szCs w:val="22"/>
          <w:lang w:val="en-US" w:eastAsia="zh-CN"/>
        </w:rPr>
        <w:t>运转</w:t>
      </w:r>
      <w:bookmarkEnd w:id="114"/>
      <w:r>
        <w:rPr>
          <w:rFonts w:hint="eastAsia"/>
          <w:szCs w:val="22"/>
          <w:lang w:val="en-US" w:eastAsia="zh-CN"/>
        </w:rPr>
        <w:t>件</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15" w:name="_Toc27663"/>
      <w:r>
        <w:rPr>
          <w:rFonts w:hint="eastAsia"/>
          <w:lang w:val="en-US" w:eastAsia="zh-CN"/>
        </w:rPr>
        <w:t>主要检验项目</w:t>
      </w:r>
      <w:bookmarkEnd w:id="115"/>
    </w:p>
    <w:p>
      <w:pPr>
        <w:pStyle w:val="166"/>
        <w:numPr>
          <w:ilvl w:val="4"/>
          <w:numId w:val="2"/>
        </w:numPr>
        <w:spacing w:line="240" w:lineRule="auto"/>
        <w:ind w:left="0" w:leftChars="0" w:firstLine="0" w:firstLineChars="0"/>
        <w:rPr>
          <w:rFonts w:hint="eastAsia"/>
          <w:lang w:val="en-US" w:eastAsia="zh-CN"/>
        </w:rPr>
      </w:pPr>
      <w:r>
        <w:rPr>
          <w:rFonts w:hint="eastAsia"/>
          <w:lang w:val="en-US" w:eastAsia="zh-CN"/>
        </w:rPr>
        <w:t>运转件所用材料的品种、规格和性能应满足设计要求并应符合下列规定：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a</w:t>
      </w:r>
      <w:r>
        <w:rPr>
          <w:rFonts w:hint="eastAsia" w:ascii="宋体" w:hAnsi="Times New Roman" w:eastAsia="宋体" w:cs="Times New Roman"/>
          <w:kern w:val="0"/>
          <w:sz w:val="21"/>
          <w:szCs w:val="20"/>
          <w:lang w:val="en-US" w:eastAsia="zh-CN" w:bidi="ar-SA"/>
        </w:rPr>
        <w:t>） 合金钢应符合现行国家标准GB/T 1591《低合金高强度结构钢》和GB/T 3077《合金结构钢》等的有关规定；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b</w:t>
      </w:r>
      <w:r>
        <w:rPr>
          <w:rFonts w:hint="eastAsia" w:ascii="宋体" w:hAnsi="Times New Roman" w:eastAsia="宋体" w:cs="Times New Roman"/>
          <w:kern w:val="0"/>
          <w:sz w:val="21"/>
          <w:szCs w:val="20"/>
          <w:lang w:val="en-US" w:eastAsia="zh-CN" w:bidi="ar-SA"/>
        </w:rPr>
        <w:t>） 锻件的材质、制造内部质量和表面质量等应满足设计要求并应符合现行国家标准GB/T 699《优质碳素结构纲》和GB/T 700《碳素结构纲》等的有关规定；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c</w:t>
      </w:r>
      <w:r>
        <w:rPr>
          <w:rFonts w:hint="eastAsia" w:ascii="宋体" w:hAnsi="Times New Roman" w:eastAsia="宋体" w:cs="Times New Roman"/>
          <w:kern w:val="0"/>
          <w:sz w:val="21"/>
          <w:szCs w:val="20"/>
          <w:lang w:val="en-US" w:eastAsia="zh-CN" w:bidi="ar-SA"/>
        </w:rPr>
        <w:t>） 铸件应符合现行国家标准GB/T 11352《一般工程用铸造碳钢件》、GB/T 5680《奥氏体锰钢铸件》、GB/T 9439《灰铸铁件》、GB/T 13819《铜及铜合金铸件》和GB/T 1176《铸造铜及铜合金》等的有关规定；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d） 铸、锻件内部质量探伤应满足设计要求并应符合现行标准JTS218《船闸工程施工规范》的有关规定。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e</w:t>
      </w:r>
      <w:r>
        <w:rPr>
          <w:rFonts w:hint="eastAsia" w:ascii="宋体" w:hAnsi="Times New Roman" w:eastAsia="宋体" w:cs="Times New Roman"/>
          <w:kern w:val="0"/>
          <w:sz w:val="21"/>
          <w:szCs w:val="20"/>
          <w:lang w:val="en-US" w:eastAsia="zh-CN" w:bidi="ar-SA"/>
        </w:rPr>
        <w:t>） 自润滑材料应符合供货合同和生产企业的相关标准规定。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检验方法：检查出厂质量证明文件和试验报告。</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零部件的加工应符合下列规定：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a</w:t>
      </w:r>
      <w:r>
        <w:rPr>
          <w:rFonts w:hint="eastAsia" w:ascii="宋体" w:hAnsi="Times New Roman" w:eastAsia="宋体" w:cs="Times New Roman"/>
          <w:kern w:val="0"/>
          <w:sz w:val="21"/>
          <w:szCs w:val="20"/>
          <w:lang w:val="en-US" w:eastAsia="zh-CN" w:bidi="ar-SA"/>
        </w:rPr>
        <w:t>） 经热处理后零部件的表面硬度应满足设计要求；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b</w:t>
      </w:r>
      <w:r>
        <w:rPr>
          <w:rFonts w:hint="eastAsia" w:ascii="宋体" w:hAnsi="Times New Roman" w:eastAsia="宋体" w:cs="Times New Roman"/>
          <w:kern w:val="0"/>
          <w:sz w:val="21"/>
          <w:szCs w:val="20"/>
          <w:lang w:val="en-US" w:eastAsia="zh-CN" w:bidi="ar-SA"/>
        </w:rPr>
        <w:t>） 零件表面最终粗糙度应满足设计要求；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cs="Times New Roman"/>
          <w:kern w:val="0"/>
          <w:sz w:val="21"/>
          <w:szCs w:val="20"/>
          <w:lang w:val="en-US" w:eastAsia="zh-CN" w:bidi="ar-SA"/>
        </w:rPr>
        <w:t>c</w:t>
      </w:r>
      <w:r>
        <w:rPr>
          <w:rFonts w:hint="eastAsia" w:ascii="宋体" w:hAnsi="Times New Roman" w:eastAsia="宋体" w:cs="Times New Roman"/>
          <w:kern w:val="0"/>
          <w:sz w:val="21"/>
          <w:szCs w:val="20"/>
          <w:lang w:val="en-US" w:eastAsia="zh-CN" w:bidi="ar-SA"/>
        </w:rPr>
        <w:t>） 零件的配合公差及形位公差应满足设计要求并应符合现行</w:t>
      </w:r>
      <w:r>
        <w:rPr>
          <w:rFonts w:hint="eastAsia" w:ascii="宋体" w:hAnsi="Times New Roman" w:eastAsia="宋体" w:cs="Times New Roman"/>
          <w:kern w:val="0"/>
          <w:sz w:val="21"/>
          <w:szCs w:val="22"/>
          <w:lang w:val="en-US" w:eastAsia="zh-CN" w:bidi="ar-SA"/>
        </w:rPr>
        <w:t>国家标准GB/T 1800.1</w:t>
      </w:r>
      <w:r>
        <w:rPr>
          <w:rFonts w:hint="eastAsia"/>
        </w:rPr>
        <w:t>《产品几何技术规范极限与配合（GPS） 第一部分 公差偏差和配合的基础》</w:t>
      </w:r>
      <w:r>
        <w:rPr>
          <w:rFonts w:hint="eastAsia" w:ascii="宋体" w:hAnsi="Times New Roman" w:eastAsia="宋体" w:cs="Times New Roman"/>
          <w:kern w:val="0"/>
          <w:sz w:val="21"/>
          <w:szCs w:val="22"/>
          <w:lang w:val="en-US" w:eastAsia="zh-CN" w:bidi="ar-SA"/>
        </w:rPr>
        <w:t>、GB/T 1800.2</w:t>
      </w:r>
      <w:r>
        <w:rPr>
          <w:rFonts w:hint="eastAsia"/>
        </w:rPr>
        <w:t>《产品几何技术规范极限与配合（GPS） 第二部分 标准公差等级及孔、轴极限偏差表》</w:t>
      </w:r>
      <w:r>
        <w:rPr>
          <w:rFonts w:hint="eastAsia" w:ascii="宋体" w:hAnsi="Times New Roman" w:eastAsia="宋体" w:cs="Times New Roman"/>
          <w:kern w:val="0"/>
          <w:sz w:val="21"/>
          <w:szCs w:val="22"/>
          <w:lang w:val="en-US" w:eastAsia="zh-CN" w:bidi="ar-SA"/>
        </w:rPr>
        <w:t>、GB/T 1804</w:t>
      </w:r>
      <w:r>
        <w:rPr>
          <w:rFonts w:hint="eastAsia"/>
        </w:rPr>
        <w:t>《一般公差 未注公差的线性金额角度尺寸的公差》</w:t>
      </w:r>
      <w:r>
        <w:rPr>
          <w:rFonts w:hint="eastAsia" w:ascii="宋体" w:hAnsi="Times New Roman" w:eastAsia="宋体" w:cs="Times New Roman"/>
          <w:kern w:val="0"/>
          <w:sz w:val="21"/>
          <w:szCs w:val="22"/>
          <w:lang w:val="en-US" w:eastAsia="zh-CN" w:bidi="ar-SA"/>
        </w:rPr>
        <w:t>、GB/T 1182</w:t>
      </w:r>
      <w:r>
        <w:rPr>
          <w:rFonts w:hint="eastAsia"/>
        </w:rPr>
        <w:t>《产品几何技术规范（GPS）几何公差形状、方向、位置和跳动公差标注》</w:t>
      </w:r>
      <w:r>
        <w:rPr>
          <w:rFonts w:hint="eastAsia" w:ascii="宋体" w:hAnsi="Times New Roman" w:eastAsia="宋体" w:cs="Times New Roman"/>
          <w:kern w:val="0"/>
          <w:sz w:val="21"/>
          <w:szCs w:val="22"/>
          <w:lang w:val="en-US" w:eastAsia="zh-CN" w:bidi="ar-SA"/>
        </w:rPr>
        <w:t>、GB/T 1184</w:t>
      </w:r>
      <w:r>
        <w:rPr>
          <w:rFonts w:hint="eastAsia"/>
        </w:rPr>
        <w:t>《形状与位置公差》</w:t>
      </w:r>
      <w:r>
        <w:rPr>
          <w:rFonts w:hint="eastAsia" w:ascii="宋体" w:hAnsi="Times New Roman" w:eastAsia="宋体" w:cs="Times New Roman"/>
          <w:kern w:val="0"/>
          <w:sz w:val="21"/>
          <w:szCs w:val="20"/>
          <w:lang w:val="en-US" w:eastAsia="zh-CN" w:bidi="ar-SA"/>
        </w:rPr>
        <w:t>的有关规定。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检验方法：检查出厂质量证明文件并抽查检查。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零件表面镀层、不锈钢堆焊层或熔覆层的材质、型号、规格、硬度和厚度应满足设计要求。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检验方法：检查出厂质量证明文件并抽查检查。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底枢蘑菇头与蘑菇头衬套试组装应研磨吻合，其接触面积应满足设计要求。设计无要求时，最低不小于65%。</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pStyle w:val="57"/>
        <w:spacing w:line="240" w:lineRule="auto"/>
        <w:rPr>
          <w:rFonts w:hint="eastAsia"/>
          <w:lang w:val="en-US" w:eastAsia="zh-CN"/>
        </w:rPr>
      </w:pPr>
      <w:r>
        <w:rPr>
          <w:rFonts w:hint="eastAsia" w:ascii="宋体" w:hAnsi="Times New Roman" w:eastAsia="宋体" w:cs="Times New Roman"/>
          <w:kern w:val="0"/>
          <w:sz w:val="21"/>
          <w:szCs w:val="20"/>
          <w:lang w:val="en-US" w:eastAsia="zh-CN" w:bidi="ar-SA"/>
        </w:rPr>
        <w:t>检验方法：检查测量记录，必要时采用印染法检查</w:t>
      </w:r>
      <w:r>
        <w:rPr>
          <w:rFonts w:hint="eastAsia" w:cs="Times New Roman"/>
          <w:kern w:val="0"/>
          <w:sz w:val="21"/>
          <w:szCs w:val="20"/>
          <w:lang w:val="en-US" w:eastAsia="zh-CN" w:bidi="ar-SA"/>
        </w:rPr>
        <w:t>。</w:t>
      </w:r>
    </w:p>
    <w:p>
      <w:pPr>
        <w:pStyle w:val="166"/>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黑体" w:eastAsia="黑体" w:cs="黑体"/>
          <w:lang w:val="en-US" w:eastAsia="zh-CN"/>
        </w:rPr>
      </w:pPr>
      <w:r>
        <w:rPr>
          <w:rFonts w:hint="eastAsia" w:ascii="黑体" w:hAnsi="黑体" w:eastAsia="黑体" w:cs="黑体"/>
          <w:lang w:val="en-US" w:eastAsia="zh-CN"/>
        </w:rPr>
        <w:t>4.4.2  一般检验项目</w:t>
      </w:r>
    </w:p>
    <w:p>
      <w:pPr>
        <w:pStyle w:val="166"/>
        <w:numPr>
          <w:ilvl w:val="3"/>
          <w:numId w:val="0"/>
        </w:numPr>
        <w:ind w:leftChars="0" w:firstLine="420" w:firstLineChars="200"/>
        <w:rPr>
          <w:rFonts w:hint="eastAsia"/>
          <w:lang w:val="en-US" w:eastAsia="zh-CN"/>
        </w:rPr>
      </w:pPr>
      <w:r>
        <w:rPr>
          <w:rFonts w:hint="eastAsia"/>
          <w:lang w:val="en-US" w:eastAsia="zh-CN"/>
        </w:rPr>
        <w:t>底枢承轴台安装的允许偏差、检验数量和方法应符合表4的规定。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黑体" w:hAnsi="黑体" w:eastAsia="黑体" w:cs="黑体"/>
          <w:b w:val="0"/>
          <w:bCs w:val="0"/>
          <w:color w:val="auto"/>
        </w:rPr>
      </w:pPr>
      <w:r>
        <w:rPr>
          <w:rFonts w:hint="eastAsia" w:ascii="黑体" w:hAnsi="黑体" w:eastAsia="黑体" w:cs="黑体"/>
          <w:b w:val="0"/>
          <w:bCs w:val="0"/>
          <w:color w:val="auto"/>
          <w:lang w:val="en-US" w:eastAsia="zh-CN"/>
        </w:rPr>
        <w:t xml:space="preserve">表4 </w:t>
      </w:r>
      <w:r>
        <w:rPr>
          <w:rFonts w:hint="eastAsia" w:ascii="黑体" w:hAnsi="黑体" w:eastAsia="黑体" w:cs="黑体"/>
          <w:b w:val="0"/>
          <w:bCs w:val="0"/>
          <w:color w:val="auto"/>
        </w:rPr>
        <w:t>底枢承轴台安装质量检验项目与标准</w:t>
      </w:r>
    </w:p>
    <w:tbl>
      <w:tblPr>
        <w:tblStyle w:val="27"/>
        <w:tblW w:w="9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321"/>
        <w:gridCol w:w="2176"/>
        <w:gridCol w:w="3031"/>
        <w:gridCol w:w="2327"/>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39" w:type="dxa"/>
            <w:gridSpan w:val="2"/>
            <w:tcBorders>
              <w:top w:val="single" w:color="auto" w:sz="8" w:space="0"/>
              <w:left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项次</w:t>
            </w:r>
          </w:p>
        </w:tc>
        <w:tc>
          <w:tcPr>
            <w:tcW w:w="2176" w:type="dxa"/>
            <w:tcBorders>
              <w:top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检验项目</w:t>
            </w:r>
          </w:p>
        </w:tc>
        <w:tc>
          <w:tcPr>
            <w:tcW w:w="3031" w:type="dxa"/>
            <w:tcBorders>
              <w:top w:val="single" w:color="auto" w:sz="8" w:space="0"/>
              <w:bottom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 xml:space="preserve"> 质量要求（允许偏差 ）</w:t>
            </w:r>
          </w:p>
        </w:tc>
        <w:tc>
          <w:tcPr>
            <w:tcW w:w="2327" w:type="dxa"/>
            <w:tcBorders>
              <w:top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检验方法</w:t>
            </w:r>
          </w:p>
        </w:tc>
        <w:tc>
          <w:tcPr>
            <w:tcW w:w="1260" w:type="dxa"/>
            <w:tcBorders>
              <w:top w:val="single" w:color="auto" w:sz="8" w:space="0"/>
              <w:right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18" w:type="dxa"/>
            <w:vMerge w:val="restart"/>
            <w:tcBorders>
              <w:top w:val="single" w:color="auto" w:sz="8" w:space="0"/>
              <w:left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主</w:t>
            </w:r>
          </w:p>
          <w:p>
            <w:pPr>
              <w:pStyle w:val="16"/>
              <w:snapToGrid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要检验</w:t>
            </w:r>
          </w:p>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项</w:t>
            </w:r>
          </w:p>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目</w:t>
            </w:r>
          </w:p>
        </w:tc>
        <w:tc>
          <w:tcPr>
            <w:tcW w:w="321" w:type="dxa"/>
            <w:tcBorders>
              <w:top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176" w:type="dxa"/>
            <w:tcBorders>
              <w:top w:val="single" w:color="auto" w:sz="8" w:space="0"/>
            </w:tcBorders>
            <w:noWrap w:val="0"/>
            <w:vAlign w:val="center"/>
          </w:tcPr>
          <w:p>
            <w:pPr>
              <w:pStyle w:val="16"/>
              <w:snapToGrid w:val="0"/>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两</w:t>
            </w:r>
            <w:r>
              <w:rPr>
                <w:rFonts w:hint="eastAsia" w:ascii="宋体" w:hAnsi="宋体" w:eastAsia="宋体" w:cs="宋体"/>
                <w:color w:val="auto"/>
                <w:sz w:val="18"/>
                <w:szCs w:val="18"/>
              </w:rPr>
              <w:t>蘑菇头中心</w:t>
            </w:r>
            <w:r>
              <w:rPr>
                <w:rFonts w:hint="eastAsia" w:ascii="宋体" w:hAnsi="宋体" w:cs="宋体"/>
                <w:color w:val="auto"/>
                <w:sz w:val="18"/>
                <w:szCs w:val="18"/>
                <w:lang w:val="en-US" w:eastAsia="zh-CN"/>
              </w:rPr>
              <w:t>间距</w:t>
            </w:r>
          </w:p>
        </w:tc>
        <w:tc>
          <w:tcPr>
            <w:tcW w:w="3031" w:type="dxa"/>
            <w:tcBorders>
              <w:top w:val="single" w:color="auto" w:sz="8" w:space="0"/>
            </w:tcBorders>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2.0</w:t>
            </w:r>
            <w:r>
              <w:rPr>
                <w:rFonts w:hint="eastAsia" w:ascii="宋体" w:hAnsi="宋体" w:cs="宋体"/>
                <w:color w:val="auto"/>
                <w:sz w:val="18"/>
                <w:szCs w:val="18"/>
                <w:lang w:val="en-US" w:eastAsia="zh-CN"/>
              </w:rPr>
              <w:t>mm</w:t>
            </w:r>
          </w:p>
        </w:tc>
        <w:tc>
          <w:tcPr>
            <w:tcW w:w="2327" w:type="dxa"/>
            <w:tcBorders>
              <w:top w:val="single" w:color="auto" w:sz="8" w:space="0"/>
            </w:tcBorders>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经纬仪、钢卷尺、钢直尺</w:t>
            </w:r>
          </w:p>
        </w:tc>
        <w:tc>
          <w:tcPr>
            <w:tcW w:w="1260" w:type="dxa"/>
            <w:tcBorders>
              <w:top w:val="single" w:color="auto" w:sz="8" w:space="0"/>
              <w:right w:val="single" w:color="auto" w:sz="8" w:space="0"/>
            </w:tcBorders>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测</w:t>
            </w:r>
            <w:r>
              <w:rPr>
                <w:rFonts w:hint="eastAsia" w:ascii="宋体" w:hAnsi="宋体" w:cs="宋体"/>
                <w:color w:val="auto"/>
                <w:sz w:val="18"/>
                <w:szCs w:val="18"/>
                <w:lang w:val="en-US" w:eastAsia="zh-CN"/>
              </w:rPr>
              <w:t>1</w:t>
            </w:r>
            <w:r>
              <w:rPr>
                <w:rFonts w:hint="eastAsia" w:ascii="宋体" w:hAnsi="宋体" w:eastAsia="宋体" w:cs="宋体"/>
                <w:color w:val="auto"/>
                <w:sz w:val="18"/>
                <w:szCs w:val="18"/>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8" w:type="dxa"/>
            <w:vMerge w:val="continue"/>
            <w:tcBorders>
              <w:left w:val="single" w:color="auto" w:sz="8" w:space="0"/>
            </w:tcBorders>
            <w:noWrap w:val="0"/>
            <w:vAlign w:val="center"/>
          </w:tcPr>
          <w:p>
            <w:pPr>
              <w:pStyle w:val="16"/>
              <w:snapToGrid w:val="0"/>
              <w:jc w:val="center"/>
              <w:rPr>
                <w:rFonts w:hint="eastAsia" w:ascii="宋体" w:hAnsi="宋体" w:eastAsia="宋体" w:cs="宋体"/>
                <w:color w:val="auto"/>
                <w:sz w:val="18"/>
                <w:szCs w:val="18"/>
              </w:rPr>
            </w:pPr>
          </w:p>
        </w:tc>
        <w:tc>
          <w:tcPr>
            <w:tcW w:w="321"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2176"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两蘑菇头相对高差</w:t>
            </w:r>
          </w:p>
        </w:tc>
        <w:tc>
          <w:tcPr>
            <w:tcW w:w="3031"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2.0</w:t>
            </w:r>
            <w:r>
              <w:rPr>
                <w:rFonts w:hint="eastAsia" w:ascii="宋体" w:hAnsi="宋体" w:cs="宋体"/>
                <w:color w:val="auto"/>
                <w:sz w:val="18"/>
                <w:szCs w:val="18"/>
                <w:lang w:val="en-US" w:eastAsia="zh-CN"/>
              </w:rPr>
              <w:t>mm</w:t>
            </w:r>
          </w:p>
        </w:tc>
        <w:tc>
          <w:tcPr>
            <w:tcW w:w="2327"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水准仪、钢直尺</w:t>
            </w:r>
          </w:p>
        </w:tc>
        <w:tc>
          <w:tcPr>
            <w:tcW w:w="1260" w:type="dxa"/>
            <w:tcBorders>
              <w:right w:val="single" w:color="auto" w:sz="8"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8" w:type="dxa"/>
            <w:vMerge w:val="continue"/>
            <w:tcBorders>
              <w:left w:val="single" w:color="auto" w:sz="8" w:space="0"/>
            </w:tcBorders>
            <w:noWrap w:val="0"/>
            <w:vAlign w:val="center"/>
          </w:tcPr>
          <w:p>
            <w:pPr>
              <w:pStyle w:val="16"/>
              <w:snapToGrid w:val="0"/>
              <w:jc w:val="center"/>
              <w:rPr>
                <w:rFonts w:hint="eastAsia" w:ascii="宋体" w:hAnsi="宋体" w:eastAsia="宋体" w:cs="宋体"/>
                <w:color w:val="auto"/>
                <w:sz w:val="18"/>
                <w:szCs w:val="18"/>
              </w:rPr>
            </w:pPr>
          </w:p>
        </w:tc>
        <w:tc>
          <w:tcPr>
            <w:tcW w:w="321"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2176" w:type="dxa"/>
            <w:noWrap w:val="0"/>
            <w:vAlign w:val="center"/>
          </w:tcPr>
          <w:p>
            <w:pPr>
              <w:pStyle w:val="16"/>
              <w:snapToGrid w:val="0"/>
              <w:rPr>
                <w:rFonts w:hint="eastAsia" w:ascii="宋体" w:hAnsi="宋体" w:eastAsia="宋体" w:cs="宋体"/>
                <w:color w:val="auto"/>
                <w:sz w:val="18"/>
                <w:szCs w:val="18"/>
              </w:rPr>
            </w:pPr>
            <w:r>
              <w:rPr>
                <w:rFonts w:hint="eastAsia" w:ascii="宋体" w:hAnsi="宋体" w:cs="宋体"/>
                <w:color w:val="auto"/>
                <w:sz w:val="18"/>
                <w:szCs w:val="18"/>
                <w:lang w:val="en-US" w:eastAsia="zh-CN"/>
              </w:rPr>
              <w:t>承轴台</w:t>
            </w:r>
            <w:r>
              <w:rPr>
                <w:rFonts w:hint="eastAsia" w:ascii="宋体" w:hAnsi="宋体" w:eastAsia="宋体" w:cs="宋体"/>
                <w:color w:val="auto"/>
                <w:sz w:val="18"/>
                <w:szCs w:val="18"/>
              </w:rPr>
              <w:t>顶平面倾斜度</w:t>
            </w:r>
          </w:p>
        </w:tc>
        <w:tc>
          <w:tcPr>
            <w:tcW w:w="3031"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D</w:t>
            </w:r>
            <w:r>
              <w:rPr>
                <w:rFonts w:hint="eastAsia" w:ascii="宋体" w:hAnsi="宋体" w:eastAsia="宋体" w:cs="宋体"/>
                <w:color w:val="auto"/>
                <w:sz w:val="18"/>
                <w:szCs w:val="18"/>
              </w:rPr>
              <w:t>/1000</w:t>
            </w:r>
            <w:r>
              <w:rPr>
                <w:rFonts w:hint="eastAsia" w:ascii="宋体" w:hAnsi="宋体" w:cs="宋体"/>
                <w:color w:val="auto"/>
                <w:sz w:val="18"/>
                <w:szCs w:val="18"/>
                <w:lang w:val="en-US" w:eastAsia="zh-CN"/>
              </w:rPr>
              <w:t>mm</w:t>
            </w:r>
          </w:p>
        </w:tc>
        <w:tc>
          <w:tcPr>
            <w:tcW w:w="2327"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水准仪、钢直尺</w:t>
            </w:r>
          </w:p>
        </w:tc>
        <w:tc>
          <w:tcPr>
            <w:tcW w:w="1260" w:type="dxa"/>
            <w:tcBorders>
              <w:right w:val="single" w:color="auto" w:sz="8" w:space="0"/>
            </w:tcBorders>
            <w:noWrap w:val="0"/>
            <w:vAlign w:val="center"/>
          </w:tcPr>
          <w:p>
            <w:pPr>
              <w:rPr>
                <w:rFonts w:hint="eastAsia" w:ascii="宋体" w:hAnsi="宋体" w:eastAsia="宋体" w:cs="宋体"/>
                <w:color w:val="auto"/>
                <w:sz w:val="18"/>
                <w:szCs w:val="18"/>
              </w:rPr>
            </w:pPr>
            <w:r>
              <w:rPr>
                <w:rFonts w:hint="eastAsia" w:ascii="宋体" w:hAnsi="宋体" w:cs="宋体"/>
                <w:color w:val="auto"/>
                <w:sz w:val="18"/>
                <w:szCs w:val="18"/>
                <w:lang w:val="en-US" w:eastAsia="zh-CN"/>
              </w:rPr>
              <w:t>各</w:t>
            </w:r>
            <w:r>
              <w:rPr>
                <w:rFonts w:hint="eastAsia" w:ascii="宋体" w:hAnsi="宋体" w:eastAsia="宋体" w:cs="宋体"/>
                <w:color w:val="auto"/>
                <w:sz w:val="18"/>
                <w:szCs w:val="18"/>
              </w:rPr>
              <w:t>测</w:t>
            </w:r>
            <w:r>
              <w:rPr>
                <w:rFonts w:hint="eastAsia" w:ascii="宋体" w:hAnsi="宋体" w:cs="宋体"/>
                <w:color w:val="auto"/>
                <w:sz w:val="18"/>
                <w:szCs w:val="18"/>
                <w:lang w:val="en-US" w:eastAsia="zh-CN"/>
              </w:rPr>
              <w:t>2</w:t>
            </w:r>
            <w:r>
              <w:rPr>
                <w:rFonts w:hint="eastAsia" w:ascii="宋体" w:hAnsi="宋体" w:eastAsia="宋体" w:cs="宋体"/>
                <w:color w:val="auto"/>
                <w:sz w:val="18"/>
                <w:szCs w:val="18"/>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8" w:type="dxa"/>
            <w:vMerge w:val="restart"/>
            <w:tcBorders>
              <w:left w:val="single" w:color="auto" w:sz="8" w:space="0"/>
            </w:tcBorders>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一</w:t>
            </w:r>
          </w:p>
          <w:p>
            <w:pPr>
              <w:pStyle w:val="16"/>
              <w:snapToGrid w:val="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般</w:t>
            </w:r>
            <w:r>
              <w:rPr>
                <w:rFonts w:hint="eastAsia" w:ascii="宋体" w:hAnsi="宋体" w:cs="宋体"/>
                <w:color w:val="auto"/>
                <w:sz w:val="18"/>
                <w:szCs w:val="18"/>
                <w:lang w:val="en-US" w:eastAsia="zh-CN"/>
              </w:rPr>
              <w:t>检验</w:t>
            </w:r>
          </w:p>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项</w:t>
            </w:r>
          </w:p>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目</w:t>
            </w:r>
          </w:p>
        </w:tc>
        <w:tc>
          <w:tcPr>
            <w:tcW w:w="321"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176"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蘑菇头高程</w:t>
            </w:r>
          </w:p>
        </w:tc>
        <w:tc>
          <w:tcPr>
            <w:tcW w:w="3031" w:type="dxa"/>
            <w:noWrap w:val="0"/>
            <w:vAlign w:val="center"/>
          </w:tcPr>
          <w:p>
            <w:pPr>
              <w:pStyle w:val="16"/>
              <w:snapToGrid w:val="0"/>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±3.0</w:t>
            </w:r>
            <w:r>
              <w:rPr>
                <w:rFonts w:hint="eastAsia" w:ascii="宋体" w:hAnsi="宋体" w:cs="宋体"/>
                <w:color w:val="auto"/>
                <w:sz w:val="18"/>
                <w:szCs w:val="18"/>
                <w:lang w:val="en-US" w:eastAsia="zh-CN"/>
              </w:rPr>
              <w:t>mm</w:t>
            </w:r>
          </w:p>
        </w:tc>
        <w:tc>
          <w:tcPr>
            <w:tcW w:w="2327"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水准仪、钢直尺</w:t>
            </w:r>
          </w:p>
        </w:tc>
        <w:tc>
          <w:tcPr>
            <w:tcW w:w="1260" w:type="dxa"/>
            <w:tcBorders>
              <w:right w:val="single" w:color="auto" w:sz="8" w:space="0"/>
            </w:tcBorders>
            <w:noWrap w:val="0"/>
            <w:vAlign w:val="center"/>
          </w:tcPr>
          <w:p>
            <w:pPr>
              <w:rPr>
                <w:rFonts w:hint="eastAsia" w:ascii="宋体" w:hAnsi="宋体" w:eastAsia="宋体" w:cs="宋体"/>
                <w:color w:val="auto"/>
                <w:sz w:val="18"/>
                <w:szCs w:val="18"/>
              </w:rPr>
            </w:pPr>
            <w:r>
              <w:rPr>
                <w:rFonts w:hint="eastAsia" w:ascii="宋体" w:hAnsi="宋体" w:cs="宋体"/>
                <w:color w:val="auto"/>
                <w:sz w:val="18"/>
                <w:szCs w:val="18"/>
                <w:lang w:val="en-US" w:eastAsia="zh-CN"/>
              </w:rPr>
              <w:t>各</w:t>
            </w:r>
            <w:r>
              <w:rPr>
                <w:rFonts w:hint="eastAsia" w:ascii="宋体" w:hAnsi="宋体" w:eastAsia="宋体" w:cs="宋体"/>
                <w:color w:val="auto"/>
                <w:sz w:val="18"/>
                <w:szCs w:val="18"/>
              </w:rPr>
              <w:t>测</w:t>
            </w:r>
            <w:r>
              <w:rPr>
                <w:rFonts w:hint="eastAsia" w:ascii="宋体" w:hAnsi="宋体" w:cs="宋体"/>
                <w:color w:val="auto"/>
                <w:sz w:val="18"/>
                <w:szCs w:val="18"/>
                <w:lang w:val="en-US" w:eastAsia="zh-CN"/>
              </w:rPr>
              <w:t>1</w:t>
            </w:r>
            <w:r>
              <w:rPr>
                <w:rFonts w:hint="eastAsia" w:ascii="宋体" w:hAnsi="宋体" w:eastAsia="宋体" w:cs="宋体"/>
                <w:color w:val="auto"/>
                <w:sz w:val="18"/>
                <w:szCs w:val="18"/>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8" w:type="dxa"/>
            <w:vMerge w:val="continue"/>
            <w:tcBorders>
              <w:left w:val="single" w:color="auto" w:sz="8" w:space="0"/>
            </w:tcBorders>
            <w:noWrap w:val="0"/>
            <w:vAlign w:val="center"/>
          </w:tcPr>
          <w:p>
            <w:pPr>
              <w:pStyle w:val="16"/>
              <w:snapToGrid w:val="0"/>
              <w:jc w:val="center"/>
              <w:rPr>
                <w:rFonts w:hint="eastAsia" w:ascii="宋体" w:hAnsi="宋体" w:eastAsia="宋体" w:cs="宋体"/>
                <w:color w:val="auto"/>
                <w:sz w:val="18"/>
                <w:szCs w:val="18"/>
              </w:rPr>
            </w:pPr>
          </w:p>
        </w:tc>
        <w:tc>
          <w:tcPr>
            <w:tcW w:w="321"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2176" w:type="dxa"/>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埋件表面处理</w:t>
            </w:r>
          </w:p>
        </w:tc>
        <w:tc>
          <w:tcPr>
            <w:tcW w:w="3031" w:type="dxa"/>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外露面砂浆、杂物等清理干净</w:t>
            </w:r>
          </w:p>
        </w:tc>
        <w:tc>
          <w:tcPr>
            <w:tcW w:w="2327"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检查</w:t>
            </w:r>
          </w:p>
        </w:tc>
        <w:tc>
          <w:tcPr>
            <w:tcW w:w="1260" w:type="dxa"/>
            <w:tcBorders>
              <w:right w:val="single" w:color="auto" w:sz="8"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8" w:type="dxa"/>
            <w:vMerge w:val="continue"/>
            <w:tcBorders>
              <w:left w:val="single" w:color="auto" w:sz="8" w:space="0"/>
            </w:tcBorders>
            <w:noWrap w:val="0"/>
            <w:vAlign w:val="center"/>
          </w:tcPr>
          <w:p>
            <w:pPr>
              <w:pStyle w:val="16"/>
              <w:snapToGrid w:val="0"/>
              <w:jc w:val="center"/>
              <w:rPr>
                <w:rFonts w:hint="eastAsia" w:ascii="宋体" w:hAnsi="宋体" w:eastAsia="宋体" w:cs="宋体"/>
                <w:color w:val="auto"/>
                <w:sz w:val="18"/>
                <w:szCs w:val="18"/>
              </w:rPr>
            </w:pPr>
          </w:p>
        </w:tc>
        <w:tc>
          <w:tcPr>
            <w:tcW w:w="321" w:type="dxa"/>
            <w:noWrap w:val="0"/>
            <w:vAlign w:val="center"/>
          </w:tcPr>
          <w:p>
            <w:pPr>
              <w:pStyle w:val="16"/>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2176" w:type="dxa"/>
            <w:noWrap w:val="0"/>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埋件外露面防腐</w:t>
            </w:r>
          </w:p>
        </w:tc>
        <w:tc>
          <w:tcPr>
            <w:tcW w:w="3031" w:type="dxa"/>
            <w:noWrap w:val="0"/>
            <w:vAlign w:val="center"/>
          </w:tcPr>
          <w:p>
            <w:pPr>
              <w:pStyle w:val="16"/>
              <w:jc w:val="center"/>
              <w:rPr>
                <w:rFonts w:hint="eastAsia" w:ascii="宋体" w:hAnsi="宋体" w:eastAsia="宋体" w:cs="宋体"/>
                <w:color w:val="auto"/>
                <w:sz w:val="18"/>
                <w:szCs w:val="18"/>
              </w:rPr>
            </w:pPr>
            <w:r>
              <w:rPr>
                <w:rFonts w:hint="eastAsia" w:ascii="宋体" w:hAnsi="宋体" w:eastAsia="宋体" w:cs="宋体"/>
                <w:color w:val="auto"/>
                <w:sz w:val="18"/>
                <w:szCs w:val="18"/>
              </w:rPr>
              <w:t>涂层无破损</w:t>
            </w:r>
          </w:p>
        </w:tc>
        <w:tc>
          <w:tcPr>
            <w:tcW w:w="2327" w:type="dxa"/>
            <w:noWrap w:val="0"/>
            <w:vAlign w:val="center"/>
          </w:tcPr>
          <w:p>
            <w:pPr>
              <w:pStyle w:val="16"/>
              <w:snapToGrid w:val="0"/>
              <w:rPr>
                <w:rFonts w:hint="eastAsia" w:ascii="宋体" w:hAnsi="宋体" w:eastAsia="宋体" w:cs="宋体"/>
                <w:color w:val="auto"/>
                <w:sz w:val="18"/>
                <w:szCs w:val="18"/>
              </w:rPr>
            </w:pPr>
            <w:r>
              <w:rPr>
                <w:rFonts w:hint="eastAsia" w:ascii="宋体" w:hAnsi="宋体" w:eastAsia="宋体" w:cs="宋体"/>
                <w:color w:val="auto"/>
                <w:sz w:val="18"/>
                <w:szCs w:val="18"/>
              </w:rPr>
              <w:t>检查</w:t>
            </w:r>
          </w:p>
        </w:tc>
        <w:tc>
          <w:tcPr>
            <w:tcW w:w="1260" w:type="dxa"/>
            <w:tcBorders>
              <w:right w:val="single" w:color="auto" w:sz="8"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5" w:hRule="atLeast"/>
          <w:jc w:val="center"/>
        </w:trPr>
        <w:tc>
          <w:tcPr>
            <w:tcW w:w="418" w:type="dxa"/>
            <w:tcBorders>
              <w:left w:val="single" w:color="auto" w:sz="8" w:space="0"/>
              <w:bottom w:val="single" w:color="auto" w:sz="8" w:space="0"/>
            </w:tcBorders>
            <w:noWrap w:val="0"/>
            <w:vAlign w:val="center"/>
          </w:tcPr>
          <w:p>
            <w:pPr>
              <w:pStyle w:val="16"/>
              <w:jc w:val="center"/>
              <w:rPr>
                <w:rFonts w:hint="eastAsia" w:ascii="宋体" w:hAnsi="宋体" w:eastAsia="宋体" w:cs="宋体"/>
                <w:color w:val="auto"/>
                <w:sz w:val="18"/>
                <w:szCs w:val="18"/>
              </w:rPr>
            </w:pPr>
            <w:r>
              <w:rPr>
                <w:rFonts w:hint="eastAsia" w:ascii="宋体" w:hAnsi="宋体" w:eastAsia="宋体" w:cs="宋体"/>
                <w:color w:val="auto"/>
                <w:sz w:val="18"/>
                <w:szCs w:val="18"/>
              </w:rPr>
              <w:t>简</w:t>
            </w:r>
          </w:p>
          <w:p>
            <w:pPr>
              <w:pStyle w:val="16"/>
              <w:jc w:val="center"/>
              <w:rPr>
                <w:rFonts w:hint="eastAsia" w:ascii="宋体" w:hAnsi="宋体" w:eastAsia="宋体" w:cs="宋体"/>
                <w:color w:val="auto"/>
                <w:sz w:val="18"/>
                <w:szCs w:val="18"/>
              </w:rPr>
            </w:pPr>
            <w:r>
              <w:rPr>
                <w:rFonts w:hint="eastAsia" w:ascii="宋体" w:hAnsi="宋体" w:eastAsia="宋体" w:cs="宋体"/>
                <w:color w:val="auto"/>
                <w:sz w:val="18"/>
                <w:szCs w:val="18"/>
              </w:rPr>
              <w:t>图</w:t>
            </w:r>
          </w:p>
        </w:tc>
        <w:tc>
          <w:tcPr>
            <w:tcW w:w="9115" w:type="dxa"/>
            <w:gridSpan w:val="5"/>
            <w:tcBorders>
              <w:bottom w:val="single" w:color="auto" w:sz="8" w:space="0"/>
              <w:right w:val="single" w:color="auto" w:sz="8" w:space="0"/>
            </w:tcBorders>
            <w:noWrap w:val="0"/>
            <w:vAlign w:val="center"/>
          </w:tcPr>
          <w:p>
            <w:pPr>
              <w:widowControl/>
              <w:jc w:val="both"/>
              <w:rPr>
                <w:rFonts w:hint="eastAsia" w:ascii="宋体" w:hAnsi="宋体" w:eastAsia="宋体" w:cs="宋体"/>
                <w:color w:val="0000FF"/>
              </w:rPr>
            </w:pPr>
          </w:p>
          <w:p>
            <w:pPr>
              <w:widowControl/>
              <w:spacing w:line="240" w:lineRule="auto"/>
              <w:jc w:val="both"/>
              <w:rPr>
                <w:rFonts w:hint="eastAsia" w:ascii="宋体" w:hAnsi="宋体" w:eastAsia="宋体" w:cs="宋体"/>
                <w:color w:val="0000FF"/>
                <w:sz w:val="18"/>
                <w:szCs w:val="18"/>
              </w:rPr>
            </w:pPr>
            <w:r>
              <w:rPr>
                <w:rFonts w:hint="eastAsia" w:ascii="宋体" w:hAnsi="宋体" w:eastAsia="宋体" w:cs="宋体"/>
                <w:color w:val="auto"/>
                <w:sz w:val="18"/>
                <w:szCs w:val="18"/>
              </w:rPr>
              <w:drawing>
                <wp:inline distT="0" distB="0" distL="114300" distR="114300">
                  <wp:extent cx="2431415" cy="2113915"/>
                  <wp:effectExtent l="0" t="0" r="6985" b="635"/>
                  <wp:docPr id="4" name="图片 4" descr="微信图片_2024090512300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微信图片_20240905123001"/>
                          <pic:cNvPicPr>
                            <a:picLocks noChangeAspect="true"/>
                          </pic:cNvPicPr>
                        </pic:nvPicPr>
                        <pic:blipFill>
                          <a:blip r:embed="rId16"/>
                          <a:stretch>
                            <a:fillRect/>
                          </a:stretch>
                        </pic:blipFill>
                        <pic:spPr>
                          <a:xfrm>
                            <a:off x="0" y="0"/>
                            <a:ext cx="2431415" cy="2113915"/>
                          </a:xfrm>
                          <a:prstGeom prst="rect">
                            <a:avLst/>
                          </a:prstGeom>
                        </pic:spPr>
                      </pic:pic>
                    </a:graphicData>
                  </a:graphic>
                </wp:inline>
              </w:drawing>
            </w:r>
            <w:r>
              <w:rPr>
                <w:rFonts w:hint="eastAsia" w:ascii="宋体" w:hAnsi="宋体" w:eastAsia="宋体" w:cs="宋体"/>
                <w:color w:val="auto"/>
                <w:sz w:val="18"/>
                <w:szCs w:val="18"/>
              </w:rPr>
              <w:t>1-</w:t>
            </w:r>
            <w:r>
              <w:rPr>
                <w:rFonts w:hint="eastAsia" w:ascii="宋体" w:hAnsi="宋体" w:cs="宋体"/>
                <w:color w:val="auto"/>
                <w:sz w:val="18"/>
                <w:szCs w:val="18"/>
                <w:lang w:val="en-US" w:eastAsia="zh-CN"/>
              </w:rPr>
              <w:t>承轴台</w:t>
            </w:r>
            <w:r>
              <w:rPr>
                <w:rFonts w:hint="eastAsia" w:ascii="宋体" w:hAnsi="宋体" w:eastAsia="宋体" w:cs="宋体"/>
                <w:color w:val="auto"/>
                <w:sz w:val="18"/>
                <w:szCs w:val="18"/>
              </w:rPr>
              <w:t>；2-</w:t>
            </w:r>
            <w:r>
              <w:rPr>
                <w:rFonts w:hint="eastAsia" w:ascii="宋体" w:hAnsi="宋体" w:cs="宋体"/>
                <w:color w:val="auto"/>
                <w:sz w:val="18"/>
                <w:szCs w:val="18"/>
                <w:lang w:val="en-US" w:eastAsia="zh-CN"/>
              </w:rPr>
              <w:t>蘑菇头</w:t>
            </w:r>
            <w:r>
              <w:rPr>
                <w:rFonts w:hint="eastAsia" w:ascii="宋体" w:hAnsi="宋体" w:eastAsia="宋体" w:cs="宋体"/>
                <w:color w:val="auto"/>
                <w:sz w:val="18"/>
                <w:szCs w:val="18"/>
              </w:rPr>
              <w:t>；3-蘑菇头</w:t>
            </w:r>
            <w:r>
              <w:rPr>
                <w:rFonts w:hint="eastAsia" w:ascii="宋体" w:hAnsi="宋体" w:cs="宋体"/>
                <w:color w:val="auto"/>
                <w:sz w:val="18"/>
                <w:szCs w:val="18"/>
                <w:lang w:val="en-US" w:eastAsia="zh-CN"/>
              </w:rPr>
              <w:t>衬套</w:t>
            </w:r>
            <w:r>
              <w:rPr>
                <w:rFonts w:hint="eastAsia" w:ascii="宋体" w:hAnsi="宋体" w:eastAsia="宋体" w:cs="宋体"/>
                <w:color w:val="auto"/>
                <w:sz w:val="18"/>
                <w:szCs w:val="18"/>
              </w:rPr>
              <w:t>；4-底枢</w:t>
            </w:r>
            <w:r>
              <w:rPr>
                <w:rFonts w:hint="eastAsia" w:ascii="宋体" w:hAnsi="宋体" w:cs="宋体"/>
                <w:color w:val="auto"/>
                <w:sz w:val="18"/>
                <w:szCs w:val="18"/>
                <w:lang w:val="en-US" w:eastAsia="zh-CN"/>
              </w:rPr>
              <w:t>支承</w:t>
            </w:r>
            <w:r>
              <w:rPr>
                <w:rFonts w:hint="eastAsia" w:ascii="宋体" w:hAnsi="宋体" w:eastAsia="宋体" w:cs="宋体"/>
                <w:color w:val="auto"/>
                <w:sz w:val="18"/>
                <w:szCs w:val="18"/>
              </w:rPr>
              <w:t>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33" w:type="dxa"/>
            <w:gridSpan w:val="6"/>
            <w:tcBorders>
              <w:top w:val="single" w:color="auto" w:sz="8" w:space="0"/>
              <w:left w:val="single" w:color="auto" w:sz="8" w:space="0"/>
              <w:bottom w:val="single" w:color="auto" w:sz="8" w:space="0"/>
              <w:right w:val="single" w:color="auto" w:sz="8" w:space="0"/>
            </w:tcBorders>
            <w:noWrap w:val="0"/>
            <w:vAlign w:val="center"/>
          </w:tcPr>
          <w:p>
            <w:pPr>
              <w:pStyle w:val="16"/>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注：</w:t>
            </w:r>
            <w:r>
              <w:rPr>
                <w:rFonts w:hint="eastAsia" w:ascii="宋体" w:hAnsi="宋体" w:cs="宋体"/>
                <w:color w:val="auto"/>
                <w:sz w:val="18"/>
                <w:szCs w:val="18"/>
                <w:lang w:val="en-US" w:eastAsia="zh-CN"/>
              </w:rPr>
              <w:t>1、</w:t>
            </w:r>
            <w:r>
              <w:rPr>
                <w:rFonts w:hint="eastAsia" w:ascii="宋体" w:hAnsi="宋体" w:eastAsia="宋体" w:cs="宋体"/>
                <w:color w:val="auto"/>
                <w:sz w:val="18"/>
                <w:szCs w:val="18"/>
              </w:rPr>
              <w:t>依据SL 635</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JTS257</w:t>
            </w:r>
            <w:r>
              <w:rPr>
                <w:rFonts w:hint="eastAsia" w:ascii="宋体" w:hAnsi="宋体" w:eastAsia="宋体" w:cs="宋体"/>
                <w:color w:val="auto"/>
                <w:sz w:val="18"/>
                <w:szCs w:val="18"/>
              </w:rPr>
              <w:t>。</w:t>
            </w:r>
          </w:p>
          <w:p>
            <w:pPr>
              <w:pStyle w:val="16"/>
              <w:spacing w:line="240" w:lineRule="exact"/>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 xml:space="preserve">    2、D为承轴台外径。</w:t>
            </w:r>
          </w:p>
        </w:tc>
      </w:tr>
    </w:tbl>
    <w:p>
      <w:pPr>
        <w:pStyle w:val="106"/>
        <w:spacing w:before="156" w:after="156"/>
        <w:rPr>
          <w:rFonts w:hint="eastAsia"/>
          <w:szCs w:val="22"/>
          <w:lang w:val="en-US" w:eastAsia="zh-CN"/>
        </w:rPr>
      </w:pPr>
      <w:bookmarkStart w:id="116" w:name="_Toc20787"/>
      <w:r>
        <w:rPr>
          <w:rFonts w:hint="eastAsia"/>
          <w:szCs w:val="22"/>
          <w:lang w:val="en-US" w:eastAsia="zh-CN"/>
        </w:rPr>
        <w:t>预埋</w:t>
      </w:r>
      <w:bookmarkEnd w:id="116"/>
      <w:r>
        <w:rPr>
          <w:rFonts w:hint="eastAsia"/>
          <w:szCs w:val="22"/>
          <w:lang w:val="en-US" w:eastAsia="zh-CN"/>
        </w:rPr>
        <w:t>件</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17" w:name="_Toc21726"/>
      <w:r>
        <w:rPr>
          <w:rFonts w:hint="eastAsia"/>
          <w:lang w:val="en-US" w:eastAsia="zh-CN"/>
        </w:rPr>
        <w:t>主要检验项目</w:t>
      </w:r>
      <w:bookmarkEnd w:id="117"/>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支座、支承和止水等预埋件制作的质量应符合第4.2.1.2节的有关规定。</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分节制造的预埋件应进行预组装，并应设有可靠的节间定位装置。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预埋件工作面对接接头处的错位应做缓坡处理，过流面及工作面的焊疤和焊缝余高应铲平磨光，凹坑应补焊平并磨光。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18" w:name="_Toc29715"/>
      <w:r>
        <w:rPr>
          <w:rFonts w:hint="eastAsia"/>
          <w:lang w:val="en-US" w:eastAsia="zh-CN"/>
        </w:rPr>
        <w:t>一般检验项目</w:t>
      </w:r>
      <w:bookmarkEnd w:id="118"/>
    </w:p>
    <w:p>
      <w:pPr>
        <w:pStyle w:val="166"/>
        <w:numPr>
          <w:ilvl w:val="4"/>
          <w:numId w:val="2"/>
        </w:numPr>
        <w:ind w:left="0" w:leftChars="0" w:firstLine="0" w:firstLineChars="0"/>
        <w:outlineLvl w:val="9"/>
        <w:rPr>
          <w:rFonts w:hint="eastAsia"/>
          <w:lang w:val="en-US" w:eastAsia="zh-CN"/>
        </w:rPr>
      </w:pPr>
      <w:r>
        <w:rPr>
          <w:rFonts w:hint="eastAsia"/>
          <w:lang w:val="en-US" w:eastAsia="zh-CN"/>
        </w:rPr>
        <w:t>三角闸门预埋件安装的允许偏差、检验数量和方法应符合表5、表6和表7规定。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outlineLvl w:val="9"/>
        <w:rPr>
          <w:rFonts w:hint="eastAsia" w:ascii="黑体" w:hAnsi="黑体" w:eastAsia="黑体" w:cs="黑体"/>
          <w:b w:val="0"/>
          <w:bCs w:val="0"/>
          <w:lang w:val="en-US" w:eastAsia="zh-CN"/>
        </w:rPr>
      </w:pPr>
      <w:bookmarkStart w:id="119" w:name="_Toc3432"/>
      <w:r>
        <w:rPr>
          <w:rFonts w:hint="eastAsia" w:ascii="黑体" w:hAnsi="黑体" w:eastAsia="黑体" w:cs="黑体"/>
          <w:b w:val="0"/>
          <w:bCs w:val="0"/>
          <w:lang w:val="en-US" w:eastAsia="zh-CN"/>
        </w:rPr>
        <w:t>表5 拉杆座埋件安装质量检验项目与标准</w:t>
      </w:r>
      <w:bookmarkEnd w:id="119"/>
    </w:p>
    <w:tbl>
      <w:tblPr>
        <w:tblStyle w:val="27"/>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306"/>
        <w:gridCol w:w="2891"/>
        <w:gridCol w:w="2292"/>
        <w:gridCol w:w="2043"/>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870" w:type="dxa"/>
            <w:gridSpan w:val="2"/>
            <w:tcBorders>
              <w:top w:val="single" w:color="auto" w:sz="8" w:space="0"/>
              <w:left w:val="single" w:color="auto" w:sz="8" w:space="0"/>
            </w:tcBorders>
            <w:noWrap w:val="0"/>
            <w:vAlign w:val="center"/>
          </w:tcPr>
          <w:p>
            <w:pPr>
              <w:pStyle w:val="16"/>
              <w:jc w:val="center"/>
              <w:rPr>
                <w:rFonts w:ascii="Times New Roman" w:hAnsi="Times New Roman" w:cs="Times New Roman"/>
                <w:sz w:val="18"/>
                <w:szCs w:val="18"/>
              </w:rPr>
            </w:pPr>
            <w:r>
              <w:rPr>
                <w:rFonts w:ascii="Times New Roman" w:hAnsi="Times New Roman" w:cs="Times New Roman"/>
                <w:sz w:val="18"/>
                <w:szCs w:val="18"/>
              </w:rPr>
              <w:t>项次</w:t>
            </w:r>
          </w:p>
        </w:tc>
        <w:tc>
          <w:tcPr>
            <w:tcW w:w="2891" w:type="dxa"/>
            <w:tcBorders>
              <w:top w:val="single" w:color="auto" w:sz="8" w:space="0"/>
            </w:tcBorders>
            <w:noWrap w:val="0"/>
            <w:vAlign w:val="center"/>
          </w:tcPr>
          <w:p>
            <w:pPr>
              <w:pStyle w:val="16"/>
              <w:jc w:val="center"/>
              <w:rPr>
                <w:rFonts w:ascii="Times New Roman" w:hAnsi="Times New Roman" w:cs="Times New Roman"/>
                <w:sz w:val="18"/>
                <w:szCs w:val="18"/>
              </w:rPr>
            </w:pPr>
            <w:r>
              <w:rPr>
                <w:rFonts w:ascii="Times New Roman" w:hAnsi="Times New Roman" w:cs="Times New Roman"/>
                <w:sz w:val="18"/>
                <w:szCs w:val="18"/>
              </w:rPr>
              <w:t>检验项目</w:t>
            </w:r>
          </w:p>
        </w:tc>
        <w:tc>
          <w:tcPr>
            <w:tcW w:w="2292" w:type="dxa"/>
            <w:tcBorders>
              <w:top w:val="single" w:color="auto" w:sz="8" w:space="0"/>
              <w:bottom w:val="single" w:color="auto" w:sz="8" w:space="0"/>
            </w:tcBorders>
            <w:noWrap w:val="0"/>
            <w:vAlign w:val="center"/>
          </w:tcPr>
          <w:p>
            <w:pPr>
              <w:pStyle w:val="16"/>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质量要求（允许偏差 ）</w:t>
            </w:r>
          </w:p>
        </w:tc>
        <w:tc>
          <w:tcPr>
            <w:tcW w:w="2043" w:type="dxa"/>
            <w:tcBorders>
              <w:top w:val="single" w:color="auto" w:sz="8" w:space="0"/>
            </w:tcBorders>
            <w:noWrap w:val="0"/>
            <w:vAlign w:val="center"/>
          </w:tcPr>
          <w:p>
            <w:pPr>
              <w:pStyle w:val="16"/>
              <w:jc w:val="center"/>
              <w:rPr>
                <w:rFonts w:ascii="Times New Roman" w:hAnsi="Times New Roman" w:cs="Times New Roman"/>
                <w:sz w:val="18"/>
                <w:szCs w:val="18"/>
              </w:rPr>
            </w:pPr>
            <w:r>
              <w:rPr>
                <w:rFonts w:ascii="Times New Roman" w:hAnsi="Times New Roman" w:cs="Times New Roman"/>
                <w:sz w:val="18"/>
                <w:szCs w:val="18"/>
              </w:rPr>
              <w:t>检验方法</w:t>
            </w:r>
          </w:p>
        </w:tc>
        <w:tc>
          <w:tcPr>
            <w:tcW w:w="1172" w:type="dxa"/>
            <w:tcBorders>
              <w:top w:val="single" w:color="auto" w:sz="8" w:space="0"/>
              <w:right w:val="single" w:color="auto" w:sz="8" w:space="0"/>
            </w:tcBorders>
            <w:noWrap w:val="0"/>
            <w:vAlign w:val="center"/>
          </w:tcPr>
          <w:p>
            <w:pPr>
              <w:pStyle w:val="16"/>
              <w:jc w:val="center"/>
              <w:rPr>
                <w:rFonts w:ascii="Times New Roman" w:hAnsi="Times New Roman" w:cs="Times New Roman"/>
                <w:sz w:val="18"/>
                <w:szCs w:val="18"/>
              </w:rPr>
            </w:pPr>
            <w:r>
              <w:rPr>
                <w:rFonts w:ascii="Times New Roman" w:hAnsi="Times New Roman" w:cs="Times New Roman"/>
                <w:sz w:val="18"/>
                <w:szCs w:val="18"/>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64" w:type="dxa"/>
            <w:vMerge w:val="restart"/>
            <w:tcBorders>
              <w:top w:val="single" w:color="auto" w:sz="8" w:space="0"/>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主</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要</w:t>
            </w:r>
          </w:p>
          <w:p>
            <w:pPr>
              <w:pStyle w:val="13"/>
              <w:snapToGrid w:val="0"/>
              <w:spacing w:after="0"/>
              <w:jc w:val="center"/>
              <w:rPr>
                <w:rFonts w:hint="default"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3"/>
              <w:snapToGrid w:val="0"/>
              <w:spacing w:after="0"/>
              <w:jc w:val="center"/>
              <w:rPr>
                <w:rFonts w:ascii="Times New Roman" w:hAnsi="Times New Roman" w:cs="Times New Roman"/>
                <w:sz w:val="18"/>
                <w:szCs w:val="18"/>
              </w:rPr>
            </w:pPr>
            <w:r>
              <w:rPr>
                <w:rFonts w:hint="eastAsia" w:ascii="宋体" w:hAnsi="宋体" w:eastAsia="宋体" w:cs="宋体"/>
                <w:snapToGrid w:val="0"/>
                <w:color w:val="auto"/>
                <w:sz w:val="18"/>
                <w:szCs w:val="18"/>
              </w:rPr>
              <w:t>目</w:t>
            </w:r>
          </w:p>
        </w:tc>
        <w:tc>
          <w:tcPr>
            <w:tcW w:w="306" w:type="dxa"/>
            <w:tcBorders>
              <w:top w:val="single" w:color="auto" w:sz="8" w:space="0"/>
            </w:tcBorders>
            <w:noWrap w:val="0"/>
            <w:vAlign w:val="center"/>
          </w:tcPr>
          <w:p>
            <w:pPr>
              <w:snapToGrid w:val="0"/>
              <w:jc w:val="center"/>
              <w:rPr>
                <w:rFonts w:ascii="Times New Roman" w:hAnsi="Times New Roman"/>
                <w:sz w:val="18"/>
                <w:szCs w:val="18"/>
              </w:rPr>
            </w:pPr>
            <w:r>
              <w:rPr>
                <w:rFonts w:ascii="Times New Roman" w:hAnsi="Times New Roman"/>
                <w:sz w:val="18"/>
                <w:szCs w:val="18"/>
              </w:rPr>
              <w:t>1</w:t>
            </w:r>
          </w:p>
        </w:tc>
        <w:tc>
          <w:tcPr>
            <w:tcW w:w="2891" w:type="dxa"/>
            <w:tcBorders>
              <w:top w:val="single" w:color="auto" w:sz="8" w:space="0"/>
            </w:tcBorders>
            <w:noWrap w:val="0"/>
            <w:vAlign w:val="center"/>
          </w:tcPr>
          <w:p>
            <w:pPr>
              <w:pStyle w:val="16"/>
              <w:snapToGrid w:val="0"/>
              <w:rPr>
                <w:rFonts w:hint="eastAsia" w:ascii="Times New Roman" w:hAnsi="Times New Roman" w:eastAsia="宋体" w:cs="Times New Roman"/>
                <w:sz w:val="18"/>
                <w:szCs w:val="18"/>
                <w:lang w:val="en-US" w:eastAsia="zh-CN"/>
              </w:rPr>
            </w:pPr>
            <w:r>
              <w:rPr>
                <w:rFonts w:ascii="Times New Roman" w:hAnsi="Times New Roman" w:cs="Times New Roman"/>
                <w:sz w:val="18"/>
                <w:szCs w:val="18"/>
              </w:rPr>
              <w:t>拉杆座板中心相对高差</w:t>
            </w:r>
            <w:r>
              <w:rPr>
                <w:rFonts w:hint="eastAsia" w:ascii="Times New Roman" w:hAnsi="Times New Roman" w:cs="Times New Roman"/>
                <w:sz w:val="18"/>
                <w:szCs w:val="18"/>
                <w:lang w:val="en-US" w:eastAsia="zh-CN"/>
              </w:rPr>
              <w:t>*</w:t>
            </w:r>
          </w:p>
        </w:tc>
        <w:tc>
          <w:tcPr>
            <w:tcW w:w="2292" w:type="dxa"/>
            <w:tcBorders>
              <w:top w:val="single" w:color="auto" w:sz="8" w:space="0"/>
            </w:tcBorders>
            <w:noWrap w:val="0"/>
            <w:vAlign w:val="center"/>
          </w:tcPr>
          <w:p>
            <w:pPr>
              <w:pStyle w:val="16"/>
              <w:snapToGrid w:val="0"/>
              <w:jc w:val="center"/>
              <w:rPr>
                <w:rFonts w:hint="default" w:ascii="Times New Roman" w:hAnsi="Times New Roman" w:eastAsia="宋体" w:cs="Times New Roman"/>
                <w:sz w:val="18"/>
                <w:szCs w:val="18"/>
                <w:lang w:val="en-US" w:eastAsia="zh-CN"/>
              </w:rPr>
            </w:pPr>
            <w:r>
              <w:rPr>
                <w:rFonts w:ascii="Times New Roman" w:hAnsi="Times New Roman" w:cs="Times New Roman"/>
                <w:sz w:val="18"/>
                <w:szCs w:val="18"/>
              </w:rPr>
              <w:t>1.0</w:t>
            </w:r>
            <w:r>
              <w:rPr>
                <w:rFonts w:hint="eastAsia" w:ascii="Times New Roman" w:hAnsi="Times New Roman" w:cs="Times New Roman"/>
                <w:sz w:val="18"/>
                <w:szCs w:val="18"/>
                <w:lang w:val="en-US" w:eastAsia="zh-CN"/>
              </w:rPr>
              <w:t>mm</w:t>
            </w:r>
          </w:p>
        </w:tc>
        <w:tc>
          <w:tcPr>
            <w:tcW w:w="2043" w:type="dxa"/>
            <w:tcBorders>
              <w:top w:val="single" w:color="auto" w:sz="8" w:space="0"/>
            </w:tcBorders>
            <w:noWrap w:val="0"/>
            <w:vAlign w:val="center"/>
          </w:tcPr>
          <w:p>
            <w:pPr>
              <w:pStyle w:val="16"/>
              <w:rPr>
                <w:rFonts w:ascii="Times New Roman" w:hAnsi="Times New Roman" w:cs="Times New Roman"/>
                <w:sz w:val="18"/>
                <w:szCs w:val="18"/>
              </w:rPr>
            </w:pPr>
            <w:r>
              <w:rPr>
                <w:rFonts w:ascii="Times New Roman" w:hAnsi="Times New Roman" w:cs="Times New Roman"/>
                <w:sz w:val="18"/>
                <w:szCs w:val="18"/>
              </w:rPr>
              <w:t>钢卷尺、经纬仪、钢直尺</w:t>
            </w:r>
          </w:p>
        </w:tc>
        <w:tc>
          <w:tcPr>
            <w:tcW w:w="1172" w:type="dxa"/>
            <w:tcBorders>
              <w:top w:val="single" w:color="auto" w:sz="8" w:space="0"/>
              <w:right w:val="single" w:color="auto" w:sz="8" w:space="0"/>
            </w:tcBorders>
            <w:noWrap w:val="0"/>
            <w:vAlign w:val="center"/>
          </w:tcPr>
          <w:p>
            <w:pPr>
              <w:pStyle w:val="16"/>
              <w:rPr>
                <w:rFonts w:ascii="Times New Roman" w:hAnsi="Times New Roman" w:cs="Times New Roman"/>
                <w:sz w:val="18"/>
                <w:szCs w:val="18"/>
              </w:rPr>
            </w:pPr>
            <w:r>
              <w:rPr>
                <w:rFonts w:hint="eastAsia" w:ascii="Times New Roman" w:hAnsi="Times New Roman" w:cs="Times New Roman"/>
                <w:sz w:val="18"/>
                <w:szCs w:val="18"/>
                <w:lang w:val="en-US" w:eastAsia="zh-CN"/>
              </w:rPr>
              <w:t>各</w:t>
            </w:r>
            <w:r>
              <w:rPr>
                <w:rFonts w:ascii="Times New Roman" w:hAnsi="Times New Roman" w:cs="Times New Roman"/>
                <w:sz w:val="18"/>
                <w:szCs w:val="18"/>
              </w:rPr>
              <w:t>测</w:t>
            </w:r>
            <w:r>
              <w:rPr>
                <w:rFonts w:hint="eastAsia" w:ascii="Times New Roman" w:hAnsi="Times New Roman" w:cs="Times New Roman"/>
                <w:sz w:val="18"/>
                <w:szCs w:val="18"/>
                <w:lang w:val="en-US" w:eastAsia="zh-CN"/>
              </w:rPr>
              <w:t>1</w:t>
            </w:r>
            <w:r>
              <w:rPr>
                <w:rFonts w:ascii="Times New Roman" w:hAnsi="Times New Roman" w:cs="Times New Roman"/>
                <w:sz w:val="18"/>
                <w:szCs w:val="18"/>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3" w:hRule="atLeast"/>
          <w:jc w:val="center"/>
        </w:trPr>
        <w:tc>
          <w:tcPr>
            <w:tcW w:w="564" w:type="dxa"/>
            <w:vMerge w:val="continue"/>
            <w:tcBorders>
              <w:left w:val="single" w:color="auto" w:sz="8" w:space="0"/>
            </w:tcBorders>
            <w:noWrap w:val="0"/>
            <w:vAlign w:val="center"/>
          </w:tcPr>
          <w:p>
            <w:pPr>
              <w:pStyle w:val="16"/>
              <w:jc w:val="center"/>
              <w:rPr>
                <w:rFonts w:ascii="Times New Roman" w:hAnsi="Times New Roman" w:cs="Times New Roman"/>
                <w:sz w:val="18"/>
                <w:szCs w:val="18"/>
              </w:rPr>
            </w:pPr>
          </w:p>
        </w:tc>
        <w:tc>
          <w:tcPr>
            <w:tcW w:w="306" w:type="dxa"/>
            <w:noWrap w:val="0"/>
            <w:vAlign w:val="center"/>
          </w:tcPr>
          <w:p>
            <w:pPr>
              <w:snapToGrid w:val="0"/>
              <w:jc w:val="center"/>
              <w:rPr>
                <w:rFonts w:ascii="Times New Roman" w:hAnsi="Times New Roman"/>
                <w:sz w:val="18"/>
                <w:szCs w:val="18"/>
              </w:rPr>
            </w:pPr>
            <w:r>
              <w:rPr>
                <w:rFonts w:ascii="Times New Roman" w:hAnsi="Times New Roman"/>
                <w:sz w:val="18"/>
                <w:szCs w:val="18"/>
              </w:rPr>
              <w:t>2</w:t>
            </w:r>
          </w:p>
        </w:tc>
        <w:tc>
          <w:tcPr>
            <w:tcW w:w="2891" w:type="dxa"/>
            <w:noWrap w:val="0"/>
            <w:vAlign w:val="center"/>
          </w:tcPr>
          <w:p>
            <w:pPr>
              <w:pStyle w:val="16"/>
              <w:snapToGrid w:val="0"/>
              <w:rPr>
                <w:rFonts w:hint="eastAsia" w:ascii="Times New Roman" w:hAnsi="Times New Roman" w:eastAsia="宋体" w:cs="Times New Roman"/>
                <w:sz w:val="18"/>
                <w:szCs w:val="18"/>
                <w:lang w:val="en-US" w:eastAsia="zh-CN"/>
              </w:rPr>
            </w:pPr>
            <w:r>
              <w:rPr>
                <w:rFonts w:ascii="Times New Roman" w:hAnsi="Times New Roman" w:cs="Times New Roman"/>
                <w:sz w:val="18"/>
                <w:szCs w:val="18"/>
              </w:rPr>
              <w:t>拉杆座板中心高程</w:t>
            </w:r>
            <w:r>
              <w:rPr>
                <w:rFonts w:hint="eastAsia" w:ascii="Times New Roman" w:hAnsi="Times New Roman" w:cs="Times New Roman"/>
                <w:sz w:val="18"/>
                <w:szCs w:val="18"/>
                <w:lang w:val="en-US" w:eastAsia="zh-CN"/>
              </w:rPr>
              <w:t>*</w:t>
            </w:r>
          </w:p>
        </w:tc>
        <w:tc>
          <w:tcPr>
            <w:tcW w:w="2292" w:type="dxa"/>
            <w:noWrap w:val="0"/>
            <w:vAlign w:val="center"/>
          </w:tcPr>
          <w:p>
            <w:pPr>
              <w:pStyle w:val="16"/>
              <w:snapToGrid w:val="0"/>
              <w:jc w:val="center"/>
              <w:rPr>
                <w:rFonts w:hint="default" w:ascii="Times New Roman" w:hAnsi="Times New Roman" w:eastAsia="宋体" w:cs="Times New Roman"/>
                <w:sz w:val="18"/>
                <w:szCs w:val="18"/>
                <w:lang w:val="en-US" w:eastAsia="zh-CN"/>
              </w:rPr>
            </w:pPr>
            <w:r>
              <w:rPr>
                <w:rFonts w:ascii="Times New Roman" w:hAnsi="Times New Roman" w:cs="Times New Roman"/>
                <w:sz w:val="18"/>
                <w:szCs w:val="18"/>
              </w:rPr>
              <w:t>±3.0</w:t>
            </w:r>
            <w:r>
              <w:rPr>
                <w:rFonts w:hint="eastAsia" w:ascii="Times New Roman" w:hAnsi="Times New Roman" w:cs="Times New Roman"/>
                <w:sz w:val="18"/>
                <w:szCs w:val="18"/>
                <w:lang w:val="en-US" w:eastAsia="zh-CN"/>
              </w:rPr>
              <w:t>mm</w:t>
            </w:r>
          </w:p>
        </w:tc>
        <w:tc>
          <w:tcPr>
            <w:tcW w:w="2043" w:type="dxa"/>
            <w:noWrap w:val="0"/>
            <w:vAlign w:val="center"/>
          </w:tcPr>
          <w:p>
            <w:pPr>
              <w:pStyle w:val="16"/>
              <w:rPr>
                <w:rFonts w:ascii="Times New Roman" w:hAnsi="Times New Roman" w:cs="Times New Roman"/>
                <w:sz w:val="18"/>
                <w:szCs w:val="18"/>
              </w:rPr>
            </w:pPr>
            <w:r>
              <w:rPr>
                <w:rFonts w:ascii="Times New Roman" w:hAnsi="Times New Roman" w:cs="Times New Roman"/>
                <w:sz w:val="18"/>
                <w:szCs w:val="18"/>
              </w:rPr>
              <w:t>水准仪、钢直尺</w:t>
            </w:r>
          </w:p>
        </w:tc>
        <w:tc>
          <w:tcPr>
            <w:tcW w:w="1172" w:type="dxa"/>
            <w:tcBorders>
              <w:right w:val="single" w:color="auto" w:sz="8" w:space="0"/>
            </w:tcBorders>
            <w:noWrap w:val="0"/>
            <w:vAlign w:val="center"/>
          </w:tcPr>
          <w:p>
            <w:pPr>
              <w:pStyle w:val="16"/>
              <w:rPr>
                <w:rFonts w:ascii="Times New Roman" w:hAnsi="Times New Roman" w:cs="Times New Roman"/>
                <w:sz w:val="18"/>
                <w:szCs w:val="18"/>
              </w:rPr>
            </w:pPr>
            <w:r>
              <w:rPr>
                <w:rFonts w:hint="eastAsia" w:ascii="Times New Roman" w:hAnsi="Times New Roman" w:cs="Times New Roman"/>
                <w:sz w:val="18"/>
                <w:szCs w:val="18"/>
                <w:lang w:val="en-US" w:eastAsia="zh-CN"/>
              </w:rPr>
              <w:t>各</w:t>
            </w:r>
            <w:r>
              <w:rPr>
                <w:rFonts w:ascii="Times New Roman" w:hAnsi="Times New Roman" w:cs="Times New Roman"/>
                <w:sz w:val="18"/>
                <w:szCs w:val="18"/>
              </w:rPr>
              <w:t>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4" w:type="dxa"/>
            <w:vMerge w:val="restart"/>
            <w:tcBorders>
              <w:left w:val="single" w:color="auto" w:sz="8" w:space="0"/>
              <w:right w:val="single" w:color="auto" w:sz="6"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一</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般</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3"/>
              <w:snapToGrid w:val="0"/>
              <w:spacing w:after="0"/>
              <w:jc w:val="center"/>
              <w:rPr>
                <w:rFonts w:ascii="Times New Roman" w:hAnsi="Times New Roman" w:cs="Times New Roman"/>
                <w:sz w:val="18"/>
                <w:szCs w:val="18"/>
              </w:rPr>
            </w:pPr>
            <w:r>
              <w:rPr>
                <w:rFonts w:hint="eastAsia" w:ascii="宋体" w:hAnsi="宋体" w:eastAsia="宋体" w:cs="宋体"/>
                <w:snapToGrid w:val="0"/>
                <w:color w:val="auto"/>
                <w:sz w:val="18"/>
                <w:szCs w:val="18"/>
              </w:rPr>
              <w:t>目</w:t>
            </w:r>
          </w:p>
        </w:tc>
        <w:tc>
          <w:tcPr>
            <w:tcW w:w="306" w:type="dxa"/>
            <w:tcBorders>
              <w:left w:val="single" w:color="auto" w:sz="6" w:space="0"/>
            </w:tcBorders>
            <w:noWrap w:val="0"/>
            <w:vAlign w:val="center"/>
          </w:tcPr>
          <w:p>
            <w:pPr>
              <w:snapToGrid w:val="0"/>
              <w:jc w:val="center"/>
              <w:rPr>
                <w:rFonts w:ascii="Times New Roman" w:hAnsi="Times New Roman"/>
                <w:sz w:val="18"/>
                <w:szCs w:val="18"/>
              </w:rPr>
            </w:pPr>
            <w:r>
              <w:rPr>
                <w:rFonts w:ascii="Times New Roman" w:hAnsi="Times New Roman"/>
                <w:sz w:val="18"/>
                <w:szCs w:val="18"/>
              </w:rPr>
              <w:t>1</w:t>
            </w:r>
          </w:p>
        </w:tc>
        <w:tc>
          <w:tcPr>
            <w:tcW w:w="2891" w:type="dxa"/>
            <w:noWrap w:val="0"/>
            <w:vAlign w:val="center"/>
          </w:tcPr>
          <w:p>
            <w:pPr>
              <w:pStyle w:val="16"/>
              <w:snapToGrid w:val="0"/>
              <w:rPr>
                <w:rFonts w:hint="eastAsia" w:ascii="Times New Roman" w:hAnsi="Times New Roman" w:eastAsia="宋体" w:cs="Times New Roman"/>
                <w:sz w:val="18"/>
                <w:szCs w:val="18"/>
                <w:lang w:val="en-US" w:eastAsia="zh-CN"/>
              </w:rPr>
            </w:pPr>
            <w:r>
              <w:rPr>
                <w:rFonts w:ascii="Times New Roman" w:hAnsi="Times New Roman" w:cs="Times New Roman"/>
                <w:sz w:val="18"/>
                <w:szCs w:val="18"/>
              </w:rPr>
              <w:t>拉杆座板中心至磨菇头水平距离</w:t>
            </w:r>
            <w:r>
              <w:rPr>
                <w:rFonts w:hint="eastAsia" w:ascii="Times New Roman" w:hAnsi="Times New Roman" w:cs="Times New Roman"/>
                <w:sz w:val="18"/>
                <w:szCs w:val="18"/>
                <w:lang w:val="en-US" w:eastAsia="zh-CN"/>
              </w:rPr>
              <w:t>*</w:t>
            </w:r>
          </w:p>
        </w:tc>
        <w:tc>
          <w:tcPr>
            <w:tcW w:w="2292" w:type="dxa"/>
            <w:noWrap w:val="0"/>
            <w:vAlign w:val="center"/>
          </w:tcPr>
          <w:p>
            <w:pPr>
              <w:pStyle w:val="16"/>
              <w:snapToGrid w:val="0"/>
              <w:jc w:val="center"/>
              <w:rPr>
                <w:rFonts w:hint="default" w:ascii="Times New Roman" w:hAnsi="Times New Roman" w:eastAsia="宋体" w:cs="Times New Roman"/>
                <w:sz w:val="18"/>
                <w:szCs w:val="18"/>
                <w:lang w:val="en-US" w:eastAsia="zh-CN"/>
              </w:rPr>
            </w:pPr>
            <w:r>
              <w:rPr>
                <w:rFonts w:ascii="Times New Roman" w:hAnsi="Times New Roman" w:cs="Times New Roman"/>
                <w:sz w:val="18"/>
                <w:szCs w:val="18"/>
              </w:rPr>
              <w:t>±2.0</w:t>
            </w:r>
            <w:r>
              <w:rPr>
                <w:rFonts w:hint="eastAsia" w:ascii="Times New Roman" w:hAnsi="Times New Roman" w:cs="Times New Roman"/>
                <w:sz w:val="18"/>
                <w:szCs w:val="18"/>
                <w:lang w:val="en-US" w:eastAsia="zh-CN"/>
              </w:rPr>
              <w:t>mm</w:t>
            </w:r>
          </w:p>
        </w:tc>
        <w:tc>
          <w:tcPr>
            <w:tcW w:w="2043" w:type="dxa"/>
            <w:noWrap w:val="0"/>
            <w:vAlign w:val="center"/>
          </w:tcPr>
          <w:p>
            <w:pPr>
              <w:pStyle w:val="16"/>
              <w:snapToGrid w:val="0"/>
              <w:rPr>
                <w:rFonts w:ascii="Times New Roman" w:hAnsi="Times New Roman" w:cs="Times New Roman"/>
                <w:sz w:val="18"/>
                <w:szCs w:val="18"/>
              </w:rPr>
            </w:pPr>
            <w:r>
              <w:rPr>
                <w:rFonts w:ascii="Times New Roman" w:hAnsi="Times New Roman" w:cs="Times New Roman"/>
                <w:sz w:val="18"/>
                <w:szCs w:val="18"/>
              </w:rPr>
              <w:t>钢卷尺、经纬仪</w:t>
            </w:r>
          </w:p>
        </w:tc>
        <w:tc>
          <w:tcPr>
            <w:tcW w:w="1172" w:type="dxa"/>
            <w:tcBorders>
              <w:right w:val="single" w:color="auto" w:sz="8" w:space="0"/>
            </w:tcBorders>
            <w:noWrap w:val="0"/>
            <w:vAlign w:val="center"/>
          </w:tcPr>
          <w:p>
            <w:pPr>
              <w:pStyle w:val="16"/>
              <w:rPr>
                <w:rFonts w:ascii="Times New Roman" w:hAnsi="Times New Roman" w:cs="Times New Roman"/>
                <w:sz w:val="18"/>
                <w:szCs w:val="18"/>
              </w:rPr>
            </w:pPr>
            <w:r>
              <w:rPr>
                <w:rFonts w:ascii="Times New Roman" w:hAnsi="Times New Roman" w:cs="Times New Roman"/>
                <w:sz w:val="18"/>
                <w:szCs w:val="18"/>
              </w:rPr>
              <w:t>测2点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4" w:type="dxa"/>
            <w:vMerge w:val="continue"/>
            <w:tcBorders>
              <w:left w:val="single" w:color="auto" w:sz="8" w:space="0"/>
              <w:right w:val="single" w:color="auto" w:sz="6" w:space="0"/>
            </w:tcBorders>
            <w:noWrap w:val="0"/>
            <w:vAlign w:val="center"/>
          </w:tcPr>
          <w:p>
            <w:pPr>
              <w:pStyle w:val="16"/>
              <w:jc w:val="center"/>
              <w:rPr>
                <w:rFonts w:ascii="Times New Roman" w:hAnsi="Times New Roman" w:cs="Times New Roman"/>
                <w:sz w:val="18"/>
                <w:szCs w:val="18"/>
              </w:rPr>
            </w:pPr>
          </w:p>
        </w:tc>
        <w:tc>
          <w:tcPr>
            <w:tcW w:w="306" w:type="dxa"/>
            <w:tcBorders>
              <w:left w:val="single" w:color="auto" w:sz="6" w:space="0"/>
            </w:tcBorders>
            <w:noWrap w:val="0"/>
            <w:vAlign w:val="center"/>
          </w:tcPr>
          <w:p>
            <w:pPr>
              <w:snapToGrid w:val="0"/>
              <w:jc w:val="center"/>
              <w:rPr>
                <w:rFonts w:ascii="Times New Roman" w:hAnsi="Times New Roman"/>
                <w:sz w:val="18"/>
                <w:szCs w:val="18"/>
              </w:rPr>
            </w:pPr>
            <w:r>
              <w:rPr>
                <w:rFonts w:ascii="Times New Roman" w:hAnsi="Times New Roman"/>
                <w:sz w:val="18"/>
                <w:szCs w:val="18"/>
              </w:rPr>
              <w:t>2</w:t>
            </w:r>
          </w:p>
        </w:tc>
        <w:tc>
          <w:tcPr>
            <w:tcW w:w="2891" w:type="dxa"/>
            <w:noWrap w:val="0"/>
            <w:vAlign w:val="center"/>
          </w:tcPr>
          <w:p>
            <w:pPr>
              <w:pStyle w:val="16"/>
              <w:snapToGrid w:val="0"/>
              <w:rPr>
                <w:rFonts w:hint="eastAsia" w:ascii="Times New Roman" w:hAnsi="Times New Roman" w:eastAsia="宋体" w:cs="Times New Roman"/>
                <w:sz w:val="18"/>
                <w:szCs w:val="18"/>
                <w:lang w:val="en-US" w:eastAsia="zh-CN"/>
              </w:rPr>
            </w:pPr>
            <w:r>
              <w:rPr>
                <w:rFonts w:ascii="Times New Roman" w:hAnsi="Times New Roman" w:cs="Times New Roman"/>
                <w:sz w:val="18"/>
                <w:szCs w:val="18"/>
              </w:rPr>
              <w:t>两拉杆座板中心线夹角</w:t>
            </w:r>
          </w:p>
        </w:tc>
        <w:tc>
          <w:tcPr>
            <w:tcW w:w="2292" w:type="dxa"/>
            <w:noWrap w:val="0"/>
            <w:vAlign w:val="center"/>
          </w:tcPr>
          <w:p>
            <w:pPr>
              <w:pStyle w:val="16"/>
              <w:snapToGrid w:val="0"/>
              <w:jc w:val="center"/>
              <w:rPr>
                <w:rFonts w:ascii="Times New Roman" w:hAnsi="Times New Roman" w:cs="Times New Roman"/>
                <w:sz w:val="18"/>
                <w:szCs w:val="18"/>
              </w:rPr>
            </w:pPr>
            <w:r>
              <w:rPr>
                <w:rFonts w:ascii="Times New Roman" w:hAnsi="Times New Roman" w:cs="Times New Roman"/>
                <w:sz w:val="18"/>
                <w:szCs w:val="18"/>
              </w:rPr>
              <w:t>±1</w:t>
            </w:r>
            <w:r>
              <w:rPr>
                <w:rFonts w:hint="eastAsia"/>
                <w:sz w:val="18"/>
                <w:szCs w:val="18"/>
              </w:rPr>
              <w:t>º</w:t>
            </w:r>
          </w:p>
        </w:tc>
        <w:tc>
          <w:tcPr>
            <w:tcW w:w="2043" w:type="dxa"/>
            <w:noWrap w:val="0"/>
            <w:vAlign w:val="center"/>
          </w:tcPr>
          <w:p>
            <w:pPr>
              <w:pStyle w:val="16"/>
              <w:snapToGrid w:val="0"/>
              <w:rPr>
                <w:rFonts w:ascii="Times New Roman" w:hAnsi="Times New Roman" w:cs="Times New Roman"/>
                <w:sz w:val="18"/>
                <w:szCs w:val="18"/>
              </w:rPr>
            </w:pPr>
            <w:r>
              <w:rPr>
                <w:rFonts w:ascii="Times New Roman" w:hAnsi="Times New Roman" w:cs="Times New Roman"/>
                <w:sz w:val="18"/>
                <w:szCs w:val="18"/>
              </w:rPr>
              <w:t>经纬仪、钢直尺</w:t>
            </w:r>
          </w:p>
        </w:tc>
        <w:tc>
          <w:tcPr>
            <w:tcW w:w="1172" w:type="dxa"/>
            <w:tcBorders>
              <w:right w:val="single" w:color="auto" w:sz="8" w:space="0"/>
            </w:tcBorders>
            <w:noWrap w:val="0"/>
            <w:vAlign w:val="center"/>
          </w:tcPr>
          <w:p>
            <w:pPr>
              <w:pStyle w:val="16"/>
              <w:rPr>
                <w:rFonts w:ascii="Times New Roman" w:hAnsi="Times New Roman" w:cs="Times New Roman"/>
                <w:sz w:val="18"/>
                <w:szCs w:val="18"/>
              </w:rPr>
            </w:pPr>
            <w:r>
              <w:rPr>
                <w:rFonts w:ascii="Times New Roman" w:hAnsi="Times New Roman" w:cs="Times New Roman"/>
                <w:sz w:val="18"/>
                <w:szCs w:val="18"/>
              </w:rPr>
              <w:t>测2点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4" w:type="dxa"/>
            <w:vMerge w:val="continue"/>
            <w:tcBorders>
              <w:left w:val="single" w:color="auto" w:sz="8" w:space="0"/>
              <w:right w:val="single" w:color="auto" w:sz="6" w:space="0"/>
            </w:tcBorders>
            <w:noWrap w:val="0"/>
            <w:vAlign w:val="center"/>
          </w:tcPr>
          <w:p>
            <w:pPr>
              <w:pStyle w:val="16"/>
              <w:jc w:val="center"/>
              <w:rPr>
                <w:rFonts w:ascii="Times New Roman" w:hAnsi="Times New Roman" w:cs="Times New Roman"/>
                <w:sz w:val="18"/>
                <w:szCs w:val="18"/>
              </w:rPr>
            </w:pPr>
          </w:p>
        </w:tc>
        <w:tc>
          <w:tcPr>
            <w:tcW w:w="306" w:type="dxa"/>
            <w:tcBorders>
              <w:left w:val="single" w:color="auto" w:sz="6" w:space="0"/>
            </w:tcBorders>
            <w:noWrap w:val="0"/>
            <w:vAlign w:val="center"/>
          </w:tcPr>
          <w:p>
            <w:pPr>
              <w:snapToGrid w:val="0"/>
              <w:jc w:val="center"/>
              <w:rPr>
                <w:rFonts w:ascii="Times New Roman" w:hAnsi="Times New Roman"/>
                <w:sz w:val="18"/>
                <w:szCs w:val="18"/>
              </w:rPr>
            </w:pPr>
            <w:r>
              <w:rPr>
                <w:rFonts w:ascii="Times New Roman" w:hAnsi="Times New Roman"/>
                <w:sz w:val="18"/>
                <w:szCs w:val="18"/>
              </w:rPr>
              <w:t>3</w:t>
            </w:r>
          </w:p>
        </w:tc>
        <w:tc>
          <w:tcPr>
            <w:tcW w:w="2891" w:type="dxa"/>
            <w:noWrap w:val="0"/>
            <w:vAlign w:val="center"/>
          </w:tcPr>
          <w:p>
            <w:pPr>
              <w:snapToGrid w:val="0"/>
              <w:rPr>
                <w:rFonts w:ascii="Times New Roman" w:hAnsi="Times New Roman"/>
                <w:sz w:val="18"/>
                <w:szCs w:val="18"/>
              </w:rPr>
            </w:pPr>
            <w:r>
              <w:rPr>
                <w:rFonts w:ascii="Times New Roman" w:hAnsi="Times New Roman"/>
                <w:sz w:val="18"/>
                <w:szCs w:val="18"/>
              </w:rPr>
              <w:t>埋件表面清理情况</w:t>
            </w:r>
          </w:p>
        </w:tc>
        <w:tc>
          <w:tcPr>
            <w:tcW w:w="2292" w:type="dxa"/>
            <w:noWrap w:val="0"/>
            <w:vAlign w:val="center"/>
          </w:tcPr>
          <w:p>
            <w:pPr>
              <w:snapToGrid w:val="0"/>
              <w:jc w:val="center"/>
              <w:rPr>
                <w:rFonts w:ascii="Times New Roman" w:hAnsi="Times New Roman"/>
                <w:sz w:val="18"/>
                <w:szCs w:val="18"/>
              </w:rPr>
            </w:pPr>
            <w:r>
              <w:rPr>
                <w:rFonts w:ascii="Times New Roman" w:hAnsi="Times New Roman"/>
                <w:sz w:val="18"/>
                <w:szCs w:val="18"/>
              </w:rPr>
              <w:t>表面砂浆、杂物等清理干净</w:t>
            </w:r>
          </w:p>
        </w:tc>
        <w:tc>
          <w:tcPr>
            <w:tcW w:w="2043" w:type="dxa"/>
            <w:noWrap w:val="0"/>
            <w:vAlign w:val="center"/>
          </w:tcPr>
          <w:p>
            <w:pPr>
              <w:pStyle w:val="16"/>
              <w:snapToGrid w:val="0"/>
              <w:rPr>
                <w:rFonts w:ascii="Times New Roman" w:hAnsi="Times New Roman" w:cs="Times New Roman"/>
                <w:sz w:val="18"/>
                <w:szCs w:val="18"/>
              </w:rPr>
            </w:pPr>
            <w:r>
              <w:rPr>
                <w:rFonts w:ascii="Times New Roman" w:hAnsi="Times New Roman" w:cs="Times New Roman"/>
                <w:sz w:val="18"/>
                <w:szCs w:val="18"/>
              </w:rPr>
              <w:t>检查</w:t>
            </w:r>
          </w:p>
        </w:tc>
        <w:tc>
          <w:tcPr>
            <w:tcW w:w="1172" w:type="dxa"/>
            <w:tcBorders>
              <w:right w:val="single" w:color="auto" w:sz="8" w:space="0"/>
            </w:tcBorders>
            <w:noWrap w:val="0"/>
            <w:vAlign w:val="center"/>
          </w:tcPr>
          <w:p>
            <w:pPr>
              <w:rPr>
                <w:rFonts w:ascii="Times New Roman" w:hAnsi="Times New Roman"/>
                <w:sz w:val="18"/>
                <w:szCs w:val="18"/>
              </w:rPr>
            </w:pPr>
            <w:r>
              <w:rPr>
                <w:rFonts w:ascii="Times New Roman" w:hAnsi="Times New Roman"/>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4" w:type="dxa"/>
            <w:vMerge w:val="continue"/>
            <w:tcBorders>
              <w:left w:val="single" w:color="auto" w:sz="8" w:space="0"/>
              <w:right w:val="single" w:color="auto" w:sz="6" w:space="0"/>
            </w:tcBorders>
            <w:noWrap w:val="0"/>
            <w:vAlign w:val="center"/>
          </w:tcPr>
          <w:p>
            <w:pPr>
              <w:pStyle w:val="16"/>
              <w:jc w:val="center"/>
              <w:rPr>
                <w:rFonts w:ascii="Times New Roman" w:hAnsi="Times New Roman" w:cs="Times New Roman"/>
                <w:sz w:val="18"/>
                <w:szCs w:val="18"/>
              </w:rPr>
            </w:pPr>
          </w:p>
        </w:tc>
        <w:tc>
          <w:tcPr>
            <w:tcW w:w="306" w:type="dxa"/>
            <w:tcBorders>
              <w:left w:val="single" w:color="auto" w:sz="6" w:space="0"/>
            </w:tcBorders>
            <w:noWrap w:val="0"/>
            <w:vAlign w:val="center"/>
          </w:tcPr>
          <w:p>
            <w:pPr>
              <w:snapToGrid w:val="0"/>
              <w:jc w:val="center"/>
              <w:rPr>
                <w:rFonts w:ascii="Times New Roman" w:hAnsi="Times New Roman"/>
                <w:sz w:val="18"/>
                <w:szCs w:val="18"/>
              </w:rPr>
            </w:pPr>
            <w:r>
              <w:rPr>
                <w:rFonts w:ascii="Times New Roman" w:hAnsi="Times New Roman"/>
                <w:sz w:val="18"/>
                <w:szCs w:val="18"/>
              </w:rPr>
              <w:t>4</w:t>
            </w:r>
          </w:p>
        </w:tc>
        <w:tc>
          <w:tcPr>
            <w:tcW w:w="2891" w:type="dxa"/>
            <w:noWrap w:val="0"/>
            <w:vAlign w:val="center"/>
          </w:tcPr>
          <w:p>
            <w:pPr>
              <w:snapToGrid w:val="0"/>
              <w:rPr>
                <w:rFonts w:ascii="Times New Roman" w:hAnsi="Times New Roman"/>
                <w:sz w:val="18"/>
                <w:szCs w:val="18"/>
              </w:rPr>
            </w:pPr>
            <w:r>
              <w:rPr>
                <w:rFonts w:ascii="Times New Roman" w:hAnsi="Times New Roman"/>
                <w:sz w:val="18"/>
                <w:szCs w:val="18"/>
              </w:rPr>
              <w:t>埋件外露面防腐</w:t>
            </w:r>
          </w:p>
        </w:tc>
        <w:tc>
          <w:tcPr>
            <w:tcW w:w="2292" w:type="dxa"/>
            <w:noWrap w:val="0"/>
            <w:vAlign w:val="center"/>
          </w:tcPr>
          <w:p>
            <w:pPr>
              <w:snapToGrid w:val="0"/>
              <w:jc w:val="center"/>
              <w:rPr>
                <w:rFonts w:ascii="Times New Roman" w:hAnsi="Times New Roman"/>
                <w:sz w:val="18"/>
                <w:szCs w:val="18"/>
              </w:rPr>
            </w:pPr>
            <w:r>
              <w:rPr>
                <w:rFonts w:ascii="Times New Roman" w:hAnsi="Times New Roman"/>
                <w:sz w:val="18"/>
                <w:szCs w:val="18"/>
              </w:rPr>
              <w:t>涂层无破损</w:t>
            </w:r>
          </w:p>
        </w:tc>
        <w:tc>
          <w:tcPr>
            <w:tcW w:w="2043" w:type="dxa"/>
            <w:noWrap w:val="0"/>
            <w:vAlign w:val="center"/>
          </w:tcPr>
          <w:p>
            <w:pPr>
              <w:pStyle w:val="16"/>
              <w:snapToGrid w:val="0"/>
              <w:rPr>
                <w:rFonts w:ascii="Times New Roman" w:hAnsi="Times New Roman" w:cs="Times New Roman"/>
                <w:sz w:val="18"/>
                <w:szCs w:val="18"/>
              </w:rPr>
            </w:pPr>
            <w:r>
              <w:rPr>
                <w:rFonts w:ascii="Times New Roman" w:hAnsi="Times New Roman" w:cs="Times New Roman"/>
                <w:sz w:val="18"/>
                <w:szCs w:val="18"/>
              </w:rPr>
              <w:t>检查</w:t>
            </w:r>
          </w:p>
        </w:tc>
        <w:tc>
          <w:tcPr>
            <w:tcW w:w="1172" w:type="dxa"/>
            <w:tcBorders>
              <w:right w:val="single" w:color="auto" w:sz="8" w:space="0"/>
            </w:tcBorders>
            <w:noWrap w:val="0"/>
            <w:vAlign w:val="center"/>
          </w:tcPr>
          <w:p>
            <w:pPr>
              <w:rPr>
                <w:rFonts w:ascii="Times New Roman" w:hAnsi="Times New Roman"/>
                <w:sz w:val="18"/>
                <w:szCs w:val="18"/>
              </w:rPr>
            </w:pPr>
            <w:r>
              <w:rPr>
                <w:rFonts w:ascii="Times New Roman" w:hAnsi="Times New Roman"/>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0" w:hRule="atLeast"/>
          <w:jc w:val="center"/>
        </w:trPr>
        <w:tc>
          <w:tcPr>
            <w:tcW w:w="564" w:type="dxa"/>
            <w:tcBorders>
              <w:left w:val="single" w:color="auto" w:sz="8" w:space="0"/>
              <w:bottom w:val="single" w:color="auto" w:sz="8" w:space="0"/>
              <w:right w:val="single" w:color="auto" w:sz="6" w:space="0"/>
            </w:tcBorders>
            <w:noWrap w:val="0"/>
            <w:vAlign w:val="center"/>
          </w:tcPr>
          <w:p>
            <w:pPr>
              <w:pStyle w:val="16"/>
              <w:jc w:val="center"/>
              <w:rPr>
                <w:rFonts w:ascii="Times New Roman" w:hAnsi="Times New Roman" w:cs="Times New Roman"/>
                <w:sz w:val="18"/>
                <w:szCs w:val="18"/>
              </w:rPr>
            </w:pPr>
            <w:r>
              <w:rPr>
                <w:rFonts w:ascii="Times New Roman" w:hAnsi="Times New Roman" w:cs="Times New Roman"/>
                <w:sz w:val="18"/>
                <w:szCs w:val="18"/>
              </w:rPr>
              <w:t>简</w:t>
            </w:r>
          </w:p>
          <w:p>
            <w:pPr>
              <w:pStyle w:val="16"/>
              <w:jc w:val="center"/>
              <w:rPr>
                <w:rFonts w:ascii="Times New Roman" w:hAnsi="Times New Roman" w:cs="Times New Roman"/>
                <w:sz w:val="18"/>
                <w:szCs w:val="18"/>
              </w:rPr>
            </w:pPr>
            <w:r>
              <w:rPr>
                <w:rFonts w:ascii="Times New Roman" w:hAnsi="Times New Roman" w:cs="Times New Roman"/>
                <w:sz w:val="18"/>
                <w:szCs w:val="18"/>
              </w:rPr>
              <w:t>图</w:t>
            </w:r>
          </w:p>
        </w:tc>
        <w:tc>
          <w:tcPr>
            <w:tcW w:w="8704" w:type="dxa"/>
            <w:gridSpan w:val="5"/>
            <w:tcBorders>
              <w:left w:val="single" w:color="auto" w:sz="6" w:space="0"/>
              <w:bottom w:val="single" w:color="auto" w:sz="8" w:space="0"/>
              <w:right w:val="single" w:color="auto" w:sz="8" w:space="0"/>
            </w:tcBorders>
            <w:noWrap w:val="0"/>
            <w:vAlign w:val="center"/>
          </w:tcPr>
          <w:p>
            <w:pPr>
              <w:pStyle w:val="16"/>
              <w:spacing w:before="120" w:beforeLines="50" w:line="360" w:lineRule="auto"/>
              <w:jc w:val="center"/>
              <w:rPr>
                <w:rFonts w:hint="eastAsia"/>
              </w:rPr>
            </w:pPr>
            <w:r>
              <w:rPr>
                <w:rFonts w:hint="eastAsia"/>
              </w:rPr>
              <w:drawing>
                <wp:inline distT="0" distB="0" distL="114300" distR="114300">
                  <wp:extent cx="4610735" cy="2995930"/>
                  <wp:effectExtent l="0" t="0" r="0" b="0"/>
                  <wp:docPr id="8" name="图片 6" descr="标准附图-Model"/>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6" descr="标准附图-Model"/>
                          <pic:cNvPicPr>
                            <a:picLocks noChangeAspect="true"/>
                          </pic:cNvPicPr>
                        </pic:nvPicPr>
                        <pic:blipFill>
                          <a:blip r:embed="rId17"/>
                          <a:stretch>
                            <a:fillRect/>
                          </a:stretch>
                        </pic:blipFill>
                        <pic:spPr>
                          <a:xfrm>
                            <a:off x="0" y="0"/>
                            <a:ext cx="4610735" cy="2995930"/>
                          </a:xfrm>
                          <a:prstGeom prst="rect">
                            <a:avLst/>
                          </a:prstGeom>
                          <a:noFill/>
                          <a:ln>
                            <a:noFill/>
                          </a:ln>
                        </pic:spPr>
                      </pic:pic>
                    </a:graphicData>
                  </a:graphic>
                </wp:inline>
              </w:drawing>
            </w:r>
          </w:p>
          <w:p>
            <w:pPr>
              <w:pStyle w:val="16"/>
              <w:spacing w:before="120" w:beforeLines="50" w:line="360" w:lineRule="auto"/>
              <w:jc w:val="center"/>
              <w:rPr>
                <w:rFonts w:ascii="Times New Roman" w:hAnsi="Times New Roman" w:cs="Times New Roman"/>
                <w:sz w:val="18"/>
                <w:szCs w:val="18"/>
              </w:rPr>
            </w:pPr>
            <w:r>
              <w:rPr>
                <w:rFonts w:ascii="Times New Roman" w:hAnsi="Times New Roman" w:cs="Times New Roman"/>
                <w:sz w:val="18"/>
                <w:szCs w:val="18"/>
              </w:rPr>
              <w:t xml:space="preserve">1-拉杆；2-门板；3-轴；4-座板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268" w:type="dxa"/>
            <w:gridSpan w:val="6"/>
            <w:tcBorders>
              <w:top w:val="single" w:color="auto" w:sz="8" w:space="0"/>
              <w:left w:val="single" w:color="auto" w:sz="8" w:space="0"/>
              <w:bottom w:val="single" w:color="auto" w:sz="8" w:space="0"/>
              <w:right w:val="single" w:color="auto" w:sz="8" w:space="0"/>
            </w:tcBorders>
            <w:noWrap w:val="0"/>
            <w:vAlign w:val="center"/>
          </w:tcPr>
          <w:p>
            <w:pPr>
              <w:pStyle w:val="16"/>
              <w:rPr>
                <w:rFonts w:ascii="Times New Roman" w:hAnsi="Times New Roman" w:cs="Times New Roman"/>
                <w:sz w:val="18"/>
                <w:szCs w:val="18"/>
              </w:rPr>
            </w:pPr>
            <w:r>
              <w:rPr>
                <w:rFonts w:hint="eastAsia" w:ascii="黑体" w:hAnsi="Times New Roman" w:eastAsia="黑体" w:cs="Times New Roman"/>
                <w:sz w:val="18"/>
                <w:szCs w:val="18"/>
              </w:rPr>
              <w:t>注</w:t>
            </w:r>
            <w:r>
              <w:rPr>
                <w:rFonts w:ascii="Times New Roman" w:hAnsi="Times New Roman" w:cs="Times New Roman"/>
                <w:sz w:val="18"/>
                <w:szCs w:val="18"/>
              </w:rPr>
              <w:t>：</w:t>
            </w:r>
            <w:r>
              <w:rPr>
                <w:rFonts w:hint="eastAsia" w:ascii="Times New Roman" w:hAnsi="Times New Roman" w:cs="Times New Roman"/>
                <w:sz w:val="18"/>
                <w:szCs w:val="18"/>
                <w:lang w:val="en-US" w:eastAsia="zh-CN"/>
              </w:rPr>
              <w:t>1、</w:t>
            </w:r>
            <w:r>
              <w:rPr>
                <w:rFonts w:ascii="Times New Roman" w:hAnsi="Times New Roman" w:cs="Times New Roman"/>
                <w:sz w:val="18"/>
                <w:szCs w:val="18"/>
              </w:rPr>
              <w:t>依</w:t>
            </w:r>
            <w:r>
              <w:rPr>
                <w:rFonts w:hint="eastAsia" w:ascii="宋体" w:hAnsi="宋体" w:cs="宋体"/>
                <w:color w:val="auto"/>
                <w:sz w:val="18"/>
                <w:szCs w:val="18"/>
                <w:lang w:val="en-US" w:eastAsia="zh-CN"/>
              </w:rPr>
              <w:t>据SL 635、JTS257。</w:t>
            </w:r>
          </w:p>
          <w:p>
            <w:pPr>
              <w:pStyle w:val="16"/>
              <w:ind w:firstLine="360" w:firstLineChars="200"/>
              <w:rPr>
                <w:rFonts w:ascii="Times New Roman" w:hAnsi="Times New Roman" w:cs="Times New Roman"/>
                <w:sz w:val="18"/>
                <w:szCs w:val="18"/>
              </w:rPr>
            </w:pPr>
            <w:r>
              <w:rPr>
                <w:rFonts w:hint="eastAsia" w:ascii="宋体" w:hAnsi="宋体" w:cs="宋体"/>
                <w:color w:val="auto"/>
                <w:sz w:val="18"/>
                <w:szCs w:val="18"/>
                <w:lang w:val="en-US" w:eastAsia="zh-CN"/>
              </w:rPr>
              <w:t>2、加*号的项目为JTS257标准内未做要求的检验项目，现针对34m孔口闸门增加的检验项目。34米孔口以下的闸门也可按本规程规定使用。</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color w:val="0000FF"/>
          <w:lang w:eastAsia="zh-CN"/>
        </w:rPr>
      </w:pPr>
      <w:r>
        <w:rPr>
          <w:rFonts w:hint="eastAsia" w:ascii="黑体" w:hAnsi="黑体" w:eastAsia="黑体" w:cs="黑体"/>
          <w:b w:val="0"/>
          <w:bCs w:val="0"/>
          <w:lang w:val="en-US" w:eastAsia="zh-CN"/>
        </w:rPr>
        <w:t xml:space="preserve">表6 </w:t>
      </w:r>
      <w:r>
        <w:rPr>
          <w:rFonts w:hint="eastAsia" w:ascii="黑体" w:hAnsi="黑体" w:eastAsia="黑体" w:cs="黑体"/>
          <w:b w:val="0"/>
          <w:bCs w:val="0"/>
        </w:rPr>
        <w:t>三角闸门侧止水埋件安装质量检验项目与标准</w:t>
      </w:r>
    </w:p>
    <w:tbl>
      <w:tblPr>
        <w:tblStyle w:val="27"/>
        <w:tblpPr w:leftFromText="180" w:rightFromText="180" w:vertAnchor="text" w:horzAnchor="margin" w:tblpXSpec="center" w:tblpY="112"/>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409"/>
        <w:gridCol w:w="2693"/>
        <w:gridCol w:w="2552"/>
        <w:gridCol w:w="1695"/>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rPr>
        <w:tc>
          <w:tcPr>
            <w:tcW w:w="817" w:type="dxa"/>
            <w:gridSpan w:val="2"/>
            <w:tcBorders>
              <w:top w:val="single" w:color="auto" w:sz="8" w:space="0"/>
              <w:left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项次</w:t>
            </w:r>
          </w:p>
        </w:tc>
        <w:tc>
          <w:tcPr>
            <w:tcW w:w="2693" w:type="dxa"/>
            <w:tcBorders>
              <w:top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552" w:type="dxa"/>
            <w:tcBorders>
              <w:top w:val="single" w:color="auto" w:sz="8" w:space="0"/>
              <w:bottom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 xml:space="preserve"> 质量要求（允许偏差）</w:t>
            </w:r>
          </w:p>
        </w:tc>
        <w:tc>
          <w:tcPr>
            <w:tcW w:w="1695" w:type="dxa"/>
            <w:tcBorders>
              <w:top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检验方法</w:t>
            </w:r>
          </w:p>
        </w:tc>
        <w:tc>
          <w:tcPr>
            <w:tcW w:w="1696" w:type="dxa"/>
            <w:tcBorders>
              <w:top w:val="single" w:color="auto" w:sz="8" w:space="0"/>
              <w:right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08" w:type="dxa"/>
            <w:vMerge w:val="restart"/>
            <w:tcBorders>
              <w:top w:val="single" w:color="auto" w:sz="8" w:space="0"/>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主</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要</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6"/>
              <w:jc w:val="center"/>
              <w:rPr>
                <w:rFonts w:hint="eastAsia" w:ascii="宋体" w:hAnsi="宋体" w:eastAsia="宋体" w:cs="宋体"/>
                <w:sz w:val="18"/>
                <w:szCs w:val="18"/>
              </w:rPr>
            </w:pPr>
            <w:r>
              <w:rPr>
                <w:rFonts w:hint="eastAsia" w:ascii="宋体" w:hAnsi="宋体" w:eastAsia="宋体" w:cs="宋体"/>
                <w:snapToGrid w:val="0"/>
                <w:color w:val="auto"/>
                <w:sz w:val="18"/>
                <w:szCs w:val="18"/>
              </w:rPr>
              <w:t>目</w:t>
            </w:r>
          </w:p>
        </w:tc>
        <w:tc>
          <w:tcPr>
            <w:tcW w:w="409" w:type="dxa"/>
            <w:tcBorders>
              <w:top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1</w:t>
            </w:r>
          </w:p>
        </w:tc>
        <w:tc>
          <w:tcPr>
            <w:tcW w:w="2693" w:type="dxa"/>
            <w:tcBorders>
              <w:top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工作表面平面度</w:t>
            </w:r>
          </w:p>
        </w:tc>
        <w:tc>
          <w:tcPr>
            <w:tcW w:w="2552" w:type="dxa"/>
            <w:tcBorders>
              <w:top w:val="single" w:color="auto" w:sz="8" w:space="0"/>
            </w:tcBorders>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2.0</w:t>
            </w:r>
            <w:r>
              <w:rPr>
                <w:rFonts w:hint="eastAsia" w:ascii="宋体" w:hAnsi="宋体" w:eastAsia="宋体" w:cs="宋体"/>
                <w:sz w:val="18"/>
                <w:szCs w:val="18"/>
                <w:lang w:val="en-US" w:eastAsia="zh-CN"/>
              </w:rPr>
              <w:t>mm</w:t>
            </w:r>
          </w:p>
        </w:tc>
        <w:tc>
          <w:tcPr>
            <w:tcW w:w="1695" w:type="dxa"/>
            <w:tcBorders>
              <w:top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经纬仪、钢直尺</w:t>
            </w:r>
          </w:p>
        </w:tc>
        <w:tc>
          <w:tcPr>
            <w:tcW w:w="1696" w:type="dxa"/>
            <w:tcBorders>
              <w:top w:val="single" w:color="auto" w:sz="8" w:space="0"/>
              <w:right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每1 m测1点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08" w:type="dxa"/>
            <w:vMerge w:val="continue"/>
            <w:tcBorders>
              <w:left w:val="single" w:color="auto" w:sz="8" w:space="0"/>
            </w:tcBorders>
            <w:noWrap w:val="0"/>
            <w:vAlign w:val="center"/>
          </w:tcPr>
          <w:p>
            <w:pPr>
              <w:pStyle w:val="16"/>
              <w:jc w:val="center"/>
              <w:rPr>
                <w:rFonts w:hint="eastAsia" w:ascii="宋体" w:hAnsi="宋体" w:eastAsia="宋体" w:cs="宋体"/>
                <w:sz w:val="18"/>
                <w:szCs w:val="18"/>
              </w:rPr>
            </w:pPr>
          </w:p>
        </w:tc>
        <w:tc>
          <w:tcPr>
            <w:tcW w:w="409"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693"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工作表面组合处错位</w:t>
            </w:r>
          </w:p>
        </w:tc>
        <w:tc>
          <w:tcPr>
            <w:tcW w:w="2552" w:type="dxa"/>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≤0.5</w:t>
            </w:r>
            <w:r>
              <w:rPr>
                <w:rFonts w:hint="eastAsia" w:ascii="宋体" w:hAnsi="宋体" w:eastAsia="宋体" w:cs="宋体"/>
                <w:sz w:val="18"/>
                <w:szCs w:val="18"/>
                <w:lang w:val="en-US" w:eastAsia="zh-CN"/>
              </w:rPr>
              <w:t>mm</w:t>
            </w:r>
          </w:p>
        </w:tc>
        <w:tc>
          <w:tcPr>
            <w:tcW w:w="1695"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钢直尺、塞尺</w:t>
            </w:r>
          </w:p>
        </w:tc>
        <w:tc>
          <w:tcPr>
            <w:tcW w:w="1696" w:type="dxa"/>
            <w:tcBorders>
              <w:right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每组合处测1点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08" w:type="dxa"/>
            <w:vMerge w:val="continue"/>
            <w:tcBorders>
              <w:left w:val="single" w:color="auto" w:sz="8" w:space="0"/>
            </w:tcBorders>
            <w:noWrap w:val="0"/>
            <w:vAlign w:val="center"/>
          </w:tcPr>
          <w:p>
            <w:pPr>
              <w:jc w:val="center"/>
              <w:rPr>
                <w:rFonts w:hint="eastAsia" w:ascii="宋体" w:hAnsi="宋体" w:eastAsia="宋体" w:cs="宋体"/>
                <w:sz w:val="18"/>
                <w:szCs w:val="18"/>
              </w:rPr>
            </w:pPr>
          </w:p>
        </w:tc>
        <w:tc>
          <w:tcPr>
            <w:tcW w:w="409"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2693"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对孔口中心线距离</w:t>
            </w:r>
          </w:p>
        </w:tc>
        <w:tc>
          <w:tcPr>
            <w:tcW w:w="2552" w:type="dxa"/>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±2.0</w:t>
            </w:r>
            <w:r>
              <w:rPr>
                <w:rFonts w:hint="eastAsia" w:ascii="宋体" w:hAnsi="宋体" w:eastAsia="宋体" w:cs="宋体"/>
                <w:sz w:val="18"/>
                <w:szCs w:val="18"/>
                <w:lang w:val="en-US" w:eastAsia="zh-CN"/>
              </w:rPr>
              <w:t>mm</w:t>
            </w:r>
          </w:p>
        </w:tc>
        <w:tc>
          <w:tcPr>
            <w:tcW w:w="1695"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钢卷尺</w:t>
            </w:r>
          </w:p>
        </w:tc>
        <w:tc>
          <w:tcPr>
            <w:tcW w:w="1696" w:type="dxa"/>
            <w:tcBorders>
              <w:right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测2点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08" w:type="dxa"/>
            <w:vMerge w:val="continue"/>
            <w:tcBorders>
              <w:left w:val="single" w:color="auto" w:sz="8" w:space="0"/>
            </w:tcBorders>
            <w:noWrap w:val="0"/>
            <w:vAlign w:val="center"/>
          </w:tcPr>
          <w:p>
            <w:pPr>
              <w:jc w:val="center"/>
              <w:rPr>
                <w:rFonts w:hint="eastAsia" w:ascii="宋体" w:hAnsi="宋体" w:eastAsia="宋体" w:cs="宋体"/>
                <w:sz w:val="18"/>
                <w:szCs w:val="18"/>
              </w:rPr>
            </w:pPr>
          </w:p>
        </w:tc>
        <w:tc>
          <w:tcPr>
            <w:tcW w:w="409"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2693"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工作表面垂直度</w:t>
            </w:r>
          </w:p>
        </w:tc>
        <w:tc>
          <w:tcPr>
            <w:tcW w:w="2552" w:type="dxa"/>
            <w:noWrap w:val="0"/>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3.0</w:t>
            </w:r>
            <w:r>
              <w:rPr>
                <w:rFonts w:hint="eastAsia" w:ascii="宋体" w:hAnsi="宋体" w:eastAsia="宋体" w:cs="宋体"/>
                <w:sz w:val="18"/>
                <w:szCs w:val="18"/>
                <w:lang w:val="en-US" w:eastAsia="zh-CN"/>
              </w:rPr>
              <w:t>mm</w:t>
            </w:r>
          </w:p>
        </w:tc>
        <w:tc>
          <w:tcPr>
            <w:tcW w:w="1695"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经纬仪、钢直尺</w:t>
            </w:r>
          </w:p>
        </w:tc>
        <w:tc>
          <w:tcPr>
            <w:tcW w:w="1696" w:type="dxa"/>
            <w:tcBorders>
              <w:right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每1 m测1点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408" w:type="dxa"/>
            <w:vMerge w:val="restart"/>
            <w:tcBorders>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一</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rPr>
              <w:t>般</w:t>
            </w: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3"/>
              <w:snapToGrid w:val="0"/>
              <w:spacing w:after="0"/>
              <w:jc w:val="center"/>
              <w:rPr>
                <w:rFonts w:hint="eastAsia" w:ascii="宋体" w:hAnsi="宋体" w:eastAsia="宋体" w:cs="宋体"/>
                <w:sz w:val="18"/>
                <w:szCs w:val="18"/>
              </w:rPr>
            </w:pPr>
            <w:r>
              <w:rPr>
                <w:rFonts w:hint="eastAsia" w:ascii="宋体" w:hAnsi="宋体" w:eastAsia="宋体" w:cs="宋体"/>
                <w:snapToGrid w:val="0"/>
                <w:color w:val="auto"/>
                <w:sz w:val="18"/>
                <w:szCs w:val="18"/>
              </w:rPr>
              <w:t>目</w:t>
            </w:r>
          </w:p>
        </w:tc>
        <w:tc>
          <w:tcPr>
            <w:tcW w:w="409"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2693"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埋件表面处理</w:t>
            </w:r>
          </w:p>
        </w:tc>
        <w:tc>
          <w:tcPr>
            <w:tcW w:w="2552"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 xml:space="preserve">组合处错位缓坡处理，砂浆、杂物等清理干净 </w:t>
            </w:r>
          </w:p>
        </w:tc>
        <w:tc>
          <w:tcPr>
            <w:tcW w:w="1695"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检查</w:t>
            </w:r>
          </w:p>
        </w:tc>
        <w:tc>
          <w:tcPr>
            <w:tcW w:w="1696" w:type="dxa"/>
            <w:tcBorders>
              <w:right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08" w:type="dxa"/>
            <w:vMerge w:val="continue"/>
            <w:tcBorders>
              <w:left w:val="single" w:color="auto" w:sz="8" w:space="0"/>
              <w:bottom w:val="single" w:color="auto" w:sz="8" w:space="0"/>
            </w:tcBorders>
            <w:noWrap w:val="0"/>
            <w:vAlign w:val="center"/>
          </w:tcPr>
          <w:p>
            <w:pPr>
              <w:jc w:val="center"/>
              <w:rPr>
                <w:rFonts w:hint="eastAsia" w:ascii="宋体" w:hAnsi="宋体" w:eastAsia="宋体" w:cs="宋体"/>
                <w:sz w:val="18"/>
                <w:szCs w:val="18"/>
              </w:rPr>
            </w:pPr>
          </w:p>
        </w:tc>
        <w:tc>
          <w:tcPr>
            <w:tcW w:w="409" w:type="dxa"/>
            <w:tcBorders>
              <w:bottom w:val="single" w:color="auto" w:sz="8" w:space="0"/>
            </w:tcBorders>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693" w:type="dxa"/>
            <w:tcBorders>
              <w:bottom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埋件外露面防腐</w:t>
            </w:r>
          </w:p>
        </w:tc>
        <w:tc>
          <w:tcPr>
            <w:tcW w:w="2552" w:type="dxa"/>
            <w:tcBorders>
              <w:bottom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涂层无破损</w:t>
            </w:r>
          </w:p>
        </w:tc>
        <w:tc>
          <w:tcPr>
            <w:tcW w:w="1695" w:type="dxa"/>
            <w:tcBorders>
              <w:bottom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检查</w:t>
            </w:r>
          </w:p>
        </w:tc>
        <w:tc>
          <w:tcPr>
            <w:tcW w:w="1696" w:type="dxa"/>
            <w:tcBorders>
              <w:bottom w:val="single" w:color="auto" w:sz="8" w:space="0"/>
              <w:right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453" w:type="dxa"/>
            <w:gridSpan w:val="6"/>
            <w:tcBorders>
              <w:top w:val="single" w:color="auto" w:sz="8" w:space="0"/>
              <w:left w:val="single" w:color="auto" w:sz="8" w:space="0"/>
              <w:bottom w:val="single" w:color="auto" w:sz="8" w:space="0"/>
              <w:right w:val="single" w:color="auto" w:sz="8" w:space="0"/>
            </w:tcBorders>
            <w:noWrap w:val="0"/>
            <w:vAlign w:val="center"/>
          </w:tcPr>
          <w:p>
            <w:pPr>
              <w:pStyle w:val="16"/>
              <w:ind w:firstLine="360" w:firstLineChars="200"/>
              <w:rPr>
                <w:rFonts w:hint="eastAsia" w:ascii="宋体" w:hAnsi="宋体" w:eastAsia="宋体" w:cs="宋体"/>
                <w:sz w:val="18"/>
                <w:szCs w:val="18"/>
              </w:rPr>
            </w:pPr>
            <w:r>
              <w:rPr>
                <w:rFonts w:hint="eastAsia" w:ascii="宋体" w:hAnsi="宋体" w:eastAsia="宋体" w:cs="宋体"/>
                <w:sz w:val="18"/>
                <w:szCs w:val="18"/>
              </w:rPr>
              <w:t>注：依据SL 635、JTS 257。</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黑体" w:eastAsia="黑体" w:cs="黑体"/>
          <w:b w:val="0"/>
          <w:bCs w:val="0"/>
        </w:rPr>
      </w:pPr>
      <w:r>
        <w:rPr>
          <w:rFonts w:hint="eastAsia" w:ascii="黑体" w:hAnsi="黑体" w:eastAsia="黑体" w:cs="黑体"/>
          <w:b w:val="0"/>
          <w:bCs w:val="0"/>
          <w:lang w:val="en-US" w:eastAsia="zh-CN"/>
        </w:rPr>
        <w:t xml:space="preserve">表7 </w:t>
      </w:r>
      <w:r>
        <w:rPr>
          <w:rFonts w:hint="eastAsia" w:ascii="黑体" w:hAnsi="黑体" w:eastAsia="黑体" w:cs="黑体"/>
          <w:b w:val="0"/>
          <w:bCs w:val="0"/>
        </w:rPr>
        <w:t>三角闸门底止水埋件安装质量检验项目与标准</w:t>
      </w:r>
    </w:p>
    <w:tbl>
      <w:tblPr>
        <w:tblStyle w:val="27"/>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
        <w:gridCol w:w="401"/>
        <w:gridCol w:w="2693"/>
        <w:gridCol w:w="2552"/>
        <w:gridCol w:w="1689"/>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9" w:hRule="atLeast"/>
          <w:jc w:val="center"/>
        </w:trPr>
        <w:tc>
          <w:tcPr>
            <w:tcW w:w="801" w:type="dxa"/>
            <w:gridSpan w:val="2"/>
            <w:tcBorders>
              <w:top w:val="single" w:color="auto" w:sz="8" w:space="0"/>
              <w:left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项次</w:t>
            </w:r>
          </w:p>
        </w:tc>
        <w:tc>
          <w:tcPr>
            <w:tcW w:w="2693" w:type="dxa"/>
            <w:tcBorders>
              <w:top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552" w:type="dxa"/>
            <w:tcBorders>
              <w:top w:val="single" w:color="auto" w:sz="8" w:space="0"/>
              <w:bottom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 xml:space="preserve"> 质量要求（允许偏差）</w:t>
            </w:r>
          </w:p>
        </w:tc>
        <w:tc>
          <w:tcPr>
            <w:tcW w:w="1689" w:type="dxa"/>
            <w:tcBorders>
              <w:top w:val="single" w:color="auto" w:sz="8" w:space="0"/>
            </w:tcBorders>
            <w:noWrap w:val="0"/>
            <w:vAlign w:val="center"/>
          </w:tcPr>
          <w:p>
            <w:pPr>
              <w:pStyle w:val="16"/>
              <w:snapToGrid w:val="0"/>
              <w:jc w:val="center"/>
              <w:rPr>
                <w:rFonts w:hint="eastAsia" w:ascii="宋体" w:hAnsi="宋体" w:eastAsia="宋体" w:cs="宋体"/>
                <w:sz w:val="18"/>
                <w:szCs w:val="18"/>
              </w:rPr>
            </w:pPr>
            <w:r>
              <w:rPr>
                <w:rFonts w:hint="eastAsia" w:ascii="宋体" w:hAnsi="宋体" w:eastAsia="宋体" w:cs="宋体"/>
                <w:sz w:val="18"/>
                <w:szCs w:val="18"/>
              </w:rPr>
              <w:t>检验方法</w:t>
            </w:r>
          </w:p>
        </w:tc>
        <w:tc>
          <w:tcPr>
            <w:tcW w:w="1690" w:type="dxa"/>
            <w:tcBorders>
              <w:top w:val="single" w:color="auto" w:sz="8" w:space="0"/>
              <w:right w:val="single" w:color="auto" w:sz="8" w:space="0"/>
            </w:tcBorders>
            <w:noWrap w:val="0"/>
            <w:vAlign w:val="center"/>
          </w:tcPr>
          <w:p>
            <w:pPr>
              <w:pStyle w:val="16"/>
              <w:snapToGrid w:val="0"/>
              <w:jc w:val="center"/>
              <w:rPr>
                <w:rFonts w:hint="eastAsia" w:ascii="宋体" w:hAnsi="宋体" w:eastAsia="宋体" w:cs="宋体"/>
                <w:sz w:val="18"/>
                <w:szCs w:val="18"/>
              </w:rPr>
            </w:pPr>
            <w:r>
              <w:rPr>
                <w:rFonts w:hint="eastAsia" w:ascii="宋体" w:hAnsi="宋体" w:eastAsia="宋体" w:cs="宋体"/>
                <w:sz w:val="18"/>
                <w:szCs w:val="18"/>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400" w:type="dxa"/>
            <w:vMerge w:val="restart"/>
            <w:tcBorders>
              <w:top w:val="single" w:color="auto" w:sz="8" w:space="0"/>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主</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要</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6"/>
              <w:spacing w:line="200" w:lineRule="exact"/>
              <w:jc w:val="center"/>
              <w:rPr>
                <w:rFonts w:hint="eastAsia" w:ascii="宋体" w:hAnsi="宋体" w:eastAsia="宋体" w:cs="宋体"/>
                <w:sz w:val="18"/>
                <w:szCs w:val="18"/>
              </w:rPr>
            </w:pPr>
            <w:r>
              <w:rPr>
                <w:rFonts w:hint="eastAsia" w:ascii="宋体" w:hAnsi="宋体" w:eastAsia="宋体" w:cs="宋体"/>
                <w:snapToGrid w:val="0"/>
                <w:color w:val="auto"/>
                <w:sz w:val="18"/>
                <w:szCs w:val="18"/>
              </w:rPr>
              <w:t>目</w:t>
            </w:r>
          </w:p>
        </w:tc>
        <w:tc>
          <w:tcPr>
            <w:tcW w:w="401" w:type="dxa"/>
            <w:tcBorders>
              <w:top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1</w:t>
            </w:r>
          </w:p>
        </w:tc>
        <w:tc>
          <w:tcPr>
            <w:tcW w:w="2693" w:type="dxa"/>
            <w:tcBorders>
              <w:top w:val="single" w:color="auto" w:sz="8" w:space="0"/>
            </w:tcBorders>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工作表面平面度</w:t>
            </w:r>
          </w:p>
        </w:tc>
        <w:tc>
          <w:tcPr>
            <w:tcW w:w="2552" w:type="dxa"/>
            <w:tcBorders>
              <w:top w:val="single" w:color="auto" w:sz="8" w:space="0"/>
            </w:tcBorders>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2.0</w:t>
            </w:r>
            <w:r>
              <w:rPr>
                <w:rFonts w:hint="eastAsia" w:ascii="宋体" w:hAnsi="宋体" w:eastAsia="宋体" w:cs="宋体"/>
                <w:sz w:val="18"/>
                <w:szCs w:val="18"/>
                <w:lang w:val="en-US" w:eastAsia="zh-CN"/>
              </w:rPr>
              <w:t>mm</w:t>
            </w:r>
          </w:p>
        </w:tc>
        <w:tc>
          <w:tcPr>
            <w:tcW w:w="1689" w:type="dxa"/>
            <w:tcBorders>
              <w:top w:val="single" w:color="auto" w:sz="8" w:space="0"/>
            </w:tcBorders>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水准仪、钢直尺</w:t>
            </w:r>
          </w:p>
        </w:tc>
        <w:tc>
          <w:tcPr>
            <w:tcW w:w="1690" w:type="dxa"/>
            <w:tcBorders>
              <w:top w:val="single" w:color="auto" w:sz="8" w:space="0"/>
              <w:right w:val="single" w:color="auto" w:sz="8" w:space="0"/>
            </w:tcBorders>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每1 m测1点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400" w:type="dxa"/>
            <w:vMerge w:val="continue"/>
            <w:tcBorders>
              <w:left w:val="single" w:color="auto" w:sz="8" w:space="0"/>
            </w:tcBorders>
            <w:noWrap w:val="0"/>
            <w:vAlign w:val="center"/>
          </w:tcPr>
          <w:p>
            <w:pPr>
              <w:pStyle w:val="16"/>
              <w:spacing w:line="200" w:lineRule="exact"/>
              <w:jc w:val="center"/>
              <w:rPr>
                <w:rFonts w:hint="eastAsia" w:ascii="宋体" w:hAnsi="宋体" w:eastAsia="宋体" w:cs="宋体"/>
                <w:sz w:val="18"/>
                <w:szCs w:val="18"/>
              </w:rPr>
            </w:pPr>
          </w:p>
        </w:tc>
        <w:tc>
          <w:tcPr>
            <w:tcW w:w="401" w:type="dxa"/>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2</w:t>
            </w:r>
          </w:p>
        </w:tc>
        <w:tc>
          <w:tcPr>
            <w:tcW w:w="2693"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工作表面组合处错位</w:t>
            </w:r>
          </w:p>
        </w:tc>
        <w:tc>
          <w:tcPr>
            <w:tcW w:w="2552" w:type="dxa"/>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≤0.5</w:t>
            </w:r>
            <w:r>
              <w:rPr>
                <w:rFonts w:hint="eastAsia" w:ascii="宋体" w:hAnsi="宋体" w:eastAsia="宋体" w:cs="宋体"/>
                <w:sz w:val="18"/>
                <w:szCs w:val="18"/>
                <w:lang w:val="en-US" w:eastAsia="zh-CN"/>
              </w:rPr>
              <w:t>mm</w:t>
            </w:r>
          </w:p>
        </w:tc>
        <w:tc>
          <w:tcPr>
            <w:tcW w:w="1689"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钢直尺、塞尺</w:t>
            </w:r>
          </w:p>
        </w:tc>
        <w:tc>
          <w:tcPr>
            <w:tcW w:w="1690" w:type="dxa"/>
            <w:tcBorders>
              <w:right w:val="single" w:color="auto" w:sz="8" w:space="0"/>
            </w:tcBorders>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每组合处测1点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00" w:type="dxa"/>
            <w:vMerge w:val="restart"/>
            <w:tcBorders>
              <w:left w:val="single" w:color="auto" w:sz="8" w:space="0"/>
            </w:tcBorders>
            <w:noWrap w:val="0"/>
            <w:vAlign w:val="center"/>
          </w:tcPr>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一</w:t>
            </w:r>
          </w:p>
          <w:p>
            <w:pPr>
              <w:pStyle w:val="13"/>
              <w:snapToGrid w:val="0"/>
              <w:spacing w:after="0"/>
              <w:jc w:val="center"/>
              <w:rPr>
                <w:rFonts w:hint="eastAsia" w:ascii="宋体" w:hAnsi="宋体" w:eastAsia="宋体" w:cs="宋体"/>
                <w:snapToGrid w:val="0"/>
                <w:color w:val="auto"/>
                <w:sz w:val="18"/>
                <w:szCs w:val="18"/>
                <w:lang w:val="en-US" w:eastAsia="zh-CN"/>
              </w:rPr>
            </w:pPr>
            <w:r>
              <w:rPr>
                <w:rFonts w:hint="eastAsia" w:ascii="宋体" w:hAnsi="宋体" w:eastAsia="宋体" w:cs="宋体"/>
                <w:snapToGrid w:val="0"/>
                <w:color w:val="auto"/>
                <w:sz w:val="18"/>
                <w:szCs w:val="18"/>
              </w:rPr>
              <w:t>般</w:t>
            </w:r>
            <w:r>
              <w:rPr>
                <w:rFonts w:hint="eastAsia" w:ascii="宋体" w:hAnsi="宋体" w:eastAsia="宋体" w:cs="宋体"/>
                <w:snapToGrid w:val="0"/>
                <w:color w:val="auto"/>
                <w:sz w:val="18"/>
                <w:szCs w:val="18"/>
                <w:lang w:val="en-US" w:eastAsia="zh-CN"/>
              </w:rPr>
              <w:t>检验</w:t>
            </w:r>
          </w:p>
          <w:p>
            <w:pPr>
              <w:pStyle w:val="13"/>
              <w:snapToGrid w:val="0"/>
              <w:spacing w:after="0"/>
              <w:jc w:val="center"/>
              <w:rPr>
                <w:rFonts w:hint="eastAsia" w:ascii="宋体" w:hAnsi="宋体" w:eastAsia="宋体" w:cs="宋体"/>
                <w:snapToGrid w:val="0"/>
                <w:color w:val="auto"/>
                <w:sz w:val="18"/>
                <w:szCs w:val="18"/>
              </w:rPr>
            </w:pPr>
            <w:r>
              <w:rPr>
                <w:rFonts w:hint="eastAsia" w:ascii="宋体" w:hAnsi="宋体" w:eastAsia="宋体" w:cs="宋体"/>
                <w:snapToGrid w:val="0"/>
                <w:color w:val="auto"/>
                <w:sz w:val="18"/>
                <w:szCs w:val="18"/>
              </w:rPr>
              <w:t>项</w:t>
            </w:r>
          </w:p>
          <w:p>
            <w:pPr>
              <w:pStyle w:val="16"/>
              <w:spacing w:line="200" w:lineRule="exact"/>
              <w:jc w:val="center"/>
              <w:rPr>
                <w:rFonts w:hint="eastAsia" w:ascii="宋体" w:hAnsi="宋体" w:eastAsia="宋体" w:cs="宋体"/>
                <w:sz w:val="18"/>
                <w:szCs w:val="18"/>
              </w:rPr>
            </w:pPr>
            <w:r>
              <w:rPr>
                <w:rFonts w:hint="eastAsia" w:ascii="宋体" w:hAnsi="宋体" w:eastAsia="宋体" w:cs="宋体"/>
                <w:snapToGrid w:val="0"/>
                <w:color w:val="auto"/>
                <w:sz w:val="18"/>
                <w:szCs w:val="18"/>
              </w:rPr>
              <w:t>目</w:t>
            </w:r>
          </w:p>
        </w:tc>
        <w:tc>
          <w:tcPr>
            <w:tcW w:w="401" w:type="dxa"/>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1</w:t>
            </w:r>
          </w:p>
        </w:tc>
        <w:tc>
          <w:tcPr>
            <w:tcW w:w="2693"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埋件工作面高程</w:t>
            </w:r>
          </w:p>
        </w:tc>
        <w:tc>
          <w:tcPr>
            <w:tcW w:w="2552" w:type="dxa"/>
            <w:noWrap w:val="0"/>
            <w:vAlign w:val="center"/>
          </w:tcPr>
          <w:p>
            <w:pPr>
              <w:pStyle w:val="16"/>
              <w:jc w:val="center"/>
              <w:rPr>
                <w:rFonts w:hint="eastAsia" w:ascii="宋体" w:hAnsi="宋体" w:eastAsia="宋体" w:cs="宋体"/>
                <w:sz w:val="18"/>
                <w:szCs w:val="18"/>
                <w:lang w:val="en-US" w:eastAsia="zh-CN"/>
              </w:rPr>
            </w:pPr>
            <w:r>
              <w:rPr>
                <w:rFonts w:hint="eastAsia" w:ascii="宋体" w:hAnsi="宋体" w:eastAsia="宋体" w:cs="宋体"/>
                <w:sz w:val="18"/>
                <w:szCs w:val="18"/>
              </w:rPr>
              <w:t>±1.5</w:t>
            </w:r>
            <w:r>
              <w:rPr>
                <w:rFonts w:hint="eastAsia" w:ascii="宋体" w:hAnsi="宋体" w:eastAsia="宋体" w:cs="宋体"/>
                <w:sz w:val="18"/>
                <w:szCs w:val="18"/>
                <w:lang w:val="en-US" w:eastAsia="zh-CN"/>
              </w:rPr>
              <w:t>mm</w:t>
            </w:r>
          </w:p>
        </w:tc>
        <w:tc>
          <w:tcPr>
            <w:tcW w:w="1689" w:type="dxa"/>
            <w:noWrap w:val="0"/>
            <w:vAlign w:val="center"/>
          </w:tcPr>
          <w:p>
            <w:pPr>
              <w:pStyle w:val="16"/>
              <w:rPr>
                <w:rFonts w:hint="eastAsia" w:ascii="宋体" w:hAnsi="宋体" w:eastAsia="宋体" w:cs="宋体"/>
                <w:sz w:val="18"/>
                <w:szCs w:val="18"/>
              </w:rPr>
            </w:pPr>
            <w:r>
              <w:rPr>
                <w:rFonts w:hint="eastAsia" w:ascii="宋体" w:hAnsi="宋体" w:eastAsia="宋体" w:cs="宋体"/>
                <w:sz w:val="18"/>
                <w:szCs w:val="18"/>
              </w:rPr>
              <w:t>水准仪、钢直尺</w:t>
            </w:r>
          </w:p>
        </w:tc>
        <w:tc>
          <w:tcPr>
            <w:tcW w:w="1690" w:type="dxa"/>
            <w:tcBorders>
              <w:right w:val="single" w:color="auto" w:sz="8" w:space="0"/>
            </w:tcBorders>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每1 m测1点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00" w:type="dxa"/>
            <w:vMerge w:val="continue"/>
            <w:tcBorders>
              <w:left w:val="single" w:color="auto" w:sz="8" w:space="0"/>
            </w:tcBorders>
            <w:noWrap w:val="0"/>
            <w:vAlign w:val="center"/>
          </w:tcPr>
          <w:p>
            <w:pPr>
              <w:pStyle w:val="16"/>
              <w:jc w:val="center"/>
              <w:rPr>
                <w:rFonts w:hint="eastAsia" w:ascii="宋体" w:hAnsi="宋体" w:eastAsia="宋体" w:cs="宋体"/>
                <w:sz w:val="18"/>
                <w:szCs w:val="18"/>
              </w:rPr>
            </w:pPr>
          </w:p>
        </w:tc>
        <w:tc>
          <w:tcPr>
            <w:tcW w:w="401" w:type="dxa"/>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2</w:t>
            </w:r>
          </w:p>
        </w:tc>
        <w:tc>
          <w:tcPr>
            <w:tcW w:w="2693"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埋件表面处理</w:t>
            </w:r>
          </w:p>
        </w:tc>
        <w:tc>
          <w:tcPr>
            <w:tcW w:w="2552" w:type="dxa"/>
            <w:noWrap w:val="0"/>
            <w:vAlign w:val="center"/>
          </w:tcPr>
          <w:p>
            <w:pPr>
              <w:rPr>
                <w:rFonts w:hint="eastAsia" w:ascii="宋体" w:hAnsi="宋体" w:eastAsia="宋体" w:cs="宋体"/>
                <w:sz w:val="18"/>
                <w:szCs w:val="18"/>
              </w:rPr>
            </w:pPr>
            <w:r>
              <w:rPr>
                <w:rFonts w:hint="eastAsia" w:ascii="宋体" w:hAnsi="宋体" w:eastAsia="宋体" w:cs="宋体"/>
                <w:sz w:val="18"/>
                <w:szCs w:val="18"/>
              </w:rPr>
              <w:t xml:space="preserve">组合处错位缓坡处理，砂浆、杂物等清理干净 </w:t>
            </w:r>
          </w:p>
        </w:tc>
        <w:tc>
          <w:tcPr>
            <w:tcW w:w="1689" w:type="dxa"/>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检查</w:t>
            </w:r>
          </w:p>
        </w:tc>
        <w:tc>
          <w:tcPr>
            <w:tcW w:w="1690" w:type="dxa"/>
            <w:tcBorders>
              <w:right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00" w:type="dxa"/>
            <w:vMerge w:val="continue"/>
            <w:tcBorders>
              <w:left w:val="single" w:color="auto" w:sz="8" w:space="0"/>
              <w:bottom w:val="single" w:color="auto" w:sz="8" w:space="0"/>
            </w:tcBorders>
            <w:noWrap w:val="0"/>
            <w:vAlign w:val="center"/>
          </w:tcPr>
          <w:p>
            <w:pPr>
              <w:pStyle w:val="16"/>
              <w:jc w:val="center"/>
              <w:rPr>
                <w:rFonts w:hint="eastAsia" w:ascii="宋体" w:hAnsi="宋体" w:eastAsia="宋体" w:cs="宋体"/>
                <w:sz w:val="18"/>
                <w:szCs w:val="18"/>
              </w:rPr>
            </w:pPr>
          </w:p>
        </w:tc>
        <w:tc>
          <w:tcPr>
            <w:tcW w:w="401" w:type="dxa"/>
            <w:tcBorders>
              <w:bottom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3</w:t>
            </w:r>
          </w:p>
        </w:tc>
        <w:tc>
          <w:tcPr>
            <w:tcW w:w="2693" w:type="dxa"/>
            <w:tcBorders>
              <w:bottom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埋件外露面防腐</w:t>
            </w:r>
          </w:p>
        </w:tc>
        <w:tc>
          <w:tcPr>
            <w:tcW w:w="2552" w:type="dxa"/>
            <w:tcBorders>
              <w:bottom w:val="single" w:color="auto" w:sz="8" w:space="0"/>
            </w:tcBorders>
            <w:noWrap w:val="0"/>
            <w:vAlign w:val="center"/>
          </w:tcPr>
          <w:p>
            <w:pPr>
              <w:pStyle w:val="16"/>
              <w:jc w:val="center"/>
              <w:rPr>
                <w:rFonts w:hint="eastAsia" w:ascii="宋体" w:hAnsi="宋体" w:eastAsia="宋体" w:cs="宋体"/>
                <w:sz w:val="18"/>
                <w:szCs w:val="18"/>
              </w:rPr>
            </w:pPr>
            <w:r>
              <w:rPr>
                <w:rFonts w:hint="eastAsia" w:ascii="宋体" w:hAnsi="宋体" w:eastAsia="宋体" w:cs="宋体"/>
                <w:sz w:val="18"/>
                <w:szCs w:val="18"/>
              </w:rPr>
              <w:t>涂层无破损</w:t>
            </w:r>
          </w:p>
        </w:tc>
        <w:tc>
          <w:tcPr>
            <w:tcW w:w="1689" w:type="dxa"/>
            <w:tcBorders>
              <w:bottom w:val="single" w:color="auto" w:sz="8" w:space="0"/>
            </w:tcBorders>
            <w:noWrap w:val="0"/>
            <w:vAlign w:val="center"/>
          </w:tcPr>
          <w:p>
            <w:pPr>
              <w:pStyle w:val="16"/>
              <w:snapToGrid w:val="0"/>
              <w:rPr>
                <w:rFonts w:hint="eastAsia" w:ascii="宋体" w:hAnsi="宋体" w:eastAsia="宋体" w:cs="宋体"/>
                <w:sz w:val="18"/>
                <w:szCs w:val="18"/>
              </w:rPr>
            </w:pPr>
            <w:r>
              <w:rPr>
                <w:rFonts w:hint="eastAsia" w:ascii="宋体" w:hAnsi="宋体" w:eastAsia="宋体" w:cs="宋体"/>
                <w:sz w:val="18"/>
                <w:szCs w:val="18"/>
              </w:rPr>
              <w:t>检查</w:t>
            </w:r>
          </w:p>
        </w:tc>
        <w:tc>
          <w:tcPr>
            <w:tcW w:w="1690" w:type="dxa"/>
            <w:tcBorders>
              <w:bottom w:val="single" w:color="auto" w:sz="8" w:space="0"/>
              <w:right w:val="single" w:color="auto" w:sz="8" w:space="0"/>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逐件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425" w:type="dxa"/>
            <w:gridSpan w:val="6"/>
            <w:tcBorders>
              <w:top w:val="single" w:color="auto" w:sz="8" w:space="0"/>
              <w:left w:val="single" w:color="auto" w:sz="8" w:space="0"/>
              <w:bottom w:val="single" w:color="auto" w:sz="8" w:space="0"/>
              <w:right w:val="single" w:color="auto" w:sz="8" w:space="0"/>
            </w:tcBorders>
            <w:noWrap w:val="0"/>
            <w:vAlign w:val="center"/>
          </w:tcPr>
          <w:p>
            <w:pPr>
              <w:pStyle w:val="16"/>
              <w:ind w:firstLine="360" w:firstLineChars="200"/>
              <w:rPr>
                <w:rFonts w:hint="eastAsia" w:ascii="宋体" w:hAnsi="宋体" w:eastAsia="宋体" w:cs="宋体"/>
                <w:sz w:val="18"/>
                <w:szCs w:val="18"/>
              </w:rPr>
            </w:pPr>
            <w:r>
              <w:rPr>
                <w:rFonts w:hint="eastAsia" w:ascii="宋体" w:hAnsi="宋体" w:eastAsia="宋体" w:cs="宋体"/>
                <w:sz w:val="18"/>
                <w:szCs w:val="18"/>
              </w:rPr>
              <w:t>注：依据SL 635、JTS 257。</w:t>
            </w:r>
          </w:p>
        </w:tc>
      </w:tr>
    </w:tbl>
    <w:p>
      <w:pPr>
        <w:pStyle w:val="106"/>
        <w:spacing w:before="156" w:after="156"/>
        <w:rPr>
          <w:rFonts w:hint="eastAsia"/>
          <w:szCs w:val="22"/>
          <w:lang w:val="en-US" w:eastAsia="zh-CN"/>
        </w:rPr>
      </w:pPr>
      <w:bookmarkStart w:id="120" w:name="_Toc14315"/>
      <w:r>
        <w:rPr>
          <w:rFonts w:hint="eastAsia"/>
          <w:szCs w:val="22"/>
          <w:lang w:val="en-US" w:eastAsia="zh-CN"/>
        </w:rPr>
        <w:t>止水</w:t>
      </w:r>
      <w:bookmarkEnd w:id="120"/>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21" w:name="_Toc24630"/>
      <w:r>
        <w:rPr>
          <w:rFonts w:hint="eastAsia"/>
          <w:lang w:val="en-US" w:eastAsia="zh-CN"/>
        </w:rPr>
        <w:t>主要检验项目</w:t>
      </w:r>
      <w:bookmarkEnd w:id="121"/>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止水所用材料的品种、规格、质量、性能应满足设计要求。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检验方法：检查出厂质量证明文件并观察检查。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止水橡皮的螺孔位置应与门叶或止水压板上的螺孔位置一致，孔径应比螺栓直径小0.5～1.0mm，并严禁烫孔。</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止水安装间隙和止水橡皮的压缩量应满足设计要求。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检验方法：用塞尺测量。</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止水橡皮胶合接头处不得有错位、凹凸不平和疏松等现象。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22" w:name="_Toc16406"/>
      <w:r>
        <w:rPr>
          <w:rFonts w:hint="eastAsia"/>
          <w:lang w:val="en-US" w:eastAsia="zh-CN"/>
        </w:rPr>
        <w:t>一般检验项目</w:t>
      </w:r>
      <w:bookmarkEnd w:id="122"/>
    </w:p>
    <w:p>
      <w:pPr>
        <w:pStyle w:val="166"/>
        <w:numPr>
          <w:ilvl w:val="4"/>
          <w:numId w:val="2"/>
        </w:numPr>
        <w:ind w:left="0" w:leftChars="0" w:firstLine="0" w:firstLineChars="0"/>
        <w:outlineLvl w:val="9"/>
        <w:rPr>
          <w:rFonts w:hint="eastAsia"/>
          <w:lang w:val="en-US" w:eastAsia="zh-CN"/>
        </w:rPr>
      </w:pPr>
      <w:r>
        <w:rPr>
          <w:rFonts w:hint="eastAsia"/>
          <w:lang w:val="en-US" w:eastAsia="zh-CN"/>
        </w:rPr>
        <w:t>三角闸门止水的安装质量应满足设计要求，并应符合表8和表9的规定。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表8三角闸门橡胶止水安装质量要求</w:t>
      </w:r>
    </w:p>
    <w:tbl>
      <w:tblPr>
        <w:tblStyle w:val="28"/>
        <w:tblW w:w="9008"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21"/>
        <w:gridCol w:w="1290"/>
        <w:gridCol w:w="1326"/>
        <w:gridCol w:w="1066"/>
        <w:gridCol w:w="1147"/>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restart"/>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项次</w:t>
            </w:r>
          </w:p>
        </w:tc>
        <w:tc>
          <w:tcPr>
            <w:tcW w:w="1121" w:type="dxa"/>
            <w:vMerge w:val="restart"/>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检验项目</w:t>
            </w:r>
          </w:p>
        </w:tc>
        <w:tc>
          <w:tcPr>
            <w:tcW w:w="4829" w:type="dxa"/>
            <w:gridSpan w:val="4"/>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质量要求（允许偏差mm）</w:t>
            </w:r>
          </w:p>
        </w:tc>
        <w:tc>
          <w:tcPr>
            <w:tcW w:w="2632" w:type="dxa"/>
            <w:vMerge w:val="restart"/>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121"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290" w:type="dxa"/>
            <w:vMerge w:val="restart"/>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中缝止水</w:t>
            </w:r>
          </w:p>
        </w:tc>
        <w:tc>
          <w:tcPr>
            <w:tcW w:w="1326" w:type="dxa"/>
            <w:vMerge w:val="restart"/>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边缝止水</w:t>
            </w:r>
          </w:p>
        </w:tc>
        <w:tc>
          <w:tcPr>
            <w:tcW w:w="2213" w:type="dxa"/>
            <w:gridSpan w:val="2"/>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底止水</w:t>
            </w:r>
          </w:p>
        </w:tc>
        <w:tc>
          <w:tcPr>
            <w:tcW w:w="2632"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121"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290"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326"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c>
          <w:tcPr>
            <w:tcW w:w="1066"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无浮箱</w:t>
            </w:r>
          </w:p>
        </w:tc>
        <w:tc>
          <w:tcPr>
            <w:tcW w:w="1147"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有浮箱</w:t>
            </w:r>
          </w:p>
        </w:tc>
        <w:tc>
          <w:tcPr>
            <w:tcW w:w="2632" w:type="dxa"/>
            <w:vMerge w:val="continue"/>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w:t>
            </w:r>
          </w:p>
        </w:tc>
        <w:tc>
          <w:tcPr>
            <w:tcW w:w="1121"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止水间隙</w:t>
            </w:r>
          </w:p>
        </w:tc>
        <w:tc>
          <w:tcPr>
            <w:tcW w:w="1290"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+0.1～+0.05</w:t>
            </w:r>
          </w:p>
        </w:tc>
        <w:tc>
          <w:tcPr>
            <w:tcW w:w="1326"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+2.0～0</w:t>
            </w:r>
          </w:p>
        </w:tc>
        <w:tc>
          <w:tcPr>
            <w:tcW w:w="1066"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+1.0～0</w:t>
            </w:r>
          </w:p>
        </w:tc>
        <w:tc>
          <w:tcPr>
            <w:tcW w:w="1147"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0～-3</w:t>
            </w:r>
          </w:p>
        </w:tc>
        <w:tc>
          <w:tcPr>
            <w:tcW w:w="2632" w:type="dxa"/>
            <w:noWrap w:val="0"/>
            <w:vAlign w:val="center"/>
          </w:tcPr>
          <w:p>
            <w:pPr>
              <w:numPr>
                <w:ilvl w:val="0"/>
                <w:numId w:val="0"/>
              </w:numPr>
              <w:ind w:left="0" w:leftChars="0" w:firstLine="0" w:firstLineChars="0"/>
              <w:jc w:val="center"/>
              <w:rPr>
                <w:rFonts w:hint="eastAsia" w:ascii="宋体" w:hAnsi="宋体" w:eastAsia="宋体" w:cs="宋体"/>
                <w:b/>
                <w:bCs/>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用塞尺测量间隙最大处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8" w:type="dxa"/>
            <w:gridSpan w:val="7"/>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lang w:val="en-US" w:eastAsia="zh-CN"/>
              </w:rPr>
              <w:t>注：间隙连续长度不大于20mm。</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表9三角闸门中缝高分子材料止水安装的允许偏差、检验数量和方法</w:t>
      </w:r>
    </w:p>
    <w:tbl>
      <w:tblPr>
        <w:tblStyle w:val="28"/>
        <w:tblW w:w="8978"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1711"/>
        <w:gridCol w:w="2668"/>
        <w:gridCol w:w="2694"/>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noWrap w:val="0"/>
            <w:vAlign w:val="center"/>
          </w:tcPr>
          <w:p>
            <w:pPr>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项次</w:t>
            </w:r>
          </w:p>
        </w:tc>
        <w:tc>
          <w:tcPr>
            <w:tcW w:w="1711" w:type="dxa"/>
            <w:noWrap w:val="0"/>
            <w:vAlign w:val="center"/>
          </w:tcPr>
          <w:p>
            <w:pPr>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检验项目</w:t>
            </w:r>
          </w:p>
        </w:tc>
        <w:tc>
          <w:tcPr>
            <w:tcW w:w="2668" w:type="dxa"/>
            <w:noWrap w:val="0"/>
            <w:vAlign w:val="center"/>
          </w:tcPr>
          <w:p>
            <w:pPr>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质量要求（允许偏差mm）</w:t>
            </w:r>
          </w:p>
        </w:tc>
        <w:tc>
          <w:tcPr>
            <w:tcW w:w="2694" w:type="dxa"/>
            <w:noWrap w:val="0"/>
            <w:vAlign w:val="center"/>
          </w:tcPr>
          <w:p>
            <w:pPr>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检验方法</w:t>
            </w:r>
          </w:p>
        </w:tc>
        <w:tc>
          <w:tcPr>
            <w:tcW w:w="1302" w:type="dxa"/>
            <w:noWrap w:val="0"/>
            <w:vAlign w:val="center"/>
          </w:tcPr>
          <w:p>
            <w:pPr>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检验数量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603"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w:t>
            </w:r>
          </w:p>
        </w:tc>
        <w:tc>
          <w:tcPr>
            <w:tcW w:w="1711"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工作面直线度</w:t>
            </w:r>
          </w:p>
        </w:tc>
        <w:tc>
          <w:tcPr>
            <w:tcW w:w="2668"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L/3000且不大于3.0</w:t>
            </w:r>
          </w:p>
        </w:tc>
        <w:tc>
          <w:tcPr>
            <w:tcW w:w="2694" w:type="dxa"/>
            <w:vMerge w:val="restart"/>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用水准仪或经纬仪测量</w:t>
            </w:r>
          </w:p>
        </w:tc>
        <w:tc>
          <w:tcPr>
            <w:tcW w:w="1302" w:type="dxa"/>
            <w:vMerge w:val="restart"/>
            <w:noWrap w:val="0"/>
            <w:vAlign w:val="center"/>
          </w:tcPr>
          <w:p>
            <w:pPr>
              <w:numPr>
                <w:ilvl w:val="0"/>
                <w:numId w:val="0"/>
              </w:numPr>
              <w:ind w:left="0" w:leftChars="0" w:firstLine="0" w:firstLineChars="0"/>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逐条检查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03"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2</w:t>
            </w:r>
          </w:p>
        </w:tc>
        <w:tc>
          <w:tcPr>
            <w:tcW w:w="1711"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侧面直线度</w:t>
            </w:r>
          </w:p>
        </w:tc>
        <w:tc>
          <w:tcPr>
            <w:tcW w:w="2668"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L/3000且不大于3.0</w:t>
            </w:r>
          </w:p>
        </w:tc>
        <w:tc>
          <w:tcPr>
            <w:tcW w:w="2694" w:type="dxa"/>
            <w:vMerge w:val="continue"/>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p>
        </w:tc>
        <w:tc>
          <w:tcPr>
            <w:tcW w:w="1302" w:type="dxa"/>
            <w:vMerge w:val="continue"/>
            <w:noWrap w:val="0"/>
            <w:vAlign w:val="center"/>
          </w:tcPr>
          <w:p>
            <w:pPr>
              <w:numPr>
                <w:ilvl w:val="0"/>
                <w:numId w:val="0"/>
              </w:numPr>
              <w:ind w:left="0" w:leftChars="0" w:firstLine="0" w:firstLineChars="0"/>
              <w:jc w:val="center"/>
              <w:rPr>
                <w:rFonts w:hint="eastAsia" w:ascii="宋体" w:hAnsi="宋体" w:eastAsia="宋体" w:cs="宋体"/>
                <w:color w:val="auto"/>
                <w:kern w:val="2"/>
                <w:sz w:val="18"/>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3</w:t>
            </w:r>
          </w:p>
        </w:tc>
        <w:tc>
          <w:tcPr>
            <w:tcW w:w="1711"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工作面局部平面度</w:t>
            </w:r>
          </w:p>
        </w:tc>
        <w:tc>
          <w:tcPr>
            <w:tcW w:w="2668"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1.0</w:t>
            </w:r>
          </w:p>
        </w:tc>
        <w:tc>
          <w:tcPr>
            <w:tcW w:w="2694"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用1m钢直尺在最大变形处测量</w:t>
            </w:r>
          </w:p>
        </w:tc>
        <w:tc>
          <w:tcPr>
            <w:tcW w:w="1302" w:type="dxa"/>
            <w:vMerge w:val="continue"/>
            <w:noWrap w:val="0"/>
            <w:vAlign w:val="center"/>
          </w:tcPr>
          <w:p>
            <w:pPr>
              <w:numPr>
                <w:ilvl w:val="0"/>
                <w:numId w:val="0"/>
              </w:numPr>
              <w:ind w:left="0" w:leftChars="0" w:firstLine="0" w:firstLineChars="0"/>
              <w:jc w:val="center"/>
              <w:rPr>
                <w:rFonts w:hint="eastAsia" w:ascii="宋体" w:hAnsi="宋体" w:eastAsia="宋体" w:cs="宋体"/>
                <w:color w:val="auto"/>
                <w:kern w:val="2"/>
                <w:sz w:val="18"/>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4</w:t>
            </w:r>
          </w:p>
        </w:tc>
        <w:tc>
          <w:tcPr>
            <w:tcW w:w="1711"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配对间隙</w:t>
            </w:r>
          </w:p>
        </w:tc>
        <w:tc>
          <w:tcPr>
            <w:tcW w:w="2668"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0.1且连续长度不大于20</w:t>
            </w:r>
          </w:p>
        </w:tc>
        <w:tc>
          <w:tcPr>
            <w:tcW w:w="2694" w:type="dxa"/>
            <w:noWrap w:val="0"/>
            <w:vAlign w:val="center"/>
          </w:tcPr>
          <w:p>
            <w:pPr>
              <w:numPr>
                <w:ilvl w:val="0"/>
                <w:numId w:val="0"/>
              </w:num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用塞尺测量</w:t>
            </w:r>
          </w:p>
        </w:tc>
        <w:tc>
          <w:tcPr>
            <w:tcW w:w="1302" w:type="dxa"/>
            <w:noWrap w:val="0"/>
            <w:vAlign w:val="center"/>
          </w:tcPr>
          <w:p>
            <w:pPr>
              <w:numPr>
                <w:ilvl w:val="0"/>
                <w:numId w:val="0"/>
              </w:numPr>
              <w:ind w:left="0" w:leftChars="0" w:firstLine="0" w:firstLineChars="0"/>
              <w:jc w:val="center"/>
              <w:rPr>
                <w:rFonts w:hint="eastAsia" w:ascii="宋体" w:hAnsi="宋体" w:eastAsia="宋体" w:cs="宋体"/>
                <w:color w:val="auto"/>
                <w:kern w:val="2"/>
                <w:sz w:val="18"/>
                <w:szCs w:val="21"/>
                <w:vertAlign w:val="baseline"/>
                <w:lang w:val="en-US" w:eastAsia="zh-CN" w:bidi="ar-SA"/>
              </w:rPr>
            </w:pPr>
            <w:r>
              <w:rPr>
                <w:rFonts w:hint="eastAsia" w:ascii="宋体" w:hAnsi="宋体" w:eastAsia="宋体" w:cs="宋体"/>
                <w:color w:val="auto"/>
                <w:sz w:val="18"/>
                <w:szCs w:val="18"/>
                <w:vertAlign w:val="baseline"/>
                <w:lang w:val="en-US" w:eastAsia="zh-CN"/>
              </w:rPr>
              <w:t>逐对检查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gridSpan w:val="5"/>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lang w:val="en-US" w:eastAsia="zh-CN"/>
              </w:rPr>
              <w:t>注：L为中缝止水长度，单位为mm。</w:t>
            </w:r>
          </w:p>
        </w:tc>
      </w:tr>
    </w:tbl>
    <w:p>
      <w:pPr>
        <w:pStyle w:val="106"/>
        <w:spacing w:before="156" w:after="156"/>
        <w:rPr>
          <w:rFonts w:hint="default"/>
          <w:szCs w:val="22"/>
          <w:lang w:val="en-US" w:eastAsia="zh-CN"/>
        </w:rPr>
      </w:pPr>
      <w:bookmarkStart w:id="123" w:name="_Toc6806"/>
      <w:r>
        <w:rPr>
          <w:rFonts w:hint="eastAsia"/>
          <w:szCs w:val="22"/>
          <w:lang w:val="en-US" w:eastAsia="zh-CN"/>
        </w:rPr>
        <w:t>防腐</w:t>
      </w:r>
      <w:bookmarkEnd w:id="123"/>
      <w:r>
        <w:rPr>
          <w:rFonts w:hint="eastAsia"/>
          <w:szCs w:val="22"/>
          <w:lang w:val="en-US" w:eastAsia="zh-CN"/>
        </w:rPr>
        <w:t>涂装</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24" w:name="_Toc32122"/>
      <w:r>
        <w:rPr>
          <w:rFonts w:hint="eastAsia"/>
          <w:lang w:val="en-US" w:eastAsia="zh-CN"/>
        </w:rPr>
        <w:t>主要检验项目</w:t>
      </w:r>
      <w:bookmarkEnd w:id="124"/>
    </w:p>
    <w:p>
      <w:pPr>
        <w:pStyle w:val="166"/>
        <w:keepNext w:val="0"/>
        <w:keepLines w:val="0"/>
        <w:pageBreakBefore w:val="0"/>
        <w:widowControl w:val="0"/>
        <w:numPr>
          <w:ilvl w:val="4"/>
          <w:numId w:val="2"/>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涂装前钢材表面除锈应满足设计要求，并应符合现行国家标准</w:t>
      </w:r>
      <w:r>
        <w:rPr>
          <w:rFonts w:hint="eastAsia" w:ascii="宋体" w:hAnsi="Times New Roman" w:eastAsia="宋体" w:cs="Times New Roman"/>
          <w:sz w:val="21"/>
          <w:szCs w:val="22"/>
          <w:lang w:val="en-US" w:eastAsia="zh-CN" w:bidi="ar-SA"/>
        </w:rPr>
        <w:t>GB/T 8923.1</w:t>
      </w:r>
      <w:r>
        <w:rPr>
          <w:rFonts w:hint="eastAsia" w:cs="Times New Roman"/>
          <w:sz w:val="21"/>
          <w:szCs w:val="22"/>
          <w:lang w:val="en-US" w:eastAsia="zh-CN" w:bidi="ar-SA"/>
        </w:rPr>
        <w:t xml:space="preserve"> </w:t>
      </w:r>
      <w:r>
        <w:rPr>
          <w:rFonts w:hint="eastAsia"/>
        </w:rPr>
        <w:t>《涂覆涂料前钢材表面处理表面清洁度的目视评定 第1部分：未涂覆过的钢材表面和全面清除原有涂层后的钢材表面的锈蚀等级和处理等级》</w:t>
      </w:r>
      <w:r>
        <w:rPr>
          <w:rFonts w:hint="eastAsia"/>
          <w:lang w:eastAsia="zh-CN"/>
        </w:rPr>
        <w:t>。</w:t>
      </w:r>
      <w:r>
        <w:rPr>
          <w:rFonts w:hint="eastAsia"/>
          <w:lang w:val="en-US" w:eastAsia="zh-CN"/>
        </w:rPr>
        <w:t>处理后的钢材表面不应有焊渣、焊疤、灰尘、油污和毛刺等。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pStyle w:val="57"/>
        <w:keepNext w:val="0"/>
        <w:keepLines w:val="0"/>
        <w:pageBreakBefore w:val="0"/>
        <w:kinsoku/>
        <w:wordWrap/>
        <w:overflowPunct/>
        <w:topLinePunct w:val="0"/>
        <w:bidi w:val="0"/>
        <w:adjustRightInd/>
        <w:snapToGrid/>
        <w:spacing w:line="240" w:lineRule="auto"/>
        <w:ind w:firstLine="42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检验方法：按现行国家标准GB/T 8923.1《涂覆涂料前钢材表面处理表面清洁度的目视评定 第1部分：未涂覆过的钢材表面和全面清除原有涂层后的钢材表面的锈蚀等级和处理等级》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观察检查，必要时用铲刀检查。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油漆、稀释剂和固化剂的种类、规格和性能应满足设计要求。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w:t>
      </w:r>
    </w:p>
    <w:p>
      <w:pPr>
        <w:pStyle w:val="166"/>
        <w:numPr>
          <w:ilvl w:val="4"/>
          <w:numId w:val="2"/>
        </w:numPr>
        <w:spacing w:line="240" w:lineRule="auto"/>
        <w:ind w:left="0" w:leftChars="0" w:firstLine="0" w:firstLineChars="0"/>
        <w:outlineLvl w:val="9"/>
        <w:rPr>
          <w:rFonts w:hint="eastAsia" w:ascii="宋体" w:hAnsi="宋体" w:cs="宋体"/>
          <w:color w:val="auto"/>
          <w:sz w:val="28"/>
          <w:szCs w:val="28"/>
          <w:lang w:val="en-US" w:eastAsia="zh-CN"/>
        </w:rPr>
      </w:pPr>
      <w:r>
        <w:rPr>
          <w:rFonts w:hint="eastAsia"/>
          <w:lang w:val="en-US" w:eastAsia="zh-CN"/>
        </w:rPr>
        <w:t>金属喷涂所用的材料质量应满足设计要求，并应符合现行国家</w:t>
      </w:r>
      <w:r>
        <w:rPr>
          <w:rFonts w:hint="eastAsia" w:ascii="宋体" w:hAnsi="Times New Roman" w:eastAsia="宋体" w:cs="Times New Roman"/>
          <w:sz w:val="21"/>
          <w:szCs w:val="22"/>
          <w:lang w:val="en-US" w:eastAsia="zh-CN" w:bidi="ar-SA"/>
        </w:rPr>
        <w:t>标准GB/T9793</w:t>
      </w:r>
      <w:r>
        <w:rPr>
          <w:rFonts w:hint="eastAsia"/>
        </w:rPr>
        <w:t>《热喷涂金属和其他无机覆盖层锌、铝及其合金》</w:t>
      </w:r>
      <w:r>
        <w:rPr>
          <w:rFonts w:hint="eastAsia" w:ascii="宋体" w:hAnsi="Times New Roman" w:eastAsia="宋体" w:cs="Times New Roman"/>
          <w:sz w:val="21"/>
          <w:szCs w:val="22"/>
          <w:lang w:val="en-US" w:eastAsia="zh-CN" w:bidi="ar-SA"/>
        </w:rPr>
        <w:t>的</w:t>
      </w:r>
      <w:r>
        <w:rPr>
          <w:rFonts w:hint="eastAsia"/>
          <w:lang w:val="en-US" w:eastAsia="zh-CN"/>
        </w:rPr>
        <w:t>有关规定。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检验方法：检查出厂质量证明文件。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Times New Roman" w:cs="Times New Roman"/>
          <w:kern w:val="0"/>
          <w:sz w:val="21"/>
          <w:szCs w:val="20"/>
          <w:lang w:val="en-US" w:eastAsia="zh-CN" w:bidi="ar-SA"/>
        </w:rPr>
      </w:pPr>
      <w:r>
        <w:rPr>
          <w:rFonts w:hint="eastAsia" w:ascii="黑体" w:hAnsi="黑体" w:eastAsia="黑体" w:cs="黑体"/>
          <w:b w:val="0"/>
          <w:bCs w:val="0"/>
          <w:kern w:val="0"/>
          <w:sz w:val="21"/>
          <w:szCs w:val="20"/>
          <w:lang w:val="en-US" w:eastAsia="zh-CN" w:bidi="ar-SA"/>
        </w:rPr>
        <w:t xml:space="preserve">4.7.1.4  </w:t>
      </w:r>
      <w:r>
        <w:rPr>
          <w:rFonts w:hint="eastAsia" w:ascii="宋体" w:hAnsi="Times New Roman" w:cs="Times New Roman"/>
          <w:kern w:val="0"/>
          <w:sz w:val="21"/>
          <w:szCs w:val="20"/>
          <w:lang w:val="en-US" w:eastAsia="zh-CN" w:bidi="ar-SA"/>
        </w:rPr>
        <w:t>金属结构防腐涂层材料的环保性指标应满足设计要求，并应符合国家相关标准的规定。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检验数量：全数检查。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检验方法：检查出厂质量证明文件。</w:t>
      </w:r>
    </w:p>
    <w:p>
      <w:pPr>
        <w:pStyle w:val="166"/>
        <w:numPr>
          <w:ilvl w:val="3"/>
          <w:numId w:val="0"/>
        </w:numPr>
        <w:spacing w:line="240" w:lineRule="auto"/>
        <w:ind w:leftChars="0"/>
        <w:outlineLvl w:val="9"/>
        <w:rPr>
          <w:rFonts w:hint="eastAsia"/>
          <w:lang w:val="en-US" w:eastAsia="zh-CN"/>
        </w:rPr>
      </w:pPr>
      <w:r>
        <w:rPr>
          <w:rFonts w:hint="eastAsia" w:ascii="黑体" w:hAnsi="黑体" w:eastAsia="黑体" w:cs="黑体"/>
          <w:b w:val="0"/>
          <w:bCs w:val="0"/>
          <w:kern w:val="0"/>
          <w:sz w:val="21"/>
          <w:szCs w:val="20"/>
          <w:lang w:val="en-US" w:eastAsia="zh-CN" w:bidi="ar-SA"/>
        </w:rPr>
        <w:t xml:space="preserve">4.7.1.5 </w:t>
      </w:r>
      <w:r>
        <w:rPr>
          <w:rFonts w:hint="eastAsia"/>
          <w:lang w:val="en-US" w:eastAsia="zh-CN"/>
        </w:rPr>
        <w:t xml:space="preserve"> 涂装施工应符合下列规定：</w:t>
      </w:r>
    </w:p>
    <w:p>
      <w:pPr>
        <w:pStyle w:val="166"/>
        <w:numPr>
          <w:ilvl w:val="3"/>
          <w:numId w:val="0"/>
        </w:numPr>
        <w:spacing w:line="240" w:lineRule="auto"/>
        <w:ind w:leftChars="0" w:firstLine="420" w:firstLineChars="200"/>
        <w:outlineLvl w:val="9"/>
        <w:rPr>
          <w:rFonts w:hint="eastAsia"/>
          <w:lang w:val="en-US" w:eastAsia="zh-CN"/>
        </w:rPr>
      </w:pPr>
      <w:r>
        <w:rPr>
          <w:rFonts w:hint="eastAsia"/>
          <w:lang w:val="en-US" w:eastAsia="zh-CN"/>
        </w:rPr>
        <w:t>a）涂装施工的环境条件应与涂料产品说明书的要求一致，对溶剂型涂料，施工环境温度应为5~38℃，空气相对湿度应不大于85%，且钢材表面温度应高于露点3℃； 对水性涂料，施工环境应为5~35℃，空气相对湿度应不大于80%。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b)</w:t>
      </w:r>
      <w:r>
        <w:rPr>
          <w:rFonts w:hint="eastAsia" w:ascii="宋体" w:hAnsi="Times New Roman" w:eastAsia="宋体" w:cs="Times New Roman"/>
          <w:kern w:val="0"/>
          <w:sz w:val="21"/>
          <w:szCs w:val="20"/>
          <w:lang w:val="en-US" w:eastAsia="zh-CN" w:bidi="ar-SA"/>
        </w:rPr>
        <w:t>涂装时，构件的表面不应有雨水或结露；亦不得出现返锈现象，否则应重新除锈。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c)</w:t>
      </w:r>
      <w:r>
        <w:rPr>
          <w:rFonts w:hint="eastAsia" w:ascii="宋体" w:hAnsi="Times New Roman" w:eastAsia="宋体" w:cs="Times New Roman"/>
          <w:kern w:val="0"/>
          <w:sz w:val="21"/>
          <w:szCs w:val="20"/>
          <w:lang w:val="en-US" w:eastAsia="zh-CN" w:bidi="ar-SA"/>
        </w:rPr>
        <w:t xml:space="preserve">大面积喷涂时，应采用高压无气喷涂工艺，滚涂或刷涂仅在预涂或修补时方可采用；对无机富锌涂料应采用空气喷涂或无气喷涂，不得采用滚涂或刷涂。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d)</w:t>
      </w:r>
      <w:r>
        <w:rPr>
          <w:rFonts w:hint="eastAsia" w:ascii="宋体" w:hAnsi="Times New Roman" w:eastAsia="宋体" w:cs="Times New Roman"/>
          <w:kern w:val="0"/>
          <w:sz w:val="21"/>
          <w:szCs w:val="20"/>
          <w:lang w:val="en-US" w:eastAsia="zh-CN" w:bidi="ar-SA"/>
        </w:rPr>
        <w:t xml:space="preserve">对小面积、细长以及复杂形状构件的喷涂，可采用空气喷涂或刷涂。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e)</w:t>
      </w:r>
      <w:r>
        <w:rPr>
          <w:rFonts w:hint="eastAsia" w:ascii="宋体" w:hAnsi="Times New Roman" w:eastAsia="宋体" w:cs="Times New Roman"/>
          <w:kern w:val="0"/>
          <w:sz w:val="21"/>
          <w:szCs w:val="20"/>
          <w:lang w:val="en-US" w:eastAsia="zh-CN" w:bidi="ar-SA"/>
        </w:rPr>
        <w:t>对不易喷涂到的部位，宜采用刷涂的方式进行预涂装，或在第一道底漆后进行补涂。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f)</w:t>
      </w:r>
      <w:r>
        <w:rPr>
          <w:rFonts w:hint="eastAsia" w:ascii="宋体" w:hAnsi="Times New Roman" w:eastAsia="宋体" w:cs="Times New Roman"/>
          <w:kern w:val="0"/>
          <w:sz w:val="21"/>
          <w:szCs w:val="20"/>
          <w:lang w:val="en-US" w:eastAsia="zh-CN" w:bidi="ar-SA"/>
        </w:rPr>
        <w:t xml:space="preserve">当涂装材料对工艺有特殊要求时，应执行其规定。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g)</w:t>
      </w:r>
      <w:r>
        <w:rPr>
          <w:rFonts w:hint="eastAsia" w:ascii="宋体" w:hAnsi="Times New Roman" w:eastAsia="宋体" w:cs="Times New Roman"/>
          <w:kern w:val="0"/>
          <w:sz w:val="21"/>
          <w:szCs w:val="20"/>
          <w:lang w:val="en-US" w:eastAsia="zh-CN" w:bidi="ar-SA"/>
        </w:rPr>
        <w:t xml:space="preserve">各道涂层的涂装施工宜在4h内完成；当所处环境的相对湿度小于60%时，完成涂装施工的时间宜不超过12h。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h)</w:t>
      </w:r>
      <w:r>
        <w:rPr>
          <w:rFonts w:hint="eastAsia" w:ascii="宋体" w:hAnsi="Times New Roman" w:eastAsia="宋体" w:cs="Times New Roman"/>
          <w:kern w:val="0"/>
          <w:sz w:val="21"/>
          <w:szCs w:val="20"/>
          <w:lang w:val="en-US" w:eastAsia="zh-CN" w:bidi="ar-SA"/>
        </w:rPr>
        <w:t xml:space="preserve">各道涂层的涂装间隔时间应符合材料的技术要求。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i)</w:t>
      </w:r>
      <w:r>
        <w:rPr>
          <w:rFonts w:hint="eastAsia" w:ascii="宋体" w:hAnsi="Times New Roman" w:eastAsia="宋体" w:cs="Times New Roman"/>
          <w:kern w:val="0"/>
          <w:sz w:val="21"/>
          <w:szCs w:val="20"/>
          <w:lang w:val="en-US" w:eastAsia="zh-CN" w:bidi="ar-SA"/>
        </w:rPr>
        <w:t>涂装施工完成后的4h内应对涂层的表面采取必要的保护措施。</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textAlignment w:val="auto"/>
        <w:rPr>
          <w:rFonts w:hint="eastAsia" w:ascii="宋体" w:hAnsi="Times New Roman" w:eastAsia="宋体" w:cs="Times New Roman"/>
          <w:kern w:val="0"/>
          <w:sz w:val="21"/>
          <w:szCs w:val="20"/>
          <w:lang w:val="en-US" w:eastAsia="zh-CN" w:bidi="ar-SA"/>
        </w:rPr>
      </w:pPr>
      <w:r>
        <w:rPr>
          <w:rFonts w:hint="eastAsia" w:ascii="黑体" w:hAnsi="黑体" w:eastAsia="黑体" w:cs="黑体"/>
          <w:b w:val="0"/>
          <w:bCs w:val="0"/>
          <w:kern w:val="0"/>
          <w:sz w:val="21"/>
          <w:szCs w:val="20"/>
          <w:lang w:val="en-US" w:eastAsia="zh-CN" w:bidi="ar-SA"/>
        </w:rPr>
        <w:t xml:space="preserve">4.7.1.6  </w:t>
      </w:r>
      <w:r>
        <w:rPr>
          <w:rFonts w:hint="eastAsia" w:ascii="宋体" w:hAnsi="Times New Roman" w:eastAsia="宋体" w:cs="Times New Roman"/>
          <w:kern w:val="0"/>
          <w:sz w:val="21"/>
          <w:szCs w:val="20"/>
          <w:lang w:val="en-US" w:eastAsia="zh-CN" w:bidi="ar-SA"/>
        </w:rPr>
        <w:t>工地现场涂装的环境条件除应符合本规范第</w:t>
      </w:r>
      <w:r>
        <w:rPr>
          <w:rFonts w:hint="eastAsia" w:ascii="宋体" w:eastAsia="宋体" w:cs="Times New Roman"/>
          <w:kern w:val="0"/>
          <w:sz w:val="21"/>
          <w:szCs w:val="20"/>
          <w:lang w:val="en-US" w:eastAsia="zh-CN" w:bidi="ar-SA"/>
        </w:rPr>
        <w:t>4.7.2.4a)</w:t>
      </w:r>
      <w:r>
        <w:rPr>
          <w:rFonts w:hint="eastAsia" w:ascii="宋体" w:hAnsi="Times New Roman" w:eastAsia="宋体" w:cs="Times New Roman"/>
          <w:kern w:val="0"/>
          <w:sz w:val="21"/>
          <w:szCs w:val="20"/>
          <w:lang w:val="en-US" w:eastAsia="zh-CN" w:bidi="ar-SA"/>
        </w:rPr>
        <w:t xml:space="preserve">条的规定外，对构件接头的涂装和涂层的修补应在临时作业棚内进行，并应采取有效措施减少或避免对周 围空气、水源等的污染。 </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textAlignment w:val="auto"/>
        <w:rPr>
          <w:rFonts w:hint="eastAsia" w:ascii="宋体" w:hAnsi="Times New Roman" w:eastAsia="宋体" w:cs="Times New Roman"/>
          <w:kern w:val="0"/>
          <w:sz w:val="21"/>
          <w:szCs w:val="20"/>
          <w:lang w:val="en-US" w:eastAsia="zh-CN" w:bidi="ar-SA"/>
        </w:rPr>
      </w:pPr>
      <w:r>
        <w:rPr>
          <w:rFonts w:hint="eastAsia" w:ascii="黑体" w:hAnsi="黑体" w:eastAsia="黑体" w:cs="黑体"/>
          <w:b w:val="0"/>
          <w:bCs w:val="0"/>
          <w:kern w:val="0"/>
          <w:sz w:val="21"/>
          <w:szCs w:val="20"/>
          <w:lang w:val="en-US" w:eastAsia="zh-CN" w:bidi="ar-SA"/>
        </w:rPr>
        <w:t>4.7.1.7</w:t>
      </w:r>
      <w:r>
        <w:rPr>
          <w:rFonts w:hint="eastAsia" w:ascii="宋体" w:hAnsi="Times New Roman" w:eastAsia="宋体" w:cs="Times New Roman"/>
          <w:b w:val="0"/>
          <w:bCs w:val="0"/>
          <w:kern w:val="0"/>
          <w:sz w:val="21"/>
          <w:szCs w:val="20"/>
          <w:lang w:val="en-US" w:eastAsia="zh-CN" w:bidi="ar-SA"/>
        </w:rPr>
        <w:t xml:space="preserve"> </w:t>
      </w:r>
      <w:r>
        <w:rPr>
          <w:rFonts w:hint="eastAsia" w:ascii="宋体" w:eastAsia="宋体" w:cs="Times New Roman"/>
          <w:b w:val="0"/>
          <w:bCs w:val="0"/>
          <w:kern w:val="0"/>
          <w:sz w:val="21"/>
          <w:szCs w:val="20"/>
          <w:lang w:val="en-US" w:eastAsia="zh-CN" w:bidi="ar-SA"/>
        </w:rPr>
        <w:t xml:space="preserve"> </w:t>
      </w:r>
      <w:r>
        <w:rPr>
          <w:rFonts w:hint="eastAsia" w:ascii="宋体" w:hAnsi="Times New Roman" w:eastAsia="宋体" w:cs="Times New Roman"/>
          <w:kern w:val="0"/>
          <w:sz w:val="21"/>
          <w:szCs w:val="20"/>
          <w:lang w:val="en-US" w:eastAsia="zh-CN" w:bidi="ar-SA"/>
        </w:rPr>
        <w:t>构件和梁段的现场对接焊缝两侧各50mm范围内不宜在工厂涂装，宜待安装完成后进行，且该范围内的涂装总干膜厚度宜增加10%。对该范围进行涂装时， 应对与之连接的各层漆面进行阶梯状打磨，每层涂层的重叠长度应不小于20mm， 末道面漆的涂装范围宜为焊缝两侧各150mm。</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textAlignment w:val="auto"/>
        <w:rPr>
          <w:rFonts w:hint="eastAsia" w:ascii="宋体" w:eastAsia="宋体" w:cs="Times New Roman"/>
          <w:b w:val="0"/>
          <w:bCs w:val="0"/>
          <w:kern w:val="0"/>
          <w:sz w:val="21"/>
          <w:szCs w:val="20"/>
          <w:lang w:val="en-US" w:eastAsia="zh-CN" w:bidi="ar-SA"/>
        </w:rPr>
      </w:pPr>
      <w:r>
        <w:rPr>
          <w:rFonts w:hint="eastAsia" w:ascii="黑体" w:hAnsi="黑体" w:eastAsia="黑体" w:cs="黑体"/>
          <w:b w:val="0"/>
          <w:bCs w:val="0"/>
          <w:kern w:val="0"/>
          <w:sz w:val="21"/>
          <w:szCs w:val="20"/>
          <w:lang w:val="en-US" w:eastAsia="zh-CN" w:bidi="ar-SA"/>
        </w:rPr>
        <w:t>4.7.1.8</w:t>
      </w:r>
      <w:r>
        <w:rPr>
          <w:rFonts w:hint="eastAsia" w:hAnsi="黑体" w:cs="黑体"/>
          <w:b w:val="0"/>
          <w:bCs w:val="0"/>
          <w:kern w:val="0"/>
          <w:sz w:val="21"/>
          <w:szCs w:val="20"/>
          <w:lang w:val="en-US" w:eastAsia="zh-CN" w:bidi="ar-SA"/>
        </w:rPr>
        <w:t xml:space="preserve">  </w:t>
      </w:r>
      <w:r>
        <w:rPr>
          <w:rFonts w:hint="eastAsia" w:ascii="宋体" w:eastAsia="宋体" w:cs="Times New Roman"/>
          <w:b w:val="0"/>
          <w:bCs w:val="0"/>
          <w:kern w:val="0"/>
          <w:sz w:val="21"/>
          <w:szCs w:val="20"/>
          <w:lang w:val="en-US" w:eastAsia="zh-CN" w:bidi="ar-SA"/>
        </w:rPr>
        <w:t>油漆涂料涂装应符合下列规定：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a</w:t>
      </w:r>
      <w:r>
        <w:rPr>
          <w:rFonts w:hint="eastAsia" w:ascii="宋体" w:hAnsi="Times New Roman" w:eastAsia="宋体" w:cs="Times New Roman"/>
          <w:kern w:val="0"/>
          <w:sz w:val="21"/>
          <w:szCs w:val="20"/>
          <w:lang w:val="en-US" w:eastAsia="zh-CN" w:bidi="ar-SA"/>
        </w:rPr>
        <w:t>） 涂装遍数、涂层厚度</w:t>
      </w:r>
      <w:r>
        <w:rPr>
          <w:rFonts w:hint="eastAsia" w:ascii="宋体" w:hAnsi="Times New Roman" w:cs="Times New Roman"/>
          <w:kern w:val="0"/>
          <w:sz w:val="21"/>
          <w:szCs w:val="20"/>
          <w:lang w:val="en-US" w:eastAsia="zh-CN" w:bidi="ar-SA"/>
        </w:rPr>
        <w:t>及涂层附着力</w:t>
      </w:r>
      <w:r>
        <w:rPr>
          <w:rFonts w:hint="eastAsia" w:ascii="宋体" w:hAnsi="Times New Roman" w:eastAsia="宋体" w:cs="Times New Roman"/>
          <w:kern w:val="0"/>
          <w:sz w:val="21"/>
          <w:szCs w:val="20"/>
          <w:lang w:val="en-US" w:eastAsia="zh-CN" w:bidi="ar-SA"/>
        </w:rPr>
        <w:t>应满足设计要求。当设计无要求时，涂层干漆膜总厚度室内应为125μm，室外应为150μm，其允许偏差为-25μm。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检验数量：抽查构件总数的10%，且同类构件不少于3件。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检验方法：采用漆膜测厚仪</w:t>
      </w:r>
      <w:r>
        <w:rPr>
          <w:rFonts w:hint="eastAsia" w:ascii="宋体" w:hAnsi="Times New Roman" w:cs="Times New Roman"/>
          <w:kern w:val="0"/>
          <w:sz w:val="21"/>
          <w:szCs w:val="20"/>
          <w:lang w:val="en-US" w:eastAsia="zh-CN" w:bidi="ar-SA"/>
        </w:rPr>
        <w:t>、附着力测试仪</w:t>
      </w:r>
      <w:r>
        <w:rPr>
          <w:rFonts w:hint="eastAsia" w:ascii="宋体" w:hAnsi="Times New Roman" w:eastAsia="宋体" w:cs="Times New Roman"/>
          <w:kern w:val="0"/>
          <w:sz w:val="21"/>
          <w:szCs w:val="20"/>
          <w:lang w:val="en-US" w:eastAsia="zh-CN" w:bidi="ar-SA"/>
        </w:rPr>
        <w:t>测量。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b</w:t>
      </w:r>
      <w:r>
        <w:rPr>
          <w:rFonts w:hint="eastAsia" w:ascii="宋体" w:hAnsi="Times New Roman" w:eastAsia="宋体" w:cs="Times New Roman"/>
          <w:kern w:val="0"/>
          <w:sz w:val="21"/>
          <w:szCs w:val="20"/>
          <w:lang w:val="en-US" w:eastAsia="zh-CN" w:bidi="ar-SA"/>
        </w:rPr>
        <w:t>） 涂装应均匀，不应有漏涂、明显起皱和流挂等现象。构件的涂层破坏应及时进行补涂。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检验方法：观察检查。对涂层附着力有疑问时做附着力检查。</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textAlignment w:val="auto"/>
        <w:rPr>
          <w:rFonts w:hint="eastAsia" w:ascii="宋体" w:eastAsia="宋体" w:cs="Times New Roman"/>
          <w:b w:val="0"/>
          <w:bCs w:val="0"/>
          <w:kern w:val="0"/>
          <w:sz w:val="21"/>
          <w:szCs w:val="20"/>
          <w:lang w:val="en-US" w:eastAsia="zh-CN" w:bidi="ar-SA"/>
        </w:rPr>
      </w:pPr>
      <w:r>
        <w:rPr>
          <w:rFonts w:hint="eastAsia" w:ascii="黑体" w:hAnsi="黑体" w:eastAsia="黑体" w:cs="黑体"/>
          <w:b w:val="0"/>
          <w:bCs w:val="0"/>
          <w:kern w:val="0"/>
          <w:sz w:val="21"/>
          <w:szCs w:val="20"/>
          <w:lang w:val="en-US" w:eastAsia="zh-CN" w:bidi="ar-SA"/>
        </w:rPr>
        <w:t>4.7.1.9</w:t>
      </w:r>
      <w:r>
        <w:rPr>
          <w:rFonts w:hint="eastAsia" w:hAnsi="黑体" w:cs="黑体"/>
          <w:b w:val="0"/>
          <w:bCs w:val="0"/>
          <w:kern w:val="0"/>
          <w:sz w:val="21"/>
          <w:szCs w:val="20"/>
          <w:lang w:val="en-US" w:eastAsia="zh-CN" w:bidi="ar-SA"/>
        </w:rPr>
        <w:t xml:space="preserve">  </w:t>
      </w:r>
      <w:r>
        <w:rPr>
          <w:rFonts w:hint="eastAsia" w:ascii="宋体" w:eastAsia="宋体" w:cs="Times New Roman"/>
          <w:b w:val="0"/>
          <w:bCs w:val="0"/>
          <w:kern w:val="0"/>
          <w:sz w:val="21"/>
          <w:szCs w:val="20"/>
          <w:lang w:val="en-US" w:eastAsia="zh-CN" w:bidi="ar-SA"/>
        </w:rPr>
        <w:t>金属喷涂涂装应符合下列规定：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a</w:t>
      </w:r>
      <w:r>
        <w:rPr>
          <w:rFonts w:hint="eastAsia" w:ascii="宋体" w:hAnsi="Times New Roman" w:eastAsia="宋体" w:cs="Times New Roman"/>
          <w:kern w:val="0"/>
          <w:sz w:val="21"/>
          <w:szCs w:val="20"/>
          <w:lang w:val="en-US" w:eastAsia="zh-CN" w:bidi="ar-SA"/>
        </w:rPr>
        <w:t>） 涂装的遍数、涂层厚度</w:t>
      </w:r>
      <w:r>
        <w:rPr>
          <w:rFonts w:hint="eastAsia" w:ascii="宋体" w:hAnsi="Times New Roman" w:cs="Times New Roman"/>
          <w:kern w:val="0"/>
          <w:sz w:val="21"/>
          <w:szCs w:val="20"/>
          <w:lang w:val="en-US" w:eastAsia="zh-CN" w:bidi="ar-SA"/>
        </w:rPr>
        <w:t>及涂层附着力</w:t>
      </w:r>
      <w:r>
        <w:rPr>
          <w:rFonts w:hint="eastAsia" w:ascii="宋体" w:hAnsi="Times New Roman" w:eastAsia="宋体" w:cs="Times New Roman"/>
          <w:kern w:val="0"/>
          <w:sz w:val="21"/>
          <w:szCs w:val="20"/>
          <w:lang w:val="en-US" w:eastAsia="zh-CN" w:bidi="ar-SA"/>
        </w:rPr>
        <w:t>应满足设计要求。当设计无要求时，喷铝层宜为120～150μm，喷锌层宜为120～250μm。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检验数量：对一般构件，抽查构件总数的10%，且同类构件不得少于3件。对于闸阀门每10m²测3个测区</w:t>
      </w:r>
      <w:r>
        <w:rPr>
          <w:rFonts w:hint="eastAsia" w:ascii="宋体" w:hAnsi="Times New Roman" w:cs="Times New Roman"/>
          <w:color w:val="auto"/>
          <w:kern w:val="0"/>
          <w:sz w:val="21"/>
          <w:szCs w:val="20"/>
          <w:lang w:val="en-US" w:eastAsia="zh-CN" w:bidi="ar-SA"/>
        </w:rPr>
        <w:t>，每个测区为</w:t>
      </w:r>
      <w:r>
        <w:rPr>
          <w:rFonts w:hint="eastAsia" w:ascii="宋体" w:hAnsi="Times New Roman" w:eastAsia="宋体" w:cs="Times New Roman"/>
          <w:color w:val="auto"/>
          <w:kern w:val="0"/>
          <w:sz w:val="21"/>
          <w:szCs w:val="20"/>
          <w:lang w:val="en-US" w:eastAsia="zh-CN" w:bidi="ar-SA"/>
        </w:rPr>
        <w:t>100cm² 面积内抽测10个点厚度，大于等于设计厚度的点数不应少于85%，最小值不应小于规定范围的下限；当设计对下限未作规定时，应取设计值的85%。</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检验方法：采用漆膜测厚仪</w:t>
      </w:r>
      <w:r>
        <w:rPr>
          <w:rFonts w:hint="eastAsia" w:ascii="宋体" w:hAnsi="Times New Roman" w:cs="Times New Roman"/>
          <w:kern w:val="0"/>
          <w:sz w:val="21"/>
          <w:szCs w:val="20"/>
          <w:lang w:val="en-US" w:eastAsia="zh-CN" w:bidi="ar-SA"/>
        </w:rPr>
        <w:t>、附着力测试仪</w:t>
      </w:r>
      <w:r>
        <w:rPr>
          <w:rFonts w:hint="eastAsia" w:ascii="宋体" w:hAnsi="Times New Roman" w:eastAsia="宋体" w:cs="Times New Roman"/>
          <w:kern w:val="0"/>
          <w:sz w:val="21"/>
          <w:szCs w:val="20"/>
          <w:lang w:val="en-US" w:eastAsia="zh-CN" w:bidi="ar-SA"/>
        </w:rPr>
        <w:t>测量。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b</w:t>
      </w:r>
      <w:r>
        <w:rPr>
          <w:rFonts w:hint="eastAsia" w:ascii="宋体" w:hAnsi="Times New Roman" w:eastAsia="宋体" w:cs="Times New Roman"/>
          <w:kern w:val="0"/>
          <w:sz w:val="21"/>
          <w:szCs w:val="20"/>
          <w:lang w:val="en-US" w:eastAsia="zh-CN" w:bidi="ar-SA"/>
        </w:rPr>
        <w:t>） 涂层应均匀，表面不应有针眼缺陷和可见粗颗粒。</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lang w:val="en-US" w:eastAsia="zh-CN"/>
        </w:rPr>
      </w:pPr>
      <w:r>
        <w:rPr>
          <w:rFonts w:hint="eastAsia" w:ascii="宋体" w:hAnsi="Times New Roman" w:eastAsia="宋体" w:cs="Times New Roman"/>
          <w:kern w:val="0"/>
          <w:sz w:val="21"/>
          <w:szCs w:val="20"/>
          <w:lang w:val="en-US" w:eastAsia="zh-CN" w:bidi="ar-SA"/>
        </w:rPr>
        <w:t>检验方法：观察检查。</w:t>
      </w:r>
    </w:p>
    <w:p>
      <w:pPr>
        <w:pStyle w:val="6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bookmarkStart w:id="125" w:name="_Toc6816"/>
      <w:r>
        <w:rPr>
          <w:rFonts w:hint="eastAsia"/>
          <w:lang w:val="en-US" w:eastAsia="zh-CN"/>
        </w:rPr>
        <w:t>一般检验项目</w:t>
      </w:r>
      <w:bookmarkEnd w:id="125"/>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涂层应均匀，不应有漏涂、涂层不闭合、脱层、空鼓和粉化松散等缺陷。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numPr>
          <w:ilvl w:val="4"/>
          <w:numId w:val="2"/>
        </w:numPr>
        <w:spacing w:line="240" w:lineRule="auto"/>
        <w:ind w:left="0" w:leftChars="0" w:firstLine="0" w:firstLineChars="0"/>
        <w:outlineLvl w:val="9"/>
        <w:rPr>
          <w:rFonts w:hint="eastAsia"/>
          <w:lang w:val="en-US" w:eastAsia="zh-CN"/>
        </w:rPr>
      </w:pPr>
      <w:r>
        <w:rPr>
          <w:rFonts w:hint="eastAsia"/>
          <w:lang w:val="en-US" w:eastAsia="zh-CN"/>
        </w:rPr>
        <w:t>涂装完成后，构件的标志、标记和编号应完整。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06"/>
        <w:spacing w:before="156" w:after="156"/>
        <w:rPr>
          <w:rFonts w:hint="eastAsia"/>
          <w:szCs w:val="22"/>
          <w:lang w:val="en-US" w:eastAsia="zh-CN"/>
        </w:rPr>
      </w:pPr>
      <w:bookmarkStart w:id="126" w:name="_Toc20651"/>
      <w:r>
        <w:rPr>
          <w:rFonts w:hint="eastAsia"/>
          <w:szCs w:val="22"/>
          <w:lang w:val="en-US" w:eastAsia="zh-CN"/>
        </w:rPr>
        <w:t>试运行</w:t>
      </w:r>
      <w:bookmarkEnd w:id="126"/>
    </w:p>
    <w:p>
      <w:pPr>
        <w:pStyle w:val="166"/>
        <w:keepNext w:val="0"/>
        <w:keepLines w:val="0"/>
        <w:pageBreakBefore w:val="0"/>
        <w:widowControl w:val="0"/>
        <w:numPr>
          <w:ilvl w:val="3"/>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ascii="黑体" w:hAnsi="黑体" w:eastAsia="黑体" w:cs="黑体"/>
          <w:szCs w:val="22"/>
          <w:lang w:val="en-US" w:eastAsia="zh-CN"/>
        </w:rPr>
        <w:t xml:space="preserve">4.8.1 </w:t>
      </w:r>
      <w:r>
        <w:rPr>
          <w:rFonts w:hint="eastAsia"/>
          <w:lang w:val="en-US" w:eastAsia="zh-CN"/>
        </w:rPr>
        <w:t xml:space="preserve"> 闸门安装完成后，应在船闸充水前作全程试运行，各部件运转应灵活可靠。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keepNext w:val="0"/>
        <w:keepLines w:val="0"/>
        <w:pageBreakBefore w:val="0"/>
        <w:widowControl w:val="0"/>
        <w:numPr>
          <w:ilvl w:val="3"/>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ascii="黑体" w:hAnsi="黑体" w:eastAsia="黑体" w:cs="黑体"/>
          <w:b w:val="0"/>
          <w:bCs w:val="0"/>
          <w:lang w:val="en-US" w:eastAsia="zh-CN"/>
        </w:rPr>
        <w:t>4.8.2</w:t>
      </w:r>
      <w:r>
        <w:rPr>
          <w:rFonts w:hint="eastAsia"/>
          <w:lang w:val="en-US" w:eastAsia="zh-CN"/>
        </w:rPr>
        <w:t xml:space="preserve">  闸门在全程试运行过程中应运行平稳，无抖动、无异常响声，闸、阀门应开关到位；门叶跳动量符合第4.3.2节的规定。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检验数量：</w:t>
      </w:r>
      <w:r>
        <w:rPr>
          <w:rFonts w:hint="eastAsia" w:ascii="宋体" w:hAnsi="Times New Roman" w:cs="Times New Roman"/>
          <w:kern w:val="0"/>
          <w:sz w:val="21"/>
          <w:szCs w:val="20"/>
          <w:lang w:val="en-US" w:eastAsia="zh-CN" w:bidi="ar-SA"/>
        </w:rPr>
        <w:t>全数</w:t>
      </w:r>
      <w:r>
        <w:rPr>
          <w:rFonts w:hint="eastAsia" w:ascii="宋体" w:hAnsi="Times New Roman" w:eastAsia="宋体" w:cs="Times New Roman"/>
          <w:kern w:val="0"/>
          <w:sz w:val="21"/>
          <w:szCs w:val="20"/>
          <w:lang w:val="en-US" w:eastAsia="zh-CN" w:bidi="ar-SA"/>
        </w:rPr>
        <w:t>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检验方法：观察检查。</w:t>
      </w:r>
    </w:p>
    <w:p>
      <w:pPr>
        <w:pStyle w:val="166"/>
        <w:keepNext w:val="0"/>
        <w:keepLines w:val="0"/>
        <w:pageBreakBefore w:val="0"/>
        <w:widowControl w:val="0"/>
        <w:numPr>
          <w:ilvl w:val="3"/>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ascii="黑体" w:hAnsi="黑体" w:eastAsia="黑体" w:cs="黑体"/>
          <w:szCs w:val="22"/>
          <w:lang w:val="en-US" w:eastAsia="zh-CN"/>
        </w:rPr>
        <w:t>4.8.3</w:t>
      </w:r>
      <w:r>
        <w:rPr>
          <w:rFonts w:hint="eastAsia"/>
          <w:lang w:val="en-US" w:eastAsia="zh-CN"/>
        </w:rPr>
        <w:t xml:space="preserve">  闸门全部关闭到位后的止水间隙应符合第4.6.2节的规定。</w:t>
      </w:r>
    </w:p>
    <w:p>
      <w:pPr>
        <w:pStyle w:val="105"/>
        <w:spacing w:before="312" w:after="312"/>
        <w:rPr>
          <w:rFonts w:hint="default" w:ascii="黑体" w:hAnsi="Times New Roman" w:eastAsia="黑体" w:cs="Times New Roman"/>
          <w:sz w:val="21"/>
          <w:szCs w:val="22"/>
          <w:lang w:val="en-US" w:eastAsia="zh-CN" w:bidi="ar-SA"/>
        </w:rPr>
      </w:pPr>
      <w:bookmarkStart w:id="127" w:name="_Toc16868"/>
      <w:r>
        <w:rPr>
          <w:rFonts w:hint="eastAsia"/>
          <w:lang w:val="en-US" w:eastAsia="zh-CN"/>
        </w:rPr>
        <w:t>质量验收</w:t>
      </w:r>
      <w:bookmarkEnd w:id="103"/>
      <w:bookmarkEnd w:id="104"/>
      <w:bookmarkEnd w:id="105"/>
      <w:bookmarkEnd w:id="106"/>
      <w:bookmarkEnd w:id="107"/>
      <w:bookmarkEnd w:id="108"/>
      <w:bookmarkEnd w:id="109"/>
      <w:bookmarkEnd w:id="110"/>
      <w:bookmarkEnd w:id="111"/>
      <w:bookmarkEnd w:id="112"/>
      <w:bookmarkEnd w:id="127"/>
      <w:r>
        <w:rPr>
          <w:rFonts w:hint="eastAsia"/>
        </w:rPr>
        <w:t xml:space="preserve"> </w:t>
      </w:r>
    </w:p>
    <w:p>
      <w:pPr>
        <w:pStyle w:val="106"/>
        <w:spacing w:before="156" w:after="156"/>
        <w:rPr>
          <w:rFonts w:hint="eastAsia"/>
          <w:szCs w:val="22"/>
          <w:lang w:val="en-US" w:eastAsia="zh-CN"/>
        </w:rPr>
      </w:pPr>
      <w:bookmarkStart w:id="128" w:name="_Toc17791"/>
      <w:bookmarkStart w:id="129" w:name="_Toc107410736"/>
      <w:bookmarkStart w:id="130" w:name="_Toc29074"/>
      <w:bookmarkStart w:id="131" w:name="_Toc103676987"/>
      <w:bookmarkStart w:id="132" w:name="_Toc107439681"/>
      <w:bookmarkStart w:id="133" w:name="_Toc103673891"/>
      <w:bookmarkStart w:id="134" w:name="_Toc25987"/>
      <w:bookmarkStart w:id="135" w:name="_Toc106955808"/>
      <w:bookmarkStart w:id="136" w:name="_Toc100755521"/>
      <w:bookmarkStart w:id="137" w:name="_Toc107412445"/>
      <w:bookmarkStart w:id="138" w:name="_Toc103589860"/>
      <w:bookmarkStart w:id="139" w:name="_Toc103589730"/>
      <w:bookmarkStart w:id="140" w:name="_Toc100743925"/>
      <w:bookmarkStart w:id="141" w:name="_Toc106906445"/>
      <w:r>
        <w:rPr>
          <w:rFonts w:hint="eastAsia"/>
          <w:szCs w:val="22"/>
          <w:lang w:val="en-US" w:eastAsia="zh-CN"/>
        </w:rPr>
        <w:t>一般规定</w:t>
      </w:r>
      <w:bookmarkEnd w:id="128"/>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42" w:name="_Toc8995"/>
      <w:bookmarkStart w:id="143" w:name="_Toc16330"/>
      <w:r>
        <w:rPr>
          <w:rFonts w:hint="eastAsia" w:ascii="宋体" w:hAnsi="宋体" w:eastAsia="宋体" w:cs="宋体"/>
          <w:color w:val="auto"/>
          <w:kern w:val="2"/>
          <w:sz w:val="21"/>
          <w:szCs w:val="24"/>
          <w:lang w:val="en-US" w:eastAsia="zh-CN" w:bidi="ar-SA"/>
        </w:rPr>
        <w:t>工程施工应符合工程合同和设计文件的要求。</w:t>
      </w:r>
      <w:bookmarkEnd w:id="142"/>
      <w:bookmarkEnd w:id="143"/>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44" w:name="_Toc24767"/>
      <w:r>
        <w:rPr>
          <w:rFonts w:hint="eastAsia" w:ascii="宋体" w:hAnsi="宋体" w:eastAsia="宋体" w:cs="宋体"/>
          <w:color w:val="auto"/>
          <w:kern w:val="2"/>
          <w:sz w:val="21"/>
          <w:szCs w:val="24"/>
          <w:lang w:val="en-US" w:eastAsia="zh-CN" w:bidi="ar-SA"/>
        </w:rPr>
        <w:t>船闸工程项目开工前，建设单位应组织施工单位、监理单位对单位工程、分部工程和分项工程进行划分。工程建设各方应据此进行工程质量控制和质量检验。</w:t>
      </w:r>
      <w:bookmarkEnd w:id="144"/>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b w:val="0"/>
          <w:bCs w:val="0"/>
          <w:lang w:val="en-US" w:eastAsia="zh-CN"/>
        </w:rPr>
      </w:pPr>
      <w:bookmarkStart w:id="145" w:name="_Toc12494"/>
      <w:r>
        <w:rPr>
          <w:rFonts w:hint="eastAsia" w:ascii="宋体" w:hAnsi="宋体" w:eastAsia="宋体" w:cs="宋体"/>
          <w:b w:val="0"/>
          <w:bCs w:val="0"/>
          <w:lang w:val="en-US" w:eastAsia="zh-CN"/>
        </w:rPr>
        <w:t>工程质量的检验应在施工单位自行检验合格的基础上进行。</w:t>
      </w:r>
      <w:bookmarkEnd w:id="145"/>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b w:val="0"/>
          <w:bCs w:val="0"/>
          <w:lang w:val="en-US" w:eastAsia="zh-CN"/>
        </w:rPr>
      </w:pPr>
      <w:bookmarkStart w:id="146" w:name="_Toc16518"/>
      <w:r>
        <w:rPr>
          <w:rFonts w:hint="eastAsia" w:ascii="宋体" w:hAnsi="宋体" w:eastAsia="宋体" w:cs="宋体"/>
          <w:b w:val="0"/>
          <w:bCs w:val="0"/>
          <w:lang w:val="en-US" w:eastAsia="zh-CN"/>
        </w:rPr>
        <w:t>隐蔽工程在隐蔽前应由施工单位通知有关单位进行验收，并形成验收文件。</w:t>
      </w:r>
      <w:bookmarkEnd w:id="146"/>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b w:val="0"/>
          <w:bCs w:val="0"/>
          <w:lang w:val="en-US" w:eastAsia="zh-CN"/>
        </w:rPr>
      </w:pPr>
      <w:bookmarkStart w:id="147" w:name="_Toc1952"/>
      <w:r>
        <w:rPr>
          <w:rFonts w:hint="eastAsia" w:ascii="宋体" w:hAnsi="宋体" w:eastAsia="宋体" w:cs="宋体"/>
          <w:b w:val="0"/>
          <w:bCs w:val="0"/>
          <w:lang w:val="en-US" w:eastAsia="zh-CN"/>
        </w:rPr>
        <w:t>涉及结构安全的试块、试件和现场检验项目，施工单位应按规定进行检验，监理单位应按规定进行见证抽样检验或平行检验。</w:t>
      </w:r>
      <w:bookmarkEnd w:id="147"/>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b w:val="0"/>
          <w:bCs w:val="0"/>
          <w:lang w:val="en-US" w:eastAsia="zh-CN"/>
        </w:rPr>
      </w:pPr>
      <w:bookmarkStart w:id="148" w:name="_Toc11711"/>
      <w:r>
        <w:rPr>
          <w:rFonts w:hint="eastAsia" w:ascii="宋体" w:hAnsi="宋体" w:eastAsia="宋体" w:cs="宋体"/>
          <w:b w:val="0"/>
          <w:bCs w:val="0"/>
          <w:lang w:val="en-US" w:eastAsia="zh-CN"/>
        </w:rPr>
        <w:t>分项工程及检验批的质量应按主要检验项目和一般检验项目进行检验。</w:t>
      </w:r>
      <w:bookmarkEnd w:id="148"/>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b w:val="0"/>
          <w:bCs w:val="0"/>
          <w:lang w:val="en-US" w:eastAsia="zh-CN"/>
        </w:rPr>
      </w:pPr>
      <w:bookmarkStart w:id="149" w:name="_Toc28306"/>
      <w:r>
        <w:rPr>
          <w:rFonts w:hint="eastAsia" w:ascii="宋体" w:hAnsi="宋体" w:eastAsia="宋体" w:cs="宋体"/>
          <w:b w:val="0"/>
          <w:bCs w:val="0"/>
          <w:lang w:val="en-US" w:eastAsia="zh-CN"/>
        </w:rPr>
        <w:t>涉及结构安全和使用功能的重要分部工程应按相应规定进行抽样检验或验证性检验。</w:t>
      </w:r>
      <w:bookmarkEnd w:id="149"/>
    </w:p>
    <w:p>
      <w:pPr>
        <w:pStyle w:val="106"/>
        <w:spacing w:before="156" w:after="156"/>
        <w:rPr>
          <w:rFonts w:hint="eastAsia"/>
          <w:szCs w:val="22"/>
          <w:lang w:val="en-US" w:eastAsia="zh-CN"/>
        </w:rPr>
      </w:pPr>
      <w:bookmarkStart w:id="150" w:name="_Toc1630"/>
      <w:bookmarkStart w:id="151" w:name="_Toc29116"/>
      <w:bookmarkStart w:id="152" w:name="_Toc25164"/>
      <w:bookmarkStart w:id="153" w:name="_Toc28357"/>
      <w:bookmarkStart w:id="154" w:name="_Toc27259"/>
      <w:bookmarkStart w:id="155" w:name="_Toc13448"/>
      <w:r>
        <w:rPr>
          <w:rFonts w:hint="eastAsia"/>
          <w:szCs w:val="22"/>
          <w:lang w:val="en-US" w:eastAsia="zh-CN"/>
        </w:rPr>
        <w:t>防腐涂装前验收</w:t>
      </w:r>
      <w:bookmarkEnd w:id="150"/>
      <w:bookmarkEnd w:id="151"/>
      <w:bookmarkEnd w:id="152"/>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56" w:name="_Toc23417"/>
      <w:r>
        <w:rPr>
          <w:rFonts w:hint="eastAsia" w:ascii="宋体" w:hAnsi="宋体" w:eastAsia="宋体" w:cs="宋体"/>
          <w:color w:val="auto"/>
          <w:kern w:val="2"/>
          <w:sz w:val="21"/>
          <w:szCs w:val="24"/>
          <w:lang w:val="en-US" w:eastAsia="zh-CN" w:bidi="ar-SA"/>
        </w:rPr>
        <w:t>防腐涂装前验收是工程验收的一部分，应服从工程验收的需要，并满足工程验收要求。</w:t>
      </w:r>
      <w:bookmarkEnd w:id="156"/>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57" w:name="_Toc31322"/>
      <w:r>
        <w:rPr>
          <w:rFonts w:hint="eastAsia" w:ascii="宋体" w:hAnsi="宋体" w:eastAsia="宋体" w:cs="宋体"/>
          <w:color w:val="auto"/>
          <w:kern w:val="2"/>
          <w:sz w:val="21"/>
          <w:szCs w:val="24"/>
          <w:lang w:val="en-US" w:eastAsia="zh-CN" w:bidi="ar-SA"/>
        </w:rPr>
        <w:t>验收工作由项目法人或委托监理单位主持，验收的时间、地点及参加验收工作的人员应遵照合同有关规定。</w:t>
      </w:r>
      <w:bookmarkEnd w:id="157"/>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58" w:name="_Toc21867"/>
      <w:bookmarkStart w:id="159" w:name="_Toc18053"/>
      <w:r>
        <w:rPr>
          <w:rFonts w:hint="eastAsia" w:ascii="宋体" w:hAnsi="宋体" w:eastAsia="宋体" w:cs="宋体"/>
          <w:color w:val="auto"/>
          <w:kern w:val="2"/>
          <w:sz w:val="21"/>
          <w:szCs w:val="24"/>
          <w:lang w:val="en-US" w:eastAsia="zh-CN" w:bidi="ar-SA"/>
        </w:rPr>
        <w:t>防腐涂装前验收应具备以下条件</w:t>
      </w:r>
      <w:bookmarkEnd w:id="158"/>
      <w:bookmarkEnd w:id="159"/>
      <w:r>
        <w:rPr>
          <w:rFonts w:hint="eastAsia" w:ascii="宋体" w:hAnsi="宋体" w:eastAsia="宋体" w:cs="宋体"/>
          <w:color w:val="auto"/>
          <w:kern w:val="2"/>
          <w:sz w:val="21"/>
          <w:szCs w:val="24"/>
          <w:lang w:val="en-US" w:eastAsia="zh-CN" w:bidi="ar-SA"/>
        </w:rPr>
        <w:t>：</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 门体应为整体状态，并使其处于主要检测项目能够进行检测的状态；</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b）焊接与热处理（如有）工作基本完成，不存在引起其尺寸与精度变化的后续加工工序。</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0" w:name="_Toc22602"/>
      <w:r>
        <w:rPr>
          <w:rFonts w:hint="eastAsia" w:ascii="宋体" w:hAnsi="宋体" w:eastAsia="宋体" w:cs="宋体"/>
          <w:color w:val="auto"/>
          <w:kern w:val="2"/>
          <w:sz w:val="21"/>
          <w:szCs w:val="24"/>
          <w:lang w:val="en-US" w:eastAsia="zh-CN" w:bidi="ar-SA"/>
        </w:rPr>
        <w:t>验收前制造单位应提交验收申请报告和验收大纲。</w:t>
      </w:r>
      <w:bookmarkEnd w:id="160"/>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1" w:name="_Toc8683"/>
      <w:r>
        <w:rPr>
          <w:rFonts w:hint="eastAsia" w:ascii="宋体" w:hAnsi="宋体" w:eastAsia="宋体" w:cs="宋体"/>
          <w:color w:val="auto"/>
          <w:kern w:val="2"/>
          <w:sz w:val="21"/>
          <w:szCs w:val="24"/>
          <w:lang w:val="en-US" w:eastAsia="zh-CN" w:bidi="ar-SA"/>
        </w:rPr>
        <w:t>验收时制造单位应提供以下验收资料：</w:t>
      </w:r>
      <w:bookmarkEnd w:id="161"/>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a）闸门设计图样、施工图样、设计文件及有关会议纪要；</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b）焊接工艺评定报告及制造工艺文件；</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c）主要材料、标准件、外购件及外协加工件的质量证明书；</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d）焊缝质量检验报告；</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e）对重大缺欠处理记录和报告；</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f）闸门产品质量检查记录。</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g）施工工作报告</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2" w:name="_Toc25343"/>
      <w:bookmarkStart w:id="163" w:name="_Toc19944"/>
      <w:r>
        <w:rPr>
          <w:rFonts w:hint="eastAsia" w:ascii="宋体" w:hAnsi="宋体" w:eastAsia="宋体" w:cs="宋体"/>
          <w:color w:val="auto"/>
          <w:kern w:val="2"/>
          <w:sz w:val="21"/>
          <w:szCs w:val="24"/>
          <w:lang w:val="en-US" w:eastAsia="zh-CN" w:bidi="ar-SA"/>
        </w:rPr>
        <w:t>防腐涂装前验收的主要工作：</w:t>
      </w:r>
      <w:bookmarkEnd w:id="162"/>
      <w:bookmarkEnd w:id="163"/>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a）检查闸门制造是否符合设计要求；</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b）检查闸门制造质量是否符合本标准和有关技术标准的要求；</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c）对遗留问题提出处理意见。</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4" w:name="_Toc18380"/>
      <w:r>
        <w:rPr>
          <w:rFonts w:hint="eastAsia" w:ascii="宋体" w:hAnsi="宋体" w:eastAsia="宋体" w:cs="宋体"/>
          <w:color w:val="auto"/>
          <w:kern w:val="2"/>
          <w:sz w:val="21"/>
          <w:szCs w:val="24"/>
          <w:lang w:val="en-US" w:eastAsia="zh-CN" w:bidi="ar-SA"/>
        </w:rPr>
        <w:t>验收时监理应提供监理（工作）报告。</w:t>
      </w:r>
      <w:bookmarkEnd w:id="164"/>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lang w:val="en-US" w:eastAsia="zh-CN"/>
        </w:rPr>
      </w:pPr>
      <w:bookmarkStart w:id="165" w:name="_Toc23419"/>
      <w:r>
        <w:rPr>
          <w:rFonts w:hint="eastAsia" w:ascii="宋体" w:hAnsi="宋体" w:eastAsia="宋体" w:cs="宋体"/>
          <w:color w:val="auto"/>
          <w:kern w:val="2"/>
          <w:sz w:val="21"/>
          <w:szCs w:val="24"/>
          <w:lang w:val="en-US" w:eastAsia="zh-CN" w:bidi="ar-SA"/>
        </w:rPr>
        <w:t>验收完成后，验收各方形成验收会议纪要。</w:t>
      </w:r>
      <w:bookmarkEnd w:id="165"/>
    </w:p>
    <w:p>
      <w:pPr>
        <w:pStyle w:val="106"/>
        <w:spacing w:before="156" w:after="156"/>
        <w:rPr>
          <w:rFonts w:hint="eastAsia"/>
          <w:szCs w:val="22"/>
          <w:lang w:val="en-US" w:eastAsia="zh-CN"/>
        </w:rPr>
      </w:pPr>
      <w:r>
        <w:rPr>
          <w:rFonts w:hint="eastAsia"/>
          <w:szCs w:val="22"/>
          <w:lang w:val="en-US" w:eastAsia="zh-CN"/>
        </w:rPr>
        <w:t>出厂前验收</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6" w:name="_Toc25943"/>
      <w:bookmarkStart w:id="167" w:name="_Toc2120"/>
      <w:r>
        <w:rPr>
          <w:rFonts w:hint="eastAsia" w:ascii="宋体" w:hAnsi="宋体" w:eastAsia="宋体" w:cs="宋体"/>
          <w:color w:val="auto"/>
          <w:kern w:val="2"/>
          <w:sz w:val="21"/>
          <w:szCs w:val="24"/>
          <w:lang w:val="en-US" w:eastAsia="zh-CN" w:bidi="ar-SA"/>
        </w:rPr>
        <w:t>可按实际情况分批次进行出厂前验收。</w:t>
      </w:r>
      <w:bookmarkEnd w:id="166"/>
      <w:bookmarkEnd w:id="167"/>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8" w:name="_Toc5810"/>
      <w:r>
        <w:rPr>
          <w:rFonts w:hint="eastAsia" w:ascii="宋体" w:hAnsi="宋体" w:eastAsia="宋体" w:cs="宋体"/>
          <w:color w:val="auto"/>
          <w:kern w:val="2"/>
          <w:sz w:val="21"/>
          <w:szCs w:val="24"/>
          <w:lang w:val="en-US" w:eastAsia="zh-CN" w:bidi="ar-SA"/>
        </w:rPr>
        <w:t>出厂前验收是工程验收的一部分，应服从工程验收的需要，并满足工程验收要求。</w:t>
      </w:r>
      <w:bookmarkEnd w:id="168"/>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69" w:name="_Toc4153"/>
      <w:r>
        <w:rPr>
          <w:rFonts w:hint="eastAsia" w:ascii="宋体" w:hAnsi="宋体" w:eastAsia="宋体" w:cs="宋体"/>
          <w:color w:val="auto"/>
          <w:kern w:val="2"/>
          <w:sz w:val="21"/>
          <w:szCs w:val="24"/>
          <w:lang w:val="en-US" w:eastAsia="zh-CN" w:bidi="ar-SA"/>
        </w:rPr>
        <w:t>验收工作由项目法人或委托监理单位主持，验收的时间、地点及参加验收工作的人员应遵照合同有关规定。</w:t>
      </w:r>
      <w:bookmarkEnd w:id="169"/>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70" w:name="_Toc168"/>
      <w:bookmarkStart w:id="171" w:name="_Toc32592"/>
      <w:r>
        <w:rPr>
          <w:rFonts w:hint="eastAsia" w:ascii="宋体" w:hAnsi="宋体" w:eastAsia="宋体" w:cs="宋体"/>
          <w:color w:val="auto"/>
          <w:kern w:val="2"/>
          <w:sz w:val="21"/>
          <w:szCs w:val="24"/>
          <w:lang w:val="en-US" w:eastAsia="zh-CN" w:bidi="ar-SA"/>
        </w:rPr>
        <w:t>出厂前验收应具备以下条件：</w:t>
      </w:r>
      <w:bookmarkEnd w:id="170"/>
      <w:bookmarkEnd w:id="171"/>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 门体及埋件应处于主要检测项目能够进行检测的状态；</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b）焊接与热处理（如有）工作基本完成，不存在引起其尺寸与精度变化的后续加工工序。</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72" w:name="_Toc20916"/>
      <w:r>
        <w:rPr>
          <w:rFonts w:hint="eastAsia" w:ascii="宋体" w:hAnsi="宋体" w:eastAsia="宋体" w:cs="宋体"/>
          <w:color w:val="auto"/>
          <w:kern w:val="2"/>
          <w:sz w:val="21"/>
          <w:szCs w:val="24"/>
          <w:lang w:val="en-US" w:eastAsia="zh-CN" w:bidi="ar-SA"/>
        </w:rPr>
        <w:t>验收前制造单位应提交验收申请报告和验收大纲。</w:t>
      </w:r>
      <w:bookmarkEnd w:id="172"/>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73" w:name="_Toc9084"/>
      <w:r>
        <w:rPr>
          <w:rFonts w:hint="eastAsia" w:ascii="宋体" w:hAnsi="宋体" w:eastAsia="宋体" w:cs="宋体"/>
          <w:color w:val="auto"/>
          <w:kern w:val="2"/>
          <w:sz w:val="21"/>
          <w:szCs w:val="24"/>
          <w:lang w:val="en-US" w:eastAsia="zh-CN" w:bidi="ar-SA"/>
        </w:rPr>
        <w:t>验收时制造单位应提供以下验收资料：</w:t>
      </w:r>
      <w:bookmarkEnd w:id="173"/>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a）闸门及埋件设计图样、施工图样、设计文件及有关会议纪要；</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b）焊接工艺评定报告及制造工艺文件；</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c）主要材料、标准件、外购件及外协加工件的质量证明书；</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d）焊缝质量检验报告；</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e）对重大缺欠处理记录和报告；</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f）闸门及埋件产品质量检查记录。</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g）施工工作报告</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74" w:name="_Toc7032"/>
      <w:bookmarkStart w:id="175" w:name="_Toc23845"/>
      <w:r>
        <w:rPr>
          <w:rFonts w:hint="eastAsia" w:ascii="宋体" w:hAnsi="宋体" w:eastAsia="宋体" w:cs="宋体"/>
          <w:color w:val="auto"/>
          <w:kern w:val="2"/>
          <w:sz w:val="21"/>
          <w:szCs w:val="24"/>
          <w:lang w:val="en-US" w:eastAsia="zh-CN" w:bidi="ar-SA"/>
        </w:rPr>
        <w:t>出厂前验收的主要工作：</w:t>
      </w:r>
      <w:bookmarkEnd w:id="174"/>
      <w:bookmarkEnd w:id="175"/>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a）检查闸门及埋件制造是否符合设计要求；</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b）检查闸门及埋件制造质量是否符合本标准和有关技术标准的要求；</w:t>
      </w:r>
    </w:p>
    <w:p>
      <w:pPr>
        <w:pStyle w:val="66"/>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9"/>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c）对遗留问题提出处理意见。</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ascii="宋体" w:hAnsi="宋体" w:eastAsia="宋体" w:cs="宋体"/>
          <w:color w:val="auto"/>
          <w:kern w:val="2"/>
          <w:sz w:val="21"/>
          <w:szCs w:val="24"/>
          <w:lang w:val="en-US" w:eastAsia="zh-CN" w:bidi="ar-SA"/>
        </w:rPr>
      </w:pPr>
      <w:bookmarkStart w:id="176" w:name="_Toc21242"/>
      <w:r>
        <w:rPr>
          <w:rFonts w:hint="eastAsia" w:ascii="宋体" w:hAnsi="宋体" w:eastAsia="宋体" w:cs="宋体"/>
          <w:color w:val="auto"/>
          <w:kern w:val="2"/>
          <w:sz w:val="21"/>
          <w:szCs w:val="24"/>
          <w:lang w:val="en-US" w:eastAsia="zh-CN" w:bidi="ar-SA"/>
        </w:rPr>
        <w:t>验收时监理应提供监理报告。</w:t>
      </w:r>
      <w:bookmarkEnd w:id="176"/>
    </w:p>
    <w:p>
      <w:pPr>
        <w:pStyle w:val="66"/>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outlineLvl w:val="9"/>
        <w:rPr>
          <w:rFonts w:hint="eastAsia"/>
          <w:lang w:val="en-US" w:eastAsia="zh-CN"/>
        </w:rPr>
      </w:pPr>
      <w:bookmarkStart w:id="177" w:name="_Toc22464"/>
      <w:r>
        <w:rPr>
          <w:rFonts w:hint="eastAsia" w:ascii="宋体" w:hAnsi="宋体" w:eastAsia="宋体" w:cs="宋体"/>
          <w:color w:val="auto"/>
          <w:kern w:val="2"/>
          <w:sz w:val="21"/>
          <w:szCs w:val="24"/>
          <w:lang w:val="en-US" w:eastAsia="zh-CN" w:bidi="ar-SA"/>
        </w:rPr>
        <w:t>验收完成后，验收各方形成验收会议纪要。</w:t>
      </w:r>
      <w:bookmarkEnd w:id="177"/>
    </w:p>
    <w:p>
      <w:pPr>
        <w:pStyle w:val="106"/>
        <w:spacing w:before="156" w:after="156"/>
        <w:rPr>
          <w:rFonts w:hint="eastAsia"/>
          <w:szCs w:val="22"/>
          <w:lang w:val="en-US" w:eastAsia="zh-CN"/>
        </w:rPr>
      </w:pPr>
      <w:r>
        <w:rPr>
          <w:rFonts w:hint="eastAsia"/>
          <w:szCs w:val="22"/>
          <w:lang w:val="en-US" w:eastAsia="zh-CN"/>
        </w:rPr>
        <w:t>闸门安装验收</w:t>
      </w:r>
      <w:bookmarkEnd w:id="153"/>
      <w:bookmarkEnd w:id="154"/>
      <w:bookmarkEnd w:id="155"/>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eastAsia" w:ascii="宋体" w:hAnsi="宋体" w:eastAsia="宋体" w:cs="宋体"/>
          <w:b w:val="0"/>
          <w:bCs w:val="0"/>
          <w:lang w:val="en-US" w:eastAsia="zh-CN"/>
        </w:rPr>
      </w:pPr>
      <w:bookmarkStart w:id="178" w:name="_Toc9815"/>
      <w:r>
        <w:rPr>
          <w:rFonts w:hint="eastAsia" w:ascii="宋体" w:hAnsi="宋体" w:eastAsia="宋体" w:cs="宋体"/>
          <w:b w:val="0"/>
          <w:bCs w:val="0"/>
          <w:lang w:val="en-US" w:eastAsia="zh-CN"/>
        </w:rPr>
        <w:t>闸门安装完成移交前，应进行闸门安装验收。</w:t>
      </w:r>
      <w:bookmarkEnd w:id="178"/>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eastAsia" w:ascii="宋体" w:hAnsi="宋体" w:eastAsia="宋体" w:cs="宋体"/>
          <w:b w:val="0"/>
          <w:bCs w:val="0"/>
          <w:lang w:val="en-US" w:eastAsia="zh-CN"/>
        </w:rPr>
      </w:pPr>
      <w:bookmarkStart w:id="179" w:name="_Toc20750"/>
      <w:r>
        <w:rPr>
          <w:rFonts w:hint="eastAsia" w:ascii="宋体" w:hAnsi="宋体" w:eastAsia="宋体" w:cs="宋体"/>
          <w:b w:val="0"/>
          <w:bCs w:val="0"/>
          <w:lang w:val="en-US" w:eastAsia="zh-CN"/>
        </w:rPr>
        <w:t>闸门安装验收时闸门应安装完毕，并具备试运行条件。</w:t>
      </w:r>
      <w:bookmarkEnd w:id="179"/>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eastAsia" w:ascii="宋体" w:hAnsi="宋体" w:eastAsia="宋体" w:cs="宋体"/>
          <w:b w:val="0"/>
          <w:bCs w:val="0"/>
          <w:lang w:val="en-US" w:eastAsia="zh-CN"/>
        </w:rPr>
      </w:pPr>
      <w:bookmarkStart w:id="180" w:name="_Toc18100"/>
      <w:r>
        <w:rPr>
          <w:rFonts w:hint="eastAsia" w:ascii="宋体" w:hAnsi="宋体" w:eastAsia="宋体" w:cs="宋体"/>
          <w:b w:val="0"/>
          <w:bCs w:val="0"/>
          <w:lang w:val="en-US" w:eastAsia="zh-CN"/>
        </w:rPr>
        <w:t>验收前安装单位应提交验收申请报告和验收大纲。</w:t>
      </w:r>
      <w:bookmarkEnd w:id="180"/>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eastAsia" w:ascii="宋体" w:hAnsi="宋体" w:eastAsia="宋体" w:cs="宋体"/>
          <w:b w:val="0"/>
          <w:bCs w:val="0"/>
          <w:lang w:val="en-US" w:eastAsia="zh-CN"/>
        </w:rPr>
      </w:pPr>
      <w:bookmarkStart w:id="181" w:name="_Toc4691"/>
      <w:r>
        <w:rPr>
          <w:rFonts w:hint="eastAsia" w:ascii="宋体" w:hAnsi="宋体" w:eastAsia="宋体" w:cs="宋体"/>
          <w:b w:val="0"/>
          <w:bCs w:val="0"/>
          <w:lang w:val="en-US" w:eastAsia="zh-CN"/>
        </w:rPr>
        <w:t>验收时安装方应提供以下验收资料：</w:t>
      </w:r>
      <w:bookmarkEnd w:id="181"/>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a）闸门设计图样、施工图样、设计文件及有关会议纪要；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b）焊接工艺评定报告及安装工艺文件；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c）焊缝质量检验报告；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d）对重大缺欠处理记录和报告；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e）闸门及埋件安装质量检查记录；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f）闸门试运行记录和资料。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g）施工工作报告</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default" w:ascii="宋体" w:hAnsi="宋体" w:eastAsia="宋体" w:cs="宋体"/>
          <w:b w:val="0"/>
          <w:bCs w:val="0"/>
          <w:lang w:val="en-US" w:eastAsia="zh-CN"/>
        </w:rPr>
      </w:pPr>
      <w:bookmarkStart w:id="182" w:name="_Toc16373"/>
      <w:bookmarkStart w:id="183" w:name="_Toc7372"/>
      <w:r>
        <w:rPr>
          <w:rFonts w:hint="eastAsia" w:ascii="宋体" w:hAnsi="宋体" w:eastAsia="宋体" w:cs="宋体"/>
          <w:b w:val="0"/>
          <w:bCs w:val="0"/>
          <w:lang w:val="en-US" w:eastAsia="zh-CN"/>
        </w:rPr>
        <w:t>闸门安装验收的主要工作：</w:t>
      </w:r>
      <w:bookmarkEnd w:id="182"/>
      <w:bookmarkEnd w:id="183"/>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a）检查闸门及埋件安装</w:t>
      </w:r>
      <w:r>
        <w:rPr>
          <w:rFonts w:hint="eastAsia" w:ascii="宋体" w:hAnsi="Times New Roman" w:cs="Times New Roman"/>
          <w:kern w:val="0"/>
          <w:sz w:val="21"/>
          <w:szCs w:val="20"/>
          <w:lang w:val="en-US" w:eastAsia="zh-CN" w:bidi="ar-SA"/>
        </w:rPr>
        <w:t>质量</w:t>
      </w:r>
      <w:r>
        <w:rPr>
          <w:rFonts w:hint="eastAsia" w:ascii="宋体" w:hAnsi="Times New Roman" w:eastAsia="宋体" w:cs="Times New Roman"/>
          <w:kern w:val="0"/>
          <w:sz w:val="21"/>
          <w:szCs w:val="20"/>
          <w:lang w:val="en-US" w:eastAsia="zh-CN" w:bidi="ar-SA"/>
        </w:rPr>
        <w:t>是否符合设计要求；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b）检查闸门及埋件安装质量是否符合本标准和有关技术标准的要求；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c）对遗留问题提出处理意见。</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eastAsia" w:ascii="宋体" w:hAnsi="宋体" w:eastAsia="宋体" w:cs="宋体"/>
          <w:b w:val="0"/>
          <w:bCs w:val="0"/>
          <w:lang w:val="en-US" w:eastAsia="zh-CN"/>
        </w:rPr>
      </w:pPr>
      <w:bookmarkStart w:id="184" w:name="_Toc765"/>
      <w:r>
        <w:rPr>
          <w:rFonts w:hint="eastAsia" w:ascii="宋体" w:hAnsi="宋体" w:eastAsia="宋体" w:cs="宋体"/>
          <w:b w:val="0"/>
          <w:bCs w:val="0"/>
          <w:lang w:val="en-US" w:eastAsia="zh-CN"/>
        </w:rPr>
        <w:t>验收时监理应提供监理报告。</w:t>
      </w:r>
      <w:bookmarkEnd w:id="184"/>
    </w:p>
    <w:p>
      <w:pPr>
        <w:pStyle w:val="66"/>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outlineLvl w:val="9"/>
        <w:rPr>
          <w:rFonts w:hint="default" w:ascii="宋体" w:hAnsi="宋体" w:eastAsia="宋体" w:cs="宋体"/>
          <w:b w:val="0"/>
          <w:bCs w:val="0"/>
          <w:lang w:val="en-US" w:eastAsia="zh-CN"/>
        </w:rPr>
      </w:pPr>
      <w:bookmarkStart w:id="185" w:name="_Toc7626"/>
      <w:r>
        <w:rPr>
          <w:rFonts w:hint="eastAsia" w:ascii="宋体" w:hAnsi="宋体" w:eastAsia="宋体" w:cs="宋体"/>
          <w:b w:val="0"/>
          <w:bCs w:val="0"/>
          <w:lang w:val="en-US" w:eastAsia="zh-CN"/>
        </w:rPr>
        <w:t>验收完成后，验收各方形成验收会议纪要。</w:t>
      </w:r>
      <w:bookmarkEnd w:id="185"/>
    </w:p>
    <w:bookmarkEnd w:id="129"/>
    <w:bookmarkEnd w:id="130"/>
    <w:bookmarkEnd w:id="131"/>
    <w:bookmarkEnd w:id="132"/>
    <w:bookmarkEnd w:id="133"/>
    <w:bookmarkEnd w:id="134"/>
    <w:bookmarkEnd w:id="135"/>
    <w:bookmarkEnd w:id="136"/>
    <w:bookmarkEnd w:id="137"/>
    <w:bookmarkEnd w:id="138"/>
    <w:bookmarkEnd w:id="139"/>
    <w:bookmarkEnd w:id="140"/>
    <w:bookmarkEnd w:id="141"/>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57"/>
        <w:rPr>
          <w:rFonts w:hint="eastAsia" w:ascii="宋体" w:hAnsi="宋体" w:eastAsia="宋体" w:cs="宋体"/>
          <w:b w:val="0"/>
          <w:bCs w:val="0"/>
          <w:lang w:val="en-US" w:eastAsia="zh-CN"/>
        </w:rPr>
      </w:pPr>
    </w:p>
    <w:p>
      <w:pPr>
        <w:pStyle w:val="199"/>
        <w:rPr>
          <w:rFonts w:hint="eastAsia" w:ascii="黑体" w:hAnsi="黑体" w:eastAsia="黑体" w:cs="黑体"/>
          <w:b w:val="0"/>
          <w:bCs w:val="0"/>
          <w:vanish w:val="0"/>
          <w:sz w:val="21"/>
          <w:szCs w:val="21"/>
        </w:rPr>
      </w:pPr>
      <w:bookmarkStart w:id="186" w:name="BookMark5"/>
    </w:p>
    <w:p>
      <w:pPr>
        <w:pStyle w:val="200"/>
        <w:rPr>
          <w:rFonts w:hint="eastAsia" w:ascii="黑体" w:hAnsi="黑体" w:eastAsia="黑体" w:cs="黑体"/>
          <w:b w:val="0"/>
          <w:bCs w:val="0"/>
          <w:vanish w:val="0"/>
          <w:sz w:val="21"/>
          <w:szCs w:val="21"/>
        </w:rPr>
      </w:pPr>
    </w:p>
    <w:p>
      <w:pPr>
        <w:pStyle w:val="77"/>
        <w:keepNext w:val="0"/>
        <w:keepLines w:val="0"/>
        <w:pageBreakBefore w:val="0"/>
        <w:widowControl/>
        <w:kinsoku/>
        <w:wordWrap/>
        <w:overflowPunct/>
        <w:topLinePunct w:val="0"/>
        <w:autoSpaceDE/>
        <w:autoSpaceDN/>
        <w:bidi w:val="0"/>
        <w:adjustRightInd/>
        <w:snapToGrid/>
        <w:spacing w:before="157" w:beforeLines="50" w:after="157" w:afterLines="50" w:afterAutospacing="0"/>
        <w:textAlignment w:val="auto"/>
        <w:rPr>
          <w:rFonts w:hint="eastAsia" w:ascii="黑体" w:hAnsi="黑体" w:eastAsia="黑体" w:cs="黑体"/>
          <w:b w:val="0"/>
          <w:bCs w:val="0"/>
          <w:sz w:val="21"/>
          <w:szCs w:val="21"/>
        </w:rPr>
      </w:pPr>
      <w:bookmarkStart w:id="187" w:name="_Toc14928"/>
      <w:bookmarkStart w:id="188" w:name="_Toc26377"/>
      <w:r>
        <w:rPr>
          <w:rFonts w:hint="eastAsia" w:ascii="黑体" w:hAnsi="黑体" w:eastAsia="黑体" w:cs="黑体"/>
          <w:b w:val="0"/>
          <w:bCs w:val="0"/>
          <w:sz w:val="21"/>
          <w:szCs w:val="21"/>
        </w:rPr>
        <w:br w:type="textWrapping"/>
      </w:r>
      <w:bookmarkEnd w:id="186"/>
      <w:bookmarkEnd w:id="187"/>
      <w:bookmarkStart w:id="189" w:name="_Toc31705"/>
      <w:r>
        <w:rPr>
          <w:rFonts w:hint="eastAsia" w:ascii="黑体" w:hAnsi="黑体" w:eastAsia="黑体" w:cs="黑体"/>
          <w:b w:val="0"/>
          <w:bCs w:val="0"/>
          <w:sz w:val="21"/>
          <w:szCs w:val="21"/>
        </w:rPr>
        <w:t>表A.1 水运工程施工现场质量管理检查记录</w:t>
      </w:r>
      <w:bookmarkEnd w:id="188"/>
      <w:bookmarkEnd w:id="189"/>
    </w:p>
    <w:tbl>
      <w:tblPr>
        <w:tblStyle w:val="28"/>
        <w:tblW w:w="888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435"/>
        <w:gridCol w:w="1230"/>
        <w:gridCol w:w="1515"/>
        <w:gridCol w:w="868"/>
        <w:gridCol w:w="617"/>
        <w:gridCol w:w="251"/>
        <w:gridCol w:w="870"/>
        <w:gridCol w:w="745"/>
        <w:gridCol w:w="129"/>
        <w:gridCol w:w="616"/>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294" w:type="dxa"/>
            <w:gridSpan w:val="2"/>
            <w:noWrap w:val="0"/>
            <w:vAlign w:val="center"/>
          </w:tcPr>
          <w:p>
            <w:pPr>
              <w:spacing w:beforeAutospacing="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工程名称</w:t>
            </w:r>
          </w:p>
        </w:tc>
        <w:tc>
          <w:tcPr>
            <w:tcW w:w="4230" w:type="dxa"/>
            <w:gridSpan w:val="4"/>
            <w:noWrap w:val="0"/>
            <w:vAlign w:val="center"/>
          </w:tcPr>
          <w:p>
            <w:pPr>
              <w:jc w:val="center"/>
              <w:rPr>
                <w:rFonts w:hint="eastAsia" w:ascii="宋体" w:hAnsi="宋体" w:eastAsia="宋体" w:cs="宋体"/>
                <w:sz w:val="21"/>
                <w:szCs w:val="21"/>
                <w:vertAlign w:val="baseline"/>
              </w:rPr>
            </w:pPr>
          </w:p>
        </w:tc>
        <w:tc>
          <w:tcPr>
            <w:tcW w:w="1995" w:type="dxa"/>
            <w:gridSpan w:val="4"/>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开工日期</w:t>
            </w:r>
          </w:p>
        </w:tc>
        <w:tc>
          <w:tcPr>
            <w:tcW w:w="1361" w:type="dxa"/>
            <w:gridSpan w:val="2"/>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294" w:type="dxa"/>
            <w:gridSpan w:val="2"/>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建设单位</w:t>
            </w:r>
          </w:p>
        </w:tc>
        <w:tc>
          <w:tcPr>
            <w:tcW w:w="4230" w:type="dxa"/>
            <w:gridSpan w:val="4"/>
            <w:noWrap w:val="0"/>
            <w:vAlign w:val="center"/>
          </w:tcPr>
          <w:p>
            <w:pPr>
              <w:jc w:val="center"/>
              <w:rPr>
                <w:rFonts w:hint="eastAsia" w:ascii="宋体" w:hAnsi="宋体" w:eastAsia="宋体" w:cs="宋体"/>
                <w:sz w:val="21"/>
                <w:szCs w:val="21"/>
                <w:vertAlign w:val="baseline"/>
              </w:rPr>
            </w:pPr>
          </w:p>
        </w:tc>
        <w:tc>
          <w:tcPr>
            <w:tcW w:w="1995" w:type="dxa"/>
            <w:gridSpan w:val="4"/>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项目负责人</w:t>
            </w:r>
          </w:p>
        </w:tc>
        <w:tc>
          <w:tcPr>
            <w:tcW w:w="1361" w:type="dxa"/>
            <w:gridSpan w:val="2"/>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294" w:type="dxa"/>
            <w:gridSpan w:val="2"/>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设计单位</w:t>
            </w:r>
          </w:p>
        </w:tc>
        <w:tc>
          <w:tcPr>
            <w:tcW w:w="4230" w:type="dxa"/>
            <w:gridSpan w:val="4"/>
            <w:noWrap w:val="0"/>
            <w:vAlign w:val="center"/>
          </w:tcPr>
          <w:p>
            <w:pPr>
              <w:jc w:val="center"/>
              <w:rPr>
                <w:rFonts w:hint="eastAsia" w:ascii="宋体" w:hAnsi="宋体" w:eastAsia="宋体" w:cs="宋体"/>
                <w:sz w:val="21"/>
                <w:szCs w:val="21"/>
                <w:vertAlign w:val="baseline"/>
              </w:rPr>
            </w:pPr>
          </w:p>
        </w:tc>
        <w:tc>
          <w:tcPr>
            <w:tcW w:w="1995" w:type="dxa"/>
            <w:gridSpan w:val="4"/>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项目负责人</w:t>
            </w:r>
          </w:p>
        </w:tc>
        <w:tc>
          <w:tcPr>
            <w:tcW w:w="1361" w:type="dxa"/>
            <w:gridSpan w:val="2"/>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294" w:type="dxa"/>
            <w:gridSpan w:val="2"/>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监理单位</w:t>
            </w:r>
          </w:p>
        </w:tc>
        <w:tc>
          <w:tcPr>
            <w:tcW w:w="4230" w:type="dxa"/>
            <w:gridSpan w:val="4"/>
            <w:noWrap w:val="0"/>
            <w:vAlign w:val="center"/>
          </w:tcPr>
          <w:p>
            <w:pPr>
              <w:jc w:val="center"/>
              <w:rPr>
                <w:rFonts w:hint="eastAsia" w:ascii="宋体" w:hAnsi="宋体" w:eastAsia="宋体" w:cs="宋体"/>
                <w:sz w:val="21"/>
                <w:szCs w:val="21"/>
                <w:vertAlign w:val="baseline"/>
              </w:rPr>
            </w:pPr>
          </w:p>
        </w:tc>
        <w:tc>
          <w:tcPr>
            <w:tcW w:w="1995" w:type="dxa"/>
            <w:gridSpan w:val="4"/>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总监理工程师</w:t>
            </w:r>
          </w:p>
        </w:tc>
        <w:tc>
          <w:tcPr>
            <w:tcW w:w="1361" w:type="dxa"/>
            <w:gridSpan w:val="2"/>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294" w:type="dxa"/>
            <w:gridSpan w:val="2"/>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施工单位</w:t>
            </w:r>
          </w:p>
        </w:tc>
        <w:tc>
          <w:tcPr>
            <w:tcW w:w="1230" w:type="dxa"/>
            <w:noWrap w:val="0"/>
            <w:vAlign w:val="center"/>
          </w:tcPr>
          <w:p>
            <w:pPr>
              <w:jc w:val="center"/>
              <w:rPr>
                <w:rFonts w:hint="eastAsia" w:ascii="宋体" w:hAnsi="宋体" w:eastAsia="宋体" w:cs="宋体"/>
                <w:sz w:val="21"/>
                <w:szCs w:val="21"/>
                <w:vertAlign w:val="baseline"/>
              </w:rPr>
            </w:pPr>
          </w:p>
        </w:tc>
        <w:tc>
          <w:tcPr>
            <w:tcW w:w="1515"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项目部负责人</w:t>
            </w:r>
          </w:p>
        </w:tc>
        <w:tc>
          <w:tcPr>
            <w:tcW w:w="1485" w:type="dxa"/>
            <w:gridSpan w:val="2"/>
            <w:noWrap w:val="0"/>
            <w:vAlign w:val="center"/>
          </w:tcPr>
          <w:p>
            <w:pPr>
              <w:jc w:val="center"/>
              <w:rPr>
                <w:rFonts w:hint="eastAsia" w:ascii="宋体" w:hAnsi="宋体" w:eastAsia="宋体" w:cs="宋体"/>
                <w:sz w:val="21"/>
                <w:szCs w:val="21"/>
                <w:vertAlign w:val="baseline"/>
              </w:rPr>
            </w:pPr>
          </w:p>
        </w:tc>
        <w:tc>
          <w:tcPr>
            <w:tcW w:w="1995" w:type="dxa"/>
            <w:gridSpan w:val="4"/>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项目部技术负责人</w:t>
            </w:r>
          </w:p>
        </w:tc>
        <w:tc>
          <w:tcPr>
            <w:tcW w:w="1361" w:type="dxa"/>
            <w:gridSpan w:val="2"/>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3180" w:type="dxa"/>
            <w:gridSpan w:val="3"/>
            <w:vMerge w:val="restart"/>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检查项目</w:t>
            </w:r>
          </w:p>
        </w:tc>
        <w:tc>
          <w:tcPr>
            <w:tcW w:w="4841" w:type="dxa"/>
            <w:gridSpan w:val="8"/>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color w:val="auto"/>
                <w:sz w:val="21"/>
                <w:szCs w:val="21"/>
                <w:vertAlign w:val="baseline"/>
                <w:lang w:val="en-US" w:eastAsia="zh-CN"/>
              </w:rPr>
              <w:t>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59" w:type="dxa"/>
            <w:vMerge w:val="continue"/>
            <w:noWrap w:val="0"/>
            <w:vAlign w:val="center"/>
          </w:tcPr>
          <w:p>
            <w:pPr>
              <w:jc w:val="center"/>
              <w:rPr>
                <w:rFonts w:hint="eastAsia" w:ascii="宋体" w:hAnsi="宋体" w:eastAsia="宋体" w:cs="宋体"/>
                <w:sz w:val="21"/>
                <w:szCs w:val="21"/>
                <w:vertAlign w:val="baseline"/>
              </w:rPr>
            </w:pPr>
          </w:p>
        </w:tc>
        <w:tc>
          <w:tcPr>
            <w:tcW w:w="3180" w:type="dxa"/>
            <w:gridSpan w:val="3"/>
            <w:vMerge w:val="continue"/>
            <w:noWrap w:val="0"/>
            <w:vAlign w:val="center"/>
          </w:tcPr>
          <w:p>
            <w:pPr>
              <w:jc w:val="center"/>
              <w:rPr>
                <w:rFonts w:hint="eastAsia" w:ascii="宋体" w:hAnsi="宋体" w:eastAsia="宋体" w:cs="宋体"/>
                <w:sz w:val="21"/>
                <w:szCs w:val="21"/>
                <w:vertAlign w:val="baseline"/>
              </w:rPr>
            </w:pPr>
          </w:p>
        </w:tc>
        <w:tc>
          <w:tcPr>
            <w:tcW w:w="2606" w:type="dxa"/>
            <w:gridSpan w:val="4"/>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施工单位</w:t>
            </w:r>
          </w:p>
        </w:tc>
        <w:tc>
          <w:tcPr>
            <w:tcW w:w="2235" w:type="dxa"/>
            <w:gridSpan w:val="4"/>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59" w:type="dxa"/>
            <w:vMerge w:val="continue"/>
            <w:noWrap w:val="0"/>
            <w:vAlign w:val="center"/>
          </w:tcPr>
          <w:p>
            <w:pPr>
              <w:jc w:val="center"/>
            </w:pPr>
          </w:p>
        </w:tc>
        <w:tc>
          <w:tcPr>
            <w:tcW w:w="3180" w:type="dxa"/>
            <w:gridSpan w:val="3"/>
            <w:vMerge w:val="continue"/>
            <w:noWrap w:val="0"/>
            <w:vAlign w:val="center"/>
          </w:tcPr>
          <w:p>
            <w:pPr>
              <w:jc w:val="center"/>
            </w:pPr>
          </w:p>
        </w:tc>
        <w:tc>
          <w:tcPr>
            <w:tcW w:w="868" w:type="dxa"/>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符合</w:t>
            </w:r>
          </w:p>
        </w:tc>
        <w:tc>
          <w:tcPr>
            <w:tcW w:w="868" w:type="dxa"/>
            <w:gridSpan w:val="2"/>
            <w:noWrap w:val="0"/>
            <w:vAlign w:val="center"/>
          </w:tcPr>
          <w:p>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比较</w:t>
            </w:r>
          </w:p>
          <w:p>
            <w:pPr>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符合</w:t>
            </w:r>
          </w:p>
        </w:tc>
        <w:tc>
          <w:tcPr>
            <w:tcW w:w="870" w:type="dxa"/>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不符合</w:t>
            </w:r>
          </w:p>
        </w:tc>
        <w:tc>
          <w:tcPr>
            <w:tcW w:w="745" w:type="dxa"/>
            <w:shd w:val="clear" w:color="auto" w:fill="auto"/>
            <w:noWrap w:val="0"/>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cs="宋体"/>
                <w:sz w:val="21"/>
                <w:szCs w:val="21"/>
                <w:vertAlign w:val="baseline"/>
                <w:lang w:val="en-US" w:eastAsia="zh-CN"/>
              </w:rPr>
              <w:t>符合</w:t>
            </w:r>
          </w:p>
        </w:tc>
        <w:tc>
          <w:tcPr>
            <w:tcW w:w="745" w:type="dxa"/>
            <w:gridSpan w:val="2"/>
            <w:shd w:val="clear" w:color="auto" w:fill="auto"/>
            <w:noWrap w:val="0"/>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cs="宋体"/>
                <w:sz w:val="21"/>
                <w:szCs w:val="21"/>
                <w:vertAlign w:val="baseline"/>
                <w:lang w:val="en-US" w:eastAsia="zh-CN"/>
              </w:rPr>
              <w:t>比较符合</w:t>
            </w:r>
          </w:p>
        </w:tc>
        <w:tc>
          <w:tcPr>
            <w:tcW w:w="745" w:type="dxa"/>
            <w:shd w:val="clear" w:color="auto" w:fill="auto"/>
            <w:noWrap w:val="0"/>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cs="宋体"/>
                <w:sz w:val="21"/>
                <w:szCs w:val="21"/>
                <w:vertAlign w:val="baseline"/>
                <w:lang w:val="en-US" w:eastAsia="zh-CN"/>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质量责任制</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现场质量管理制度</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工程质量检验制度</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分包方资质和分包管理制度</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材料、设备管理制度</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施工技术标准</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施工图审查情况</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施工组织设计、施工方案及审批</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主要专业工种操作上岗证</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59" w:type="dxa"/>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3180" w:type="dxa"/>
            <w:gridSpan w:val="3"/>
            <w:noWrap w:val="0"/>
            <w:vAlign w:val="center"/>
          </w:tcPr>
          <w:p>
            <w:p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施工检测设备及计量设备</w:t>
            </w:r>
          </w:p>
        </w:tc>
        <w:tc>
          <w:tcPr>
            <w:tcW w:w="868" w:type="dxa"/>
            <w:noWrap w:val="0"/>
            <w:vAlign w:val="center"/>
          </w:tcPr>
          <w:p>
            <w:pPr>
              <w:jc w:val="center"/>
              <w:rPr>
                <w:rFonts w:hint="eastAsia" w:ascii="宋体" w:hAnsi="宋体" w:eastAsia="宋体" w:cs="宋体"/>
                <w:sz w:val="21"/>
                <w:szCs w:val="21"/>
                <w:vertAlign w:val="baseline"/>
              </w:rPr>
            </w:pPr>
          </w:p>
        </w:tc>
        <w:tc>
          <w:tcPr>
            <w:tcW w:w="868" w:type="dxa"/>
            <w:gridSpan w:val="2"/>
            <w:noWrap w:val="0"/>
            <w:vAlign w:val="center"/>
          </w:tcPr>
          <w:p>
            <w:pPr>
              <w:jc w:val="center"/>
              <w:rPr>
                <w:rFonts w:hint="eastAsia" w:ascii="宋体" w:hAnsi="宋体" w:eastAsia="宋体" w:cs="宋体"/>
                <w:sz w:val="21"/>
                <w:szCs w:val="21"/>
                <w:vertAlign w:val="baseline"/>
              </w:rPr>
            </w:pPr>
          </w:p>
        </w:tc>
        <w:tc>
          <w:tcPr>
            <w:tcW w:w="870" w:type="dxa"/>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c>
          <w:tcPr>
            <w:tcW w:w="745" w:type="dxa"/>
            <w:gridSpan w:val="2"/>
            <w:noWrap w:val="0"/>
            <w:vAlign w:val="center"/>
          </w:tcPr>
          <w:p>
            <w:pPr>
              <w:jc w:val="center"/>
              <w:rPr>
                <w:rFonts w:hint="eastAsia" w:ascii="宋体" w:hAnsi="宋体" w:eastAsia="宋体" w:cs="宋体"/>
                <w:sz w:val="21"/>
                <w:szCs w:val="21"/>
                <w:vertAlign w:val="baseline"/>
              </w:rPr>
            </w:pPr>
          </w:p>
        </w:tc>
        <w:tc>
          <w:tcPr>
            <w:tcW w:w="745" w:type="dxa"/>
            <w:noWrap w:val="0"/>
            <w:vAlign w:val="center"/>
          </w:tcPr>
          <w:p>
            <w:pPr>
              <w:jc w:val="center"/>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80" w:type="dxa"/>
            <w:gridSpan w:val="12"/>
            <w:noWrap w:val="0"/>
            <w:vAlign w:val="top"/>
          </w:tcPr>
          <w:p>
            <w:pPr>
              <w:rPr>
                <w:rFonts w:hint="default" w:ascii="宋体" w:hAnsi="宋体" w:eastAsia="宋体" w:cs="宋体"/>
                <w:color w:val="auto"/>
                <w:sz w:val="21"/>
                <w:szCs w:val="21"/>
                <w:vertAlign w:val="baseline"/>
                <w:lang w:val="en-US" w:eastAsia="zh-CN"/>
              </w:rPr>
            </w:pPr>
            <w:r>
              <w:rPr>
                <w:rFonts w:hint="eastAsia" w:ascii="宋体" w:hAnsi="宋体" w:eastAsia="宋体" w:cs="宋体"/>
                <w:sz w:val="21"/>
                <w:szCs w:val="21"/>
                <w:vertAlign w:val="baseline"/>
                <w:lang w:val="en-US" w:eastAsia="zh-CN"/>
              </w:rPr>
              <w:t>检查结论：</w:t>
            </w:r>
            <w:r>
              <w:rPr>
                <w:rFonts w:hint="eastAsia" w:ascii="宋体" w:hAnsi="宋体" w:cs="宋体"/>
                <w:color w:val="auto"/>
                <w:sz w:val="21"/>
                <w:szCs w:val="21"/>
                <w:vertAlign w:val="baseline"/>
                <w:lang w:val="en-US" w:eastAsia="zh-CN"/>
              </w:rPr>
              <w:t>□符合 □比较符合 □不符合</w:t>
            </w:r>
          </w:p>
          <w:p>
            <w:pPr>
              <w:rPr>
                <w:rFonts w:hint="eastAsia" w:ascii="宋体" w:hAnsi="宋体" w:eastAsia="宋体" w:cs="宋体"/>
                <w:color w:val="auto"/>
                <w:sz w:val="21"/>
                <w:szCs w:val="21"/>
                <w:vertAlign w:val="baseline"/>
                <w:lang w:val="en-US" w:eastAsia="zh-CN"/>
              </w:rPr>
            </w:pPr>
          </w:p>
          <w:p>
            <w:pPr>
              <w:rPr>
                <w:rFonts w:hint="eastAsia" w:ascii="宋体" w:hAnsi="宋体" w:eastAsia="宋体" w:cs="宋体"/>
                <w:color w:val="auto"/>
                <w:sz w:val="21"/>
                <w:szCs w:val="21"/>
                <w:vertAlign w:val="baseline"/>
                <w:lang w:val="en-US" w:eastAsia="zh-CN"/>
              </w:rPr>
            </w:pPr>
          </w:p>
          <w:p>
            <w:pPr>
              <w:rPr>
                <w:rFonts w:hint="eastAsia" w:ascii="宋体" w:hAnsi="宋体" w:eastAsia="宋体" w:cs="宋体"/>
                <w:color w:val="auto"/>
                <w:sz w:val="21"/>
                <w:szCs w:val="21"/>
                <w:vertAlign w:val="baseline"/>
                <w:lang w:val="en-US" w:eastAsia="zh-CN"/>
              </w:rPr>
            </w:pPr>
          </w:p>
          <w:p>
            <w:pPr>
              <w:rPr>
                <w:rFonts w:hint="eastAsia" w:ascii="宋体" w:hAnsi="宋体" w:eastAsia="宋体" w:cs="宋体"/>
                <w:color w:val="auto"/>
                <w:sz w:val="21"/>
                <w:szCs w:val="21"/>
                <w:vertAlign w:val="baseline"/>
                <w:lang w:val="en-US" w:eastAsia="zh-CN"/>
              </w:rPr>
            </w:pPr>
          </w:p>
          <w:p>
            <w:pPr>
              <w:rPr>
                <w:rFonts w:hint="default" w:ascii="宋体" w:hAnsi="宋体" w:eastAsia="宋体" w:cs="宋体"/>
                <w:sz w:val="21"/>
                <w:szCs w:val="21"/>
                <w:vertAlign w:val="baseline"/>
                <w:lang w:val="en-US" w:eastAsia="zh-CN"/>
              </w:rPr>
            </w:pPr>
            <w:r>
              <w:rPr>
                <w:rFonts w:hint="eastAsia" w:ascii="宋体" w:hAnsi="宋体" w:eastAsia="宋体" w:cs="宋体"/>
                <w:color w:val="auto"/>
                <w:sz w:val="21"/>
                <w:szCs w:val="21"/>
                <w:vertAlign w:val="baseline"/>
                <w:lang w:val="en-US" w:eastAsia="zh-CN"/>
              </w:rPr>
              <w:t xml:space="preserve"> </w:t>
            </w:r>
            <w:r>
              <w:rPr>
                <w:rFonts w:hint="eastAsia" w:ascii="宋体" w:hAnsi="宋体" w:cs="宋体"/>
                <w:color w:val="auto"/>
                <w:sz w:val="21"/>
                <w:szCs w:val="21"/>
                <w:vertAlign w:val="baseline"/>
                <w:lang w:val="en-US" w:eastAsia="zh-CN"/>
              </w:rPr>
              <w:t xml:space="preserve">  </w:t>
            </w:r>
            <w:r>
              <w:rPr>
                <w:rFonts w:hint="eastAsia" w:ascii="宋体" w:hAnsi="宋体" w:eastAsia="宋体" w:cs="宋体"/>
                <w:color w:val="auto"/>
                <w:sz w:val="21"/>
                <w:szCs w:val="21"/>
                <w:vertAlign w:val="baseline"/>
                <w:lang w:val="en-US" w:eastAsia="zh-CN"/>
              </w:rPr>
              <w:t xml:space="preserve">              </w:t>
            </w:r>
            <w:r>
              <w:rPr>
                <w:rFonts w:hint="eastAsia" w:ascii="宋体" w:hAnsi="宋体" w:cs="宋体"/>
                <w:color w:val="auto"/>
                <w:sz w:val="21"/>
                <w:szCs w:val="21"/>
                <w:vertAlign w:val="baseline"/>
                <w:lang w:val="en-US" w:eastAsia="zh-CN"/>
              </w:rPr>
              <w:t xml:space="preserve">                           </w:t>
            </w:r>
            <w:r>
              <w:rPr>
                <w:rFonts w:hint="eastAsia" w:ascii="宋体" w:hAnsi="宋体" w:eastAsia="宋体" w:cs="宋体"/>
                <w:color w:val="auto"/>
                <w:sz w:val="21"/>
                <w:szCs w:val="21"/>
                <w:vertAlign w:val="baseline"/>
                <w:lang w:val="en-US" w:eastAsia="zh-CN"/>
              </w:rPr>
              <w:t xml:space="preserve">   </w:t>
            </w:r>
            <w:r>
              <w:rPr>
                <w:rFonts w:hint="eastAsia" w:ascii="宋体" w:hAnsi="宋体" w:cs="宋体"/>
                <w:color w:val="auto"/>
                <w:sz w:val="21"/>
                <w:szCs w:val="21"/>
                <w:vertAlign w:val="baseline"/>
                <w:lang w:val="en-US" w:eastAsia="zh-CN"/>
              </w:rPr>
              <w:t>检查人：</w:t>
            </w:r>
            <w:r>
              <w:rPr>
                <w:rFonts w:hint="eastAsia" w:ascii="宋体" w:hAnsi="宋体" w:eastAsia="宋体" w:cs="宋体"/>
                <w:color w:val="auto"/>
                <w:sz w:val="21"/>
                <w:szCs w:val="21"/>
                <w:vertAlign w:val="baseline"/>
                <w:lang w:val="en-US" w:eastAsia="zh-CN"/>
              </w:rPr>
              <w:t xml:space="preserve">      </w:t>
            </w:r>
            <w:r>
              <w:rPr>
                <w:rFonts w:hint="eastAsia" w:ascii="宋体" w:hAnsi="宋体" w:eastAsia="宋体" w:cs="宋体"/>
                <w:sz w:val="21"/>
                <w:szCs w:val="21"/>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80" w:type="dxa"/>
            <w:gridSpan w:val="12"/>
            <w:noWrap w:val="0"/>
            <w:vAlign w:val="top"/>
          </w:tcPr>
          <w:p>
            <w:pP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说明：1、逐项评价并给出结论。</w:t>
            </w:r>
          </w:p>
          <w:p>
            <w:pP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 xml:space="preserve">      2、对比较符合和不符合的检查项目提出相关建议。</w:t>
            </w:r>
          </w:p>
        </w:tc>
      </w:tr>
    </w:tbl>
    <w:p>
      <w:pPr>
        <w:pStyle w:val="77"/>
        <w:bidi w:val="0"/>
        <w:rPr>
          <w:rFonts w:hint="eastAsia"/>
          <w:lang w:val="en-US" w:eastAsia="zh-CN"/>
        </w:rPr>
      </w:pPr>
      <w:bookmarkStart w:id="190" w:name="_Toc31850"/>
      <w:bookmarkStart w:id="191" w:name="_Toc4231"/>
      <w:bookmarkStart w:id="192" w:name="_Toc15642"/>
      <w:r>
        <w:rPr>
          <w:rFonts w:hint="eastAsia"/>
          <w:lang w:val="en-US" w:eastAsia="zh-CN"/>
        </w:rPr>
        <w:t>原材料进场验收</w:t>
      </w:r>
      <w:bookmarkEnd w:id="190"/>
      <w:bookmarkEnd w:id="191"/>
      <w:bookmarkEnd w:id="192"/>
    </w:p>
    <w:p>
      <w:pPr>
        <w:pStyle w:val="79"/>
        <w:bidi w:val="0"/>
        <w:rPr>
          <w:rFonts w:hint="eastAsia" w:ascii="宋体" w:hAnsi="宋体" w:eastAsia="宋体" w:cs="宋体"/>
          <w:sz w:val="21"/>
          <w:szCs w:val="21"/>
          <w:lang w:val="en-US" w:eastAsia="zh-CN"/>
        </w:rPr>
      </w:pPr>
      <w:bookmarkStart w:id="193" w:name="_Toc15546"/>
      <w:r>
        <w:rPr>
          <w:rFonts w:hint="eastAsia" w:ascii="宋体" w:hAnsi="宋体" w:eastAsia="宋体" w:cs="宋体"/>
          <w:sz w:val="21"/>
          <w:szCs w:val="21"/>
          <w:lang w:val="en-US" w:eastAsia="zh-CN"/>
        </w:rPr>
        <w:t>闸门使用的钢材应符合图样规定，并应具有出厂质量证书。标号不清或对材质有疑问时应予以复验，复验符合有关标准后方可使用。</w:t>
      </w:r>
      <w:bookmarkEnd w:id="193"/>
    </w:p>
    <w:p>
      <w:pPr>
        <w:pStyle w:val="79"/>
        <w:bidi w:val="0"/>
        <w:rPr>
          <w:rFonts w:hint="eastAsia" w:ascii="宋体" w:hAnsi="宋体" w:eastAsia="宋体" w:cs="宋体"/>
          <w:sz w:val="21"/>
          <w:szCs w:val="21"/>
          <w:lang w:val="en-US" w:eastAsia="zh-CN"/>
        </w:rPr>
      </w:pPr>
      <w:bookmarkStart w:id="194" w:name="_Toc30335"/>
      <w:r>
        <w:rPr>
          <w:rFonts w:hint="eastAsia" w:ascii="宋体" w:hAnsi="宋体" w:eastAsia="宋体" w:cs="宋体"/>
          <w:sz w:val="21"/>
          <w:szCs w:val="21"/>
          <w:lang w:val="en-US" w:eastAsia="zh-CN"/>
        </w:rPr>
        <w:t>主要材料进场复验抽样试验和现场检验项目抽样的组批原则应符合本标准的规定。</w:t>
      </w:r>
      <w:bookmarkEnd w:id="194"/>
    </w:p>
    <w:tbl>
      <w:tblPr>
        <w:tblStyle w:val="28"/>
        <w:tblW w:w="8775"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305"/>
        <w:gridCol w:w="3750"/>
        <w:gridCol w:w="3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gridSpan w:val="2"/>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名称</w:t>
            </w:r>
          </w:p>
        </w:tc>
        <w:tc>
          <w:tcPr>
            <w:tcW w:w="3750" w:type="dxa"/>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实验或检验项目</w:t>
            </w:r>
          </w:p>
        </w:tc>
        <w:tc>
          <w:tcPr>
            <w:tcW w:w="3059" w:type="dxa"/>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项目抽样组批原则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钢材</w:t>
            </w:r>
          </w:p>
        </w:tc>
        <w:tc>
          <w:tcPr>
            <w:tcW w:w="1305" w:type="dxa"/>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碳素结构钢</w:t>
            </w:r>
          </w:p>
        </w:tc>
        <w:tc>
          <w:tcPr>
            <w:tcW w:w="3750" w:type="dxa"/>
            <w:noWrap w:val="0"/>
            <w:vAlign w:val="center"/>
          </w:tcPr>
          <w:p>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必检：拉伸试验、弯曲试验</w:t>
            </w:r>
          </w:p>
          <w:p>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其他：断面收缩率、硬度、冲击、化学成分</w:t>
            </w:r>
          </w:p>
        </w:tc>
        <w:tc>
          <w:tcPr>
            <w:tcW w:w="3059" w:type="dxa"/>
            <w:noWrap w:val="0"/>
            <w:vAlign w:val="center"/>
          </w:tcPr>
          <w:p>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以同一厂家，同一炉罐号、同一规格、同一交货状态，每60t为一批，不足60t也按一批计</w:t>
            </w:r>
          </w:p>
        </w:tc>
      </w:tr>
    </w:tbl>
    <w:p>
      <w:pPr>
        <w:pStyle w:val="79"/>
        <w:bidi w:val="0"/>
        <w:rPr>
          <w:rFonts w:hint="eastAsia" w:ascii="宋体" w:hAnsi="宋体" w:eastAsia="宋体" w:cs="宋体"/>
          <w:sz w:val="21"/>
          <w:szCs w:val="21"/>
          <w:lang w:val="en-US" w:eastAsia="zh-CN"/>
        </w:rPr>
      </w:pPr>
      <w:bookmarkStart w:id="195" w:name="_Toc29949"/>
      <w:r>
        <w:rPr>
          <w:rFonts w:hint="eastAsia" w:ascii="宋体" w:hAnsi="宋体" w:eastAsia="宋体" w:cs="宋体"/>
          <w:sz w:val="21"/>
          <w:szCs w:val="21"/>
          <w:lang w:val="en-US" w:eastAsia="zh-CN"/>
        </w:rPr>
        <w:t>焊接材料（焊条、焊丝、焊剂、保护气体）应具有出厂质量证书，标号不清或对材质有疑问时应予以复验，复验合格方可使用。</w:t>
      </w:r>
      <w:bookmarkEnd w:id="195"/>
    </w:p>
    <w:p>
      <w:pPr>
        <w:pStyle w:val="57"/>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A4CCA"/>
    <w:multiLevelType w:val="singleLevel"/>
    <w:tmpl w:val="971A4CCA"/>
    <w:lvl w:ilvl="0" w:tentative="0">
      <w:start w:val="2"/>
      <w:numFmt w:val="decimal"/>
      <w:suff w:val="nothing"/>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attachedTemplate r:id="rId1"/>
  <w:documentProtection w:edit="forms" w:enforcement="1" w:cryptProviderType="rsaAES" w:cryptAlgorithmClass="hash" w:cryptAlgorithmType="typeAny" w:cryptAlgorithmSid="14" w:cryptSpinCount="100000" w:hash="0j/W/sA4PpvRzyzc7ixBxbhRvqkG7aM+KTEiKZLVEhVU1bQPcTqdfYc0f/PLwdEFnxSRbE2SgbPEvMGJ+eW+OA==" w:salt="rQtJplH7pCLn502NDJX7zw=="/>
  <w:defaultTabStop w:val="420"/>
  <w:drawingGridHorizontalSpacing w:val="105"/>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zN2YzY2IwOTdhNGU2ODFmYWM3ZTM5YmYxYWI0MmMifQ=="/>
  </w:docVars>
  <w:rsids>
    <w:rsidRoot w:val="00D952A9"/>
    <w:rsid w:val="0000040A"/>
    <w:rsid w:val="00000A94"/>
    <w:rsid w:val="00001972"/>
    <w:rsid w:val="00001D9A"/>
    <w:rsid w:val="00007B3A"/>
    <w:rsid w:val="000107E0"/>
    <w:rsid w:val="00011FDE"/>
    <w:rsid w:val="00012FFD"/>
    <w:rsid w:val="00014039"/>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E95"/>
    <w:rsid w:val="00040DA7"/>
    <w:rsid w:val="0004249A"/>
    <w:rsid w:val="00043282"/>
    <w:rsid w:val="00044286"/>
    <w:rsid w:val="00047F28"/>
    <w:rsid w:val="000503AA"/>
    <w:rsid w:val="000506A1"/>
    <w:rsid w:val="000515DD"/>
    <w:rsid w:val="000515F4"/>
    <w:rsid w:val="0005265A"/>
    <w:rsid w:val="000539DD"/>
    <w:rsid w:val="00053BD3"/>
    <w:rsid w:val="000556ED"/>
    <w:rsid w:val="00055FE2"/>
    <w:rsid w:val="0005616F"/>
    <w:rsid w:val="00060C2E"/>
    <w:rsid w:val="00061033"/>
    <w:rsid w:val="000619E9"/>
    <w:rsid w:val="000622D4"/>
    <w:rsid w:val="0006357D"/>
    <w:rsid w:val="0006593A"/>
    <w:rsid w:val="00067F1E"/>
    <w:rsid w:val="00071CC0"/>
    <w:rsid w:val="00073C8C"/>
    <w:rsid w:val="00073D13"/>
    <w:rsid w:val="00077B64"/>
    <w:rsid w:val="00080A1C"/>
    <w:rsid w:val="00082317"/>
    <w:rsid w:val="00083D2C"/>
    <w:rsid w:val="00086AA1"/>
    <w:rsid w:val="00087A77"/>
    <w:rsid w:val="00087CF5"/>
    <w:rsid w:val="00090CA6"/>
    <w:rsid w:val="00092B8A"/>
    <w:rsid w:val="00092FB0"/>
    <w:rsid w:val="000934C5"/>
    <w:rsid w:val="00093D25"/>
    <w:rsid w:val="00093DAB"/>
    <w:rsid w:val="00094D73"/>
    <w:rsid w:val="00096D63"/>
    <w:rsid w:val="000A03CA"/>
    <w:rsid w:val="000A0B60"/>
    <w:rsid w:val="000A0EB8"/>
    <w:rsid w:val="000A19FC"/>
    <w:rsid w:val="000A296B"/>
    <w:rsid w:val="000A7311"/>
    <w:rsid w:val="000B060F"/>
    <w:rsid w:val="000B1592"/>
    <w:rsid w:val="000B1FF2"/>
    <w:rsid w:val="000B3CDA"/>
    <w:rsid w:val="000B46C9"/>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802"/>
    <w:rsid w:val="000F4AEA"/>
    <w:rsid w:val="000F633F"/>
    <w:rsid w:val="000F67E9"/>
    <w:rsid w:val="00104926"/>
    <w:rsid w:val="001059C6"/>
    <w:rsid w:val="00112A42"/>
    <w:rsid w:val="00113B1E"/>
    <w:rsid w:val="0011711C"/>
    <w:rsid w:val="00120068"/>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57D82"/>
    <w:rsid w:val="0016003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904"/>
    <w:rsid w:val="001852C9"/>
    <w:rsid w:val="00187D98"/>
    <w:rsid w:val="00187F2E"/>
    <w:rsid w:val="00190087"/>
    <w:rsid w:val="001913C4"/>
    <w:rsid w:val="0019348F"/>
    <w:rsid w:val="00193A07"/>
    <w:rsid w:val="00194C95"/>
    <w:rsid w:val="00195C34"/>
    <w:rsid w:val="00196EF5"/>
    <w:rsid w:val="001A1A53"/>
    <w:rsid w:val="001A234A"/>
    <w:rsid w:val="001A3917"/>
    <w:rsid w:val="001A4CF3"/>
    <w:rsid w:val="001B06E8"/>
    <w:rsid w:val="001B6140"/>
    <w:rsid w:val="001B71D0"/>
    <w:rsid w:val="001B71EE"/>
    <w:rsid w:val="001C04A8"/>
    <w:rsid w:val="001C2C03"/>
    <w:rsid w:val="001C3D56"/>
    <w:rsid w:val="001C42F7"/>
    <w:rsid w:val="001C49E5"/>
    <w:rsid w:val="001C680C"/>
    <w:rsid w:val="001C7FEA"/>
    <w:rsid w:val="001D0499"/>
    <w:rsid w:val="001D0BBE"/>
    <w:rsid w:val="001D0ED4"/>
    <w:rsid w:val="001D212F"/>
    <w:rsid w:val="001D29D7"/>
    <w:rsid w:val="001D2DE7"/>
    <w:rsid w:val="001D411C"/>
    <w:rsid w:val="001E1851"/>
    <w:rsid w:val="001E1B6A"/>
    <w:rsid w:val="001E2484"/>
    <w:rsid w:val="001E3CC4"/>
    <w:rsid w:val="001E4882"/>
    <w:rsid w:val="001E73AB"/>
    <w:rsid w:val="001F092D"/>
    <w:rsid w:val="001F143A"/>
    <w:rsid w:val="001F1605"/>
    <w:rsid w:val="001F2508"/>
    <w:rsid w:val="001F2CB7"/>
    <w:rsid w:val="001F36EE"/>
    <w:rsid w:val="001F4816"/>
    <w:rsid w:val="001F4EE9"/>
    <w:rsid w:val="001F69B4"/>
    <w:rsid w:val="001F77C7"/>
    <w:rsid w:val="00200183"/>
    <w:rsid w:val="00200333"/>
    <w:rsid w:val="0020107D"/>
    <w:rsid w:val="00201867"/>
    <w:rsid w:val="00202AA4"/>
    <w:rsid w:val="002031F7"/>
    <w:rsid w:val="002040E6"/>
    <w:rsid w:val="002050C5"/>
    <w:rsid w:val="0020527B"/>
    <w:rsid w:val="00205F2C"/>
    <w:rsid w:val="00206F74"/>
    <w:rsid w:val="00210B15"/>
    <w:rsid w:val="002142EA"/>
    <w:rsid w:val="002204BB"/>
    <w:rsid w:val="00221B79"/>
    <w:rsid w:val="00221C6B"/>
    <w:rsid w:val="002253A1"/>
    <w:rsid w:val="00225CF8"/>
    <w:rsid w:val="0022794E"/>
    <w:rsid w:val="00227A96"/>
    <w:rsid w:val="00233D64"/>
    <w:rsid w:val="0023482A"/>
    <w:rsid w:val="002359CB"/>
    <w:rsid w:val="00243540"/>
    <w:rsid w:val="0024497B"/>
    <w:rsid w:val="0024515B"/>
    <w:rsid w:val="00245A0D"/>
    <w:rsid w:val="00246021"/>
    <w:rsid w:val="0024666E"/>
    <w:rsid w:val="00247F52"/>
    <w:rsid w:val="00250B25"/>
    <w:rsid w:val="00250BBE"/>
    <w:rsid w:val="002515C2"/>
    <w:rsid w:val="0025194F"/>
    <w:rsid w:val="00251E25"/>
    <w:rsid w:val="00252ED6"/>
    <w:rsid w:val="0026148A"/>
    <w:rsid w:val="00262696"/>
    <w:rsid w:val="00263D25"/>
    <w:rsid w:val="002643C3"/>
    <w:rsid w:val="00264A0C"/>
    <w:rsid w:val="00264C9C"/>
    <w:rsid w:val="00266EEB"/>
    <w:rsid w:val="00267EF4"/>
    <w:rsid w:val="00270CB8"/>
    <w:rsid w:val="00272591"/>
    <w:rsid w:val="00272B08"/>
    <w:rsid w:val="002771AC"/>
    <w:rsid w:val="00280EC1"/>
    <w:rsid w:val="00281BB8"/>
    <w:rsid w:val="00281E9E"/>
    <w:rsid w:val="00282405"/>
    <w:rsid w:val="0028331A"/>
    <w:rsid w:val="00285170"/>
    <w:rsid w:val="00285361"/>
    <w:rsid w:val="00292251"/>
    <w:rsid w:val="00292D60"/>
    <w:rsid w:val="00293B30"/>
    <w:rsid w:val="00294D34"/>
    <w:rsid w:val="00294E3B"/>
    <w:rsid w:val="002954FA"/>
    <w:rsid w:val="00296193"/>
    <w:rsid w:val="00296C66"/>
    <w:rsid w:val="00296EBE"/>
    <w:rsid w:val="002974E3"/>
    <w:rsid w:val="002A084B"/>
    <w:rsid w:val="002A1260"/>
    <w:rsid w:val="002A1589"/>
    <w:rsid w:val="002A1608"/>
    <w:rsid w:val="002A25DC"/>
    <w:rsid w:val="002A3AAB"/>
    <w:rsid w:val="002A4CEA"/>
    <w:rsid w:val="002A5977"/>
    <w:rsid w:val="002A5A13"/>
    <w:rsid w:val="002A5CFF"/>
    <w:rsid w:val="002A62A1"/>
    <w:rsid w:val="002A757F"/>
    <w:rsid w:val="002A7F44"/>
    <w:rsid w:val="002B0C40"/>
    <w:rsid w:val="002B1966"/>
    <w:rsid w:val="002B1EC4"/>
    <w:rsid w:val="002B4508"/>
    <w:rsid w:val="002B5779"/>
    <w:rsid w:val="002B7332"/>
    <w:rsid w:val="002B7459"/>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642"/>
    <w:rsid w:val="002E60C4"/>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5E8"/>
    <w:rsid w:val="00322E62"/>
    <w:rsid w:val="00324D13"/>
    <w:rsid w:val="00324D2A"/>
    <w:rsid w:val="00324EDD"/>
    <w:rsid w:val="00330035"/>
    <w:rsid w:val="003331E4"/>
    <w:rsid w:val="00336C64"/>
    <w:rsid w:val="00337162"/>
    <w:rsid w:val="003376F7"/>
    <w:rsid w:val="0034194F"/>
    <w:rsid w:val="00344605"/>
    <w:rsid w:val="0034622A"/>
    <w:rsid w:val="003474AA"/>
    <w:rsid w:val="00350BC3"/>
    <w:rsid w:val="00350D1D"/>
    <w:rsid w:val="00352C83"/>
    <w:rsid w:val="003615D2"/>
    <w:rsid w:val="0036429C"/>
    <w:rsid w:val="00364A53"/>
    <w:rsid w:val="003654CB"/>
    <w:rsid w:val="00365AA9"/>
    <w:rsid w:val="00365F86"/>
    <w:rsid w:val="00365F87"/>
    <w:rsid w:val="00366E89"/>
    <w:rsid w:val="003671A7"/>
    <w:rsid w:val="003705F4"/>
    <w:rsid w:val="00370D58"/>
    <w:rsid w:val="00371316"/>
    <w:rsid w:val="00371415"/>
    <w:rsid w:val="00376713"/>
    <w:rsid w:val="00381815"/>
    <w:rsid w:val="003819AF"/>
    <w:rsid w:val="003820E9"/>
    <w:rsid w:val="00382DE7"/>
    <w:rsid w:val="00384FFC"/>
    <w:rsid w:val="003872FC"/>
    <w:rsid w:val="00387ADC"/>
    <w:rsid w:val="00390020"/>
    <w:rsid w:val="003903D6"/>
    <w:rsid w:val="003906A8"/>
    <w:rsid w:val="00390E45"/>
    <w:rsid w:val="00390EE6"/>
    <w:rsid w:val="0039118F"/>
    <w:rsid w:val="00392AD7"/>
    <w:rsid w:val="003932EE"/>
    <w:rsid w:val="003938D9"/>
    <w:rsid w:val="00394376"/>
    <w:rsid w:val="003943FF"/>
    <w:rsid w:val="00395700"/>
    <w:rsid w:val="0039653F"/>
    <w:rsid w:val="003974EB"/>
    <w:rsid w:val="00397CC5"/>
    <w:rsid w:val="003A0E97"/>
    <w:rsid w:val="003A1582"/>
    <w:rsid w:val="003A2786"/>
    <w:rsid w:val="003A4077"/>
    <w:rsid w:val="003B09AD"/>
    <w:rsid w:val="003B1F18"/>
    <w:rsid w:val="003B5BF0"/>
    <w:rsid w:val="003B60BF"/>
    <w:rsid w:val="003B6BE3"/>
    <w:rsid w:val="003C010C"/>
    <w:rsid w:val="003C0A6C"/>
    <w:rsid w:val="003C14F8"/>
    <w:rsid w:val="003C5A43"/>
    <w:rsid w:val="003D004D"/>
    <w:rsid w:val="003D0519"/>
    <w:rsid w:val="003D0FF6"/>
    <w:rsid w:val="003D262C"/>
    <w:rsid w:val="003D6D61"/>
    <w:rsid w:val="003D79C6"/>
    <w:rsid w:val="003E091D"/>
    <w:rsid w:val="003E1C53"/>
    <w:rsid w:val="003E2A69"/>
    <w:rsid w:val="003E2D49"/>
    <w:rsid w:val="003E2FD4"/>
    <w:rsid w:val="003E49F6"/>
    <w:rsid w:val="003E660F"/>
    <w:rsid w:val="003E6BFE"/>
    <w:rsid w:val="003E72C1"/>
    <w:rsid w:val="003F0841"/>
    <w:rsid w:val="003F23D3"/>
    <w:rsid w:val="003F3237"/>
    <w:rsid w:val="003F3F08"/>
    <w:rsid w:val="003F45E8"/>
    <w:rsid w:val="003F49F1"/>
    <w:rsid w:val="003F6272"/>
    <w:rsid w:val="00400774"/>
    <w:rsid w:val="00400E72"/>
    <w:rsid w:val="00401400"/>
    <w:rsid w:val="00404869"/>
    <w:rsid w:val="00404C83"/>
    <w:rsid w:val="00405884"/>
    <w:rsid w:val="00407D39"/>
    <w:rsid w:val="0041237A"/>
    <w:rsid w:val="0041477A"/>
    <w:rsid w:val="004167A3"/>
    <w:rsid w:val="00420BDB"/>
    <w:rsid w:val="0042594C"/>
    <w:rsid w:val="00432DAA"/>
    <w:rsid w:val="00434305"/>
    <w:rsid w:val="00435DF7"/>
    <w:rsid w:val="0044083F"/>
    <w:rsid w:val="00441AE7"/>
    <w:rsid w:val="004427BC"/>
    <w:rsid w:val="004435A7"/>
    <w:rsid w:val="00445574"/>
    <w:rsid w:val="004467FB"/>
    <w:rsid w:val="00450D0A"/>
    <w:rsid w:val="00450D6C"/>
    <w:rsid w:val="00452D6B"/>
    <w:rsid w:val="00454484"/>
    <w:rsid w:val="00454FC8"/>
    <w:rsid w:val="0045517B"/>
    <w:rsid w:val="00463B77"/>
    <w:rsid w:val="00463C7B"/>
    <w:rsid w:val="004644A6"/>
    <w:rsid w:val="004659BD"/>
    <w:rsid w:val="00470775"/>
    <w:rsid w:val="00471711"/>
    <w:rsid w:val="004738C9"/>
    <w:rsid w:val="004746B1"/>
    <w:rsid w:val="00475096"/>
    <w:rsid w:val="004757A1"/>
    <w:rsid w:val="0047583F"/>
    <w:rsid w:val="00475DE8"/>
    <w:rsid w:val="0048122F"/>
    <w:rsid w:val="00481C44"/>
    <w:rsid w:val="00484936"/>
    <w:rsid w:val="00485C89"/>
    <w:rsid w:val="00486BE3"/>
    <w:rsid w:val="004905E4"/>
    <w:rsid w:val="00490A89"/>
    <w:rsid w:val="00490AB4"/>
    <w:rsid w:val="00492F02"/>
    <w:rsid w:val="004939AE"/>
    <w:rsid w:val="004942F8"/>
    <w:rsid w:val="004A12DF"/>
    <w:rsid w:val="004A17E6"/>
    <w:rsid w:val="004A1BA8"/>
    <w:rsid w:val="004A4B57"/>
    <w:rsid w:val="004A63FA"/>
    <w:rsid w:val="004B0272"/>
    <w:rsid w:val="004B2701"/>
    <w:rsid w:val="004B2E1B"/>
    <w:rsid w:val="004B2E2B"/>
    <w:rsid w:val="004B3AA8"/>
    <w:rsid w:val="004B3E93"/>
    <w:rsid w:val="004C1FBC"/>
    <w:rsid w:val="004C3F1D"/>
    <w:rsid w:val="004C458D"/>
    <w:rsid w:val="004C5B56"/>
    <w:rsid w:val="004C7556"/>
    <w:rsid w:val="004C7E8B"/>
    <w:rsid w:val="004C7E9D"/>
    <w:rsid w:val="004C7F67"/>
    <w:rsid w:val="004D076D"/>
    <w:rsid w:val="004D0EF1"/>
    <w:rsid w:val="004D2253"/>
    <w:rsid w:val="004D4406"/>
    <w:rsid w:val="004D7031"/>
    <w:rsid w:val="004D7C42"/>
    <w:rsid w:val="004E0465"/>
    <w:rsid w:val="004E127B"/>
    <w:rsid w:val="004E1C0A"/>
    <w:rsid w:val="004E2B06"/>
    <w:rsid w:val="004E30C5"/>
    <w:rsid w:val="004E4AA5"/>
    <w:rsid w:val="004E4AEE"/>
    <w:rsid w:val="004E556C"/>
    <w:rsid w:val="004E59E3"/>
    <w:rsid w:val="004E67C0"/>
    <w:rsid w:val="004F391A"/>
    <w:rsid w:val="004F396F"/>
    <w:rsid w:val="004F3CFB"/>
    <w:rsid w:val="004F4A3E"/>
    <w:rsid w:val="004F6329"/>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12D"/>
    <w:rsid w:val="00533CC9"/>
    <w:rsid w:val="00533D04"/>
    <w:rsid w:val="00534804"/>
    <w:rsid w:val="00534BDF"/>
    <w:rsid w:val="005354EA"/>
    <w:rsid w:val="0053585F"/>
    <w:rsid w:val="00535EC4"/>
    <w:rsid w:val="00535ED9"/>
    <w:rsid w:val="0053692B"/>
    <w:rsid w:val="00541853"/>
    <w:rsid w:val="0054236B"/>
    <w:rsid w:val="00543BDA"/>
    <w:rsid w:val="005441CC"/>
    <w:rsid w:val="00544882"/>
    <w:rsid w:val="00546DBB"/>
    <w:rsid w:val="005479DA"/>
    <w:rsid w:val="00547BCC"/>
    <w:rsid w:val="0055013B"/>
    <w:rsid w:val="00551F6F"/>
    <w:rsid w:val="00555044"/>
    <w:rsid w:val="00561475"/>
    <w:rsid w:val="0056487B"/>
    <w:rsid w:val="00564FB9"/>
    <w:rsid w:val="00571369"/>
    <w:rsid w:val="005737C6"/>
    <w:rsid w:val="00573D9E"/>
    <w:rsid w:val="005744DF"/>
    <w:rsid w:val="005801E3"/>
    <w:rsid w:val="00581802"/>
    <w:rsid w:val="005835A2"/>
    <w:rsid w:val="005836A8"/>
    <w:rsid w:val="0058409C"/>
    <w:rsid w:val="00584262"/>
    <w:rsid w:val="00586630"/>
    <w:rsid w:val="00587A6D"/>
    <w:rsid w:val="00587ADD"/>
    <w:rsid w:val="00591E27"/>
    <w:rsid w:val="005943C9"/>
    <w:rsid w:val="00596160"/>
    <w:rsid w:val="005966E2"/>
    <w:rsid w:val="00597007"/>
    <w:rsid w:val="005A0966"/>
    <w:rsid w:val="005A11B7"/>
    <w:rsid w:val="005A1F9B"/>
    <w:rsid w:val="005A2142"/>
    <w:rsid w:val="005A260B"/>
    <w:rsid w:val="005A4A1B"/>
    <w:rsid w:val="005A7830"/>
    <w:rsid w:val="005A7FCE"/>
    <w:rsid w:val="005B0F3F"/>
    <w:rsid w:val="005B2466"/>
    <w:rsid w:val="005B4903"/>
    <w:rsid w:val="005B51CE"/>
    <w:rsid w:val="005B5885"/>
    <w:rsid w:val="005B5CD7"/>
    <w:rsid w:val="005B6CF6"/>
    <w:rsid w:val="005B7422"/>
    <w:rsid w:val="005B7DCE"/>
    <w:rsid w:val="005C1BB3"/>
    <w:rsid w:val="005C29B8"/>
    <w:rsid w:val="005C5F21"/>
    <w:rsid w:val="005C7156"/>
    <w:rsid w:val="005D0393"/>
    <w:rsid w:val="005D0C75"/>
    <w:rsid w:val="005D1D30"/>
    <w:rsid w:val="005D4171"/>
    <w:rsid w:val="005D6A95"/>
    <w:rsid w:val="005D6B2C"/>
    <w:rsid w:val="005D6D9C"/>
    <w:rsid w:val="005E2335"/>
    <w:rsid w:val="005E34CA"/>
    <w:rsid w:val="005E3C18"/>
    <w:rsid w:val="005E6812"/>
    <w:rsid w:val="005E7881"/>
    <w:rsid w:val="005E78E0"/>
    <w:rsid w:val="005F0D9C"/>
    <w:rsid w:val="005F284E"/>
    <w:rsid w:val="005F294E"/>
    <w:rsid w:val="005F4712"/>
    <w:rsid w:val="005F5709"/>
    <w:rsid w:val="005F61DC"/>
    <w:rsid w:val="006015CE"/>
    <w:rsid w:val="00604784"/>
    <w:rsid w:val="00605494"/>
    <w:rsid w:val="00606419"/>
    <w:rsid w:val="00607D29"/>
    <w:rsid w:val="00610F6F"/>
    <w:rsid w:val="00612952"/>
    <w:rsid w:val="00614CC1"/>
    <w:rsid w:val="00615A9D"/>
    <w:rsid w:val="00617387"/>
    <w:rsid w:val="006205D6"/>
    <w:rsid w:val="006220A5"/>
    <w:rsid w:val="00622323"/>
    <w:rsid w:val="006245E0"/>
    <w:rsid w:val="0062524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938"/>
    <w:rsid w:val="00666D0C"/>
    <w:rsid w:val="00672060"/>
    <w:rsid w:val="00672BFD"/>
    <w:rsid w:val="006770F4"/>
    <w:rsid w:val="00677A84"/>
    <w:rsid w:val="0068026D"/>
    <w:rsid w:val="00680A27"/>
    <w:rsid w:val="006816A4"/>
    <w:rsid w:val="006819B8"/>
    <w:rsid w:val="00682B2A"/>
    <w:rsid w:val="006840A6"/>
    <w:rsid w:val="006850CD"/>
    <w:rsid w:val="00685AAB"/>
    <w:rsid w:val="00695D22"/>
    <w:rsid w:val="00696E42"/>
    <w:rsid w:val="006A02A9"/>
    <w:rsid w:val="006A07AA"/>
    <w:rsid w:val="006A2271"/>
    <w:rsid w:val="006A25E5"/>
    <w:rsid w:val="006A2849"/>
    <w:rsid w:val="006A2B46"/>
    <w:rsid w:val="006A3065"/>
    <w:rsid w:val="006A336D"/>
    <w:rsid w:val="006A37B9"/>
    <w:rsid w:val="006A6DD9"/>
    <w:rsid w:val="006A7BA5"/>
    <w:rsid w:val="006B2672"/>
    <w:rsid w:val="006B54BF"/>
    <w:rsid w:val="006B5F44"/>
    <w:rsid w:val="006B5F90"/>
    <w:rsid w:val="006B62E4"/>
    <w:rsid w:val="006C1BBA"/>
    <w:rsid w:val="006C2079"/>
    <w:rsid w:val="006C5A62"/>
    <w:rsid w:val="006C5D68"/>
    <w:rsid w:val="006C6976"/>
    <w:rsid w:val="006C6AF6"/>
    <w:rsid w:val="006C6DD0"/>
    <w:rsid w:val="006D04EA"/>
    <w:rsid w:val="006D0AB7"/>
    <w:rsid w:val="006D16C4"/>
    <w:rsid w:val="006D2DF6"/>
    <w:rsid w:val="006D3E96"/>
    <w:rsid w:val="006D41D0"/>
    <w:rsid w:val="006D4515"/>
    <w:rsid w:val="006D4BB1"/>
    <w:rsid w:val="006D6593"/>
    <w:rsid w:val="006E1456"/>
    <w:rsid w:val="006E23EA"/>
    <w:rsid w:val="006E24D9"/>
    <w:rsid w:val="006E4D09"/>
    <w:rsid w:val="006E7DAB"/>
    <w:rsid w:val="006F03A8"/>
    <w:rsid w:val="006F2ACA"/>
    <w:rsid w:val="006F2ADC"/>
    <w:rsid w:val="006F2BFE"/>
    <w:rsid w:val="006F31E9"/>
    <w:rsid w:val="006F6284"/>
    <w:rsid w:val="007002C5"/>
    <w:rsid w:val="00700A7A"/>
    <w:rsid w:val="00704387"/>
    <w:rsid w:val="00707669"/>
    <w:rsid w:val="00711CBA"/>
    <w:rsid w:val="00711FB5"/>
    <w:rsid w:val="00712A01"/>
    <w:rsid w:val="00714F58"/>
    <w:rsid w:val="00716746"/>
    <w:rsid w:val="00722FBF"/>
    <w:rsid w:val="00722FC2"/>
    <w:rsid w:val="00724879"/>
    <w:rsid w:val="00724E1B"/>
    <w:rsid w:val="00725949"/>
    <w:rsid w:val="00727FA2"/>
    <w:rsid w:val="007322D9"/>
    <w:rsid w:val="00732BC0"/>
    <w:rsid w:val="0073720F"/>
    <w:rsid w:val="00737796"/>
    <w:rsid w:val="00740E9D"/>
    <w:rsid w:val="0074165C"/>
    <w:rsid w:val="00742C35"/>
    <w:rsid w:val="007432CA"/>
    <w:rsid w:val="007439EB"/>
    <w:rsid w:val="00743CB4"/>
    <w:rsid w:val="00743F0A"/>
    <w:rsid w:val="007444E8"/>
    <w:rsid w:val="0074548E"/>
    <w:rsid w:val="00745773"/>
    <w:rsid w:val="00746800"/>
    <w:rsid w:val="00747267"/>
    <w:rsid w:val="007501A8"/>
    <w:rsid w:val="00750D61"/>
    <w:rsid w:val="00750EE1"/>
    <w:rsid w:val="0075163D"/>
    <w:rsid w:val="007521C6"/>
    <w:rsid w:val="00752B4D"/>
    <w:rsid w:val="00754345"/>
    <w:rsid w:val="00755402"/>
    <w:rsid w:val="00756B26"/>
    <w:rsid w:val="00756EDF"/>
    <w:rsid w:val="007600E3"/>
    <w:rsid w:val="0076096D"/>
    <w:rsid w:val="00765C43"/>
    <w:rsid w:val="00765EFB"/>
    <w:rsid w:val="007671CA"/>
    <w:rsid w:val="00767C61"/>
    <w:rsid w:val="0077008A"/>
    <w:rsid w:val="00773C1F"/>
    <w:rsid w:val="00774DA4"/>
    <w:rsid w:val="00776599"/>
    <w:rsid w:val="0078114B"/>
    <w:rsid w:val="00781DD2"/>
    <w:rsid w:val="00783ECF"/>
    <w:rsid w:val="0078413A"/>
    <w:rsid w:val="007856E5"/>
    <w:rsid w:val="007959E8"/>
    <w:rsid w:val="00795BE7"/>
    <w:rsid w:val="00795E9C"/>
    <w:rsid w:val="007A0521"/>
    <w:rsid w:val="007A2E12"/>
    <w:rsid w:val="007A3475"/>
    <w:rsid w:val="007A41C8"/>
    <w:rsid w:val="007A54CE"/>
    <w:rsid w:val="007A564C"/>
    <w:rsid w:val="007A6FD9"/>
    <w:rsid w:val="007A7FFA"/>
    <w:rsid w:val="007B04EB"/>
    <w:rsid w:val="007B0D4F"/>
    <w:rsid w:val="007B5A3D"/>
    <w:rsid w:val="007B5B95"/>
    <w:rsid w:val="007B61E6"/>
    <w:rsid w:val="007B68EA"/>
    <w:rsid w:val="007B7453"/>
    <w:rsid w:val="007B75E0"/>
    <w:rsid w:val="007C1E8B"/>
    <w:rsid w:val="007C2D89"/>
    <w:rsid w:val="007C4593"/>
    <w:rsid w:val="007C5309"/>
    <w:rsid w:val="007C5E4F"/>
    <w:rsid w:val="007C6069"/>
    <w:rsid w:val="007C73A8"/>
    <w:rsid w:val="007D06C4"/>
    <w:rsid w:val="007D1352"/>
    <w:rsid w:val="007D17EF"/>
    <w:rsid w:val="007D2508"/>
    <w:rsid w:val="007D346A"/>
    <w:rsid w:val="007D43B9"/>
    <w:rsid w:val="007D5AA6"/>
    <w:rsid w:val="007D5FE3"/>
    <w:rsid w:val="007D6518"/>
    <w:rsid w:val="007D76BD"/>
    <w:rsid w:val="007E0BF1"/>
    <w:rsid w:val="007E7331"/>
    <w:rsid w:val="007F0ED8"/>
    <w:rsid w:val="007F0F63"/>
    <w:rsid w:val="007F55C9"/>
    <w:rsid w:val="007F75CE"/>
    <w:rsid w:val="007F76A0"/>
    <w:rsid w:val="008013A4"/>
    <w:rsid w:val="008027CE"/>
    <w:rsid w:val="00802F42"/>
    <w:rsid w:val="00804383"/>
    <w:rsid w:val="00804BB7"/>
    <w:rsid w:val="00804D41"/>
    <w:rsid w:val="00810257"/>
    <w:rsid w:val="008104F5"/>
    <w:rsid w:val="00811072"/>
    <w:rsid w:val="00811208"/>
    <w:rsid w:val="00811369"/>
    <w:rsid w:val="008128B2"/>
    <w:rsid w:val="00813EC9"/>
    <w:rsid w:val="00815419"/>
    <w:rsid w:val="008163C8"/>
    <w:rsid w:val="008164A1"/>
    <w:rsid w:val="00817325"/>
    <w:rsid w:val="008209E6"/>
    <w:rsid w:val="00820B22"/>
    <w:rsid w:val="00823303"/>
    <w:rsid w:val="008233B2"/>
    <w:rsid w:val="00823A9F"/>
    <w:rsid w:val="00823C85"/>
    <w:rsid w:val="00825138"/>
    <w:rsid w:val="008269DD"/>
    <w:rsid w:val="00830621"/>
    <w:rsid w:val="0083348C"/>
    <w:rsid w:val="00835C45"/>
    <w:rsid w:val="00836941"/>
    <w:rsid w:val="008373D3"/>
    <w:rsid w:val="00840617"/>
    <w:rsid w:val="00840F84"/>
    <w:rsid w:val="00842A47"/>
    <w:rsid w:val="00843C13"/>
    <w:rsid w:val="008454F8"/>
    <w:rsid w:val="0085173A"/>
    <w:rsid w:val="00851D38"/>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B07"/>
    <w:rsid w:val="00896B19"/>
    <w:rsid w:val="00896DFF"/>
    <w:rsid w:val="0089762C"/>
    <w:rsid w:val="008A1893"/>
    <w:rsid w:val="008A3215"/>
    <w:rsid w:val="008A57E6"/>
    <w:rsid w:val="008A6F81"/>
    <w:rsid w:val="008A769A"/>
    <w:rsid w:val="008B0C9C"/>
    <w:rsid w:val="008B166D"/>
    <w:rsid w:val="008B17F4"/>
    <w:rsid w:val="008B339B"/>
    <w:rsid w:val="008B3615"/>
    <w:rsid w:val="008B4AC4"/>
    <w:rsid w:val="008B50C8"/>
    <w:rsid w:val="008B5281"/>
    <w:rsid w:val="008B7E05"/>
    <w:rsid w:val="008C1797"/>
    <w:rsid w:val="008C219C"/>
    <w:rsid w:val="008C22CC"/>
    <w:rsid w:val="008C475E"/>
    <w:rsid w:val="008C619A"/>
    <w:rsid w:val="008D0CE8"/>
    <w:rsid w:val="008D2194"/>
    <w:rsid w:val="008D2D1D"/>
    <w:rsid w:val="008D453D"/>
    <w:rsid w:val="008D53AD"/>
    <w:rsid w:val="008D562B"/>
    <w:rsid w:val="008D5733"/>
    <w:rsid w:val="008D622B"/>
    <w:rsid w:val="008D666C"/>
    <w:rsid w:val="008D7B54"/>
    <w:rsid w:val="008E0C9D"/>
    <w:rsid w:val="008E1648"/>
    <w:rsid w:val="008E1B3E"/>
    <w:rsid w:val="008E1E55"/>
    <w:rsid w:val="008E2319"/>
    <w:rsid w:val="008E4883"/>
    <w:rsid w:val="008E4BB6"/>
    <w:rsid w:val="008E5518"/>
    <w:rsid w:val="008E6A84"/>
    <w:rsid w:val="008F0CDC"/>
    <w:rsid w:val="008F17A3"/>
    <w:rsid w:val="008F1D3D"/>
    <w:rsid w:val="008F1ED3"/>
    <w:rsid w:val="008F23A5"/>
    <w:rsid w:val="008F3434"/>
    <w:rsid w:val="008F4C07"/>
    <w:rsid w:val="008F4C29"/>
    <w:rsid w:val="008F70BD"/>
    <w:rsid w:val="008F788F"/>
    <w:rsid w:val="008F7EA2"/>
    <w:rsid w:val="00902722"/>
    <w:rsid w:val="009027BC"/>
    <w:rsid w:val="00905BFD"/>
    <w:rsid w:val="009062E6"/>
    <w:rsid w:val="00911BE5"/>
    <w:rsid w:val="00913CA9"/>
    <w:rsid w:val="009145AE"/>
    <w:rsid w:val="009146CE"/>
    <w:rsid w:val="00914CA7"/>
    <w:rsid w:val="00915C3E"/>
    <w:rsid w:val="009161A8"/>
    <w:rsid w:val="009245F5"/>
    <w:rsid w:val="009249EC"/>
    <w:rsid w:val="009273B3"/>
    <w:rsid w:val="009305B5"/>
    <w:rsid w:val="00932B01"/>
    <w:rsid w:val="0093758E"/>
    <w:rsid w:val="009429D5"/>
    <w:rsid w:val="00942BF1"/>
    <w:rsid w:val="00945180"/>
    <w:rsid w:val="00945428"/>
    <w:rsid w:val="0094607B"/>
    <w:rsid w:val="009514D3"/>
    <w:rsid w:val="00953604"/>
    <w:rsid w:val="0095496B"/>
    <w:rsid w:val="009610DC"/>
    <w:rsid w:val="00961490"/>
    <w:rsid w:val="00961AB5"/>
    <w:rsid w:val="009622F5"/>
    <w:rsid w:val="0096381A"/>
    <w:rsid w:val="00965E04"/>
    <w:rsid w:val="009674AD"/>
    <w:rsid w:val="00970CDC"/>
    <w:rsid w:val="00973E84"/>
    <w:rsid w:val="00977010"/>
    <w:rsid w:val="00977D02"/>
    <w:rsid w:val="009809BB"/>
    <w:rsid w:val="0098364B"/>
    <w:rsid w:val="00987F34"/>
    <w:rsid w:val="009911AF"/>
    <w:rsid w:val="00991875"/>
    <w:rsid w:val="00991F92"/>
    <w:rsid w:val="00992985"/>
    <w:rsid w:val="009936EC"/>
    <w:rsid w:val="00993889"/>
    <w:rsid w:val="009950D7"/>
    <w:rsid w:val="0099551B"/>
    <w:rsid w:val="00997BF1"/>
    <w:rsid w:val="009A089C"/>
    <w:rsid w:val="009A118E"/>
    <w:rsid w:val="009A21CD"/>
    <w:rsid w:val="009A278C"/>
    <w:rsid w:val="009A2BC2"/>
    <w:rsid w:val="009A42C1"/>
    <w:rsid w:val="009A5429"/>
    <w:rsid w:val="009A5523"/>
    <w:rsid w:val="009A72AD"/>
    <w:rsid w:val="009B09E0"/>
    <w:rsid w:val="009B0BC5"/>
    <w:rsid w:val="009B1247"/>
    <w:rsid w:val="009B435A"/>
    <w:rsid w:val="009B46F9"/>
    <w:rsid w:val="009B59EA"/>
    <w:rsid w:val="009B6029"/>
    <w:rsid w:val="009B6971"/>
    <w:rsid w:val="009C1094"/>
    <w:rsid w:val="009C27F1"/>
    <w:rsid w:val="009C3152"/>
    <w:rsid w:val="009C4CFA"/>
    <w:rsid w:val="009C5070"/>
    <w:rsid w:val="009D112C"/>
    <w:rsid w:val="009D47FA"/>
    <w:rsid w:val="009D4C5B"/>
    <w:rsid w:val="009D50D2"/>
    <w:rsid w:val="009D5C91"/>
    <w:rsid w:val="009D6BCA"/>
    <w:rsid w:val="009E0F62"/>
    <w:rsid w:val="009E3DA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4A"/>
    <w:rsid w:val="00A153D9"/>
    <w:rsid w:val="00A15CBD"/>
    <w:rsid w:val="00A15F09"/>
    <w:rsid w:val="00A169B6"/>
    <w:rsid w:val="00A2271D"/>
    <w:rsid w:val="00A237D5"/>
    <w:rsid w:val="00A25E25"/>
    <w:rsid w:val="00A25EF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97A"/>
    <w:rsid w:val="00A6309B"/>
    <w:rsid w:val="00A648CD"/>
    <w:rsid w:val="00A6537A"/>
    <w:rsid w:val="00A67866"/>
    <w:rsid w:val="00A70B07"/>
    <w:rsid w:val="00A723F8"/>
    <w:rsid w:val="00A75FC9"/>
    <w:rsid w:val="00A77CCB"/>
    <w:rsid w:val="00A80C27"/>
    <w:rsid w:val="00A83D8D"/>
    <w:rsid w:val="00A8446B"/>
    <w:rsid w:val="00A8473F"/>
    <w:rsid w:val="00A862D6"/>
    <w:rsid w:val="00A8715E"/>
    <w:rsid w:val="00A9295B"/>
    <w:rsid w:val="00A93B09"/>
    <w:rsid w:val="00A94247"/>
    <w:rsid w:val="00A952D7"/>
    <w:rsid w:val="00A963F7"/>
    <w:rsid w:val="00A96AD8"/>
    <w:rsid w:val="00A9707D"/>
    <w:rsid w:val="00AA052C"/>
    <w:rsid w:val="00AA1E45"/>
    <w:rsid w:val="00AA3080"/>
    <w:rsid w:val="00AA4286"/>
    <w:rsid w:val="00AA456B"/>
    <w:rsid w:val="00AA57F5"/>
    <w:rsid w:val="00AA672E"/>
    <w:rsid w:val="00AA6EC9"/>
    <w:rsid w:val="00AB41D5"/>
    <w:rsid w:val="00AB6309"/>
    <w:rsid w:val="00AB6C5F"/>
    <w:rsid w:val="00AB7129"/>
    <w:rsid w:val="00AB7C97"/>
    <w:rsid w:val="00AC17F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4DD"/>
    <w:rsid w:val="00AE37E5"/>
    <w:rsid w:val="00AE5EB4"/>
    <w:rsid w:val="00AF0C18"/>
    <w:rsid w:val="00AF47C5"/>
    <w:rsid w:val="00AF4A76"/>
    <w:rsid w:val="00AF5398"/>
    <w:rsid w:val="00B049AF"/>
    <w:rsid w:val="00B07242"/>
    <w:rsid w:val="00B10534"/>
    <w:rsid w:val="00B113DB"/>
    <w:rsid w:val="00B11D8A"/>
    <w:rsid w:val="00B12201"/>
    <w:rsid w:val="00B12981"/>
    <w:rsid w:val="00B147DD"/>
    <w:rsid w:val="00B1562F"/>
    <w:rsid w:val="00B156FD"/>
    <w:rsid w:val="00B21F61"/>
    <w:rsid w:val="00B221CA"/>
    <w:rsid w:val="00B261F1"/>
    <w:rsid w:val="00B265BC"/>
    <w:rsid w:val="00B31FB1"/>
    <w:rsid w:val="00B3376F"/>
    <w:rsid w:val="00B33952"/>
    <w:rsid w:val="00B33C5E"/>
    <w:rsid w:val="00B342F4"/>
    <w:rsid w:val="00B34369"/>
    <w:rsid w:val="00B34DC2"/>
    <w:rsid w:val="00B378E5"/>
    <w:rsid w:val="00B4346D"/>
    <w:rsid w:val="00B440F4"/>
    <w:rsid w:val="00B447A5"/>
    <w:rsid w:val="00B45BE2"/>
    <w:rsid w:val="00B4654C"/>
    <w:rsid w:val="00B46AF0"/>
    <w:rsid w:val="00B47293"/>
    <w:rsid w:val="00B50E50"/>
    <w:rsid w:val="00B52120"/>
    <w:rsid w:val="00B54ABC"/>
    <w:rsid w:val="00B54DDE"/>
    <w:rsid w:val="00B56FBE"/>
    <w:rsid w:val="00B60ACF"/>
    <w:rsid w:val="00B61DF4"/>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266"/>
    <w:rsid w:val="00BA58D4"/>
    <w:rsid w:val="00BA5B9E"/>
    <w:rsid w:val="00BA7C9A"/>
    <w:rsid w:val="00BB203B"/>
    <w:rsid w:val="00BB5F8F"/>
    <w:rsid w:val="00BB657A"/>
    <w:rsid w:val="00BC1A4E"/>
    <w:rsid w:val="00BC4790"/>
    <w:rsid w:val="00BC5DC7"/>
    <w:rsid w:val="00BC637B"/>
    <w:rsid w:val="00BC6B8B"/>
    <w:rsid w:val="00BC6FAF"/>
    <w:rsid w:val="00BC73D8"/>
    <w:rsid w:val="00BD37A0"/>
    <w:rsid w:val="00BD52D7"/>
    <w:rsid w:val="00BD5AD2"/>
    <w:rsid w:val="00BD775F"/>
    <w:rsid w:val="00BE22F3"/>
    <w:rsid w:val="00BE3F69"/>
    <w:rsid w:val="00BE4F9F"/>
    <w:rsid w:val="00BE5B52"/>
    <w:rsid w:val="00BE7B8D"/>
    <w:rsid w:val="00BF0993"/>
    <w:rsid w:val="00BF10A9"/>
    <w:rsid w:val="00BF1703"/>
    <w:rsid w:val="00BF231C"/>
    <w:rsid w:val="00BF51E5"/>
    <w:rsid w:val="00BF5B38"/>
    <w:rsid w:val="00BF74A6"/>
    <w:rsid w:val="00C013AD"/>
    <w:rsid w:val="00C04904"/>
    <w:rsid w:val="00C056B3"/>
    <w:rsid w:val="00C103E5"/>
    <w:rsid w:val="00C13319"/>
    <w:rsid w:val="00C13EE9"/>
    <w:rsid w:val="00C154A4"/>
    <w:rsid w:val="00C1613F"/>
    <w:rsid w:val="00C17332"/>
    <w:rsid w:val="00C21540"/>
    <w:rsid w:val="00C21906"/>
    <w:rsid w:val="00C21BFA"/>
    <w:rsid w:val="00C22148"/>
    <w:rsid w:val="00C24C8D"/>
    <w:rsid w:val="00C25FE2"/>
    <w:rsid w:val="00C26B53"/>
    <w:rsid w:val="00C279B2"/>
    <w:rsid w:val="00C32676"/>
    <w:rsid w:val="00C33E50"/>
    <w:rsid w:val="00C34C20"/>
    <w:rsid w:val="00C35A3E"/>
    <w:rsid w:val="00C42069"/>
    <w:rsid w:val="00C42130"/>
    <w:rsid w:val="00C423A4"/>
    <w:rsid w:val="00C44BF5"/>
    <w:rsid w:val="00C521D6"/>
    <w:rsid w:val="00C55232"/>
    <w:rsid w:val="00C553A4"/>
    <w:rsid w:val="00C55A06"/>
    <w:rsid w:val="00C55D03"/>
    <w:rsid w:val="00C601BC"/>
    <w:rsid w:val="00C615CC"/>
    <w:rsid w:val="00C6329F"/>
    <w:rsid w:val="00C63340"/>
    <w:rsid w:val="00C63DB6"/>
    <w:rsid w:val="00C643F9"/>
    <w:rsid w:val="00C64D74"/>
    <w:rsid w:val="00C64E95"/>
    <w:rsid w:val="00C71372"/>
    <w:rsid w:val="00C72410"/>
    <w:rsid w:val="00C7287F"/>
    <w:rsid w:val="00C80CB8"/>
    <w:rsid w:val="00C819F8"/>
    <w:rsid w:val="00C8248C"/>
    <w:rsid w:val="00C84E33"/>
    <w:rsid w:val="00C85E69"/>
    <w:rsid w:val="00C86D6F"/>
    <w:rsid w:val="00C905FC"/>
    <w:rsid w:val="00C92D03"/>
    <w:rsid w:val="00C9319C"/>
    <w:rsid w:val="00C9435D"/>
    <w:rsid w:val="00C94DF2"/>
    <w:rsid w:val="00C96741"/>
    <w:rsid w:val="00C974FB"/>
    <w:rsid w:val="00CA0B86"/>
    <w:rsid w:val="00CA2D1B"/>
    <w:rsid w:val="00CA375D"/>
    <w:rsid w:val="00CA3A0C"/>
    <w:rsid w:val="00CA4898"/>
    <w:rsid w:val="00CA549F"/>
    <w:rsid w:val="00CA662A"/>
    <w:rsid w:val="00CA78AC"/>
    <w:rsid w:val="00CA7AFD"/>
    <w:rsid w:val="00CA7C3C"/>
    <w:rsid w:val="00CB0189"/>
    <w:rsid w:val="00CB0BA2"/>
    <w:rsid w:val="00CB1A42"/>
    <w:rsid w:val="00CB1B0C"/>
    <w:rsid w:val="00CB2C0B"/>
    <w:rsid w:val="00CB517D"/>
    <w:rsid w:val="00CB70C9"/>
    <w:rsid w:val="00CC038D"/>
    <w:rsid w:val="00CC062B"/>
    <w:rsid w:val="00CC08DB"/>
    <w:rsid w:val="00CC2FB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B71"/>
    <w:rsid w:val="00CF0199"/>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309"/>
    <w:rsid w:val="00D126F5"/>
    <w:rsid w:val="00D130E7"/>
    <w:rsid w:val="00D1489E"/>
    <w:rsid w:val="00D20737"/>
    <w:rsid w:val="00D21E81"/>
    <w:rsid w:val="00D223DE"/>
    <w:rsid w:val="00D23D63"/>
    <w:rsid w:val="00D25E37"/>
    <w:rsid w:val="00D2661A"/>
    <w:rsid w:val="00D27582"/>
    <w:rsid w:val="00D27EC4"/>
    <w:rsid w:val="00D32719"/>
    <w:rsid w:val="00D32CBD"/>
    <w:rsid w:val="00D33333"/>
    <w:rsid w:val="00D33457"/>
    <w:rsid w:val="00D352A2"/>
    <w:rsid w:val="00D4052E"/>
    <w:rsid w:val="00D40A7B"/>
    <w:rsid w:val="00D4162B"/>
    <w:rsid w:val="00D4514F"/>
    <w:rsid w:val="00D451E2"/>
    <w:rsid w:val="00D45E89"/>
    <w:rsid w:val="00D45E8D"/>
    <w:rsid w:val="00D466AE"/>
    <w:rsid w:val="00D4734F"/>
    <w:rsid w:val="00D51BF3"/>
    <w:rsid w:val="00D579B2"/>
    <w:rsid w:val="00D63964"/>
    <w:rsid w:val="00D666F6"/>
    <w:rsid w:val="00D66846"/>
    <w:rsid w:val="00D675FB"/>
    <w:rsid w:val="00D71F25"/>
    <w:rsid w:val="00D725C4"/>
    <w:rsid w:val="00D72A9C"/>
    <w:rsid w:val="00D74723"/>
    <w:rsid w:val="00D77031"/>
    <w:rsid w:val="00D8084F"/>
    <w:rsid w:val="00D824EA"/>
    <w:rsid w:val="00D84941"/>
    <w:rsid w:val="00D84FA1"/>
    <w:rsid w:val="00D851F0"/>
    <w:rsid w:val="00D86DB7"/>
    <w:rsid w:val="00D9027C"/>
    <w:rsid w:val="00D902E3"/>
    <w:rsid w:val="00D926D0"/>
    <w:rsid w:val="00D93030"/>
    <w:rsid w:val="00D950E1"/>
    <w:rsid w:val="00D952A6"/>
    <w:rsid w:val="00D952A9"/>
    <w:rsid w:val="00D961AE"/>
    <w:rsid w:val="00D97F99"/>
    <w:rsid w:val="00DA0317"/>
    <w:rsid w:val="00DA1E08"/>
    <w:rsid w:val="00DA24F8"/>
    <w:rsid w:val="00DA28E8"/>
    <w:rsid w:val="00DA38D3"/>
    <w:rsid w:val="00DA3932"/>
    <w:rsid w:val="00DA3AFC"/>
    <w:rsid w:val="00DA5191"/>
    <w:rsid w:val="00DA60C6"/>
    <w:rsid w:val="00DA64F8"/>
    <w:rsid w:val="00DA6C15"/>
    <w:rsid w:val="00DB0258"/>
    <w:rsid w:val="00DB311E"/>
    <w:rsid w:val="00DB38EE"/>
    <w:rsid w:val="00DB3EEA"/>
    <w:rsid w:val="00DB498B"/>
    <w:rsid w:val="00DB66CA"/>
    <w:rsid w:val="00DB6BCA"/>
    <w:rsid w:val="00DB73F7"/>
    <w:rsid w:val="00DC0321"/>
    <w:rsid w:val="00DC29E2"/>
    <w:rsid w:val="00DC3067"/>
    <w:rsid w:val="00DC370B"/>
    <w:rsid w:val="00DC45AC"/>
    <w:rsid w:val="00DC5B90"/>
    <w:rsid w:val="00DC66DC"/>
    <w:rsid w:val="00DC67B8"/>
    <w:rsid w:val="00DD00FF"/>
    <w:rsid w:val="00DD0619"/>
    <w:rsid w:val="00DD07FB"/>
    <w:rsid w:val="00DD25C6"/>
    <w:rsid w:val="00DD4FE5"/>
    <w:rsid w:val="00DD54B0"/>
    <w:rsid w:val="00DD57EE"/>
    <w:rsid w:val="00DD5B9D"/>
    <w:rsid w:val="00DD6BCC"/>
    <w:rsid w:val="00DE0A4B"/>
    <w:rsid w:val="00DE2410"/>
    <w:rsid w:val="00DE2939"/>
    <w:rsid w:val="00DE3EBD"/>
    <w:rsid w:val="00DE6E81"/>
    <w:rsid w:val="00DE703F"/>
    <w:rsid w:val="00DE7595"/>
    <w:rsid w:val="00DF1961"/>
    <w:rsid w:val="00DF3914"/>
    <w:rsid w:val="00DF44DE"/>
    <w:rsid w:val="00DF4FEC"/>
    <w:rsid w:val="00DF5F11"/>
    <w:rsid w:val="00E01138"/>
    <w:rsid w:val="00E02DFB"/>
    <w:rsid w:val="00E030F9"/>
    <w:rsid w:val="00E0311A"/>
    <w:rsid w:val="00E03138"/>
    <w:rsid w:val="00E0636C"/>
    <w:rsid w:val="00E06404"/>
    <w:rsid w:val="00E065D2"/>
    <w:rsid w:val="00E06ADB"/>
    <w:rsid w:val="00E1083B"/>
    <w:rsid w:val="00E11A85"/>
    <w:rsid w:val="00E11EAE"/>
    <w:rsid w:val="00E12495"/>
    <w:rsid w:val="00E15CCD"/>
    <w:rsid w:val="00E202EF"/>
    <w:rsid w:val="00E210B5"/>
    <w:rsid w:val="00E23D99"/>
    <w:rsid w:val="00E2552F"/>
    <w:rsid w:val="00E301B7"/>
    <w:rsid w:val="00E3137A"/>
    <w:rsid w:val="00E32CCF"/>
    <w:rsid w:val="00E34A98"/>
    <w:rsid w:val="00E35D1E"/>
    <w:rsid w:val="00E364F9"/>
    <w:rsid w:val="00E365FA"/>
    <w:rsid w:val="00E36789"/>
    <w:rsid w:val="00E44717"/>
    <w:rsid w:val="00E44A83"/>
    <w:rsid w:val="00E502C1"/>
    <w:rsid w:val="00E502DD"/>
    <w:rsid w:val="00E50D3A"/>
    <w:rsid w:val="00E511CA"/>
    <w:rsid w:val="00E51387"/>
    <w:rsid w:val="00E51E68"/>
    <w:rsid w:val="00E52EFD"/>
    <w:rsid w:val="00E5408A"/>
    <w:rsid w:val="00E566F2"/>
    <w:rsid w:val="00E56800"/>
    <w:rsid w:val="00E60C63"/>
    <w:rsid w:val="00E62FF9"/>
    <w:rsid w:val="00E635D6"/>
    <w:rsid w:val="00E639BC"/>
    <w:rsid w:val="00E664CC"/>
    <w:rsid w:val="00E66BC3"/>
    <w:rsid w:val="00E70388"/>
    <w:rsid w:val="00E70ACE"/>
    <w:rsid w:val="00E70F92"/>
    <w:rsid w:val="00E74C54"/>
    <w:rsid w:val="00E751DD"/>
    <w:rsid w:val="00E77A03"/>
    <w:rsid w:val="00E822E8"/>
    <w:rsid w:val="00E82554"/>
    <w:rsid w:val="00E82606"/>
    <w:rsid w:val="00E82EE5"/>
    <w:rsid w:val="00E846C8"/>
    <w:rsid w:val="00E84957"/>
    <w:rsid w:val="00E84A55"/>
    <w:rsid w:val="00E85BFF"/>
    <w:rsid w:val="00E86780"/>
    <w:rsid w:val="00E90391"/>
    <w:rsid w:val="00E906C2"/>
    <w:rsid w:val="00E91EB3"/>
    <w:rsid w:val="00E9311F"/>
    <w:rsid w:val="00E934D1"/>
    <w:rsid w:val="00E93558"/>
    <w:rsid w:val="00E94AF0"/>
    <w:rsid w:val="00E95D13"/>
    <w:rsid w:val="00E95DD3"/>
    <w:rsid w:val="00E969D5"/>
    <w:rsid w:val="00EA2FFE"/>
    <w:rsid w:val="00EA58D1"/>
    <w:rsid w:val="00EA61BC"/>
    <w:rsid w:val="00EA681A"/>
    <w:rsid w:val="00EA735B"/>
    <w:rsid w:val="00EB17DE"/>
    <w:rsid w:val="00EB1E69"/>
    <w:rsid w:val="00EB2086"/>
    <w:rsid w:val="00EB5EDF"/>
    <w:rsid w:val="00EB60FE"/>
    <w:rsid w:val="00EB74DB"/>
    <w:rsid w:val="00EC4778"/>
    <w:rsid w:val="00EC5359"/>
    <w:rsid w:val="00EC55C4"/>
    <w:rsid w:val="00EC562A"/>
    <w:rsid w:val="00EC702E"/>
    <w:rsid w:val="00ED067A"/>
    <w:rsid w:val="00ED2B50"/>
    <w:rsid w:val="00EE0350"/>
    <w:rsid w:val="00EE0719"/>
    <w:rsid w:val="00EE0E80"/>
    <w:rsid w:val="00EE4B72"/>
    <w:rsid w:val="00EE54A6"/>
    <w:rsid w:val="00EE5B58"/>
    <w:rsid w:val="00EE613F"/>
    <w:rsid w:val="00EE7295"/>
    <w:rsid w:val="00EE7869"/>
    <w:rsid w:val="00EE7C3A"/>
    <w:rsid w:val="00EF054A"/>
    <w:rsid w:val="00EF3235"/>
    <w:rsid w:val="00EF60B9"/>
    <w:rsid w:val="00EF7E72"/>
    <w:rsid w:val="00F06D37"/>
    <w:rsid w:val="00F07B9D"/>
    <w:rsid w:val="00F11586"/>
    <w:rsid w:val="00F1183B"/>
    <w:rsid w:val="00F11C9F"/>
    <w:rsid w:val="00F12263"/>
    <w:rsid w:val="00F1409D"/>
    <w:rsid w:val="00F14214"/>
    <w:rsid w:val="00F157A9"/>
    <w:rsid w:val="00F23421"/>
    <w:rsid w:val="00F25BB6"/>
    <w:rsid w:val="00F26B7E"/>
    <w:rsid w:val="00F27A3B"/>
    <w:rsid w:val="00F33817"/>
    <w:rsid w:val="00F37B87"/>
    <w:rsid w:val="00F420D5"/>
    <w:rsid w:val="00F451EA"/>
    <w:rsid w:val="00F45447"/>
    <w:rsid w:val="00F456C6"/>
    <w:rsid w:val="00F456C8"/>
    <w:rsid w:val="00F4577B"/>
    <w:rsid w:val="00F458FF"/>
    <w:rsid w:val="00F46496"/>
    <w:rsid w:val="00F474D0"/>
    <w:rsid w:val="00F50179"/>
    <w:rsid w:val="00F515EE"/>
    <w:rsid w:val="00F52AB7"/>
    <w:rsid w:val="00F56511"/>
    <w:rsid w:val="00F6194E"/>
    <w:rsid w:val="00F623AC"/>
    <w:rsid w:val="00F6412A"/>
    <w:rsid w:val="00F65893"/>
    <w:rsid w:val="00F66A4A"/>
    <w:rsid w:val="00F71E22"/>
    <w:rsid w:val="00F72142"/>
    <w:rsid w:val="00F72AE7"/>
    <w:rsid w:val="00F76EA9"/>
    <w:rsid w:val="00F81141"/>
    <w:rsid w:val="00F833BA"/>
    <w:rsid w:val="00F84FD0"/>
    <w:rsid w:val="00F859A8"/>
    <w:rsid w:val="00F86D87"/>
    <w:rsid w:val="00F9108B"/>
    <w:rsid w:val="00F91349"/>
    <w:rsid w:val="00F91BCF"/>
    <w:rsid w:val="00F93A8A"/>
    <w:rsid w:val="00F95248"/>
    <w:rsid w:val="00F956A9"/>
    <w:rsid w:val="00F963ED"/>
    <w:rsid w:val="00F966CF"/>
    <w:rsid w:val="00F96CAE"/>
    <w:rsid w:val="00F97C99"/>
    <w:rsid w:val="00FA45C5"/>
    <w:rsid w:val="00FA4DAC"/>
    <w:rsid w:val="00FA662D"/>
    <w:rsid w:val="00FA73B1"/>
    <w:rsid w:val="00FB0CB9"/>
    <w:rsid w:val="00FB231D"/>
    <w:rsid w:val="00FB45F1"/>
    <w:rsid w:val="00FB4A72"/>
    <w:rsid w:val="00FB54E8"/>
    <w:rsid w:val="00FB6361"/>
    <w:rsid w:val="00FB7054"/>
    <w:rsid w:val="00FC1531"/>
    <w:rsid w:val="00FC17B7"/>
    <w:rsid w:val="00FC2CB7"/>
    <w:rsid w:val="00FC4090"/>
    <w:rsid w:val="00FC55B4"/>
    <w:rsid w:val="00FD00E6"/>
    <w:rsid w:val="00FD09A1"/>
    <w:rsid w:val="00FD1CAB"/>
    <w:rsid w:val="00FD2786"/>
    <w:rsid w:val="00FD2A7C"/>
    <w:rsid w:val="00FD3146"/>
    <w:rsid w:val="00FD41A5"/>
    <w:rsid w:val="00FD59EB"/>
    <w:rsid w:val="00FD7299"/>
    <w:rsid w:val="00FE1FBE"/>
    <w:rsid w:val="00FE3901"/>
    <w:rsid w:val="00FE39D3"/>
    <w:rsid w:val="00FE3FA8"/>
    <w:rsid w:val="00FE4BCE"/>
    <w:rsid w:val="00FE54AE"/>
    <w:rsid w:val="00FE576A"/>
    <w:rsid w:val="00FE698E"/>
    <w:rsid w:val="00FE7E79"/>
    <w:rsid w:val="00FF0B23"/>
    <w:rsid w:val="00FF3E7D"/>
    <w:rsid w:val="00FF5B99"/>
    <w:rsid w:val="00FF730C"/>
    <w:rsid w:val="00FF73F4"/>
    <w:rsid w:val="00FF7CE4"/>
    <w:rsid w:val="00FF7E39"/>
    <w:rsid w:val="0112740E"/>
    <w:rsid w:val="013C7962"/>
    <w:rsid w:val="01EA50BC"/>
    <w:rsid w:val="027417E0"/>
    <w:rsid w:val="031860CF"/>
    <w:rsid w:val="041E2474"/>
    <w:rsid w:val="056D2180"/>
    <w:rsid w:val="069645D9"/>
    <w:rsid w:val="06F93099"/>
    <w:rsid w:val="07000B6D"/>
    <w:rsid w:val="084D5E57"/>
    <w:rsid w:val="08C53F01"/>
    <w:rsid w:val="09FA3D37"/>
    <w:rsid w:val="0C885A34"/>
    <w:rsid w:val="0D3D4425"/>
    <w:rsid w:val="0D630587"/>
    <w:rsid w:val="0D88204C"/>
    <w:rsid w:val="0E3F5229"/>
    <w:rsid w:val="0E530AD7"/>
    <w:rsid w:val="0E6C2093"/>
    <w:rsid w:val="10C63B79"/>
    <w:rsid w:val="11CF479B"/>
    <w:rsid w:val="1237422B"/>
    <w:rsid w:val="13E05042"/>
    <w:rsid w:val="152523B2"/>
    <w:rsid w:val="15EB50D2"/>
    <w:rsid w:val="167D450D"/>
    <w:rsid w:val="16B071FA"/>
    <w:rsid w:val="16E66684"/>
    <w:rsid w:val="17121E69"/>
    <w:rsid w:val="182D4E8D"/>
    <w:rsid w:val="187B04A5"/>
    <w:rsid w:val="196E41B2"/>
    <w:rsid w:val="19CF28F3"/>
    <w:rsid w:val="1B526CE0"/>
    <w:rsid w:val="1B6C4D6F"/>
    <w:rsid w:val="1BA53F07"/>
    <w:rsid w:val="1BBE1FA1"/>
    <w:rsid w:val="1CB93CF9"/>
    <w:rsid w:val="1D3A249E"/>
    <w:rsid w:val="1EAA3E2D"/>
    <w:rsid w:val="1EC21E33"/>
    <w:rsid w:val="20657901"/>
    <w:rsid w:val="20702E45"/>
    <w:rsid w:val="210F5515"/>
    <w:rsid w:val="21762C78"/>
    <w:rsid w:val="21EE7EBA"/>
    <w:rsid w:val="225D30BF"/>
    <w:rsid w:val="22D74A53"/>
    <w:rsid w:val="256711CF"/>
    <w:rsid w:val="27726988"/>
    <w:rsid w:val="277E75CB"/>
    <w:rsid w:val="27F36F68"/>
    <w:rsid w:val="289A3C83"/>
    <w:rsid w:val="2A4114C4"/>
    <w:rsid w:val="2A83547D"/>
    <w:rsid w:val="2BDC2353"/>
    <w:rsid w:val="2CC41891"/>
    <w:rsid w:val="30C7634B"/>
    <w:rsid w:val="310773E6"/>
    <w:rsid w:val="312B4AB9"/>
    <w:rsid w:val="316A1D09"/>
    <w:rsid w:val="32B86AA2"/>
    <w:rsid w:val="32E00E0F"/>
    <w:rsid w:val="3342466F"/>
    <w:rsid w:val="339A0F58"/>
    <w:rsid w:val="350E7794"/>
    <w:rsid w:val="35543778"/>
    <w:rsid w:val="35BF47A8"/>
    <w:rsid w:val="376C1BF8"/>
    <w:rsid w:val="37A23453"/>
    <w:rsid w:val="395D01BD"/>
    <w:rsid w:val="396B7927"/>
    <w:rsid w:val="3A3C57FD"/>
    <w:rsid w:val="3A7C6C70"/>
    <w:rsid w:val="3AB5254A"/>
    <w:rsid w:val="3B1818F7"/>
    <w:rsid w:val="3CFFEF41"/>
    <w:rsid w:val="3DFC4DB2"/>
    <w:rsid w:val="3E047A67"/>
    <w:rsid w:val="3E6F5E23"/>
    <w:rsid w:val="3F387B0D"/>
    <w:rsid w:val="405372F9"/>
    <w:rsid w:val="419549D4"/>
    <w:rsid w:val="434F3D79"/>
    <w:rsid w:val="44767327"/>
    <w:rsid w:val="449812AA"/>
    <w:rsid w:val="4725489F"/>
    <w:rsid w:val="476475F1"/>
    <w:rsid w:val="47BE610A"/>
    <w:rsid w:val="487F56A0"/>
    <w:rsid w:val="4AE736E5"/>
    <w:rsid w:val="4B2B3E47"/>
    <w:rsid w:val="4D94007C"/>
    <w:rsid w:val="4DB51977"/>
    <w:rsid w:val="4EFC7418"/>
    <w:rsid w:val="4FAF3DB5"/>
    <w:rsid w:val="50CE6123"/>
    <w:rsid w:val="521C2CD4"/>
    <w:rsid w:val="52285DEB"/>
    <w:rsid w:val="537F0A23"/>
    <w:rsid w:val="54406A43"/>
    <w:rsid w:val="54AA1EDF"/>
    <w:rsid w:val="54DC2EBD"/>
    <w:rsid w:val="558E78ED"/>
    <w:rsid w:val="567B11E9"/>
    <w:rsid w:val="57BE0190"/>
    <w:rsid w:val="580E1528"/>
    <w:rsid w:val="59184330"/>
    <w:rsid w:val="59511068"/>
    <w:rsid w:val="5A47702B"/>
    <w:rsid w:val="5C0E0ABC"/>
    <w:rsid w:val="5CC229A2"/>
    <w:rsid w:val="5D3378D0"/>
    <w:rsid w:val="60D66A94"/>
    <w:rsid w:val="612C0E31"/>
    <w:rsid w:val="6145553B"/>
    <w:rsid w:val="619C347A"/>
    <w:rsid w:val="61C72EFD"/>
    <w:rsid w:val="621B47C5"/>
    <w:rsid w:val="63B80D7E"/>
    <w:rsid w:val="64512613"/>
    <w:rsid w:val="64D6787F"/>
    <w:rsid w:val="65FA63E5"/>
    <w:rsid w:val="66EB37BD"/>
    <w:rsid w:val="675F6C12"/>
    <w:rsid w:val="67931048"/>
    <w:rsid w:val="6A957095"/>
    <w:rsid w:val="6AC71345"/>
    <w:rsid w:val="6ACB3A50"/>
    <w:rsid w:val="6BC77FDB"/>
    <w:rsid w:val="6C1E21D3"/>
    <w:rsid w:val="6C947AD1"/>
    <w:rsid w:val="6D0726F5"/>
    <w:rsid w:val="6D2809C7"/>
    <w:rsid w:val="6F9522A3"/>
    <w:rsid w:val="701620E0"/>
    <w:rsid w:val="70A013C0"/>
    <w:rsid w:val="71FA728E"/>
    <w:rsid w:val="736A7A71"/>
    <w:rsid w:val="73EA00DC"/>
    <w:rsid w:val="762251EF"/>
    <w:rsid w:val="76446EF6"/>
    <w:rsid w:val="76D917F6"/>
    <w:rsid w:val="789E1CA2"/>
    <w:rsid w:val="79333776"/>
    <w:rsid w:val="79986B03"/>
    <w:rsid w:val="79BF7DCA"/>
    <w:rsid w:val="7C5762A5"/>
    <w:rsid w:val="7C7A7479"/>
    <w:rsid w:val="7F685A05"/>
    <w:rsid w:val="C77D9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Plain Text"/>
    <w:basedOn w:val="1"/>
    <w:qFormat/>
    <w:uiPriority w:val="0"/>
    <w:pPr>
      <w:spacing w:line="240" w:lineRule="auto"/>
      <w:ind w:firstLine="0" w:firstLineChars="0"/>
      <w:outlineLvl w:val="9"/>
    </w:pPr>
    <w:rPr>
      <w:rFonts w:cs="Courier New"/>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link w:val="234"/>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link w:val="235"/>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修订1"/>
    <w:hidden/>
    <w:semiHidden/>
    <w:qFormat/>
    <w:uiPriority w:val="99"/>
    <w:rPr>
      <w:rFonts w:ascii="Calibri" w:hAnsi="Calibri" w:eastAsia="宋体" w:cs="Times New Roman"/>
      <w:kern w:val="2"/>
      <w:sz w:val="21"/>
      <w:szCs w:val="21"/>
      <w:lang w:val="en-US" w:eastAsia="zh-CN" w:bidi="ar-SA"/>
    </w:rPr>
  </w:style>
  <w:style w:type="paragraph" w:styleId="232">
    <w:name w:val="List Paragraph"/>
    <w:basedOn w:val="1"/>
    <w:qFormat/>
    <w:uiPriority w:val="99"/>
    <w:pPr>
      <w:ind w:firstLine="420" w:firstLineChars="200"/>
    </w:pPr>
  </w:style>
  <w:style w:type="paragraph" w:customStyle="1" w:styleId="233">
    <w:name w:val="修订2"/>
    <w:hidden/>
    <w:semiHidden/>
    <w:qFormat/>
    <w:uiPriority w:val="99"/>
    <w:rPr>
      <w:rFonts w:ascii="Calibri" w:hAnsi="Calibri" w:eastAsia="宋体" w:cs="Times New Roman"/>
      <w:kern w:val="2"/>
      <w:sz w:val="21"/>
      <w:szCs w:val="21"/>
      <w:lang w:val="en-US" w:eastAsia="zh-CN" w:bidi="ar-SA"/>
    </w:rPr>
  </w:style>
  <w:style w:type="character" w:customStyle="1" w:styleId="234">
    <w:name w:val="标准文件_标准代替 Char"/>
    <w:link w:val="60"/>
    <w:qFormat/>
    <w:uiPriority w:val="0"/>
    <w:rPr>
      <w:rFonts w:ascii="宋体" w:hAnsi="宋体"/>
      <w:kern w:val="0"/>
    </w:rPr>
  </w:style>
  <w:style w:type="character" w:customStyle="1" w:styleId="235">
    <w:name w:val="标准文件_三级条标题 Char"/>
    <w:link w:val="9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wmf"/><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lenovo/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D91DC07CFBC4D2B8BE1179223E33EC0"/>
        <w:style w:val=""/>
        <w:category>
          <w:name w:val="常规"/>
          <w:gallery w:val="placeholder"/>
        </w:category>
        <w:types>
          <w:type w:val="bbPlcHdr"/>
        </w:types>
        <w:behaviors>
          <w:behavior w:val="content"/>
        </w:behaviors>
        <w:description w:val=""/>
        <w:guid w:val="{185C8348-FB4F-4D57-B1AB-308ACCCCE594}"/>
      </w:docPartPr>
      <w:docPartBody>
        <w:p>
          <w:pPr>
            <w:pStyle w:val="5"/>
          </w:pPr>
          <w:r>
            <w:rPr>
              <w:rStyle w:val="4"/>
              <w:rFonts w:hint="eastAsia"/>
            </w:rPr>
            <w:t>单击或点击此处输入文字。</w:t>
          </w:r>
        </w:p>
      </w:docPartBody>
    </w:docPart>
    <w:docPart>
      <w:docPartPr>
        <w:name w:val="51D8D1508D0F430DA0A91FC2D5351E49"/>
        <w:style w:val=""/>
        <w:category>
          <w:name w:val="常规"/>
          <w:gallery w:val="placeholder"/>
        </w:category>
        <w:types>
          <w:type w:val="bbPlcHdr"/>
        </w:types>
        <w:behaviors>
          <w:behavior w:val="content"/>
        </w:behaviors>
        <w:description w:val=""/>
        <w:guid w:val="{88F2E17A-B622-4B18-BFB0-C73CE63A74B6}"/>
      </w:docPartPr>
      <w:docPartBody>
        <w:p>
          <w:pPr>
            <w:pStyle w:val="6"/>
          </w:pPr>
          <w:r>
            <w:rPr>
              <w:rStyle w:val="4"/>
              <w:rFonts w:hint="eastAsia"/>
            </w:rPr>
            <w:t>选择一项。</w:t>
          </w:r>
        </w:p>
      </w:docPartBody>
    </w:docPart>
    <w:docPart>
      <w:docPartPr>
        <w:name w:val="77CAED685D514218AD95AAF82BEB5548"/>
        <w:style w:val=""/>
        <w:category>
          <w:name w:val="常规"/>
          <w:gallery w:val="placeholder"/>
        </w:category>
        <w:types>
          <w:type w:val="bbPlcHdr"/>
        </w:types>
        <w:behaviors>
          <w:behavior w:val="content"/>
        </w:behaviors>
        <w:description w:val=""/>
        <w:guid w:val="{CFA8520C-2314-4220-BC13-C3623728456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B4"/>
    <w:rsid w:val="0001414D"/>
    <w:rsid w:val="000E1D97"/>
    <w:rsid w:val="00105582"/>
    <w:rsid w:val="00131768"/>
    <w:rsid w:val="00192C06"/>
    <w:rsid w:val="001957AF"/>
    <w:rsid w:val="001F5FF5"/>
    <w:rsid w:val="00204D57"/>
    <w:rsid w:val="002541BE"/>
    <w:rsid w:val="002E05E1"/>
    <w:rsid w:val="003263B4"/>
    <w:rsid w:val="0033376C"/>
    <w:rsid w:val="004B27ED"/>
    <w:rsid w:val="00510091"/>
    <w:rsid w:val="00545CE9"/>
    <w:rsid w:val="005F71CE"/>
    <w:rsid w:val="0061421A"/>
    <w:rsid w:val="0063075F"/>
    <w:rsid w:val="006A0B5A"/>
    <w:rsid w:val="00712F52"/>
    <w:rsid w:val="00756029"/>
    <w:rsid w:val="00795D00"/>
    <w:rsid w:val="007E396E"/>
    <w:rsid w:val="00945DF1"/>
    <w:rsid w:val="009B7C20"/>
    <w:rsid w:val="00A50080"/>
    <w:rsid w:val="00D60AAD"/>
    <w:rsid w:val="00DB1403"/>
    <w:rsid w:val="00E77E51"/>
    <w:rsid w:val="00F03F7F"/>
    <w:rsid w:val="00F9098A"/>
    <w:rsid w:val="00FB2AA3"/>
    <w:rsid w:val="00FF7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D91DC07CFBC4D2B8BE1179223E33E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1D8D1508D0F430DA0A91FC2D5351E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7CAED685D514218AD95AAF82BEB554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9714</Words>
  <Characters>10890</Characters>
  <Lines>172</Lines>
  <Paragraphs>48</Paragraphs>
  <TotalTime>1</TotalTime>
  <ScaleCrop>false</ScaleCrop>
  <LinksUpToDate>false</LinksUpToDate>
  <CharactersWithSpaces>11261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2022-06-30T19:00:00Z</dcterms:created>
  <dc:creator>黄少东</dc:creator>
  <dc:description>&lt;config cover="true" show_menu="true" version="1.0.0" doctype="SDKXY"&gt;_x000d_
&lt;/config&gt;</dc:description>
  <cp:lastModifiedBy>lenovo</cp:lastModifiedBy>
  <cp:lastPrinted>2024-10-28T22:17:00Z</cp:lastPrinted>
  <dcterms:modified xsi:type="dcterms:W3CDTF">2024-11-19T15:17:45Z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2052-11.8.2.10386</vt:lpwstr>
  </property>
  <property fmtid="{D5CDD505-2E9C-101B-9397-08002B2CF9AE}" pid="15" name="ICV">
    <vt:lpwstr>790F1957910245CBBD87D10EEFE05682_13</vt:lpwstr>
  </property>
</Properties>
</file>