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华文中宋" w:hAnsi="华文中宋" w:eastAsia="华文中宋"/>
          <w:sz w:val="36"/>
          <w:szCs w:val="36"/>
        </w:rPr>
      </w:pPr>
      <w:r>
        <w:rPr>
          <w:rFonts w:hint="eastAsia" w:ascii="黑体" w:hAnsi="黑体" w:eastAsia="黑体" w:cs="黑体"/>
          <w:sz w:val="30"/>
          <w:szCs w:val="30"/>
        </w:rPr>
        <w:t>安徽省地方标准编制说明</w:t>
      </w:r>
    </w:p>
    <w:tbl>
      <w:tblPr>
        <w:tblStyle w:val="7"/>
        <w:tblW w:w="9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987"/>
        <w:gridCol w:w="3673"/>
        <w:gridCol w:w="1705"/>
        <w:gridCol w:w="1058"/>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标准名称</w:t>
            </w:r>
          </w:p>
        </w:tc>
        <w:tc>
          <w:tcPr>
            <w:tcW w:w="7889" w:type="dxa"/>
            <w:gridSpan w:val="4"/>
            <w:vAlign w:val="center"/>
          </w:tcPr>
          <w:p>
            <w:pPr>
              <w:pStyle w:val="13"/>
              <w:adjustRightInd w:val="0"/>
              <w:spacing w:line="360" w:lineRule="auto"/>
              <w:ind w:firstLine="0" w:firstLineChars="0"/>
              <w:contextualSpacing/>
              <w:rPr>
                <w:rFonts w:hAnsi="宋体"/>
                <w:szCs w:val="21"/>
              </w:rPr>
            </w:pPr>
            <w:r>
              <w:rPr>
                <w:rFonts w:hint="eastAsia"/>
              </w:rPr>
              <w:t>《高速公路养护智慧工地信息化建设技术规范》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任务来源</w:t>
            </w:r>
          </w:p>
          <w:p>
            <w:pPr>
              <w:pStyle w:val="13"/>
              <w:adjustRightInd w:val="0"/>
              <w:spacing w:line="360" w:lineRule="auto"/>
              <w:ind w:firstLine="0" w:firstLineChars="0"/>
              <w:contextualSpacing/>
              <w:jc w:val="center"/>
              <w:rPr>
                <w:rFonts w:hAnsi="宋体"/>
                <w:szCs w:val="21"/>
              </w:rPr>
            </w:pPr>
            <w:r>
              <w:rPr>
                <w:rFonts w:hint="eastAsia" w:hAnsi="宋体"/>
                <w:szCs w:val="21"/>
              </w:rPr>
              <w:t>（项目计划号）</w:t>
            </w:r>
          </w:p>
        </w:tc>
        <w:tc>
          <w:tcPr>
            <w:tcW w:w="7889" w:type="dxa"/>
            <w:gridSpan w:val="4"/>
            <w:vAlign w:val="center"/>
          </w:tcPr>
          <w:p>
            <w:pPr>
              <w:pStyle w:val="13"/>
              <w:adjustRightInd w:val="0"/>
              <w:spacing w:line="360" w:lineRule="auto"/>
              <w:ind w:firstLine="0" w:firstLineChars="0"/>
              <w:contextualSpacing/>
              <w:rPr>
                <w:rFonts w:hAnsi="宋体"/>
                <w:szCs w:val="21"/>
              </w:rPr>
            </w:pPr>
            <w:r>
              <w:rPr>
                <w:rFonts w:hint="eastAsia"/>
              </w:rPr>
              <w:t>《安徽省市场监督管理局关于下达202</w:t>
            </w:r>
            <w:r>
              <w:t>3</w:t>
            </w:r>
            <w:r>
              <w:rPr>
                <w:rFonts w:hint="eastAsia"/>
              </w:rPr>
              <w:t>年第三批安徽省地方标准制修订计划的通知》（202</w:t>
            </w:r>
            <w:r>
              <w:t>3</w:t>
            </w:r>
            <w:r>
              <w:rPr>
                <w:rFonts w:hint="eastAsia"/>
              </w:rPr>
              <w:t>-</w:t>
            </w:r>
            <w:r>
              <w:t>3</w:t>
            </w:r>
            <w:r>
              <w:rPr>
                <w:rFonts w:hint="eastAsia"/>
              </w:rPr>
              <w:t>-1</w:t>
            </w:r>
            <w:r>
              <w:t>02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第一起草单位</w:t>
            </w:r>
          </w:p>
          <w:p>
            <w:pPr>
              <w:pStyle w:val="13"/>
              <w:adjustRightInd w:val="0"/>
              <w:spacing w:line="360" w:lineRule="auto"/>
              <w:ind w:firstLine="0" w:firstLineChars="0"/>
              <w:contextualSpacing/>
              <w:jc w:val="center"/>
              <w:rPr>
                <w:rFonts w:hAnsi="宋体"/>
                <w:szCs w:val="21"/>
              </w:rPr>
            </w:pPr>
            <w:r>
              <w:rPr>
                <w:rFonts w:hint="eastAsia" w:hAnsi="宋体"/>
                <w:szCs w:val="21"/>
              </w:rPr>
              <w:t>（盖章）</w:t>
            </w:r>
          </w:p>
        </w:tc>
        <w:tc>
          <w:tcPr>
            <w:tcW w:w="7889" w:type="dxa"/>
            <w:gridSpan w:val="4"/>
            <w:vAlign w:val="center"/>
          </w:tcPr>
          <w:p>
            <w:pPr>
              <w:pStyle w:val="13"/>
              <w:adjustRightInd w:val="0"/>
              <w:spacing w:line="360" w:lineRule="auto"/>
              <w:ind w:firstLine="0" w:firstLineChars="0"/>
              <w:contextualSpacing/>
              <w:rPr>
                <w:rFonts w:hAnsi="宋体"/>
                <w:szCs w:val="21"/>
              </w:rPr>
            </w:pPr>
            <w:r>
              <w:rPr>
                <w:rFonts w:hint="eastAsia" w:asciiTheme="minorEastAsia" w:hAnsiTheme="minorEastAsia"/>
                <w:szCs w:val="21"/>
              </w:rPr>
              <w:t>安徽省交通控股集团有限公司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单位地址</w:t>
            </w:r>
          </w:p>
        </w:tc>
        <w:tc>
          <w:tcPr>
            <w:tcW w:w="7889" w:type="dxa"/>
            <w:gridSpan w:val="4"/>
            <w:vAlign w:val="center"/>
          </w:tcPr>
          <w:p>
            <w:pPr>
              <w:pStyle w:val="13"/>
              <w:adjustRightInd w:val="0"/>
              <w:spacing w:line="360" w:lineRule="auto"/>
              <w:ind w:firstLine="0" w:firstLineChars="0"/>
              <w:contextualSpacing/>
              <w:rPr>
                <w:rFonts w:hAnsi="宋体"/>
                <w:szCs w:val="21"/>
              </w:rPr>
            </w:pPr>
            <w:r>
              <w:rPr>
                <w:rFonts w:hint="eastAsia" w:asciiTheme="minorEastAsia" w:hAnsiTheme="minorEastAsia"/>
                <w:szCs w:val="21"/>
              </w:rPr>
              <w:t>安徽省合肥市望江西路520号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1" w:type="dxa"/>
            <w:gridSpan w:val="2"/>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参与起草单位</w:t>
            </w:r>
          </w:p>
        </w:tc>
        <w:tc>
          <w:tcPr>
            <w:tcW w:w="7889" w:type="dxa"/>
            <w:gridSpan w:val="4"/>
            <w:vAlign w:val="center"/>
          </w:tcPr>
          <w:p>
            <w:pPr>
              <w:pStyle w:val="13"/>
              <w:adjustRightInd w:val="0"/>
              <w:spacing w:line="440" w:lineRule="exact"/>
              <w:ind w:firstLine="0" w:firstLineChars="0"/>
              <w:contextualSpacing/>
              <w:rPr>
                <w:rFonts w:asciiTheme="minorEastAsia" w:hAnsiTheme="minorEastAsia"/>
              </w:rPr>
            </w:pPr>
            <w:r>
              <w:rPr>
                <w:rFonts w:hint="eastAsia" w:asciiTheme="minorEastAsia" w:hAnsiTheme="minorEastAsia"/>
              </w:rPr>
              <w:t>安徽皖通高速公路股份有限公司</w:t>
            </w:r>
          </w:p>
          <w:p>
            <w:pPr>
              <w:pStyle w:val="13"/>
              <w:adjustRightInd w:val="0"/>
              <w:spacing w:line="440" w:lineRule="exact"/>
              <w:ind w:firstLine="0" w:firstLineChars="0"/>
              <w:contextualSpacing/>
              <w:rPr>
                <w:rFonts w:asciiTheme="minorEastAsia" w:hAnsiTheme="minorEastAsia"/>
              </w:rPr>
            </w:pPr>
            <w:r>
              <w:rPr>
                <w:rFonts w:hint="eastAsia" w:asciiTheme="minorEastAsia" w:hAnsiTheme="minorEastAsia"/>
              </w:rPr>
              <w:t>安徽交控道路养护有限公司</w:t>
            </w:r>
          </w:p>
          <w:p>
            <w:pPr>
              <w:pStyle w:val="13"/>
              <w:adjustRightInd w:val="0"/>
              <w:spacing w:line="440" w:lineRule="exact"/>
              <w:ind w:firstLine="0" w:firstLineChars="0"/>
              <w:contextualSpacing/>
              <w:rPr>
                <w:rFonts w:asciiTheme="minorEastAsia" w:hAnsiTheme="minorEastAsia"/>
              </w:rPr>
            </w:pPr>
            <w:r>
              <w:rPr>
                <w:rFonts w:hint="eastAsia" w:asciiTheme="minorEastAsia" w:hAnsiTheme="minorEastAsia"/>
              </w:rPr>
              <w:t>安徽省交通勘察设计院有限公司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标准起草人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序号</w:t>
            </w:r>
          </w:p>
        </w:tc>
        <w:tc>
          <w:tcPr>
            <w:tcW w:w="987"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姓名</w:t>
            </w:r>
          </w:p>
        </w:tc>
        <w:tc>
          <w:tcPr>
            <w:tcW w:w="3673"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单位</w:t>
            </w:r>
          </w:p>
        </w:tc>
        <w:tc>
          <w:tcPr>
            <w:tcW w:w="1705"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职务</w:t>
            </w:r>
          </w:p>
        </w:tc>
        <w:tc>
          <w:tcPr>
            <w:tcW w:w="1058"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职称</w:t>
            </w:r>
          </w:p>
        </w:tc>
        <w:tc>
          <w:tcPr>
            <w:tcW w:w="1453" w:type="dxa"/>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3"/>
              <w:ind w:firstLine="0" w:firstLineChars="0"/>
              <w:jc w:val="center"/>
              <w:rPr>
                <w:rFonts w:hAnsi="宋体"/>
                <w:szCs w:val="21"/>
              </w:rPr>
            </w:pPr>
            <w:r>
              <w:rPr>
                <w:rFonts w:hint="eastAsia" w:hAnsi="宋体"/>
                <w:szCs w:val="21"/>
              </w:rPr>
              <w:t>1</w:t>
            </w:r>
          </w:p>
        </w:tc>
        <w:tc>
          <w:tcPr>
            <w:tcW w:w="987" w:type="dxa"/>
            <w:vAlign w:val="center"/>
          </w:tcPr>
          <w:p>
            <w:pPr>
              <w:pStyle w:val="13"/>
              <w:ind w:firstLine="0" w:firstLineChars="0"/>
              <w:jc w:val="center"/>
            </w:pPr>
          </w:p>
        </w:tc>
        <w:tc>
          <w:tcPr>
            <w:tcW w:w="3673" w:type="dxa"/>
            <w:vAlign w:val="center"/>
          </w:tcPr>
          <w:p>
            <w:pPr>
              <w:pStyle w:val="13"/>
              <w:ind w:firstLine="0" w:firstLineChars="0"/>
              <w:jc w:val="center"/>
            </w:pPr>
          </w:p>
        </w:tc>
        <w:tc>
          <w:tcPr>
            <w:tcW w:w="1705" w:type="dxa"/>
            <w:vAlign w:val="center"/>
          </w:tcPr>
          <w:p>
            <w:pPr>
              <w:pStyle w:val="13"/>
              <w:ind w:firstLine="0" w:firstLineChars="0"/>
              <w:jc w:val="center"/>
            </w:pPr>
          </w:p>
        </w:tc>
        <w:tc>
          <w:tcPr>
            <w:tcW w:w="1058" w:type="dxa"/>
            <w:vAlign w:val="center"/>
          </w:tcPr>
          <w:p>
            <w:pPr>
              <w:pStyle w:val="13"/>
              <w:ind w:firstLine="0" w:firstLineChars="0"/>
              <w:jc w:val="center"/>
            </w:pPr>
          </w:p>
        </w:tc>
        <w:tc>
          <w:tcPr>
            <w:tcW w:w="1453" w:type="dxa"/>
            <w:vAlign w:val="center"/>
          </w:tcPr>
          <w:p>
            <w:pPr>
              <w:pStyle w:val="13"/>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3"/>
              <w:ind w:firstLine="0" w:firstLineChars="0"/>
              <w:jc w:val="center"/>
              <w:rPr>
                <w:rFonts w:hAnsi="宋体"/>
                <w:szCs w:val="21"/>
              </w:rPr>
            </w:pPr>
            <w:r>
              <w:rPr>
                <w:rFonts w:hint="eastAsia" w:hAnsi="宋体"/>
                <w:szCs w:val="21"/>
              </w:rPr>
              <w:t>2</w:t>
            </w:r>
          </w:p>
        </w:tc>
        <w:tc>
          <w:tcPr>
            <w:tcW w:w="987" w:type="dxa"/>
            <w:vAlign w:val="center"/>
          </w:tcPr>
          <w:p>
            <w:pPr>
              <w:pStyle w:val="13"/>
              <w:ind w:firstLine="0" w:firstLineChars="0"/>
              <w:jc w:val="center"/>
              <w:rPr>
                <w:rFonts w:hAnsi="宋体"/>
                <w:szCs w:val="21"/>
              </w:rPr>
            </w:pPr>
          </w:p>
        </w:tc>
        <w:tc>
          <w:tcPr>
            <w:tcW w:w="3673" w:type="dxa"/>
            <w:vAlign w:val="center"/>
          </w:tcPr>
          <w:p>
            <w:pPr>
              <w:pStyle w:val="13"/>
              <w:ind w:firstLine="0" w:firstLineChars="0"/>
              <w:jc w:val="center"/>
              <w:rPr>
                <w:rFonts w:asciiTheme="minorEastAsia" w:hAnsiTheme="minorEastAsia"/>
                <w:szCs w:val="21"/>
              </w:rPr>
            </w:pPr>
          </w:p>
        </w:tc>
        <w:tc>
          <w:tcPr>
            <w:tcW w:w="1705" w:type="dxa"/>
            <w:vAlign w:val="center"/>
          </w:tcPr>
          <w:p>
            <w:pPr>
              <w:pStyle w:val="13"/>
              <w:ind w:firstLine="0" w:firstLineChars="0"/>
              <w:jc w:val="center"/>
              <w:rPr>
                <w:rFonts w:hAnsi="宋体"/>
                <w:szCs w:val="21"/>
              </w:rPr>
            </w:pPr>
          </w:p>
        </w:tc>
        <w:tc>
          <w:tcPr>
            <w:tcW w:w="1058" w:type="dxa"/>
            <w:vAlign w:val="center"/>
          </w:tcPr>
          <w:p>
            <w:pPr>
              <w:pStyle w:val="13"/>
              <w:ind w:firstLine="0" w:firstLineChars="0"/>
              <w:jc w:val="center"/>
              <w:rPr>
                <w:rFonts w:hAnsi="宋体"/>
                <w:szCs w:val="21"/>
              </w:rPr>
            </w:pPr>
          </w:p>
        </w:tc>
        <w:tc>
          <w:tcPr>
            <w:tcW w:w="1453" w:type="dxa"/>
            <w:vAlign w:val="center"/>
          </w:tcPr>
          <w:p>
            <w:pPr>
              <w:pStyle w:val="13"/>
              <w:ind w:firstLine="0" w:firstLineChars="0"/>
              <w:jc w:val="center"/>
              <w:rPr>
                <w:rFonts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3"/>
              <w:ind w:firstLine="0" w:firstLineChars="0"/>
              <w:jc w:val="center"/>
              <w:rPr>
                <w:rFonts w:hAnsi="宋体"/>
                <w:szCs w:val="21"/>
              </w:rPr>
            </w:pPr>
            <w:r>
              <w:rPr>
                <w:rFonts w:hint="eastAsia" w:hAnsi="宋体"/>
                <w:szCs w:val="21"/>
              </w:rPr>
              <w:t>3</w:t>
            </w:r>
          </w:p>
        </w:tc>
        <w:tc>
          <w:tcPr>
            <w:tcW w:w="987" w:type="dxa"/>
            <w:vAlign w:val="center"/>
          </w:tcPr>
          <w:p>
            <w:pPr>
              <w:pStyle w:val="13"/>
              <w:ind w:firstLine="0" w:firstLineChars="0"/>
              <w:jc w:val="center"/>
            </w:pPr>
          </w:p>
        </w:tc>
        <w:tc>
          <w:tcPr>
            <w:tcW w:w="3673" w:type="dxa"/>
            <w:vAlign w:val="center"/>
          </w:tcPr>
          <w:p>
            <w:pPr>
              <w:jc w:val="center"/>
            </w:pPr>
          </w:p>
        </w:tc>
        <w:tc>
          <w:tcPr>
            <w:tcW w:w="1705" w:type="dxa"/>
            <w:vAlign w:val="center"/>
          </w:tcPr>
          <w:p>
            <w:pPr>
              <w:pStyle w:val="13"/>
              <w:ind w:firstLine="0" w:firstLineChars="0"/>
              <w:jc w:val="center"/>
            </w:pPr>
          </w:p>
        </w:tc>
        <w:tc>
          <w:tcPr>
            <w:tcW w:w="1058" w:type="dxa"/>
            <w:vAlign w:val="center"/>
          </w:tcPr>
          <w:p>
            <w:pPr>
              <w:pStyle w:val="13"/>
              <w:ind w:firstLine="0" w:firstLineChars="0"/>
              <w:jc w:val="center"/>
            </w:pPr>
          </w:p>
        </w:tc>
        <w:tc>
          <w:tcPr>
            <w:tcW w:w="1453" w:type="dxa"/>
            <w:vAlign w:val="center"/>
          </w:tcPr>
          <w:p>
            <w:pPr>
              <w:pStyle w:val="13"/>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694" w:type="dxa"/>
            <w:vAlign w:val="center"/>
          </w:tcPr>
          <w:p>
            <w:pPr>
              <w:pStyle w:val="13"/>
              <w:ind w:firstLine="0" w:firstLineChars="0"/>
              <w:jc w:val="center"/>
              <w:rPr>
                <w:rFonts w:hAnsi="宋体"/>
                <w:szCs w:val="21"/>
              </w:rPr>
            </w:pPr>
            <w:r>
              <w:rPr>
                <w:rFonts w:hint="eastAsia" w:hAnsi="宋体"/>
                <w:szCs w:val="21"/>
              </w:rPr>
              <w:t>4</w:t>
            </w:r>
          </w:p>
        </w:tc>
        <w:tc>
          <w:tcPr>
            <w:tcW w:w="987" w:type="dxa"/>
            <w:vAlign w:val="center"/>
          </w:tcPr>
          <w:p>
            <w:pPr>
              <w:jc w:val="center"/>
              <w:rPr>
                <w:rFonts w:hAnsi="宋体"/>
              </w:rPr>
            </w:pPr>
          </w:p>
        </w:tc>
        <w:tc>
          <w:tcPr>
            <w:tcW w:w="3673" w:type="dxa"/>
          </w:tcPr>
          <w:p>
            <w:pPr>
              <w:jc w:val="center"/>
              <w:rPr>
                <w:rFonts w:asciiTheme="minorEastAsia" w:hAnsiTheme="minorEastAsia"/>
              </w:rPr>
            </w:pPr>
          </w:p>
        </w:tc>
        <w:tc>
          <w:tcPr>
            <w:tcW w:w="1705" w:type="dxa"/>
            <w:vAlign w:val="center"/>
          </w:tcPr>
          <w:p>
            <w:pPr>
              <w:jc w:val="center"/>
              <w:rPr>
                <w:rFonts w:hAnsi="宋体"/>
              </w:rPr>
            </w:pPr>
          </w:p>
        </w:tc>
        <w:tc>
          <w:tcPr>
            <w:tcW w:w="1058" w:type="dxa"/>
            <w:vAlign w:val="center"/>
          </w:tcPr>
          <w:p>
            <w:pPr>
              <w:jc w:val="center"/>
              <w:rPr>
                <w:rFonts w:hAnsi="宋体"/>
              </w:rPr>
            </w:pPr>
          </w:p>
        </w:tc>
        <w:tc>
          <w:tcPr>
            <w:tcW w:w="1453" w:type="dxa"/>
            <w:vAlign w:val="center"/>
          </w:tcPr>
          <w:p>
            <w:pPr>
              <w:jc w:val="center"/>
              <w:rPr>
                <w:rFonts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Ansi="宋体"/>
                <w:szCs w:val="21"/>
              </w:rPr>
              <w:t>5</w:t>
            </w: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6</w:t>
            </w:r>
          </w:p>
        </w:tc>
        <w:tc>
          <w:tcPr>
            <w:tcW w:w="987" w:type="dxa"/>
            <w:vAlign w:val="center"/>
          </w:tcPr>
          <w:p>
            <w:pPr>
              <w:pStyle w:val="13"/>
              <w:ind w:firstLine="0" w:firstLineChars="0"/>
              <w:jc w:val="center"/>
            </w:pPr>
          </w:p>
        </w:tc>
        <w:tc>
          <w:tcPr>
            <w:tcW w:w="3673" w:type="dxa"/>
            <w:vAlign w:val="center"/>
          </w:tcPr>
          <w:p>
            <w:pPr>
              <w:jc w:val="center"/>
            </w:pPr>
          </w:p>
        </w:tc>
        <w:tc>
          <w:tcPr>
            <w:tcW w:w="1705" w:type="dxa"/>
            <w:vAlign w:val="center"/>
          </w:tcPr>
          <w:p>
            <w:pPr>
              <w:pStyle w:val="13"/>
              <w:ind w:firstLine="0" w:firstLineChars="0"/>
              <w:jc w:val="center"/>
            </w:pPr>
          </w:p>
        </w:tc>
        <w:tc>
          <w:tcPr>
            <w:tcW w:w="1058" w:type="dxa"/>
            <w:vAlign w:val="center"/>
          </w:tcPr>
          <w:p>
            <w:pPr>
              <w:pStyle w:val="13"/>
              <w:ind w:firstLine="0" w:firstLineChars="0"/>
              <w:jc w:val="center"/>
            </w:pPr>
          </w:p>
        </w:tc>
        <w:tc>
          <w:tcPr>
            <w:tcW w:w="1453" w:type="dxa"/>
            <w:vAlign w:val="center"/>
          </w:tcPr>
          <w:p>
            <w:pPr>
              <w:pStyle w:val="13"/>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7</w:t>
            </w: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8</w:t>
            </w:r>
          </w:p>
        </w:tc>
        <w:tc>
          <w:tcPr>
            <w:tcW w:w="987" w:type="dxa"/>
            <w:vAlign w:val="center"/>
          </w:tcPr>
          <w:p>
            <w:pPr>
              <w:pStyle w:val="13"/>
              <w:ind w:firstLine="0" w:firstLineChars="0"/>
              <w:jc w:val="center"/>
            </w:pPr>
          </w:p>
        </w:tc>
        <w:tc>
          <w:tcPr>
            <w:tcW w:w="3673" w:type="dxa"/>
            <w:vAlign w:val="center"/>
          </w:tcPr>
          <w:p>
            <w:pPr>
              <w:jc w:val="center"/>
            </w:pPr>
          </w:p>
        </w:tc>
        <w:tc>
          <w:tcPr>
            <w:tcW w:w="1705" w:type="dxa"/>
            <w:vAlign w:val="center"/>
          </w:tcPr>
          <w:p>
            <w:pPr>
              <w:pStyle w:val="13"/>
              <w:ind w:firstLine="0" w:firstLineChars="0"/>
              <w:jc w:val="center"/>
            </w:pPr>
          </w:p>
        </w:tc>
        <w:tc>
          <w:tcPr>
            <w:tcW w:w="1058" w:type="dxa"/>
            <w:vAlign w:val="center"/>
          </w:tcPr>
          <w:p>
            <w:pPr>
              <w:pStyle w:val="13"/>
              <w:ind w:firstLine="0" w:firstLineChars="0"/>
              <w:jc w:val="center"/>
            </w:pPr>
          </w:p>
        </w:tc>
        <w:tc>
          <w:tcPr>
            <w:tcW w:w="1453" w:type="dxa"/>
            <w:vAlign w:val="center"/>
          </w:tcPr>
          <w:p>
            <w:pPr>
              <w:pStyle w:val="13"/>
              <w:ind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8</w:t>
            </w: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9</w:t>
            </w:r>
          </w:p>
        </w:tc>
        <w:tc>
          <w:tcPr>
            <w:tcW w:w="987" w:type="dxa"/>
            <w:vAlign w:val="center"/>
          </w:tcPr>
          <w:p>
            <w:pPr>
              <w:jc w:val="center"/>
            </w:pPr>
          </w:p>
        </w:tc>
        <w:tc>
          <w:tcPr>
            <w:tcW w:w="3673" w:type="dxa"/>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Ansi="宋体"/>
                <w:szCs w:val="21"/>
              </w:rPr>
            </w:pPr>
            <w:r>
              <w:rPr>
                <w:rFonts w:hint="eastAsia" w:hAnsi="宋体"/>
                <w:szCs w:val="21"/>
              </w:rPr>
              <w:t>10</w:t>
            </w: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4" w:type="dxa"/>
            <w:vAlign w:val="center"/>
          </w:tcPr>
          <w:p>
            <w:pPr>
              <w:pStyle w:val="13"/>
              <w:ind w:firstLine="0" w:firstLineChars="0"/>
              <w:jc w:val="center"/>
              <w:rPr>
                <w:rFonts w:hint="eastAsia" w:hAnsi="宋体"/>
                <w:szCs w:val="21"/>
              </w:rPr>
            </w:pPr>
          </w:p>
        </w:tc>
        <w:tc>
          <w:tcPr>
            <w:tcW w:w="987" w:type="dxa"/>
            <w:vAlign w:val="center"/>
          </w:tcPr>
          <w:p>
            <w:pPr>
              <w:jc w:val="center"/>
            </w:pPr>
          </w:p>
        </w:tc>
        <w:tc>
          <w:tcPr>
            <w:tcW w:w="3673" w:type="dxa"/>
            <w:vAlign w:val="center"/>
          </w:tcPr>
          <w:p>
            <w:pPr>
              <w:jc w:val="center"/>
            </w:pPr>
          </w:p>
        </w:tc>
        <w:tc>
          <w:tcPr>
            <w:tcW w:w="1705" w:type="dxa"/>
            <w:vAlign w:val="center"/>
          </w:tcPr>
          <w:p>
            <w:pPr>
              <w:jc w:val="center"/>
            </w:pPr>
          </w:p>
        </w:tc>
        <w:tc>
          <w:tcPr>
            <w:tcW w:w="1058" w:type="dxa"/>
            <w:vAlign w:val="center"/>
          </w:tcPr>
          <w:p>
            <w:pPr>
              <w:jc w:val="center"/>
            </w:pPr>
          </w:p>
        </w:tc>
        <w:tc>
          <w:tcPr>
            <w:tcW w:w="145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jc w:val="center"/>
              <w:rPr>
                <w:rFonts w:hAnsi="宋体"/>
                <w:szCs w:val="21"/>
              </w:rPr>
            </w:pPr>
            <w:r>
              <w:rPr>
                <w:rFonts w:hint="eastAsia" w:hAnsi="宋体"/>
                <w:szCs w:val="21"/>
              </w:rPr>
              <w:t>编制情况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r>
              <w:rPr>
                <w:rFonts w:hint="eastAsia" w:hAnsi="宋体"/>
                <w:szCs w:val="21"/>
              </w:rPr>
              <w:t>1、编制过程简介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440" w:lineRule="exact"/>
              <w:contextualSpacing/>
              <w:rPr>
                <w:rFonts w:hAnsi="宋体"/>
                <w:szCs w:val="21"/>
              </w:rPr>
            </w:pPr>
            <w:r>
              <w:rPr>
                <w:rFonts w:hint="eastAsia"/>
              </w:rPr>
              <w:t>202</w:t>
            </w:r>
            <w:r>
              <w:t>3</w:t>
            </w:r>
            <w:r>
              <w:rPr>
                <w:rFonts w:hint="eastAsia"/>
              </w:rPr>
              <w:t>年</w:t>
            </w:r>
            <w:r>
              <w:t>12</w:t>
            </w:r>
            <w:r>
              <w:rPr>
                <w:rFonts w:hint="eastAsia"/>
              </w:rPr>
              <w:t>月，</w:t>
            </w:r>
            <w:r>
              <w:rPr>
                <w:rFonts w:hint="eastAsia" w:hAnsi="宋体"/>
                <w:szCs w:val="21"/>
              </w:rPr>
              <w:t>收到</w:t>
            </w:r>
            <w:r>
              <w:rPr>
                <w:rFonts w:hint="eastAsia" w:ascii="Times New Roman"/>
                <w:szCs w:val="24"/>
              </w:rPr>
              <w:t>安徽省市场监督管理局《关于下达202</w:t>
            </w:r>
            <w:r>
              <w:rPr>
                <w:rFonts w:ascii="Times New Roman"/>
                <w:szCs w:val="24"/>
              </w:rPr>
              <w:t>3</w:t>
            </w:r>
            <w:r>
              <w:rPr>
                <w:rFonts w:hint="eastAsia" w:ascii="Times New Roman"/>
                <w:szCs w:val="24"/>
              </w:rPr>
              <w:t>年第三批安徽省地方标准制修订计划的函》（皖市监函〔202</w:t>
            </w:r>
            <w:r>
              <w:rPr>
                <w:rFonts w:ascii="Times New Roman"/>
                <w:szCs w:val="24"/>
              </w:rPr>
              <w:t>3</w:t>
            </w:r>
            <w:r>
              <w:rPr>
                <w:rFonts w:hint="eastAsia" w:ascii="Times New Roman"/>
                <w:szCs w:val="24"/>
              </w:rPr>
              <w:t>〕</w:t>
            </w:r>
            <w:r>
              <w:rPr>
                <w:rFonts w:ascii="Times New Roman"/>
                <w:szCs w:val="24"/>
              </w:rPr>
              <w:t>622</w:t>
            </w:r>
            <w:r>
              <w:rPr>
                <w:rFonts w:hint="eastAsia" w:ascii="Times New Roman"/>
                <w:szCs w:val="24"/>
              </w:rPr>
              <w:t>号）后，项目正式启动。</w:t>
            </w:r>
          </w:p>
          <w:p>
            <w:pPr>
              <w:pStyle w:val="13"/>
              <w:adjustRightInd w:val="0"/>
              <w:spacing w:line="440" w:lineRule="exact"/>
              <w:contextualSpacing/>
              <w:rPr>
                <w:rFonts w:ascii="Times New Roman"/>
              </w:rPr>
            </w:pPr>
            <w:r>
              <w:rPr>
                <w:rFonts w:hint="eastAsia" w:hAnsi="宋体"/>
                <w:szCs w:val="21"/>
              </w:rPr>
              <w:t>标</w:t>
            </w:r>
            <w:r>
              <w:rPr>
                <w:rFonts w:hint="eastAsia" w:ascii="Times New Roman"/>
                <w:szCs w:val="24"/>
              </w:rPr>
              <w:t>准起草过程：202</w:t>
            </w:r>
            <w:r>
              <w:rPr>
                <w:rFonts w:ascii="Times New Roman"/>
                <w:szCs w:val="24"/>
              </w:rPr>
              <w:t>3</w:t>
            </w:r>
            <w:r>
              <w:rPr>
                <w:rFonts w:hint="eastAsia" w:ascii="Times New Roman"/>
                <w:szCs w:val="24"/>
              </w:rPr>
              <w:t>年</w:t>
            </w:r>
            <w:r>
              <w:rPr>
                <w:rFonts w:ascii="Times New Roman"/>
                <w:szCs w:val="24"/>
              </w:rPr>
              <w:t>12</w:t>
            </w:r>
            <w:r>
              <w:rPr>
                <w:rFonts w:hint="eastAsia" w:ascii="Times New Roman"/>
                <w:szCs w:val="24"/>
              </w:rPr>
              <w:t>月安徽省交通控股集团有限公司成立标准编制小组，202</w:t>
            </w:r>
            <w:r>
              <w:rPr>
                <w:rFonts w:ascii="Times New Roman"/>
                <w:szCs w:val="24"/>
              </w:rPr>
              <w:t>4</w:t>
            </w:r>
            <w:r>
              <w:rPr>
                <w:rFonts w:hint="eastAsia" w:ascii="Times New Roman"/>
                <w:szCs w:val="24"/>
              </w:rPr>
              <w:t>年1月-202</w:t>
            </w:r>
            <w:r>
              <w:rPr>
                <w:rFonts w:ascii="Times New Roman"/>
                <w:szCs w:val="24"/>
              </w:rPr>
              <w:t>4</w:t>
            </w:r>
            <w:r>
              <w:rPr>
                <w:rFonts w:hint="eastAsia" w:ascii="Times New Roman"/>
                <w:szCs w:val="24"/>
              </w:rPr>
              <w:t>年</w:t>
            </w:r>
            <w:r>
              <w:rPr>
                <w:rFonts w:ascii="Times New Roman"/>
                <w:szCs w:val="24"/>
              </w:rPr>
              <w:t>2</w:t>
            </w:r>
            <w:r>
              <w:rPr>
                <w:rFonts w:hint="eastAsia" w:ascii="Times New Roman"/>
                <w:szCs w:val="24"/>
              </w:rPr>
              <w:t>月标准编制小组组织调研，202</w:t>
            </w:r>
            <w:r>
              <w:rPr>
                <w:rFonts w:ascii="Times New Roman"/>
                <w:szCs w:val="24"/>
              </w:rPr>
              <w:t>4</w:t>
            </w:r>
            <w:r>
              <w:rPr>
                <w:rFonts w:hint="eastAsia" w:ascii="Times New Roman"/>
                <w:szCs w:val="24"/>
              </w:rPr>
              <w:t>年</w:t>
            </w:r>
            <w:r>
              <w:rPr>
                <w:rFonts w:ascii="Times New Roman"/>
                <w:szCs w:val="24"/>
              </w:rPr>
              <w:t>3</w:t>
            </w:r>
            <w:r>
              <w:rPr>
                <w:rFonts w:hint="eastAsia" w:ascii="Times New Roman"/>
                <w:szCs w:val="24"/>
              </w:rPr>
              <w:t>月- 5月底完成初稿；202</w:t>
            </w:r>
            <w:r>
              <w:rPr>
                <w:rFonts w:ascii="Times New Roman"/>
                <w:szCs w:val="24"/>
              </w:rPr>
              <w:t>4</w:t>
            </w:r>
            <w:r>
              <w:rPr>
                <w:rFonts w:hint="eastAsia" w:ascii="Times New Roman"/>
                <w:szCs w:val="24"/>
              </w:rPr>
              <w:t>年6月-7月组织多次内部讨论，并结合监测项目进行验证，修改完善内部讨论稿；202</w:t>
            </w:r>
            <w:r>
              <w:rPr>
                <w:rFonts w:ascii="Times New Roman"/>
                <w:szCs w:val="24"/>
              </w:rPr>
              <w:t>4</w:t>
            </w:r>
            <w:r>
              <w:rPr>
                <w:rFonts w:hint="eastAsia" w:ascii="Times New Roman"/>
                <w:szCs w:val="24"/>
              </w:rPr>
              <w:t>年</w:t>
            </w:r>
            <w:r>
              <w:rPr>
                <w:rFonts w:ascii="Times New Roman"/>
                <w:szCs w:val="24"/>
              </w:rPr>
              <w:t>9</w:t>
            </w:r>
            <w:r>
              <w:rPr>
                <w:rFonts w:hint="eastAsia" w:ascii="Times New Roman"/>
                <w:szCs w:val="24"/>
              </w:rPr>
              <w:t>月进一步修改完善，形成征求意见稿初稿；202</w:t>
            </w:r>
            <w:r>
              <w:rPr>
                <w:rFonts w:ascii="Times New Roman"/>
                <w:szCs w:val="24"/>
              </w:rPr>
              <w:t>4</w:t>
            </w:r>
            <w:r>
              <w:rPr>
                <w:rFonts w:hint="eastAsia" w:ascii="Times New Roman"/>
                <w:szCs w:val="24"/>
              </w:rPr>
              <w:t>年</w:t>
            </w:r>
            <w:r>
              <w:rPr>
                <w:rFonts w:ascii="Times New Roman"/>
                <w:szCs w:val="24"/>
              </w:rPr>
              <w:t>10</w:t>
            </w:r>
            <w:r>
              <w:rPr>
                <w:rFonts w:hint="eastAsia" w:ascii="Times New Roman"/>
                <w:szCs w:val="24"/>
              </w:rPr>
              <w:t>月组织召开地方标准征求意见稿草案审查会，根据专家的意见完善征求意见稿。</w:t>
            </w:r>
            <w:bookmarkStart w:id="30" w:name="_GoBack"/>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r>
              <w:rPr>
                <w:rFonts w:hint="eastAsia" w:hAnsi="宋体"/>
                <w:szCs w:val="21"/>
              </w:rPr>
              <w:t>2、制定标准的必要性和意义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440" w:lineRule="exact"/>
              <w:contextualSpacing/>
              <w:rPr>
                <w:rFonts w:ascii="Times New Roman"/>
                <w:szCs w:val="24"/>
              </w:rPr>
            </w:pPr>
            <w:r>
              <w:rPr>
                <w:rFonts w:hint="eastAsia" w:ascii="Times New Roman"/>
                <w:szCs w:val="24"/>
              </w:rPr>
              <w:t>本标准编制的必要性：</w:t>
            </w:r>
          </w:p>
          <w:p>
            <w:pPr>
              <w:pStyle w:val="13"/>
              <w:adjustRightInd w:val="0"/>
              <w:spacing w:line="440" w:lineRule="exact"/>
              <w:contextualSpacing/>
              <w:rPr>
                <w:rFonts w:ascii="Times New Roman"/>
                <w:szCs w:val="24"/>
              </w:rPr>
            </w:pPr>
            <w:r>
              <w:rPr>
                <w:rFonts w:hint="eastAsia" w:ascii="Times New Roman"/>
                <w:szCs w:val="24"/>
              </w:rPr>
              <w:t>传统的高速公路养护施工和工地管理方法已不足以支撑养护工作中的工程质量、安全、进度、成本、绿色等管理目标，而且涉路施工的安全性得不到有效保障。</w:t>
            </w:r>
          </w:p>
          <w:p>
            <w:pPr>
              <w:pStyle w:val="13"/>
              <w:adjustRightInd w:val="0"/>
              <w:spacing w:line="440" w:lineRule="exact"/>
              <w:contextualSpacing/>
              <w:rPr>
                <w:rFonts w:ascii="Times New Roman"/>
                <w:szCs w:val="24"/>
              </w:rPr>
            </w:pPr>
            <w:r>
              <w:rPr>
                <w:rFonts w:hint="eastAsia" w:ascii="Times New Roman"/>
                <w:szCs w:val="24"/>
              </w:rPr>
              <w:t>本标准编制的意义：</w:t>
            </w:r>
          </w:p>
          <w:p>
            <w:pPr>
              <w:pStyle w:val="13"/>
              <w:adjustRightInd w:val="0"/>
              <w:spacing w:line="440" w:lineRule="exact"/>
              <w:contextualSpacing/>
              <w:rPr>
                <w:rFonts w:hAnsi="宋体"/>
                <w:szCs w:val="21"/>
              </w:rPr>
            </w:pPr>
            <w:r>
              <w:rPr>
                <w:rFonts w:hint="eastAsia" w:ascii="Times New Roman"/>
                <w:szCs w:val="24"/>
              </w:rPr>
              <w:t>设计高速公路养护智慧工地信息化管理平台架构，并提出建设省级高速公路养护智慧工地信息平台的实施步骤。可以有效提高施工现场的管理水平和管理效率，让高速公路养护工作更智能化、安全监管更精细化，项目管理更精益化、项目参建各方更协作、产业链更扁平化、行业监管与服务更高效、高速公路运营管理更现代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r>
              <w:rPr>
                <w:rFonts w:hint="eastAsia" w:hAnsi="宋体"/>
                <w:szCs w:val="21"/>
              </w:rPr>
              <w:t>3、制定标准的原则和依据，与现行法律法规、标准的关系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widowControl/>
              <w:autoSpaceDE w:val="0"/>
              <w:autoSpaceDN w:val="0"/>
              <w:spacing w:line="440" w:lineRule="exact"/>
              <w:ind w:firstLine="420" w:firstLineChars="200"/>
              <w:contextualSpacing/>
            </w:pPr>
            <w:r>
              <w:rPr>
                <w:rFonts w:hint="eastAsia"/>
              </w:rPr>
              <w:t>本标准在充分调研了省内外高速公路养护智慧工地信息化建设规范指南，并参考部分国家行业标准。标准的制定既充分考虑了现有相关标准</w:t>
            </w:r>
            <w:r>
              <w:t>内容</w:t>
            </w:r>
            <w:r>
              <w:rPr>
                <w:rFonts w:hint="eastAsia"/>
              </w:rPr>
              <w:t>，同时对智慧工地基本要求、功能要求、性能要求、接口要求、数据管理、安全与运维管理等内容进行了补充和完善。本标准在制定上，引用了部分有关联内容的国家行业标准，是对现有国家行业标准的重要补充。</w:t>
            </w:r>
          </w:p>
          <w:p>
            <w:pPr>
              <w:widowControl/>
              <w:autoSpaceDE w:val="0"/>
              <w:autoSpaceDN w:val="0"/>
              <w:spacing w:line="440" w:lineRule="exact"/>
              <w:ind w:firstLine="420" w:firstLineChars="200"/>
              <w:contextualSpacing/>
              <w:rPr>
                <w:rFonts w:ascii="宋体" w:hAnsi="Times New Roman"/>
                <w:kern w:val="0"/>
                <w:szCs w:val="20"/>
              </w:rPr>
            </w:pPr>
            <w:r>
              <w:rPr>
                <w:rFonts w:hint="eastAsia"/>
              </w:rPr>
              <w:t>本标准与现行相关法律、法规、规章及相关标准协调一致。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r>
              <w:rPr>
                <w:rFonts w:hint="eastAsia" w:hAnsi="宋体"/>
                <w:szCs w:val="21"/>
              </w:rPr>
              <w:t>4、主要条款的说明，主要技术指标、参数、试验验证的论述（</w:t>
            </w:r>
            <w:r>
              <w:rPr>
                <w:rFonts w:hint="eastAsia" w:hAnsi="宋体"/>
                <w:b/>
                <w:szCs w:val="21"/>
              </w:rPr>
              <w:t>详细说明</w:t>
            </w:r>
            <w:r>
              <w:rPr>
                <w:rFonts w:hint="eastAsia"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440" w:lineRule="exact"/>
              <w:contextualSpacing/>
              <w:rPr>
                <w:rFonts w:ascii="Calibri" w:hAnsi="Calibri"/>
                <w:kern w:val="2"/>
                <w:szCs w:val="21"/>
              </w:rPr>
            </w:pPr>
            <w:r>
              <w:rPr>
                <w:rFonts w:hint="eastAsia" w:ascii="Calibri" w:hAnsi="Calibri"/>
                <w:kern w:val="2"/>
                <w:szCs w:val="21"/>
              </w:rPr>
              <w:t>主要条款：</w:t>
            </w:r>
          </w:p>
          <w:p>
            <w:pPr>
              <w:pStyle w:val="13"/>
              <w:adjustRightInd w:val="0"/>
              <w:spacing w:line="440" w:lineRule="exact"/>
              <w:contextualSpacing/>
              <w:rPr>
                <w:rFonts w:ascii="Calibri" w:hAnsi="Calibri"/>
                <w:kern w:val="2"/>
                <w:szCs w:val="21"/>
              </w:rPr>
            </w:pPr>
            <w:r>
              <w:rPr>
                <w:rFonts w:hint="eastAsia" w:ascii="Calibri" w:hAnsi="Calibri"/>
                <w:kern w:val="2"/>
                <w:szCs w:val="21"/>
              </w:rPr>
              <w:t>1、本标准的章节由：范围、规范性引用文件、术语和定义、基本要求、功能要求、性能要求、接口要求、数据管理、安全与运维管理组成。其中基本要求、功能要求、性能要求、接口要求、数据管理、安全与运维管理是本标准的主要技术内容。</w:t>
            </w:r>
          </w:p>
          <w:p>
            <w:pPr>
              <w:pStyle w:val="13"/>
              <w:adjustRightInd w:val="0"/>
              <w:spacing w:line="440" w:lineRule="exact"/>
              <w:contextualSpacing/>
              <w:rPr>
                <w:rFonts w:ascii="Calibri" w:hAnsi="Calibri"/>
                <w:kern w:val="2"/>
                <w:szCs w:val="21"/>
              </w:rPr>
            </w:pPr>
            <w:r>
              <w:rPr>
                <w:rFonts w:hint="eastAsia" w:ascii="Calibri" w:hAnsi="Calibri"/>
                <w:kern w:val="2"/>
                <w:szCs w:val="21"/>
              </w:rPr>
              <w:t>2、本标准文件规定了高速公路养护智慧工地信息化建设，基本要求、功能要求、性能要求、接口要求、数据管理、安全与运维管理等内容。</w:t>
            </w:r>
          </w:p>
          <w:p>
            <w:pPr>
              <w:pStyle w:val="13"/>
              <w:adjustRightInd w:val="0"/>
              <w:spacing w:line="440" w:lineRule="exact"/>
              <w:contextualSpacing/>
              <w:rPr>
                <w:rFonts w:ascii="Calibri" w:hAnsi="Calibri"/>
                <w:kern w:val="2"/>
                <w:szCs w:val="21"/>
              </w:rPr>
            </w:pPr>
            <w:r>
              <w:rPr>
                <w:rFonts w:hint="eastAsia" w:ascii="Calibri" w:hAnsi="Calibri"/>
                <w:kern w:val="2"/>
                <w:szCs w:val="21"/>
              </w:rPr>
              <w:t>3、本标准条款4</w:t>
            </w:r>
            <w:r>
              <w:rPr>
                <w:rFonts w:ascii="Calibri" w:hAnsi="Calibri"/>
                <w:kern w:val="2"/>
                <w:szCs w:val="21"/>
              </w:rPr>
              <w:t>.1</w:t>
            </w:r>
            <w:r>
              <w:rPr>
                <w:rFonts w:hint="eastAsia" w:ascii="Calibri" w:hAnsi="Calibri"/>
                <w:kern w:val="2"/>
                <w:szCs w:val="21"/>
              </w:rPr>
              <w:t>一般要求，对系统架构设计做如下规定：应采用B/S或C/S架构设计，对各功能模块进行系统集成。</w:t>
            </w:r>
          </w:p>
          <w:p>
            <w:pPr>
              <w:pStyle w:val="13"/>
              <w:adjustRightInd w:val="0"/>
              <w:spacing w:line="440" w:lineRule="exact"/>
              <w:contextualSpacing/>
              <w:rPr>
                <w:rFonts w:ascii="Calibri" w:hAnsi="Calibri"/>
                <w:kern w:val="2"/>
                <w:szCs w:val="21"/>
              </w:rPr>
            </w:pPr>
            <w:r>
              <w:rPr>
                <w:rFonts w:hint="eastAsia" w:ascii="Calibri" w:hAnsi="Calibri"/>
                <w:kern w:val="2"/>
                <w:szCs w:val="21"/>
              </w:rPr>
              <w:t>4、本标准条款4</w:t>
            </w:r>
            <w:r>
              <w:rPr>
                <w:rFonts w:ascii="Calibri" w:hAnsi="Calibri"/>
                <w:kern w:val="2"/>
                <w:szCs w:val="21"/>
              </w:rPr>
              <w:t>.1.5</w:t>
            </w:r>
            <w:r>
              <w:rPr>
                <w:rFonts w:hint="eastAsia" w:ascii="Calibri" w:hAnsi="Calibri"/>
                <w:kern w:val="2"/>
                <w:szCs w:val="21"/>
              </w:rPr>
              <w:t>智慧工地信息化平台应由展示层、应用层、数据层、网络层以及感知层组成架构如图1所示。</w:t>
            </w:r>
          </w:p>
          <w:p>
            <w:pPr>
              <w:pStyle w:val="13"/>
              <w:adjustRightInd w:val="0"/>
              <w:spacing w:line="440" w:lineRule="exact"/>
              <w:contextualSpacing/>
              <w:rPr>
                <w:rFonts w:ascii="Calibri" w:hAnsi="Calibri"/>
                <w:kern w:val="2"/>
                <w:szCs w:val="21"/>
              </w:rPr>
            </w:pPr>
            <w:r>
              <w:rPr>
                <w:rFonts w:ascii="Calibri" w:hAnsi="Calibri"/>
                <w:kern w:val="2"/>
                <w:szCs w:val="21"/>
              </w:rPr>
              <w:t>5</w:t>
            </w:r>
            <w:r>
              <w:rPr>
                <w:rFonts w:hint="eastAsia" w:ascii="Calibri" w:hAnsi="Calibri"/>
                <w:kern w:val="2"/>
                <w:szCs w:val="21"/>
              </w:rPr>
              <w:t>、本标准条款5</w:t>
            </w:r>
            <w:r>
              <w:rPr>
                <w:rFonts w:ascii="Calibri" w:hAnsi="Calibri"/>
                <w:kern w:val="2"/>
                <w:szCs w:val="21"/>
              </w:rPr>
              <w:t>.1</w:t>
            </w:r>
            <w:r>
              <w:rPr>
                <w:rFonts w:hint="eastAsia" w:ascii="Calibri" w:hAnsi="Calibri"/>
                <w:kern w:val="2"/>
                <w:szCs w:val="21"/>
              </w:rPr>
              <w:t>和5</w:t>
            </w:r>
            <w:r>
              <w:rPr>
                <w:rFonts w:ascii="Calibri" w:hAnsi="Calibri"/>
                <w:kern w:val="2"/>
                <w:szCs w:val="21"/>
              </w:rPr>
              <w:t>.2</w:t>
            </w:r>
            <w:r>
              <w:rPr>
                <w:rFonts w:hint="eastAsia" w:ascii="Calibri" w:hAnsi="Calibri"/>
                <w:kern w:val="2"/>
                <w:szCs w:val="21"/>
              </w:rPr>
              <w:t>对作业区信息和现场作业信息做出如下要求：</w:t>
            </w:r>
            <w:r>
              <w:rPr>
                <w:rFonts w:hAnsi="宋体"/>
              </w:rPr>
              <w:t>包含高速公路工程项目的项目名称、项目代码、桩号、</w:t>
            </w:r>
            <w:r>
              <w:rPr>
                <w:rFonts w:hint="eastAsia" w:hAnsi="宋体"/>
              </w:rPr>
              <w:t>范围、路线、工期、类型、规模等信息。对单位基本信息、业务情况、设备情况、材料情况进行相应规定。</w:t>
            </w:r>
          </w:p>
          <w:p>
            <w:pPr>
              <w:pStyle w:val="13"/>
              <w:adjustRightInd w:val="0"/>
              <w:spacing w:line="440" w:lineRule="exact"/>
              <w:contextualSpacing/>
              <w:rPr>
                <w:rFonts w:hAnsi="宋体"/>
                <w:kern w:val="2"/>
                <w:szCs w:val="21"/>
              </w:rPr>
            </w:pPr>
            <w:r>
              <w:rPr>
                <w:rFonts w:hint="eastAsia" w:hAnsi="宋体"/>
                <w:kern w:val="2"/>
                <w:szCs w:val="21"/>
              </w:rPr>
              <w:t>6、本标准条款5</w:t>
            </w:r>
            <w:r>
              <w:rPr>
                <w:rFonts w:hAnsi="宋体"/>
                <w:kern w:val="2"/>
                <w:szCs w:val="21"/>
              </w:rPr>
              <w:t>.3</w:t>
            </w:r>
            <w:r>
              <w:rPr>
                <w:rFonts w:hint="eastAsia" w:hAnsi="宋体"/>
                <w:kern w:val="2"/>
                <w:szCs w:val="21"/>
              </w:rPr>
              <w:t>交通组织信息对实时监控与数据采集、智能交通引导作出相应规定。</w:t>
            </w:r>
          </w:p>
          <w:p>
            <w:pPr>
              <w:pStyle w:val="13"/>
              <w:adjustRightInd w:val="0"/>
              <w:spacing w:line="440" w:lineRule="exact"/>
              <w:contextualSpacing/>
              <w:rPr>
                <w:rFonts w:hAnsi="宋体"/>
                <w:kern w:val="2"/>
                <w:szCs w:val="21"/>
              </w:rPr>
            </w:pPr>
            <w:r>
              <w:rPr>
                <w:rFonts w:hint="eastAsia" w:hAnsi="宋体"/>
                <w:kern w:val="2"/>
                <w:szCs w:val="21"/>
              </w:rPr>
              <w:t>7、本标准条款5.4施工组织管理对质量控制、</w:t>
            </w:r>
            <w:r>
              <w:rPr>
                <w:rFonts w:hint="eastAsia" w:hAnsi="宋体"/>
              </w:rPr>
              <w:t>进度控制、安全管理和造价管理作出相应规定。</w:t>
            </w:r>
          </w:p>
          <w:p>
            <w:pPr>
              <w:pStyle w:val="13"/>
              <w:adjustRightInd w:val="0"/>
              <w:spacing w:line="440" w:lineRule="exact"/>
              <w:contextualSpacing/>
              <w:rPr>
                <w:rFonts w:hAnsi="宋体"/>
                <w:kern w:val="2"/>
                <w:szCs w:val="21"/>
              </w:rPr>
            </w:pPr>
            <w:r>
              <w:rPr>
                <w:rFonts w:hint="eastAsia" w:hAnsi="宋体"/>
                <w:kern w:val="2"/>
                <w:szCs w:val="21"/>
              </w:rPr>
              <w:t>8、本标准条款6</w:t>
            </w:r>
            <w:r>
              <w:rPr>
                <w:rFonts w:hAnsi="宋体"/>
                <w:kern w:val="2"/>
                <w:szCs w:val="21"/>
              </w:rPr>
              <w:t>.1.1</w:t>
            </w:r>
            <w:r>
              <w:rPr>
                <w:rFonts w:hint="eastAsia" w:hAnsi="宋体"/>
                <w:kern w:val="2"/>
                <w:szCs w:val="21"/>
              </w:rPr>
              <w:t>对系统软件性能指标做如下要求：</w:t>
            </w:r>
            <w:r>
              <w:rPr>
                <w:rFonts w:hAnsi="宋体"/>
              </w:rPr>
              <w:t>a）</w:t>
            </w:r>
            <w:r>
              <w:rPr>
                <w:rFonts w:hint="eastAsia" w:hAnsi="宋体"/>
              </w:rPr>
              <w:t>控制命令在系统平台中的响应时间不超过</w:t>
            </w:r>
            <w:r>
              <w:rPr>
                <w:rFonts w:hAnsi="宋体"/>
              </w:rPr>
              <w:t>3s；b）</w:t>
            </w:r>
            <w:r>
              <w:rPr>
                <w:rFonts w:hint="eastAsia" w:hAnsi="宋体"/>
              </w:rPr>
              <w:t>应支持</w:t>
            </w:r>
            <w:r>
              <w:rPr>
                <w:rFonts w:hAnsi="宋体"/>
              </w:rPr>
              <w:t>50个以上用户同时在线；</w:t>
            </w:r>
            <w:r>
              <w:rPr>
                <w:rFonts w:hint="eastAsia" w:hAnsi="宋体"/>
              </w:rPr>
              <w:t>在没有外部因素影响的情况下，系统平均故障修复时间</w:t>
            </w:r>
            <w:r>
              <w:rPr>
                <w:rFonts w:hAnsi="宋体"/>
              </w:rPr>
              <w:t>(MTTR)不应大于0.5h。故障恢复时间</w:t>
            </w:r>
            <w:r>
              <w:rPr>
                <w:rFonts w:hint="eastAsia" w:hAnsi="宋体"/>
              </w:rPr>
              <w:t>不超过</w:t>
            </w:r>
            <w:r>
              <w:rPr>
                <w:rFonts w:hAnsi="宋体"/>
              </w:rPr>
              <w:t xml:space="preserve"> 2h ；</w:t>
            </w:r>
            <w:r>
              <w:rPr>
                <w:rFonts w:hint="eastAsia" w:hAnsi="宋体"/>
              </w:rPr>
              <w:t>d）系统具备统一的时间管理功能，系统内设备时间应保持与统一时间源一致；e）支持系统 7x24h 不间断运行。</w:t>
            </w:r>
          </w:p>
          <w:p>
            <w:pPr>
              <w:spacing w:line="360" w:lineRule="auto"/>
              <w:ind w:firstLine="420" w:firstLineChars="200"/>
              <w:rPr>
                <w:rFonts w:ascii="宋体" w:hAnsi="宋体"/>
              </w:rPr>
            </w:pPr>
            <w:r>
              <w:rPr>
                <w:rFonts w:hint="eastAsia" w:ascii="宋体" w:hAnsi="宋体"/>
              </w:rPr>
              <w:t>9、本标准条款6</w:t>
            </w:r>
            <w:r>
              <w:rPr>
                <w:rFonts w:ascii="宋体" w:hAnsi="宋体"/>
              </w:rPr>
              <w:t>.2.1</w:t>
            </w:r>
            <w:r>
              <w:rPr>
                <w:rFonts w:hint="eastAsia" w:ascii="宋体" w:hAnsi="宋体"/>
              </w:rPr>
              <w:t>宜采用云平台方式部署，做如下要求：a）应设置信息设备集中放置区域，强弱电分离，防止干扰。b）设备集中放置区域应设置不间断电源，为区域内所有设备持续供电不低于2小时。c）服务器、交换机、监控主机、广播主机等信息设备应放置于设备集中区域。d）云服务器配置不低于4 vCPU、2.5 GHz主频、32GiB内存、带宽50mb、硬盘2*500G。</w:t>
            </w:r>
          </w:p>
          <w:p>
            <w:pPr>
              <w:pStyle w:val="13"/>
              <w:adjustRightInd w:val="0"/>
              <w:spacing w:line="440" w:lineRule="exact"/>
              <w:contextualSpacing/>
              <w:rPr>
                <w:rFonts w:hAnsi="宋体"/>
                <w:kern w:val="2"/>
                <w:szCs w:val="21"/>
              </w:rPr>
            </w:pPr>
            <w:r>
              <w:rPr>
                <w:rFonts w:hint="eastAsia" w:hAnsi="宋体"/>
              </w:rPr>
              <w:t>1</w:t>
            </w:r>
            <w:r>
              <w:rPr>
                <w:rFonts w:hAnsi="宋体"/>
              </w:rPr>
              <w:t>0</w:t>
            </w:r>
            <w:r>
              <w:rPr>
                <w:rFonts w:hint="eastAsia" w:hAnsi="宋体"/>
              </w:rPr>
              <w:t>、</w:t>
            </w:r>
            <w:r>
              <w:rPr>
                <w:rFonts w:hint="eastAsia" w:hAnsi="宋体"/>
                <w:kern w:val="2"/>
                <w:szCs w:val="21"/>
              </w:rPr>
              <w:t>本标准条款6</w:t>
            </w:r>
            <w:r>
              <w:rPr>
                <w:rFonts w:hAnsi="宋体"/>
                <w:kern w:val="2"/>
                <w:szCs w:val="21"/>
              </w:rPr>
              <w:t>.2.2</w:t>
            </w:r>
            <w:r>
              <w:rPr>
                <w:rFonts w:hint="eastAsia" w:hAnsi="宋体"/>
                <w:kern w:val="2"/>
                <w:szCs w:val="21"/>
              </w:rPr>
              <w:t>系统硬件部分性能指标做如下要求：a）服务器中央处理器负荷率业务高峰时不应超过60%，平均负荷率不应超过30%；b）工作站中央处理器负荷率业务高峰时不应超过60%，平均负荷率不应超过30%；c）前置机中央处理器负荷率业务高峰时不应超过60%，平均负荷率不应超过20%；d）局域网负荷率业务高峰时不应超过60%，平均负荷率不应超过30%。</w:t>
            </w:r>
          </w:p>
          <w:p>
            <w:pPr>
              <w:pStyle w:val="13"/>
              <w:adjustRightInd w:val="0"/>
              <w:spacing w:line="440" w:lineRule="exact"/>
              <w:contextualSpacing/>
              <w:rPr>
                <w:rFonts w:hAnsi="宋体"/>
                <w:kern w:val="2"/>
                <w:szCs w:val="21"/>
              </w:rPr>
            </w:pPr>
            <w:r>
              <w:rPr>
                <w:rFonts w:hint="eastAsia" w:hAnsi="宋体"/>
                <w:kern w:val="2"/>
                <w:szCs w:val="21"/>
              </w:rPr>
              <w:t>1</w:t>
            </w:r>
            <w:r>
              <w:rPr>
                <w:rFonts w:hAnsi="宋体"/>
                <w:kern w:val="2"/>
                <w:szCs w:val="21"/>
              </w:rPr>
              <w:t>1</w:t>
            </w:r>
            <w:r>
              <w:rPr>
                <w:rFonts w:hint="eastAsia" w:hAnsi="宋体"/>
                <w:kern w:val="2"/>
                <w:szCs w:val="21"/>
              </w:rPr>
              <w:t>、本标准条款6.3.2 网络带宽部分性能指标做如下要求：</w:t>
            </w:r>
            <w:r>
              <w:rPr>
                <w:rFonts w:hint="eastAsia" w:hAnsi="宋体"/>
              </w:rPr>
              <w:t>办公区域应接入互联网，带宽不应低于50 Mbps，重点施工现场区域应接入互联网，带宽不宜低于 50 Mbps。</w:t>
            </w:r>
          </w:p>
          <w:p>
            <w:pPr>
              <w:pStyle w:val="13"/>
              <w:adjustRightInd w:val="0"/>
              <w:spacing w:line="440" w:lineRule="exact"/>
              <w:contextualSpacing/>
              <w:rPr>
                <w:rFonts w:hint="eastAsia" w:hAnsi="宋体"/>
                <w:kern w:val="2"/>
                <w:szCs w:val="21"/>
              </w:rPr>
            </w:pPr>
            <w:r>
              <w:rPr>
                <w:rFonts w:hint="eastAsia" w:hAnsi="宋体"/>
                <w:kern w:val="2"/>
                <w:szCs w:val="21"/>
              </w:rPr>
              <w:t>1</w:t>
            </w:r>
            <w:r>
              <w:rPr>
                <w:rFonts w:hAnsi="宋体"/>
                <w:kern w:val="2"/>
                <w:szCs w:val="21"/>
              </w:rPr>
              <w:t>2</w:t>
            </w:r>
            <w:r>
              <w:rPr>
                <w:rFonts w:hint="eastAsia" w:hAnsi="宋体"/>
                <w:kern w:val="2"/>
                <w:szCs w:val="21"/>
              </w:rPr>
              <w:t>、本标准条款7</w:t>
            </w:r>
            <w:r>
              <w:rPr>
                <w:rFonts w:hAnsi="宋体"/>
                <w:kern w:val="2"/>
                <w:szCs w:val="21"/>
              </w:rPr>
              <w:t>.1</w:t>
            </w:r>
            <w:r>
              <w:rPr>
                <w:rFonts w:hAnsi="宋体"/>
              </w:rPr>
              <w:t>检测感知设备接入接口要求</w:t>
            </w:r>
            <w:r>
              <w:rPr>
                <w:rFonts w:hint="eastAsia" w:hAnsi="宋体"/>
              </w:rPr>
              <w:t>，对数据接入要求、</w:t>
            </w:r>
            <w:r>
              <w:rPr>
                <w:rFonts w:hAnsi="宋体"/>
              </w:rPr>
              <w:t>数据接入稳定性</w:t>
            </w:r>
            <w:r>
              <w:rPr>
                <w:rFonts w:hint="eastAsia" w:hAnsi="宋体"/>
              </w:rPr>
              <w:t>、</w:t>
            </w:r>
            <w:r>
              <w:rPr>
                <w:rFonts w:hAnsi="宋体"/>
              </w:rPr>
              <w:t>数据接入标准</w:t>
            </w:r>
            <w:r>
              <w:rPr>
                <w:rFonts w:hint="eastAsia" w:hAnsi="宋体"/>
              </w:rPr>
              <w:t>、</w:t>
            </w:r>
            <w:r>
              <w:rPr>
                <w:rFonts w:hAnsi="宋体"/>
              </w:rPr>
              <w:t>数据接入应用</w:t>
            </w:r>
            <w:r>
              <w:rPr>
                <w:rFonts w:hint="eastAsia" w:hAnsi="宋体"/>
                <w:kern w:val="2"/>
                <w:szCs w:val="21"/>
              </w:rPr>
              <w:t>作出规定。</w:t>
            </w:r>
          </w:p>
          <w:p>
            <w:pPr>
              <w:pStyle w:val="13"/>
              <w:adjustRightInd w:val="0"/>
              <w:spacing w:line="440" w:lineRule="exact"/>
              <w:contextualSpacing/>
              <w:rPr>
                <w:rFonts w:hAnsi="宋体"/>
                <w:kern w:val="2"/>
                <w:szCs w:val="21"/>
              </w:rPr>
            </w:pPr>
            <w:r>
              <w:rPr>
                <w:rFonts w:hAnsi="宋体"/>
                <w:kern w:val="2"/>
                <w:szCs w:val="21"/>
              </w:rPr>
              <w:t>13</w:t>
            </w:r>
            <w:r>
              <w:rPr>
                <w:rFonts w:hint="eastAsia" w:hAnsi="宋体"/>
                <w:kern w:val="2"/>
                <w:szCs w:val="21"/>
              </w:rPr>
              <w:t>、本标准条款</w:t>
            </w:r>
            <w:r>
              <w:rPr>
                <w:rFonts w:hAnsi="宋体"/>
              </w:rPr>
              <w:t>7.2.1对外部平台提供数据接口</w:t>
            </w:r>
            <w:r>
              <w:rPr>
                <w:rFonts w:hint="eastAsia" w:hAnsi="宋体"/>
              </w:rPr>
              <w:t>，对</w:t>
            </w:r>
            <w:r>
              <w:rPr>
                <w:rFonts w:hAnsi="宋体"/>
              </w:rPr>
              <w:t>访问凭证</w:t>
            </w:r>
            <w:r>
              <w:rPr>
                <w:rFonts w:hint="eastAsia" w:hAnsi="宋体"/>
              </w:rPr>
              <w:t>、</w:t>
            </w:r>
            <w:r>
              <w:rPr>
                <w:rFonts w:hAnsi="宋体"/>
              </w:rPr>
              <w:t>架构风格</w:t>
            </w:r>
            <w:r>
              <w:rPr>
                <w:rFonts w:hint="eastAsia" w:hAnsi="宋体"/>
              </w:rPr>
              <w:t>、</w:t>
            </w:r>
            <w:r>
              <w:rPr>
                <w:rFonts w:hAnsi="宋体"/>
              </w:rPr>
              <w:t>数据请求方式</w:t>
            </w:r>
            <w:r>
              <w:rPr>
                <w:rFonts w:hint="eastAsia" w:hAnsi="宋体"/>
              </w:rPr>
              <w:t>、</w:t>
            </w:r>
            <w:r>
              <w:rPr>
                <w:rFonts w:hAnsi="宋体"/>
              </w:rPr>
              <w:t>返回数据类型</w:t>
            </w:r>
            <w:r>
              <w:rPr>
                <w:rFonts w:hint="eastAsia" w:hAnsi="宋体"/>
              </w:rPr>
              <w:t>、</w:t>
            </w:r>
            <w:r>
              <w:rPr>
                <w:rFonts w:hAnsi="宋体"/>
              </w:rPr>
              <w:t>返回数据格式</w:t>
            </w:r>
            <w:r>
              <w:rPr>
                <w:rFonts w:hint="eastAsia" w:hAnsi="宋体"/>
              </w:rPr>
              <w:t>、</w:t>
            </w:r>
            <w:r>
              <w:rPr>
                <w:rFonts w:hAnsi="宋体"/>
              </w:rPr>
              <w:t>接口调用限流</w:t>
            </w:r>
            <w:r>
              <w:rPr>
                <w:rFonts w:hint="eastAsia" w:hAnsi="宋体"/>
              </w:rPr>
              <w:t>、</w:t>
            </w:r>
            <w:r>
              <w:rPr>
                <w:rFonts w:hAnsi="宋体"/>
              </w:rPr>
              <w:t>记录接口请求日志</w:t>
            </w:r>
            <w:r>
              <w:rPr>
                <w:rFonts w:hint="eastAsia" w:hAnsi="宋体"/>
              </w:rPr>
              <w:t>、</w:t>
            </w:r>
            <w:r>
              <w:rPr>
                <w:rFonts w:hAnsi="宋体"/>
              </w:rPr>
              <w:t>敏感数据脱敏</w:t>
            </w:r>
            <w:r>
              <w:rPr>
                <w:rFonts w:hint="eastAsia" w:hAnsi="宋体"/>
              </w:rPr>
              <w:t>、</w:t>
            </w:r>
            <w:r>
              <w:rPr>
                <w:rFonts w:hAnsi="宋体"/>
              </w:rPr>
              <w:t>客户端IP白名单</w:t>
            </w:r>
            <w:r>
              <w:rPr>
                <w:rFonts w:hint="eastAsia" w:hAnsi="宋体"/>
                <w:kern w:val="2"/>
                <w:szCs w:val="21"/>
              </w:rPr>
              <w:t>作出规定。</w:t>
            </w:r>
          </w:p>
          <w:p>
            <w:pPr>
              <w:pStyle w:val="13"/>
              <w:adjustRightInd w:val="0"/>
              <w:spacing w:line="440" w:lineRule="exact"/>
              <w:contextualSpacing/>
              <w:rPr>
                <w:rFonts w:hAnsi="宋体"/>
                <w:kern w:val="2"/>
                <w:szCs w:val="21"/>
              </w:rPr>
            </w:pPr>
            <w:r>
              <w:rPr>
                <w:rFonts w:hAnsi="宋体"/>
                <w:kern w:val="2"/>
                <w:szCs w:val="21"/>
              </w:rPr>
              <w:t>14</w:t>
            </w:r>
            <w:r>
              <w:rPr>
                <w:rFonts w:hint="eastAsia" w:hAnsi="宋体"/>
                <w:kern w:val="2"/>
                <w:szCs w:val="21"/>
              </w:rPr>
              <w:t>、本标准条款8数据管理，对数据资源、</w:t>
            </w:r>
            <w:r>
              <w:rPr>
                <w:rFonts w:hint="eastAsia" w:hAnsi="宋体"/>
              </w:rPr>
              <w:t>公共支撑、业务应用、用户交互</w:t>
            </w:r>
            <w:r>
              <w:rPr>
                <w:rFonts w:hint="eastAsia" w:hAnsi="宋体"/>
                <w:kern w:val="2"/>
                <w:szCs w:val="21"/>
              </w:rPr>
              <w:t>作出规定。</w:t>
            </w:r>
          </w:p>
          <w:p>
            <w:pPr>
              <w:pStyle w:val="13"/>
              <w:adjustRightInd w:val="0"/>
              <w:spacing w:line="440" w:lineRule="exact"/>
              <w:contextualSpacing/>
              <w:rPr>
                <w:rFonts w:hint="eastAsia" w:hAnsi="宋体"/>
                <w:kern w:val="2"/>
                <w:szCs w:val="21"/>
              </w:rPr>
            </w:pPr>
            <w:r>
              <w:rPr>
                <w:rFonts w:hAnsi="宋体"/>
                <w:kern w:val="2"/>
                <w:szCs w:val="21"/>
              </w:rPr>
              <w:t>15</w:t>
            </w:r>
            <w:r>
              <w:rPr>
                <w:rFonts w:hint="eastAsia" w:hAnsi="宋体"/>
                <w:kern w:val="2"/>
                <w:szCs w:val="21"/>
              </w:rPr>
              <w:t>、本标准条款9.1安全管理做如下规定，</w:t>
            </w:r>
            <w:r>
              <w:rPr>
                <w:rFonts w:hint="eastAsia" w:hAnsi="宋体"/>
              </w:rPr>
              <w:t>智慧工地系统信息安全应符合GB/T22239与GB/T25070的规定，网络安全等级宜不低于二级等保要求。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0" w:name="_Toc464905809"/>
            <w:bookmarkStart w:id="1" w:name="_Toc464905557"/>
            <w:bookmarkStart w:id="2" w:name="_Toc464902852"/>
            <w:bookmarkStart w:id="3" w:name="_Toc465074266"/>
            <w:bookmarkStart w:id="4" w:name="_Toc464905613"/>
            <w:r>
              <w:rPr>
                <w:rFonts w:hint="eastAsia" w:hAnsi="宋体"/>
                <w:szCs w:val="21"/>
              </w:rPr>
              <w:t>5、标准中如果涉及专利，应有明确的知识产权说明</w:t>
            </w:r>
            <w:bookmarkEnd w:id="0"/>
            <w:bookmarkEnd w:id="1"/>
            <w:bookmarkEnd w:id="2"/>
            <w:bookmarkEnd w:id="3"/>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contextualSpacing/>
              <w:rPr>
                <w:rFonts w:hAnsi="宋体"/>
                <w:szCs w:val="21"/>
              </w:rPr>
            </w:pPr>
            <w:r>
              <w:rPr>
                <w:rFonts w:hint="eastAsia" w:asciiTheme="minorEastAsia" w:hAnsiTheme="minorEastAsia"/>
                <w:szCs w:val="21"/>
              </w:rPr>
              <w:t>本标准未涉及专利。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5" w:name="_Toc464905558"/>
            <w:bookmarkStart w:id="6" w:name="_Toc464902853"/>
            <w:bookmarkStart w:id="7" w:name="_Toc464905614"/>
            <w:bookmarkStart w:id="8" w:name="_Toc464905810"/>
            <w:bookmarkStart w:id="9" w:name="_Toc465074267"/>
            <w:r>
              <w:rPr>
                <w:rFonts w:hint="eastAsia" w:hAnsi="宋体"/>
                <w:szCs w:val="21"/>
              </w:rPr>
              <w:t>6、采用国际标准或国外先进标准的，说明采标程度，以及国内外同类标准水平的对比情况</w:t>
            </w:r>
            <w:bookmarkEnd w:id="5"/>
            <w:bookmarkEnd w:id="6"/>
            <w:bookmarkEnd w:id="7"/>
            <w:bookmarkEnd w:id="8"/>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contextualSpacing/>
              <w:rPr>
                <w:rFonts w:hAnsi="宋体"/>
                <w:szCs w:val="21"/>
              </w:rPr>
            </w:pPr>
            <w:r>
              <w:rPr>
                <w:rFonts w:hint="eastAsia" w:asciiTheme="minorEastAsia" w:hAnsiTheme="minorEastAsia"/>
                <w:szCs w:val="21"/>
              </w:rPr>
              <w:t>本标准未采用国际标准或国外先进标准。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10" w:name="_Toc464905615"/>
            <w:bookmarkStart w:id="11" w:name="_Toc465074268"/>
            <w:bookmarkStart w:id="12" w:name="_Toc464902854"/>
            <w:bookmarkStart w:id="13" w:name="_Toc464905559"/>
            <w:bookmarkStart w:id="14" w:name="_Toc464905811"/>
            <w:r>
              <w:rPr>
                <w:rFonts w:hint="eastAsia" w:hAnsi="宋体"/>
                <w:szCs w:val="21"/>
              </w:rPr>
              <w:t>7、重大分歧意见的处理经过和依据</w:t>
            </w:r>
            <w:bookmarkEnd w:id="10"/>
            <w:bookmarkEnd w:id="11"/>
            <w:bookmarkEnd w:id="12"/>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contextualSpacing/>
              <w:rPr>
                <w:rFonts w:hAnsi="宋体"/>
                <w:szCs w:val="21"/>
              </w:rPr>
            </w:pPr>
            <w:r>
              <w:rPr>
                <w:rFonts w:hint="eastAsia" w:asciiTheme="minorEastAsia" w:hAnsiTheme="minorEastAsia"/>
                <w:szCs w:val="21"/>
              </w:rPr>
              <w:t>本标准在编制过程中没有重大意见分歧。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15" w:name="_Toc464905616"/>
            <w:bookmarkStart w:id="16" w:name="_Toc465074269"/>
            <w:bookmarkStart w:id="17" w:name="_Toc464905812"/>
            <w:bookmarkStart w:id="18" w:name="_Toc464905560"/>
            <w:bookmarkStart w:id="19" w:name="_Toc464902855"/>
            <w:r>
              <w:rPr>
                <w:rFonts w:hint="eastAsia" w:hAnsi="宋体"/>
                <w:szCs w:val="21"/>
              </w:rPr>
              <w:t>8、贯彻标准的要求和措施建议（包括组织措施、技术措施、过渡办法、实施日期等）</w:t>
            </w:r>
            <w:bookmarkEnd w:id="15"/>
            <w:bookmarkEnd w:id="16"/>
            <w:bookmarkEnd w:id="17"/>
            <w:bookmarkEnd w:id="18"/>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5"/>
              <w:spacing w:before="23" w:line="278" w:lineRule="auto"/>
              <w:ind w:left="107" w:right="205" w:firstLine="420"/>
              <w:rPr>
                <w:sz w:val="21"/>
              </w:rPr>
            </w:pPr>
            <w:r>
              <w:rPr>
                <w:sz w:val="21"/>
              </w:rPr>
              <w:t>为了加强标准的指导作用，标准发布后，应大力宣传推广，贯彻落实标准的实施。同时，为推</w:t>
            </w:r>
            <w:r>
              <w:rPr>
                <w:spacing w:val="-18"/>
                <w:sz w:val="21"/>
              </w:rPr>
              <w:t>广</w:t>
            </w:r>
            <w:r>
              <w:rPr>
                <w:sz w:val="21"/>
              </w:rPr>
              <w:t>和实施本标准，可以采取如下一些具体措施：</w:t>
            </w:r>
          </w:p>
          <w:p>
            <w:pPr>
              <w:pStyle w:val="13"/>
              <w:adjustRightInd w:val="0"/>
              <w:spacing w:line="360" w:lineRule="auto"/>
              <w:contextualSpacing/>
              <w:rPr>
                <w:rFonts w:asciiTheme="minorEastAsia" w:hAnsiTheme="minorEastAsia"/>
                <w:szCs w:val="21"/>
              </w:rPr>
            </w:pPr>
            <w:r>
              <w:rPr>
                <w:rFonts w:hint="eastAsia" w:asciiTheme="minorEastAsia" w:hAnsiTheme="minorEastAsia"/>
                <w:szCs w:val="21"/>
              </w:rPr>
              <w:t>（1）由技术归口单位牵头，负责标准宣贯；</w:t>
            </w:r>
          </w:p>
          <w:p>
            <w:pPr>
              <w:pStyle w:val="13"/>
              <w:adjustRightInd w:val="0"/>
              <w:spacing w:line="360" w:lineRule="auto"/>
              <w:contextualSpacing/>
              <w:rPr>
                <w:rFonts w:asciiTheme="minorEastAsia" w:hAnsiTheme="minorEastAsia"/>
                <w:szCs w:val="21"/>
              </w:rPr>
            </w:pPr>
            <w:r>
              <w:rPr>
                <w:rFonts w:hint="eastAsia" w:asciiTheme="minorEastAsia" w:hAnsiTheme="minorEastAsia"/>
                <w:szCs w:val="21"/>
              </w:rPr>
              <w:t>（2）结合标准化建设，推动和全面实施标准的培训工作；</w:t>
            </w:r>
          </w:p>
          <w:p>
            <w:pPr>
              <w:pStyle w:val="13"/>
              <w:adjustRightInd w:val="0"/>
              <w:spacing w:line="360" w:lineRule="auto"/>
              <w:contextualSpacing/>
              <w:rPr>
                <w:rFonts w:asciiTheme="minorEastAsia" w:hAnsiTheme="minorEastAsia"/>
                <w:szCs w:val="21"/>
              </w:rPr>
            </w:pPr>
            <w:r>
              <w:rPr>
                <w:rFonts w:hint="eastAsia" w:asciiTheme="minorEastAsia" w:hAnsiTheme="minorEastAsia"/>
                <w:szCs w:val="21"/>
              </w:rPr>
              <w:t>（3）标准起草工作组应继续开展研究，改进和完善标准的相关内容；</w:t>
            </w:r>
          </w:p>
          <w:p>
            <w:pPr>
              <w:pStyle w:val="13"/>
              <w:adjustRightInd w:val="0"/>
              <w:spacing w:line="360" w:lineRule="auto"/>
              <w:contextualSpacing/>
              <w:rPr>
                <w:rFonts w:hAnsi="宋体"/>
                <w:szCs w:val="21"/>
              </w:rPr>
            </w:pPr>
            <w:r>
              <w:rPr>
                <w:rFonts w:hint="eastAsia" w:asciiTheme="minorEastAsia" w:hAnsiTheme="minorEastAsia"/>
                <w:szCs w:val="21"/>
              </w:rPr>
              <w:t>（4）加强与全国其他省市相关单位的交流合作，积极收集外省市的先进意见，争取提升为国家标准或行业标准，使我省的工作经验与全国分享，使标准化经验影响范围更广泛。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20" w:name="_Toc464905561"/>
            <w:bookmarkStart w:id="21" w:name="_Toc464905617"/>
            <w:bookmarkStart w:id="22" w:name="_Toc465074270"/>
            <w:bookmarkStart w:id="23" w:name="_Toc464902856"/>
            <w:bookmarkStart w:id="24" w:name="_Toc464905813"/>
            <w:r>
              <w:rPr>
                <w:rFonts w:hint="eastAsia" w:hAnsi="宋体"/>
                <w:szCs w:val="21"/>
              </w:rPr>
              <w:t>9、废止现行相关标准的建议</w:t>
            </w:r>
            <w:bookmarkEnd w:id="20"/>
            <w:bookmarkEnd w:id="21"/>
            <w:bookmarkEnd w:id="22"/>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contextualSpacing/>
              <w:rPr>
                <w:rFonts w:hAnsi="宋体"/>
                <w:szCs w:val="21"/>
              </w:rPr>
            </w:pPr>
            <w:r>
              <w:rPr>
                <w:rFonts w:asciiTheme="minorEastAsia" w:hAnsiTheme="minor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pStyle w:val="13"/>
              <w:adjustRightInd w:val="0"/>
              <w:spacing w:line="360" w:lineRule="auto"/>
              <w:ind w:firstLine="0" w:firstLineChars="0"/>
              <w:contextualSpacing/>
              <w:rPr>
                <w:rFonts w:hAnsi="宋体"/>
                <w:szCs w:val="21"/>
              </w:rPr>
            </w:pPr>
            <w:bookmarkStart w:id="25" w:name="_Toc464905562"/>
            <w:bookmarkStart w:id="26" w:name="_Toc465074271"/>
            <w:bookmarkStart w:id="27" w:name="_Toc464902857"/>
            <w:bookmarkStart w:id="28" w:name="_Toc464905618"/>
            <w:bookmarkStart w:id="29" w:name="_Toc464905814"/>
            <w:r>
              <w:rPr>
                <w:rFonts w:hint="eastAsia" w:hAnsi="宋体"/>
                <w:szCs w:val="21"/>
              </w:rPr>
              <w:t>10、其它应予说明的事项</w:t>
            </w:r>
            <w:bookmarkEnd w:id="25"/>
            <w:bookmarkEnd w:id="26"/>
            <w:bookmarkEnd w:id="27"/>
            <w:bookmarkEnd w:id="28"/>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570" w:type="dxa"/>
            <w:gridSpan w:val="6"/>
            <w:vAlign w:val="center"/>
          </w:tcPr>
          <w:p>
            <w:pPr>
              <w:ind w:firstLine="420" w:firstLineChars="200"/>
              <w:rPr>
                <w:rFonts w:hAnsi="宋体"/>
              </w:rPr>
            </w:pPr>
            <w:r>
              <w:rPr>
                <w:rFonts w:hint="eastAsia" w:asciiTheme="minorEastAsia" w:hAnsiTheme="minorEastAsia"/>
              </w:rPr>
              <w:t>无</w:t>
            </w:r>
          </w:p>
        </w:tc>
      </w:tr>
    </w:tbl>
    <w:p>
      <w:pPr>
        <w:pStyle w:val="14"/>
      </w:pPr>
      <w:r>
        <w:rPr>
          <w:rFonts w:hint="eastAsia"/>
        </w:rPr>
        <w:t>没有的请填写 “无”。</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体_x0003_...销.">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C50F90"/>
    <w:multiLevelType w:val="multilevel"/>
    <w:tmpl w:val="44C50F90"/>
    <w:lvl w:ilvl="0" w:tentative="0">
      <w:start w:val="1"/>
      <w:numFmt w:val="lowerLetter"/>
      <w:pStyle w:val="21"/>
      <w:lvlText w:val="%1）"/>
      <w:lvlJc w:val="left"/>
      <w:pPr>
        <w:tabs>
          <w:tab w:val="left" w:pos="851"/>
        </w:tabs>
        <w:ind w:left="851" w:hanging="426"/>
      </w:pPr>
      <w:rPr>
        <w:rFonts w:hint="default"/>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657D3FBC"/>
    <w:multiLevelType w:val="multilevel"/>
    <w:tmpl w:val="657D3FBC"/>
    <w:lvl w:ilvl="0" w:tentative="0">
      <w:start w:val="1"/>
      <w:numFmt w:val="upperLetter"/>
      <w:pStyle w:val="11"/>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20"/>
      <w:suff w:val="nothing"/>
      <w:lvlText w:val="%1%2.%3.%4　"/>
      <w:lvlJc w:val="left"/>
      <w:pPr>
        <w:ind w:left="241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DBF04F4"/>
    <w:multiLevelType w:val="multilevel"/>
    <w:tmpl w:val="6DBF04F4"/>
    <w:lvl w:ilvl="0" w:tentative="0">
      <w:start w:val="1"/>
      <w:numFmt w:val="none"/>
      <w:pStyle w:val="1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1NzIwMjdiZTY2ZWEwZmYyM2E5YmJkNWM5ODc2YTUifQ=="/>
  </w:docVars>
  <w:rsids>
    <w:rsidRoot w:val="45700A8B"/>
    <w:rsid w:val="00030942"/>
    <w:rsid w:val="0005413B"/>
    <w:rsid w:val="000A4C24"/>
    <w:rsid w:val="000B0730"/>
    <w:rsid w:val="000D10E0"/>
    <w:rsid w:val="000D325F"/>
    <w:rsid w:val="000F0442"/>
    <w:rsid w:val="000F0940"/>
    <w:rsid w:val="00104212"/>
    <w:rsid w:val="00107674"/>
    <w:rsid w:val="00132945"/>
    <w:rsid w:val="00147F12"/>
    <w:rsid w:val="001500C6"/>
    <w:rsid w:val="00171B76"/>
    <w:rsid w:val="001767A5"/>
    <w:rsid w:val="00187E42"/>
    <w:rsid w:val="00191331"/>
    <w:rsid w:val="00192693"/>
    <w:rsid w:val="0019390F"/>
    <w:rsid w:val="00196276"/>
    <w:rsid w:val="001A1ADF"/>
    <w:rsid w:val="001A63D2"/>
    <w:rsid w:val="001C07E8"/>
    <w:rsid w:val="001D4ACC"/>
    <w:rsid w:val="001E46EE"/>
    <w:rsid w:val="001F13C6"/>
    <w:rsid w:val="00206B0A"/>
    <w:rsid w:val="00214205"/>
    <w:rsid w:val="00215110"/>
    <w:rsid w:val="00232624"/>
    <w:rsid w:val="002359F9"/>
    <w:rsid w:val="002441DE"/>
    <w:rsid w:val="00266A89"/>
    <w:rsid w:val="002A4619"/>
    <w:rsid w:val="002E7A4B"/>
    <w:rsid w:val="0033374E"/>
    <w:rsid w:val="0037336F"/>
    <w:rsid w:val="0038392D"/>
    <w:rsid w:val="0038686F"/>
    <w:rsid w:val="003B036F"/>
    <w:rsid w:val="003B4D2A"/>
    <w:rsid w:val="003D2878"/>
    <w:rsid w:val="003E2D7D"/>
    <w:rsid w:val="003E4621"/>
    <w:rsid w:val="004000E1"/>
    <w:rsid w:val="004057A8"/>
    <w:rsid w:val="004105DF"/>
    <w:rsid w:val="004261B1"/>
    <w:rsid w:val="004318B2"/>
    <w:rsid w:val="00445AA6"/>
    <w:rsid w:val="00477648"/>
    <w:rsid w:val="004934DC"/>
    <w:rsid w:val="004A5BE4"/>
    <w:rsid w:val="004A6081"/>
    <w:rsid w:val="004D3A0A"/>
    <w:rsid w:val="004E623A"/>
    <w:rsid w:val="004F2F76"/>
    <w:rsid w:val="005116AF"/>
    <w:rsid w:val="00523178"/>
    <w:rsid w:val="00530B83"/>
    <w:rsid w:val="00534BE5"/>
    <w:rsid w:val="00583D3F"/>
    <w:rsid w:val="00586C9A"/>
    <w:rsid w:val="005B277D"/>
    <w:rsid w:val="005B3AF8"/>
    <w:rsid w:val="005E48E9"/>
    <w:rsid w:val="0062351F"/>
    <w:rsid w:val="006253DA"/>
    <w:rsid w:val="00645387"/>
    <w:rsid w:val="00645EEE"/>
    <w:rsid w:val="00652808"/>
    <w:rsid w:val="00672C41"/>
    <w:rsid w:val="006A15F3"/>
    <w:rsid w:val="006B5575"/>
    <w:rsid w:val="006C5556"/>
    <w:rsid w:val="006E563E"/>
    <w:rsid w:val="00700605"/>
    <w:rsid w:val="007233F7"/>
    <w:rsid w:val="00756887"/>
    <w:rsid w:val="00770CEF"/>
    <w:rsid w:val="00777006"/>
    <w:rsid w:val="0079716C"/>
    <w:rsid w:val="007B00BE"/>
    <w:rsid w:val="007F4669"/>
    <w:rsid w:val="007F53F3"/>
    <w:rsid w:val="008276C1"/>
    <w:rsid w:val="00830B00"/>
    <w:rsid w:val="00837E6A"/>
    <w:rsid w:val="00840B63"/>
    <w:rsid w:val="00843867"/>
    <w:rsid w:val="00844B93"/>
    <w:rsid w:val="008547C8"/>
    <w:rsid w:val="00883A7F"/>
    <w:rsid w:val="00896C6E"/>
    <w:rsid w:val="008A1CE6"/>
    <w:rsid w:val="008A4C08"/>
    <w:rsid w:val="008E1516"/>
    <w:rsid w:val="008E25B3"/>
    <w:rsid w:val="008F3D67"/>
    <w:rsid w:val="00902543"/>
    <w:rsid w:val="009105A4"/>
    <w:rsid w:val="00917C6B"/>
    <w:rsid w:val="009237B4"/>
    <w:rsid w:val="00930FB1"/>
    <w:rsid w:val="0093695C"/>
    <w:rsid w:val="00957201"/>
    <w:rsid w:val="00960ED3"/>
    <w:rsid w:val="00964068"/>
    <w:rsid w:val="00976724"/>
    <w:rsid w:val="0098622F"/>
    <w:rsid w:val="00986CAA"/>
    <w:rsid w:val="009B13DA"/>
    <w:rsid w:val="009B52D4"/>
    <w:rsid w:val="009B697D"/>
    <w:rsid w:val="009C28F9"/>
    <w:rsid w:val="00A01890"/>
    <w:rsid w:val="00A060DA"/>
    <w:rsid w:val="00A06328"/>
    <w:rsid w:val="00A1630E"/>
    <w:rsid w:val="00A2426E"/>
    <w:rsid w:val="00A305E1"/>
    <w:rsid w:val="00A314EA"/>
    <w:rsid w:val="00A32E13"/>
    <w:rsid w:val="00A4073F"/>
    <w:rsid w:val="00A44B40"/>
    <w:rsid w:val="00A45A05"/>
    <w:rsid w:val="00A629E5"/>
    <w:rsid w:val="00A6576E"/>
    <w:rsid w:val="00A721D6"/>
    <w:rsid w:val="00A86EAC"/>
    <w:rsid w:val="00AA666D"/>
    <w:rsid w:val="00AB5E1A"/>
    <w:rsid w:val="00AD6473"/>
    <w:rsid w:val="00AE21D4"/>
    <w:rsid w:val="00AE41CF"/>
    <w:rsid w:val="00B25169"/>
    <w:rsid w:val="00B4155D"/>
    <w:rsid w:val="00B5323F"/>
    <w:rsid w:val="00B85143"/>
    <w:rsid w:val="00BC1F47"/>
    <w:rsid w:val="00BC63F9"/>
    <w:rsid w:val="00BC7967"/>
    <w:rsid w:val="00BD272A"/>
    <w:rsid w:val="00C005EE"/>
    <w:rsid w:val="00C01ADF"/>
    <w:rsid w:val="00C14B96"/>
    <w:rsid w:val="00C22E64"/>
    <w:rsid w:val="00C2351C"/>
    <w:rsid w:val="00C5683B"/>
    <w:rsid w:val="00CB7E69"/>
    <w:rsid w:val="00CF0BAC"/>
    <w:rsid w:val="00CF2195"/>
    <w:rsid w:val="00D062B3"/>
    <w:rsid w:val="00D15069"/>
    <w:rsid w:val="00D211E5"/>
    <w:rsid w:val="00D23131"/>
    <w:rsid w:val="00D54F48"/>
    <w:rsid w:val="00D55BDB"/>
    <w:rsid w:val="00D62756"/>
    <w:rsid w:val="00D65CF5"/>
    <w:rsid w:val="00DA4DE1"/>
    <w:rsid w:val="00DC3A05"/>
    <w:rsid w:val="00DC4D48"/>
    <w:rsid w:val="00DD022A"/>
    <w:rsid w:val="00DD552B"/>
    <w:rsid w:val="00DE668B"/>
    <w:rsid w:val="00E07C2E"/>
    <w:rsid w:val="00E11388"/>
    <w:rsid w:val="00E32155"/>
    <w:rsid w:val="00E54267"/>
    <w:rsid w:val="00E55615"/>
    <w:rsid w:val="00E728BA"/>
    <w:rsid w:val="00E743E1"/>
    <w:rsid w:val="00E8068D"/>
    <w:rsid w:val="00E95786"/>
    <w:rsid w:val="00EA11C5"/>
    <w:rsid w:val="00ED61EB"/>
    <w:rsid w:val="00EF6C6B"/>
    <w:rsid w:val="00F1115B"/>
    <w:rsid w:val="00F17851"/>
    <w:rsid w:val="00F203BA"/>
    <w:rsid w:val="00F55E81"/>
    <w:rsid w:val="00F67AF9"/>
    <w:rsid w:val="00F751E8"/>
    <w:rsid w:val="00F764BF"/>
    <w:rsid w:val="00F861FA"/>
    <w:rsid w:val="00F920FB"/>
    <w:rsid w:val="00FA0965"/>
    <w:rsid w:val="00FC3224"/>
    <w:rsid w:val="00FC7BA7"/>
    <w:rsid w:val="00FE1A3B"/>
    <w:rsid w:val="08E229A3"/>
    <w:rsid w:val="0F986468"/>
    <w:rsid w:val="14C7148A"/>
    <w:rsid w:val="1D86535D"/>
    <w:rsid w:val="382864EA"/>
    <w:rsid w:val="42F766DE"/>
    <w:rsid w:val="45700A8B"/>
    <w:rsid w:val="45D47DAF"/>
    <w:rsid w:val="4BBC4D7B"/>
    <w:rsid w:val="4D1D4BE2"/>
    <w:rsid w:val="4D311761"/>
    <w:rsid w:val="4E390435"/>
    <w:rsid w:val="51E00916"/>
    <w:rsid w:val="54DB78CE"/>
    <w:rsid w:val="55373706"/>
    <w:rsid w:val="56D2733D"/>
    <w:rsid w:val="59DD1FF7"/>
    <w:rsid w:val="5B042A99"/>
    <w:rsid w:val="5DA22CC2"/>
    <w:rsid w:val="69873AE1"/>
    <w:rsid w:val="73B90B82"/>
    <w:rsid w:val="74961EFA"/>
    <w:rsid w:val="778F6692"/>
    <w:rsid w:val="78085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22"/>
    <w:qFormat/>
    <w:uiPriority w:val="0"/>
    <w:pPr>
      <w:adjustRightInd/>
      <w:spacing w:line="240" w:lineRule="auto"/>
    </w:pPr>
    <w:rPr>
      <w:rFonts w:ascii="Times New Roman" w:hAnsi="Times New Roman"/>
      <w:sz w:val="18"/>
      <w:szCs w:val="18"/>
    </w:rPr>
  </w:style>
  <w:style w:type="paragraph" w:styleId="4">
    <w:name w:val="footer"/>
    <w:basedOn w:val="1"/>
    <w:link w:val="17"/>
    <w:qFormat/>
    <w:uiPriority w:val="0"/>
    <w:pPr>
      <w:tabs>
        <w:tab w:val="center" w:pos="4153"/>
        <w:tab w:val="right" w:pos="8306"/>
      </w:tabs>
      <w:snapToGrid w:val="0"/>
      <w:spacing w:line="240" w:lineRule="atLeast"/>
      <w:jc w:val="left"/>
    </w:pPr>
    <w:rPr>
      <w:sz w:val="18"/>
      <w:szCs w:val="18"/>
    </w:rPr>
  </w:style>
  <w:style w:type="paragraph" w:styleId="5">
    <w:name w:val="header"/>
    <w:basedOn w:val="1"/>
    <w:link w:val="16"/>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6">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0">
    <w:name w:val="annotation reference"/>
    <w:basedOn w:val="9"/>
    <w:semiHidden/>
    <w:unhideWhenUsed/>
    <w:qFormat/>
    <w:uiPriority w:val="99"/>
    <w:rPr>
      <w:sz w:val="21"/>
      <w:szCs w:val="21"/>
    </w:rPr>
  </w:style>
  <w:style w:type="paragraph" w:customStyle="1" w:styleId="11">
    <w:name w:val="标准文件_附录标识"/>
    <w:next w:val="12"/>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段"/>
    <w:link w:val="2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标准文件_注："/>
    <w:next w:val="12"/>
    <w:qFormat/>
    <w:uiPriority w:val="0"/>
    <w:pPr>
      <w:widowControl w:val="0"/>
      <w:numPr>
        <w:ilvl w:val="0"/>
        <w:numId w:val="2"/>
      </w:numPr>
      <w:autoSpaceDE w:val="0"/>
      <w:autoSpaceDN w:val="0"/>
      <w:jc w:val="both"/>
    </w:pPr>
    <w:rPr>
      <w:rFonts w:ascii="宋体" w:hAnsi="Times New Roman" w:eastAsia="宋体" w:cs="Times New Roman"/>
      <w:sz w:val="18"/>
      <w:szCs w:val="18"/>
      <w:lang w:val="en-US" w:eastAsia="zh-CN" w:bidi="ar-SA"/>
    </w:rPr>
  </w:style>
  <w:style w:type="paragraph" w:customStyle="1" w:styleId="15">
    <w:name w:val="Table Paragraph"/>
    <w:basedOn w:val="1"/>
    <w:qFormat/>
    <w:uiPriority w:val="1"/>
    <w:pPr>
      <w:autoSpaceDE w:val="0"/>
      <w:autoSpaceDN w:val="0"/>
      <w:spacing w:before="122"/>
      <w:ind w:left="10"/>
      <w:jc w:val="left"/>
    </w:pPr>
    <w:rPr>
      <w:rFonts w:ascii="宋体" w:hAnsi="宋体" w:cs="宋体"/>
      <w:kern w:val="0"/>
      <w:sz w:val="22"/>
    </w:rPr>
  </w:style>
  <w:style w:type="character" w:customStyle="1" w:styleId="16">
    <w:name w:val="页眉 字符"/>
    <w:basedOn w:val="9"/>
    <w:link w:val="5"/>
    <w:qFormat/>
    <w:uiPriority w:val="0"/>
    <w:rPr>
      <w:rFonts w:ascii="Calibri" w:hAnsi="Calibri"/>
      <w:kern w:val="2"/>
      <w:sz w:val="18"/>
      <w:szCs w:val="18"/>
    </w:rPr>
  </w:style>
  <w:style w:type="character" w:customStyle="1" w:styleId="17">
    <w:name w:val="页脚 字符"/>
    <w:basedOn w:val="9"/>
    <w:link w:val="4"/>
    <w:qFormat/>
    <w:uiPriority w:val="0"/>
    <w:rPr>
      <w:rFonts w:ascii="Calibri" w:hAnsi="Calibri"/>
      <w:kern w:val="2"/>
      <w:sz w:val="18"/>
      <w:szCs w:val="18"/>
    </w:rPr>
  </w:style>
  <w:style w:type="paragraph" w:styleId="18">
    <w:name w:val="List Paragraph"/>
    <w:basedOn w:val="1"/>
    <w:qFormat/>
    <w:uiPriority w:val="99"/>
    <w:pPr>
      <w:ind w:firstLine="420" w:firstLineChars="200"/>
    </w:pPr>
  </w:style>
  <w:style w:type="paragraph" w:customStyle="1" w:styleId="19">
    <w:name w:val="标准文件_二级无标题"/>
    <w:basedOn w:val="20"/>
    <w:qFormat/>
    <w:uiPriority w:val="0"/>
    <w:pPr>
      <w:spacing w:before="0" w:beforeLines="0" w:after="0" w:afterLines="0"/>
      <w:outlineLvl w:val="9"/>
    </w:pPr>
    <w:rPr>
      <w:rFonts w:ascii="宋体" w:eastAsia="宋体"/>
    </w:rPr>
  </w:style>
  <w:style w:type="paragraph" w:customStyle="1" w:styleId="20">
    <w:name w:val="标准文件_二级条标题"/>
    <w:next w:val="12"/>
    <w:qFormat/>
    <w:uiPriority w:val="0"/>
    <w:pPr>
      <w:widowControl w:val="0"/>
      <w:numPr>
        <w:ilvl w:val="3"/>
        <w:numId w:val="3"/>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1">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character" w:customStyle="1" w:styleId="22">
    <w:name w:val="批注框文本 字符"/>
    <w:basedOn w:val="9"/>
    <w:link w:val="3"/>
    <w:qFormat/>
    <w:uiPriority w:val="0"/>
    <w:rPr>
      <w:kern w:val="2"/>
      <w:sz w:val="18"/>
      <w:szCs w:val="18"/>
    </w:rPr>
  </w:style>
  <w:style w:type="character" w:customStyle="1" w:styleId="23">
    <w:name w:val="段 Char"/>
    <w:link w:val="13"/>
    <w:qFormat/>
    <w:uiPriority w:val="0"/>
    <w:rPr>
      <w:rFonts w:ascii="宋体"/>
      <w:sz w:val="21"/>
    </w:rPr>
  </w:style>
  <w:style w:type="character" w:customStyle="1" w:styleId="24">
    <w:name w:val="批注框文本 字符1"/>
    <w:basedOn w:val="9"/>
    <w:qFormat/>
    <w:uiPriority w:val="0"/>
    <w:rPr>
      <w:rFonts w:ascii="Calibri" w:hAnsi="Calibri"/>
      <w:kern w:val="2"/>
      <w:sz w:val="18"/>
      <w:szCs w:val="18"/>
    </w:rPr>
  </w:style>
  <w:style w:type="paragraph" w:customStyle="1" w:styleId="25">
    <w:name w:val="Default"/>
    <w:qFormat/>
    <w:uiPriority w:val="0"/>
    <w:pPr>
      <w:widowControl w:val="0"/>
      <w:autoSpaceDE w:val="0"/>
      <w:autoSpaceDN w:val="0"/>
      <w:adjustRightInd w:val="0"/>
    </w:pPr>
    <w:rPr>
      <w:rFonts w:ascii="宋体_x0003_...销." w:hAnsi="Times New Roman" w:eastAsia="宋体_x0003_...销." w:cs="宋体_x0003_...销."/>
      <w:color w:val="000000"/>
      <w:sz w:val="24"/>
      <w:szCs w:val="24"/>
      <w:lang w:val="en-US" w:eastAsia="zh-CN" w:bidi="ar-SA"/>
    </w:rPr>
  </w:style>
  <w:style w:type="paragraph" w:customStyle="1" w:styleId="26">
    <w:name w:val="正文内容"/>
    <w:basedOn w:val="1"/>
    <w:link w:val="27"/>
    <w:qFormat/>
    <w:uiPriority w:val="0"/>
    <w:pPr>
      <w:overflowPunct w:val="0"/>
      <w:adjustRightInd/>
      <w:spacing w:line="360" w:lineRule="auto"/>
      <w:ind w:firstLine="200" w:firstLineChars="200"/>
    </w:pPr>
    <w:rPr>
      <w:rFonts w:ascii="Times New Roman" w:hAnsi="Times New Roman" w:cs="黑体"/>
      <w:sz w:val="24"/>
      <w:szCs w:val="28"/>
    </w:rPr>
  </w:style>
  <w:style w:type="character" w:customStyle="1" w:styleId="27">
    <w:name w:val="正文内容 Char Char"/>
    <w:link w:val="26"/>
    <w:qFormat/>
    <w:uiPriority w:val="0"/>
    <w:rPr>
      <w:rFonts w:cs="黑体"/>
      <w:kern w:val="2"/>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436</Words>
  <Characters>2487</Characters>
  <Lines>20</Lines>
  <Paragraphs>5</Paragraphs>
  <TotalTime>119</TotalTime>
  <ScaleCrop>false</ScaleCrop>
  <LinksUpToDate>false</LinksUpToDate>
  <CharactersWithSpaces>2918</CharactersWithSpaces>
  <Application>WPS Office_11.8.6.11020_F1E327BC-269C-435d-A152-05C5408002CA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2023-04-10T03:51:00Z</dcterms:created>
  <dc:creator>李洁</dc:creator>
  <cp:lastModifiedBy>不是兔子也不是小六</cp:lastModifiedBy>
  <dcterms:modified xsi:type="dcterms:W3CDTF">2024-10-30T08:10:04Z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2052-11.8.6.11020</vt:lpwstr>
  </property>
  <property fmtid="{D5CDD505-2E9C-101B-9397-08002B2CF9AE}" pid="3" name="ICV">
    <vt:lpwstr>A29072280CC94CE889305F50AA8EA25D</vt:lpwstr>
  </property>
</Properties>
</file>